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87A4E3D" w:rsidR="00A83B4F" w:rsidRPr="000524D0" w:rsidRDefault="0029071C" w:rsidP="004309A2">
      <w:pPr>
        <w:shd w:val="clear" w:color="auto" w:fill="FFFFFF"/>
        <w:spacing w:line="360" w:lineRule="auto"/>
        <w:jc w:val="both"/>
        <w:rPr>
          <w:rFonts w:ascii="Palatino Linotype" w:hAnsi="Palatino Linotype" w:cs="Arial"/>
          <w:color w:val="000000"/>
        </w:rPr>
      </w:pPr>
      <w:r w:rsidRPr="000524D0">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0524D0">
        <w:rPr>
          <w:rFonts w:ascii="Palatino Linotype" w:hAnsi="Palatino Linotype" w:cs="Arial"/>
          <w:color w:val="000000"/>
        </w:rPr>
        <w:t xml:space="preserve"> </w:t>
      </w:r>
      <w:r w:rsidR="003B6DA2" w:rsidRPr="000524D0">
        <w:rPr>
          <w:rFonts w:ascii="Palatino Linotype" w:hAnsi="Palatino Linotype" w:cs="Arial"/>
          <w:color w:val="000000"/>
        </w:rPr>
        <w:t>cinco de noviembre</w:t>
      </w:r>
      <w:r w:rsidR="00994B38" w:rsidRPr="000524D0">
        <w:rPr>
          <w:rFonts w:ascii="Palatino Linotype" w:hAnsi="Palatino Linotype" w:cs="Arial"/>
          <w:color w:val="000000"/>
        </w:rPr>
        <w:t xml:space="preserve"> de dos mil veinticinco</w:t>
      </w:r>
      <w:r w:rsidRPr="000524D0">
        <w:rPr>
          <w:rFonts w:ascii="Palatino Linotype" w:hAnsi="Palatino Linotype" w:cs="Arial"/>
          <w:color w:val="000000"/>
        </w:rPr>
        <w:t>.</w:t>
      </w:r>
    </w:p>
    <w:p w14:paraId="5C22A337" w14:textId="77777777" w:rsidR="004309A2" w:rsidRPr="000524D0" w:rsidRDefault="004309A2" w:rsidP="004309A2">
      <w:pPr>
        <w:shd w:val="clear" w:color="auto" w:fill="FFFFFF"/>
        <w:spacing w:line="360" w:lineRule="auto"/>
        <w:jc w:val="both"/>
        <w:rPr>
          <w:rFonts w:ascii="Palatino Linotype" w:hAnsi="Palatino Linotype" w:cs="Arial"/>
          <w:color w:val="000000"/>
        </w:rPr>
      </w:pPr>
    </w:p>
    <w:p w14:paraId="37DC6287" w14:textId="051B36AB" w:rsidR="009E0E89" w:rsidRPr="000524D0" w:rsidRDefault="0029071C" w:rsidP="00C753C2">
      <w:pPr>
        <w:tabs>
          <w:tab w:val="left" w:pos="1701"/>
        </w:tabs>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b/>
          <w:lang w:eastAsia="en-US"/>
        </w:rPr>
        <w:t>VISTO</w:t>
      </w:r>
      <w:r w:rsidRPr="000524D0">
        <w:rPr>
          <w:rFonts w:ascii="Palatino Linotype" w:eastAsiaTheme="minorHAnsi" w:hAnsi="Palatino Linotype" w:cs="Arial"/>
          <w:lang w:eastAsia="en-US"/>
        </w:rPr>
        <w:t xml:space="preserve"> el expediente electrónico formado con motivo del recurso de revisión número </w:t>
      </w:r>
      <w:r w:rsidR="00295FD3" w:rsidRPr="000524D0">
        <w:rPr>
          <w:rFonts w:ascii="Palatino Linotype" w:eastAsiaTheme="minorHAnsi" w:hAnsi="Palatino Linotype" w:cs="Arial"/>
          <w:b/>
          <w:lang w:eastAsia="en-US"/>
        </w:rPr>
        <w:t>09115/INFOEM/IP/RR/2025</w:t>
      </w:r>
      <w:r w:rsidRPr="000524D0">
        <w:rPr>
          <w:rFonts w:ascii="Palatino Linotype" w:eastAsiaTheme="minorHAnsi" w:hAnsi="Palatino Linotype" w:cs="Arial"/>
          <w:lang w:eastAsia="en-US"/>
        </w:rPr>
        <w:t xml:space="preserve">, </w:t>
      </w:r>
      <w:r w:rsidR="00EB1CAC" w:rsidRPr="000524D0">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EB1CAC" w:rsidRPr="000524D0">
        <w:rPr>
          <w:rFonts w:ascii="Palatino Linotype" w:hAnsi="Palatino Linotype" w:cs="Arial"/>
          <w:b/>
        </w:rPr>
        <w:t xml:space="preserve"> </w:t>
      </w:r>
      <w:r w:rsidR="00EB1CAC" w:rsidRPr="000524D0">
        <w:rPr>
          <w:rFonts w:ascii="Palatino Linotype" w:hAnsi="Palatino Linotype" w:cs="Arial"/>
        </w:rPr>
        <w:t xml:space="preserve">en lo sucesivo </w:t>
      </w:r>
      <w:r w:rsidR="00EB1CAC" w:rsidRPr="000524D0">
        <w:rPr>
          <w:rFonts w:ascii="Palatino Linotype" w:hAnsi="Palatino Linotype" w:cs="Arial"/>
          <w:b/>
        </w:rPr>
        <w:t>El Recurrente</w:t>
      </w:r>
      <w:r w:rsidRPr="000524D0">
        <w:rPr>
          <w:rFonts w:ascii="Palatino Linotype" w:eastAsiaTheme="minorHAnsi" w:hAnsi="Palatino Linotype" w:cs="Arial"/>
          <w:lang w:eastAsia="en-US"/>
        </w:rPr>
        <w:t>, en contra de la respuesta de</w:t>
      </w:r>
      <w:r w:rsidR="00994B38" w:rsidRPr="000524D0">
        <w:rPr>
          <w:rFonts w:ascii="Palatino Linotype" w:eastAsiaTheme="minorHAnsi" w:hAnsi="Palatino Linotype" w:cs="Arial"/>
          <w:lang w:eastAsia="en-US"/>
        </w:rPr>
        <w:t>l</w:t>
      </w:r>
      <w:r w:rsidRPr="000524D0">
        <w:rPr>
          <w:rFonts w:ascii="Palatino Linotype" w:eastAsiaTheme="minorHAnsi" w:hAnsi="Palatino Linotype" w:cs="Arial"/>
          <w:lang w:eastAsia="en-US"/>
        </w:rPr>
        <w:t xml:space="preserve"> </w:t>
      </w:r>
      <w:r w:rsidR="00295FD3" w:rsidRPr="000524D0">
        <w:rPr>
          <w:rFonts w:ascii="Palatino Linotype" w:eastAsiaTheme="minorHAnsi" w:hAnsi="Palatino Linotype" w:cs="Arial"/>
          <w:b/>
          <w:lang w:eastAsia="en-US"/>
        </w:rPr>
        <w:t>Ayuntamiento de Toluca</w:t>
      </w:r>
      <w:r w:rsidRPr="000524D0">
        <w:rPr>
          <w:rFonts w:ascii="Palatino Linotype" w:eastAsiaTheme="minorHAnsi" w:hAnsi="Palatino Linotype" w:cs="Arial"/>
          <w:lang w:eastAsia="en-US"/>
        </w:rPr>
        <w:t>,</w:t>
      </w:r>
      <w:r w:rsidRPr="000524D0">
        <w:rPr>
          <w:rFonts w:ascii="Palatino Linotype" w:eastAsiaTheme="minorHAnsi" w:hAnsi="Palatino Linotype" w:cs="Arial"/>
          <w:b/>
          <w:lang w:eastAsia="en-US"/>
        </w:rPr>
        <w:t xml:space="preserve"> </w:t>
      </w:r>
      <w:r w:rsidRPr="000524D0">
        <w:rPr>
          <w:rFonts w:ascii="Palatino Linotype" w:eastAsiaTheme="minorHAnsi" w:hAnsi="Palatino Linotype" w:cs="Arial"/>
          <w:lang w:eastAsia="en-US"/>
        </w:rPr>
        <w:t>en lo subsecuente</w:t>
      </w:r>
      <w:r w:rsidRPr="000524D0">
        <w:rPr>
          <w:rFonts w:ascii="Palatino Linotype" w:eastAsiaTheme="minorHAnsi" w:hAnsi="Palatino Linotype" w:cs="Arial"/>
          <w:b/>
          <w:lang w:eastAsia="en-US"/>
        </w:rPr>
        <w:t xml:space="preserve"> El Sujeto Obligado, </w:t>
      </w:r>
      <w:r w:rsidRPr="000524D0">
        <w:rPr>
          <w:rFonts w:ascii="Palatino Linotype" w:eastAsiaTheme="minorHAnsi" w:hAnsi="Palatino Linotype" w:cs="Arial"/>
          <w:lang w:eastAsia="en-US"/>
        </w:rPr>
        <w:t>se procede a dictar la presente resolución.</w:t>
      </w:r>
    </w:p>
    <w:p w14:paraId="1CBC9DF3" w14:textId="77777777" w:rsidR="00C753C2" w:rsidRPr="000524D0" w:rsidRDefault="00C753C2" w:rsidP="00C753C2">
      <w:pPr>
        <w:tabs>
          <w:tab w:val="left" w:pos="1701"/>
        </w:tabs>
        <w:spacing w:line="360" w:lineRule="auto"/>
        <w:jc w:val="both"/>
        <w:rPr>
          <w:rFonts w:ascii="Palatino Linotype" w:eastAsiaTheme="minorHAnsi" w:hAnsi="Palatino Linotype" w:cs="Arial"/>
          <w:b/>
          <w:sz w:val="20"/>
          <w:lang w:eastAsia="en-US"/>
        </w:rPr>
      </w:pPr>
    </w:p>
    <w:p w14:paraId="10B89D42" w14:textId="77777777" w:rsidR="00505285" w:rsidRPr="000524D0" w:rsidRDefault="00505285"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0524D0" w:rsidRDefault="0029071C" w:rsidP="00521A38">
      <w:pPr>
        <w:spacing w:line="360" w:lineRule="auto"/>
        <w:jc w:val="center"/>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A N T E C E D E N T E S</w:t>
      </w:r>
    </w:p>
    <w:p w14:paraId="3D8B3B08" w14:textId="77777777" w:rsidR="00521A38" w:rsidRPr="000524D0"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0524D0" w:rsidRDefault="0029071C" w:rsidP="0029071C">
      <w:pPr>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PRIMERO. De la solicitud de información.</w:t>
      </w:r>
    </w:p>
    <w:p w14:paraId="5D763432" w14:textId="33638D9D" w:rsidR="005573EA" w:rsidRPr="000524D0" w:rsidRDefault="005573EA" w:rsidP="005573EA">
      <w:pPr>
        <w:spacing w:after="160"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En fecha </w:t>
      </w:r>
      <w:r w:rsidR="00505285" w:rsidRPr="000524D0">
        <w:rPr>
          <w:rFonts w:ascii="Palatino Linotype" w:eastAsiaTheme="minorHAnsi" w:hAnsi="Palatino Linotype" w:cs="Arial"/>
          <w:lang w:eastAsia="en-US"/>
        </w:rPr>
        <w:t>veintiséis de junio</w:t>
      </w:r>
      <w:r w:rsidRPr="000524D0">
        <w:rPr>
          <w:rFonts w:ascii="Palatino Linotype" w:eastAsiaTheme="minorHAnsi" w:hAnsi="Palatino Linotype" w:cs="Arial"/>
          <w:lang w:eastAsia="en-US"/>
        </w:rPr>
        <w:t xml:space="preserve"> de dos mil veinticinco, el </w:t>
      </w:r>
      <w:r w:rsidRPr="000524D0">
        <w:rPr>
          <w:rFonts w:ascii="Palatino Linotype" w:eastAsiaTheme="minorHAnsi" w:hAnsi="Palatino Linotype" w:cs="Arial"/>
          <w:b/>
          <w:lang w:eastAsia="en-US"/>
        </w:rPr>
        <w:t>Recurrente</w:t>
      </w:r>
      <w:r w:rsidRPr="000524D0">
        <w:rPr>
          <w:rFonts w:ascii="Palatino Linotype" w:eastAsiaTheme="minorHAnsi" w:hAnsi="Palatino Linotype" w:cs="Arial"/>
          <w:lang w:eastAsia="en-US"/>
        </w:rPr>
        <w:t xml:space="preserve">, presentó a través del Sistema de Acceso a la Información Mexiquense </w:t>
      </w:r>
      <w:r w:rsidRPr="000524D0">
        <w:rPr>
          <w:rFonts w:ascii="Palatino Linotype" w:eastAsiaTheme="minorHAnsi" w:hAnsi="Palatino Linotype" w:cs="Arial"/>
          <w:b/>
          <w:lang w:eastAsia="en-US"/>
        </w:rPr>
        <w:t>(SAIMEX),</w:t>
      </w:r>
      <w:r w:rsidRPr="000524D0">
        <w:rPr>
          <w:rFonts w:ascii="Palatino Linotype" w:eastAsiaTheme="minorHAnsi" w:hAnsi="Palatino Linotype" w:cs="Arial"/>
          <w:lang w:eastAsia="en-US"/>
        </w:rPr>
        <w:t xml:space="preserve"> ante el </w:t>
      </w:r>
      <w:r w:rsidRPr="000524D0">
        <w:rPr>
          <w:rFonts w:ascii="Palatino Linotype" w:eastAsiaTheme="minorHAnsi" w:hAnsi="Palatino Linotype" w:cs="Arial"/>
          <w:b/>
          <w:lang w:eastAsia="en-US"/>
        </w:rPr>
        <w:t>Sujeto Obligado</w:t>
      </w:r>
      <w:r w:rsidRPr="000524D0">
        <w:rPr>
          <w:rFonts w:ascii="Palatino Linotype" w:eastAsiaTheme="minorHAnsi" w:hAnsi="Palatino Linotype" w:cs="Arial"/>
          <w:lang w:eastAsia="en-US"/>
        </w:rPr>
        <w:t xml:space="preserve">, la solicitud de acceso a la información pública, a la que se le asignó el número de expediente </w:t>
      </w:r>
      <w:r w:rsidR="00505285" w:rsidRPr="000524D0">
        <w:rPr>
          <w:rFonts w:ascii="Palatino Linotype" w:eastAsiaTheme="minorHAnsi" w:hAnsi="Palatino Linotype" w:cs="Arial"/>
          <w:b/>
          <w:lang w:eastAsia="en-US"/>
        </w:rPr>
        <w:t>03682/TOLUCA/IP/2025</w:t>
      </w:r>
      <w:r w:rsidRPr="000524D0">
        <w:rPr>
          <w:rFonts w:ascii="Palatino Linotype" w:eastAsiaTheme="minorHAnsi" w:hAnsi="Palatino Linotype" w:cs="Arial"/>
          <w:lang w:eastAsia="en-US"/>
        </w:rPr>
        <w:t>, mediante la cual solicitó lo siguiente:</w:t>
      </w:r>
    </w:p>
    <w:p w14:paraId="1ABD4CA4" w14:textId="77777777" w:rsidR="005573EA" w:rsidRPr="000524D0" w:rsidRDefault="005573EA" w:rsidP="005573EA">
      <w:pPr>
        <w:rPr>
          <w:rFonts w:eastAsiaTheme="minorHAnsi"/>
          <w:lang w:eastAsia="en-US"/>
        </w:rPr>
      </w:pPr>
    </w:p>
    <w:p w14:paraId="6B31E753" w14:textId="049338FD" w:rsidR="005573EA" w:rsidRPr="000524D0" w:rsidRDefault="005573EA" w:rsidP="00EB1CAC">
      <w:pPr>
        <w:spacing w:after="160" w:line="276" w:lineRule="auto"/>
        <w:ind w:left="567" w:right="567"/>
        <w:jc w:val="both"/>
        <w:rPr>
          <w:rFonts w:ascii="Palatino Linotype" w:eastAsia="Calibri" w:hAnsi="Palatino Linotype" w:cs="Calibri"/>
          <w:i/>
          <w:sz w:val="22"/>
          <w:szCs w:val="22"/>
        </w:rPr>
      </w:pPr>
      <w:r w:rsidRPr="000524D0">
        <w:rPr>
          <w:rFonts w:ascii="Palatino Linotype" w:eastAsia="Calibri" w:hAnsi="Palatino Linotype" w:cs="Calibri"/>
          <w:i/>
          <w:sz w:val="22"/>
          <w:szCs w:val="22"/>
        </w:rPr>
        <w:t>“</w:t>
      </w:r>
      <w:r w:rsidR="00505285" w:rsidRPr="000524D0">
        <w:rPr>
          <w:rFonts w:ascii="Palatino Linotype" w:eastAsia="Calibri" w:hAnsi="Palatino Linotype" w:cs="Calibri"/>
          <w:i/>
          <w:sz w:val="22"/>
          <w:szCs w:val="22"/>
        </w:rPr>
        <w:t xml:space="preserve">se solicita los acuses de las solicitudes de información </w:t>
      </w:r>
      <w:proofErr w:type="spellStart"/>
      <w:r w:rsidR="00505285" w:rsidRPr="000524D0">
        <w:rPr>
          <w:rFonts w:ascii="Palatino Linotype" w:eastAsia="Calibri" w:hAnsi="Palatino Linotype" w:cs="Calibri"/>
          <w:i/>
          <w:sz w:val="22"/>
          <w:szCs w:val="22"/>
        </w:rPr>
        <w:t>publica</w:t>
      </w:r>
      <w:proofErr w:type="spellEnd"/>
      <w:r w:rsidR="00505285" w:rsidRPr="000524D0">
        <w:rPr>
          <w:rFonts w:ascii="Palatino Linotype" w:eastAsia="Calibri" w:hAnsi="Palatino Linotype" w:cs="Calibri"/>
          <w:i/>
          <w:sz w:val="22"/>
          <w:szCs w:val="22"/>
        </w:rPr>
        <w:t xml:space="preserve"> de enero a la fecha</w:t>
      </w:r>
      <w:r w:rsidRPr="000524D0">
        <w:rPr>
          <w:rFonts w:ascii="Palatino Linotype" w:eastAsia="Calibri" w:hAnsi="Palatino Linotype" w:cs="Calibri"/>
          <w:i/>
          <w:sz w:val="22"/>
          <w:szCs w:val="22"/>
        </w:rPr>
        <w:t>” (Sic).</w:t>
      </w:r>
    </w:p>
    <w:p w14:paraId="74843A62" w14:textId="77777777" w:rsidR="005573EA" w:rsidRPr="000524D0" w:rsidRDefault="005573EA" w:rsidP="005573EA">
      <w:pPr>
        <w:rPr>
          <w:sz w:val="16"/>
          <w:lang w:eastAsia="es-ES"/>
        </w:rPr>
      </w:pPr>
    </w:p>
    <w:p w14:paraId="0FC0BCB6" w14:textId="77777777" w:rsidR="005573EA" w:rsidRPr="000524D0" w:rsidRDefault="005573EA" w:rsidP="005573EA">
      <w:pPr>
        <w:spacing w:after="160" w:line="259" w:lineRule="auto"/>
        <w:rPr>
          <w:rFonts w:ascii="Calibri" w:eastAsia="Calibri" w:hAnsi="Calibri" w:cs="Calibri"/>
          <w:sz w:val="22"/>
          <w:szCs w:val="22"/>
        </w:rPr>
      </w:pPr>
    </w:p>
    <w:p w14:paraId="70145660" w14:textId="77777777" w:rsidR="005573EA" w:rsidRPr="000524D0"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0524D0">
        <w:rPr>
          <w:rFonts w:ascii="Palatino Linotype" w:hAnsi="Palatino Linotype"/>
          <w:b/>
          <w:lang w:eastAsia="es-ES"/>
        </w:rPr>
        <w:t>MODALIDAD DE ENTREGA:</w:t>
      </w:r>
      <w:r w:rsidRPr="000524D0">
        <w:rPr>
          <w:rFonts w:ascii="Palatino Linotype" w:hAnsi="Palatino Linotype"/>
          <w:lang w:eastAsia="es-ES"/>
        </w:rPr>
        <w:t xml:space="preserve"> </w:t>
      </w:r>
      <w:r w:rsidRPr="000524D0">
        <w:rPr>
          <w:rFonts w:ascii="Palatino Linotype" w:eastAsiaTheme="minorHAnsi" w:hAnsi="Palatino Linotype" w:cstheme="minorBidi"/>
          <w:color w:val="000000"/>
          <w:lang w:eastAsia="en-US"/>
        </w:rPr>
        <w:t xml:space="preserve">A través del </w:t>
      </w:r>
      <w:r w:rsidRPr="000524D0">
        <w:rPr>
          <w:rFonts w:ascii="Palatino Linotype" w:eastAsiaTheme="minorHAnsi" w:hAnsi="Palatino Linotype" w:cstheme="minorBidi"/>
          <w:b/>
          <w:color w:val="000000"/>
          <w:lang w:eastAsia="en-US"/>
        </w:rPr>
        <w:t>SAIMEX</w:t>
      </w:r>
      <w:r w:rsidRPr="000524D0">
        <w:rPr>
          <w:rFonts w:ascii="Palatino Linotype" w:eastAsiaTheme="minorHAnsi" w:hAnsi="Palatino Linotype" w:cstheme="minorBidi"/>
          <w:color w:val="000000"/>
          <w:lang w:eastAsia="en-US"/>
        </w:rPr>
        <w:t>.</w:t>
      </w:r>
    </w:p>
    <w:p w14:paraId="61092E60" w14:textId="77777777" w:rsidR="005573EA" w:rsidRPr="000524D0"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0524D0" w:rsidRDefault="00EC4D60" w:rsidP="0029071C">
      <w:pPr>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lastRenderedPageBreak/>
        <w:t>SEGUND</w:t>
      </w:r>
      <w:r w:rsidR="00E250C8" w:rsidRPr="000524D0">
        <w:rPr>
          <w:rFonts w:ascii="Palatino Linotype" w:eastAsiaTheme="minorHAnsi" w:hAnsi="Palatino Linotype" w:cs="Arial"/>
          <w:b/>
          <w:sz w:val="28"/>
          <w:lang w:eastAsia="en-US"/>
        </w:rPr>
        <w:t>O</w:t>
      </w:r>
      <w:r w:rsidR="0029071C" w:rsidRPr="000524D0">
        <w:rPr>
          <w:rFonts w:ascii="Palatino Linotype" w:eastAsiaTheme="minorHAnsi" w:hAnsi="Palatino Linotype" w:cs="Arial"/>
          <w:b/>
          <w:sz w:val="28"/>
          <w:lang w:eastAsia="en-US"/>
        </w:rPr>
        <w:t xml:space="preserve">. De la respuesta del Sujeto Obligado. </w:t>
      </w:r>
    </w:p>
    <w:p w14:paraId="06567651" w14:textId="61D14A6F" w:rsidR="0029071C" w:rsidRPr="000524D0" w:rsidRDefault="0029071C" w:rsidP="0029071C">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De las constancias que obran en el sistema SAIMEX, se advierte que en fecha </w:t>
      </w:r>
      <w:r w:rsidR="00505285" w:rsidRPr="000524D0">
        <w:rPr>
          <w:rFonts w:ascii="Palatino Linotype" w:eastAsiaTheme="minorHAnsi" w:hAnsi="Palatino Linotype" w:cs="Arial"/>
          <w:lang w:eastAsia="en-US"/>
        </w:rPr>
        <w:t>diecisiete de julio</w:t>
      </w:r>
      <w:r w:rsidR="00FE24A3" w:rsidRPr="000524D0">
        <w:rPr>
          <w:rFonts w:ascii="Palatino Linotype" w:eastAsiaTheme="minorHAnsi" w:hAnsi="Palatino Linotype" w:cs="Arial"/>
          <w:lang w:eastAsia="en-US"/>
        </w:rPr>
        <w:t xml:space="preserve"> de dos mil </w:t>
      </w:r>
      <w:r w:rsidR="005573EA" w:rsidRPr="000524D0">
        <w:rPr>
          <w:rFonts w:ascii="Palatino Linotype" w:eastAsiaTheme="minorHAnsi" w:hAnsi="Palatino Linotype" w:cs="Arial"/>
          <w:lang w:eastAsia="en-US"/>
        </w:rPr>
        <w:t>veinticinco</w:t>
      </w:r>
      <w:r w:rsidRPr="000524D0">
        <w:rPr>
          <w:rFonts w:ascii="Palatino Linotype" w:eastAsiaTheme="minorHAnsi" w:hAnsi="Palatino Linotype" w:cs="Arial"/>
          <w:lang w:eastAsia="en-US"/>
        </w:rPr>
        <w:t xml:space="preserve">, </w:t>
      </w:r>
      <w:r w:rsidRPr="000524D0">
        <w:rPr>
          <w:rFonts w:ascii="Palatino Linotype" w:eastAsiaTheme="minorHAnsi" w:hAnsi="Palatino Linotype" w:cs="Arial"/>
          <w:b/>
          <w:lang w:eastAsia="en-US"/>
        </w:rPr>
        <w:t>El Sujeto Obligado</w:t>
      </w:r>
      <w:r w:rsidRPr="000524D0">
        <w:rPr>
          <w:rFonts w:ascii="Palatino Linotype" w:eastAsiaTheme="minorHAnsi" w:hAnsi="Palatino Linotype" w:cs="Arial"/>
          <w:lang w:eastAsia="en-US"/>
        </w:rPr>
        <w:t xml:space="preserve"> emitió </w:t>
      </w:r>
      <w:r w:rsidR="00FE24A3" w:rsidRPr="000524D0">
        <w:rPr>
          <w:rFonts w:ascii="Palatino Linotype" w:eastAsiaTheme="minorHAnsi" w:hAnsi="Palatino Linotype" w:cs="Arial"/>
          <w:lang w:eastAsia="en-US"/>
        </w:rPr>
        <w:t>su</w:t>
      </w:r>
      <w:r w:rsidRPr="000524D0">
        <w:rPr>
          <w:rFonts w:ascii="Palatino Linotype" w:eastAsiaTheme="minorHAnsi" w:hAnsi="Palatino Linotype" w:cs="Arial"/>
          <w:lang w:eastAsia="en-US"/>
        </w:rPr>
        <w:t xml:space="preserve"> respuesta</w:t>
      </w:r>
      <w:r w:rsidR="00FE24A3" w:rsidRPr="000524D0">
        <w:rPr>
          <w:rFonts w:ascii="Palatino Linotype" w:eastAsiaTheme="minorHAnsi" w:hAnsi="Palatino Linotype" w:cs="Arial"/>
          <w:lang w:eastAsia="en-US"/>
        </w:rPr>
        <w:t xml:space="preserve"> </w:t>
      </w:r>
      <w:r w:rsidRPr="000524D0">
        <w:rPr>
          <w:rFonts w:ascii="Palatino Linotype" w:eastAsiaTheme="minorHAnsi" w:hAnsi="Palatino Linotype" w:cs="Arial"/>
          <w:lang w:eastAsia="en-US"/>
        </w:rPr>
        <w:t>en los siguientes términos:</w:t>
      </w:r>
    </w:p>
    <w:p w14:paraId="3E05B0DB" w14:textId="77777777" w:rsidR="0029071C" w:rsidRPr="000524D0" w:rsidRDefault="0029071C" w:rsidP="0029071C"/>
    <w:p w14:paraId="3BB461FD" w14:textId="77777777" w:rsidR="00505285" w:rsidRPr="000524D0" w:rsidRDefault="0029071C" w:rsidP="00505285">
      <w:pPr>
        <w:spacing w:line="276" w:lineRule="auto"/>
        <w:ind w:left="567" w:right="567"/>
        <w:jc w:val="right"/>
        <w:rPr>
          <w:rFonts w:ascii="Palatino Linotype" w:hAnsi="Palatino Linotype"/>
          <w:b/>
          <w:bCs/>
          <w:i/>
          <w:sz w:val="22"/>
          <w:szCs w:val="22"/>
          <w:u w:val="single"/>
        </w:rPr>
      </w:pPr>
      <w:r w:rsidRPr="000524D0">
        <w:rPr>
          <w:rFonts w:ascii="Palatino Linotype" w:hAnsi="Palatino Linotype"/>
          <w:i/>
          <w:sz w:val="22"/>
          <w:szCs w:val="22"/>
        </w:rPr>
        <w:t>“</w:t>
      </w:r>
      <w:r w:rsidR="00505285" w:rsidRPr="000524D0">
        <w:rPr>
          <w:rFonts w:ascii="Palatino Linotype" w:hAnsi="Palatino Linotype"/>
          <w:i/>
          <w:sz w:val="22"/>
          <w:szCs w:val="22"/>
        </w:rPr>
        <w:t>Folio de la solicitud</w:t>
      </w:r>
      <w:r w:rsidR="00505285" w:rsidRPr="000524D0">
        <w:rPr>
          <w:rFonts w:ascii="Palatino Linotype" w:hAnsi="Palatino Linotype"/>
          <w:b/>
          <w:bCs/>
          <w:i/>
          <w:sz w:val="22"/>
          <w:szCs w:val="22"/>
          <w:u w:val="single"/>
        </w:rPr>
        <w:t>: 03682/TOLUCA/IP/2025</w:t>
      </w:r>
    </w:p>
    <w:p w14:paraId="6CD40E1E" w14:textId="77777777" w:rsidR="00505285" w:rsidRPr="000524D0" w:rsidRDefault="00505285" w:rsidP="00505285">
      <w:pPr>
        <w:spacing w:line="276" w:lineRule="auto"/>
        <w:ind w:left="567" w:right="567"/>
        <w:jc w:val="both"/>
        <w:rPr>
          <w:rFonts w:ascii="Palatino Linotype" w:hAnsi="Palatino Linotype"/>
          <w:i/>
          <w:sz w:val="22"/>
          <w:szCs w:val="22"/>
        </w:rPr>
      </w:pPr>
    </w:p>
    <w:p w14:paraId="121FEE65" w14:textId="279A7DAD" w:rsidR="00505285" w:rsidRPr="000524D0" w:rsidRDefault="00505285" w:rsidP="00505285">
      <w:pPr>
        <w:spacing w:line="276" w:lineRule="auto"/>
        <w:ind w:left="567" w:right="567"/>
        <w:jc w:val="both"/>
        <w:rPr>
          <w:rFonts w:ascii="Palatino Linotype" w:hAnsi="Palatino Linotype"/>
          <w:i/>
          <w:sz w:val="22"/>
          <w:szCs w:val="22"/>
        </w:rPr>
      </w:pPr>
      <w:r w:rsidRPr="000524D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B99F31" w14:textId="77777777" w:rsidR="00505285" w:rsidRPr="000524D0" w:rsidRDefault="00505285" w:rsidP="00505285">
      <w:pPr>
        <w:spacing w:line="276" w:lineRule="auto"/>
        <w:ind w:left="567" w:right="567"/>
        <w:jc w:val="both"/>
        <w:rPr>
          <w:rFonts w:ascii="Palatino Linotype" w:hAnsi="Palatino Linotype"/>
          <w:i/>
          <w:sz w:val="22"/>
          <w:szCs w:val="22"/>
        </w:rPr>
      </w:pPr>
    </w:p>
    <w:p w14:paraId="6E09571B" w14:textId="77777777" w:rsidR="00505285" w:rsidRPr="000524D0" w:rsidRDefault="00505285" w:rsidP="00505285">
      <w:pPr>
        <w:spacing w:line="276" w:lineRule="auto"/>
        <w:ind w:left="567" w:right="567"/>
        <w:jc w:val="both"/>
        <w:rPr>
          <w:rFonts w:ascii="Palatino Linotype" w:hAnsi="Palatino Linotype"/>
          <w:i/>
          <w:sz w:val="22"/>
          <w:szCs w:val="22"/>
        </w:rPr>
      </w:pPr>
      <w:r w:rsidRPr="000524D0">
        <w:rPr>
          <w:rFonts w:ascii="Palatino Linotype" w:hAnsi="Palatino Linotype"/>
          <w:i/>
          <w:sz w:val="22"/>
          <w:szCs w:val="22"/>
        </w:rPr>
        <w:t>En atención a la solicitud con folio 03682/TOLUCA/IP/2025, me permito adjuntar al presente la respuesta correspondiente, Sin más por el momento, reciba un saludo.</w:t>
      </w:r>
    </w:p>
    <w:p w14:paraId="69D2FC01" w14:textId="77777777" w:rsidR="00505285" w:rsidRPr="000524D0" w:rsidRDefault="00505285" w:rsidP="00505285">
      <w:pPr>
        <w:spacing w:line="276" w:lineRule="auto"/>
        <w:ind w:left="567" w:right="567"/>
        <w:jc w:val="both"/>
        <w:rPr>
          <w:rFonts w:ascii="Palatino Linotype" w:hAnsi="Palatino Linotype"/>
          <w:i/>
          <w:sz w:val="22"/>
          <w:szCs w:val="22"/>
        </w:rPr>
      </w:pPr>
      <w:r w:rsidRPr="000524D0">
        <w:rPr>
          <w:rFonts w:ascii="Palatino Linotype" w:hAnsi="Palatino Linotype"/>
          <w:i/>
          <w:sz w:val="22"/>
          <w:szCs w:val="22"/>
        </w:rPr>
        <w:t>ATENTAMENTE</w:t>
      </w:r>
    </w:p>
    <w:p w14:paraId="6892948E" w14:textId="0D39F036" w:rsidR="0029071C" w:rsidRPr="000524D0" w:rsidRDefault="00505285" w:rsidP="00505285">
      <w:pPr>
        <w:spacing w:line="276" w:lineRule="auto"/>
        <w:ind w:left="567" w:right="567"/>
        <w:jc w:val="both"/>
        <w:rPr>
          <w:rFonts w:ascii="Palatino Linotype" w:hAnsi="Palatino Linotype"/>
          <w:i/>
          <w:sz w:val="22"/>
          <w:szCs w:val="22"/>
        </w:rPr>
      </w:pPr>
      <w:r w:rsidRPr="000524D0">
        <w:rPr>
          <w:rFonts w:ascii="Palatino Linotype" w:hAnsi="Palatino Linotype"/>
          <w:i/>
          <w:sz w:val="22"/>
          <w:szCs w:val="22"/>
        </w:rPr>
        <w:t xml:space="preserve">Dr. </w:t>
      </w:r>
      <w:proofErr w:type="spellStart"/>
      <w:r w:rsidRPr="000524D0">
        <w:rPr>
          <w:rFonts w:ascii="Palatino Linotype" w:hAnsi="Palatino Linotype"/>
          <w:i/>
          <w:sz w:val="22"/>
          <w:szCs w:val="22"/>
        </w:rPr>
        <w:t>Nahum</w:t>
      </w:r>
      <w:proofErr w:type="spellEnd"/>
      <w:r w:rsidRPr="000524D0">
        <w:rPr>
          <w:rFonts w:ascii="Palatino Linotype" w:hAnsi="Palatino Linotype"/>
          <w:i/>
          <w:sz w:val="22"/>
          <w:szCs w:val="22"/>
        </w:rPr>
        <w:t xml:space="preserve"> Miguel Mendoza Morales</w:t>
      </w:r>
      <w:r w:rsidR="00E74701" w:rsidRPr="000524D0">
        <w:rPr>
          <w:rFonts w:ascii="Palatino Linotype" w:hAnsi="Palatino Linotype"/>
          <w:i/>
          <w:sz w:val="22"/>
          <w:szCs w:val="22"/>
        </w:rPr>
        <w:t>” (Sic).</w:t>
      </w:r>
    </w:p>
    <w:p w14:paraId="5A59FB14" w14:textId="77777777" w:rsidR="00DC1583" w:rsidRPr="000524D0" w:rsidRDefault="00DC1583" w:rsidP="00DC1583">
      <w:pPr>
        <w:ind w:right="567"/>
        <w:jc w:val="both"/>
        <w:rPr>
          <w:rFonts w:ascii="Palatino Linotype" w:hAnsi="Palatino Linotype"/>
          <w:i/>
          <w:sz w:val="14"/>
          <w:szCs w:val="22"/>
        </w:rPr>
      </w:pPr>
    </w:p>
    <w:p w14:paraId="74D352C2" w14:textId="77777777" w:rsidR="00EB1CAC" w:rsidRPr="000524D0" w:rsidRDefault="00EB1CAC" w:rsidP="00DC1583">
      <w:pPr>
        <w:ind w:right="567"/>
        <w:jc w:val="both"/>
        <w:rPr>
          <w:rFonts w:ascii="Palatino Linotype" w:hAnsi="Palatino Linotype"/>
          <w:i/>
          <w:sz w:val="14"/>
          <w:szCs w:val="22"/>
        </w:rPr>
      </w:pPr>
    </w:p>
    <w:p w14:paraId="490212E5" w14:textId="77777777" w:rsidR="00B250D7" w:rsidRPr="000524D0" w:rsidRDefault="00B250D7" w:rsidP="00B250D7">
      <w:pPr>
        <w:pStyle w:val="Sinespaciado"/>
        <w:rPr>
          <w:lang w:val="es-ES_tradnl" w:eastAsia="es-MX"/>
        </w:rPr>
      </w:pPr>
    </w:p>
    <w:p w14:paraId="6F9BB2DB" w14:textId="3285BE74" w:rsidR="004B2314" w:rsidRPr="000524D0" w:rsidRDefault="00CF1DF5" w:rsidP="004309A2">
      <w:pPr>
        <w:spacing w:line="360" w:lineRule="auto"/>
        <w:jc w:val="both"/>
        <w:rPr>
          <w:rFonts w:ascii="Palatino Linotype" w:eastAsiaTheme="minorHAnsi" w:hAnsi="Palatino Linotype" w:cs="Arial"/>
          <w:i/>
          <w:lang w:eastAsia="en-US"/>
        </w:rPr>
      </w:pPr>
      <w:r w:rsidRPr="000524D0">
        <w:rPr>
          <w:rFonts w:ascii="Palatino Linotype" w:eastAsiaTheme="minorHAnsi" w:hAnsi="Palatino Linotype" w:cs="Arial"/>
          <w:lang w:eastAsia="en-US"/>
        </w:rPr>
        <w:t xml:space="preserve">El </w:t>
      </w:r>
      <w:r w:rsidRPr="000524D0">
        <w:rPr>
          <w:rFonts w:ascii="Palatino Linotype" w:eastAsiaTheme="minorHAnsi" w:hAnsi="Palatino Linotype" w:cs="Arial"/>
          <w:b/>
          <w:lang w:eastAsia="en-US"/>
        </w:rPr>
        <w:t>Sujeto Obligado</w:t>
      </w:r>
      <w:r w:rsidRPr="000524D0">
        <w:rPr>
          <w:rFonts w:ascii="Palatino Linotype" w:eastAsiaTheme="minorHAnsi" w:hAnsi="Palatino Linotype" w:cs="Arial"/>
          <w:lang w:eastAsia="en-US"/>
        </w:rPr>
        <w:t xml:space="preserve"> adjuntó</w:t>
      </w:r>
      <w:r w:rsidR="005F1F89" w:rsidRPr="000524D0">
        <w:rPr>
          <w:rFonts w:ascii="Palatino Linotype" w:eastAsiaTheme="minorHAnsi" w:hAnsi="Palatino Linotype" w:cs="Arial"/>
          <w:lang w:eastAsia="en-US"/>
        </w:rPr>
        <w:t xml:space="preserve"> a su respuesta</w:t>
      </w:r>
      <w:r w:rsidR="00DC1583" w:rsidRPr="000524D0">
        <w:rPr>
          <w:rFonts w:ascii="Palatino Linotype" w:eastAsiaTheme="minorHAnsi" w:hAnsi="Palatino Linotype" w:cs="Arial"/>
          <w:lang w:eastAsia="en-US"/>
        </w:rPr>
        <w:t xml:space="preserve">, </w:t>
      </w:r>
      <w:r w:rsidR="00FE24A3" w:rsidRPr="000524D0">
        <w:rPr>
          <w:rFonts w:ascii="Palatino Linotype" w:eastAsiaTheme="minorHAnsi" w:hAnsi="Palatino Linotype" w:cs="Arial"/>
          <w:lang w:eastAsia="en-US"/>
        </w:rPr>
        <w:t>el</w:t>
      </w:r>
      <w:r w:rsidR="001D2DE0" w:rsidRPr="000524D0">
        <w:rPr>
          <w:rFonts w:ascii="Palatino Linotype" w:eastAsiaTheme="minorHAnsi" w:hAnsi="Palatino Linotype" w:cs="Arial"/>
          <w:lang w:eastAsia="en-US"/>
        </w:rPr>
        <w:t xml:space="preserve"> archivo electrónico denominado</w:t>
      </w:r>
      <w:r w:rsidR="004309A2" w:rsidRPr="000524D0">
        <w:rPr>
          <w:rFonts w:ascii="Palatino Linotype" w:eastAsiaTheme="minorHAnsi" w:hAnsi="Palatino Linotype" w:cs="Arial"/>
          <w:lang w:eastAsia="en-US"/>
        </w:rPr>
        <w:t xml:space="preserve"> </w:t>
      </w:r>
      <w:r w:rsidR="00184176" w:rsidRPr="000524D0">
        <w:rPr>
          <w:rFonts w:ascii="Palatino Linotype" w:eastAsiaTheme="minorHAnsi" w:hAnsi="Palatino Linotype" w:cs="Arial"/>
          <w:i/>
          <w:lang w:eastAsia="en-US"/>
        </w:rPr>
        <w:t>“</w:t>
      </w:r>
      <w:r w:rsidR="00505285" w:rsidRPr="000524D0">
        <w:rPr>
          <w:rFonts w:ascii="Palatino Linotype" w:eastAsiaTheme="minorHAnsi" w:hAnsi="Palatino Linotype" w:cs="Arial"/>
          <w:b/>
          <w:bCs/>
          <w:i/>
          <w:lang w:eastAsia="en-US"/>
        </w:rPr>
        <w:t>R. 03682_25.pdf</w:t>
      </w:r>
      <w:r w:rsidR="00184176" w:rsidRPr="000524D0">
        <w:rPr>
          <w:rFonts w:ascii="Palatino Linotype" w:eastAsiaTheme="minorHAnsi" w:hAnsi="Palatino Linotype" w:cs="Arial"/>
          <w:i/>
          <w:lang w:eastAsia="en-US"/>
        </w:rPr>
        <w:t>”</w:t>
      </w:r>
      <w:r w:rsidR="00DC1583" w:rsidRPr="000524D0">
        <w:rPr>
          <w:rFonts w:ascii="Palatino Linotype" w:eastAsiaTheme="minorHAnsi" w:hAnsi="Palatino Linotype" w:cs="Arial"/>
          <w:i/>
          <w:lang w:eastAsia="en-US"/>
        </w:rPr>
        <w:t>;</w:t>
      </w:r>
      <w:r w:rsidR="00DC1583" w:rsidRPr="000524D0">
        <w:rPr>
          <w:rFonts w:ascii="Palatino Linotype" w:eastAsiaTheme="minorHAnsi" w:hAnsi="Palatino Linotype" w:cs="Arial"/>
          <w:lang w:eastAsia="en-US"/>
        </w:rPr>
        <w:t xml:space="preserve"> cuyo contenido no se inserta por ser del conocim</w:t>
      </w:r>
      <w:r w:rsidR="00521A38" w:rsidRPr="000524D0">
        <w:rPr>
          <w:rFonts w:ascii="Palatino Linotype" w:eastAsiaTheme="minorHAnsi" w:hAnsi="Palatino Linotype" w:cs="Arial"/>
          <w:lang w:eastAsia="en-US"/>
        </w:rPr>
        <w:t>iento de las partes;</w:t>
      </w:r>
      <w:r w:rsidR="001D2DE0" w:rsidRPr="000524D0">
        <w:rPr>
          <w:rFonts w:ascii="Palatino Linotype" w:eastAsiaTheme="minorHAnsi" w:hAnsi="Palatino Linotype" w:cs="Arial"/>
          <w:lang w:eastAsia="en-US"/>
        </w:rPr>
        <w:t xml:space="preserve"> sin embargo, será</w:t>
      </w:r>
      <w:r w:rsidR="005F1F89" w:rsidRPr="000524D0">
        <w:rPr>
          <w:rFonts w:ascii="Palatino Linotype" w:eastAsiaTheme="minorHAnsi" w:hAnsi="Palatino Linotype" w:cs="Arial"/>
          <w:lang w:eastAsia="en-US"/>
        </w:rPr>
        <w:t>n</w:t>
      </w:r>
      <w:r w:rsidR="00DC1583" w:rsidRPr="000524D0">
        <w:rPr>
          <w:rFonts w:ascii="Palatino Linotype" w:eastAsiaTheme="minorHAnsi" w:hAnsi="Palatino Linotype" w:cs="Arial"/>
          <w:lang w:eastAsia="en-US"/>
        </w:rPr>
        <w:t xml:space="preserve"> motivo de estudio en el Considerado respectivo. </w:t>
      </w:r>
    </w:p>
    <w:p w14:paraId="44585203" w14:textId="77777777" w:rsidR="00EB1CAC" w:rsidRPr="000524D0" w:rsidRDefault="00EB1CAC" w:rsidP="004309A2">
      <w:pPr>
        <w:spacing w:line="360" w:lineRule="auto"/>
        <w:jc w:val="both"/>
        <w:rPr>
          <w:rFonts w:ascii="Palatino Linotype" w:hAnsi="Palatino Linotype"/>
          <w:szCs w:val="22"/>
        </w:rPr>
      </w:pPr>
    </w:p>
    <w:p w14:paraId="26BA9967" w14:textId="054D562C" w:rsidR="0029071C" w:rsidRPr="000524D0" w:rsidRDefault="00EC4D60" w:rsidP="0029071C">
      <w:pPr>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TERCERO.</w:t>
      </w:r>
      <w:r w:rsidR="0029071C" w:rsidRPr="000524D0">
        <w:rPr>
          <w:rFonts w:ascii="Palatino Linotype" w:eastAsiaTheme="minorHAnsi" w:hAnsi="Palatino Linotype" w:cs="Arial"/>
          <w:b/>
          <w:sz w:val="28"/>
          <w:lang w:eastAsia="en-US"/>
        </w:rPr>
        <w:t xml:space="preserve"> Del recurso de revisión.</w:t>
      </w:r>
    </w:p>
    <w:p w14:paraId="5F9BCEBF" w14:textId="6C3CF4ED" w:rsidR="00CC0B81" w:rsidRPr="000524D0" w:rsidRDefault="0029071C" w:rsidP="00CC0B81">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Inconforme con la respuesta por parte del </w:t>
      </w:r>
      <w:r w:rsidRPr="000524D0">
        <w:rPr>
          <w:rFonts w:ascii="Palatino Linotype" w:eastAsiaTheme="minorHAnsi" w:hAnsi="Palatino Linotype" w:cs="Arial"/>
          <w:b/>
          <w:lang w:eastAsia="en-US"/>
        </w:rPr>
        <w:t>Sujeto Obligado</w:t>
      </w:r>
      <w:r w:rsidRPr="000524D0">
        <w:rPr>
          <w:rFonts w:ascii="Palatino Linotype" w:eastAsiaTheme="minorHAnsi" w:hAnsi="Palatino Linotype" w:cs="Arial"/>
          <w:lang w:eastAsia="en-US"/>
        </w:rPr>
        <w:t xml:space="preserve">, </w:t>
      </w:r>
      <w:r w:rsidR="00E250C8" w:rsidRPr="000524D0">
        <w:rPr>
          <w:rFonts w:ascii="Palatino Linotype" w:eastAsiaTheme="minorHAnsi" w:hAnsi="Palatino Linotype" w:cs="Arial"/>
          <w:lang w:eastAsia="en-US"/>
        </w:rPr>
        <w:t>el</w:t>
      </w:r>
      <w:r w:rsidRPr="000524D0">
        <w:rPr>
          <w:rFonts w:ascii="Palatino Linotype" w:eastAsiaTheme="minorHAnsi" w:hAnsi="Palatino Linotype" w:cs="Arial"/>
          <w:lang w:eastAsia="en-US"/>
        </w:rPr>
        <w:t xml:space="preserve"> ahora </w:t>
      </w:r>
      <w:r w:rsidRPr="000524D0">
        <w:rPr>
          <w:rFonts w:ascii="Palatino Linotype" w:eastAsiaTheme="minorHAnsi" w:hAnsi="Palatino Linotype" w:cs="Arial"/>
          <w:b/>
          <w:lang w:eastAsia="en-US"/>
        </w:rPr>
        <w:t>Recurrente</w:t>
      </w:r>
      <w:r w:rsidRPr="000524D0">
        <w:rPr>
          <w:rFonts w:ascii="Palatino Linotype" w:eastAsiaTheme="minorHAnsi" w:hAnsi="Palatino Linotype" w:cs="Arial"/>
          <w:lang w:eastAsia="en-US"/>
        </w:rPr>
        <w:t xml:space="preserve"> interpuso el presente recurso de revisión en fecha </w:t>
      </w:r>
      <w:r w:rsidR="00505285" w:rsidRPr="000524D0">
        <w:rPr>
          <w:rFonts w:ascii="Palatino Linotype" w:eastAsiaTheme="minorHAnsi" w:hAnsi="Palatino Linotype" w:cs="Arial"/>
          <w:lang w:eastAsia="en-US"/>
        </w:rPr>
        <w:t>primero de agosto</w:t>
      </w:r>
      <w:r w:rsidR="005573EA" w:rsidRPr="000524D0">
        <w:rPr>
          <w:rFonts w:ascii="Palatino Linotype" w:eastAsiaTheme="minorHAnsi" w:hAnsi="Palatino Linotype" w:cs="Arial"/>
          <w:lang w:eastAsia="en-US"/>
        </w:rPr>
        <w:t xml:space="preserve"> de dos mil veinticinco</w:t>
      </w:r>
      <w:r w:rsidRPr="000524D0">
        <w:rPr>
          <w:rFonts w:ascii="Palatino Linotype" w:eastAsiaTheme="minorHAnsi" w:hAnsi="Palatino Linotype" w:cs="Arial"/>
          <w:lang w:eastAsia="en-US"/>
        </w:rPr>
        <w:t>, el cual fue registrado</w:t>
      </w:r>
      <w:r w:rsidRPr="000524D0">
        <w:rPr>
          <w:rFonts w:ascii="Palatino Linotype" w:eastAsiaTheme="minorHAnsi" w:hAnsi="Palatino Linotype" w:cs="Arial"/>
          <w:b/>
          <w:lang w:eastAsia="en-US"/>
        </w:rPr>
        <w:t xml:space="preserve"> </w:t>
      </w:r>
      <w:r w:rsidRPr="000524D0">
        <w:rPr>
          <w:rFonts w:ascii="Palatino Linotype" w:eastAsiaTheme="minorHAnsi" w:hAnsi="Palatino Linotype" w:cs="Arial"/>
          <w:lang w:eastAsia="en-US"/>
        </w:rPr>
        <w:t xml:space="preserve">en el sistema electrónico con el expediente número </w:t>
      </w:r>
      <w:r w:rsidR="00505285" w:rsidRPr="000524D0">
        <w:rPr>
          <w:rFonts w:ascii="Palatino Linotype" w:eastAsiaTheme="minorHAnsi" w:hAnsi="Palatino Linotype" w:cs="Arial"/>
          <w:b/>
          <w:bCs/>
        </w:rPr>
        <w:t>09115/INFOEM/IP/RR/2025</w:t>
      </w:r>
      <w:r w:rsidRPr="000524D0">
        <w:rPr>
          <w:rFonts w:ascii="Palatino Linotype" w:eastAsiaTheme="minorHAnsi" w:hAnsi="Palatino Linotype" w:cs="Arial"/>
          <w:lang w:eastAsia="en-US"/>
        </w:rPr>
        <w:t>, en el cual aduce, las siguientes manifestaciones:</w:t>
      </w:r>
    </w:p>
    <w:p w14:paraId="7757566A" w14:textId="77777777" w:rsidR="00676631" w:rsidRPr="000524D0" w:rsidRDefault="00676631" w:rsidP="00CC0B81">
      <w:pPr>
        <w:spacing w:line="360" w:lineRule="auto"/>
        <w:jc w:val="both"/>
        <w:rPr>
          <w:rFonts w:ascii="Palatino Linotype" w:eastAsiaTheme="minorHAnsi" w:hAnsi="Palatino Linotype" w:cs="Arial"/>
          <w:lang w:eastAsia="en-US"/>
        </w:rPr>
      </w:pPr>
    </w:p>
    <w:p w14:paraId="6C9B2953" w14:textId="6CDBAF46" w:rsidR="004309A2" w:rsidRPr="000524D0" w:rsidRDefault="0029071C" w:rsidP="00EC4D60">
      <w:pPr>
        <w:numPr>
          <w:ilvl w:val="0"/>
          <w:numId w:val="1"/>
        </w:numPr>
        <w:spacing w:line="259" w:lineRule="auto"/>
        <w:jc w:val="both"/>
        <w:rPr>
          <w:rFonts w:ascii="Palatino Linotype" w:hAnsi="Palatino Linotype" w:cs="Arial"/>
          <w:b/>
          <w:sz w:val="26"/>
          <w:szCs w:val="26"/>
        </w:rPr>
      </w:pPr>
      <w:r w:rsidRPr="000524D0">
        <w:rPr>
          <w:rFonts w:ascii="Palatino Linotype" w:hAnsi="Palatino Linotype" w:cs="Arial"/>
          <w:b/>
          <w:sz w:val="26"/>
          <w:szCs w:val="26"/>
        </w:rPr>
        <w:t>Acto Impugnado:</w:t>
      </w:r>
      <w:r w:rsidR="0003609F" w:rsidRPr="000524D0">
        <w:rPr>
          <w:rFonts w:ascii="Palatino Linotype" w:hAnsi="Palatino Linotype" w:cs="Arial"/>
          <w:b/>
          <w:sz w:val="26"/>
          <w:szCs w:val="26"/>
        </w:rPr>
        <w:t xml:space="preserve"> </w:t>
      </w:r>
      <w:r w:rsidRPr="000524D0">
        <w:rPr>
          <w:rFonts w:ascii="Palatino Linotype" w:eastAsiaTheme="minorHAnsi" w:hAnsi="Palatino Linotype" w:cstheme="minorBidi"/>
          <w:i/>
          <w:color w:val="000000"/>
          <w:sz w:val="22"/>
          <w:szCs w:val="22"/>
          <w:lang w:eastAsia="en-US"/>
        </w:rPr>
        <w:t>“</w:t>
      </w:r>
      <w:r w:rsidR="00505285" w:rsidRPr="000524D0">
        <w:rPr>
          <w:rFonts w:ascii="Palatino Linotype" w:eastAsiaTheme="minorHAnsi" w:hAnsi="Palatino Linotype" w:cstheme="minorBidi"/>
          <w:i/>
          <w:color w:val="000000"/>
          <w:sz w:val="22"/>
          <w:szCs w:val="22"/>
          <w:lang w:eastAsia="en-US"/>
        </w:rPr>
        <w:t>No entrega la información solicitada</w:t>
      </w:r>
      <w:r w:rsidRPr="000524D0">
        <w:rPr>
          <w:rFonts w:ascii="Palatino Linotype" w:eastAsiaTheme="minorHAnsi" w:hAnsi="Palatino Linotype" w:cstheme="minorBidi"/>
          <w:i/>
          <w:color w:val="000000"/>
          <w:sz w:val="22"/>
          <w:szCs w:val="22"/>
          <w:lang w:eastAsia="en-US"/>
        </w:rPr>
        <w:t>” (Sic).</w:t>
      </w:r>
    </w:p>
    <w:p w14:paraId="178D4912" w14:textId="77777777" w:rsidR="00521A38" w:rsidRPr="000524D0" w:rsidRDefault="00521A38" w:rsidP="00521A38">
      <w:pPr>
        <w:spacing w:line="259" w:lineRule="auto"/>
        <w:ind w:left="720"/>
        <w:jc w:val="both"/>
        <w:rPr>
          <w:rFonts w:ascii="Palatino Linotype" w:hAnsi="Palatino Linotype" w:cs="Arial"/>
          <w:b/>
          <w:sz w:val="26"/>
          <w:szCs w:val="26"/>
        </w:rPr>
      </w:pPr>
    </w:p>
    <w:p w14:paraId="03467F7F" w14:textId="15E6C538" w:rsidR="005573EA" w:rsidRPr="000524D0" w:rsidRDefault="0029071C" w:rsidP="005573EA">
      <w:pPr>
        <w:numPr>
          <w:ilvl w:val="0"/>
          <w:numId w:val="1"/>
        </w:numPr>
        <w:spacing w:line="259" w:lineRule="auto"/>
        <w:jc w:val="both"/>
        <w:rPr>
          <w:rFonts w:ascii="Palatino Linotype" w:hAnsi="Palatino Linotype" w:cs="Arial"/>
          <w:b/>
          <w:sz w:val="26"/>
          <w:szCs w:val="26"/>
        </w:rPr>
      </w:pPr>
      <w:r w:rsidRPr="000524D0">
        <w:rPr>
          <w:rFonts w:ascii="Palatino Linotype" w:hAnsi="Palatino Linotype" w:cs="Arial"/>
          <w:b/>
          <w:sz w:val="26"/>
          <w:szCs w:val="26"/>
        </w:rPr>
        <w:t>Razones o Motivos de Inconformidad</w:t>
      </w:r>
      <w:r w:rsidR="0003609F" w:rsidRPr="000524D0">
        <w:rPr>
          <w:rFonts w:ascii="Palatino Linotype" w:hAnsi="Palatino Linotype" w:cs="Arial"/>
          <w:sz w:val="26"/>
          <w:szCs w:val="26"/>
        </w:rPr>
        <w:t xml:space="preserve">: </w:t>
      </w:r>
      <w:r w:rsidR="005573EA" w:rsidRPr="000524D0">
        <w:rPr>
          <w:rFonts w:ascii="Palatino Linotype" w:eastAsiaTheme="minorHAnsi" w:hAnsi="Palatino Linotype" w:cstheme="minorBidi"/>
          <w:i/>
          <w:color w:val="000000"/>
          <w:sz w:val="22"/>
          <w:szCs w:val="22"/>
          <w:lang w:eastAsia="en-US"/>
        </w:rPr>
        <w:t>“</w:t>
      </w:r>
      <w:r w:rsidR="00505285" w:rsidRPr="000524D0">
        <w:rPr>
          <w:rFonts w:ascii="Palatino Linotype" w:eastAsiaTheme="minorHAnsi" w:hAnsi="Palatino Linotype" w:cstheme="minorBidi"/>
          <w:i/>
          <w:color w:val="000000"/>
          <w:sz w:val="22"/>
          <w:szCs w:val="22"/>
          <w:lang w:eastAsia="en-US"/>
        </w:rPr>
        <w:t>No entrega la información solicitada</w:t>
      </w:r>
      <w:r w:rsidR="005573EA" w:rsidRPr="000524D0">
        <w:rPr>
          <w:rFonts w:ascii="Palatino Linotype" w:eastAsiaTheme="minorHAnsi" w:hAnsi="Palatino Linotype" w:cstheme="minorBidi"/>
          <w:i/>
          <w:color w:val="000000"/>
          <w:sz w:val="22"/>
          <w:szCs w:val="22"/>
          <w:lang w:eastAsia="en-US"/>
        </w:rPr>
        <w:t>” (Sic).</w:t>
      </w:r>
    </w:p>
    <w:p w14:paraId="1F65B786" w14:textId="77777777" w:rsidR="00505285" w:rsidRPr="000524D0" w:rsidRDefault="00505285" w:rsidP="0029071C">
      <w:pPr>
        <w:spacing w:line="360" w:lineRule="auto"/>
        <w:jc w:val="both"/>
        <w:rPr>
          <w:rFonts w:ascii="Palatino Linotype" w:eastAsiaTheme="minorHAnsi" w:hAnsi="Palatino Linotype" w:cs="Arial"/>
          <w:b/>
          <w:lang w:eastAsia="en-US"/>
        </w:rPr>
      </w:pPr>
    </w:p>
    <w:p w14:paraId="26030704" w14:textId="385CF4D9" w:rsidR="0029071C" w:rsidRPr="000524D0" w:rsidRDefault="00EC4D60" w:rsidP="0029071C">
      <w:pPr>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CUAR</w:t>
      </w:r>
      <w:r w:rsidR="00B250D7" w:rsidRPr="000524D0">
        <w:rPr>
          <w:rFonts w:ascii="Palatino Linotype" w:eastAsiaTheme="minorHAnsi" w:hAnsi="Palatino Linotype" w:cs="Arial"/>
          <w:b/>
          <w:sz w:val="28"/>
          <w:lang w:eastAsia="en-US"/>
        </w:rPr>
        <w:t>T</w:t>
      </w:r>
      <w:r w:rsidR="0029071C" w:rsidRPr="000524D0">
        <w:rPr>
          <w:rFonts w:ascii="Palatino Linotype" w:eastAsiaTheme="minorHAnsi" w:hAnsi="Palatino Linotype" w:cs="Arial"/>
          <w:b/>
          <w:sz w:val="28"/>
          <w:lang w:eastAsia="en-US"/>
        </w:rPr>
        <w:t>O. Del turno del recurso de revisión.</w:t>
      </w:r>
    </w:p>
    <w:p w14:paraId="5D30F2C0" w14:textId="1BEA7DEF" w:rsidR="00B250D7" w:rsidRPr="000524D0" w:rsidRDefault="0029071C" w:rsidP="00DC1583">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Medio de impugnación </w:t>
      </w:r>
      <w:r w:rsidR="00E74701" w:rsidRPr="000524D0">
        <w:rPr>
          <w:rFonts w:ascii="Palatino Linotype" w:eastAsiaTheme="minorHAnsi" w:hAnsi="Palatino Linotype" w:cs="Arial"/>
          <w:lang w:eastAsia="en-US"/>
        </w:rPr>
        <w:t>que le fue turnado al</w:t>
      </w:r>
      <w:r w:rsidRPr="000524D0">
        <w:rPr>
          <w:rFonts w:ascii="Palatino Linotype" w:eastAsiaTheme="minorHAnsi" w:hAnsi="Palatino Linotype" w:cs="Arial"/>
          <w:lang w:eastAsia="en-US"/>
        </w:rPr>
        <w:t xml:space="preserve"> </w:t>
      </w:r>
      <w:r w:rsidR="00E74701" w:rsidRPr="000524D0">
        <w:rPr>
          <w:rFonts w:ascii="Palatino Linotype" w:eastAsiaTheme="minorHAnsi" w:hAnsi="Palatino Linotype" w:cs="Arial"/>
          <w:lang w:eastAsia="en-US"/>
        </w:rPr>
        <w:t>Comisionado Presidente</w:t>
      </w:r>
      <w:r w:rsidRPr="000524D0">
        <w:rPr>
          <w:rFonts w:ascii="Palatino Linotype" w:eastAsiaTheme="minorHAnsi" w:hAnsi="Palatino Linotype" w:cs="Arial"/>
          <w:lang w:eastAsia="en-US"/>
        </w:rPr>
        <w:t xml:space="preserve"> </w:t>
      </w:r>
      <w:r w:rsidR="00E74701" w:rsidRPr="000524D0">
        <w:rPr>
          <w:rFonts w:ascii="Palatino Linotype" w:eastAsiaTheme="minorHAnsi" w:hAnsi="Palatino Linotype" w:cs="Arial"/>
          <w:b/>
          <w:lang w:eastAsia="en-US"/>
        </w:rPr>
        <w:t>José Martínez Vilchis</w:t>
      </w:r>
      <w:r w:rsidRPr="000524D0">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05285" w:rsidRPr="000524D0">
        <w:rPr>
          <w:rFonts w:ascii="Palatino Linotype" w:eastAsiaTheme="minorHAnsi" w:hAnsi="Palatino Linotype" w:cs="Arial"/>
          <w:lang w:eastAsia="en-US"/>
        </w:rPr>
        <w:t>ocho de agosto</w:t>
      </w:r>
      <w:r w:rsidR="008D4F13" w:rsidRPr="000524D0">
        <w:rPr>
          <w:rFonts w:ascii="Palatino Linotype" w:eastAsiaTheme="minorHAnsi" w:hAnsi="Palatino Linotype" w:cs="Arial"/>
          <w:lang w:eastAsia="en-US"/>
        </w:rPr>
        <w:t xml:space="preserve"> de dos mil </w:t>
      </w:r>
      <w:r w:rsidR="005573EA" w:rsidRPr="000524D0">
        <w:rPr>
          <w:rFonts w:ascii="Palatino Linotype" w:eastAsiaTheme="minorHAnsi" w:hAnsi="Palatino Linotype" w:cs="Arial"/>
          <w:lang w:eastAsia="en-US"/>
        </w:rPr>
        <w:t>veinticinco</w:t>
      </w:r>
      <w:r w:rsidRPr="000524D0">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0524D0"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0524D0" w:rsidRDefault="00EC4D60" w:rsidP="0029071C">
      <w:pPr>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QUIN</w:t>
      </w:r>
      <w:r w:rsidR="00B250D7" w:rsidRPr="000524D0">
        <w:rPr>
          <w:rFonts w:ascii="Palatino Linotype" w:eastAsiaTheme="minorHAnsi" w:hAnsi="Palatino Linotype" w:cs="Arial"/>
          <w:b/>
          <w:sz w:val="28"/>
          <w:lang w:eastAsia="en-US"/>
        </w:rPr>
        <w:t>T</w:t>
      </w:r>
      <w:r w:rsidR="0029071C" w:rsidRPr="000524D0">
        <w:rPr>
          <w:rFonts w:ascii="Palatino Linotype" w:eastAsiaTheme="minorHAnsi" w:hAnsi="Palatino Linotype" w:cs="Arial"/>
          <w:b/>
          <w:sz w:val="28"/>
          <w:lang w:eastAsia="en-US"/>
        </w:rPr>
        <w:t>O. De la etapa de manifestaciones y/o alegatos.</w:t>
      </w:r>
    </w:p>
    <w:p w14:paraId="4BA40F48" w14:textId="76419046" w:rsidR="00EB1CAC" w:rsidRPr="000524D0" w:rsidRDefault="00937118" w:rsidP="00937118">
      <w:pPr>
        <w:spacing w:after="160" w:line="360" w:lineRule="auto"/>
        <w:jc w:val="both"/>
        <w:rPr>
          <w:rFonts w:ascii="Palatino Linotype" w:eastAsiaTheme="minorHAnsi" w:hAnsi="Palatino Linotype" w:cs="Arial"/>
          <w:sz w:val="22"/>
          <w:szCs w:val="22"/>
          <w:lang w:val="es-MX" w:eastAsia="en-US"/>
        </w:rPr>
      </w:pPr>
      <w:r w:rsidRPr="000524D0">
        <w:rPr>
          <w:rFonts w:ascii="Palatino Linotype" w:eastAsiaTheme="minorHAnsi" w:hAnsi="Palatino Linotype" w:cs="Arial"/>
          <w:lang w:val="es-MX" w:eastAsia="en-US"/>
        </w:rPr>
        <w:t xml:space="preserve">Una vez transcurrido el término legal referido se destaca que, en fecha </w:t>
      </w:r>
      <w:r w:rsidR="00505285" w:rsidRPr="000524D0">
        <w:rPr>
          <w:rFonts w:ascii="Palatino Linotype" w:eastAsiaTheme="minorHAnsi" w:hAnsi="Palatino Linotype" w:cs="Arial"/>
          <w:lang w:eastAsia="en-US"/>
        </w:rPr>
        <w:t>diecinueve de agosto</w:t>
      </w:r>
      <w:r w:rsidRPr="000524D0">
        <w:rPr>
          <w:rFonts w:ascii="Palatino Linotype" w:eastAsiaTheme="minorHAnsi" w:hAnsi="Palatino Linotype" w:cs="Arial"/>
          <w:lang w:eastAsia="en-US"/>
        </w:rPr>
        <w:t xml:space="preserve"> de dos mil veinticinco</w:t>
      </w:r>
      <w:r w:rsidRPr="000524D0">
        <w:rPr>
          <w:rFonts w:ascii="Palatino Linotype" w:eastAsiaTheme="minorHAnsi" w:hAnsi="Palatino Linotype" w:cs="Arial"/>
          <w:lang w:val="es-MX" w:eastAsia="en-US"/>
        </w:rPr>
        <w:t xml:space="preserve">, </w:t>
      </w:r>
      <w:r w:rsidRPr="000524D0">
        <w:rPr>
          <w:rFonts w:ascii="Palatino Linotype" w:eastAsiaTheme="minorHAnsi" w:hAnsi="Palatino Linotype" w:cs="Arial"/>
          <w:b/>
          <w:lang w:val="es-MX" w:eastAsia="en-US"/>
        </w:rPr>
        <w:t>El Sujeto Obligado</w:t>
      </w:r>
      <w:r w:rsidRPr="000524D0">
        <w:rPr>
          <w:rFonts w:ascii="Palatino Linotype" w:eastAsiaTheme="minorHAnsi" w:hAnsi="Palatino Linotype" w:cs="Arial"/>
          <w:lang w:val="es-MX" w:eastAsia="en-US"/>
        </w:rPr>
        <w:t xml:space="preserve"> rindió su informe justificado mediante los archivos electrónicos denominados </w:t>
      </w:r>
      <w:r w:rsidRPr="000524D0">
        <w:rPr>
          <w:rFonts w:ascii="Palatino Linotype" w:eastAsiaTheme="minorHAnsi" w:hAnsi="Palatino Linotype" w:cs="Arial"/>
          <w:i/>
          <w:lang w:val="es-MX" w:eastAsia="en-US"/>
        </w:rPr>
        <w:t>“</w:t>
      </w:r>
      <w:r w:rsidR="00505285" w:rsidRPr="000524D0">
        <w:rPr>
          <w:rFonts w:ascii="Palatino Linotype" w:eastAsiaTheme="minorHAnsi" w:hAnsi="Palatino Linotype" w:cs="Arial"/>
          <w:b/>
          <w:bCs/>
          <w:i/>
          <w:lang w:eastAsia="en-US"/>
        </w:rPr>
        <w:t>ANEXOS 9115-2025.pdf</w:t>
      </w:r>
      <w:r w:rsidRPr="000524D0">
        <w:rPr>
          <w:rFonts w:ascii="Palatino Linotype" w:eastAsiaTheme="minorHAnsi" w:hAnsi="Palatino Linotype" w:cs="Arial"/>
          <w:i/>
          <w:lang w:val="es-MX" w:eastAsia="en-US"/>
        </w:rPr>
        <w:t>”</w:t>
      </w:r>
      <w:r w:rsidR="00505285" w:rsidRPr="000524D0">
        <w:rPr>
          <w:rFonts w:ascii="Palatino Linotype" w:eastAsiaTheme="minorHAnsi" w:hAnsi="Palatino Linotype" w:cs="Arial"/>
          <w:i/>
          <w:lang w:val="es-MX" w:eastAsia="en-US"/>
        </w:rPr>
        <w:t>, “</w:t>
      </w:r>
      <w:proofErr w:type="spellStart"/>
      <w:r w:rsidR="00505285" w:rsidRPr="000524D0">
        <w:rPr>
          <w:rFonts w:ascii="Palatino Linotype" w:eastAsiaTheme="minorHAnsi" w:hAnsi="Palatino Linotype" w:cs="Arial"/>
          <w:b/>
          <w:bCs/>
          <w:i/>
          <w:lang w:val="es-MX" w:eastAsia="en-US"/>
        </w:rPr>
        <w:t>Ratificacion</w:t>
      </w:r>
      <w:proofErr w:type="spellEnd"/>
      <w:r w:rsidR="00505285" w:rsidRPr="000524D0">
        <w:rPr>
          <w:rFonts w:ascii="Palatino Linotype" w:eastAsiaTheme="minorHAnsi" w:hAnsi="Palatino Linotype" w:cs="Arial"/>
          <w:b/>
          <w:bCs/>
          <w:i/>
          <w:lang w:val="es-MX" w:eastAsia="en-US"/>
        </w:rPr>
        <w:t xml:space="preserve"> 9115 2025.pdf</w:t>
      </w:r>
      <w:r w:rsidR="00505285" w:rsidRPr="000524D0">
        <w:rPr>
          <w:rFonts w:ascii="Palatino Linotype" w:eastAsiaTheme="minorHAnsi" w:hAnsi="Palatino Linotype" w:cs="Arial"/>
          <w:i/>
          <w:lang w:val="es-MX" w:eastAsia="en-US"/>
        </w:rPr>
        <w:t>”</w:t>
      </w:r>
      <w:r w:rsidRPr="000524D0">
        <w:rPr>
          <w:rFonts w:ascii="Palatino Linotype" w:eastAsiaTheme="minorHAnsi" w:hAnsi="Palatino Linotype" w:cs="Arial"/>
          <w:i/>
          <w:lang w:val="es-MX" w:eastAsia="en-US"/>
        </w:rPr>
        <w:t xml:space="preserve"> </w:t>
      </w:r>
      <w:r w:rsidRPr="000524D0">
        <w:rPr>
          <w:rFonts w:ascii="Palatino Linotype" w:eastAsiaTheme="minorHAnsi" w:hAnsi="Palatino Linotype" w:cs="Arial"/>
          <w:iCs/>
          <w:lang w:val="es-MX" w:eastAsia="en-US"/>
        </w:rPr>
        <w:t>y</w:t>
      </w:r>
      <w:r w:rsidRPr="000524D0">
        <w:rPr>
          <w:rFonts w:ascii="Palatino Linotype" w:eastAsiaTheme="minorHAnsi" w:hAnsi="Palatino Linotype" w:cs="Arial"/>
          <w:i/>
          <w:lang w:val="es-MX" w:eastAsia="en-US"/>
        </w:rPr>
        <w:t xml:space="preserve"> “</w:t>
      </w:r>
      <w:r w:rsidR="00505285" w:rsidRPr="000524D0">
        <w:rPr>
          <w:rFonts w:ascii="Palatino Linotype" w:eastAsiaTheme="minorHAnsi" w:hAnsi="Palatino Linotype" w:cs="Arial"/>
          <w:b/>
          <w:bCs/>
          <w:i/>
          <w:lang w:val="es-MX" w:eastAsia="en-US"/>
        </w:rPr>
        <w:t>R.R. 09115_25.pdf</w:t>
      </w:r>
      <w:r w:rsidRPr="000524D0">
        <w:rPr>
          <w:rFonts w:ascii="Palatino Linotype" w:eastAsiaTheme="minorHAnsi" w:hAnsi="Palatino Linotype" w:cs="Arial"/>
          <w:i/>
          <w:lang w:val="es-MX" w:eastAsia="en-US"/>
        </w:rPr>
        <w:t>”</w:t>
      </w:r>
      <w:r w:rsidRPr="000524D0">
        <w:rPr>
          <w:rFonts w:ascii="Palatino Linotype" w:eastAsiaTheme="minorHAnsi" w:hAnsi="Palatino Linotype" w:cs="Arial"/>
          <w:lang w:val="es-MX" w:eastAsia="en-US"/>
        </w:rPr>
        <w:t xml:space="preserve">, mismo que fue puesto a la vista del particular mediante Acuerdo de fecha </w:t>
      </w:r>
      <w:r w:rsidR="00505285" w:rsidRPr="000524D0">
        <w:rPr>
          <w:rFonts w:ascii="Palatino Linotype" w:eastAsiaTheme="minorHAnsi" w:hAnsi="Palatino Linotype" w:cs="Arial"/>
          <w:lang w:eastAsia="en-US"/>
        </w:rPr>
        <w:t>dieciséis de octubre</w:t>
      </w:r>
      <w:r w:rsidRPr="000524D0">
        <w:rPr>
          <w:rFonts w:ascii="Palatino Linotype" w:eastAsiaTheme="minorHAnsi" w:hAnsi="Palatino Linotype" w:cs="Arial"/>
          <w:lang w:eastAsia="en-US"/>
        </w:rPr>
        <w:t xml:space="preserve"> de dos mil veinticinco</w:t>
      </w:r>
      <w:r w:rsidRPr="000524D0">
        <w:rPr>
          <w:rFonts w:ascii="Palatino Linotype" w:eastAsiaTheme="minorHAnsi" w:hAnsi="Palatino Linotype" w:cs="Arial"/>
          <w:lang w:val="es-MX" w:eastAsia="en-US"/>
        </w:rPr>
        <w:t xml:space="preserve">; asimismo, se aprecia que el </w:t>
      </w:r>
      <w:r w:rsidRPr="000524D0">
        <w:rPr>
          <w:rFonts w:ascii="Palatino Linotype" w:eastAsiaTheme="minorHAnsi" w:hAnsi="Palatino Linotype" w:cs="Arial"/>
          <w:b/>
          <w:lang w:val="es-MX" w:eastAsia="en-US"/>
        </w:rPr>
        <w:t>Recurrente</w:t>
      </w:r>
      <w:r w:rsidRPr="000524D0">
        <w:rPr>
          <w:rFonts w:ascii="Palatino Linotype" w:eastAsiaTheme="minorHAnsi" w:hAnsi="Palatino Linotype" w:cs="Arial"/>
          <w:lang w:val="es-MX" w:eastAsia="en-US"/>
        </w:rPr>
        <w:t xml:space="preserve"> no realizó alegatos, ni ofreció pruebas o manifestaciones</w:t>
      </w:r>
      <w:r w:rsidRPr="000524D0">
        <w:rPr>
          <w:rFonts w:ascii="Palatino Linotype" w:eastAsiaTheme="minorHAnsi" w:hAnsi="Palatino Linotype" w:cs="Arial"/>
          <w:sz w:val="22"/>
          <w:szCs w:val="22"/>
          <w:lang w:eastAsia="en-US"/>
        </w:rPr>
        <w:t>.</w:t>
      </w:r>
    </w:p>
    <w:p w14:paraId="7C2D0257" w14:textId="77777777" w:rsidR="004D2536" w:rsidRPr="000524D0"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0524D0" w:rsidRDefault="00EC4D60" w:rsidP="0029071C">
      <w:pPr>
        <w:tabs>
          <w:tab w:val="left" w:pos="3206"/>
        </w:tabs>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SEXT</w:t>
      </w:r>
      <w:r w:rsidR="0029071C" w:rsidRPr="000524D0">
        <w:rPr>
          <w:rFonts w:ascii="Palatino Linotype" w:eastAsiaTheme="minorHAnsi" w:hAnsi="Palatino Linotype" w:cs="Arial"/>
          <w:b/>
          <w:sz w:val="28"/>
          <w:lang w:eastAsia="en-US"/>
        </w:rPr>
        <w:t>O. Del cierre de instrucción.</w:t>
      </w:r>
      <w:r w:rsidR="0029071C" w:rsidRPr="000524D0">
        <w:rPr>
          <w:rFonts w:ascii="Palatino Linotype" w:eastAsiaTheme="minorHAnsi" w:hAnsi="Palatino Linotype" w:cs="Arial"/>
          <w:b/>
          <w:sz w:val="28"/>
          <w:lang w:eastAsia="en-US"/>
        </w:rPr>
        <w:tab/>
      </w:r>
    </w:p>
    <w:p w14:paraId="6AB435C8" w14:textId="787160DE" w:rsidR="0029071C" w:rsidRPr="000524D0" w:rsidRDefault="0029071C" w:rsidP="0029071C">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Así, una vez transcurrido el término legal, </w:t>
      </w:r>
      <w:r w:rsidR="00DC1583" w:rsidRPr="000524D0">
        <w:rPr>
          <w:rFonts w:ascii="Palatino Linotype" w:eastAsiaTheme="minorHAnsi" w:hAnsi="Palatino Linotype" w:cs="Arial"/>
          <w:lang w:eastAsia="en-US"/>
        </w:rPr>
        <w:t>permitió decretarse</w:t>
      </w:r>
      <w:r w:rsidRPr="000524D0">
        <w:rPr>
          <w:rFonts w:ascii="Palatino Linotype" w:eastAsiaTheme="minorHAnsi" w:hAnsi="Palatino Linotype" w:cs="Arial"/>
          <w:lang w:eastAsia="en-US"/>
        </w:rPr>
        <w:t xml:space="preserve"> el cierre de instrucción en fecha </w:t>
      </w:r>
      <w:r w:rsidR="00C23327" w:rsidRPr="000524D0">
        <w:rPr>
          <w:rFonts w:ascii="Palatino Linotype" w:eastAsiaTheme="minorHAnsi" w:hAnsi="Palatino Linotype" w:cs="Arial"/>
          <w:lang w:eastAsia="en-US"/>
        </w:rPr>
        <w:t>veintitrés</w:t>
      </w:r>
      <w:r w:rsidR="000040D5" w:rsidRPr="000524D0">
        <w:rPr>
          <w:rFonts w:ascii="Palatino Linotype" w:eastAsiaTheme="minorHAnsi" w:hAnsi="Palatino Linotype" w:cs="Arial"/>
          <w:lang w:eastAsia="en-US"/>
        </w:rPr>
        <w:t xml:space="preserve"> de octubre</w:t>
      </w:r>
      <w:r w:rsidR="00AF0D52" w:rsidRPr="000524D0">
        <w:rPr>
          <w:rFonts w:ascii="Palatino Linotype" w:eastAsiaTheme="minorHAnsi" w:hAnsi="Palatino Linotype" w:cs="Arial"/>
          <w:lang w:eastAsia="en-US"/>
        </w:rPr>
        <w:t xml:space="preserve"> de dos mil veinticinco</w:t>
      </w:r>
      <w:r w:rsidRPr="000524D0">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0524D0"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0524D0"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0524D0">
        <w:rPr>
          <w:rFonts w:ascii="Palatino Linotype" w:hAnsi="Palatino Linotype"/>
          <w:b/>
          <w:sz w:val="28"/>
          <w:szCs w:val="28"/>
        </w:rPr>
        <w:lastRenderedPageBreak/>
        <w:t>SÉPTIMO. De la ampliación del término para resolver.</w:t>
      </w:r>
    </w:p>
    <w:p w14:paraId="374E43E1" w14:textId="712A9F11" w:rsidR="00EB1CAC" w:rsidRPr="000524D0" w:rsidRDefault="00EB1CAC" w:rsidP="00EB1CAC">
      <w:pPr>
        <w:spacing w:line="360" w:lineRule="auto"/>
        <w:jc w:val="both"/>
        <w:rPr>
          <w:rFonts w:ascii="Palatino Linotype" w:hAnsi="Palatino Linotype"/>
        </w:rPr>
      </w:pPr>
      <w:r w:rsidRPr="000524D0">
        <w:rPr>
          <w:rFonts w:ascii="Palatino Linotype" w:hAnsi="Palatino Linotype"/>
        </w:rPr>
        <w:t xml:space="preserve">En fecha </w:t>
      </w:r>
      <w:r w:rsidR="00505285" w:rsidRPr="000524D0">
        <w:rPr>
          <w:rFonts w:ascii="Palatino Linotype" w:hAnsi="Palatino Linotype"/>
        </w:rPr>
        <w:t>dieciséis de octubre</w:t>
      </w:r>
      <w:r w:rsidR="00937118" w:rsidRPr="000524D0">
        <w:rPr>
          <w:rFonts w:ascii="Palatino Linotype" w:hAnsi="Palatino Linotype"/>
        </w:rPr>
        <w:t xml:space="preserve"> </w:t>
      </w:r>
      <w:r w:rsidRPr="000524D0">
        <w:rPr>
          <w:rFonts w:ascii="Palatino Linotype" w:hAnsi="Palatino Linotype"/>
        </w:rPr>
        <w:t>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0524D0"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0524D0"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0524D0" w:rsidRDefault="00E74701" w:rsidP="00D57F74">
      <w:pPr>
        <w:spacing w:line="360" w:lineRule="auto"/>
        <w:jc w:val="center"/>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C O N S I D E R A N</w:t>
      </w:r>
      <w:r w:rsidR="00D57F74" w:rsidRPr="000524D0">
        <w:rPr>
          <w:rFonts w:ascii="Palatino Linotype" w:eastAsiaTheme="minorHAnsi" w:hAnsi="Palatino Linotype" w:cs="Arial"/>
          <w:b/>
          <w:sz w:val="28"/>
          <w:lang w:eastAsia="en-US"/>
        </w:rPr>
        <w:t xml:space="preserve"> D O </w:t>
      </w:r>
    </w:p>
    <w:p w14:paraId="533BE65E" w14:textId="77777777" w:rsidR="00D57F74" w:rsidRPr="000524D0"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0524D0" w:rsidRDefault="0029071C" w:rsidP="0029071C">
      <w:pPr>
        <w:spacing w:line="360" w:lineRule="auto"/>
        <w:jc w:val="both"/>
        <w:rPr>
          <w:rFonts w:ascii="Palatino Linotype" w:eastAsiaTheme="minorHAnsi" w:hAnsi="Palatino Linotype" w:cs="Arial"/>
          <w:sz w:val="28"/>
          <w:lang w:eastAsia="en-US"/>
        </w:rPr>
      </w:pPr>
      <w:r w:rsidRPr="000524D0">
        <w:rPr>
          <w:rFonts w:ascii="Palatino Linotype" w:eastAsiaTheme="minorHAnsi" w:hAnsi="Palatino Linotype" w:cs="Arial"/>
          <w:b/>
          <w:sz w:val="28"/>
          <w:lang w:eastAsia="en-US"/>
        </w:rPr>
        <w:t>PRIMERO. De la competencia</w:t>
      </w:r>
      <w:r w:rsidRPr="000524D0">
        <w:rPr>
          <w:rFonts w:ascii="Palatino Linotype" w:eastAsiaTheme="minorHAnsi" w:hAnsi="Palatino Linotype" w:cs="Arial"/>
          <w:sz w:val="28"/>
          <w:lang w:eastAsia="en-US"/>
        </w:rPr>
        <w:t>.</w:t>
      </w:r>
    </w:p>
    <w:p w14:paraId="20CC7EC4" w14:textId="63036E43" w:rsidR="00761AC9" w:rsidRPr="000524D0" w:rsidRDefault="000040D5" w:rsidP="00CC0B81">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0524D0"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0524D0"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 xml:space="preserve">SEGUNDO. De los alcances del Recurso de Revisión. </w:t>
      </w:r>
    </w:p>
    <w:p w14:paraId="7D349485" w14:textId="3DE76849" w:rsidR="00995B19" w:rsidRPr="000524D0"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0524D0">
        <w:rPr>
          <w:rFonts w:ascii="Palatino Linotype" w:eastAsiaTheme="minorHAnsi" w:hAnsi="Palatino Linotype" w:cs="Arial"/>
          <w:lang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0524D0"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0524D0"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0524D0">
        <w:rPr>
          <w:rFonts w:ascii="Palatino Linotype" w:eastAsia="Palatino Linotype" w:hAnsi="Palatino Linotype" w:cs="Palatino Linotype"/>
          <w:b/>
          <w:color w:val="000000"/>
          <w:sz w:val="28"/>
          <w:szCs w:val="28"/>
        </w:rPr>
        <w:t>TERCERO. Cuestiones de previo y especial pronunciamiento.</w:t>
      </w:r>
    </w:p>
    <w:p w14:paraId="10147F0B" w14:textId="77777777" w:rsidR="00937118" w:rsidRPr="000524D0" w:rsidRDefault="00937118" w:rsidP="00937118">
      <w:pPr>
        <w:spacing w:line="360" w:lineRule="auto"/>
        <w:jc w:val="both"/>
        <w:rPr>
          <w:rFonts w:ascii="Palatino Linotype" w:eastAsiaTheme="minorHAnsi" w:hAnsi="Palatino Linotype" w:cs="Palatino Linotype"/>
        </w:rPr>
      </w:pPr>
      <w:r w:rsidRPr="000524D0">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D5A8C81" w14:textId="77777777" w:rsidR="00937118" w:rsidRPr="000524D0" w:rsidRDefault="00937118" w:rsidP="00937118">
      <w:pPr>
        <w:spacing w:after="160" w:line="360" w:lineRule="auto"/>
        <w:contextualSpacing/>
        <w:jc w:val="both"/>
        <w:rPr>
          <w:rFonts w:ascii="Palatino Linotype" w:eastAsiaTheme="minorHAnsi" w:hAnsi="Palatino Linotype" w:cs="Palatino Linotype"/>
          <w:sz w:val="22"/>
          <w:szCs w:val="22"/>
          <w:lang w:eastAsia="en-US"/>
        </w:rPr>
      </w:pPr>
      <w:bookmarkStart w:id="0" w:name="_GoBack"/>
      <w:bookmarkEnd w:id="0"/>
    </w:p>
    <w:p w14:paraId="15CD23F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 xml:space="preserve">Artículo 180. </w:t>
      </w:r>
      <w:r w:rsidRPr="000524D0">
        <w:rPr>
          <w:rFonts w:ascii="Palatino Linotype" w:eastAsiaTheme="minorHAnsi" w:hAnsi="Palatino Linotype" w:cs="Palatino Linotype"/>
          <w:i/>
          <w:sz w:val="22"/>
          <w:szCs w:val="22"/>
          <w:lang w:eastAsia="en-US"/>
        </w:rPr>
        <w:t>El recurso de revisión contendrá:</w:t>
      </w:r>
    </w:p>
    <w:p w14:paraId="79E9217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FB63D5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I. El sujeto obligado ante la cual se presentó la solicitud;</w:t>
      </w:r>
    </w:p>
    <w:p w14:paraId="0D5CA59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II. El nombre del solicitante que recurre</w:t>
      </w:r>
      <w:r w:rsidRPr="000524D0">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3649BAD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III. El número de folio de respuesta de la solicitud de acceso;</w:t>
      </w:r>
    </w:p>
    <w:p w14:paraId="4590D4C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603F522C"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V. El acto que se recurre;</w:t>
      </w:r>
    </w:p>
    <w:p w14:paraId="78403C3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VI. Las razones o motivos de inconformidad;</w:t>
      </w:r>
    </w:p>
    <w:p w14:paraId="53523EAD"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53B5E1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2194AF9C"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021A9B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0677EA1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15BE7FE"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En ningún caso será necesario que el particular ratifique el recurso de revisión interpuesto.</w:t>
      </w:r>
    </w:p>
    <w:p w14:paraId="7DDFD63C"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F2AA94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0524D0">
        <w:rPr>
          <w:rFonts w:ascii="Palatino Linotype" w:eastAsiaTheme="minorHAnsi" w:hAnsi="Palatino Linotype" w:cs="Palatino Linotype"/>
          <w:i/>
          <w:iCs/>
          <w:sz w:val="22"/>
          <w:szCs w:val="22"/>
          <w:lang w:eastAsia="en-US"/>
        </w:rPr>
        <w:t>, IV, VII y VIII.</w:t>
      </w:r>
    </w:p>
    <w:p w14:paraId="72AC7E13" w14:textId="77777777" w:rsidR="00937118" w:rsidRPr="000524D0" w:rsidRDefault="00937118" w:rsidP="00937118">
      <w:pPr>
        <w:spacing w:after="160" w:line="360" w:lineRule="auto"/>
        <w:contextualSpacing/>
        <w:jc w:val="both"/>
        <w:rPr>
          <w:rFonts w:ascii="Palatino Linotype" w:eastAsiaTheme="minorHAnsi" w:hAnsi="Palatino Linotype" w:cs="Palatino Linotype"/>
          <w:bCs/>
          <w:iCs/>
          <w:sz w:val="22"/>
          <w:szCs w:val="22"/>
          <w:lang w:eastAsia="en-US"/>
        </w:rPr>
      </w:pPr>
    </w:p>
    <w:p w14:paraId="5E6DA014" w14:textId="77777777" w:rsidR="00937118" w:rsidRPr="000524D0" w:rsidRDefault="00937118" w:rsidP="00937118">
      <w:pPr>
        <w:spacing w:after="160" w:line="360" w:lineRule="auto"/>
        <w:contextualSpacing/>
        <w:jc w:val="both"/>
        <w:rPr>
          <w:rFonts w:ascii="Palatino Linotype" w:eastAsiaTheme="minorHAnsi" w:hAnsi="Palatino Linotype" w:cs="Palatino Linotype"/>
          <w:lang w:eastAsia="en-US"/>
        </w:rPr>
      </w:pPr>
      <w:r w:rsidRPr="000524D0">
        <w:rPr>
          <w:rFonts w:ascii="Palatino Linotype" w:eastAsiaTheme="minorHAnsi" w:hAnsi="Palatino Linotype" w:cs="Palatino Linotype"/>
          <w:lang w:eastAsia="en-US"/>
        </w:rPr>
        <w:lastRenderedPageBreak/>
        <w:t xml:space="preserve">Cabe señalar que el hoy Recurrente </w:t>
      </w:r>
      <w:r w:rsidRPr="000524D0">
        <w:rPr>
          <w:rFonts w:ascii="Palatino Linotype" w:eastAsiaTheme="minorHAnsi" w:hAnsi="Palatino Linotype" w:cstheme="minorBidi"/>
          <w:lang w:eastAsia="en-US"/>
        </w:rPr>
        <w:t xml:space="preserve">en ejercicio de su derecho de acceso a la información pública, no proporcionó un nombre para que </w:t>
      </w:r>
      <w:r w:rsidRPr="000524D0">
        <w:rPr>
          <w:rFonts w:ascii="Palatino Linotype" w:eastAsiaTheme="minorHAnsi" w:hAnsi="Palatino Linotype" w:cs="Arial"/>
          <w:lang w:eastAsia="en-US"/>
        </w:rPr>
        <w:t>sea</w:t>
      </w:r>
      <w:r w:rsidRPr="000524D0">
        <w:rPr>
          <w:rFonts w:ascii="Palatino Linotype" w:eastAsiaTheme="minorHAnsi" w:hAnsi="Palatino Linotype" w:cstheme="minorBidi"/>
          <w:lang w:eastAsia="en-US"/>
        </w:rPr>
        <w:t xml:space="preserve"> identificado; por lo que no tiene certeza sobre su identidad</w:t>
      </w:r>
      <w:r w:rsidRPr="000524D0">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EA2FECD" w14:textId="77777777" w:rsidR="00937118" w:rsidRPr="000524D0"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3E15C8A7"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Artículo 155.</w:t>
      </w:r>
      <w:r w:rsidRPr="000524D0">
        <w:rPr>
          <w:rFonts w:ascii="Palatino Linotype" w:eastAsiaTheme="minorHAnsi" w:hAnsi="Palatino Linotype" w:cs="Palatino Linotype"/>
          <w:i/>
          <w:sz w:val="22"/>
          <w:szCs w:val="22"/>
          <w:lang w:eastAsia="en-US"/>
        </w:rPr>
        <w:t xml:space="preserve"> […]</w:t>
      </w:r>
    </w:p>
    <w:p w14:paraId="64BF81C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1E2008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Las solicitudes anónimas</w:t>
      </w:r>
      <w:r w:rsidRPr="000524D0">
        <w:rPr>
          <w:rFonts w:ascii="Palatino Linotype" w:eastAsiaTheme="minorHAnsi" w:hAnsi="Palatino Linotype" w:cs="Palatino Linotype"/>
          <w:i/>
          <w:sz w:val="22"/>
          <w:szCs w:val="22"/>
          <w:lang w:eastAsia="en-US"/>
        </w:rPr>
        <w:t xml:space="preserve">, con nombre incompleto o seudónimo </w:t>
      </w:r>
      <w:r w:rsidRPr="000524D0">
        <w:rPr>
          <w:rFonts w:ascii="Palatino Linotype" w:eastAsiaTheme="minorHAnsi" w:hAnsi="Palatino Linotype" w:cs="Palatino Linotype"/>
          <w:b/>
          <w:i/>
          <w:sz w:val="22"/>
          <w:szCs w:val="22"/>
          <w:lang w:eastAsia="en-US"/>
        </w:rPr>
        <w:t>serán procedentes para su trámite</w:t>
      </w:r>
      <w:r w:rsidRPr="000524D0">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763B7AC8" w14:textId="77777777" w:rsidR="00937118" w:rsidRPr="000524D0"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62E243E3" w14:textId="77777777" w:rsidR="00937118" w:rsidRPr="000524D0" w:rsidRDefault="00937118" w:rsidP="00937118">
      <w:pPr>
        <w:spacing w:after="160" w:line="360" w:lineRule="auto"/>
        <w:contextualSpacing/>
        <w:jc w:val="both"/>
        <w:rPr>
          <w:rFonts w:ascii="Palatino Linotype" w:eastAsiaTheme="minorHAnsi" w:hAnsi="Palatino Linotype" w:cs="Palatino Linotype"/>
          <w:lang w:eastAsia="en-US"/>
        </w:rPr>
      </w:pPr>
      <w:r w:rsidRPr="000524D0">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5357C6" w14:textId="77777777" w:rsidR="00937118" w:rsidRPr="000524D0"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215B0785" w14:textId="77777777" w:rsidR="00937118" w:rsidRPr="000524D0" w:rsidRDefault="00937118" w:rsidP="00937118">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0524D0">
        <w:rPr>
          <w:rFonts w:ascii="Palatino Linotype" w:eastAsiaTheme="minorHAnsi" w:hAnsi="Palatino Linotype" w:cs="Palatino Linotype"/>
          <w:b/>
          <w:i/>
          <w:sz w:val="22"/>
          <w:szCs w:val="22"/>
          <w:u w:val="single"/>
          <w:lang w:eastAsia="en-US"/>
        </w:rPr>
        <w:t>Constitución Política de los Estados Unidos Mexicanos</w:t>
      </w:r>
    </w:p>
    <w:p w14:paraId="3C3C42D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b/>
          <w:bCs/>
          <w:i/>
          <w:iCs/>
          <w:sz w:val="22"/>
          <w:szCs w:val="22"/>
          <w:lang w:eastAsia="en-US"/>
        </w:rPr>
        <w:t xml:space="preserve">Artículo 6.- </w:t>
      </w:r>
      <w:r w:rsidRPr="000524D0">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DC536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1578331E"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3F4DCF41"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714C3C9"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62A7C15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lastRenderedPageBreak/>
        <w:t>[…]</w:t>
      </w:r>
    </w:p>
    <w:p w14:paraId="58B055AF"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7FD3EDD1"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00576391"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3934FDF" w14:textId="77777777" w:rsidR="00937118" w:rsidRPr="000524D0" w:rsidRDefault="00937118" w:rsidP="00937118">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0524D0">
        <w:rPr>
          <w:rFonts w:ascii="Palatino Linotype" w:eastAsiaTheme="minorHAnsi" w:hAnsi="Palatino Linotype" w:cs="Palatino Linotype"/>
          <w:b/>
          <w:i/>
          <w:sz w:val="22"/>
          <w:szCs w:val="22"/>
          <w:u w:val="single"/>
          <w:lang w:eastAsia="en-US"/>
        </w:rPr>
        <w:t>Constitución Política del Estado Libre y Soberano de México</w:t>
      </w:r>
    </w:p>
    <w:p w14:paraId="356BFF92"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Artículo 5</w:t>
      </w:r>
      <w:r w:rsidRPr="000524D0">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B3858F0"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0BB89AF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441D12C0"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2A652B9D"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0646F40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B0CDA7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267906"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9FDBB0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Este derecho se regirá por los principios y bases siguientes:</w:t>
      </w:r>
    </w:p>
    <w:p w14:paraId="25FC4825"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5A68760D"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III.</w:t>
      </w:r>
      <w:r w:rsidRPr="000524D0">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7485BCEB"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IV.</w:t>
      </w:r>
      <w:r w:rsidRPr="000524D0">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49AD684D"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1C871F3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VIII.</w:t>
      </w:r>
      <w:r w:rsidRPr="000524D0">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w:t>
      </w:r>
      <w:r w:rsidRPr="000524D0">
        <w:rPr>
          <w:rFonts w:ascii="Palatino Linotype" w:eastAsiaTheme="minorHAnsi" w:hAnsi="Palatino Linotype" w:cs="Palatino Linotype"/>
          <w:i/>
          <w:sz w:val="22"/>
          <w:szCs w:val="22"/>
          <w:lang w:eastAsia="en-US"/>
        </w:rPr>
        <w:lastRenderedPageBreak/>
        <w:t xml:space="preserve">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6C5B1F7"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i/>
          <w:sz w:val="22"/>
          <w:szCs w:val="22"/>
          <w:lang w:eastAsia="en-US"/>
        </w:rPr>
        <w:t>[…]</w:t>
      </w:r>
    </w:p>
    <w:p w14:paraId="6949058D" w14:textId="77777777" w:rsidR="00937118" w:rsidRPr="000524D0" w:rsidRDefault="00937118" w:rsidP="00937118">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3166F499" w14:textId="77777777" w:rsidR="00937118" w:rsidRPr="000524D0" w:rsidRDefault="00937118" w:rsidP="00937118">
      <w:pPr>
        <w:spacing w:after="160" w:line="360" w:lineRule="auto"/>
        <w:ind w:right="49"/>
        <w:contextualSpacing/>
        <w:jc w:val="both"/>
        <w:rPr>
          <w:rFonts w:ascii="Palatino Linotype" w:eastAsiaTheme="minorHAnsi" w:hAnsi="Palatino Linotype" w:cs="Palatino Linotype"/>
          <w:lang w:eastAsia="en-US"/>
        </w:rPr>
      </w:pPr>
      <w:r w:rsidRPr="000524D0">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5C26D85" w14:textId="77777777" w:rsidR="00937118" w:rsidRPr="000524D0" w:rsidRDefault="00937118" w:rsidP="00937118">
      <w:pPr>
        <w:spacing w:after="160" w:line="360" w:lineRule="auto"/>
        <w:ind w:right="49"/>
        <w:contextualSpacing/>
        <w:jc w:val="both"/>
        <w:rPr>
          <w:rFonts w:ascii="Palatino Linotype" w:eastAsiaTheme="minorHAnsi" w:hAnsi="Palatino Linotype" w:cs="Palatino Linotype"/>
          <w:sz w:val="22"/>
          <w:szCs w:val="22"/>
          <w:lang w:eastAsia="en-US"/>
        </w:rPr>
      </w:pPr>
    </w:p>
    <w:p w14:paraId="1EF05C4A"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0524D0">
        <w:rPr>
          <w:rFonts w:ascii="Palatino Linotype" w:eastAsiaTheme="minorHAnsi" w:hAnsi="Palatino Linotype" w:cs="Palatino Linotype"/>
          <w:b/>
          <w:i/>
          <w:sz w:val="22"/>
          <w:szCs w:val="22"/>
          <w:lang w:eastAsia="en-US"/>
        </w:rPr>
        <w:t>Artículo 1o</w:t>
      </w:r>
      <w:r w:rsidRPr="000524D0">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11359D"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5D427A6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5A5E0433"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3D4095E" w14:textId="77777777" w:rsidR="00937118" w:rsidRPr="000524D0"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0524D0">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784A1E" w14:textId="77777777" w:rsidR="00937118" w:rsidRPr="000524D0" w:rsidRDefault="00937118" w:rsidP="00937118">
      <w:pPr>
        <w:spacing w:after="160" w:line="360" w:lineRule="auto"/>
        <w:jc w:val="both"/>
        <w:rPr>
          <w:rFonts w:ascii="Palatino Linotype" w:eastAsiaTheme="minorHAnsi" w:hAnsi="Palatino Linotype" w:cs="Calibri"/>
          <w:sz w:val="22"/>
          <w:szCs w:val="22"/>
          <w:lang w:eastAsia="en-US"/>
        </w:rPr>
      </w:pPr>
    </w:p>
    <w:p w14:paraId="19C03B1D" w14:textId="77777777" w:rsidR="00937118" w:rsidRPr="000524D0" w:rsidRDefault="00937118" w:rsidP="00937118">
      <w:pPr>
        <w:spacing w:line="360" w:lineRule="auto"/>
        <w:jc w:val="both"/>
        <w:rPr>
          <w:rFonts w:ascii="Palatino Linotype" w:eastAsiaTheme="minorHAnsi" w:hAnsi="Palatino Linotype" w:cs="Palatino Linotype"/>
          <w:lang w:eastAsia="en-US"/>
        </w:rPr>
      </w:pPr>
      <w:r w:rsidRPr="000524D0">
        <w:rPr>
          <w:rFonts w:ascii="Palatino Linotype" w:eastAsiaTheme="minorHAnsi" w:hAnsi="Palatino Linotype" w:cs="Palatino Linotype"/>
          <w:lang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0524D0">
        <w:rPr>
          <w:rFonts w:ascii="Palatino Linotype" w:eastAsiaTheme="minorHAnsi" w:hAnsi="Palatino Linotype" w:cs="Palatino Linotype"/>
          <w:lang w:eastAsia="en-US"/>
        </w:rPr>
        <w:lastRenderedPageBreak/>
        <w:t>o no contener un nombre que identifique al solicitante o que permita tener certeza sobre su identidad.</w:t>
      </w:r>
    </w:p>
    <w:p w14:paraId="7EA895AF" w14:textId="77777777" w:rsidR="00937118" w:rsidRPr="000524D0" w:rsidRDefault="00937118" w:rsidP="00937118">
      <w:pPr>
        <w:spacing w:line="360" w:lineRule="auto"/>
        <w:jc w:val="both"/>
        <w:rPr>
          <w:rFonts w:ascii="Palatino Linotype" w:eastAsiaTheme="minorHAnsi" w:hAnsi="Palatino Linotype" w:cs="Palatino Linotype"/>
          <w:lang w:eastAsia="en-US"/>
        </w:rPr>
      </w:pPr>
    </w:p>
    <w:p w14:paraId="47465885" w14:textId="248345B9" w:rsidR="003B3F33" w:rsidRPr="000524D0" w:rsidRDefault="00937118" w:rsidP="00937118">
      <w:pPr>
        <w:pStyle w:val="Sinespaciado"/>
        <w:spacing w:line="360" w:lineRule="auto"/>
        <w:jc w:val="both"/>
        <w:rPr>
          <w:rFonts w:ascii="Palatino Linotype" w:eastAsia="Palatino Linotype" w:hAnsi="Palatino Linotype" w:cs="Palatino Linotype"/>
          <w:color w:val="000000"/>
          <w:lang w:val="es-ES_tradnl" w:eastAsia="es-MX"/>
        </w:rPr>
      </w:pPr>
      <w:r w:rsidRPr="000524D0">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0524D0">
        <w:rPr>
          <w:rFonts w:ascii="Palatino Linotype" w:eastAsiaTheme="minorHAnsi" w:hAnsi="Palatino Linotype" w:cs="Palatino Linotype"/>
          <w:color w:val="000000"/>
          <w:lang w:val="es-ES_tradnl" w:eastAsia="en-US"/>
        </w:rPr>
        <w:t>procedibilidad</w:t>
      </w:r>
      <w:proofErr w:type="spellEnd"/>
      <w:r w:rsidRPr="000524D0">
        <w:rPr>
          <w:rFonts w:ascii="Palatino Linotype" w:eastAsiaTheme="minorHAnsi" w:hAnsi="Palatino Linotype" w:cs="Palatino Linotype"/>
          <w:color w:val="000000"/>
          <w:lang w:val="es-ES_tradnl" w:eastAsia="en-US"/>
        </w:rPr>
        <w:t xml:space="preserve"> y conforme a las constancias que obran en el expediente.</w:t>
      </w:r>
    </w:p>
    <w:p w14:paraId="1C332705" w14:textId="77777777" w:rsidR="00761AC9" w:rsidRPr="000524D0"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0524D0"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0524D0">
        <w:rPr>
          <w:rFonts w:ascii="Palatino Linotype" w:eastAsiaTheme="minorHAnsi" w:hAnsi="Palatino Linotype" w:cs="Arial"/>
          <w:b/>
          <w:sz w:val="28"/>
          <w:lang w:eastAsia="en-US"/>
        </w:rPr>
        <w:t>CUARTO</w:t>
      </w:r>
      <w:r w:rsidR="00E3048E" w:rsidRPr="000524D0">
        <w:rPr>
          <w:rFonts w:ascii="Palatino Linotype" w:eastAsiaTheme="minorHAnsi" w:hAnsi="Palatino Linotype" w:cs="Arial"/>
          <w:b/>
          <w:sz w:val="28"/>
          <w:lang w:eastAsia="en-US"/>
        </w:rPr>
        <w:t xml:space="preserve">. Del estudio de las causas de improcedencia. </w:t>
      </w:r>
    </w:p>
    <w:p w14:paraId="7131FBB2" w14:textId="77777777" w:rsidR="00E3048E" w:rsidRPr="000524D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0524D0">
        <w:rPr>
          <w:rFonts w:ascii="Palatino Linotype" w:eastAsiaTheme="minorHAnsi" w:hAnsi="Palatino Linotype" w:cs="Arial"/>
          <w:lang w:eastAsia="en-US"/>
        </w:rPr>
        <w:t>Resolutor</w:t>
      </w:r>
      <w:proofErr w:type="spellEnd"/>
      <w:r w:rsidRPr="000524D0">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524D0">
        <w:rPr>
          <w:rStyle w:val="Refdenotaalpie"/>
          <w:rFonts w:ascii="Palatino Linotype" w:eastAsiaTheme="minorHAnsi" w:hAnsi="Palatino Linotype" w:cs="Arial"/>
          <w:lang w:eastAsia="en-US"/>
        </w:rPr>
        <w:footnoteReference w:id="1"/>
      </w:r>
      <w:r w:rsidRPr="000524D0">
        <w:rPr>
          <w:rFonts w:ascii="Palatino Linotype" w:eastAsiaTheme="minorHAnsi" w:hAnsi="Palatino Linotype" w:cs="Arial"/>
          <w:lang w:eastAsia="en-US"/>
        </w:rPr>
        <w:t>.</w:t>
      </w:r>
    </w:p>
    <w:p w14:paraId="2591DD84" w14:textId="77777777" w:rsidR="00E3048E" w:rsidRPr="000524D0"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0524D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0524D0" w:rsidRDefault="00E3048E" w:rsidP="00E3048E"/>
    <w:p w14:paraId="5C9B4549"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w:t>
      </w:r>
      <w:r w:rsidRPr="000524D0">
        <w:rPr>
          <w:rFonts w:ascii="Palatino Linotype" w:hAnsi="Palatino Linotype" w:cs="Arial"/>
          <w:b/>
          <w:i/>
          <w:sz w:val="22"/>
          <w:szCs w:val="22"/>
        </w:rPr>
        <w:t>Artículo 191.</w:t>
      </w:r>
      <w:r w:rsidRPr="000524D0">
        <w:rPr>
          <w:rFonts w:ascii="Palatino Linotype" w:hAnsi="Palatino Linotype" w:cs="Arial"/>
          <w:i/>
          <w:sz w:val="22"/>
          <w:szCs w:val="22"/>
        </w:rPr>
        <w:t xml:space="preserve"> El recurso será desechado por improcedente cuando:  </w:t>
      </w:r>
    </w:p>
    <w:p w14:paraId="4BBDF343"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 xml:space="preserve">III. No actualice alguno de los supuestos previstos en la presente Ley;  </w:t>
      </w:r>
    </w:p>
    <w:p w14:paraId="5D2E5514"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IV. No se haya desahogado la prevención en los términos establecidos en la presente Ley;</w:t>
      </w:r>
    </w:p>
    <w:p w14:paraId="5582C784"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 xml:space="preserve">V. Se impugne la veracidad de la información proporcionada;  </w:t>
      </w:r>
    </w:p>
    <w:p w14:paraId="152CF856"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 xml:space="preserve">VI. Se trate de una consulta, o trámite en específico; y  </w:t>
      </w:r>
    </w:p>
    <w:p w14:paraId="793FA580" w14:textId="77777777" w:rsidR="00E3048E" w:rsidRPr="000524D0" w:rsidRDefault="00E3048E" w:rsidP="00E3048E">
      <w:pPr>
        <w:autoSpaceDE w:val="0"/>
        <w:autoSpaceDN w:val="0"/>
        <w:adjustRightInd w:val="0"/>
        <w:ind w:left="708" w:right="850"/>
        <w:jc w:val="both"/>
        <w:rPr>
          <w:rFonts w:ascii="Palatino Linotype" w:hAnsi="Palatino Linotype" w:cs="Arial"/>
          <w:i/>
          <w:sz w:val="22"/>
          <w:szCs w:val="22"/>
        </w:rPr>
      </w:pPr>
      <w:r w:rsidRPr="000524D0">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0524D0"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0524D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0524D0"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0524D0" w:rsidRDefault="00E3048E" w:rsidP="00E3048E">
      <w:pPr>
        <w:autoSpaceDE w:val="0"/>
        <w:autoSpaceDN w:val="0"/>
        <w:adjustRightInd w:val="0"/>
        <w:spacing w:line="360" w:lineRule="auto"/>
        <w:jc w:val="both"/>
        <w:rPr>
          <w:rFonts w:ascii="Palatino Linotype" w:hAnsi="Palatino Linotype" w:cs="Arial"/>
        </w:rPr>
      </w:pPr>
      <w:r w:rsidRPr="000524D0">
        <w:rPr>
          <w:rFonts w:ascii="Palatino Linotype" w:hAnsi="Palatino Linotype" w:cs="Arial"/>
        </w:rPr>
        <w:t xml:space="preserve">Así las cosas, al no existir causas de improcedencia invocadas por las partes ni advertidas de oficio por este </w:t>
      </w:r>
      <w:proofErr w:type="spellStart"/>
      <w:r w:rsidRPr="000524D0">
        <w:rPr>
          <w:rFonts w:ascii="Palatino Linotype" w:hAnsi="Palatino Linotype" w:cs="Arial"/>
        </w:rPr>
        <w:t>Resolutor</w:t>
      </w:r>
      <w:proofErr w:type="spellEnd"/>
      <w:r w:rsidRPr="000524D0">
        <w:rPr>
          <w:rFonts w:ascii="Palatino Linotype" w:hAnsi="Palatino Linotype" w:cs="Arial"/>
        </w:rPr>
        <w:t xml:space="preserve">, se </w:t>
      </w:r>
      <w:proofErr w:type="gramStart"/>
      <w:r w:rsidRPr="000524D0">
        <w:rPr>
          <w:rFonts w:ascii="Palatino Linotype" w:hAnsi="Palatino Linotype" w:cs="Arial"/>
        </w:rPr>
        <w:t>procede</w:t>
      </w:r>
      <w:proofErr w:type="gramEnd"/>
      <w:r w:rsidRPr="000524D0">
        <w:rPr>
          <w:rFonts w:ascii="Palatino Linotype" w:hAnsi="Palatino Linotype" w:cs="Arial"/>
        </w:rPr>
        <w:t xml:space="preserve"> al análisis del fondo de los asuntos en los siguientes términos.</w:t>
      </w:r>
    </w:p>
    <w:p w14:paraId="14DA0010" w14:textId="77777777" w:rsidR="00E3048E" w:rsidRPr="000524D0"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0524D0" w:rsidRDefault="00BB45EE" w:rsidP="00E3048E">
      <w:pPr>
        <w:autoSpaceDE w:val="0"/>
        <w:autoSpaceDN w:val="0"/>
        <w:adjustRightInd w:val="0"/>
        <w:spacing w:line="360" w:lineRule="auto"/>
        <w:jc w:val="both"/>
        <w:rPr>
          <w:rFonts w:ascii="Palatino Linotype" w:hAnsi="Palatino Linotype" w:cs="Arial"/>
          <w:sz w:val="28"/>
        </w:rPr>
      </w:pPr>
      <w:r w:rsidRPr="000524D0">
        <w:rPr>
          <w:rFonts w:ascii="Palatino Linotype" w:hAnsi="Palatino Linotype" w:cs="Arial"/>
          <w:b/>
          <w:sz w:val="28"/>
        </w:rPr>
        <w:t>QUINTO</w:t>
      </w:r>
      <w:r w:rsidR="00E3048E" w:rsidRPr="000524D0">
        <w:rPr>
          <w:rFonts w:ascii="Palatino Linotype" w:hAnsi="Palatino Linotype" w:cs="Arial"/>
          <w:b/>
          <w:sz w:val="28"/>
        </w:rPr>
        <w:t>. Del estudio y resolución del asunto.</w:t>
      </w:r>
      <w:r w:rsidR="00E3048E" w:rsidRPr="000524D0">
        <w:rPr>
          <w:rFonts w:ascii="Palatino Linotype" w:hAnsi="Palatino Linotype" w:cs="Arial"/>
          <w:sz w:val="28"/>
        </w:rPr>
        <w:t xml:space="preserve"> </w:t>
      </w:r>
    </w:p>
    <w:p w14:paraId="00AD23F4" w14:textId="77777777" w:rsidR="00E3048E" w:rsidRPr="000524D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0524D0"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0524D0" w:rsidRDefault="0029071C" w:rsidP="0029071C">
      <w:pPr>
        <w:spacing w:line="360" w:lineRule="auto"/>
        <w:ind w:right="141"/>
        <w:jc w:val="both"/>
        <w:rPr>
          <w:rFonts w:ascii="Palatino Linotype" w:eastAsiaTheme="minorHAnsi" w:hAnsi="Palatino Linotype" w:cstheme="minorBidi"/>
        </w:rPr>
      </w:pPr>
      <w:r w:rsidRPr="000524D0">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0524D0">
        <w:rPr>
          <w:rFonts w:ascii="Palatino Linotype" w:eastAsiaTheme="minorHAnsi" w:hAnsi="Palatino Linotype" w:cstheme="minorBidi"/>
          <w:b/>
        </w:rPr>
        <w:t xml:space="preserve"> </w:t>
      </w:r>
      <w:r w:rsidRPr="000524D0">
        <w:rPr>
          <w:rFonts w:ascii="Palatino Linotype" w:eastAsiaTheme="minorHAnsi" w:hAnsi="Palatino Linotype" w:cstheme="minorBidi"/>
        </w:rPr>
        <w:t>parte</w:t>
      </w:r>
      <w:r w:rsidR="001D2DE0" w:rsidRPr="000524D0">
        <w:rPr>
          <w:rFonts w:ascii="Palatino Linotype" w:eastAsiaTheme="minorHAnsi" w:hAnsi="Palatino Linotype" w:cstheme="minorBidi"/>
          <w:b/>
        </w:rPr>
        <w:t xml:space="preserve"> </w:t>
      </w:r>
      <w:r w:rsidRPr="000524D0">
        <w:rPr>
          <w:rFonts w:ascii="Palatino Linotype" w:eastAsiaTheme="minorHAnsi" w:hAnsi="Palatino Linotype" w:cstheme="minorBidi"/>
          <w:b/>
        </w:rPr>
        <w:t>Recurrente</w:t>
      </w:r>
      <w:r w:rsidRPr="000524D0">
        <w:rPr>
          <w:rFonts w:ascii="Palatino Linotype" w:eastAsiaTheme="minorHAnsi" w:hAnsi="Palatino Linotype" w:cstheme="minorBidi"/>
        </w:rPr>
        <w:t xml:space="preserve">, para ello analizaremos lo solicitado </w:t>
      </w:r>
      <w:r w:rsidR="00574FDC" w:rsidRPr="000524D0">
        <w:rPr>
          <w:rFonts w:ascii="Palatino Linotype" w:eastAsiaTheme="minorHAnsi" w:hAnsi="Palatino Linotype" w:cstheme="minorBidi"/>
        </w:rPr>
        <w:t>y la información proporcionada.</w:t>
      </w:r>
    </w:p>
    <w:p w14:paraId="0F4D58AE" w14:textId="77777777" w:rsidR="00814FA1" w:rsidRPr="000524D0"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0524D0" w:rsidRDefault="0029071C" w:rsidP="00E74701">
      <w:pPr>
        <w:spacing w:line="360" w:lineRule="auto"/>
        <w:ind w:right="141"/>
        <w:jc w:val="both"/>
        <w:rPr>
          <w:rFonts w:ascii="Palatino Linotype" w:eastAsiaTheme="minorHAnsi" w:hAnsi="Palatino Linotype" w:cstheme="minorBidi"/>
          <w:b/>
          <w:szCs w:val="22"/>
        </w:rPr>
      </w:pPr>
      <w:r w:rsidRPr="000524D0">
        <w:rPr>
          <w:rFonts w:ascii="Palatino Linotype" w:eastAsiaTheme="minorHAnsi" w:hAnsi="Palatino Linotype" w:cstheme="minorBidi"/>
          <w:b/>
          <w:szCs w:val="22"/>
        </w:rPr>
        <w:t>REQUERIMIENTOS SOLICITADOS:</w:t>
      </w:r>
      <w:r w:rsidR="00A26BD8" w:rsidRPr="000524D0">
        <w:rPr>
          <w:rFonts w:ascii="Palatino Linotype" w:eastAsiaTheme="minorHAnsi" w:hAnsi="Palatino Linotype" w:cstheme="minorBidi"/>
          <w:b/>
          <w:szCs w:val="22"/>
        </w:rPr>
        <w:t xml:space="preserve"> </w:t>
      </w:r>
    </w:p>
    <w:p w14:paraId="290AEE0C" w14:textId="7019817C" w:rsidR="00E3048E" w:rsidRPr="000524D0" w:rsidRDefault="00460799" w:rsidP="007525DE">
      <w:pPr>
        <w:pStyle w:val="Prrafodelista"/>
        <w:numPr>
          <w:ilvl w:val="0"/>
          <w:numId w:val="4"/>
        </w:numPr>
        <w:spacing w:line="360" w:lineRule="auto"/>
        <w:ind w:right="141"/>
        <w:jc w:val="both"/>
        <w:rPr>
          <w:rFonts w:ascii="Palatino Linotype" w:eastAsiaTheme="minorHAnsi" w:hAnsi="Palatino Linotype" w:cstheme="minorBidi"/>
          <w:szCs w:val="22"/>
        </w:rPr>
      </w:pPr>
      <w:r w:rsidRPr="000524D0">
        <w:rPr>
          <w:rFonts w:ascii="Palatino Linotype" w:eastAsiaTheme="minorHAnsi" w:hAnsi="Palatino Linotype" w:cstheme="minorBidi"/>
          <w:i/>
          <w:iCs/>
          <w:szCs w:val="22"/>
        </w:rPr>
        <w:t>Acuses de las solicitudes de información pública recibidos en el periodo que comprende del 01 de enero al 26 de junio de 2025</w:t>
      </w:r>
      <w:r w:rsidR="00E80CD9" w:rsidRPr="000524D0">
        <w:rPr>
          <w:rFonts w:ascii="Palatino Linotype" w:eastAsiaTheme="minorHAnsi" w:hAnsi="Palatino Linotype" w:cstheme="minorBidi"/>
          <w:i/>
          <w:iCs/>
          <w:szCs w:val="22"/>
        </w:rPr>
        <w:t>.</w:t>
      </w:r>
    </w:p>
    <w:p w14:paraId="43BC95FA" w14:textId="77777777" w:rsidR="00786843" w:rsidRPr="000524D0"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200A5721" w:rsidR="008258C6" w:rsidRPr="000524D0" w:rsidRDefault="008258C6" w:rsidP="008258C6">
      <w:pPr>
        <w:pStyle w:val="Prrafodelista"/>
        <w:autoSpaceDE w:val="0"/>
        <w:autoSpaceDN w:val="0"/>
        <w:adjustRightInd w:val="0"/>
        <w:spacing w:line="360" w:lineRule="auto"/>
        <w:ind w:left="0"/>
        <w:jc w:val="both"/>
        <w:rPr>
          <w:rFonts w:ascii="Palatino Linotype" w:hAnsi="Palatino Linotype" w:cs="Arial"/>
        </w:rPr>
      </w:pPr>
      <w:r w:rsidRPr="000524D0">
        <w:rPr>
          <w:rFonts w:ascii="Palatino Linotype" w:hAnsi="Palatino Linotype" w:cs="Arial"/>
        </w:rPr>
        <w:t xml:space="preserve">Consecuentemente, el </w:t>
      </w:r>
      <w:r w:rsidRPr="000524D0">
        <w:rPr>
          <w:rFonts w:ascii="Palatino Linotype" w:hAnsi="Palatino Linotype" w:cs="Arial"/>
          <w:b/>
          <w:bCs/>
        </w:rPr>
        <w:t>Sujeto Obligado</w:t>
      </w:r>
      <w:r w:rsidRPr="000524D0">
        <w:rPr>
          <w:rFonts w:ascii="Palatino Linotype" w:hAnsi="Palatino Linotype" w:cs="Arial"/>
        </w:rPr>
        <w:t xml:space="preserve"> en fecha </w:t>
      </w:r>
      <w:r w:rsidR="00460799" w:rsidRPr="000524D0">
        <w:rPr>
          <w:rFonts w:ascii="Palatino Linotype" w:hAnsi="Palatino Linotype" w:cs="Arial"/>
        </w:rPr>
        <w:t>diecisiete</w:t>
      </w:r>
      <w:r w:rsidR="00E80CD9" w:rsidRPr="000524D0">
        <w:rPr>
          <w:rFonts w:ascii="Palatino Linotype" w:hAnsi="Palatino Linotype" w:cs="Arial"/>
        </w:rPr>
        <w:t xml:space="preserve"> de junio</w:t>
      </w:r>
      <w:r w:rsidR="00E94B5C" w:rsidRPr="000524D0">
        <w:rPr>
          <w:rFonts w:ascii="Palatino Linotype" w:hAnsi="Palatino Linotype" w:cs="Arial"/>
        </w:rPr>
        <w:t xml:space="preserve"> de dos mil veinticinco</w:t>
      </w:r>
      <w:r w:rsidRPr="000524D0">
        <w:rPr>
          <w:rFonts w:ascii="Palatino Linotype" w:hAnsi="Palatino Linotype" w:cs="Arial"/>
        </w:rPr>
        <w:t>, emitió su respuesta a través de</w:t>
      </w:r>
      <w:r w:rsidR="00D349EA" w:rsidRPr="000524D0">
        <w:rPr>
          <w:rFonts w:ascii="Palatino Linotype" w:hAnsi="Palatino Linotype" w:cs="Arial"/>
        </w:rPr>
        <w:t xml:space="preserve">l </w:t>
      </w:r>
      <w:r w:rsidRPr="000524D0">
        <w:rPr>
          <w:rFonts w:ascii="Palatino Linotype" w:hAnsi="Palatino Linotype" w:cs="Arial"/>
        </w:rPr>
        <w:t xml:space="preserve">archivo electrónico de nombre y contenido siguiente: </w:t>
      </w:r>
    </w:p>
    <w:p w14:paraId="205B1824" w14:textId="77777777" w:rsidR="008258C6" w:rsidRPr="000524D0" w:rsidRDefault="008258C6" w:rsidP="008258C6">
      <w:pPr>
        <w:autoSpaceDE w:val="0"/>
        <w:autoSpaceDN w:val="0"/>
        <w:adjustRightInd w:val="0"/>
        <w:spacing w:after="240" w:line="360" w:lineRule="auto"/>
        <w:jc w:val="both"/>
        <w:rPr>
          <w:rFonts w:ascii="Palatino Linotype" w:hAnsi="Palatino Linotype" w:cs="Arial"/>
        </w:rPr>
      </w:pPr>
    </w:p>
    <w:p w14:paraId="4A83F8E2" w14:textId="66E72E72" w:rsidR="00786843" w:rsidRPr="000524D0" w:rsidRDefault="00460799" w:rsidP="007525DE">
      <w:pPr>
        <w:pStyle w:val="Prrafodelista"/>
        <w:numPr>
          <w:ilvl w:val="0"/>
          <w:numId w:val="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0524D0">
        <w:rPr>
          <w:rFonts w:ascii="Palatino Linotype" w:hAnsi="Palatino Linotype" w:cs="Arial"/>
          <w:b/>
          <w:bCs/>
        </w:rPr>
        <w:t>R. 03682_25.pdf</w:t>
      </w:r>
      <w:r w:rsidR="008258C6" w:rsidRPr="000524D0">
        <w:rPr>
          <w:rFonts w:ascii="Palatino Linotype" w:hAnsi="Palatino Linotype" w:cs="Arial"/>
          <w:b/>
          <w:bCs/>
        </w:rPr>
        <w:t xml:space="preserve">: </w:t>
      </w:r>
      <w:r w:rsidR="008258C6" w:rsidRPr="000524D0">
        <w:rPr>
          <w:rFonts w:ascii="Palatino Linotype" w:hAnsi="Palatino Linotype" w:cs="Arial"/>
        </w:rPr>
        <w:t xml:space="preserve">Archivo electrónico que contiene </w:t>
      </w:r>
      <w:r w:rsidRPr="000524D0">
        <w:rPr>
          <w:rFonts w:ascii="Palatino Linotype" w:hAnsi="Palatino Linotype" w:cs="Arial"/>
        </w:rPr>
        <w:t>un escrito</w:t>
      </w:r>
      <w:r w:rsidR="008258C6" w:rsidRPr="000524D0">
        <w:rPr>
          <w:rFonts w:ascii="Palatino Linotype" w:hAnsi="Palatino Linotype" w:cs="Arial"/>
        </w:rPr>
        <w:t xml:space="preserve"> signado por el </w:t>
      </w:r>
      <w:r w:rsidR="00E94B5C" w:rsidRPr="000524D0">
        <w:rPr>
          <w:rFonts w:ascii="Palatino Linotype" w:hAnsi="Palatino Linotype" w:cs="Arial"/>
        </w:rPr>
        <w:t>Titular de la Unidad de Transparencia</w:t>
      </w:r>
      <w:r w:rsidRPr="000524D0">
        <w:rPr>
          <w:rFonts w:ascii="Palatino Linotype" w:hAnsi="Palatino Linotype" w:cs="Arial"/>
        </w:rPr>
        <w:t>, a través del cual informa medularmente al solicitante de información</w:t>
      </w:r>
      <w:r w:rsidR="008258C6" w:rsidRPr="000524D0">
        <w:rPr>
          <w:rFonts w:ascii="Palatino Linotype" w:hAnsi="Palatino Linotype" w:cs="Arial"/>
        </w:rPr>
        <w:t xml:space="preserve"> </w:t>
      </w:r>
      <w:r w:rsidR="00E80CD9" w:rsidRPr="000524D0">
        <w:rPr>
          <w:rFonts w:ascii="Palatino Linotype" w:hAnsi="Palatino Linotype" w:cs="Arial"/>
        </w:rPr>
        <w:t xml:space="preserve">que, </w:t>
      </w:r>
      <w:r w:rsidRPr="000524D0">
        <w:rPr>
          <w:rFonts w:ascii="Palatino Linotype" w:hAnsi="Palatino Linotype" w:cs="Arial"/>
        </w:rPr>
        <w:t xml:space="preserve">del 01 de enero al día en que </w:t>
      </w:r>
      <w:r w:rsidRPr="000524D0">
        <w:rPr>
          <w:rFonts w:ascii="Palatino Linotype" w:hAnsi="Palatino Linotype" w:cs="Arial"/>
        </w:rPr>
        <w:lastRenderedPageBreak/>
        <w:t xml:space="preserve">se recibió la solicitud, hay un total de </w:t>
      </w:r>
      <w:r w:rsidRPr="000524D0">
        <w:rPr>
          <w:rFonts w:ascii="Palatino Linotype" w:hAnsi="Palatino Linotype" w:cs="Arial"/>
          <w:b/>
          <w:bCs/>
          <w:u w:val="single"/>
        </w:rPr>
        <w:t>tres mil setecientas trece (3,713) solicitudes</w:t>
      </w:r>
      <w:r w:rsidRPr="000524D0">
        <w:rPr>
          <w:rFonts w:ascii="Palatino Linotype" w:hAnsi="Palatino Linotype" w:cs="Arial"/>
        </w:rPr>
        <w:t>, señalando además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se encuentra imposibilitado para entregar la información tal y como la pide el solicitante, pues ello implicaría realizar una consulta en el sistema, de ese universo seleccionar específicamente el periodo, posteriormente descargar cada uno de los acuses, revisar que no vengan datos personales, testar dichos datos, mandar a Comité de Transparencia la propuesta de Clasificación y elaborar una versión pública, dividir en carpetas de treinta archivos cada una, posteriormente comprimirlas y subirlas al sistema una por una, es por ello, que esa Unidad de Transparencia tendría que invertir recurso humano y de tiempo para entregar la información ad hoc, contraviniendo lo establecido en el citado artículo.</w:t>
      </w:r>
    </w:p>
    <w:p w14:paraId="4C56F07E" w14:textId="77777777" w:rsidR="00E80CD9" w:rsidRPr="000524D0" w:rsidRDefault="00E80CD9" w:rsidP="001C054C">
      <w:pPr>
        <w:spacing w:line="360" w:lineRule="auto"/>
        <w:ind w:right="141"/>
        <w:jc w:val="both"/>
        <w:rPr>
          <w:rFonts w:ascii="Palatino Linotype" w:eastAsiaTheme="minorHAnsi" w:hAnsi="Palatino Linotype" w:cs="Arial"/>
          <w:bCs/>
          <w:lang w:eastAsia="en-US"/>
        </w:rPr>
      </w:pPr>
    </w:p>
    <w:p w14:paraId="5C46C957" w14:textId="171BA53D" w:rsidR="00F30C1D" w:rsidRPr="000524D0" w:rsidRDefault="00E11B18" w:rsidP="001C054C">
      <w:pPr>
        <w:spacing w:line="360" w:lineRule="auto"/>
        <w:ind w:right="141"/>
        <w:jc w:val="both"/>
        <w:rPr>
          <w:rFonts w:ascii="Palatino Linotype" w:eastAsiaTheme="minorHAnsi" w:hAnsi="Palatino Linotype" w:cs="Arial"/>
          <w:bCs/>
          <w:i/>
          <w:lang w:eastAsia="en-US"/>
        </w:rPr>
      </w:pPr>
      <w:r w:rsidRPr="000524D0">
        <w:rPr>
          <w:rFonts w:ascii="Palatino Linotype" w:eastAsiaTheme="minorHAnsi" w:hAnsi="Palatino Linotype" w:cs="Arial"/>
          <w:bCs/>
          <w:lang w:eastAsia="en-US"/>
        </w:rPr>
        <w:t xml:space="preserve">Es así que derivado de la respuesta emitida por </w:t>
      </w:r>
      <w:r w:rsidRPr="000524D0">
        <w:rPr>
          <w:rFonts w:ascii="Palatino Linotype" w:eastAsiaTheme="minorHAnsi" w:hAnsi="Palatino Linotype" w:cs="Arial"/>
          <w:b/>
          <w:bCs/>
          <w:lang w:eastAsia="en-US"/>
        </w:rPr>
        <w:t>El Sujeto Obligado</w:t>
      </w:r>
      <w:r w:rsidRPr="000524D0">
        <w:rPr>
          <w:rFonts w:ascii="Palatino Linotype" w:eastAsiaTheme="minorHAnsi" w:hAnsi="Palatino Linotype" w:cs="Arial"/>
          <w:bCs/>
          <w:lang w:eastAsia="en-US"/>
        </w:rPr>
        <w:t xml:space="preserve">, </w:t>
      </w:r>
      <w:r w:rsidRPr="000524D0">
        <w:rPr>
          <w:rFonts w:ascii="Palatino Linotype" w:eastAsiaTheme="minorHAnsi" w:hAnsi="Palatino Linotype" w:cs="Arial"/>
          <w:b/>
          <w:bCs/>
          <w:lang w:eastAsia="en-US"/>
        </w:rPr>
        <w:t>El Recurrente</w:t>
      </w:r>
      <w:r w:rsidRPr="000524D0">
        <w:rPr>
          <w:rFonts w:ascii="Palatino Linotype" w:eastAsiaTheme="minorHAnsi" w:hAnsi="Palatino Linotype" w:cs="Arial"/>
          <w:bCs/>
          <w:lang w:eastAsia="en-US"/>
        </w:rPr>
        <w:t>, interpuso el presente recurso de revisión, señalando como</w:t>
      </w:r>
      <w:r w:rsidR="00786843" w:rsidRPr="000524D0">
        <w:rPr>
          <w:rFonts w:ascii="Palatino Linotype" w:eastAsiaTheme="minorHAnsi" w:hAnsi="Palatino Linotype" w:cs="Arial"/>
          <w:bCs/>
          <w:lang w:eastAsia="en-US"/>
        </w:rPr>
        <w:t xml:space="preserve"> </w:t>
      </w:r>
      <w:r w:rsidRPr="000524D0">
        <w:rPr>
          <w:rFonts w:ascii="Palatino Linotype" w:eastAsiaTheme="minorHAnsi" w:hAnsi="Palatino Linotype" w:cs="Arial"/>
          <w:bCs/>
          <w:lang w:eastAsia="en-US"/>
        </w:rPr>
        <w:t>sus razones o motivos de inconformidad, lo siguiente:</w:t>
      </w:r>
      <w:r w:rsidR="00E9680B" w:rsidRPr="000524D0">
        <w:rPr>
          <w:rFonts w:ascii="Palatino Linotype" w:eastAsiaTheme="minorHAnsi" w:hAnsi="Palatino Linotype" w:cs="Arial"/>
          <w:bCs/>
          <w:lang w:eastAsia="en-US"/>
        </w:rPr>
        <w:t xml:space="preserve"> </w:t>
      </w:r>
      <w:r w:rsidRPr="000524D0">
        <w:rPr>
          <w:rFonts w:ascii="Palatino Linotype" w:eastAsiaTheme="minorHAnsi" w:hAnsi="Palatino Linotype" w:cs="Arial"/>
          <w:bCs/>
          <w:i/>
          <w:lang w:eastAsia="en-US"/>
        </w:rPr>
        <w:t>“</w:t>
      </w:r>
      <w:r w:rsidR="00460799" w:rsidRPr="000524D0">
        <w:rPr>
          <w:rFonts w:ascii="Palatino Linotype" w:eastAsiaTheme="minorHAnsi" w:hAnsi="Palatino Linotype" w:cs="Arial"/>
          <w:bCs/>
          <w:i/>
          <w:lang w:eastAsia="en-US"/>
        </w:rPr>
        <w:t>No entrega la información solicitada</w:t>
      </w:r>
      <w:r w:rsidR="001C603B" w:rsidRPr="000524D0">
        <w:rPr>
          <w:rFonts w:ascii="Palatino Linotype" w:eastAsiaTheme="minorHAnsi" w:hAnsi="Palatino Linotype" w:cs="Arial"/>
          <w:bCs/>
          <w:i/>
          <w:lang w:eastAsia="en-US"/>
        </w:rPr>
        <w:t>”</w:t>
      </w:r>
      <w:r w:rsidRPr="000524D0">
        <w:rPr>
          <w:rFonts w:ascii="Palatino Linotype" w:eastAsiaTheme="minorHAnsi" w:hAnsi="Palatino Linotype" w:cs="Arial"/>
          <w:bCs/>
          <w:i/>
          <w:lang w:eastAsia="en-US"/>
        </w:rPr>
        <w:t xml:space="preserve"> (Sic).</w:t>
      </w:r>
    </w:p>
    <w:p w14:paraId="7CE3A7BC" w14:textId="77777777" w:rsidR="005C0CE2" w:rsidRPr="000524D0" w:rsidRDefault="005C0CE2" w:rsidP="001C054C">
      <w:pPr>
        <w:spacing w:line="360" w:lineRule="auto"/>
        <w:ind w:right="141"/>
        <w:jc w:val="both"/>
        <w:rPr>
          <w:rFonts w:ascii="Palatino Linotype" w:eastAsiaTheme="minorHAnsi" w:hAnsi="Palatino Linotype" w:cs="Arial"/>
          <w:bCs/>
          <w:i/>
          <w:lang w:eastAsia="en-US"/>
        </w:rPr>
      </w:pPr>
    </w:p>
    <w:p w14:paraId="281B688B" w14:textId="2EF92D3C" w:rsidR="005C0CE2" w:rsidRPr="000524D0" w:rsidRDefault="005C0CE2" w:rsidP="005C0CE2">
      <w:pPr>
        <w:spacing w:line="360" w:lineRule="auto"/>
        <w:ind w:right="142"/>
        <w:jc w:val="both"/>
        <w:rPr>
          <w:rFonts w:ascii="Palatino Linotype" w:eastAsiaTheme="minorHAnsi" w:hAnsi="Palatino Linotype" w:cs="Arial"/>
          <w:bCs/>
          <w:lang w:val="es-MX" w:eastAsia="en-US"/>
        </w:rPr>
      </w:pPr>
      <w:r w:rsidRPr="000524D0">
        <w:rPr>
          <w:rFonts w:ascii="Palatino Linotype" w:eastAsiaTheme="minorHAnsi" w:hAnsi="Palatino Linotype" w:cs="Arial"/>
          <w:bCs/>
          <w:lang w:val="es-MX" w:eastAsia="en-US"/>
        </w:rPr>
        <w:t xml:space="preserve">Por lo que, en la etapa de manifestaciones, el </w:t>
      </w:r>
      <w:r w:rsidRPr="000524D0">
        <w:rPr>
          <w:rFonts w:ascii="Palatino Linotype" w:eastAsiaTheme="minorHAnsi" w:hAnsi="Palatino Linotype" w:cs="Arial"/>
          <w:b/>
          <w:bCs/>
          <w:lang w:val="es-MX" w:eastAsia="en-US"/>
        </w:rPr>
        <w:t>Sujeto Obligado</w:t>
      </w:r>
      <w:r w:rsidRPr="000524D0">
        <w:rPr>
          <w:rFonts w:ascii="Palatino Linotype" w:eastAsiaTheme="minorHAnsi" w:hAnsi="Palatino Linotype" w:cs="Arial"/>
          <w:b/>
          <w:bCs/>
          <w:lang w:eastAsia="en-US"/>
        </w:rPr>
        <w:t xml:space="preserve"> </w:t>
      </w:r>
      <w:r w:rsidRPr="000524D0">
        <w:rPr>
          <w:rFonts w:ascii="Palatino Linotype" w:eastAsiaTheme="minorHAnsi" w:hAnsi="Palatino Linotype" w:cs="Arial"/>
          <w:lang w:eastAsia="en-US"/>
        </w:rPr>
        <w:t>rindió</w:t>
      </w:r>
      <w:r w:rsidRPr="000524D0">
        <w:rPr>
          <w:rFonts w:ascii="Palatino Linotype" w:eastAsiaTheme="minorHAnsi" w:hAnsi="Palatino Linotype" w:cs="Arial"/>
          <w:bCs/>
          <w:lang w:val="es-MX" w:eastAsia="en-US"/>
        </w:rPr>
        <w:t xml:space="preserve"> </w:t>
      </w:r>
      <w:r w:rsidRPr="000524D0">
        <w:rPr>
          <w:rFonts w:ascii="Palatino Linotype" w:eastAsiaTheme="minorHAnsi" w:hAnsi="Palatino Linotype" w:cs="Arial"/>
          <w:bCs/>
          <w:lang w:eastAsia="en-US"/>
        </w:rPr>
        <w:t xml:space="preserve">su </w:t>
      </w:r>
      <w:r w:rsidRPr="000524D0">
        <w:rPr>
          <w:rFonts w:ascii="Palatino Linotype" w:eastAsiaTheme="minorHAnsi" w:hAnsi="Palatino Linotype" w:cs="Arial"/>
          <w:bCs/>
          <w:lang w:val="es-MX" w:eastAsia="en-US"/>
        </w:rPr>
        <w:t>informe justificado</w:t>
      </w:r>
      <w:r w:rsidRPr="000524D0">
        <w:rPr>
          <w:rFonts w:ascii="Palatino Linotype" w:eastAsiaTheme="minorHAnsi" w:hAnsi="Palatino Linotype" w:cs="Arial"/>
          <w:bCs/>
          <w:lang w:eastAsia="en-US"/>
        </w:rPr>
        <w:t xml:space="preserve"> </w:t>
      </w:r>
      <w:r w:rsidRPr="000524D0">
        <w:rPr>
          <w:rFonts w:ascii="Palatino Linotype" w:eastAsiaTheme="minorHAnsi" w:hAnsi="Palatino Linotype" w:cs="Arial"/>
          <w:bCs/>
          <w:lang w:val="es-MX" w:eastAsia="en-US"/>
        </w:rPr>
        <w:t xml:space="preserve">a través de los </w:t>
      </w:r>
      <w:r w:rsidRPr="000524D0">
        <w:rPr>
          <w:rFonts w:ascii="Palatino Linotype" w:eastAsiaTheme="minorHAnsi" w:hAnsi="Palatino Linotype" w:cs="Arial"/>
          <w:lang w:val="es-MX" w:eastAsia="en-US"/>
        </w:rPr>
        <w:t>archivos electrónicos denominados</w:t>
      </w:r>
      <w:r w:rsidR="00460799" w:rsidRPr="000524D0">
        <w:rPr>
          <w:rFonts w:ascii="Palatino Linotype" w:eastAsiaTheme="minorHAnsi" w:hAnsi="Palatino Linotype" w:cs="Arial"/>
          <w:lang w:val="es-MX" w:eastAsia="en-US"/>
        </w:rPr>
        <w:t xml:space="preserve"> </w:t>
      </w:r>
      <w:r w:rsidR="00460799" w:rsidRPr="000524D0">
        <w:rPr>
          <w:rFonts w:ascii="Palatino Linotype" w:eastAsiaTheme="minorHAnsi" w:hAnsi="Palatino Linotype" w:cs="Arial"/>
          <w:i/>
          <w:lang w:val="es-MX" w:eastAsia="en-US"/>
        </w:rPr>
        <w:t>“</w:t>
      </w:r>
      <w:r w:rsidR="00460799" w:rsidRPr="000524D0">
        <w:rPr>
          <w:rFonts w:ascii="Palatino Linotype" w:eastAsiaTheme="minorHAnsi" w:hAnsi="Palatino Linotype" w:cs="Arial"/>
          <w:b/>
          <w:bCs/>
          <w:i/>
          <w:lang w:eastAsia="en-US"/>
        </w:rPr>
        <w:t>ANEXOS 9115-2025.pdf</w:t>
      </w:r>
      <w:r w:rsidR="00460799" w:rsidRPr="000524D0">
        <w:rPr>
          <w:rFonts w:ascii="Palatino Linotype" w:eastAsiaTheme="minorHAnsi" w:hAnsi="Palatino Linotype" w:cs="Arial"/>
          <w:i/>
          <w:lang w:val="es-MX" w:eastAsia="en-US"/>
        </w:rPr>
        <w:t>”, “</w:t>
      </w:r>
      <w:proofErr w:type="spellStart"/>
      <w:r w:rsidR="00460799" w:rsidRPr="000524D0">
        <w:rPr>
          <w:rFonts w:ascii="Palatino Linotype" w:eastAsiaTheme="minorHAnsi" w:hAnsi="Palatino Linotype" w:cs="Arial"/>
          <w:b/>
          <w:bCs/>
          <w:i/>
          <w:lang w:val="es-MX" w:eastAsia="en-US"/>
        </w:rPr>
        <w:t>Ratificacion</w:t>
      </w:r>
      <w:proofErr w:type="spellEnd"/>
      <w:r w:rsidR="00460799" w:rsidRPr="000524D0">
        <w:rPr>
          <w:rFonts w:ascii="Palatino Linotype" w:eastAsiaTheme="minorHAnsi" w:hAnsi="Palatino Linotype" w:cs="Arial"/>
          <w:b/>
          <w:bCs/>
          <w:i/>
          <w:lang w:val="es-MX" w:eastAsia="en-US"/>
        </w:rPr>
        <w:t xml:space="preserve"> 9115 2025.pdf</w:t>
      </w:r>
      <w:r w:rsidR="00460799" w:rsidRPr="000524D0">
        <w:rPr>
          <w:rFonts w:ascii="Palatino Linotype" w:eastAsiaTheme="minorHAnsi" w:hAnsi="Palatino Linotype" w:cs="Arial"/>
          <w:i/>
          <w:lang w:val="es-MX" w:eastAsia="en-US"/>
        </w:rPr>
        <w:t xml:space="preserve">” </w:t>
      </w:r>
      <w:r w:rsidR="00460799" w:rsidRPr="000524D0">
        <w:rPr>
          <w:rFonts w:ascii="Palatino Linotype" w:eastAsiaTheme="minorHAnsi" w:hAnsi="Palatino Linotype" w:cs="Arial"/>
          <w:iCs/>
          <w:lang w:val="es-MX" w:eastAsia="en-US"/>
        </w:rPr>
        <w:t>y</w:t>
      </w:r>
      <w:r w:rsidR="00460799" w:rsidRPr="000524D0">
        <w:rPr>
          <w:rFonts w:ascii="Palatino Linotype" w:eastAsiaTheme="minorHAnsi" w:hAnsi="Palatino Linotype" w:cs="Arial"/>
          <w:i/>
          <w:lang w:val="es-MX" w:eastAsia="en-US"/>
        </w:rPr>
        <w:t xml:space="preserve"> “</w:t>
      </w:r>
      <w:r w:rsidR="00460799" w:rsidRPr="000524D0">
        <w:rPr>
          <w:rFonts w:ascii="Palatino Linotype" w:eastAsiaTheme="minorHAnsi" w:hAnsi="Palatino Linotype" w:cs="Arial"/>
          <w:b/>
          <w:bCs/>
          <w:i/>
          <w:lang w:val="es-MX" w:eastAsia="en-US"/>
        </w:rPr>
        <w:t>R.R. 09115_25.pdf</w:t>
      </w:r>
      <w:r w:rsidR="00460799" w:rsidRPr="000524D0">
        <w:rPr>
          <w:rFonts w:ascii="Palatino Linotype" w:eastAsiaTheme="minorHAnsi" w:hAnsi="Palatino Linotype" w:cs="Arial"/>
          <w:i/>
          <w:lang w:val="es-MX" w:eastAsia="en-US"/>
        </w:rPr>
        <w:t>”</w:t>
      </w:r>
      <w:r w:rsidRPr="000524D0">
        <w:rPr>
          <w:rFonts w:ascii="Palatino Linotype" w:eastAsiaTheme="minorHAnsi" w:hAnsi="Palatino Linotype" w:cs="Arial"/>
          <w:bCs/>
          <w:lang w:eastAsia="en-US"/>
        </w:rPr>
        <w:t>,</w:t>
      </w:r>
      <w:r w:rsidRPr="000524D0">
        <w:rPr>
          <w:rFonts w:ascii="Palatino Linotype" w:eastAsiaTheme="minorHAnsi" w:hAnsi="Palatino Linotype" w:cs="Arial"/>
          <w:bCs/>
          <w:lang w:val="es-MX" w:eastAsia="en-US"/>
        </w:rPr>
        <w:t xml:space="preserve"> de los cuales se describe su contenido enseguida: </w:t>
      </w:r>
    </w:p>
    <w:p w14:paraId="6FEDEE4B" w14:textId="77777777" w:rsidR="005C0CE2" w:rsidRPr="000524D0" w:rsidRDefault="005C0CE2" w:rsidP="005C0CE2">
      <w:pPr>
        <w:spacing w:line="360" w:lineRule="auto"/>
        <w:ind w:right="142"/>
        <w:jc w:val="both"/>
        <w:rPr>
          <w:rFonts w:ascii="Palatino Linotype" w:eastAsiaTheme="minorHAnsi" w:hAnsi="Palatino Linotype" w:cs="Arial"/>
          <w:bCs/>
          <w:lang w:eastAsia="en-US"/>
        </w:rPr>
      </w:pPr>
    </w:p>
    <w:p w14:paraId="112BFE29" w14:textId="25184492" w:rsidR="005C0CE2" w:rsidRPr="000524D0" w:rsidRDefault="00460799" w:rsidP="007525DE">
      <w:pPr>
        <w:pStyle w:val="Prrafodelista"/>
        <w:numPr>
          <w:ilvl w:val="0"/>
          <w:numId w:val="7"/>
        </w:numPr>
        <w:spacing w:after="160" w:line="360" w:lineRule="auto"/>
        <w:ind w:right="141"/>
        <w:jc w:val="both"/>
        <w:rPr>
          <w:rFonts w:ascii="Palatino Linotype" w:eastAsiaTheme="minorHAnsi" w:hAnsi="Palatino Linotype" w:cs="Arial"/>
          <w:bCs/>
          <w:lang w:val="es-MX" w:eastAsia="en-US"/>
        </w:rPr>
      </w:pPr>
      <w:r w:rsidRPr="000524D0">
        <w:rPr>
          <w:rFonts w:ascii="Palatino Linotype" w:eastAsiaTheme="minorHAnsi" w:hAnsi="Palatino Linotype" w:cs="Arial"/>
          <w:b/>
          <w:lang w:val="es-MX" w:eastAsia="en-US"/>
        </w:rPr>
        <w:lastRenderedPageBreak/>
        <w:t>ANEXOS 9115-2025.pdf y R.R. 09115_25.pdf</w:t>
      </w:r>
      <w:r w:rsidR="005C0CE2" w:rsidRPr="000524D0">
        <w:rPr>
          <w:rFonts w:ascii="Palatino Linotype" w:eastAsiaTheme="minorHAnsi" w:hAnsi="Palatino Linotype" w:cs="Arial"/>
          <w:bCs/>
          <w:lang w:val="es-MX" w:eastAsia="en-US"/>
        </w:rPr>
        <w:t xml:space="preserve">: </w:t>
      </w:r>
      <w:r w:rsidRPr="000524D0">
        <w:rPr>
          <w:rFonts w:ascii="Palatino Linotype" w:eastAsiaTheme="minorHAnsi" w:hAnsi="Palatino Linotype" w:cs="Arial"/>
          <w:bCs/>
          <w:lang w:val="es-MX" w:eastAsia="en-US"/>
        </w:rPr>
        <w:t xml:space="preserve">Escrito emitido por la Analista Técnico C, adscrito a la </w:t>
      </w:r>
      <w:r w:rsidRPr="000524D0">
        <w:rPr>
          <w:rFonts w:ascii="Palatino Linotype" w:eastAsiaTheme="minorHAnsi" w:hAnsi="Palatino Linotype" w:cs="Arial"/>
          <w:bCs/>
          <w:lang w:eastAsia="en-US"/>
        </w:rPr>
        <w:t xml:space="preserve">Unidad de Transparencia, con el cual proporciona la misma información remitida mediante respuesta a la solicitud de información de mérito. </w:t>
      </w:r>
    </w:p>
    <w:p w14:paraId="34675120" w14:textId="01D2D3D4" w:rsidR="005C0CE2" w:rsidRPr="000524D0" w:rsidRDefault="00460799" w:rsidP="007525DE">
      <w:pPr>
        <w:pStyle w:val="Prrafodelista"/>
        <w:numPr>
          <w:ilvl w:val="0"/>
          <w:numId w:val="7"/>
        </w:numPr>
        <w:spacing w:after="160" w:line="360" w:lineRule="auto"/>
        <w:ind w:right="141"/>
        <w:jc w:val="both"/>
        <w:rPr>
          <w:rFonts w:ascii="Palatino Linotype" w:eastAsiaTheme="minorHAnsi" w:hAnsi="Palatino Linotype" w:cs="Arial"/>
          <w:bCs/>
          <w:lang w:val="es-MX" w:eastAsia="en-US"/>
        </w:rPr>
      </w:pPr>
      <w:proofErr w:type="spellStart"/>
      <w:r w:rsidRPr="000524D0">
        <w:rPr>
          <w:rFonts w:ascii="Palatino Linotype" w:eastAsiaTheme="minorHAnsi" w:hAnsi="Palatino Linotype" w:cs="Arial"/>
          <w:b/>
          <w:lang w:val="es-MX" w:eastAsia="en-US"/>
        </w:rPr>
        <w:t>Ratificacion</w:t>
      </w:r>
      <w:proofErr w:type="spellEnd"/>
      <w:r w:rsidRPr="000524D0">
        <w:rPr>
          <w:rFonts w:ascii="Palatino Linotype" w:eastAsiaTheme="minorHAnsi" w:hAnsi="Palatino Linotype" w:cs="Arial"/>
          <w:b/>
          <w:lang w:val="es-MX" w:eastAsia="en-US"/>
        </w:rPr>
        <w:t xml:space="preserve"> 9115 2025.pdf</w:t>
      </w:r>
      <w:r w:rsidR="005C0CE2" w:rsidRPr="000524D0">
        <w:rPr>
          <w:rFonts w:ascii="Palatino Linotype" w:eastAsiaTheme="minorHAnsi" w:hAnsi="Palatino Linotype" w:cs="Arial"/>
          <w:bCs/>
          <w:lang w:val="es-MX" w:eastAsia="en-US"/>
        </w:rPr>
        <w:t xml:space="preserve">: </w:t>
      </w:r>
      <w:r w:rsidRPr="000524D0">
        <w:rPr>
          <w:rFonts w:ascii="Palatino Linotype" w:eastAsiaTheme="minorHAnsi" w:hAnsi="Palatino Linotype" w:cs="Arial"/>
          <w:bCs/>
          <w:lang w:val="es-MX" w:eastAsia="en-US"/>
        </w:rPr>
        <w:t xml:space="preserve">Escrito emitido por el Titular de la Unidad de Transparencia, mismo que fue dirigido a este Instituto, con el cual informa que se ratifica la respuesta proporcionada por la Unidad de Transparencia y Servidor Público Habilitado. </w:t>
      </w:r>
    </w:p>
    <w:p w14:paraId="124D47AE" w14:textId="41500101" w:rsidR="00507622" w:rsidRPr="000524D0" w:rsidRDefault="00507622" w:rsidP="00507622">
      <w:pPr>
        <w:spacing w:line="360" w:lineRule="auto"/>
        <w:ind w:right="141"/>
        <w:jc w:val="both"/>
        <w:rPr>
          <w:rFonts w:ascii="Palatino Linotype" w:eastAsiaTheme="minorHAnsi" w:hAnsi="Palatino Linotype" w:cs="Arial"/>
          <w:bCs/>
          <w:lang w:eastAsia="en-US"/>
        </w:rPr>
      </w:pPr>
    </w:p>
    <w:p w14:paraId="68B33661" w14:textId="314A90CF" w:rsidR="008A12CF" w:rsidRPr="000524D0" w:rsidRDefault="00F10B01" w:rsidP="008A12CF">
      <w:pPr>
        <w:tabs>
          <w:tab w:val="left" w:pos="709"/>
        </w:tabs>
        <w:spacing w:line="360" w:lineRule="auto"/>
        <w:contextualSpacing/>
        <w:jc w:val="both"/>
        <w:rPr>
          <w:rFonts w:ascii="Palatino Linotype" w:hAnsi="Palatino Linotype" w:cs="Arial"/>
        </w:rPr>
      </w:pPr>
      <w:r w:rsidRPr="000524D0">
        <w:rPr>
          <w:rFonts w:ascii="Palatino Linotype" w:hAnsi="Palatino Linotype" w:cs="Arial"/>
        </w:rPr>
        <w:t>Precisado lo anterior</w:t>
      </w:r>
      <w:r w:rsidR="008A12CF" w:rsidRPr="000524D0">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0524D0" w:rsidRDefault="008A12CF" w:rsidP="008A12CF">
      <w:pPr>
        <w:pStyle w:val="Sinespaciado"/>
        <w:rPr>
          <w:lang w:val="es-ES_tradnl"/>
        </w:rPr>
      </w:pPr>
    </w:p>
    <w:p w14:paraId="555EAA5F" w14:textId="77777777" w:rsidR="008A12CF" w:rsidRPr="000524D0" w:rsidRDefault="008A12CF" w:rsidP="001D3523">
      <w:pPr>
        <w:ind w:left="567" w:right="616"/>
        <w:jc w:val="both"/>
        <w:rPr>
          <w:rFonts w:ascii="Palatino Linotype" w:hAnsi="Palatino Linotype" w:cs="Arial"/>
          <w:i/>
          <w:sz w:val="22"/>
        </w:rPr>
      </w:pPr>
      <w:r w:rsidRPr="000524D0">
        <w:rPr>
          <w:rFonts w:ascii="Palatino Linotype" w:hAnsi="Palatino Linotype" w:cs="Arial"/>
          <w:i/>
          <w:sz w:val="22"/>
        </w:rPr>
        <w:t>“</w:t>
      </w:r>
      <w:r w:rsidRPr="000524D0">
        <w:rPr>
          <w:rFonts w:ascii="Palatino Linotype" w:hAnsi="Palatino Linotype" w:cs="Arial"/>
          <w:b/>
          <w:i/>
          <w:sz w:val="22"/>
        </w:rPr>
        <w:t xml:space="preserve">Artículo 4. </w:t>
      </w:r>
      <w:r w:rsidRPr="000524D0">
        <w:rPr>
          <w:rFonts w:ascii="Palatino Linotype" w:hAnsi="Palatino Linotype" w:cs="Arial"/>
          <w:i/>
          <w:sz w:val="22"/>
        </w:rPr>
        <w:t xml:space="preserve">… </w:t>
      </w:r>
    </w:p>
    <w:p w14:paraId="2BBAE983" w14:textId="77777777" w:rsidR="008A12CF" w:rsidRPr="000524D0" w:rsidRDefault="008A12CF" w:rsidP="001D3523">
      <w:pPr>
        <w:ind w:left="567" w:right="616"/>
        <w:jc w:val="both"/>
        <w:rPr>
          <w:rFonts w:ascii="Palatino Linotype" w:hAnsi="Palatino Linotype" w:cs="Arial"/>
          <w:i/>
          <w:sz w:val="22"/>
        </w:rPr>
      </w:pPr>
      <w:r w:rsidRPr="000524D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524D0">
        <w:rPr>
          <w:rFonts w:ascii="Palatino Linotype" w:hAnsi="Palatino Linotype" w:cs="Arial"/>
          <w:i/>
          <w:sz w:val="22"/>
        </w:rPr>
        <w:t>evistas por esta Ley.</w:t>
      </w:r>
      <w:r w:rsidRPr="000524D0">
        <w:rPr>
          <w:rFonts w:ascii="Palatino Linotype" w:hAnsi="Palatino Linotype" w:cs="Arial"/>
          <w:i/>
          <w:sz w:val="22"/>
        </w:rPr>
        <w:t>”</w:t>
      </w:r>
    </w:p>
    <w:p w14:paraId="3C9D08C1" w14:textId="77777777" w:rsidR="00E9680B" w:rsidRPr="000524D0"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0524D0" w:rsidRDefault="008A12CF" w:rsidP="008A12CF">
      <w:pPr>
        <w:tabs>
          <w:tab w:val="left" w:pos="709"/>
        </w:tabs>
        <w:spacing w:line="360" w:lineRule="auto"/>
        <w:contextualSpacing/>
        <w:jc w:val="both"/>
        <w:rPr>
          <w:rFonts w:ascii="Palatino Linotype" w:hAnsi="Palatino Linotype" w:cs="Arial"/>
        </w:rPr>
      </w:pPr>
      <w:r w:rsidRPr="000524D0">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0524D0"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0524D0" w:rsidRDefault="008A12CF" w:rsidP="008A12CF">
      <w:pPr>
        <w:tabs>
          <w:tab w:val="left" w:pos="709"/>
        </w:tabs>
        <w:spacing w:line="360" w:lineRule="auto"/>
        <w:contextualSpacing/>
        <w:jc w:val="both"/>
        <w:rPr>
          <w:rFonts w:ascii="Palatino Linotype" w:hAnsi="Palatino Linotype" w:cs="Arial"/>
        </w:rPr>
      </w:pPr>
      <w:r w:rsidRPr="000524D0">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0524D0" w:rsidRDefault="008A12CF" w:rsidP="008A12CF">
      <w:pPr>
        <w:pStyle w:val="Sinespaciado"/>
        <w:rPr>
          <w:lang w:val="es-ES_tradnl"/>
        </w:rPr>
      </w:pPr>
    </w:p>
    <w:p w14:paraId="6773964B" w14:textId="77777777" w:rsidR="008A12CF" w:rsidRPr="000524D0" w:rsidRDefault="008A12CF" w:rsidP="008A12CF">
      <w:pPr>
        <w:pStyle w:val="Sinespaciado"/>
        <w:rPr>
          <w:sz w:val="16"/>
          <w:lang w:val="es-ES_tradnl"/>
        </w:rPr>
      </w:pPr>
    </w:p>
    <w:p w14:paraId="5859B262" w14:textId="77777777" w:rsidR="008A12CF" w:rsidRPr="000524D0" w:rsidRDefault="008A12CF" w:rsidP="00E9680B">
      <w:pPr>
        <w:ind w:left="567" w:right="616"/>
        <w:jc w:val="both"/>
        <w:rPr>
          <w:rFonts w:ascii="Palatino Linotype" w:hAnsi="Palatino Linotype" w:cs="Arial"/>
          <w:i/>
          <w:sz w:val="22"/>
        </w:rPr>
      </w:pPr>
      <w:r w:rsidRPr="000524D0">
        <w:rPr>
          <w:rFonts w:ascii="Palatino Linotype" w:hAnsi="Palatino Linotype" w:cs="Arial"/>
          <w:i/>
          <w:sz w:val="22"/>
        </w:rPr>
        <w:t>“</w:t>
      </w:r>
      <w:r w:rsidRPr="000524D0">
        <w:rPr>
          <w:rFonts w:ascii="Palatino Linotype" w:hAnsi="Palatino Linotype" w:cs="Arial"/>
          <w:b/>
          <w:i/>
          <w:sz w:val="22"/>
        </w:rPr>
        <w:t>Artículo 12.</w:t>
      </w:r>
      <w:r w:rsidRPr="000524D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0524D0" w:rsidRDefault="008A12CF" w:rsidP="00E9680B">
      <w:pPr>
        <w:ind w:left="567" w:right="616"/>
        <w:jc w:val="both"/>
        <w:rPr>
          <w:rFonts w:ascii="Palatino Linotype" w:hAnsi="Palatino Linotype" w:cs="Arial"/>
          <w:i/>
          <w:sz w:val="22"/>
        </w:rPr>
      </w:pPr>
    </w:p>
    <w:p w14:paraId="6E319465" w14:textId="77777777" w:rsidR="00CC2630" w:rsidRPr="000524D0" w:rsidRDefault="008A12CF" w:rsidP="00E3048E">
      <w:pPr>
        <w:ind w:left="567" w:right="616"/>
        <w:jc w:val="both"/>
        <w:rPr>
          <w:rFonts w:ascii="Palatino Linotype" w:hAnsi="Palatino Linotype" w:cs="Arial"/>
          <w:i/>
          <w:sz w:val="22"/>
        </w:rPr>
      </w:pPr>
      <w:r w:rsidRPr="000524D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0524D0"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0524D0" w:rsidRDefault="008A12CF" w:rsidP="008A12CF">
      <w:pPr>
        <w:tabs>
          <w:tab w:val="left" w:pos="709"/>
        </w:tabs>
        <w:spacing w:line="360" w:lineRule="auto"/>
        <w:contextualSpacing/>
        <w:jc w:val="both"/>
        <w:rPr>
          <w:rFonts w:ascii="Palatino Linotype" w:hAnsi="Palatino Linotype" w:cs="Arial"/>
        </w:rPr>
      </w:pPr>
      <w:r w:rsidRPr="000524D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0524D0"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0524D0" w:rsidRDefault="008A12CF" w:rsidP="008A12CF">
      <w:pPr>
        <w:tabs>
          <w:tab w:val="left" w:pos="709"/>
        </w:tabs>
        <w:spacing w:line="360" w:lineRule="auto"/>
        <w:contextualSpacing/>
        <w:jc w:val="both"/>
        <w:rPr>
          <w:rFonts w:ascii="Palatino Linotype" w:hAnsi="Palatino Linotype" w:cs="Arial"/>
        </w:rPr>
      </w:pPr>
      <w:r w:rsidRPr="000524D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524D0">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0524D0">
        <w:rPr>
          <w:rFonts w:ascii="Palatino Linotype" w:hAnsi="Palatino Linotype" w:cs="Arial"/>
          <w:b/>
          <w:u w:val="single"/>
        </w:rPr>
        <w:lastRenderedPageBreak/>
        <w:t>de las facultades, funciones y competencias</w:t>
      </w:r>
      <w:r w:rsidRPr="000524D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0524D0" w:rsidRDefault="008A12CF" w:rsidP="008A12CF">
      <w:pPr>
        <w:pStyle w:val="Sinespaciado"/>
        <w:rPr>
          <w:lang w:val="es-ES_tradnl"/>
        </w:rPr>
      </w:pPr>
    </w:p>
    <w:p w14:paraId="65CF0963" w14:textId="77777777" w:rsidR="008A12CF" w:rsidRPr="000524D0" w:rsidRDefault="008A12CF" w:rsidP="004612A5">
      <w:pPr>
        <w:ind w:left="567" w:right="616"/>
        <w:jc w:val="both"/>
        <w:rPr>
          <w:rFonts w:ascii="Palatino Linotype" w:hAnsi="Palatino Linotype" w:cs="Arial"/>
          <w:i/>
          <w:sz w:val="22"/>
        </w:rPr>
      </w:pPr>
      <w:r w:rsidRPr="000524D0">
        <w:rPr>
          <w:rFonts w:ascii="Palatino Linotype" w:hAnsi="Palatino Linotype" w:cs="Arial"/>
          <w:i/>
          <w:sz w:val="22"/>
        </w:rPr>
        <w:t>“</w:t>
      </w:r>
      <w:r w:rsidRPr="000524D0">
        <w:rPr>
          <w:rFonts w:ascii="Palatino Linotype" w:hAnsi="Palatino Linotype" w:cs="Arial"/>
          <w:b/>
          <w:i/>
          <w:sz w:val="22"/>
        </w:rPr>
        <w:t xml:space="preserve">Artículo 3. </w:t>
      </w:r>
      <w:r w:rsidRPr="000524D0">
        <w:rPr>
          <w:rFonts w:ascii="Palatino Linotype" w:hAnsi="Palatino Linotype" w:cs="Arial"/>
          <w:i/>
          <w:sz w:val="22"/>
        </w:rPr>
        <w:t>Para los efectos de la presente Ley se entenderá por:</w:t>
      </w:r>
    </w:p>
    <w:p w14:paraId="52A7F999" w14:textId="77777777" w:rsidR="008A12CF" w:rsidRPr="000524D0" w:rsidRDefault="008A12CF" w:rsidP="004612A5">
      <w:pPr>
        <w:ind w:left="567" w:right="616"/>
        <w:jc w:val="both"/>
        <w:rPr>
          <w:rFonts w:ascii="Palatino Linotype" w:hAnsi="Palatino Linotype" w:cs="Arial"/>
          <w:i/>
          <w:sz w:val="22"/>
        </w:rPr>
      </w:pPr>
      <w:r w:rsidRPr="000524D0">
        <w:rPr>
          <w:rFonts w:ascii="Palatino Linotype" w:hAnsi="Palatino Linotype" w:cs="Arial"/>
          <w:i/>
          <w:sz w:val="22"/>
        </w:rPr>
        <w:t>(…)</w:t>
      </w:r>
    </w:p>
    <w:p w14:paraId="111F4C3C" w14:textId="77777777" w:rsidR="008A12CF" w:rsidRPr="000524D0" w:rsidRDefault="008A12CF" w:rsidP="004612A5">
      <w:pPr>
        <w:ind w:left="567" w:right="616"/>
        <w:jc w:val="both"/>
        <w:rPr>
          <w:rFonts w:ascii="Palatino Linotype" w:hAnsi="Palatino Linotype" w:cs="Arial"/>
          <w:i/>
          <w:sz w:val="22"/>
        </w:rPr>
      </w:pPr>
      <w:r w:rsidRPr="000524D0">
        <w:rPr>
          <w:rFonts w:ascii="Palatino Linotype" w:hAnsi="Palatino Linotype" w:cs="Arial"/>
          <w:b/>
          <w:i/>
          <w:sz w:val="22"/>
        </w:rPr>
        <w:t>XI. Documento:</w:t>
      </w:r>
      <w:r w:rsidRPr="000524D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524D0">
        <w:rPr>
          <w:rFonts w:ascii="Palatino Linotype" w:hAnsi="Palatino Linotype" w:cs="Arial"/>
          <w:b/>
          <w:i/>
          <w:sz w:val="22"/>
          <w:u w:val="single"/>
        </w:rPr>
        <w:t>registro que documente el ejercicio de las facultades, funciones y competencias de los sujetos obligados</w:t>
      </w:r>
      <w:r w:rsidRPr="000524D0">
        <w:rPr>
          <w:rFonts w:ascii="Palatino Linotype" w:hAnsi="Palatino Linotype" w:cs="Arial"/>
          <w:i/>
          <w:sz w:val="22"/>
          <w:u w:val="single"/>
        </w:rPr>
        <w:t>,</w:t>
      </w:r>
      <w:r w:rsidRPr="000524D0">
        <w:rPr>
          <w:rFonts w:ascii="Palatino Linotype" w:hAnsi="Palatino Linotype" w:cs="Arial"/>
          <w:i/>
          <w:sz w:val="22"/>
        </w:rPr>
        <w:t xml:space="preserve"> sus servidores públicos e integrantes, </w:t>
      </w:r>
      <w:r w:rsidRPr="000524D0">
        <w:rPr>
          <w:rFonts w:ascii="Palatino Linotype" w:hAnsi="Palatino Linotype" w:cs="Arial"/>
          <w:b/>
          <w:i/>
          <w:sz w:val="22"/>
          <w:u w:val="single"/>
        </w:rPr>
        <w:t>sin importar su fuente o fecha de elaboración.</w:t>
      </w:r>
      <w:r w:rsidRPr="000524D0">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0524D0" w:rsidRDefault="008A12CF" w:rsidP="004612A5">
      <w:pPr>
        <w:ind w:left="567" w:right="616"/>
        <w:jc w:val="both"/>
        <w:rPr>
          <w:rFonts w:ascii="Palatino Linotype" w:hAnsi="Palatino Linotype" w:cs="Arial"/>
          <w:i/>
          <w:sz w:val="22"/>
        </w:rPr>
      </w:pPr>
      <w:r w:rsidRPr="000524D0">
        <w:rPr>
          <w:rFonts w:ascii="Palatino Linotype" w:hAnsi="Palatino Linotype" w:cs="Arial"/>
          <w:i/>
          <w:sz w:val="22"/>
        </w:rPr>
        <w:t>(…)”</w:t>
      </w:r>
    </w:p>
    <w:p w14:paraId="6B940099" w14:textId="77777777" w:rsidR="008A12CF" w:rsidRPr="000524D0" w:rsidRDefault="008A12CF" w:rsidP="008A12CF">
      <w:pPr>
        <w:rPr>
          <w:sz w:val="14"/>
        </w:rPr>
      </w:pPr>
    </w:p>
    <w:p w14:paraId="27E7E47F" w14:textId="77777777" w:rsidR="008A12CF" w:rsidRPr="000524D0" w:rsidRDefault="008A12CF" w:rsidP="008A12CF"/>
    <w:p w14:paraId="063599CE" w14:textId="77777777" w:rsidR="008A12CF" w:rsidRPr="000524D0" w:rsidRDefault="008A12CF" w:rsidP="008A12CF">
      <w:pPr>
        <w:spacing w:before="240" w:after="240" w:line="360" w:lineRule="auto"/>
        <w:ind w:right="49"/>
        <w:contextualSpacing/>
        <w:jc w:val="both"/>
        <w:rPr>
          <w:rFonts w:ascii="Palatino Linotype" w:hAnsi="Palatino Linotype" w:cs="Arial"/>
        </w:rPr>
      </w:pPr>
      <w:r w:rsidRPr="000524D0">
        <w:rPr>
          <w:rFonts w:ascii="Palatino Linotype" w:hAnsi="Palatino Linotype" w:cs="Arial"/>
        </w:rPr>
        <w:t xml:space="preserve">Además, </w:t>
      </w:r>
      <w:r w:rsidRPr="000524D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0524D0"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0524D0" w:rsidRDefault="008A12CF" w:rsidP="008A12CF">
      <w:pPr>
        <w:spacing w:before="240" w:after="240" w:line="360" w:lineRule="auto"/>
        <w:ind w:right="49"/>
        <w:contextualSpacing/>
        <w:jc w:val="both"/>
        <w:rPr>
          <w:rFonts w:ascii="Palatino Linotype" w:eastAsia="MS Mincho" w:hAnsi="Palatino Linotype" w:cs="Tahoma"/>
        </w:rPr>
      </w:pPr>
      <w:r w:rsidRPr="000524D0">
        <w:rPr>
          <w:rFonts w:ascii="Palatino Linotype" w:hAnsi="Palatino Linotype" w:cs="Arial"/>
        </w:rPr>
        <w:t xml:space="preserve">De la misma forma, </w:t>
      </w:r>
      <w:r w:rsidRPr="000524D0">
        <w:rPr>
          <w:rFonts w:ascii="Palatino Linotype" w:eastAsia="MS Mincho" w:hAnsi="Palatino Linotype"/>
        </w:rPr>
        <w:t>de acuerdo al contenido del artículo 160,</w:t>
      </w:r>
      <w:r w:rsidRPr="000524D0">
        <w:rPr>
          <w:rFonts w:ascii="Palatino Linotype" w:hAnsi="Palatino Linotype" w:cs="Arial"/>
        </w:rPr>
        <w:t xml:space="preserve"> de la Ley </w:t>
      </w:r>
      <w:r w:rsidRPr="000524D0">
        <w:rPr>
          <w:rFonts w:ascii="Palatino Linotype" w:eastAsia="MS Mincho" w:hAnsi="Palatino Linotype" w:cs="Tahoma"/>
        </w:rPr>
        <w:t>General de Transparencia y Acceso a la Información Pública que a la letra dispone:</w:t>
      </w:r>
    </w:p>
    <w:p w14:paraId="485D4D3E" w14:textId="77777777" w:rsidR="008A12CF" w:rsidRPr="000524D0" w:rsidRDefault="008A12CF" w:rsidP="008A12CF"/>
    <w:p w14:paraId="3E69230F" w14:textId="77777777" w:rsidR="008A12CF" w:rsidRPr="000524D0" w:rsidRDefault="008A12CF" w:rsidP="004612A5">
      <w:pPr>
        <w:ind w:left="567" w:right="616"/>
        <w:contextualSpacing/>
        <w:jc w:val="both"/>
        <w:rPr>
          <w:rFonts w:ascii="Palatino Linotype" w:hAnsi="Palatino Linotype" w:cs="Arial"/>
          <w:i/>
          <w:sz w:val="22"/>
          <w:lang w:eastAsia="gl-ES"/>
        </w:rPr>
      </w:pPr>
      <w:r w:rsidRPr="000524D0">
        <w:rPr>
          <w:rFonts w:ascii="Palatino Linotype" w:hAnsi="Palatino Linotype" w:cs="Arial"/>
          <w:b/>
          <w:i/>
          <w:sz w:val="22"/>
          <w:lang w:eastAsia="gl-ES"/>
        </w:rPr>
        <w:t>Artículo 160</w:t>
      </w:r>
      <w:r w:rsidRPr="000524D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0524D0"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0524D0"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0524D0" w:rsidRDefault="008A12CF" w:rsidP="00FC1FC5">
      <w:pPr>
        <w:spacing w:line="360" w:lineRule="auto"/>
        <w:jc w:val="both"/>
        <w:rPr>
          <w:rFonts w:ascii="Palatino Linotype" w:hAnsi="Palatino Linotype" w:cs="Arial"/>
          <w:color w:val="222222"/>
          <w:szCs w:val="19"/>
        </w:rPr>
      </w:pPr>
      <w:r w:rsidRPr="000524D0">
        <w:rPr>
          <w:rFonts w:ascii="Palatino Linotype" w:hAnsi="Palatino Linotype"/>
          <w:color w:val="000000"/>
        </w:rPr>
        <w:t xml:space="preserve">Sirve como apoyo </w:t>
      </w:r>
      <w:r w:rsidRPr="000524D0">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0524D0" w:rsidRDefault="008A12CF" w:rsidP="008A12CF">
      <w:pPr>
        <w:pStyle w:val="Sinespaciado"/>
        <w:rPr>
          <w:lang w:val="es-ES_tradnl" w:eastAsia="es-MX"/>
        </w:rPr>
      </w:pPr>
    </w:p>
    <w:p w14:paraId="66CE4CFD" w14:textId="77777777" w:rsidR="008A12CF" w:rsidRPr="000524D0"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0524D0">
        <w:rPr>
          <w:rFonts w:ascii="Palatino Linotype" w:hAnsi="Palatino Linotype" w:cs="Arial"/>
          <w:b/>
          <w:bCs/>
          <w:i/>
          <w:iCs/>
          <w:color w:val="222222"/>
          <w:sz w:val="22"/>
        </w:rPr>
        <w:t>“Las dependencias y entidades no están obligadas a generar documentos ad hoc para responder una solicitud de acceso a la información. </w:t>
      </w:r>
      <w:r w:rsidRPr="000524D0">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0524D0" w:rsidRDefault="008A12CF" w:rsidP="008A12CF">
      <w:pPr>
        <w:pStyle w:val="Sinespaciado"/>
        <w:rPr>
          <w:lang w:val="es-ES_tradnl"/>
        </w:rPr>
      </w:pPr>
    </w:p>
    <w:p w14:paraId="44C69F31" w14:textId="77777777" w:rsidR="008A12CF" w:rsidRPr="000524D0" w:rsidRDefault="008A12CF" w:rsidP="008A12CF">
      <w:pPr>
        <w:pStyle w:val="Sinespaciado"/>
        <w:rPr>
          <w:lang w:val="es-ES_tradnl"/>
        </w:rPr>
      </w:pPr>
    </w:p>
    <w:p w14:paraId="12D5EC8D" w14:textId="77777777" w:rsidR="008A12CF" w:rsidRPr="000524D0" w:rsidRDefault="008A12CF" w:rsidP="008A12CF">
      <w:pPr>
        <w:spacing w:line="360" w:lineRule="auto"/>
        <w:contextualSpacing/>
        <w:jc w:val="both"/>
        <w:rPr>
          <w:rFonts w:ascii="Palatino Linotype" w:hAnsi="Palatino Linotype" w:cs="Arial"/>
        </w:rPr>
      </w:pPr>
      <w:r w:rsidRPr="000524D0">
        <w:rPr>
          <w:rFonts w:ascii="Palatino Linotype" w:hAnsi="Palatino Linotype" w:cs="Arial"/>
          <w:bCs/>
        </w:rPr>
        <w:t xml:space="preserve">Además, </w:t>
      </w:r>
      <w:r w:rsidRPr="000524D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0524D0" w:rsidRDefault="00581DC8" w:rsidP="00581DC8">
      <w:pPr>
        <w:pStyle w:val="Sinespaciado"/>
        <w:rPr>
          <w:lang w:val="es-ES_tradnl"/>
        </w:rPr>
      </w:pPr>
    </w:p>
    <w:p w14:paraId="4A160973" w14:textId="77777777" w:rsidR="00581DC8" w:rsidRPr="000524D0" w:rsidRDefault="00581DC8" w:rsidP="00581DC8">
      <w:pPr>
        <w:ind w:left="567" w:right="616"/>
        <w:contextualSpacing/>
        <w:jc w:val="both"/>
        <w:rPr>
          <w:rFonts w:ascii="Palatino Linotype" w:hAnsi="Palatino Linotype" w:cs="Arial"/>
          <w:i/>
          <w:sz w:val="22"/>
        </w:rPr>
      </w:pPr>
      <w:r w:rsidRPr="000524D0">
        <w:rPr>
          <w:rFonts w:ascii="Palatino Linotype" w:hAnsi="Palatino Linotype" w:cs="Arial"/>
          <w:b/>
          <w:i/>
          <w:sz w:val="22"/>
        </w:rPr>
        <w:t>Artículo 23.</w:t>
      </w:r>
      <w:r w:rsidRPr="000524D0">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0524D0" w:rsidRDefault="00581DC8" w:rsidP="00F930F7">
      <w:pPr>
        <w:ind w:left="567" w:right="616"/>
        <w:contextualSpacing/>
        <w:jc w:val="both"/>
        <w:rPr>
          <w:rFonts w:ascii="Palatino Linotype" w:hAnsi="Palatino Linotype" w:cs="Arial"/>
          <w:i/>
          <w:sz w:val="22"/>
        </w:rPr>
      </w:pPr>
      <w:r w:rsidRPr="000524D0">
        <w:rPr>
          <w:rFonts w:ascii="Palatino Linotype" w:hAnsi="Palatino Linotype" w:cs="Arial"/>
          <w:i/>
          <w:sz w:val="22"/>
        </w:rPr>
        <w:t>(…)</w:t>
      </w:r>
    </w:p>
    <w:p w14:paraId="111428BD" w14:textId="2C469D3F" w:rsidR="00F930F7" w:rsidRPr="000524D0"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0524D0">
        <w:rPr>
          <w:rFonts w:ascii="Palatino Linotype" w:eastAsiaTheme="minorHAnsi" w:hAnsi="Palatino Linotype" w:cs="Bookman Old Style"/>
          <w:b/>
          <w:bCs/>
          <w:i/>
          <w:color w:val="000000"/>
          <w:sz w:val="22"/>
          <w:szCs w:val="20"/>
          <w:lang w:eastAsia="en-US"/>
        </w:rPr>
        <w:t xml:space="preserve">IV. </w:t>
      </w:r>
      <w:r w:rsidRPr="000524D0">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0524D0">
        <w:rPr>
          <w:rFonts w:ascii="Palatino Linotype" w:eastAsiaTheme="minorHAnsi" w:hAnsi="Palatino Linotype" w:cs="Bookman Old Style"/>
          <w:i/>
          <w:color w:val="000000"/>
          <w:sz w:val="22"/>
          <w:szCs w:val="20"/>
          <w:lang w:eastAsia="en-US"/>
        </w:rPr>
        <w:t xml:space="preserve"> </w:t>
      </w:r>
    </w:p>
    <w:p w14:paraId="4D6BA6F0" w14:textId="77777777" w:rsidR="00031EFF" w:rsidRPr="000524D0" w:rsidRDefault="00031EFF" w:rsidP="0050130E">
      <w:pPr>
        <w:spacing w:line="360" w:lineRule="auto"/>
        <w:jc w:val="both"/>
        <w:rPr>
          <w:rFonts w:ascii="Palatino Linotype" w:hAnsi="Palatino Linotype" w:cs="Arial"/>
        </w:rPr>
      </w:pPr>
    </w:p>
    <w:p w14:paraId="35F01B95" w14:textId="750ED1C2" w:rsidR="00087797" w:rsidRPr="000524D0" w:rsidRDefault="008A12CF" w:rsidP="00F30C1D">
      <w:pPr>
        <w:spacing w:line="360" w:lineRule="auto"/>
        <w:jc w:val="both"/>
        <w:rPr>
          <w:rFonts w:ascii="Palatino Linotype" w:hAnsi="Palatino Linotype" w:cs="Arial"/>
        </w:rPr>
      </w:pPr>
      <w:r w:rsidRPr="000524D0">
        <w:rPr>
          <w:rFonts w:ascii="Palatino Linotype" w:hAnsi="Palatino Linotype" w:cs="Arial"/>
        </w:rPr>
        <w:t xml:space="preserve">Por lo que, de la respuesta emitida por parte de la Unidad de Transparencia del </w:t>
      </w:r>
      <w:r w:rsidRPr="000524D0">
        <w:rPr>
          <w:rFonts w:ascii="Palatino Linotype" w:hAnsi="Palatino Linotype" w:cs="Arial"/>
          <w:b/>
        </w:rPr>
        <w:t>Sujeto Obligado</w:t>
      </w:r>
      <w:r w:rsidRPr="000524D0">
        <w:rPr>
          <w:rFonts w:ascii="Palatino Linotype" w:hAnsi="Palatino Linotype" w:cs="Arial"/>
        </w:rPr>
        <w:t xml:space="preserve"> generó, se enuncia cada una de las respuestas proporcionadas, con la </w:t>
      </w:r>
      <w:r w:rsidRPr="000524D0">
        <w:rPr>
          <w:rFonts w:ascii="Palatino Linotype" w:hAnsi="Palatino Linotype" w:cs="Arial"/>
        </w:rPr>
        <w:lastRenderedPageBreak/>
        <w:t>finalidad de saber si se da cumplimiento a todos los requerimientos y si lo motivos de inconformidad resultan procedentes, de conformidad con lo siguiente:</w:t>
      </w:r>
    </w:p>
    <w:p w14:paraId="3B7AFA6A" w14:textId="77777777" w:rsidR="00EA2614" w:rsidRPr="000524D0" w:rsidRDefault="00EA2614" w:rsidP="0011211A">
      <w:pPr>
        <w:ind w:right="567"/>
        <w:jc w:val="both"/>
        <w:rPr>
          <w:rFonts w:ascii="Palatino Linotype" w:hAnsi="Palatino Linotype"/>
          <w:i/>
          <w:sz w:val="22"/>
          <w:szCs w:val="22"/>
        </w:rPr>
      </w:pPr>
    </w:p>
    <w:p w14:paraId="7DD005C5" w14:textId="53A21DF6" w:rsidR="00531CC2" w:rsidRPr="000524D0" w:rsidRDefault="0011211A" w:rsidP="0011211A">
      <w:pPr>
        <w:spacing w:line="360" w:lineRule="auto"/>
        <w:contextualSpacing/>
        <w:jc w:val="both"/>
        <w:rPr>
          <w:rFonts w:ascii="Palatino Linotype" w:eastAsia="Palatino Linotype" w:hAnsi="Palatino Linotype" w:cs="Palatino Linotype"/>
        </w:rPr>
      </w:pPr>
      <w:r w:rsidRPr="000524D0">
        <w:rPr>
          <w:rFonts w:ascii="Palatino Linotype" w:eastAsia="Palatino Linotype" w:hAnsi="Palatino Linotype" w:cs="Palatino Linotype"/>
        </w:rPr>
        <w:t xml:space="preserve">Ahora bien, es oportuno recordar que el </w:t>
      </w:r>
      <w:r w:rsidRPr="000524D0">
        <w:rPr>
          <w:rFonts w:ascii="Palatino Linotype" w:eastAsia="Palatino Linotype" w:hAnsi="Palatino Linotype" w:cs="Palatino Linotype"/>
          <w:b/>
          <w:bCs/>
        </w:rPr>
        <w:t>Recurrente</w:t>
      </w:r>
      <w:r w:rsidRPr="000524D0">
        <w:rPr>
          <w:rFonts w:ascii="Palatino Linotype" w:eastAsia="Palatino Linotype" w:hAnsi="Palatino Linotype" w:cs="Palatino Linotype"/>
        </w:rPr>
        <w:t xml:space="preserve"> solicitó que se le proporcionara,</w:t>
      </w:r>
      <w:r w:rsidRPr="000524D0">
        <w:t xml:space="preserve"> </w:t>
      </w:r>
      <w:r w:rsidRPr="000524D0">
        <w:rPr>
          <w:rFonts w:ascii="Palatino Linotype" w:eastAsia="Palatino Linotype" w:hAnsi="Palatino Linotype" w:cs="Palatino Linotype"/>
        </w:rPr>
        <w:t xml:space="preserve"> los</w:t>
      </w:r>
      <w:r w:rsidR="00531CC2" w:rsidRPr="000524D0">
        <w:rPr>
          <w:rFonts w:ascii="Palatino Linotype" w:eastAsia="Palatino Linotype" w:hAnsi="Palatino Linotype" w:cs="Palatino Linotype"/>
        </w:rPr>
        <w:t xml:space="preserve"> acuses de las solicitudes de información pública recibidos en el periodo que comprende del 01 de enero al 26 de junio de 2025</w:t>
      </w:r>
      <w:r w:rsidRPr="000524D0">
        <w:rPr>
          <w:rFonts w:ascii="Palatino Linotype" w:eastAsia="Palatino Linotype" w:hAnsi="Palatino Linotype" w:cs="Palatino Linotype"/>
        </w:rPr>
        <w:t xml:space="preserve">; a lo que el </w:t>
      </w:r>
      <w:r w:rsidRPr="000524D0">
        <w:rPr>
          <w:rFonts w:ascii="Palatino Linotype" w:eastAsia="Palatino Linotype" w:hAnsi="Palatino Linotype" w:cs="Palatino Linotype"/>
          <w:b/>
          <w:bCs/>
        </w:rPr>
        <w:t>Sujeto Obligado</w:t>
      </w:r>
      <w:r w:rsidRPr="000524D0">
        <w:rPr>
          <w:rFonts w:ascii="Palatino Linotype" w:eastAsia="Palatino Linotype" w:hAnsi="Palatino Linotype" w:cs="Palatino Linotype"/>
        </w:rPr>
        <w:t xml:space="preserve"> informó mediante respuesta a la solicitud</w:t>
      </w:r>
      <w:r w:rsidR="00531CC2" w:rsidRPr="000524D0">
        <w:rPr>
          <w:rFonts w:ascii="Palatino Linotype" w:eastAsia="Palatino Linotype" w:hAnsi="Palatino Linotype" w:cs="Palatino Linotype"/>
        </w:rPr>
        <w:t xml:space="preserve"> que, si bien es cierto, localizó un total de tres mil setecientas trece (3,713) solicitudes, manifestó que se encuentra imposibilitado para entregar la información, pues ello implicaría descargar cada uno de los acuses, revisar que no vengan datos personales, testar dichos datos, mandar a Comité de Transparencia la propuesta de Clasificación y elaborar una versión pública, por lo que tendría que invertir recurso humano y de tiempo para entregar la información ad hoc.</w:t>
      </w:r>
    </w:p>
    <w:p w14:paraId="37A3609E" w14:textId="77777777" w:rsidR="00D2460F" w:rsidRPr="000524D0" w:rsidRDefault="00D2460F" w:rsidP="0011211A">
      <w:pPr>
        <w:spacing w:line="360" w:lineRule="auto"/>
        <w:contextualSpacing/>
        <w:jc w:val="both"/>
        <w:rPr>
          <w:rFonts w:ascii="Palatino Linotype" w:eastAsia="Palatino Linotype" w:hAnsi="Palatino Linotype" w:cs="Palatino Linotype"/>
        </w:rPr>
      </w:pPr>
    </w:p>
    <w:p w14:paraId="42B27D58" w14:textId="105B36AD" w:rsidR="00531CC2" w:rsidRPr="000524D0" w:rsidRDefault="00D2460F" w:rsidP="00531CC2">
      <w:pPr>
        <w:widowControl w:val="0"/>
        <w:autoSpaceDE w:val="0"/>
        <w:autoSpaceDN w:val="0"/>
        <w:adjustRightInd w:val="0"/>
        <w:spacing w:line="360" w:lineRule="auto"/>
        <w:jc w:val="both"/>
        <w:rPr>
          <w:rFonts w:ascii="Palatino Linotype" w:hAnsi="Palatino Linotype"/>
          <w:lang w:val="es-ES" w:eastAsia="es-ES"/>
        </w:rPr>
      </w:pPr>
      <w:r w:rsidRPr="000524D0">
        <w:rPr>
          <w:rFonts w:ascii="Palatino Linotype" w:hAnsi="Palatino Linotype"/>
          <w:lang w:val="es-ES" w:eastAsia="es-ES"/>
        </w:rPr>
        <w:t xml:space="preserve">Una vez sentado lo anterior, y toda vez que la materia elemental de la solicitud de información pública, es referente </w:t>
      </w:r>
      <w:r w:rsidR="00510DB8" w:rsidRPr="000524D0">
        <w:rPr>
          <w:rFonts w:ascii="Palatino Linotype" w:hAnsi="Palatino Linotype"/>
          <w:lang w:val="es-ES" w:eastAsia="es-ES"/>
        </w:rPr>
        <w:t xml:space="preserve">a </w:t>
      </w:r>
      <w:r w:rsidR="00531CC2" w:rsidRPr="000524D0">
        <w:rPr>
          <w:rFonts w:ascii="Palatino Linotype" w:hAnsi="Palatino Linotype"/>
          <w:lang w:val="es-ES" w:eastAsia="es-ES"/>
        </w:rPr>
        <w:t xml:space="preserve">los acuses de las solicitudes de información pública recibidos en el Ayuntamiento de Toluca, es oportuno destacar que </w:t>
      </w:r>
      <w:r w:rsidR="00531CC2" w:rsidRPr="000524D0">
        <w:rPr>
          <w:rFonts w:ascii="Palatino Linotype" w:hAnsi="Palatino Linotype" w:cs="Palatino Linotype"/>
          <w:lang w:val="es-MX"/>
        </w:rPr>
        <w:t xml:space="preserve">que la Unidad de Transparencia del Sujeto Obligado de acuerdo con el Manual de Organización de la Secretaría del Ayuntamiento, tiene las siguientes funciones. </w:t>
      </w:r>
    </w:p>
    <w:p w14:paraId="547F75A7" w14:textId="77777777" w:rsidR="00531CC2" w:rsidRPr="000524D0" w:rsidRDefault="00531CC2" w:rsidP="00531CC2">
      <w:pPr>
        <w:ind w:left="720"/>
        <w:contextualSpacing/>
        <w:rPr>
          <w:rFonts w:ascii="Palatino Linotype" w:hAnsi="Palatino Linotype" w:cs="Palatino Linotype"/>
          <w:sz w:val="22"/>
          <w:szCs w:val="22"/>
          <w:lang w:val="es-MX"/>
        </w:rPr>
      </w:pPr>
    </w:p>
    <w:p w14:paraId="38D17BF5" w14:textId="77777777" w:rsidR="00531CC2" w:rsidRPr="000524D0" w:rsidRDefault="00531CC2" w:rsidP="00531CC2">
      <w:pPr>
        <w:ind w:left="1134" w:right="851"/>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Objetivo </w:t>
      </w:r>
    </w:p>
    <w:p w14:paraId="578D3C3F"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14:paraId="2B573398" w14:textId="77777777" w:rsidR="00531CC2" w:rsidRPr="000524D0" w:rsidRDefault="00531CC2" w:rsidP="00531CC2">
      <w:pPr>
        <w:ind w:left="1134" w:right="851"/>
        <w:jc w:val="both"/>
        <w:rPr>
          <w:rFonts w:ascii="Palatino Linotype" w:hAnsi="Palatino Linotype" w:cs="Palatino Linotype"/>
          <w:b/>
          <w:i/>
          <w:sz w:val="22"/>
          <w:szCs w:val="22"/>
          <w:lang w:val="es-MX"/>
        </w:rPr>
      </w:pPr>
    </w:p>
    <w:p w14:paraId="604D1959" w14:textId="164D3782" w:rsidR="00531CC2" w:rsidRPr="000524D0" w:rsidRDefault="00531CC2" w:rsidP="00531CC2">
      <w:pPr>
        <w:ind w:left="1134" w:right="851"/>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Funciones: </w:t>
      </w:r>
    </w:p>
    <w:p w14:paraId="08D24AB8"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lastRenderedPageBreak/>
        <w:t xml:space="preserve">1. Dirigir y coordinar las actividades de transparencia, acceso a la información y protección de datos personales del Sujeto Obligado, a efecto de que se conduzcan conforme a lo establecido en la normatividad vigente; </w:t>
      </w:r>
    </w:p>
    <w:p w14:paraId="06893117"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 Garantizar el funcionamiento de la Unidad de Transparencia del Sujeto Obligado, para ingresar, actualizar y mantener vigente las obligaciones de información pública en sus respectivos portales de transparencia; </w:t>
      </w:r>
    </w:p>
    <w:p w14:paraId="582CF454"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3. Proveer lo necesario para garantizar a toda persona el derecho de acceso a la información pública, a través de procedimientos sencillos, expeditos, oportunos y gratuitos; </w:t>
      </w:r>
    </w:p>
    <w:p w14:paraId="4FA62477"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14:paraId="33D1BCED"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5. Atender y orientar las solicitudes de acceso a la información pública (SAIMEX), y de acceso, rectificación, cancelación y oposición de datos personales (SARCOEM); además de cumplir con las obligaciones que señala la ley en la materia; </w:t>
      </w:r>
    </w:p>
    <w:p w14:paraId="1049A5D2"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14:paraId="746B14F8" w14:textId="77777777" w:rsidR="00531CC2" w:rsidRPr="000524D0" w:rsidRDefault="00531CC2" w:rsidP="00531CC2">
      <w:pPr>
        <w:ind w:left="1134" w:right="851"/>
        <w:jc w:val="both"/>
        <w:rPr>
          <w:b/>
          <w:i/>
          <w:sz w:val="22"/>
          <w:szCs w:val="22"/>
          <w:lang w:val="es-MX"/>
        </w:rPr>
      </w:pPr>
      <w:r w:rsidRPr="000524D0">
        <w:rPr>
          <w:rFonts w:ascii="Palatino Linotype" w:hAnsi="Palatino Linotype" w:cs="Palatino Linotype"/>
          <w:b/>
          <w:i/>
          <w:sz w:val="22"/>
          <w:szCs w:val="22"/>
          <w:lang w:val="es-MX"/>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0524D0">
        <w:rPr>
          <w:b/>
          <w:i/>
          <w:sz w:val="22"/>
          <w:szCs w:val="22"/>
          <w:lang w:val="es-MX"/>
        </w:rPr>
        <w:t xml:space="preserve"> </w:t>
      </w:r>
    </w:p>
    <w:p w14:paraId="4B106A53" w14:textId="77777777" w:rsidR="00531CC2" w:rsidRPr="000524D0" w:rsidRDefault="00531CC2" w:rsidP="00531CC2">
      <w:pPr>
        <w:ind w:left="1134" w:right="851"/>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14:paraId="4FCBD249"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9. Proponer al Comité de Transparencia, los procedimientos internos que aseguren la mayor eficiencia en la gestión de las solicitudes de acceso a la información, conforme a la normatividad aplicable; </w:t>
      </w:r>
    </w:p>
    <w:p w14:paraId="594F1615"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lastRenderedPageBreak/>
        <w:t xml:space="preserve">10. Proponer a quien preside el Comité de Transparencia, personal habilitado que sea necesario para recibir y dar trámite a las solicitudes de acceso a la información; </w:t>
      </w:r>
    </w:p>
    <w:p w14:paraId="4A0EFC1E"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11. Efectuar las notificaciones a las y los solicitantes de acceso a la información en apego a lo señalado en la normatividad vigente en la materia; </w:t>
      </w:r>
    </w:p>
    <w:p w14:paraId="3BEAF898"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14:paraId="404FB610"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13. Orientar a las y los Servidores Públicos Habilitados del Sujeto Obligado en materia de transparencia, información pública de oficio, clasificación de la información y protección de datos personales; </w:t>
      </w:r>
    </w:p>
    <w:p w14:paraId="4D084B4B"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14. Auxiliar a las y los particulares en la elaboración de solicitudes de acceso a la información y, en su caso, orientarlos sobre los Sujetos Obligados competentes conforme a la normatividad aplicable; </w:t>
      </w:r>
    </w:p>
    <w:p w14:paraId="523D6106"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15. Garantizar y atender las determinaciones del Instituto de Transparencia y Acceso a la Información Pública del Estado de México y Municipios; </w:t>
      </w:r>
    </w:p>
    <w:p w14:paraId="17C008C9"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16. Establecer mecanismos para asegurar que los datos personales en posesión del Sujeto Obligado, sólo se entreguen a su titular o su representante debidamente acreditado; </w:t>
      </w:r>
    </w:p>
    <w:p w14:paraId="3D1DC62F" w14:textId="77777777" w:rsidR="00531CC2" w:rsidRPr="000524D0" w:rsidRDefault="00531CC2" w:rsidP="00531CC2">
      <w:pPr>
        <w:ind w:left="1134" w:right="851"/>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14:paraId="3A48D7A2"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18. Promover e implementar políticas de transparencia proactiva y de interés público procurando su accesibilidad; </w:t>
      </w:r>
    </w:p>
    <w:p w14:paraId="17854489"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19. Contribuir a la mejora de procedimientos y mecanismos que permitan transparentar la gestión pública y mejorar la toma de decisiones de la ciudadanía; </w:t>
      </w:r>
    </w:p>
    <w:p w14:paraId="6EA2F7B6" w14:textId="77777777" w:rsidR="00531CC2" w:rsidRPr="000524D0" w:rsidRDefault="00531CC2" w:rsidP="00531CC2">
      <w:pPr>
        <w:ind w:left="1134" w:right="851"/>
        <w:jc w:val="both"/>
        <w:rPr>
          <w:i/>
          <w:sz w:val="22"/>
          <w:szCs w:val="22"/>
          <w:lang w:val="es-MX"/>
        </w:rPr>
      </w:pPr>
      <w:r w:rsidRPr="000524D0">
        <w:rPr>
          <w:rFonts w:ascii="Palatino Linotype" w:hAnsi="Palatino Linotype" w:cs="Palatino Linotype"/>
          <w:i/>
          <w:sz w:val="22"/>
          <w:szCs w:val="22"/>
          <w:lang w:val="es-MX"/>
        </w:rPr>
        <w:t>20. Fomentar y coordinar políticas públicas para implementar la transparencia y accesibilidad al interior del Sujeto Obligado;</w:t>
      </w:r>
      <w:r w:rsidRPr="000524D0">
        <w:rPr>
          <w:i/>
          <w:sz w:val="22"/>
          <w:szCs w:val="22"/>
          <w:lang w:val="es-MX"/>
        </w:rPr>
        <w:t xml:space="preserve"> </w:t>
      </w:r>
    </w:p>
    <w:p w14:paraId="7D05E6F1"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14:paraId="6679A60E"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22. Promover y establecer un programa de capacitación en materia de transparencia, acceso a la información, accesibilidad y protección de datos personales, para las y los servidores públicos habilitados o integrantes del Sujeto Obligado; </w:t>
      </w:r>
    </w:p>
    <w:p w14:paraId="63E466B0"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lastRenderedPageBreak/>
        <w:t xml:space="preserve">23. Hacer del conocimiento de la instancia competente la probable responsabilidad por el incumplimiento de las obligaciones previstas en la normatividad vigente en la materia de acceso a la información pública y protección de datos personales; </w:t>
      </w:r>
    </w:p>
    <w:p w14:paraId="4C445497"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24. Informar a la o el solicitante o su representante el monto de los costos a cubrir por la reproducción de información y/o envío de los datos personales, con base en lo establecido en las disposiciones normativas aplicables; </w:t>
      </w:r>
    </w:p>
    <w:p w14:paraId="746DF8D9"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25. Observar la incorporación de principios y políticas de transparencia en la operatividad de la gestión de la administración pública municipal; </w:t>
      </w:r>
    </w:p>
    <w:p w14:paraId="39F08E6D"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14:paraId="5C94AD29"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27. Elaborar, establecer y ejecutar el Programa Anual de Sistematización y Actualización de la Información del Sujeto Obligado; y </w:t>
      </w:r>
    </w:p>
    <w:p w14:paraId="4EC3D543" w14:textId="77777777" w:rsidR="00531CC2" w:rsidRPr="000524D0" w:rsidRDefault="00531CC2" w:rsidP="00531CC2">
      <w:pPr>
        <w:ind w:left="1134" w:right="851"/>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28. Realizar todas aquellas actividades que sean inherentes y aplicables al área de su competencia</w:t>
      </w:r>
    </w:p>
    <w:p w14:paraId="34A8C8C5" w14:textId="77777777" w:rsidR="00531CC2" w:rsidRPr="000524D0" w:rsidRDefault="00531CC2" w:rsidP="00531CC2">
      <w:pPr>
        <w:spacing w:line="360" w:lineRule="auto"/>
        <w:ind w:right="49"/>
        <w:jc w:val="both"/>
        <w:rPr>
          <w:rFonts w:ascii="Palatino Linotype" w:hAnsi="Palatino Linotype" w:cs="Palatino Linotype"/>
          <w:sz w:val="22"/>
          <w:szCs w:val="22"/>
          <w:lang w:val="es-MX"/>
        </w:rPr>
      </w:pPr>
    </w:p>
    <w:p w14:paraId="2E0F1518" w14:textId="1E52F696" w:rsidR="00531CC2" w:rsidRPr="000524D0" w:rsidRDefault="00531CC2" w:rsidP="00531CC2">
      <w:pPr>
        <w:spacing w:line="360" w:lineRule="auto"/>
        <w:ind w:right="49"/>
        <w:jc w:val="both"/>
        <w:rPr>
          <w:rFonts w:ascii="Palatino Linotype" w:hAnsi="Palatino Linotype" w:cs="Palatino Linotype"/>
          <w:lang w:val="es-MX"/>
        </w:rPr>
      </w:pPr>
      <w:r w:rsidRPr="000524D0">
        <w:rPr>
          <w:rFonts w:ascii="Palatino Linotype" w:hAnsi="Palatino Linotype" w:cs="Palatino Linotype"/>
          <w:lang w:val="es-MX"/>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w:t>
      </w:r>
      <w:r w:rsidRPr="000524D0">
        <w:rPr>
          <w:rFonts w:ascii="Palatino Linotype" w:hAnsi="Palatino Linotype" w:cs="Palatino Linotype"/>
          <w:u w:val="single"/>
          <w:lang w:val="es-MX"/>
        </w:rPr>
        <w:t>llevar un registro de las solicitudes de acceso a la información, sus respuestas, resultados, costos de reproducción y envío, resolución a los recursos de revisión que se hayan emitido en contra de sus respuestas y del cumplimiento de las mismas</w:t>
      </w:r>
      <w:r w:rsidRPr="000524D0">
        <w:rPr>
          <w:rFonts w:ascii="Palatino Linotype" w:hAnsi="Palatino Linotype" w:cs="Palatino Linotype"/>
          <w:lang w:val="es-MX"/>
        </w:rPr>
        <w:t xml:space="preserve">. </w:t>
      </w:r>
    </w:p>
    <w:p w14:paraId="48995891" w14:textId="77777777" w:rsidR="00531CC2" w:rsidRPr="000524D0" w:rsidRDefault="00531CC2" w:rsidP="00531CC2">
      <w:pPr>
        <w:spacing w:line="360" w:lineRule="auto"/>
        <w:ind w:right="49"/>
        <w:jc w:val="both"/>
        <w:rPr>
          <w:rFonts w:ascii="Palatino Linotype" w:hAnsi="Palatino Linotype" w:cs="Palatino Linotype"/>
          <w:sz w:val="22"/>
          <w:szCs w:val="22"/>
          <w:lang w:val="es-MX"/>
        </w:rPr>
      </w:pPr>
    </w:p>
    <w:p w14:paraId="54C85001" w14:textId="6FCA8D3D" w:rsidR="00531CC2" w:rsidRPr="000524D0" w:rsidRDefault="00531CC2" w:rsidP="00531CC2">
      <w:pPr>
        <w:spacing w:line="360" w:lineRule="auto"/>
        <w:ind w:right="49"/>
        <w:jc w:val="both"/>
        <w:rPr>
          <w:rFonts w:ascii="Palatino Linotype" w:hAnsi="Palatino Linotype" w:cs="Palatino Linotype"/>
          <w:lang w:val="es-MX"/>
        </w:rPr>
      </w:pPr>
      <w:r w:rsidRPr="000524D0">
        <w:rPr>
          <w:rFonts w:ascii="Palatino Linotype" w:hAnsi="Palatino Linotype" w:cs="Palatino Linotype"/>
          <w:lang w:val="es-MX"/>
        </w:rPr>
        <w:t xml:space="preserve">Ahora bien, la Ley de Transparencia y Acceso a la Información Pública del Estado de México y Municipios, regula que los servidores públicos habilitados tienen las siguientes funciones. </w:t>
      </w:r>
    </w:p>
    <w:p w14:paraId="23B21E24" w14:textId="77777777" w:rsidR="00531CC2" w:rsidRPr="000524D0" w:rsidRDefault="00531CC2" w:rsidP="00531CC2">
      <w:pPr>
        <w:ind w:left="720"/>
        <w:contextualSpacing/>
        <w:rPr>
          <w:rFonts w:ascii="Palatino Linotype" w:hAnsi="Palatino Linotype" w:cs="Palatino Linotype"/>
          <w:b/>
          <w:sz w:val="22"/>
          <w:szCs w:val="22"/>
          <w:lang w:val="es-MX"/>
        </w:rPr>
      </w:pPr>
    </w:p>
    <w:p w14:paraId="033B1483" w14:textId="77777777" w:rsidR="00531CC2" w:rsidRPr="000524D0" w:rsidRDefault="00531CC2" w:rsidP="00531CC2">
      <w:pPr>
        <w:ind w:left="1134" w:right="851"/>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lastRenderedPageBreak/>
        <w:t xml:space="preserve">Artículo 59. Los servidores públicos habilitados tendrán las funciones siguientes: </w:t>
      </w:r>
    </w:p>
    <w:p w14:paraId="0C8E995E" w14:textId="77777777" w:rsidR="00531CC2" w:rsidRPr="000524D0" w:rsidRDefault="00531CC2" w:rsidP="007525DE">
      <w:pPr>
        <w:numPr>
          <w:ilvl w:val="0"/>
          <w:numId w:val="8"/>
        </w:numPr>
        <w:ind w:left="1134" w:right="851" w:firstLine="0"/>
        <w:contextualSpacing/>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Localizar la información que le solicite la Unidad de Transparencia; </w:t>
      </w:r>
    </w:p>
    <w:p w14:paraId="559E7255" w14:textId="77777777" w:rsidR="00531CC2" w:rsidRPr="000524D0" w:rsidRDefault="00531CC2" w:rsidP="00531CC2">
      <w:pPr>
        <w:ind w:left="1134" w:right="851"/>
        <w:contextualSpacing/>
        <w:jc w:val="both"/>
        <w:rPr>
          <w:rFonts w:ascii="Palatino Linotype" w:hAnsi="Palatino Linotype" w:cs="Palatino Linotype"/>
          <w:b/>
          <w:i/>
          <w:sz w:val="22"/>
          <w:szCs w:val="22"/>
          <w:lang w:val="es-MX"/>
        </w:rPr>
      </w:pPr>
      <w:r w:rsidRPr="000524D0">
        <w:rPr>
          <w:rFonts w:ascii="Palatino Linotype" w:hAnsi="Palatino Linotype" w:cs="Palatino Linotype"/>
          <w:b/>
          <w:i/>
          <w:sz w:val="22"/>
          <w:szCs w:val="22"/>
          <w:lang w:val="es-MX"/>
        </w:rPr>
        <w:t xml:space="preserve">II. Proporcionar la información que obre en los archivos y que le sea solicitada por la Unidad de Transparencia; </w:t>
      </w:r>
    </w:p>
    <w:p w14:paraId="3A9506C7"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III. Apoyar a la Unidad de Transparencia en lo que esta le solicite para el cumplimiento de sus funciones;</w:t>
      </w:r>
      <w:r w:rsidRPr="000524D0">
        <w:rPr>
          <w:i/>
          <w:sz w:val="22"/>
          <w:szCs w:val="22"/>
          <w:lang w:val="es-MX"/>
        </w:rPr>
        <w:t xml:space="preserve"> </w:t>
      </w:r>
    </w:p>
    <w:p w14:paraId="0231DE08"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IV. Proporcionar a la Unidad de Transparencia, las modificaciones a la información pública de oficio que obre en su poder; </w:t>
      </w:r>
    </w:p>
    <w:p w14:paraId="4E1F954C"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b/>
          <w:i/>
          <w:sz w:val="22"/>
          <w:szCs w:val="22"/>
          <w:lang w:val="es-MX"/>
        </w:rPr>
        <w:t>V. Integrar y presentar al responsable de la Unidad de Transparencia la propuesta de clasificación de información, la cual tendrá los fundamentos y argumentos en que se basa dicha propuesta</w:t>
      </w:r>
      <w:r w:rsidRPr="000524D0">
        <w:rPr>
          <w:rFonts w:ascii="Palatino Linotype" w:hAnsi="Palatino Linotype" w:cs="Palatino Linotype"/>
          <w:i/>
          <w:sz w:val="22"/>
          <w:szCs w:val="22"/>
          <w:lang w:val="es-MX"/>
        </w:rPr>
        <w:t xml:space="preserve">; </w:t>
      </w:r>
    </w:p>
    <w:p w14:paraId="2CAF6DE3"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 xml:space="preserve">VI. Verificar, una vez analizado el contenido de la información, que no se encuentre en los supuestos de información clasificada; y </w:t>
      </w:r>
    </w:p>
    <w:p w14:paraId="61176FCF"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i/>
          <w:sz w:val="22"/>
          <w:szCs w:val="22"/>
          <w:lang w:val="es-MX"/>
        </w:rPr>
        <w:t>VII. Dar cuenta a la Unidad de Transparencia del vencimiento de los plazos de reserva.</w:t>
      </w:r>
    </w:p>
    <w:p w14:paraId="7CF61354" w14:textId="77777777" w:rsidR="00531CC2" w:rsidRPr="000524D0" w:rsidRDefault="00531CC2" w:rsidP="00531CC2">
      <w:pPr>
        <w:ind w:left="1134" w:right="851"/>
        <w:contextualSpacing/>
        <w:jc w:val="both"/>
        <w:rPr>
          <w:rFonts w:ascii="Palatino Linotype" w:hAnsi="Palatino Linotype" w:cs="Palatino Linotype"/>
          <w:i/>
          <w:sz w:val="22"/>
          <w:szCs w:val="22"/>
          <w:lang w:val="es-MX"/>
        </w:rPr>
      </w:pPr>
    </w:p>
    <w:p w14:paraId="3330AD68" w14:textId="7BACEA83" w:rsidR="00531CC2" w:rsidRPr="000524D0" w:rsidRDefault="00531CC2" w:rsidP="00531CC2">
      <w:pPr>
        <w:ind w:left="1134" w:right="851"/>
        <w:contextualSpacing/>
        <w:jc w:val="both"/>
        <w:rPr>
          <w:rFonts w:ascii="Palatino Linotype" w:hAnsi="Palatino Linotype" w:cs="Palatino Linotype"/>
          <w:i/>
          <w:sz w:val="22"/>
          <w:szCs w:val="22"/>
          <w:lang w:val="es-MX"/>
        </w:rPr>
      </w:pPr>
      <w:r w:rsidRPr="000524D0">
        <w:rPr>
          <w:rFonts w:ascii="Palatino Linotype" w:hAnsi="Palatino Linotype" w:cs="Palatino Linotype"/>
          <w:b/>
          <w:bCs/>
          <w:i/>
          <w:sz w:val="22"/>
          <w:szCs w:val="22"/>
        </w:rPr>
        <w:t>Artículo 52</w:t>
      </w:r>
      <w:r w:rsidRPr="000524D0">
        <w:rPr>
          <w:rFonts w:ascii="Palatino Linotype" w:hAnsi="Palatino Linotype" w:cs="Palatino Linotype"/>
          <w:i/>
          <w:sz w:val="22"/>
          <w:szCs w:val="22"/>
        </w:rPr>
        <w:t xml:space="preserve">. </w:t>
      </w:r>
      <w:r w:rsidRPr="000524D0">
        <w:rPr>
          <w:rFonts w:ascii="Palatino Linotype" w:hAnsi="Palatino Linotype" w:cs="Palatino Linotype"/>
          <w:i/>
          <w:sz w:val="22"/>
          <w:szCs w:val="22"/>
          <w:u w:val="single"/>
        </w:rPr>
        <w:t>Las solicitudes de acceso a la información</w:t>
      </w:r>
      <w:r w:rsidRPr="000524D0">
        <w:rPr>
          <w:rFonts w:ascii="Palatino Linotype" w:hAnsi="Palatino Linotype" w:cs="Palatino Linotype"/>
          <w:i/>
          <w:sz w:val="22"/>
          <w:szCs w:val="22"/>
        </w:rPr>
        <w:t xml:space="preserve"> y las respuestas que se les dé, incluyendo, en su caso, la información entregada, así como las resoluciones a los recursos que en su caso se promuevan </w:t>
      </w:r>
      <w:r w:rsidRPr="000524D0">
        <w:rPr>
          <w:rFonts w:ascii="Palatino Linotype" w:hAnsi="Palatino Linotype" w:cs="Palatino Linotype"/>
          <w:b/>
          <w:bCs/>
          <w:i/>
          <w:sz w:val="22"/>
          <w:szCs w:val="22"/>
          <w:u w:val="single"/>
        </w:rPr>
        <w:t>serán públicas</w:t>
      </w:r>
      <w:r w:rsidRPr="000524D0">
        <w:rPr>
          <w:rFonts w:ascii="Palatino Linotype" w:hAnsi="Palatino Linotype" w:cs="Palatino Linotype"/>
          <w:i/>
          <w:sz w:val="22"/>
          <w:szCs w:val="22"/>
        </w:rPr>
        <w:t xml:space="preserve">, y </w:t>
      </w:r>
      <w:r w:rsidRPr="000524D0">
        <w:rPr>
          <w:rFonts w:ascii="Palatino Linotype" w:hAnsi="Palatino Linotype" w:cs="Palatino Linotype"/>
          <w:i/>
          <w:sz w:val="22"/>
          <w:szCs w:val="22"/>
          <w:u w:val="single"/>
        </w:rPr>
        <w:t>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524D0">
        <w:rPr>
          <w:rFonts w:ascii="Palatino Linotype" w:hAnsi="Palatino Linotype" w:cs="Palatino Linotype"/>
          <w:i/>
          <w:sz w:val="22"/>
          <w:szCs w:val="22"/>
        </w:rPr>
        <w:t>.</w:t>
      </w:r>
    </w:p>
    <w:p w14:paraId="4D806BE0" w14:textId="77777777" w:rsidR="00531CC2" w:rsidRPr="000524D0" w:rsidRDefault="00531CC2" w:rsidP="00531CC2">
      <w:pPr>
        <w:spacing w:line="360" w:lineRule="auto"/>
        <w:ind w:right="49"/>
        <w:jc w:val="both"/>
        <w:rPr>
          <w:rFonts w:ascii="Palatino Linotype" w:hAnsi="Palatino Linotype" w:cs="Palatino Linotype"/>
          <w:sz w:val="22"/>
          <w:szCs w:val="22"/>
          <w:lang w:val="es-MX"/>
        </w:rPr>
      </w:pPr>
    </w:p>
    <w:p w14:paraId="5A06720C" w14:textId="39D496B0" w:rsidR="00531CC2" w:rsidRPr="000524D0" w:rsidRDefault="00531CC2" w:rsidP="00531CC2">
      <w:pPr>
        <w:spacing w:line="360" w:lineRule="auto"/>
        <w:ind w:right="49"/>
        <w:jc w:val="both"/>
        <w:rPr>
          <w:rFonts w:ascii="Palatino Linotype" w:hAnsi="Palatino Linotype" w:cs="Palatino Linotype"/>
          <w:lang w:val="es-MX"/>
        </w:rPr>
      </w:pPr>
      <w:r w:rsidRPr="000524D0">
        <w:rPr>
          <w:rFonts w:ascii="Palatino Linotype" w:hAnsi="Palatino Linotype" w:cs="Palatino Linotype"/>
          <w:lang w:val="es-MX"/>
        </w:rPr>
        <w:t xml:space="preserve">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 así como hacer públicas las solicitudes de acceso a la información que obren en sus archivos; situación por la cual se colige que dentro de los archivos del </w:t>
      </w:r>
      <w:r w:rsidRPr="000524D0">
        <w:rPr>
          <w:rFonts w:ascii="Palatino Linotype" w:hAnsi="Palatino Linotype" w:cs="Palatino Linotype"/>
          <w:b/>
          <w:lang w:val="es-MX"/>
        </w:rPr>
        <w:t xml:space="preserve">Sujeto Obligado </w:t>
      </w:r>
      <w:r w:rsidRPr="000524D0">
        <w:rPr>
          <w:rFonts w:ascii="Palatino Linotype" w:hAnsi="Palatino Linotype" w:cs="Palatino Linotype"/>
          <w:lang w:val="es-MX"/>
        </w:rPr>
        <w:t xml:space="preserve">se encuentran los acuses solicitudes de información, situación por la cual se desestima el hecho de que el </w:t>
      </w:r>
      <w:r w:rsidRPr="000524D0">
        <w:rPr>
          <w:rFonts w:ascii="Palatino Linotype" w:hAnsi="Palatino Linotype" w:cs="Palatino Linotype"/>
          <w:b/>
          <w:lang w:val="es-MX"/>
        </w:rPr>
        <w:t xml:space="preserve">Sujeto Obligado </w:t>
      </w:r>
      <w:r w:rsidRPr="000524D0">
        <w:rPr>
          <w:rFonts w:ascii="Palatino Linotype" w:hAnsi="Palatino Linotype" w:cs="Palatino Linotype"/>
          <w:lang w:val="es-MX"/>
        </w:rPr>
        <w:t xml:space="preserve">refiera que el entregar los acuses de las solicitudes y recursos de </w:t>
      </w:r>
      <w:r w:rsidRPr="000524D0">
        <w:rPr>
          <w:rFonts w:ascii="Palatino Linotype" w:hAnsi="Palatino Linotype" w:cs="Palatino Linotype"/>
          <w:lang w:val="es-MX"/>
        </w:rPr>
        <w:lastRenderedPageBreak/>
        <w:t xml:space="preserve">revisión signifique un procesamiento, toda vez que  la información ya se encuentra generada en el sistema SAIMEX. </w:t>
      </w:r>
    </w:p>
    <w:p w14:paraId="509AE3C6" w14:textId="77777777" w:rsidR="00510DB8" w:rsidRPr="000524D0" w:rsidRDefault="00510DB8" w:rsidP="00564825">
      <w:pPr>
        <w:widowControl w:val="0"/>
        <w:autoSpaceDE w:val="0"/>
        <w:autoSpaceDN w:val="0"/>
        <w:adjustRightInd w:val="0"/>
        <w:spacing w:line="360" w:lineRule="auto"/>
        <w:jc w:val="both"/>
        <w:rPr>
          <w:rFonts w:ascii="Palatino Linotype" w:hAnsi="Palatino Linotype"/>
          <w:lang w:val="es-ES" w:eastAsia="es-ES"/>
        </w:rPr>
      </w:pPr>
    </w:p>
    <w:p w14:paraId="5DA33525" w14:textId="77777777" w:rsidR="002F5F3E" w:rsidRPr="000524D0" w:rsidRDefault="00FC471D" w:rsidP="002F5F3E">
      <w:pPr>
        <w:spacing w:line="360" w:lineRule="auto"/>
        <w:ind w:right="-93"/>
        <w:jc w:val="both"/>
        <w:rPr>
          <w:rFonts w:ascii="Palatino Linotype" w:hAnsi="Palatino Linotype" w:cs="Tahoma"/>
          <w:bCs/>
          <w:lang w:eastAsia="en-US"/>
        </w:rPr>
      </w:pPr>
      <w:r w:rsidRPr="000524D0">
        <w:rPr>
          <w:rFonts w:ascii="Palatino Linotype" w:eastAsia="Calibri" w:hAnsi="Palatino Linotype" w:cs="Arial"/>
          <w:lang w:val="es-MX" w:eastAsia="en-US"/>
        </w:rPr>
        <w:t>P</w:t>
      </w:r>
      <w:r w:rsidR="00D2460F" w:rsidRPr="000524D0">
        <w:rPr>
          <w:rFonts w:ascii="Palatino Linotype" w:eastAsia="Calibri" w:hAnsi="Palatino Linotype" w:cs="Arial"/>
          <w:lang w:val="es-MX" w:eastAsia="en-US"/>
        </w:rPr>
        <w:t xml:space="preserve">or </w:t>
      </w:r>
      <w:r w:rsidRPr="000524D0">
        <w:rPr>
          <w:rFonts w:ascii="Palatino Linotype" w:eastAsia="Calibri" w:hAnsi="Palatino Linotype" w:cs="Arial"/>
          <w:lang w:val="es-MX" w:eastAsia="en-US"/>
        </w:rPr>
        <w:t>lo antes expuesto, se advierte que</w:t>
      </w:r>
      <w:r w:rsidR="00D2460F" w:rsidRPr="000524D0">
        <w:rPr>
          <w:rFonts w:ascii="Palatino Linotype" w:eastAsia="Calibri" w:hAnsi="Palatino Linotype" w:cs="Arial"/>
          <w:lang w:val="es-MX" w:eastAsia="en-US"/>
        </w:rPr>
        <w:t xml:space="preserve"> el Sujeto Obligado debe contar con la información requerida</w:t>
      </w:r>
      <w:r w:rsidRPr="000524D0">
        <w:rPr>
          <w:rFonts w:ascii="Palatino Linotype" w:eastAsia="Calibri" w:hAnsi="Palatino Linotype" w:cs="Arial"/>
          <w:lang w:val="es-MX" w:eastAsia="en-US"/>
        </w:rPr>
        <w:t xml:space="preserve">, consistente en </w:t>
      </w:r>
      <w:r w:rsidR="002F5F3E" w:rsidRPr="000524D0">
        <w:rPr>
          <w:rFonts w:ascii="Palatino Linotype" w:eastAsia="Calibri" w:hAnsi="Palatino Linotype" w:cs="Arial"/>
          <w:lang w:val="es-MX" w:eastAsia="en-US"/>
        </w:rPr>
        <w:t>los acuses de las solicitudes de información pública recibidos en el periodo que comprende del 01 de enero al 26 de junio de 2025</w:t>
      </w:r>
      <w:r w:rsidRPr="000524D0">
        <w:rPr>
          <w:rFonts w:ascii="Palatino Linotype" w:eastAsia="Calibri" w:hAnsi="Palatino Linotype" w:cs="Arial"/>
          <w:lang w:val="es-MX" w:eastAsia="en-US"/>
        </w:rPr>
        <w:t xml:space="preserve">, mismo que </w:t>
      </w:r>
      <w:r w:rsidR="006E433F" w:rsidRPr="000524D0">
        <w:rPr>
          <w:rFonts w:ascii="Palatino Linotype" w:hAnsi="Palatino Linotype" w:cs="Arial"/>
        </w:rPr>
        <w:t>cumple con los elementos que colman el requerimiento del ciudadano, ya que existe la obligació</w:t>
      </w:r>
      <w:r w:rsidR="002F5F3E" w:rsidRPr="000524D0">
        <w:rPr>
          <w:rFonts w:ascii="Palatino Linotype" w:hAnsi="Palatino Linotype" w:cs="Arial"/>
        </w:rPr>
        <w:t xml:space="preserve">n de hacer pública la información requerida por la parte </w:t>
      </w:r>
      <w:r w:rsidR="002F5F3E" w:rsidRPr="000524D0">
        <w:rPr>
          <w:rFonts w:ascii="Palatino Linotype" w:hAnsi="Palatino Linotype" w:cs="Arial"/>
          <w:b/>
          <w:bCs/>
        </w:rPr>
        <w:t>Recurrente</w:t>
      </w:r>
      <w:r w:rsidR="00E94FB9" w:rsidRPr="000524D0">
        <w:rPr>
          <w:rFonts w:ascii="Palatino Linotype" w:eastAsiaTheme="minorHAnsi" w:hAnsi="Palatino Linotype" w:cs="Arial"/>
          <w:lang w:eastAsia="en-US"/>
        </w:rPr>
        <w:t>, por ello es dable ordenar una búsqueda exhaustiva y razonable de la información solicitada y la entrega</w:t>
      </w:r>
      <w:r w:rsidR="002F5F3E" w:rsidRPr="000524D0">
        <w:rPr>
          <w:rFonts w:ascii="Palatino Linotype" w:eastAsiaTheme="minorHAnsi" w:hAnsi="Palatino Linotype" w:cs="Arial"/>
          <w:lang w:eastAsia="en-US"/>
        </w:rPr>
        <w:t xml:space="preserve"> de la misma en la modalidad elegida por el solicitante, </w:t>
      </w:r>
      <w:r w:rsidR="002F5F3E" w:rsidRPr="000524D0">
        <w:rPr>
          <w:rFonts w:ascii="Palatino Linotype" w:hAnsi="Palatino Linotype" w:cs="Tahoma"/>
          <w:bCs/>
          <w:lang w:eastAsia="en-US"/>
        </w:rPr>
        <w:t>es decir, a través del SAIMEX.</w:t>
      </w:r>
    </w:p>
    <w:p w14:paraId="3FEDF063" w14:textId="77777777" w:rsidR="00E94FB9" w:rsidRPr="000524D0" w:rsidRDefault="00E94FB9" w:rsidP="00E94FB9">
      <w:pPr>
        <w:spacing w:line="360" w:lineRule="auto"/>
        <w:jc w:val="both"/>
        <w:rPr>
          <w:rFonts w:ascii="Palatino Linotype" w:hAnsi="Palatino Linotype" w:cs="Tahoma"/>
        </w:rPr>
      </w:pPr>
    </w:p>
    <w:p w14:paraId="2CC1BC23" w14:textId="47D10208" w:rsidR="002F5F3E" w:rsidRPr="000524D0" w:rsidRDefault="006F596B" w:rsidP="002F5F3E">
      <w:pPr>
        <w:spacing w:line="360" w:lineRule="auto"/>
        <w:jc w:val="both"/>
        <w:rPr>
          <w:rFonts w:ascii="Palatino Linotype" w:eastAsia="Calibri" w:hAnsi="Palatino Linotype" w:cs="Tahoma"/>
          <w:bCs/>
          <w:color w:val="000000"/>
        </w:rPr>
      </w:pPr>
      <w:r w:rsidRPr="000524D0">
        <w:rPr>
          <w:rFonts w:ascii="Palatino Linotype" w:hAnsi="Palatino Linotype" w:cs="Tahoma"/>
        </w:rPr>
        <w:t xml:space="preserve">Por lo anteriormente visto, se concluye que el </w:t>
      </w:r>
      <w:r w:rsidRPr="000524D0">
        <w:rPr>
          <w:rFonts w:ascii="Palatino Linotype" w:hAnsi="Palatino Linotype" w:cs="Tahoma"/>
          <w:b/>
        </w:rPr>
        <w:t>Sujeto Obligado</w:t>
      </w:r>
      <w:r w:rsidRPr="000524D0">
        <w:rPr>
          <w:rFonts w:ascii="Palatino Linotype" w:hAnsi="Palatino Linotype" w:cs="Tahoma"/>
        </w:rPr>
        <w:t xml:space="preserve">, </w:t>
      </w:r>
      <w:r w:rsidRPr="000524D0">
        <w:rPr>
          <w:rFonts w:ascii="Palatino Linotype" w:eastAsia="Calibri" w:hAnsi="Palatino Linotype" w:cs="Tahoma"/>
          <w:bCs/>
          <w:color w:val="000000"/>
        </w:rPr>
        <w:t xml:space="preserve">debe hacer entrega de ser procedente en versión pública, </w:t>
      </w:r>
      <w:r w:rsidR="008B0926" w:rsidRPr="000524D0">
        <w:rPr>
          <w:rFonts w:ascii="Palatino Linotype" w:eastAsia="Calibri" w:hAnsi="Palatino Linotype" w:cs="Tahoma"/>
          <w:bCs/>
          <w:color w:val="000000"/>
        </w:rPr>
        <w:t>de los documentos precisados con anterioridad</w:t>
      </w:r>
      <w:r w:rsidR="002F5F3E" w:rsidRPr="000524D0">
        <w:rPr>
          <w:rFonts w:ascii="Palatino Linotype" w:eastAsiaTheme="minorHAnsi" w:hAnsi="Palatino Linotype" w:cstheme="minorBidi"/>
        </w:rPr>
        <w:t xml:space="preserve">; sin embargo, </w:t>
      </w:r>
      <w:r w:rsidR="002F5F3E" w:rsidRPr="000524D0">
        <w:rPr>
          <w:rFonts w:ascii="Palatino Linotype" w:eastAsia="Calibri" w:hAnsi="Palatino Linotype" w:cs="Tahoma"/>
          <w:color w:val="000000"/>
          <w:lang w:val="es-MX" w:eastAsia="en-US"/>
          <w14:ligatures w14:val="standardContextual"/>
        </w:rPr>
        <w:t>de la revisión de las solicitudes, estas contienen los siguientes datos:</w:t>
      </w:r>
    </w:p>
    <w:p w14:paraId="1F5B5366" w14:textId="77777777" w:rsidR="002F5F3E" w:rsidRPr="000524D0" w:rsidRDefault="002F5F3E" w:rsidP="002F5F3E">
      <w:pPr>
        <w:spacing w:line="360" w:lineRule="auto"/>
        <w:contextualSpacing/>
        <w:jc w:val="both"/>
        <w:rPr>
          <w:rFonts w:ascii="Palatino Linotype" w:eastAsia="Calibri" w:hAnsi="Palatino Linotype" w:cs="Tahoma"/>
          <w:color w:val="000000"/>
          <w:lang w:val="es-MX" w:eastAsia="en-US"/>
          <w14:ligatures w14:val="standardContextual"/>
        </w:rPr>
      </w:pPr>
    </w:p>
    <w:p w14:paraId="0D9B2AE0" w14:textId="77777777" w:rsidR="002F5F3E" w:rsidRPr="000524D0" w:rsidRDefault="002F5F3E" w:rsidP="007525DE">
      <w:pPr>
        <w:numPr>
          <w:ilvl w:val="0"/>
          <w:numId w:val="9"/>
        </w:numPr>
        <w:spacing w:after="160" w:line="360" w:lineRule="auto"/>
        <w:contextualSpacing/>
        <w:jc w:val="both"/>
        <w:rPr>
          <w:rFonts w:ascii="Palatino Linotype" w:eastAsia="Calibri" w:hAnsi="Palatino Linotype" w:cs="Tahoma"/>
          <w:color w:val="000000"/>
          <w:lang w:val="es-MX" w:eastAsia="en-US"/>
          <w14:ligatures w14:val="standardContextual"/>
        </w:rPr>
      </w:pPr>
      <w:r w:rsidRPr="000524D0">
        <w:rPr>
          <w:rFonts w:ascii="Palatino Linotype" w:eastAsia="Calibri" w:hAnsi="Palatino Linotype" w:cs="Tahoma"/>
          <w:color w:val="000000"/>
          <w:lang w:val="es-MX" w:eastAsia="en-US"/>
          <w14:ligatures w14:val="standardContextual"/>
        </w:rPr>
        <w:t>Nombre de particulares;</w:t>
      </w:r>
    </w:p>
    <w:p w14:paraId="14C89D68" w14:textId="77777777" w:rsidR="002F5F3E" w:rsidRPr="000524D0" w:rsidRDefault="002F5F3E" w:rsidP="007525DE">
      <w:pPr>
        <w:numPr>
          <w:ilvl w:val="0"/>
          <w:numId w:val="9"/>
        </w:numPr>
        <w:spacing w:after="160" w:line="360" w:lineRule="auto"/>
        <w:contextualSpacing/>
        <w:jc w:val="both"/>
        <w:rPr>
          <w:rFonts w:ascii="Palatino Linotype" w:eastAsia="Calibri" w:hAnsi="Palatino Linotype" w:cs="Tahoma"/>
          <w:color w:val="000000"/>
          <w:lang w:val="es-MX" w:eastAsia="en-US"/>
          <w14:ligatures w14:val="standardContextual"/>
        </w:rPr>
      </w:pPr>
      <w:r w:rsidRPr="000524D0">
        <w:rPr>
          <w:rFonts w:ascii="Palatino Linotype" w:eastAsia="Calibri" w:hAnsi="Palatino Linotype" w:cs="Tahoma"/>
          <w:color w:val="000000"/>
          <w:lang w:val="es-MX" w:eastAsia="en-US"/>
          <w14:ligatures w14:val="standardContextual"/>
        </w:rPr>
        <w:t>Correo electrónico, y</w:t>
      </w:r>
    </w:p>
    <w:p w14:paraId="6F4B63F0" w14:textId="77777777" w:rsidR="002F5F3E" w:rsidRPr="000524D0" w:rsidRDefault="002F5F3E" w:rsidP="007525DE">
      <w:pPr>
        <w:numPr>
          <w:ilvl w:val="0"/>
          <w:numId w:val="9"/>
        </w:numPr>
        <w:spacing w:after="160" w:line="360" w:lineRule="auto"/>
        <w:contextualSpacing/>
        <w:jc w:val="both"/>
        <w:rPr>
          <w:rFonts w:ascii="Palatino Linotype" w:eastAsia="Calibri" w:hAnsi="Palatino Linotype" w:cs="Tahoma"/>
          <w:color w:val="000000"/>
          <w:lang w:val="es-MX" w:eastAsia="en-US"/>
          <w14:ligatures w14:val="standardContextual"/>
        </w:rPr>
      </w:pPr>
      <w:r w:rsidRPr="000524D0">
        <w:rPr>
          <w:rFonts w:ascii="Palatino Linotype" w:eastAsia="Calibri" w:hAnsi="Palatino Linotype" w:cs="Tahoma"/>
          <w:color w:val="000000"/>
          <w:lang w:val="es-MX" w:eastAsia="en-US"/>
          <w14:ligatures w14:val="standardContextual"/>
        </w:rPr>
        <w:t>Número de teléfono.</w:t>
      </w:r>
    </w:p>
    <w:p w14:paraId="3A45E121" w14:textId="77777777" w:rsidR="002F5F3E" w:rsidRPr="000524D0" w:rsidRDefault="002F5F3E" w:rsidP="002F5F3E">
      <w:pPr>
        <w:spacing w:line="360" w:lineRule="auto"/>
        <w:jc w:val="both"/>
        <w:rPr>
          <w:rFonts w:ascii="Palatino Linotype" w:eastAsia="Palatino Linotype" w:hAnsi="Palatino Linotype" w:cs="Tahoma"/>
          <w:color w:val="000000"/>
          <w:sz w:val="22"/>
          <w:szCs w:val="22"/>
          <w:lang w:val="es-MX"/>
          <w14:ligatures w14:val="standardContextual"/>
        </w:rPr>
      </w:pPr>
    </w:p>
    <w:p w14:paraId="25DA7B0B" w14:textId="77777777" w:rsidR="002F5F3E" w:rsidRPr="000524D0" w:rsidRDefault="002F5F3E" w:rsidP="002F5F3E">
      <w:pPr>
        <w:tabs>
          <w:tab w:val="left" w:pos="4962"/>
        </w:tabs>
        <w:spacing w:line="360" w:lineRule="auto"/>
        <w:jc w:val="both"/>
        <w:rPr>
          <w:rFonts w:ascii="Palatino Linotype" w:eastAsia="Palatino Linotype" w:hAnsi="Palatino Linotype" w:cs="Palatino Linotype"/>
          <w:color w:val="000000"/>
          <w:lang w:val="es-MX"/>
          <w14:ligatures w14:val="standardContextual"/>
        </w:rPr>
      </w:pPr>
      <w:r w:rsidRPr="000524D0">
        <w:rPr>
          <w:rFonts w:ascii="Palatino Linotype" w:eastAsia="Calibri" w:hAnsi="Palatino Linotype"/>
          <w:color w:val="000000"/>
          <w:lang w:val="es-MX" w:eastAsia="en-US"/>
          <w14:ligatures w14:val="standardContextual"/>
        </w:rPr>
        <w:t xml:space="preserve">Al respecto, resulta procedente analizar si dichos datos son públicos o privados; en principio, cabe mencionar que el artículo </w:t>
      </w:r>
      <w:r w:rsidRPr="000524D0">
        <w:rPr>
          <w:rFonts w:ascii="Palatino Linotype" w:eastAsia="Palatino Linotype" w:hAnsi="Palatino Linotype" w:cs="Palatino Linotype"/>
          <w:color w:val="000000"/>
          <w:lang w:val="es-MX"/>
          <w14:ligatures w14:val="standardContextual"/>
        </w:rPr>
        <w:t>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9AF167C"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p>
    <w:p w14:paraId="5CFE6372"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r w:rsidRPr="000524D0">
        <w:rPr>
          <w:rFonts w:ascii="Palatino Linotype" w:eastAsia="Palatino Linotype" w:hAnsi="Palatino Linotype" w:cs="Palatino Linotype"/>
          <w:color w:val="000000"/>
          <w:lang w:val="es-MX"/>
          <w14:ligatures w14:val="standardContextual"/>
        </w:rPr>
        <w:t>Asimismo, el artículo 145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639E26F"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sz w:val="22"/>
          <w:szCs w:val="22"/>
          <w:lang w:val="es-MX"/>
          <w14:ligatures w14:val="standardContextual"/>
        </w:rPr>
      </w:pPr>
    </w:p>
    <w:p w14:paraId="15B083E2"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r w:rsidRPr="000524D0">
        <w:rPr>
          <w:rFonts w:ascii="Palatino Linotype" w:eastAsia="Palatino Linotype" w:hAnsi="Palatino Linotype" w:cs="Palatino Linotype"/>
          <w:color w:val="000000"/>
          <w:lang w:val="es-MX"/>
          <w14:ligatures w14:val="standardContextual"/>
        </w:rPr>
        <w:t>En términos de lo expuesto, la documentación y aquellos datos que se consideren confidenciales, serán una limitante del derecho de acceso a la información, siempre y cuando:</w:t>
      </w:r>
    </w:p>
    <w:p w14:paraId="2FC03A7D"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p>
    <w:p w14:paraId="7C908886" w14:textId="77777777" w:rsidR="002F5F3E" w:rsidRPr="000524D0" w:rsidRDefault="002F5F3E" w:rsidP="007525DE">
      <w:pPr>
        <w:numPr>
          <w:ilvl w:val="0"/>
          <w:numId w:val="10"/>
        </w:numPr>
        <w:spacing w:after="160" w:line="360" w:lineRule="auto"/>
        <w:ind w:right="-93"/>
        <w:contextualSpacing/>
        <w:jc w:val="both"/>
        <w:rPr>
          <w:rFonts w:ascii="Palatino Linotype" w:hAnsi="Palatino Linotype"/>
          <w:lang w:val="es-MX" w:eastAsia="es-ES"/>
          <w14:ligatures w14:val="standardContextual"/>
        </w:rPr>
      </w:pPr>
      <w:r w:rsidRPr="000524D0">
        <w:rPr>
          <w:rFonts w:ascii="Palatino Linotype" w:hAnsi="Palatino Linotype"/>
          <w:color w:val="000000"/>
          <w:lang w:val="es-MX" w:eastAsia="es-ES"/>
          <w14:ligatures w14:val="standardContextual"/>
        </w:rPr>
        <w:t xml:space="preserve">Se trate de datos personales o información privada; esto es, información concerniente a una persona física o jurídico colectiva y que esta sea identificada o identificable. </w:t>
      </w:r>
    </w:p>
    <w:p w14:paraId="4FD288F2"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p>
    <w:p w14:paraId="5ADC86F3" w14:textId="77777777" w:rsidR="002F5F3E" w:rsidRPr="000524D0" w:rsidRDefault="002F5F3E" w:rsidP="007525DE">
      <w:pPr>
        <w:numPr>
          <w:ilvl w:val="0"/>
          <w:numId w:val="10"/>
        </w:numPr>
        <w:spacing w:after="160" w:line="360" w:lineRule="auto"/>
        <w:ind w:right="-93"/>
        <w:contextualSpacing/>
        <w:jc w:val="both"/>
        <w:rPr>
          <w:rFonts w:ascii="Palatino Linotype" w:eastAsia="Calibri" w:hAnsi="Palatino Linotype" w:cs="Tahoma"/>
          <w:color w:val="000000"/>
          <w:lang w:val="es-ES" w:eastAsia="es-ES"/>
          <w14:ligatures w14:val="standardContextual"/>
        </w:rPr>
      </w:pPr>
      <w:r w:rsidRPr="000524D0">
        <w:rPr>
          <w:rFonts w:ascii="Palatino Linotype" w:hAnsi="Palatino Linotype"/>
          <w:color w:val="000000"/>
          <w:lang w:val="es-MX" w:eastAsia="es-ES"/>
          <w14:ligatures w14:val="standardContextual"/>
        </w:rPr>
        <w:t>Para la difusión de los datos, se requiera el consentimiento del titular.</w:t>
      </w:r>
    </w:p>
    <w:p w14:paraId="59320CB7" w14:textId="77777777" w:rsidR="002F5F3E" w:rsidRPr="000524D0" w:rsidRDefault="002F5F3E" w:rsidP="002F5F3E">
      <w:pPr>
        <w:spacing w:line="360" w:lineRule="auto"/>
        <w:ind w:right="-93"/>
        <w:jc w:val="both"/>
        <w:rPr>
          <w:rFonts w:ascii="Palatino Linotype" w:eastAsia="Calibri" w:hAnsi="Palatino Linotype" w:cs="Tahoma"/>
          <w:color w:val="FF0000"/>
          <w:lang w:val="es-ES" w:eastAsia="es-ES"/>
          <w14:ligatures w14:val="standardContextual"/>
        </w:rPr>
      </w:pPr>
    </w:p>
    <w:p w14:paraId="701EACA8"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r w:rsidRPr="000524D0">
        <w:rPr>
          <w:rFonts w:ascii="Palatino Linotype" w:eastAsia="Palatino Linotype" w:hAnsi="Palatino Linotype" w:cs="Palatino Linotype"/>
          <w:color w:val="000000"/>
          <w:lang w:val="es-MX"/>
          <w14:ligatures w14:val="standardContextual"/>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w:t>
      </w:r>
      <w:r w:rsidRPr="000524D0">
        <w:rPr>
          <w:rFonts w:ascii="Palatino Linotype" w:eastAsia="Palatino Linotype" w:hAnsi="Palatino Linotype" w:cs="Palatino Linotype"/>
          <w:color w:val="000000"/>
          <w:lang w:val="es-MX"/>
          <w14:ligatures w14:val="standardContextual"/>
        </w:rPr>
        <w:lastRenderedPageBreak/>
        <w:t>jurídico colectiva identificada o identificable (cuando su identidad pueda determinarse directa o indirectamente a través de cualquier documento informativo físico o electrónico), establecida en cualquier formato o modalidad.</w:t>
      </w:r>
    </w:p>
    <w:p w14:paraId="63D2A39D"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p>
    <w:p w14:paraId="22DB9E2C"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r w:rsidRPr="000524D0">
        <w:rPr>
          <w:rFonts w:ascii="Palatino Linotype" w:eastAsia="Palatino Linotype" w:hAnsi="Palatino Linotype" w:cs="Palatino Linotype"/>
          <w:color w:val="000000"/>
          <w:lang w:val="es-MX"/>
          <w14:ligatures w14:val="standardContextual"/>
        </w:rPr>
        <w:t>Además, en el artículo 5° de dicho ordenamiento jurídico, establece que es la Ley aplicable para todo tratamiento de datos personales.</w:t>
      </w:r>
    </w:p>
    <w:p w14:paraId="5E4FB32F"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p>
    <w:p w14:paraId="3299EA91" w14:textId="77777777" w:rsidR="002F5F3E" w:rsidRPr="000524D0" w:rsidRDefault="002F5F3E" w:rsidP="002F5F3E">
      <w:pPr>
        <w:spacing w:line="360" w:lineRule="auto"/>
        <w:ind w:right="-93"/>
        <w:jc w:val="both"/>
        <w:rPr>
          <w:rFonts w:ascii="Palatino Linotype" w:eastAsia="Palatino Linotype" w:hAnsi="Palatino Linotype" w:cs="Palatino Linotype"/>
          <w:color w:val="000000"/>
          <w:lang w:val="es-MX"/>
          <w14:ligatures w14:val="standardContextual"/>
        </w:rPr>
      </w:pPr>
      <w:r w:rsidRPr="000524D0">
        <w:rPr>
          <w:rFonts w:ascii="Palatino Linotype" w:eastAsia="Palatino Linotype" w:hAnsi="Palatino Linotype" w:cs="Palatino Linotype"/>
          <w:color w:val="000000"/>
          <w:lang w:val="es-MX"/>
          <w14:ligatures w14:val="standardContextual"/>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de manera enunciativa, son confidenciales o públicos.</w:t>
      </w:r>
    </w:p>
    <w:p w14:paraId="55C88402" w14:textId="77777777" w:rsidR="002F5F3E" w:rsidRPr="000524D0" w:rsidRDefault="002F5F3E" w:rsidP="002F5F3E">
      <w:pPr>
        <w:spacing w:line="360" w:lineRule="auto"/>
        <w:jc w:val="both"/>
        <w:rPr>
          <w:rFonts w:ascii="Palatino Linotype" w:eastAsia="Palatino Linotype" w:hAnsi="Palatino Linotype" w:cs="Tahoma"/>
          <w:color w:val="000000"/>
          <w:sz w:val="22"/>
          <w:szCs w:val="22"/>
          <w:lang w:val="es-MX"/>
          <w14:ligatures w14:val="standardContextual"/>
        </w:rPr>
      </w:pPr>
    </w:p>
    <w:p w14:paraId="41FE0385" w14:textId="4698F43A" w:rsidR="002F5F3E" w:rsidRPr="000524D0" w:rsidRDefault="002F5F3E" w:rsidP="007525DE">
      <w:pPr>
        <w:numPr>
          <w:ilvl w:val="0"/>
          <w:numId w:val="12"/>
        </w:numPr>
        <w:spacing w:after="160" w:line="360" w:lineRule="auto"/>
        <w:jc w:val="both"/>
        <w:rPr>
          <w:rFonts w:ascii="Palatino Linotype" w:eastAsia="Palatino Linotype" w:hAnsi="Palatino Linotype" w:cs="Palatino Linotype"/>
          <w:b/>
          <w:color w:val="000000"/>
          <w:lang w:val="es-MX"/>
          <w14:ligatures w14:val="standardContextual"/>
        </w:rPr>
      </w:pPr>
      <w:r w:rsidRPr="000524D0">
        <w:rPr>
          <w:rFonts w:ascii="Palatino Linotype" w:eastAsia="Palatino Linotype" w:hAnsi="Palatino Linotype" w:cs="Palatino Linotype"/>
          <w:b/>
          <w:color w:val="000000"/>
          <w:lang w:val="es-MX"/>
          <w14:ligatures w14:val="standardContextual"/>
        </w:rPr>
        <w:t>Nombre de particulares</w:t>
      </w:r>
    </w:p>
    <w:p w14:paraId="48D9EA18" w14:textId="77777777" w:rsidR="002F5F3E" w:rsidRPr="000524D0" w:rsidRDefault="002F5F3E" w:rsidP="002F5F3E">
      <w:pPr>
        <w:spacing w:line="360" w:lineRule="auto"/>
        <w:jc w:val="both"/>
        <w:rPr>
          <w:rFonts w:ascii="Palatino Linotype" w:eastAsia="Palatino Linotype" w:hAnsi="Palatino Linotype" w:cs="Palatino Linotype"/>
          <w:lang w:val="es-MX"/>
          <w14:ligatures w14:val="standardContextual"/>
        </w:rPr>
      </w:pPr>
      <w:r w:rsidRPr="000524D0">
        <w:rPr>
          <w:rFonts w:ascii="Palatino Linotype" w:eastAsia="Palatino Linotype" w:hAnsi="Palatino Linotype" w:cs="Palatino Linotype"/>
          <w:lang w:val="es-MX"/>
          <w14:ligatures w14:val="standardContextual"/>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6AF68052" w14:textId="77777777" w:rsidR="002F5F3E" w:rsidRPr="000524D0" w:rsidRDefault="002F5F3E" w:rsidP="002F5F3E">
      <w:pPr>
        <w:spacing w:line="360" w:lineRule="auto"/>
        <w:jc w:val="both"/>
        <w:rPr>
          <w:rFonts w:ascii="Palatino Linotype" w:eastAsia="Palatino Linotype" w:hAnsi="Palatino Linotype" w:cs="Palatino Linotype"/>
          <w:lang w:val="es-MX"/>
          <w14:ligatures w14:val="standardContextual"/>
        </w:rPr>
      </w:pPr>
    </w:p>
    <w:p w14:paraId="0DA5AF52" w14:textId="77777777" w:rsidR="002F5F3E" w:rsidRPr="000524D0" w:rsidRDefault="002F5F3E" w:rsidP="002F5F3E">
      <w:pPr>
        <w:spacing w:line="360" w:lineRule="auto"/>
        <w:jc w:val="both"/>
        <w:rPr>
          <w:rFonts w:ascii="Palatino Linotype" w:eastAsia="Palatino Linotype" w:hAnsi="Palatino Linotype" w:cs="Palatino Linotype"/>
          <w:lang w:val="es-MX"/>
          <w14:ligatures w14:val="standardContextual"/>
        </w:rPr>
      </w:pPr>
      <w:r w:rsidRPr="000524D0">
        <w:rPr>
          <w:rFonts w:ascii="Palatino Linotype" w:eastAsia="Palatino Linotype" w:hAnsi="Palatino Linotype" w:cs="Palatino Linotype"/>
          <w:lang w:val="es-MX"/>
          <w14:ligatures w14:val="standardContextual"/>
        </w:rPr>
        <w:lastRenderedPageBreak/>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8439510" w14:textId="77777777" w:rsidR="002F5F3E" w:rsidRPr="000524D0" w:rsidRDefault="002F5F3E" w:rsidP="002F5F3E">
      <w:pPr>
        <w:spacing w:line="360" w:lineRule="auto"/>
        <w:jc w:val="both"/>
        <w:rPr>
          <w:rFonts w:ascii="Palatino Linotype" w:eastAsia="Palatino Linotype" w:hAnsi="Palatino Linotype" w:cs="Palatino Linotype"/>
          <w:sz w:val="22"/>
          <w:szCs w:val="22"/>
          <w:lang w:val="es-MX"/>
          <w14:ligatures w14:val="standardContextual"/>
        </w:rPr>
      </w:pPr>
    </w:p>
    <w:p w14:paraId="43BA4A19" w14:textId="77777777" w:rsidR="002F5F3E" w:rsidRPr="000524D0" w:rsidRDefault="002F5F3E" w:rsidP="002F5F3E">
      <w:pPr>
        <w:ind w:left="567" w:right="567"/>
        <w:jc w:val="both"/>
        <w:rPr>
          <w:rFonts w:ascii="Palatino Linotype" w:eastAsia="Palatino Linotype" w:hAnsi="Palatino Linotype" w:cs="Palatino Linotype"/>
          <w:i/>
          <w:color w:val="000000"/>
          <w:sz w:val="22"/>
          <w:szCs w:val="22"/>
          <w:lang w:val="es-MX"/>
          <w14:ligatures w14:val="standardContextual"/>
        </w:rPr>
      </w:pPr>
      <w:r w:rsidRPr="000524D0">
        <w:rPr>
          <w:rFonts w:ascii="Palatino Linotype" w:eastAsia="Palatino Linotype" w:hAnsi="Palatino Linotype" w:cs="Palatino Linotype"/>
          <w:b/>
          <w:i/>
          <w:color w:val="000000"/>
          <w:sz w:val="22"/>
          <w:szCs w:val="22"/>
          <w:lang w:val="es-MX"/>
          <w14:ligatures w14:val="standardContextual"/>
        </w:rPr>
        <w:t>“DERECHO A LA VIDA PRIVADA. SU CONTENIDO GENERAL Y LA IMPORTANCIA DE NO DESCONTEXTUALIZAR LAS REFERENCIAS A LA MISMA.</w:t>
      </w:r>
      <w:r w:rsidRPr="000524D0">
        <w:rPr>
          <w:rFonts w:ascii="Palatino Linotype" w:eastAsia="Palatino Linotype" w:hAnsi="Palatino Linotype" w:cs="Palatino Linotype"/>
          <w:i/>
          <w:color w:val="000000"/>
          <w:sz w:val="22"/>
          <w:szCs w:val="22"/>
          <w:lang w:val="es-MX"/>
          <w14:ligatures w14:val="standardContextual"/>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0524D0">
        <w:rPr>
          <w:rFonts w:ascii="Palatino Linotype" w:eastAsia="Palatino Linotype" w:hAnsi="Palatino Linotype" w:cs="Palatino Linotype"/>
          <w:b/>
          <w:i/>
          <w:color w:val="000000"/>
          <w:sz w:val="22"/>
          <w:szCs w:val="22"/>
          <w:lang w:val="es-MX"/>
          <w14:ligatures w14:val="standardContextual"/>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0524D0">
        <w:rPr>
          <w:rFonts w:ascii="Palatino Linotype" w:eastAsia="Palatino Linotype" w:hAnsi="Palatino Linotype" w:cs="Palatino Linotype"/>
          <w:i/>
          <w:color w:val="000000"/>
          <w:sz w:val="22"/>
          <w:szCs w:val="22"/>
          <w:lang w:val="es-MX"/>
          <w14:ligatures w14:val="standardContextual"/>
        </w:rPr>
        <w:t xml:space="preserve"> -para el desarrollo de su autonomía y su libertad-. A un nivel más concreto, la misma idea puede describirse apelando al derecho de las personas a mantener fuera del conocimiento de los demás (o, a veces, dentro del círculo </w:t>
      </w:r>
      <w:r w:rsidRPr="000524D0">
        <w:rPr>
          <w:rFonts w:ascii="Palatino Linotype" w:eastAsia="Palatino Linotype" w:hAnsi="Palatino Linotype" w:cs="Palatino Linotype"/>
          <w:i/>
          <w:color w:val="000000"/>
          <w:sz w:val="22"/>
          <w:szCs w:val="22"/>
          <w:lang w:val="es-MX"/>
          <w14:ligatures w14:val="standardContextual"/>
        </w:rPr>
        <w:lastRenderedPageBreak/>
        <w:t xml:space="preserve">de sus personas más próximas) ciertas manifestaciones o dimensiones de su existencia (conducta, datos, información, objetos) y al correspondiente derecho a que los demás no las invadan sin su consentimiento. </w:t>
      </w:r>
      <w:r w:rsidRPr="000524D0">
        <w:rPr>
          <w:rFonts w:ascii="Palatino Linotype" w:eastAsia="Palatino Linotype" w:hAnsi="Palatino Linotype" w:cs="Palatino Linotype"/>
          <w:b/>
          <w:i/>
          <w:color w:val="000000"/>
          <w:sz w:val="22"/>
          <w:szCs w:val="22"/>
          <w:lang w:val="es-MX"/>
          <w14:ligatures w14:val="standardContextual"/>
        </w:rPr>
        <w:t>En un sentido amplio, entonces, la protección constitucional de la vida privada implica poder conducir parte de la vida de uno protegido de la mirada y las injerencias de los demás</w:t>
      </w:r>
      <w:r w:rsidRPr="000524D0">
        <w:rPr>
          <w:rFonts w:ascii="Palatino Linotype" w:eastAsia="Palatino Linotype" w:hAnsi="Palatino Linotype" w:cs="Palatino Linotype"/>
          <w:i/>
          <w:color w:val="000000"/>
          <w:sz w:val="22"/>
          <w:szCs w:val="22"/>
          <w:lang w:val="es-MX"/>
          <w14:ligatures w14:val="standardContextual"/>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CB97F44" w14:textId="77777777" w:rsidR="002F5F3E" w:rsidRPr="000524D0" w:rsidRDefault="002F5F3E" w:rsidP="002F5F3E">
      <w:pPr>
        <w:spacing w:line="360" w:lineRule="auto"/>
        <w:jc w:val="both"/>
        <w:rPr>
          <w:rFonts w:ascii="Palatino Linotype" w:eastAsia="Palatino Linotype" w:hAnsi="Palatino Linotype" w:cs="Palatino Linotype"/>
          <w:color w:val="FF0000"/>
          <w:sz w:val="22"/>
          <w:szCs w:val="22"/>
          <w:lang w:val="es-MX"/>
          <w14:ligatures w14:val="standardContextual"/>
        </w:rPr>
      </w:pPr>
    </w:p>
    <w:p w14:paraId="535439E8" w14:textId="77777777" w:rsidR="002F5F3E" w:rsidRPr="000524D0" w:rsidRDefault="002F5F3E" w:rsidP="002F5F3E">
      <w:pPr>
        <w:spacing w:line="360" w:lineRule="auto"/>
        <w:jc w:val="both"/>
        <w:rPr>
          <w:rFonts w:ascii="Palatino Linotype" w:eastAsia="Palatino Linotype" w:hAnsi="Palatino Linotype" w:cs="Palatino Linotype"/>
          <w:b/>
          <w:u w:val="single"/>
          <w:lang w:val="es-MX"/>
          <w14:ligatures w14:val="standardContextual"/>
        </w:rPr>
      </w:pPr>
      <w:r w:rsidRPr="000524D0">
        <w:rPr>
          <w:rFonts w:ascii="Palatino Linotype" w:eastAsia="Palatino Linotype" w:hAnsi="Palatino Linotype" w:cs="Palatino Linotype"/>
          <w:lang w:val="es-MX"/>
          <w14:ligatures w14:val="standardContextual"/>
        </w:rPr>
        <w:t xml:space="preserve">De conformidad con lo señalado, se colige que </w:t>
      </w:r>
      <w:r w:rsidRPr="000524D0">
        <w:rPr>
          <w:rFonts w:ascii="Palatino Linotype" w:eastAsia="Palatino Linotype" w:hAnsi="Palatino Linotype" w:cs="Palatino Linotype"/>
          <w:b/>
          <w:u w:val="single"/>
          <w:lang w:val="es-MX"/>
          <w14:ligatures w14:val="standardContextual"/>
        </w:rPr>
        <w:t xml:space="preserve">las actividades que realicen los particulares, dentro del ámbito privado, o dentro de la esfera particular, es información que debe protegerse. </w:t>
      </w:r>
    </w:p>
    <w:p w14:paraId="613E49D4" w14:textId="77777777" w:rsidR="002F5F3E" w:rsidRPr="000524D0" w:rsidRDefault="002F5F3E" w:rsidP="002F5F3E">
      <w:pPr>
        <w:spacing w:line="360" w:lineRule="auto"/>
        <w:jc w:val="both"/>
        <w:rPr>
          <w:rFonts w:ascii="Palatino Linotype" w:eastAsia="Palatino Linotype" w:hAnsi="Palatino Linotype" w:cs="Palatino Linotype"/>
          <w:lang w:val="es-MX"/>
          <w14:ligatures w14:val="standardContextual"/>
        </w:rPr>
      </w:pPr>
    </w:p>
    <w:p w14:paraId="2DA32DF9" w14:textId="77777777" w:rsidR="002F5F3E" w:rsidRPr="000524D0" w:rsidRDefault="002F5F3E" w:rsidP="002F5F3E">
      <w:pPr>
        <w:spacing w:line="360" w:lineRule="auto"/>
        <w:jc w:val="both"/>
        <w:rPr>
          <w:rFonts w:ascii="Palatino Linotype" w:eastAsia="Palatino Linotype" w:hAnsi="Palatino Linotype" w:cs="Palatino Linotype"/>
          <w:color w:val="FF0000"/>
          <w:lang w:val="es-MX"/>
          <w14:ligatures w14:val="standardContextual"/>
        </w:rPr>
      </w:pPr>
      <w:r w:rsidRPr="000524D0">
        <w:rPr>
          <w:rFonts w:ascii="Palatino Linotype" w:eastAsia="Palatino Linotype" w:hAnsi="Palatino Linotype" w:cs="Palatino Linotype"/>
          <w:lang w:val="es-MX"/>
          <w14:ligatures w14:val="standardContextual"/>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82768C5" w14:textId="77777777" w:rsidR="002F5F3E" w:rsidRPr="000524D0" w:rsidRDefault="002F5F3E" w:rsidP="002F5F3E">
      <w:pPr>
        <w:spacing w:line="360" w:lineRule="auto"/>
        <w:jc w:val="both"/>
        <w:rPr>
          <w:rFonts w:ascii="Palatino Linotype" w:eastAsia="Palatino Linotype" w:hAnsi="Palatino Linotype" w:cs="Tahoma"/>
          <w:color w:val="000000"/>
          <w:sz w:val="22"/>
          <w:szCs w:val="22"/>
          <w:lang w:val="es-MX"/>
          <w14:ligatures w14:val="standardContextual"/>
        </w:rPr>
      </w:pPr>
    </w:p>
    <w:p w14:paraId="3D1F5240" w14:textId="023978E2" w:rsidR="002F5F3E" w:rsidRPr="000524D0" w:rsidRDefault="002F5F3E" w:rsidP="007525DE">
      <w:pPr>
        <w:numPr>
          <w:ilvl w:val="0"/>
          <w:numId w:val="11"/>
        </w:numPr>
        <w:spacing w:after="160" w:line="360" w:lineRule="auto"/>
        <w:jc w:val="both"/>
        <w:rPr>
          <w:rFonts w:ascii="Palatino Linotype" w:eastAsia="Calibri" w:hAnsi="Palatino Linotype"/>
          <w:b/>
          <w:color w:val="000000"/>
          <w:sz w:val="22"/>
          <w:szCs w:val="22"/>
          <w:lang w:val="es-MX" w:eastAsia="en-US"/>
          <w14:ligatures w14:val="standardContextual"/>
        </w:rPr>
      </w:pPr>
      <w:r w:rsidRPr="000524D0">
        <w:rPr>
          <w:rFonts w:ascii="Palatino Linotype" w:eastAsia="Calibri" w:hAnsi="Palatino Linotype"/>
          <w:b/>
          <w:color w:val="000000"/>
          <w:sz w:val="22"/>
          <w:szCs w:val="22"/>
          <w:lang w:val="es-MX" w:eastAsia="en-US"/>
          <w14:ligatures w14:val="standardContextual"/>
        </w:rPr>
        <w:t>Correo electrónico particular</w:t>
      </w:r>
    </w:p>
    <w:p w14:paraId="75A3444D" w14:textId="77777777" w:rsidR="002F5F3E" w:rsidRPr="000524D0" w:rsidRDefault="002F5F3E" w:rsidP="002F5F3E">
      <w:pPr>
        <w:spacing w:line="360" w:lineRule="auto"/>
        <w:jc w:val="both"/>
        <w:rPr>
          <w:rFonts w:ascii="Palatino Linotype" w:eastAsia="Calibri" w:hAnsi="Palatino Linotype" w:cs="Tahoma"/>
          <w:bCs/>
          <w:lang w:val="es-ES" w:eastAsia="en-US"/>
          <w14:ligatures w14:val="standardContextual"/>
        </w:rPr>
      </w:pPr>
      <w:r w:rsidRPr="000524D0">
        <w:rPr>
          <w:rFonts w:ascii="Palatino Linotype" w:eastAsia="Calibri" w:hAnsi="Palatino Linotype" w:cs="Tahoma"/>
          <w:bCs/>
          <w:lang w:val="es-ES" w:eastAsia="en-US"/>
          <w14:ligatures w14:val="standardContextual"/>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13804320" w14:textId="77777777" w:rsidR="002F5F3E" w:rsidRPr="000524D0" w:rsidRDefault="002F5F3E" w:rsidP="002F5F3E">
      <w:pPr>
        <w:spacing w:line="360" w:lineRule="auto"/>
        <w:jc w:val="both"/>
        <w:rPr>
          <w:rFonts w:ascii="Palatino Linotype" w:eastAsia="Calibri" w:hAnsi="Palatino Linotype" w:cs="Tahoma"/>
          <w:bCs/>
          <w:lang w:val="es-ES" w:eastAsia="en-US"/>
          <w14:ligatures w14:val="standardContextual"/>
        </w:rPr>
      </w:pPr>
    </w:p>
    <w:p w14:paraId="3A9BCD8F" w14:textId="77777777" w:rsidR="002F5F3E" w:rsidRPr="000524D0" w:rsidRDefault="002F5F3E" w:rsidP="002F5F3E">
      <w:pPr>
        <w:spacing w:line="360" w:lineRule="auto"/>
        <w:jc w:val="both"/>
        <w:rPr>
          <w:rFonts w:ascii="Palatino Linotype" w:eastAsia="Calibri" w:hAnsi="Palatino Linotype" w:cs="Tahoma"/>
          <w:bCs/>
          <w:lang w:val="es-ES" w:eastAsia="en-US"/>
          <w14:ligatures w14:val="standardContextual"/>
        </w:rPr>
      </w:pPr>
      <w:r w:rsidRPr="000524D0">
        <w:rPr>
          <w:rFonts w:ascii="Palatino Linotype" w:eastAsia="Calibri" w:hAnsi="Palatino Linotype" w:cs="Tahoma"/>
          <w:bCs/>
          <w:lang w:val="es-ES" w:eastAsia="en-US"/>
          <w14:ligatures w14:val="standardContextual"/>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629C3DD" w14:textId="77777777" w:rsidR="002F5F3E" w:rsidRPr="000524D0" w:rsidRDefault="002F5F3E" w:rsidP="002F5F3E">
      <w:pPr>
        <w:spacing w:line="360" w:lineRule="auto"/>
        <w:jc w:val="both"/>
        <w:rPr>
          <w:rFonts w:ascii="Palatino Linotype" w:eastAsia="Calibri" w:hAnsi="Palatino Linotype" w:cs="Tahoma"/>
          <w:bCs/>
          <w:lang w:val="es-ES" w:eastAsia="en-US"/>
          <w14:ligatures w14:val="standardContextual"/>
        </w:rPr>
      </w:pPr>
    </w:p>
    <w:p w14:paraId="0B4BB1C1" w14:textId="77777777" w:rsidR="002F5F3E" w:rsidRPr="000524D0" w:rsidRDefault="002F5F3E" w:rsidP="007525DE">
      <w:pPr>
        <w:numPr>
          <w:ilvl w:val="0"/>
          <w:numId w:val="11"/>
        </w:numPr>
        <w:spacing w:after="160" w:line="360" w:lineRule="auto"/>
        <w:jc w:val="both"/>
        <w:rPr>
          <w:rFonts w:ascii="Palatino Linotype" w:eastAsia="Calibri" w:hAnsi="Palatino Linotype"/>
          <w:b/>
          <w:color w:val="000000"/>
          <w:lang w:val="es-MX" w:eastAsia="en-US"/>
          <w14:ligatures w14:val="standardContextual"/>
        </w:rPr>
      </w:pPr>
      <w:r w:rsidRPr="000524D0">
        <w:rPr>
          <w:rFonts w:ascii="Palatino Linotype" w:eastAsia="Calibri" w:hAnsi="Palatino Linotype"/>
          <w:b/>
          <w:color w:val="000000"/>
          <w:lang w:val="es-ES" w:eastAsia="en-US"/>
          <w14:ligatures w14:val="standardContextual"/>
        </w:rPr>
        <w:t xml:space="preserve"> </w:t>
      </w:r>
      <w:r w:rsidRPr="000524D0">
        <w:rPr>
          <w:rFonts w:ascii="Palatino Linotype" w:eastAsia="Calibri" w:hAnsi="Palatino Linotype"/>
          <w:b/>
          <w:color w:val="000000"/>
          <w:lang w:val="es-MX" w:eastAsia="en-US"/>
          <w14:ligatures w14:val="standardContextual"/>
        </w:rPr>
        <w:t>Teléfono o celular particular</w:t>
      </w:r>
    </w:p>
    <w:p w14:paraId="269B3EB7" w14:textId="4AE87C3E" w:rsidR="002F5F3E" w:rsidRPr="000524D0" w:rsidRDefault="002F5F3E" w:rsidP="006F596B">
      <w:pPr>
        <w:spacing w:line="360" w:lineRule="auto"/>
        <w:jc w:val="both"/>
        <w:rPr>
          <w:rFonts w:ascii="Palatino Linotype" w:hAnsi="Palatino Linotype" w:cs="Tahoma"/>
          <w:lang w:val="es-MX" w:eastAsia="es-ES"/>
          <w14:ligatures w14:val="standardContextual"/>
        </w:rPr>
      </w:pPr>
      <w:r w:rsidRPr="000524D0">
        <w:rPr>
          <w:rFonts w:ascii="Palatino Linotype" w:hAnsi="Palatino Linotype" w:cs="Tahoma"/>
          <w:lang w:val="es-MX" w:eastAsia="es-ES"/>
          <w14:ligatures w14:val="standardContextual"/>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3467E7E3" w14:textId="77777777" w:rsidR="002F5F3E" w:rsidRPr="000524D0" w:rsidRDefault="002F5F3E" w:rsidP="006F596B">
      <w:pPr>
        <w:spacing w:line="360" w:lineRule="auto"/>
        <w:jc w:val="both"/>
        <w:rPr>
          <w:rFonts w:ascii="Palatino Linotype" w:hAnsi="Palatino Linotype" w:cs="Tahoma"/>
          <w:lang w:val="es-MX" w:eastAsia="es-ES"/>
          <w14:ligatures w14:val="standardContextual"/>
        </w:rPr>
      </w:pPr>
    </w:p>
    <w:p w14:paraId="246C046C" w14:textId="552B83CB" w:rsidR="002F5F3E" w:rsidRPr="000524D0" w:rsidRDefault="002F5F3E" w:rsidP="006F596B">
      <w:pPr>
        <w:spacing w:line="360" w:lineRule="auto"/>
        <w:jc w:val="both"/>
        <w:rPr>
          <w:rFonts w:ascii="Palatino Linotype" w:hAnsi="Palatino Linotype" w:cs="Tahoma"/>
          <w:lang w:val="es-MX" w:eastAsia="es-ES"/>
          <w14:ligatures w14:val="standardContextual"/>
        </w:rPr>
      </w:pPr>
      <w:r w:rsidRPr="000524D0">
        <w:rPr>
          <w:rFonts w:ascii="Palatino Linotype" w:hAnsi="Palatino Linotype" w:cs="Tahoma"/>
          <w:lang w:val="es-MX" w:eastAsia="es-ES"/>
          <w14:ligatures w14:val="standardContextual"/>
        </w:rPr>
        <w:t xml:space="preserve">Poor lo antes expuesto, el Sujeto Obligado deberá hacer entrega de la información correspondiente a los acuses de las solicitudes de información pública recibidos en el periodo que comprende del 01 de enero al 26 de junio de 2025, en versión pública de ser procedente, conforme a las consideraciones siguientes: </w:t>
      </w:r>
    </w:p>
    <w:p w14:paraId="0CCBBCC9" w14:textId="77777777" w:rsidR="002F5F3E" w:rsidRPr="000524D0" w:rsidRDefault="002F5F3E" w:rsidP="006F596B">
      <w:pPr>
        <w:spacing w:line="360" w:lineRule="auto"/>
        <w:jc w:val="both"/>
        <w:rPr>
          <w:rFonts w:ascii="Palatino Linotype" w:eastAsia="Calibri" w:hAnsi="Palatino Linotype" w:cs="Tahoma"/>
          <w:bCs/>
          <w:color w:val="000000"/>
          <w:szCs w:val="22"/>
        </w:rPr>
      </w:pPr>
    </w:p>
    <w:p w14:paraId="10A50867" w14:textId="77777777" w:rsidR="002F5F3E" w:rsidRPr="000524D0" w:rsidRDefault="002F5F3E" w:rsidP="006F596B">
      <w:pPr>
        <w:spacing w:line="360" w:lineRule="auto"/>
        <w:jc w:val="both"/>
        <w:rPr>
          <w:rFonts w:ascii="Palatino Linotype" w:eastAsiaTheme="minorHAnsi" w:hAnsi="Palatino Linotype" w:cs="Arial"/>
        </w:rPr>
      </w:pPr>
    </w:p>
    <w:p w14:paraId="14EEAB1B" w14:textId="77777777" w:rsidR="006F596B" w:rsidRPr="000524D0" w:rsidRDefault="006F596B" w:rsidP="007525DE">
      <w:pPr>
        <w:pStyle w:val="Prrafodelista"/>
        <w:numPr>
          <w:ilvl w:val="0"/>
          <w:numId w:val="5"/>
        </w:numPr>
        <w:spacing w:line="360" w:lineRule="auto"/>
        <w:jc w:val="both"/>
        <w:rPr>
          <w:rFonts w:ascii="Palatino Linotype" w:hAnsi="Palatino Linotype"/>
          <w:b/>
          <w:bCs/>
          <w:i/>
          <w:iCs/>
          <w:sz w:val="28"/>
          <w:u w:val="single"/>
        </w:rPr>
      </w:pPr>
      <w:r w:rsidRPr="000524D0">
        <w:rPr>
          <w:rFonts w:ascii="Palatino Linotype" w:hAnsi="Palatino Linotype"/>
          <w:b/>
          <w:bCs/>
          <w:i/>
          <w:iCs/>
          <w:sz w:val="28"/>
          <w:u w:val="single"/>
        </w:rPr>
        <w:t>DE LA VERSIÓN PÚBLICA</w:t>
      </w:r>
    </w:p>
    <w:p w14:paraId="372326A8" w14:textId="77777777" w:rsidR="008B0926" w:rsidRPr="000524D0" w:rsidRDefault="008B0926" w:rsidP="008B0926">
      <w:pPr>
        <w:spacing w:line="360" w:lineRule="auto"/>
        <w:jc w:val="both"/>
        <w:rPr>
          <w:rFonts w:ascii="Palatino Linotype" w:eastAsia="Calibri" w:hAnsi="Palatino Linotype" w:cs="Arial"/>
          <w:lang w:eastAsia="es-CO"/>
        </w:rPr>
      </w:pPr>
      <w:r w:rsidRPr="000524D0">
        <w:rPr>
          <w:rFonts w:ascii="Palatino Linotype" w:eastAsia="Calibri" w:hAnsi="Palatino Linotype" w:cs="Arial"/>
          <w:lang w:eastAsia="es-CO"/>
        </w:rPr>
        <w:t xml:space="preserve">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w:t>
      </w:r>
      <w:r w:rsidRPr="000524D0">
        <w:rPr>
          <w:rFonts w:ascii="Palatino Linotype" w:eastAsia="Calibri" w:hAnsi="Palatino Linotype" w:cs="Arial"/>
          <w:lang w:eastAsia="es-CO"/>
        </w:rPr>
        <w:lastRenderedPageBreak/>
        <w:t>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235EA821" w14:textId="77777777" w:rsidR="002F5F3E" w:rsidRPr="000524D0" w:rsidRDefault="002F5F3E" w:rsidP="008B0926">
      <w:pPr>
        <w:spacing w:line="360" w:lineRule="auto"/>
        <w:jc w:val="both"/>
        <w:rPr>
          <w:rFonts w:ascii="Palatino Linotype" w:eastAsia="Calibri" w:hAnsi="Palatino Linotype" w:cs="Arial"/>
          <w:lang w:eastAsia="es-CO"/>
        </w:rPr>
      </w:pPr>
    </w:p>
    <w:p w14:paraId="5A8ED877" w14:textId="12369F2D" w:rsidR="008B0926" w:rsidRPr="000524D0" w:rsidRDefault="008B0926" w:rsidP="008B0926">
      <w:pPr>
        <w:spacing w:line="360" w:lineRule="auto"/>
        <w:jc w:val="both"/>
        <w:rPr>
          <w:rFonts w:ascii="Palatino Linotype" w:eastAsia="Calibri" w:hAnsi="Palatino Linotype" w:cs="Arial"/>
          <w:bCs/>
        </w:rPr>
      </w:pPr>
      <w:r w:rsidRPr="000524D0">
        <w:rPr>
          <w:rFonts w:ascii="Palatino Linotype" w:eastAsia="Calibri" w:hAnsi="Palatino Linotype" w:cs="Calibri"/>
        </w:rPr>
        <w:t xml:space="preserve">Considerando que se ordena la entrega de la información </w:t>
      </w:r>
      <w:r w:rsidRPr="000524D0">
        <w:rPr>
          <w:rFonts w:ascii="Palatino Linotype" w:eastAsia="Calibri" w:hAnsi="Palatino Linotype" w:cs="Arial"/>
        </w:rPr>
        <w:t xml:space="preserve">que puede contener datos personales de las personas físicas que se encuentren insertos en los documentos que en todo caso se entregarán, es preciso mencionar que el </w:t>
      </w:r>
      <w:r w:rsidRPr="000524D0">
        <w:rPr>
          <w:rFonts w:ascii="Palatino Linotype" w:eastAsia="Calibri" w:hAnsi="Palatino Linotype" w:cs="Arial"/>
          <w:bCs/>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133A7A" w14:textId="77777777" w:rsidR="008B0926" w:rsidRPr="000524D0" w:rsidRDefault="008B0926" w:rsidP="008B0926">
      <w:pPr>
        <w:spacing w:line="360" w:lineRule="auto"/>
        <w:jc w:val="both"/>
        <w:rPr>
          <w:rFonts w:ascii="Palatino Linotype" w:eastAsia="Calibri" w:hAnsi="Palatino Linotype" w:cs="Arial"/>
        </w:rPr>
      </w:pPr>
    </w:p>
    <w:p w14:paraId="5AC35D2E" w14:textId="77777777" w:rsidR="008B0926" w:rsidRPr="000524D0" w:rsidRDefault="008B0926" w:rsidP="008B0926">
      <w:pPr>
        <w:autoSpaceDE w:val="0"/>
        <w:autoSpaceDN w:val="0"/>
        <w:adjustRightInd w:val="0"/>
        <w:spacing w:line="360" w:lineRule="auto"/>
        <w:ind w:right="50"/>
        <w:jc w:val="both"/>
        <w:rPr>
          <w:rFonts w:ascii="Palatino Linotype" w:eastAsia="Calibri" w:hAnsi="Palatino Linotype" w:cs="Arial"/>
        </w:rPr>
      </w:pPr>
      <w:r w:rsidRPr="000524D0">
        <w:rPr>
          <w:rFonts w:ascii="Palatino Linotype" w:eastAsia="Calibri" w:hAnsi="Palatino Linotype" w:cs="Arial"/>
          <w:bCs/>
        </w:rPr>
        <w:t>Al respecto, los</w:t>
      </w:r>
      <w:r w:rsidRPr="000524D0">
        <w:rPr>
          <w:rFonts w:ascii="Palatino Linotype" w:eastAsia="Calibri"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13DA9C15" w14:textId="77777777" w:rsidR="008B0926" w:rsidRPr="000524D0" w:rsidRDefault="008B0926" w:rsidP="008B0926">
      <w:pPr>
        <w:autoSpaceDE w:val="0"/>
        <w:autoSpaceDN w:val="0"/>
        <w:adjustRightInd w:val="0"/>
        <w:spacing w:line="360" w:lineRule="auto"/>
        <w:ind w:right="50"/>
        <w:jc w:val="both"/>
        <w:rPr>
          <w:rFonts w:ascii="Palatino Linotype" w:eastAsia="Calibri" w:hAnsi="Palatino Linotype" w:cs="Arial"/>
        </w:rPr>
      </w:pPr>
    </w:p>
    <w:p w14:paraId="44A29A76" w14:textId="77777777" w:rsidR="008B0926" w:rsidRPr="000524D0" w:rsidRDefault="008B0926" w:rsidP="008B0926">
      <w:pPr>
        <w:autoSpaceDE w:val="0"/>
        <w:autoSpaceDN w:val="0"/>
        <w:adjustRightInd w:val="0"/>
        <w:ind w:left="567" w:right="567"/>
        <w:jc w:val="both"/>
        <w:rPr>
          <w:rFonts w:ascii="Palatino Linotype" w:eastAsia="Calibri" w:hAnsi="Palatino Linotype" w:cs="Arial"/>
          <w:b/>
          <w:i/>
          <w:szCs w:val="22"/>
        </w:rPr>
      </w:pPr>
      <w:r w:rsidRPr="000524D0">
        <w:rPr>
          <w:rFonts w:ascii="Palatino Linotype" w:eastAsia="Calibri" w:hAnsi="Palatino Linotype" w:cs="Arial"/>
          <w:b/>
          <w:i/>
          <w:szCs w:val="22"/>
        </w:rPr>
        <w:t>Artículo 3. Para los efectos de la presente Ley se entenderá por:</w:t>
      </w:r>
    </w:p>
    <w:p w14:paraId="2D0C69A0" w14:textId="77777777" w:rsidR="008B0926" w:rsidRPr="000524D0" w:rsidRDefault="008B0926" w:rsidP="008B0926">
      <w:pPr>
        <w:autoSpaceDE w:val="0"/>
        <w:autoSpaceDN w:val="0"/>
        <w:adjustRightInd w:val="0"/>
        <w:ind w:left="567" w:right="567"/>
        <w:jc w:val="both"/>
        <w:rPr>
          <w:rFonts w:ascii="Palatino Linotype" w:eastAsia="Calibri" w:hAnsi="Palatino Linotype" w:cs="Arial"/>
          <w:b/>
          <w:i/>
          <w:szCs w:val="22"/>
        </w:rPr>
      </w:pPr>
      <w:r w:rsidRPr="000524D0">
        <w:rPr>
          <w:rFonts w:ascii="Palatino Linotype" w:eastAsia="Calibri" w:hAnsi="Palatino Linotype" w:cs="Arial"/>
          <w:b/>
          <w:i/>
          <w:szCs w:val="22"/>
        </w:rPr>
        <w:t>…</w:t>
      </w:r>
    </w:p>
    <w:p w14:paraId="503CE0E9"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t>IX. Datos personales:</w:t>
      </w:r>
      <w:r w:rsidRPr="000524D0">
        <w:rPr>
          <w:rFonts w:ascii="Palatino Linotype" w:eastAsia="Calibri" w:hAnsi="Palatino Linotype" w:cs="Arial"/>
          <w:i/>
          <w:szCs w:val="22"/>
        </w:rPr>
        <w:t xml:space="preserve"> La información concerniente a una persona, identificada o identificable según lo dispuesto por la Ley de Protección de Datos Personales del Estado de México;</w:t>
      </w:r>
    </w:p>
    <w:p w14:paraId="4A8D36EA"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lastRenderedPageBreak/>
        <w:t>…</w:t>
      </w:r>
    </w:p>
    <w:p w14:paraId="26809AE8"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t>XX. Información clasificada:</w:t>
      </w:r>
      <w:r w:rsidRPr="000524D0">
        <w:rPr>
          <w:rFonts w:ascii="Palatino Linotype" w:eastAsia="Calibri" w:hAnsi="Palatino Linotype" w:cs="Arial"/>
          <w:i/>
          <w:szCs w:val="22"/>
        </w:rPr>
        <w:t xml:space="preserve"> Aquella considerada por la presente Ley como reservada o confidencial;</w:t>
      </w:r>
    </w:p>
    <w:p w14:paraId="2EC37F56"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t>XXI. Información confidencial:</w:t>
      </w:r>
      <w:r w:rsidRPr="000524D0">
        <w:rPr>
          <w:rFonts w:ascii="Palatino Linotype" w:eastAsia="Calibri" w:hAnsi="Palatino Linotype" w:cs="Arial"/>
          <w:i/>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F8E3E8"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t>…</w:t>
      </w:r>
    </w:p>
    <w:p w14:paraId="134BF0B5" w14:textId="77777777" w:rsidR="008B0926" w:rsidRPr="000524D0" w:rsidRDefault="008B0926" w:rsidP="008B0926">
      <w:pPr>
        <w:autoSpaceDE w:val="0"/>
        <w:autoSpaceDN w:val="0"/>
        <w:adjustRightInd w:val="0"/>
        <w:ind w:left="567" w:right="567"/>
        <w:jc w:val="both"/>
        <w:rPr>
          <w:rFonts w:ascii="Palatino Linotype" w:eastAsia="Calibri" w:hAnsi="Palatino Linotype" w:cs="Calibri"/>
          <w:i/>
          <w:szCs w:val="22"/>
        </w:rPr>
      </w:pPr>
      <w:r w:rsidRPr="000524D0">
        <w:rPr>
          <w:rFonts w:ascii="Palatino Linotype" w:eastAsia="Calibri" w:hAnsi="Palatino Linotype" w:cs="Calibri"/>
          <w:b/>
          <w:i/>
          <w:szCs w:val="22"/>
        </w:rPr>
        <w:t>XXXII. Protección de Datos Personales:</w:t>
      </w:r>
      <w:r w:rsidRPr="000524D0">
        <w:rPr>
          <w:rFonts w:ascii="Palatino Linotype" w:eastAsia="Calibri" w:hAnsi="Palatino Linotype" w:cs="Calibri"/>
          <w:i/>
          <w:szCs w:val="22"/>
        </w:rPr>
        <w:t xml:space="preserve"> Derecho humano que tutela la privacidad de datos personales en poder de los sujetos obligados y sujetos particulares;</w:t>
      </w:r>
    </w:p>
    <w:p w14:paraId="635E16C9"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i/>
          <w:szCs w:val="22"/>
        </w:rPr>
        <w:t>…</w:t>
      </w:r>
    </w:p>
    <w:p w14:paraId="2B9CFE5A" w14:textId="77777777" w:rsidR="008B0926" w:rsidRPr="000524D0" w:rsidRDefault="008B0926" w:rsidP="008B0926">
      <w:pPr>
        <w:autoSpaceDE w:val="0"/>
        <w:autoSpaceDN w:val="0"/>
        <w:adjustRightInd w:val="0"/>
        <w:ind w:left="567" w:right="567"/>
        <w:jc w:val="both"/>
        <w:rPr>
          <w:rFonts w:ascii="Palatino Linotype" w:eastAsia="Calibri" w:hAnsi="Palatino Linotype" w:cs="Arial"/>
          <w:i/>
          <w:szCs w:val="22"/>
        </w:rPr>
      </w:pPr>
      <w:r w:rsidRPr="000524D0">
        <w:rPr>
          <w:rFonts w:ascii="Palatino Linotype" w:eastAsia="Calibri" w:hAnsi="Palatino Linotype" w:cs="Arial"/>
          <w:b/>
          <w:i/>
          <w:szCs w:val="22"/>
        </w:rPr>
        <w:t>XLV. Versión pública</w:t>
      </w:r>
      <w:r w:rsidRPr="000524D0">
        <w:rPr>
          <w:rFonts w:ascii="Palatino Linotype" w:eastAsia="Calibri" w:hAnsi="Palatino Linotype" w:cs="Arial"/>
          <w:i/>
          <w:szCs w:val="22"/>
        </w:rPr>
        <w:t>: Documento en el que se elimine, suprime o borra la información clasificada como reservada o confidencial para permitir su acceso.</w:t>
      </w:r>
    </w:p>
    <w:p w14:paraId="40D69AA9"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b/>
          <w:i/>
          <w:szCs w:val="22"/>
        </w:rPr>
        <w:t>Artículo 6.</w:t>
      </w:r>
      <w:r w:rsidRPr="000524D0">
        <w:rPr>
          <w:rFonts w:ascii="Palatino Linotype" w:eastAsia="Calibri" w:hAnsi="Palatino Linotype" w:cs="Calibri"/>
          <w:i/>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3F828AE" w14:textId="77777777" w:rsidR="008B0926" w:rsidRPr="000524D0" w:rsidRDefault="008B0926" w:rsidP="008B0926">
      <w:pPr>
        <w:ind w:left="567" w:right="567"/>
        <w:contextualSpacing/>
        <w:jc w:val="both"/>
        <w:rPr>
          <w:rFonts w:ascii="Palatino Linotype" w:eastAsia="Calibri" w:hAnsi="Palatino Linotype" w:cs="Arial"/>
          <w:bCs/>
          <w:i/>
          <w:noProof/>
          <w:szCs w:val="22"/>
        </w:rPr>
      </w:pPr>
    </w:p>
    <w:p w14:paraId="623D422C"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b/>
          <w:i/>
          <w:szCs w:val="22"/>
        </w:rPr>
        <w:t>Artículo 49.</w:t>
      </w:r>
      <w:r w:rsidRPr="000524D0">
        <w:rPr>
          <w:rFonts w:ascii="Palatino Linotype" w:eastAsia="Calibri" w:hAnsi="Palatino Linotype" w:cs="Calibri"/>
          <w:i/>
          <w:szCs w:val="22"/>
        </w:rPr>
        <w:t xml:space="preserve"> Los Comités de Transparencia tendrán las siguientes atribuciones:</w:t>
      </w:r>
    </w:p>
    <w:p w14:paraId="63207D34"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i/>
          <w:szCs w:val="22"/>
        </w:rPr>
        <w:t>…</w:t>
      </w:r>
    </w:p>
    <w:p w14:paraId="70703151"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b/>
          <w:i/>
          <w:szCs w:val="22"/>
        </w:rPr>
        <w:t>VIII</w:t>
      </w:r>
      <w:r w:rsidRPr="000524D0">
        <w:rPr>
          <w:rFonts w:ascii="Palatino Linotype" w:eastAsia="Calibri" w:hAnsi="Palatino Linotype" w:cs="Calibri"/>
          <w:i/>
          <w:szCs w:val="22"/>
        </w:rPr>
        <w:t>. Aprobar, modificar o revocar la clasificación de la información;</w:t>
      </w:r>
    </w:p>
    <w:p w14:paraId="1B20F32E" w14:textId="77777777" w:rsidR="008B0926" w:rsidRPr="000524D0" w:rsidRDefault="008B0926" w:rsidP="008B0926">
      <w:pPr>
        <w:ind w:left="567" w:right="567"/>
        <w:contextualSpacing/>
        <w:jc w:val="both"/>
        <w:rPr>
          <w:rFonts w:ascii="Palatino Linotype" w:eastAsia="Calibri" w:hAnsi="Palatino Linotype" w:cs="Arial"/>
          <w:bCs/>
          <w:i/>
          <w:noProof/>
          <w:szCs w:val="22"/>
        </w:rPr>
      </w:pPr>
      <w:r w:rsidRPr="000524D0">
        <w:rPr>
          <w:rFonts w:ascii="Palatino Linotype" w:eastAsia="Calibri" w:hAnsi="Palatino Linotype" w:cs="Calibri"/>
          <w:i/>
          <w:szCs w:val="22"/>
        </w:rPr>
        <w:t>…</w:t>
      </w:r>
    </w:p>
    <w:p w14:paraId="5A1DDDD6" w14:textId="77777777" w:rsidR="008B0926" w:rsidRPr="000524D0" w:rsidRDefault="008B0926" w:rsidP="008B0926">
      <w:pPr>
        <w:ind w:left="567" w:right="567"/>
        <w:contextualSpacing/>
        <w:jc w:val="both"/>
        <w:rPr>
          <w:rFonts w:ascii="Palatino Linotype" w:eastAsia="Calibri" w:hAnsi="Palatino Linotype" w:cs="Calibri"/>
          <w:i/>
          <w:szCs w:val="22"/>
        </w:rPr>
      </w:pPr>
    </w:p>
    <w:p w14:paraId="46D44870" w14:textId="77777777" w:rsidR="008B0926" w:rsidRPr="000524D0" w:rsidRDefault="008B0926" w:rsidP="008B0926">
      <w:pPr>
        <w:ind w:left="567" w:right="567"/>
        <w:contextualSpacing/>
        <w:jc w:val="both"/>
        <w:rPr>
          <w:rFonts w:ascii="Palatino Linotype" w:eastAsia="Calibri" w:hAnsi="Palatino Linotype" w:cs="Arial"/>
          <w:b/>
          <w:bCs/>
          <w:i/>
          <w:noProof/>
          <w:szCs w:val="22"/>
        </w:rPr>
      </w:pPr>
      <w:r w:rsidRPr="000524D0">
        <w:rPr>
          <w:rFonts w:ascii="Palatino Linotype" w:eastAsia="Calibri" w:hAnsi="Palatino Linotype" w:cs="Calibri"/>
          <w:b/>
          <w:i/>
          <w:szCs w:val="22"/>
        </w:rPr>
        <w:t>Artículo 137</w:t>
      </w:r>
      <w:r w:rsidRPr="000524D0">
        <w:rPr>
          <w:rFonts w:ascii="Palatino Linotype" w:eastAsia="Calibri" w:hAnsi="Palatino Linotype" w:cs="Calibri"/>
          <w:i/>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EBC787" w14:textId="77777777" w:rsidR="008B0926" w:rsidRPr="000524D0" w:rsidRDefault="008B0926" w:rsidP="008B0926">
      <w:pPr>
        <w:ind w:left="567" w:right="567"/>
        <w:contextualSpacing/>
        <w:jc w:val="both"/>
        <w:rPr>
          <w:rFonts w:ascii="Palatino Linotype" w:eastAsia="Calibri" w:hAnsi="Palatino Linotype" w:cs="Arial"/>
          <w:b/>
          <w:bCs/>
          <w:i/>
          <w:noProof/>
          <w:szCs w:val="22"/>
        </w:rPr>
      </w:pPr>
    </w:p>
    <w:p w14:paraId="685273E3"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b/>
          <w:i/>
          <w:szCs w:val="22"/>
        </w:rPr>
        <w:t>Artículo 143</w:t>
      </w:r>
      <w:r w:rsidRPr="000524D0">
        <w:rPr>
          <w:rFonts w:ascii="Palatino Linotype" w:eastAsia="Calibri" w:hAnsi="Palatino Linotype" w:cs="Calibri"/>
          <w:i/>
          <w:szCs w:val="22"/>
        </w:rPr>
        <w:t>. Para los efectos de esta Ley se considera información confidencial, la clasificada como tal, de manera permanente, por su naturaleza, cuando:</w:t>
      </w:r>
    </w:p>
    <w:p w14:paraId="3E34B03E" w14:textId="77777777" w:rsidR="008B0926" w:rsidRPr="000524D0" w:rsidRDefault="008B0926" w:rsidP="008B0926">
      <w:pPr>
        <w:ind w:left="567" w:right="567"/>
        <w:contextualSpacing/>
        <w:jc w:val="both"/>
        <w:rPr>
          <w:rFonts w:ascii="Palatino Linotype" w:eastAsia="Calibri" w:hAnsi="Palatino Linotype" w:cs="Calibri"/>
          <w:i/>
          <w:szCs w:val="22"/>
        </w:rPr>
      </w:pPr>
    </w:p>
    <w:p w14:paraId="065A2021"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i/>
          <w:szCs w:val="22"/>
        </w:rPr>
        <w:t xml:space="preserve">I. Se refiera a la información privada y los datos personales concernientes a una persona física o </w:t>
      </w:r>
      <w:proofErr w:type="gramStart"/>
      <w:r w:rsidRPr="000524D0">
        <w:rPr>
          <w:rFonts w:ascii="Palatino Linotype" w:eastAsia="Calibri" w:hAnsi="Palatino Linotype" w:cs="Calibri"/>
          <w:i/>
          <w:szCs w:val="22"/>
        </w:rPr>
        <w:t>jurídico</w:t>
      </w:r>
      <w:proofErr w:type="gramEnd"/>
      <w:r w:rsidRPr="000524D0">
        <w:rPr>
          <w:rFonts w:ascii="Palatino Linotype" w:eastAsia="Calibri" w:hAnsi="Palatino Linotype" w:cs="Calibri"/>
          <w:i/>
          <w:szCs w:val="22"/>
        </w:rPr>
        <w:t xml:space="preserve"> colectiva identificada o identificable</w:t>
      </w:r>
    </w:p>
    <w:p w14:paraId="4A8F5127" w14:textId="77777777" w:rsidR="008B0926" w:rsidRPr="000524D0" w:rsidRDefault="008B0926" w:rsidP="008B0926">
      <w:pPr>
        <w:ind w:left="567" w:right="567"/>
        <w:contextualSpacing/>
        <w:jc w:val="both"/>
        <w:rPr>
          <w:rFonts w:ascii="Palatino Linotype" w:eastAsia="Calibri" w:hAnsi="Palatino Linotype" w:cs="Calibri"/>
          <w:i/>
          <w:szCs w:val="22"/>
        </w:rPr>
      </w:pPr>
      <w:r w:rsidRPr="000524D0">
        <w:rPr>
          <w:rFonts w:ascii="Palatino Linotype" w:eastAsia="Calibri" w:hAnsi="Palatino Linotype" w:cs="Calibri"/>
          <w:i/>
          <w:szCs w:val="22"/>
        </w:rPr>
        <w:lastRenderedPageBreak/>
        <w:t>…</w:t>
      </w:r>
    </w:p>
    <w:p w14:paraId="772923B9" w14:textId="77777777" w:rsidR="008B0926" w:rsidRPr="000524D0" w:rsidRDefault="008B0926" w:rsidP="008B0926">
      <w:pPr>
        <w:spacing w:line="360" w:lineRule="auto"/>
        <w:ind w:left="993" w:right="1610"/>
        <w:contextualSpacing/>
        <w:jc w:val="both"/>
        <w:rPr>
          <w:rFonts w:ascii="Palatino Linotype" w:eastAsia="Calibri" w:hAnsi="Palatino Linotype" w:cs="Calibri"/>
          <w:i/>
          <w:szCs w:val="22"/>
        </w:rPr>
      </w:pPr>
    </w:p>
    <w:p w14:paraId="004C7941" w14:textId="77777777" w:rsidR="008B0926" w:rsidRPr="000524D0" w:rsidRDefault="008B0926" w:rsidP="008B0926">
      <w:pPr>
        <w:spacing w:line="360" w:lineRule="auto"/>
        <w:jc w:val="both"/>
        <w:rPr>
          <w:rFonts w:ascii="Palatino Linotype" w:eastAsia="Calibri" w:hAnsi="Palatino Linotype" w:cs="Arial"/>
        </w:rPr>
      </w:pPr>
      <w:r w:rsidRPr="000524D0">
        <w:rPr>
          <w:rFonts w:ascii="Palatino Linotype" w:eastAsia="Calibri"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10D46EA2" w14:textId="77777777" w:rsidR="008B0926" w:rsidRPr="000524D0" w:rsidRDefault="008B0926" w:rsidP="008B0926">
      <w:pPr>
        <w:jc w:val="both"/>
        <w:rPr>
          <w:rFonts w:ascii="Palatino Linotype" w:eastAsia="Calibri" w:hAnsi="Palatino Linotype" w:cs="Arial"/>
        </w:rPr>
      </w:pPr>
    </w:p>
    <w:p w14:paraId="40A50349" w14:textId="77777777" w:rsidR="008B0926" w:rsidRPr="000524D0" w:rsidRDefault="008B0926" w:rsidP="008B0926">
      <w:pPr>
        <w:tabs>
          <w:tab w:val="left" w:pos="7655"/>
          <w:tab w:val="left" w:pos="7938"/>
        </w:tabs>
        <w:ind w:left="851" w:right="902"/>
        <w:jc w:val="both"/>
        <w:rPr>
          <w:rFonts w:ascii="Palatino Linotype" w:eastAsia="Arial Unicode MS" w:hAnsi="Palatino Linotype" w:cs="Arial"/>
          <w:i/>
          <w:szCs w:val="22"/>
        </w:rPr>
      </w:pPr>
      <w:r w:rsidRPr="000524D0">
        <w:rPr>
          <w:rFonts w:ascii="Palatino Linotype" w:eastAsia="Arial Unicode MS" w:hAnsi="Palatino Linotype" w:cs="Arial"/>
          <w:b/>
          <w:i/>
          <w:szCs w:val="22"/>
        </w:rPr>
        <w:t>“Artículo 14.</w:t>
      </w:r>
      <w:r w:rsidRPr="000524D0">
        <w:rPr>
          <w:rFonts w:ascii="Palatino Linotype" w:eastAsia="Arial Unicode MS" w:hAnsi="Palatino Linotype" w:cs="Arial"/>
          <w:i/>
          <w:szCs w:val="22"/>
        </w:rPr>
        <w:t xml:space="preserve"> Todo tratamiento de datos personales que efectúen los sujetos obligados deberá estar justificado en la Ley.</w:t>
      </w:r>
    </w:p>
    <w:p w14:paraId="157BE5D7" w14:textId="77777777" w:rsidR="008B0926" w:rsidRPr="000524D0" w:rsidRDefault="008B0926" w:rsidP="008B0926">
      <w:pPr>
        <w:tabs>
          <w:tab w:val="left" w:pos="7655"/>
          <w:tab w:val="left" w:pos="7938"/>
        </w:tabs>
        <w:ind w:left="851" w:right="902"/>
        <w:jc w:val="both"/>
        <w:rPr>
          <w:rFonts w:ascii="Palatino Linotype" w:eastAsia="Arial Unicode MS" w:hAnsi="Palatino Linotype" w:cs="Arial"/>
          <w:b/>
          <w:i/>
          <w:szCs w:val="22"/>
        </w:rPr>
      </w:pPr>
      <w:r w:rsidRPr="000524D0">
        <w:rPr>
          <w:rFonts w:ascii="Palatino Linotype" w:eastAsia="Arial Unicode MS" w:hAnsi="Palatino Linotype" w:cs="Arial"/>
          <w:i/>
          <w:szCs w:val="22"/>
        </w:rPr>
        <w:t>No se considerará como una finalidad distinta a aquélla para la que fueron obtenidos, el tratamiento de los datos con fines estadísticos o científicos.</w:t>
      </w:r>
    </w:p>
    <w:p w14:paraId="4D2D1862" w14:textId="77777777" w:rsidR="008B0926" w:rsidRPr="000524D0" w:rsidRDefault="008B0926" w:rsidP="008B0926">
      <w:pPr>
        <w:tabs>
          <w:tab w:val="left" w:pos="7655"/>
          <w:tab w:val="left" w:pos="7938"/>
        </w:tabs>
        <w:ind w:left="851" w:right="902"/>
        <w:jc w:val="both"/>
        <w:rPr>
          <w:rFonts w:ascii="Palatino Linotype" w:eastAsia="Arial Unicode MS" w:hAnsi="Palatino Linotype" w:cs="Arial"/>
          <w:b/>
          <w:i/>
          <w:szCs w:val="22"/>
        </w:rPr>
      </w:pPr>
    </w:p>
    <w:p w14:paraId="560D590B" w14:textId="77777777" w:rsidR="008B0926" w:rsidRPr="000524D0" w:rsidRDefault="008B0926" w:rsidP="008B0926">
      <w:pPr>
        <w:tabs>
          <w:tab w:val="left" w:pos="7655"/>
          <w:tab w:val="left" w:pos="7938"/>
        </w:tabs>
        <w:ind w:left="851" w:right="902"/>
        <w:jc w:val="both"/>
        <w:rPr>
          <w:rFonts w:ascii="Palatino Linotype" w:eastAsia="Arial Unicode MS" w:hAnsi="Palatino Linotype" w:cs="Arial"/>
          <w:i/>
          <w:szCs w:val="22"/>
        </w:rPr>
      </w:pPr>
      <w:r w:rsidRPr="000524D0">
        <w:rPr>
          <w:rFonts w:ascii="Palatino Linotype" w:eastAsia="Arial Unicode MS" w:hAnsi="Palatino Linotype" w:cs="Arial"/>
          <w:b/>
          <w:i/>
          <w:szCs w:val="22"/>
        </w:rPr>
        <w:t>Artículo 58.</w:t>
      </w:r>
      <w:r w:rsidRPr="000524D0">
        <w:rPr>
          <w:rFonts w:ascii="Palatino Linotype" w:eastAsia="Arial Unicode MS" w:hAnsi="Palatino Linotype" w:cs="Arial"/>
          <w:i/>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591DD4FC" w14:textId="77777777" w:rsidR="008B0926" w:rsidRPr="000524D0" w:rsidRDefault="008B0926" w:rsidP="008B0926">
      <w:pPr>
        <w:tabs>
          <w:tab w:val="left" w:pos="7655"/>
          <w:tab w:val="left" w:pos="7938"/>
        </w:tabs>
        <w:ind w:left="851" w:right="902"/>
        <w:jc w:val="both"/>
        <w:rPr>
          <w:rFonts w:ascii="Palatino Linotype" w:eastAsia="Arial Unicode MS" w:hAnsi="Palatino Linotype" w:cs="Arial"/>
          <w:i/>
          <w:szCs w:val="22"/>
        </w:rPr>
      </w:pPr>
    </w:p>
    <w:p w14:paraId="6880A727" w14:textId="77777777" w:rsidR="008B0926" w:rsidRPr="000524D0" w:rsidRDefault="008B0926" w:rsidP="008B0926">
      <w:pPr>
        <w:tabs>
          <w:tab w:val="left" w:pos="7655"/>
          <w:tab w:val="left" w:pos="7938"/>
        </w:tabs>
        <w:autoSpaceDE w:val="0"/>
        <w:autoSpaceDN w:val="0"/>
        <w:adjustRightInd w:val="0"/>
        <w:ind w:left="851" w:right="902"/>
        <w:jc w:val="both"/>
        <w:rPr>
          <w:rFonts w:ascii="Palatino Linotype" w:eastAsia="Arial Unicode MS" w:hAnsi="Palatino Linotype" w:cs="Arial"/>
          <w:i/>
          <w:szCs w:val="22"/>
        </w:rPr>
      </w:pPr>
      <w:r w:rsidRPr="000524D0">
        <w:rPr>
          <w:rFonts w:ascii="Palatino Linotype" w:eastAsia="Arial Unicode MS" w:hAnsi="Palatino Linotype" w:cs="Arial"/>
          <w:i/>
          <w:szCs w:val="22"/>
        </w:rPr>
        <w:t>…” (Sic)</w:t>
      </w:r>
    </w:p>
    <w:p w14:paraId="2A997AAE" w14:textId="77777777" w:rsidR="008B0926" w:rsidRPr="000524D0" w:rsidRDefault="008B0926" w:rsidP="008B0926">
      <w:pPr>
        <w:autoSpaceDE w:val="0"/>
        <w:autoSpaceDN w:val="0"/>
        <w:adjustRightInd w:val="0"/>
        <w:spacing w:line="360" w:lineRule="auto"/>
        <w:ind w:left="567" w:right="-1"/>
        <w:jc w:val="both"/>
        <w:rPr>
          <w:rFonts w:ascii="Palatino Linotype" w:eastAsia="Calibri" w:hAnsi="Palatino Linotype" w:cs="Arial"/>
          <w:i/>
          <w:szCs w:val="20"/>
        </w:rPr>
      </w:pPr>
    </w:p>
    <w:p w14:paraId="5D04342F" w14:textId="77777777" w:rsidR="008B0926" w:rsidRPr="000524D0" w:rsidRDefault="008B0926" w:rsidP="008B0926">
      <w:pPr>
        <w:spacing w:line="360" w:lineRule="auto"/>
        <w:jc w:val="both"/>
        <w:rPr>
          <w:rFonts w:ascii="Palatino Linotype" w:eastAsia="Calibri" w:hAnsi="Palatino Linotype" w:cs="Arial"/>
        </w:rPr>
      </w:pPr>
      <w:r w:rsidRPr="000524D0">
        <w:rPr>
          <w:rFonts w:ascii="Palatino Linotype" w:eastAsia="Calibri"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0552DA27" w14:textId="77777777" w:rsidR="008B0926" w:rsidRPr="000524D0" w:rsidRDefault="008B0926" w:rsidP="008B0926">
      <w:pPr>
        <w:spacing w:line="360" w:lineRule="auto"/>
        <w:jc w:val="both"/>
        <w:rPr>
          <w:rFonts w:ascii="Palatino Linotype" w:eastAsia="Calibri" w:hAnsi="Palatino Linotype" w:cs="Arial"/>
        </w:rPr>
      </w:pPr>
    </w:p>
    <w:p w14:paraId="5687ACEF" w14:textId="77777777" w:rsidR="008B0926" w:rsidRPr="000524D0" w:rsidRDefault="008B0926" w:rsidP="008B0926">
      <w:pPr>
        <w:spacing w:line="360" w:lineRule="auto"/>
        <w:jc w:val="both"/>
        <w:rPr>
          <w:rFonts w:ascii="Palatino Linotype" w:eastAsia="Calibri" w:hAnsi="Palatino Linotype" w:cs="Arial"/>
          <w:lang w:eastAsia="es-CO"/>
        </w:rPr>
      </w:pPr>
      <w:r w:rsidRPr="000524D0">
        <w:rPr>
          <w:rFonts w:ascii="Palatino Linotype" w:eastAsia="Calibri" w:hAnsi="Palatino Linotype" w:cs="Arial"/>
          <w:lang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0524D0">
        <w:rPr>
          <w:rFonts w:ascii="Palatino Linotype" w:eastAsia="Calibri" w:hAnsi="Palatino Linotype" w:cs="Arial"/>
          <w:b/>
          <w:lang w:eastAsia="es-CO"/>
        </w:rPr>
        <w:t>Sujeto Obligado</w:t>
      </w:r>
      <w:r w:rsidRPr="000524D0">
        <w:rPr>
          <w:rFonts w:ascii="Palatino Linotype" w:eastAsia="Calibri"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023174" w14:textId="77777777" w:rsidR="008B0926" w:rsidRPr="000524D0" w:rsidRDefault="008B0926" w:rsidP="008B0926">
      <w:pPr>
        <w:spacing w:line="360" w:lineRule="auto"/>
        <w:jc w:val="both"/>
        <w:rPr>
          <w:rFonts w:ascii="Palatino Linotype" w:eastAsia="Palatino Linotype" w:hAnsi="Palatino Linotype" w:cs="Palatino Linotype"/>
        </w:rPr>
      </w:pPr>
    </w:p>
    <w:p w14:paraId="253006CF" w14:textId="77777777" w:rsidR="008B0926" w:rsidRPr="000524D0"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524D0">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81FA9B" w14:textId="77777777" w:rsidR="008B0926" w:rsidRPr="000524D0" w:rsidRDefault="008B0926" w:rsidP="008B0926">
      <w:pPr>
        <w:spacing w:line="360" w:lineRule="auto"/>
        <w:jc w:val="both"/>
        <w:rPr>
          <w:rFonts w:ascii="Palatino Linotype" w:eastAsia="Calibri" w:hAnsi="Palatino Linotype" w:cs="Calibri"/>
          <w:szCs w:val="22"/>
        </w:rPr>
      </w:pPr>
    </w:p>
    <w:p w14:paraId="1B77EA1F" w14:textId="2F2576F7" w:rsidR="008B0926" w:rsidRPr="000524D0"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524D0">
        <w:rPr>
          <w:rFonts w:ascii="Palatino Linotype" w:eastAsia="Palatino Linotype" w:hAnsi="Palatino Linotype" w:cs="Palatino Linotype"/>
          <w:color w:val="000000"/>
        </w:rPr>
        <w:t xml:space="preserve">En mérito de lo expuesto en líneas anteriores, este Instituto considera que los motivos de inconformidad planteados por la Recurrente resultan fundados en el recurso de revisión que es materia de esta resolución; por ello </w:t>
      </w:r>
      <w:r w:rsidRPr="000524D0">
        <w:rPr>
          <w:rFonts w:ascii="Palatino Linotype" w:eastAsia="Palatino Linotype" w:hAnsi="Palatino Linotype" w:cs="Palatino Linotype"/>
          <w:b/>
          <w:color w:val="000000"/>
        </w:rPr>
        <w:t xml:space="preserve">con fundamento en la primera hipótesis de la fracción III del artículo 186 </w:t>
      </w:r>
      <w:r w:rsidRPr="000524D0">
        <w:rPr>
          <w:rFonts w:ascii="Palatino Linotype" w:eastAsia="Palatino Linotype" w:hAnsi="Palatino Linotype" w:cs="Palatino Linotype"/>
          <w:color w:val="000000"/>
        </w:rPr>
        <w:t xml:space="preserve">de la Ley de Transparencia y Acceso a la Información Pública del Estado de México y Municipios, se </w:t>
      </w:r>
      <w:r w:rsidRPr="000524D0">
        <w:rPr>
          <w:rFonts w:ascii="Palatino Linotype" w:eastAsia="Palatino Linotype" w:hAnsi="Palatino Linotype" w:cs="Palatino Linotype"/>
          <w:b/>
          <w:color w:val="000000"/>
        </w:rPr>
        <w:t xml:space="preserve">REVOCA </w:t>
      </w:r>
      <w:r w:rsidRPr="000524D0">
        <w:rPr>
          <w:rFonts w:ascii="Palatino Linotype" w:eastAsia="Palatino Linotype" w:hAnsi="Palatino Linotype" w:cs="Palatino Linotype"/>
          <w:color w:val="000000"/>
        </w:rPr>
        <w:t>la respuesta a la solicitud de información número</w:t>
      </w:r>
      <w:r w:rsidRPr="000524D0">
        <w:rPr>
          <w:rFonts w:ascii="Palatino Linotype" w:eastAsia="Palatino Linotype" w:hAnsi="Palatino Linotype" w:cs="Palatino Linotype"/>
          <w:b/>
          <w:bCs/>
          <w:color w:val="000000"/>
        </w:rPr>
        <w:t xml:space="preserve"> </w:t>
      </w:r>
      <w:r w:rsidR="002F5F3E" w:rsidRPr="000524D0">
        <w:rPr>
          <w:rFonts w:ascii="Palatino Linotype" w:eastAsia="Palatino Linotype" w:hAnsi="Palatino Linotype" w:cs="Palatino Linotype"/>
          <w:b/>
          <w:bCs/>
          <w:color w:val="000000"/>
        </w:rPr>
        <w:t>03682/TOLUCA/IP/2025</w:t>
      </w:r>
      <w:r w:rsidRPr="000524D0">
        <w:rPr>
          <w:rFonts w:ascii="Palatino Linotype" w:eastAsia="Palatino Linotype" w:hAnsi="Palatino Linotype" w:cs="Palatino Linotype"/>
          <w:color w:val="000000"/>
        </w:rPr>
        <w:t>, que ha sido materia del presente estudio.</w:t>
      </w:r>
    </w:p>
    <w:p w14:paraId="625D6A9F" w14:textId="77777777" w:rsidR="008B0926" w:rsidRPr="000524D0" w:rsidRDefault="008B0926" w:rsidP="008B0926">
      <w:pPr>
        <w:spacing w:line="360" w:lineRule="auto"/>
        <w:jc w:val="both"/>
        <w:rPr>
          <w:rFonts w:ascii="Palatino Linotype" w:eastAsia="Calibri" w:hAnsi="Palatino Linotype" w:cs="Calibri"/>
          <w:szCs w:val="22"/>
        </w:rPr>
      </w:pPr>
    </w:p>
    <w:p w14:paraId="34D03AEA" w14:textId="77777777" w:rsidR="008B0926" w:rsidRPr="000524D0"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524D0">
        <w:rPr>
          <w:rFonts w:ascii="Palatino Linotype" w:eastAsia="Palatino Linotype" w:hAnsi="Palatino Linotype" w:cs="Palatino Linotype"/>
          <w:color w:val="000000"/>
        </w:rPr>
        <w:t>Por lo antes expuesto y fundado es de resolverse y,</w:t>
      </w:r>
    </w:p>
    <w:p w14:paraId="6C94BC8F" w14:textId="77777777" w:rsidR="006F596B" w:rsidRPr="000524D0" w:rsidRDefault="006F596B" w:rsidP="006F596B">
      <w:pPr>
        <w:spacing w:line="360" w:lineRule="auto"/>
        <w:jc w:val="both"/>
        <w:rPr>
          <w:rFonts w:ascii="Palatino Linotype" w:hAnsi="Palatino Linotype"/>
        </w:rPr>
      </w:pPr>
    </w:p>
    <w:p w14:paraId="28884CE2" w14:textId="77777777" w:rsidR="00AD6E7B" w:rsidRPr="000524D0" w:rsidRDefault="00AD6E7B" w:rsidP="006F596B">
      <w:pPr>
        <w:spacing w:line="360" w:lineRule="auto"/>
        <w:jc w:val="both"/>
        <w:rPr>
          <w:rFonts w:ascii="Palatino Linotype" w:hAnsi="Palatino Linotype"/>
        </w:rPr>
      </w:pPr>
    </w:p>
    <w:p w14:paraId="2112BB21" w14:textId="77777777" w:rsidR="006F596B" w:rsidRPr="000524D0" w:rsidRDefault="006F596B" w:rsidP="006F596B">
      <w:pPr>
        <w:spacing w:line="360" w:lineRule="auto"/>
        <w:jc w:val="center"/>
        <w:rPr>
          <w:rFonts w:ascii="Palatino Linotype" w:hAnsi="Palatino Linotype"/>
          <w:b/>
          <w:bCs/>
          <w:spacing w:val="60"/>
          <w:sz w:val="28"/>
        </w:rPr>
      </w:pPr>
      <w:r w:rsidRPr="000524D0">
        <w:rPr>
          <w:rFonts w:ascii="Palatino Linotype" w:hAnsi="Palatino Linotype"/>
          <w:b/>
          <w:bCs/>
          <w:spacing w:val="60"/>
          <w:sz w:val="28"/>
        </w:rPr>
        <w:t>SE    RESUELVE</w:t>
      </w:r>
    </w:p>
    <w:p w14:paraId="66A19A28" w14:textId="77777777" w:rsidR="006F596B" w:rsidRPr="000524D0" w:rsidRDefault="006F596B" w:rsidP="006F596B">
      <w:pPr>
        <w:rPr>
          <w:rFonts w:ascii="Palatino Linotype" w:hAnsi="Palatino Linotype"/>
        </w:rPr>
      </w:pPr>
    </w:p>
    <w:p w14:paraId="60A3E112" w14:textId="51D1E518" w:rsidR="006F596B" w:rsidRPr="000524D0" w:rsidRDefault="006F596B" w:rsidP="006F596B">
      <w:pPr>
        <w:autoSpaceDE w:val="0"/>
        <w:autoSpaceDN w:val="0"/>
        <w:adjustRightInd w:val="0"/>
        <w:spacing w:line="360" w:lineRule="auto"/>
        <w:ind w:right="49"/>
        <w:jc w:val="both"/>
        <w:rPr>
          <w:rFonts w:ascii="Palatino Linotype" w:hAnsi="Palatino Linotype" w:cs="Arial"/>
        </w:rPr>
      </w:pPr>
      <w:r w:rsidRPr="000524D0">
        <w:rPr>
          <w:rFonts w:ascii="Palatino Linotype" w:hAnsi="Palatino Linotype" w:cs="Arial"/>
          <w:b/>
          <w:sz w:val="28"/>
          <w:szCs w:val="28"/>
        </w:rPr>
        <w:t>PRIMERO.</w:t>
      </w:r>
      <w:r w:rsidRPr="000524D0">
        <w:rPr>
          <w:rFonts w:ascii="Palatino Linotype" w:hAnsi="Palatino Linotype" w:cs="Arial"/>
        </w:rPr>
        <w:t xml:space="preserve"> Se</w:t>
      </w:r>
      <w:r w:rsidRPr="000524D0">
        <w:rPr>
          <w:rFonts w:ascii="Palatino Linotype" w:hAnsi="Palatino Linotype" w:cs="Arial"/>
          <w:b/>
        </w:rPr>
        <w:t xml:space="preserve"> </w:t>
      </w:r>
      <w:r w:rsidR="008B0926" w:rsidRPr="000524D0">
        <w:rPr>
          <w:rFonts w:ascii="Palatino Linotype" w:hAnsi="Palatino Linotype" w:cs="Arial"/>
          <w:b/>
        </w:rPr>
        <w:t>REVOCA</w:t>
      </w:r>
      <w:r w:rsidRPr="000524D0">
        <w:rPr>
          <w:rFonts w:ascii="Palatino Linotype" w:hAnsi="Palatino Linotype" w:cs="Arial"/>
          <w:b/>
        </w:rPr>
        <w:t xml:space="preserve"> </w:t>
      </w:r>
      <w:r w:rsidRPr="000524D0">
        <w:rPr>
          <w:rFonts w:ascii="Palatino Linotype" w:eastAsia="Arial Unicode MS" w:hAnsi="Palatino Linotype" w:cs="Arial"/>
        </w:rPr>
        <w:t xml:space="preserve">la respuesta entregada por </w:t>
      </w:r>
      <w:r w:rsidRPr="000524D0">
        <w:rPr>
          <w:rFonts w:ascii="Palatino Linotype" w:eastAsia="Arial Unicode MS" w:hAnsi="Palatino Linotype" w:cs="Arial"/>
          <w:b/>
        </w:rPr>
        <w:t xml:space="preserve">El Sujeto Obligado </w:t>
      </w:r>
      <w:r w:rsidRPr="000524D0">
        <w:rPr>
          <w:rFonts w:ascii="Palatino Linotype" w:eastAsia="Arial Unicode MS" w:hAnsi="Palatino Linotype" w:cs="Arial"/>
        </w:rPr>
        <w:t xml:space="preserve">a la solicitud de información número </w:t>
      </w:r>
      <w:r w:rsidR="002F5F3E" w:rsidRPr="000524D0">
        <w:rPr>
          <w:rFonts w:ascii="Palatino Linotype" w:hAnsi="Palatino Linotype" w:cs="Arial"/>
          <w:b/>
          <w:bCs/>
        </w:rPr>
        <w:t>03682/TOLUCA/IP/2025</w:t>
      </w:r>
      <w:r w:rsidRPr="000524D0">
        <w:rPr>
          <w:rFonts w:ascii="Palatino Linotype" w:hAnsi="Palatino Linotype" w:cs="Arial"/>
        </w:rPr>
        <w:t>, por resultar parcialmente fundados los motivos de inconformidad vertidos por el</w:t>
      </w:r>
      <w:r w:rsidRPr="000524D0">
        <w:rPr>
          <w:rFonts w:ascii="Palatino Linotype" w:hAnsi="Palatino Linotype" w:cs="Arial"/>
          <w:b/>
        </w:rPr>
        <w:t xml:space="preserve"> Recurrente</w:t>
      </w:r>
      <w:r w:rsidRPr="000524D0">
        <w:rPr>
          <w:rFonts w:ascii="Palatino Linotype" w:hAnsi="Palatino Linotype" w:cs="Arial"/>
        </w:rPr>
        <w:t xml:space="preserve">, en términos del Considerando </w:t>
      </w:r>
      <w:r w:rsidR="00BB45EE" w:rsidRPr="000524D0">
        <w:rPr>
          <w:rFonts w:ascii="Palatino Linotype" w:hAnsi="Palatino Linotype" w:cs="Arial"/>
          <w:b/>
        </w:rPr>
        <w:t>QUINTO</w:t>
      </w:r>
      <w:r w:rsidRPr="000524D0">
        <w:rPr>
          <w:rFonts w:ascii="Palatino Linotype" w:hAnsi="Palatino Linotype" w:cs="Arial"/>
        </w:rPr>
        <w:t xml:space="preserve"> de </w:t>
      </w:r>
      <w:r w:rsidR="006E796C" w:rsidRPr="000524D0">
        <w:rPr>
          <w:rFonts w:ascii="Palatino Linotype" w:hAnsi="Palatino Linotype" w:cs="Arial"/>
        </w:rPr>
        <w:t>e</w:t>
      </w:r>
      <w:r w:rsidRPr="000524D0">
        <w:rPr>
          <w:rFonts w:ascii="Palatino Linotype" w:hAnsi="Palatino Linotype" w:cs="Arial"/>
        </w:rPr>
        <w:t>sta resolución.</w:t>
      </w:r>
    </w:p>
    <w:p w14:paraId="09FE6900" w14:textId="77777777" w:rsidR="006F596B" w:rsidRPr="000524D0" w:rsidRDefault="006F596B" w:rsidP="006F596B">
      <w:pPr>
        <w:autoSpaceDE w:val="0"/>
        <w:autoSpaceDN w:val="0"/>
        <w:adjustRightInd w:val="0"/>
        <w:spacing w:line="360" w:lineRule="auto"/>
        <w:ind w:right="49"/>
        <w:jc w:val="both"/>
        <w:rPr>
          <w:rFonts w:ascii="Palatino Linotype" w:hAnsi="Palatino Linotype" w:cs="Arial"/>
        </w:rPr>
      </w:pPr>
    </w:p>
    <w:p w14:paraId="000EE957" w14:textId="49D51260" w:rsidR="006F596B" w:rsidRPr="000524D0" w:rsidRDefault="006F596B" w:rsidP="006F596B">
      <w:pPr>
        <w:spacing w:line="360" w:lineRule="auto"/>
        <w:jc w:val="both"/>
        <w:rPr>
          <w:rFonts w:ascii="Palatino Linotype" w:hAnsi="Palatino Linotype" w:cs="Arial"/>
        </w:rPr>
      </w:pPr>
      <w:r w:rsidRPr="000524D0">
        <w:rPr>
          <w:rFonts w:ascii="Palatino Linotype" w:hAnsi="Palatino Linotype" w:cs="Arial"/>
          <w:b/>
          <w:sz w:val="28"/>
          <w:szCs w:val="28"/>
        </w:rPr>
        <w:t>SEGUNDO.</w:t>
      </w:r>
      <w:r w:rsidRPr="000524D0">
        <w:rPr>
          <w:rFonts w:ascii="Palatino Linotype" w:hAnsi="Palatino Linotype" w:cs="Arial"/>
        </w:rPr>
        <w:t xml:space="preserve"> Se </w:t>
      </w:r>
      <w:r w:rsidRPr="000524D0">
        <w:rPr>
          <w:rFonts w:ascii="Palatino Linotype" w:hAnsi="Palatino Linotype" w:cs="Arial"/>
          <w:b/>
        </w:rPr>
        <w:t>ORDENA</w:t>
      </w:r>
      <w:r w:rsidRPr="000524D0">
        <w:rPr>
          <w:rFonts w:ascii="Palatino Linotype" w:hAnsi="Palatino Linotype" w:cs="Arial"/>
        </w:rPr>
        <w:t xml:space="preserve"> </w:t>
      </w:r>
      <w:r w:rsidR="00E956DE" w:rsidRPr="000524D0">
        <w:rPr>
          <w:rFonts w:ascii="Palatino Linotype" w:eastAsia="Calibri" w:hAnsi="Palatino Linotype" w:cs="Arial"/>
        </w:rPr>
        <w:t xml:space="preserve">al </w:t>
      </w:r>
      <w:r w:rsidR="00E956DE" w:rsidRPr="000524D0">
        <w:rPr>
          <w:rFonts w:ascii="Palatino Linotype" w:eastAsia="Calibri" w:hAnsi="Palatino Linotype" w:cs="Arial"/>
          <w:b/>
        </w:rPr>
        <w:t xml:space="preserve">Sujeto Obligado </w:t>
      </w:r>
      <w:r w:rsidR="00E956DE" w:rsidRPr="000524D0">
        <w:rPr>
          <w:rFonts w:ascii="Palatino Linotype" w:eastAsia="Calibri" w:hAnsi="Palatino Linotype" w:cs="Arial"/>
        </w:rPr>
        <w:t xml:space="preserve">haga entrega al </w:t>
      </w:r>
      <w:r w:rsidR="00E956DE" w:rsidRPr="000524D0">
        <w:rPr>
          <w:rFonts w:ascii="Palatino Linotype" w:eastAsia="Calibri" w:hAnsi="Palatino Linotype" w:cs="Arial"/>
          <w:b/>
        </w:rPr>
        <w:t>Recurrente</w:t>
      </w:r>
      <w:r w:rsidR="00E956DE" w:rsidRPr="000524D0">
        <w:rPr>
          <w:rFonts w:ascii="Palatino Linotype" w:hAnsi="Palatino Linotype" w:cs="Arial"/>
          <w:b/>
        </w:rPr>
        <w:t>,</w:t>
      </w:r>
      <w:r w:rsidRPr="000524D0">
        <w:rPr>
          <w:rFonts w:ascii="Palatino Linotype" w:hAnsi="Palatino Linotype" w:cs="Arial"/>
          <w:b/>
        </w:rPr>
        <w:t xml:space="preserve"> </w:t>
      </w:r>
      <w:r w:rsidRPr="000524D0">
        <w:rPr>
          <w:rFonts w:ascii="Palatino Linotype" w:hAnsi="Palatino Linotype" w:cs="Arial"/>
        </w:rPr>
        <w:t xml:space="preserve">en términos del Considerando </w:t>
      </w:r>
      <w:r w:rsidR="00BB45EE" w:rsidRPr="000524D0">
        <w:rPr>
          <w:rFonts w:ascii="Palatino Linotype" w:hAnsi="Palatino Linotype" w:cs="Arial"/>
          <w:b/>
        </w:rPr>
        <w:t>QUINTO</w:t>
      </w:r>
      <w:r w:rsidRPr="000524D0">
        <w:rPr>
          <w:rFonts w:ascii="Palatino Linotype" w:hAnsi="Palatino Linotype" w:cs="Arial"/>
          <w:b/>
        </w:rPr>
        <w:t xml:space="preserve"> </w:t>
      </w:r>
      <w:r w:rsidRPr="000524D0">
        <w:rPr>
          <w:rFonts w:ascii="Palatino Linotype" w:hAnsi="Palatino Linotype" w:cs="Arial"/>
        </w:rPr>
        <w:t>de esta resolución, a través del</w:t>
      </w:r>
      <w:r w:rsidRPr="000524D0">
        <w:rPr>
          <w:rFonts w:ascii="Palatino Linotype" w:hAnsi="Palatino Linotype" w:cs="Arial"/>
          <w:b/>
        </w:rPr>
        <w:t xml:space="preserve"> </w:t>
      </w:r>
      <w:r w:rsidRPr="000524D0">
        <w:rPr>
          <w:rFonts w:ascii="Palatino Linotype" w:hAnsi="Palatino Linotype" w:cs="Arial"/>
        </w:rPr>
        <w:t xml:space="preserve">Sistema de Acceso a la Información Mexiquense </w:t>
      </w:r>
      <w:r w:rsidRPr="000524D0">
        <w:rPr>
          <w:rFonts w:ascii="Palatino Linotype" w:hAnsi="Palatino Linotype" w:cs="Arial"/>
          <w:b/>
        </w:rPr>
        <w:t>(SAIMEX)</w:t>
      </w:r>
      <w:r w:rsidR="00A9120F" w:rsidRPr="000524D0">
        <w:rPr>
          <w:rFonts w:ascii="Palatino Linotype" w:hAnsi="Palatino Linotype" w:cs="Arial"/>
        </w:rPr>
        <w:t xml:space="preserve">, </w:t>
      </w:r>
      <w:r w:rsidRPr="000524D0">
        <w:rPr>
          <w:rFonts w:ascii="Palatino Linotype" w:hAnsi="Palatino Linotype" w:cs="Arial"/>
        </w:rPr>
        <w:t>de ser procedente en versión pública, de</w:t>
      </w:r>
      <w:r w:rsidR="00E956DE" w:rsidRPr="000524D0">
        <w:rPr>
          <w:rFonts w:ascii="Palatino Linotype" w:hAnsi="Palatino Linotype" w:cs="Arial"/>
        </w:rPr>
        <w:t xml:space="preserve"> </w:t>
      </w:r>
      <w:r w:rsidRPr="000524D0">
        <w:rPr>
          <w:rFonts w:ascii="Palatino Linotype" w:hAnsi="Palatino Linotype" w:cs="Arial"/>
        </w:rPr>
        <w:t>lo siguiente:</w:t>
      </w:r>
    </w:p>
    <w:p w14:paraId="571A54E5" w14:textId="77777777" w:rsidR="006F596B" w:rsidRPr="000524D0" w:rsidRDefault="006F596B" w:rsidP="006F596B">
      <w:pPr>
        <w:spacing w:line="360" w:lineRule="auto"/>
        <w:jc w:val="both"/>
        <w:rPr>
          <w:rFonts w:ascii="Palatino Linotype" w:hAnsi="Palatino Linotype" w:cs="Arial"/>
        </w:rPr>
      </w:pPr>
    </w:p>
    <w:p w14:paraId="2837A811" w14:textId="02643600" w:rsidR="006F596B" w:rsidRPr="000524D0" w:rsidRDefault="002F5F3E" w:rsidP="007525DE">
      <w:pPr>
        <w:pStyle w:val="Prrafodelista"/>
        <w:numPr>
          <w:ilvl w:val="0"/>
          <w:numId w:val="6"/>
        </w:numPr>
        <w:spacing w:line="360" w:lineRule="auto"/>
        <w:jc w:val="both"/>
        <w:rPr>
          <w:rFonts w:ascii="Palatino Linotype" w:hAnsi="Palatino Linotype" w:cs="Arial"/>
        </w:rPr>
      </w:pPr>
      <w:r w:rsidRPr="000524D0">
        <w:rPr>
          <w:rFonts w:ascii="Palatino Linotype" w:eastAsiaTheme="minorHAnsi" w:hAnsi="Palatino Linotype"/>
        </w:rPr>
        <w:t>Acuses de las solicitudes de información pública recibidos en el periodo que comprende del 01 de enero al 26 de junio de 2025</w:t>
      </w:r>
      <w:r w:rsidR="006F596B" w:rsidRPr="000524D0">
        <w:rPr>
          <w:rFonts w:ascii="Palatino Linotype" w:eastAsiaTheme="minorHAnsi" w:hAnsi="Palatino Linotype"/>
        </w:rPr>
        <w:t>.</w:t>
      </w:r>
    </w:p>
    <w:p w14:paraId="7A37513D" w14:textId="77777777" w:rsidR="006F596B" w:rsidRPr="000524D0" w:rsidRDefault="006F596B" w:rsidP="006F596B">
      <w:pPr>
        <w:pStyle w:val="Sinespaciado"/>
        <w:rPr>
          <w:lang w:val="es-ES_tradnl"/>
        </w:rPr>
      </w:pPr>
    </w:p>
    <w:p w14:paraId="373492C9" w14:textId="77777777" w:rsidR="006F596B" w:rsidRPr="000524D0" w:rsidRDefault="006F596B" w:rsidP="006F596B">
      <w:pPr>
        <w:pStyle w:val="Prrafodelista"/>
        <w:ind w:left="720" w:right="567"/>
        <w:jc w:val="both"/>
        <w:rPr>
          <w:rFonts w:ascii="Palatino Linotype" w:hAnsi="Palatino Linotype"/>
          <w:i/>
          <w:sz w:val="22"/>
        </w:rPr>
      </w:pPr>
      <w:r w:rsidRPr="000524D0">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0524D0">
        <w:rPr>
          <w:rFonts w:ascii="Palatino Linotype" w:hAnsi="Palatino Linotype"/>
          <w:b/>
          <w:i/>
          <w:sz w:val="22"/>
        </w:rPr>
        <w:t>Recurrente</w:t>
      </w:r>
      <w:r w:rsidRPr="000524D0">
        <w:rPr>
          <w:rFonts w:ascii="Palatino Linotype" w:hAnsi="Palatino Linotype"/>
          <w:i/>
          <w:sz w:val="22"/>
        </w:rPr>
        <w:t>.</w:t>
      </w:r>
    </w:p>
    <w:p w14:paraId="1DBB83B3" w14:textId="77777777" w:rsidR="002C13AE" w:rsidRPr="000524D0" w:rsidRDefault="002C13AE" w:rsidP="00EA2A28">
      <w:pPr>
        <w:ind w:right="567"/>
        <w:jc w:val="both"/>
        <w:rPr>
          <w:rFonts w:ascii="Palatino Linotype" w:hAnsi="Palatino Linotype"/>
          <w:i/>
          <w:sz w:val="22"/>
        </w:rPr>
      </w:pPr>
    </w:p>
    <w:p w14:paraId="76F00C26" w14:textId="77777777" w:rsidR="006F596B" w:rsidRPr="000524D0" w:rsidRDefault="006F596B" w:rsidP="0000011C">
      <w:pPr>
        <w:spacing w:line="360" w:lineRule="auto"/>
        <w:jc w:val="both"/>
        <w:rPr>
          <w:rFonts w:ascii="Palatino Linotype" w:hAnsi="Palatino Linotype" w:cs="Arial"/>
        </w:rPr>
      </w:pPr>
    </w:p>
    <w:p w14:paraId="720EF38E" w14:textId="77777777" w:rsidR="006F596B" w:rsidRPr="000524D0" w:rsidRDefault="006F596B" w:rsidP="006F596B">
      <w:pPr>
        <w:autoSpaceDE w:val="0"/>
        <w:autoSpaceDN w:val="0"/>
        <w:adjustRightInd w:val="0"/>
        <w:spacing w:line="360" w:lineRule="auto"/>
        <w:ind w:right="49"/>
        <w:jc w:val="both"/>
        <w:rPr>
          <w:rFonts w:ascii="Palatino Linotype" w:hAnsi="Palatino Linotype" w:cs="Arial"/>
          <w:szCs w:val="28"/>
        </w:rPr>
      </w:pPr>
      <w:r w:rsidRPr="000524D0">
        <w:rPr>
          <w:rFonts w:ascii="Palatino Linotype" w:hAnsi="Palatino Linotype" w:cs="Arial"/>
          <w:b/>
          <w:sz w:val="28"/>
          <w:szCs w:val="28"/>
        </w:rPr>
        <w:lastRenderedPageBreak/>
        <w:t xml:space="preserve">TERCERO. </w:t>
      </w:r>
      <w:r w:rsidRPr="000524D0">
        <w:rPr>
          <w:rFonts w:ascii="Palatino Linotype" w:hAnsi="Palatino Linotype" w:cs="Arial"/>
          <w:b/>
          <w:szCs w:val="28"/>
        </w:rPr>
        <w:t xml:space="preserve">NOTIFÍQUESE </w:t>
      </w:r>
      <w:r w:rsidRPr="000524D0">
        <w:rPr>
          <w:rFonts w:ascii="Palatino Linotype" w:hAnsi="Palatino Linotype" w:cs="Arial"/>
          <w:szCs w:val="28"/>
        </w:rPr>
        <w:t xml:space="preserve">la presente resolución </w:t>
      </w:r>
      <w:r w:rsidRPr="000524D0">
        <w:rPr>
          <w:rFonts w:ascii="Palatino Linotype" w:hAnsi="Palatino Linotype" w:cs="Arial"/>
        </w:rPr>
        <w:t xml:space="preserve">a través del Sistema de Acceso a la Información Mexiquense </w:t>
      </w:r>
      <w:r w:rsidRPr="000524D0">
        <w:rPr>
          <w:rFonts w:ascii="Palatino Linotype" w:hAnsi="Palatino Linotype" w:cs="Arial"/>
          <w:b/>
        </w:rPr>
        <w:t>(SAIMEX)</w:t>
      </w:r>
      <w:r w:rsidRPr="000524D0">
        <w:rPr>
          <w:rFonts w:ascii="Palatino Linotype" w:hAnsi="Palatino Linotype" w:cs="Arial"/>
          <w:szCs w:val="28"/>
        </w:rPr>
        <w:t xml:space="preserve"> al Titular de la Unidad de Transparencia del </w:t>
      </w:r>
      <w:r w:rsidRPr="000524D0">
        <w:rPr>
          <w:rFonts w:ascii="Palatino Linotype" w:hAnsi="Palatino Linotype" w:cs="Arial"/>
          <w:b/>
          <w:szCs w:val="28"/>
        </w:rPr>
        <w:t>Sujeto Obligado</w:t>
      </w:r>
      <w:r w:rsidRPr="000524D0">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0524D0"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0524D0" w:rsidRDefault="006F596B" w:rsidP="006F596B">
      <w:pPr>
        <w:spacing w:line="360" w:lineRule="auto"/>
        <w:jc w:val="both"/>
        <w:rPr>
          <w:rFonts w:ascii="Palatino Linotype" w:hAnsi="Palatino Linotype" w:cs="Arial"/>
          <w:bCs/>
          <w:szCs w:val="28"/>
        </w:rPr>
      </w:pPr>
      <w:r w:rsidRPr="000524D0">
        <w:rPr>
          <w:rFonts w:ascii="Palatino Linotype" w:hAnsi="Palatino Linotype" w:cs="Arial"/>
          <w:b/>
          <w:bCs/>
          <w:sz w:val="28"/>
          <w:szCs w:val="28"/>
        </w:rPr>
        <w:t>CUARTO.</w:t>
      </w:r>
      <w:r w:rsidRPr="000524D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524D0">
        <w:rPr>
          <w:rFonts w:ascii="Palatino Linotype" w:hAnsi="Palatino Linotype" w:cs="Arial"/>
          <w:b/>
          <w:bCs/>
          <w:szCs w:val="28"/>
        </w:rPr>
        <w:t>Sujeto Obligado</w:t>
      </w:r>
      <w:r w:rsidRPr="000524D0">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0524D0"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0524D0" w:rsidRDefault="006F596B" w:rsidP="006F596B">
      <w:pPr>
        <w:autoSpaceDE w:val="0"/>
        <w:autoSpaceDN w:val="0"/>
        <w:adjustRightInd w:val="0"/>
        <w:spacing w:line="360" w:lineRule="auto"/>
        <w:ind w:right="49"/>
        <w:jc w:val="both"/>
        <w:rPr>
          <w:rFonts w:ascii="Palatino Linotype" w:hAnsi="Palatino Linotype" w:cs="Arial"/>
        </w:rPr>
      </w:pPr>
      <w:r w:rsidRPr="000524D0">
        <w:rPr>
          <w:rFonts w:ascii="Palatino Linotype" w:hAnsi="Palatino Linotype" w:cs="Arial"/>
          <w:b/>
          <w:sz w:val="28"/>
          <w:szCs w:val="28"/>
        </w:rPr>
        <w:t>QUINTO.</w:t>
      </w:r>
      <w:r w:rsidRPr="000524D0">
        <w:rPr>
          <w:rFonts w:ascii="Palatino Linotype" w:hAnsi="Palatino Linotype" w:cs="Arial"/>
          <w:b/>
        </w:rPr>
        <w:t xml:space="preserve"> NOTIFÍQUESE</w:t>
      </w:r>
      <w:r w:rsidRPr="000524D0">
        <w:rPr>
          <w:rFonts w:ascii="Palatino Linotype" w:hAnsi="Palatino Linotype" w:cs="Arial"/>
        </w:rPr>
        <w:t xml:space="preserve"> al </w:t>
      </w:r>
      <w:r w:rsidRPr="000524D0">
        <w:rPr>
          <w:rFonts w:ascii="Palatino Linotype" w:hAnsi="Palatino Linotype" w:cs="Arial"/>
          <w:b/>
        </w:rPr>
        <w:t>Recurrente</w:t>
      </w:r>
      <w:r w:rsidRPr="000524D0">
        <w:rPr>
          <w:rFonts w:ascii="Palatino Linotype" w:hAnsi="Palatino Linotype" w:cs="Arial"/>
        </w:rPr>
        <w:t xml:space="preserve"> la presente resolución a través del Sistema de Acceso a la Información Mexiquense </w:t>
      </w:r>
      <w:r w:rsidRPr="000524D0">
        <w:rPr>
          <w:rFonts w:ascii="Palatino Linotype" w:hAnsi="Palatino Linotype" w:cs="Arial"/>
          <w:b/>
        </w:rPr>
        <w:t>(SAIMEX),</w:t>
      </w:r>
      <w:r w:rsidRPr="000524D0">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0524D0" w:rsidRDefault="006F596B" w:rsidP="006F596B">
      <w:pPr>
        <w:autoSpaceDE w:val="0"/>
        <w:autoSpaceDN w:val="0"/>
        <w:adjustRightInd w:val="0"/>
        <w:spacing w:line="360" w:lineRule="auto"/>
        <w:ind w:right="49"/>
        <w:jc w:val="both"/>
        <w:rPr>
          <w:rFonts w:ascii="Palatino Linotype" w:hAnsi="Palatino Linotype" w:cs="Arial"/>
        </w:rPr>
      </w:pPr>
    </w:p>
    <w:p w14:paraId="069AD84C" w14:textId="3CBBA286" w:rsidR="007525DE" w:rsidRPr="000524D0" w:rsidRDefault="007525DE" w:rsidP="007525DE">
      <w:pPr>
        <w:spacing w:line="360" w:lineRule="auto"/>
        <w:jc w:val="both"/>
        <w:rPr>
          <w:rFonts w:ascii="Palatino Linotype" w:eastAsiaTheme="minorHAnsi" w:hAnsi="Palatino Linotype" w:cs="Arial"/>
          <w:lang w:eastAsia="en-US"/>
        </w:rPr>
      </w:pPr>
      <w:r w:rsidRPr="000524D0">
        <w:rPr>
          <w:rFonts w:ascii="Palatino Linotype" w:eastAsiaTheme="minorHAnsi" w:hAnsi="Palatino Linotype" w:cs="Arial"/>
          <w:lang w:eastAsia="en-US"/>
        </w:rPr>
        <w:lastRenderedPageBreak/>
        <w:t>ASÍ LO RESUELVE, POR UNANIMIDAD DE VOTOS, EL PLENO DEL</w:t>
      </w:r>
      <w:r w:rsidRPr="000524D0">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0524D0">
        <w:rPr>
          <w:rFonts w:ascii="Palatino Linotype" w:eastAsiaTheme="minorHAnsi" w:hAnsi="Palatino Linotype" w:cs="Arial"/>
          <w:lang w:eastAsia="en-US"/>
        </w:rPr>
        <w:t>, CONFORMADO POR LOS COMISIONADOS JOSÉ MARTÍNEZ VILCHIS; MARÍA DEL ROSARIO MEJÍA AYALA</w:t>
      </w:r>
      <w:r w:rsidR="003B6DA2" w:rsidRPr="000524D0">
        <w:rPr>
          <w:rFonts w:ascii="Palatino Linotype" w:eastAsiaTheme="minorHAnsi" w:hAnsi="Palatino Linotype" w:cs="Arial"/>
          <w:lang w:eastAsia="en-US"/>
        </w:rPr>
        <w:t xml:space="preserve"> (AUSENCIA JUSTIFICADA)</w:t>
      </w:r>
      <w:r w:rsidRPr="000524D0">
        <w:rPr>
          <w:rFonts w:ascii="Palatino Linotype" w:eastAsiaTheme="minorHAnsi" w:hAnsi="Palatino Linotype" w:cs="Arial"/>
          <w:lang w:eastAsia="en-US"/>
        </w:rPr>
        <w:t xml:space="preserve">; SHARON CRISTINA MORALES MARTÍNEZ; LUIS GUSTAVO PARRA NORIEGA Y GUADALUPE RAMÍREZ PEÑA; EN LA TRIGÉSIMA NOVENA SESIÓN ORDINARIA CELEBRADA EL </w:t>
      </w:r>
      <w:r w:rsidR="003B6DA2" w:rsidRPr="000524D0">
        <w:rPr>
          <w:rFonts w:ascii="Palatino Linotype" w:eastAsiaTheme="minorHAnsi" w:hAnsi="Palatino Linotype" w:cs="Arial"/>
          <w:lang w:eastAsia="en-US"/>
        </w:rPr>
        <w:t>CINCO DE NOVIEMBRE</w:t>
      </w:r>
      <w:r w:rsidRPr="000524D0">
        <w:rPr>
          <w:rFonts w:ascii="Palatino Linotype" w:eastAsiaTheme="minorHAnsi" w:hAnsi="Palatino Linotype" w:cs="Arial"/>
          <w:lang w:eastAsia="en-US"/>
        </w:rPr>
        <w:t xml:space="preserve"> DE DOS MIL VEINTICINCO, ANTE EL SECRETARIO TÉCNICO, ALEXIS TAPIA RAMÍREZ.-----------------------------------------------------------------------------------------------------------------------------------------------------------------------------------------------------------------------------------------------------------------------------------------------------------------------------------------------------------------------------------------------------------------------------------------------------------------------------------------------------------------------------------------------------------------------------------------------------------------------------------------------------------------------------------------------------------------------------------------------------------------------------------------------------------------------------------------------------------------------------------------------------------------------------------------------------------------------------------------------------------------------------------------------------------------------------------------------------------------------------------------------------------------------------------------------------------------------------------------------------------------------------------------------------------------------------------------------------------------------------------------------------------------------------------------------------------------------------------------------------------------------------------------------------------------------------------------------------------------------------------------------------------------------------------------------------------------------------------------------------------------------------------------------------------------------------------------------------------------------</w:t>
      </w:r>
      <w:r w:rsidR="003B6DA2" w:rsidRPr="000524D0">
        <w:rPr>
          <w:rFonts w:ascii="Palatino Linotype" w:eastAsiaTheme="minorHAnsi" w:hAnsi="Palatino Linotype" w:cs="Arial"/>
          <w:lang w:eastAsia="en-US"/>
        </w:rPr>
        <w:t>--------------------------------------------------------------------------------------</w:t>
      </w:r>
      <w:r w:rsidR="005135ED" w:rsidRPr="000524D0">
        <w:rPr>
          <w:rFonts w:ascii="Palatino Linotype" w:eastAsiaTheme="minorHAnsi" w:hAnsi="Palatino Linotype" w:cs="Arial"/>
          <w:lang w:eastAsia="en-US"/>
        </w:rPr>
        <w:t>-</w:t>
      </w:r>
    </w:p>
    <w:p w14:paraId="7D6884F7" w14:textId="77777777" w:rsidR="007525DE" w:rsidRPr="00747344" w:rsidRDefault="007525DE" w:rsidP="007525DE">
      <w:pPr>
        <w:spacing w:line="360" w:lineRule="auto"/>
        <w:jc w:val="both"/>
        <w:rPr>
          <w:rFonts w:ascii="Palatino Linotype" w:eastAsiaTheme="minorHAnsi" w:hAnsi="Palatino Linotype" w:cs="Arial"/>
          <w:sz w:val="18"/>
          <w:lang w:eastAsia="en-US"/>
        </w:rPr>
      </w:pPr>
      <w:r w:rsidRPr="000524D0">
        <w:rPr>
          <w:rFonts w:ascii="Palatino Linotype" w:eastAsiaTheme="minorHAnsi" w:hAnsi="Palatino Linotype" w:cs="Arial"/>
          <w:sz w:val="18"/>
          <w:lang w:eastAsia="en-US"/>
        </w:rPr>
        <w:t>JMV/CCR/EJDG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F475374"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78C99" w14:textId="77777777" w:rsidR="00FC7378" w:rsidRDefault="00FC7378" w:rsidP="000B5E25">
      <w:r>
        <w:separator/>
      </w:r>
    </w:p>
  </w:endnote>
  <w:endnote w:type="continuationSeparator" w:id="0">
    <w:p w14:paraId="5E1653BA" w14:textId="77777777" w:rsidR="00FC7378" w:rsidRDefault="00FC737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556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5562">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2556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25562">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59D5A" w14:textId="77777777" w:rsidR="00FC7378" w:rsidRDefault="00FC7378" w:rsidP="000B5E25">
      <w:r>
        <w:separator/>
      </w:r>
    </w:p>
  </w:footnote>
  <w:footnote w:type="continuationSeparator" w:id="0">
    <w:p w14:paraId="26EFBB1C" w14:textId="77777777" w:rsidR="00FC7378" w:rsidRDefault="00FC7378"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FC7378">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0DCF6E92" w:rsidR="00EC4D60" w:rsidRPr="0029071C" w:rsidRDefault="00295FD3" w:rsidP="00521A38">
          <w:pPr>
            <w:spacing w:line="276" w:lineRule="auto"/>
            <w:jc w:val="right"/>
            <w:rPr>
              <w:rFonts w:ascii="Palatino Linotype" w:hAnsi="Palatino Linotype"/>
              <w:sz w:val="22"/>
              <w:szCs w:val="22"/>
            </w:rPr>
          </w:pPr>
          <w:r w:rsidRPr="00295FD3">
            <w:rPr>
              <w:rFonts w:ascii="Palatino Linotype" w:hAnsi="Palatino Linotype"/>
              <w:sz w:val="22"/>
              <w:szCs w:val="22"/>
              <w:lang w:val="es-ES"/>
            </w:rPr>
            <w:t>09115/INFOEM/IP/RR/2025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7E163114" w:rsidR="00EC4D60" w:rsidRPr="0029071C" w:rsidRDefault="00295FD3" w:rsidP="00B6659F">
          <w:pPr>
            <w:spacing w:line="276" w:lineRule="auto"/>
            <w:jc w:val="right"/>
            <w:rPr>
              <w:rFonts w:ascii="Palatino Linotype" w:hAnsi="Palatino Linotype"/>
              <w:sz w:val="22"/>
              <w:szCs w:val="22"/>
            </w:rPr>
          </w:pPr>
          <w:r w:rsidRPr="00295FD3">
            <w:rPr>
              <w:rFonts w:ascii="Palatino Linotype" w:hAnsi="Palatino Linotype"/>
              <w:sz w:val="22"/>
              <w:szCs w:val="22"/>
            </w:rPr>
            <w:t>Ayuntamiento de Toluca</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FC737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124E42CB" w:rsidR="00EC4D60" w:rsidRPr="0098478D" w:rsidRDefault="00295FD3" w:rsidP="00521A38">
          <w:pPr>
            <w:spacing w:line="276" w:lineRule="auto"/>
            <w:jc w:val="right"/>
            <w:rPr>
              <w:rFonts w:ascii="Palatino Linotype" w:hAnsi="Palatino Linotype"/>
              <w:sz w:val="22"/>
              <w:szCs w:val="22"/>
            </w:rPr>
          </w:pPr>
          <w:r w:rsidRPr="00295FD3">
            <w:rPr>
              <w:rFonts w:ascii="Palatino Linotype" w:hAnsi="Palatino Linotype"/>
              <w:sz w:val="22"/>
              <w:szCs w:val="22"/>
              <w:lang w:val="es-ES"/>
            </w:rPr>
            <w:t>09115/INFOEM/IP/RR/2025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B148AD5" w:rsidR="00EC4D60" w:rsidRPr="0098478D" w:rsidRDefault="00225562"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5007FE92" w:rsidR="00EC4D60" w:rsidRPr="0098478D" w:rsidRDefault="00295FD3" w:rsidP="00E57BDB">
          <w:pPr>
            <w:spacing w:line="276" w:lineRule="auto"/>
            <w:jc w:val="right"/>
            <w:rPr>
              <w:rFonts w:ascii="Palatino Linotype" w:hAnsi="Palatino Linotype"/>
              <w:sz w:val="22"/>
              <w:szCs w:val="22"/>
            </w:rPr>
          </w:pPr>
          <w:r w:rsidRPr="00295FD3">
            <w:rPr>
              <w:rFonts w:ascii="Palatino Linotype" w:hAnsi="Palatino Linotype"/>
              <w:sz w:val="22"/>
              <w:szCs w:val="22"/>
            </w:rPr>
            <w:t>Ayuntamiento de Toluca</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FC7378">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DE4364"/>
    <w:multiLevelType w:val="hybridMultilevel"/>
    <w:tmpl w:val="32EAADD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F9336C"/>
    <w:multiLevelType w:val="hybridMultilevel"/>
    <w:tmpl w:val="AB9AD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4F7F8C"/>
    <w:multiLevelType w:val="hybridMultilevel"/>
    <w:tmpl w:val="C6288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E73D0"/>
    <w:multiLevelType w:val="hybridMultilevel"/>
    <w:tmpl w:val="FFFFFFFF"/>
    <w:lvl w:ilvl="0" w:tplc="6CDE0A22">
      <w:start w:val="1"/>
      <w:numFmt w:val="upperRoman"/>
      <w:lvlText w:val="%1."/>
      <w:lvlJc w:val="left"/>
      <w:pPr>
        <w:ind w:left="1854" w:hanging="720"/>
      </w:pPr>
      <w:rPr>
        <w:rFonts w:cs="Times New Roman" w:hint="default"/>
      </w:rPr>
    </w:lvl>
    <w:lvl w:ilvl="1" w:tplc="080A0019" w:tentative="1">
      <w:start w:val="1"/>
      <w:numFmt w:val="lowerLetter"/>
      <w:lvlText w:val="%2."/>
      <w:lvlJc w:val="left"/>
      <w:pPr>
        <w:ind w:left="2214" w:hanging="360"/>
      </w:pPr>
      <w:rPr>
        <w:rFonts w:cs="Times New Roman"/>
      </w:rPr>
    </w:lvl>
    <w:lvl w:ilvl="2" w:tplc="080A001B" w:tentative="1">
      <w:start w:val="1"/>
      <w:numFmt w:val="lowerRoman"/>
      <w:lvlText w:val="%3."/>
      <w:lvlJc w:val="right"/>
      <w:pPr>
        <w:ind w:left="2934" w:hanging="180"/>
      </w:pPr>
      <w:rPr>
        <w:rFonts w:cs="Times New Roman"/>
      </w:rPr>
    </w:lvl>
    <w:lvl w:ilvl="3" w:tplc="080A000F" w:tentative="1">
      <w:start w:val="1"/>
      <w:numFmt w:val="decimal"/>
      <w:lvlText w:val="%4."/>
      <w:lvlJc w:val="left"/>
      <w:pPr>
        <w:ind w:left="3654" w:hanging="360"/>
      </w:pPr>
      <w:rPr>
        <w:rFonts w:cs="Times New Roman"/>
      </w:rPr>
    </w:lvl>
    <w:lvl w:ilvl="4" w:tplc="080A0019" w:tentative="1">
      <w:start w:val="1"/>
      <w:numFmt w:val="lowerLetter"/>
      <w:lvlText w:val="%5."/>
      <w:lvlJc w:val="left"/>
      <w:pPr>
        <w:ind w:left="4374" w:hanging="360"/>
      </w:pPr>
      <w:rPr>
        <w:rFonts w:cs="Times New Roman"/>
      </w:rPr>
    </w:lvl>
    <w:lvl w:ilvl="5" w:tplc="080A001B" w:tentative="1">
      <w:start w:val="1"/>
      <w:numFmt w:val="lowerRoman"/>
      <w:lvlText w:val="%6."/>
      <w:lvlJc w:val="right"/>
      <w:pPr>
        <w:ind w:left="5094" w:hanging="180"/>
      </w:pPr>
      <w:rPr>
        <w:rFonts w:cs="Times New Roman"/>
      </w:rPr>
    </w:lvl>
    <w:lvl w:ilvl="6" w:tplc="080A000F" w:tentative="1">
      <w:start w:val="1"/>
      <w:numFmt w:val="decimal"/>
      <w:lvlText w:val="%7."/>
      <w:lvlJc w:val="left"/>
      <w:pPr>
        <w:ind w:left="5814" w:hanging="360"/>
      </w:pPr>
      <w:rPr>
        <w:rFonts w:cs="Times New Roman"/>
      </w:rPr>
    </w:lvl>
    <w:lvl w:ilvl="7" w:tplc="080A0019" w:tentative="1">
      <w:start w:val="1"/>
      <w:numFmt w:val="lowerLetter"/>
      <w:lvlText w:val="%8."/>
      <w:lvlJc w:val="left"/>
      <w:pPr>
        <w:ind w:left="6534" w:hanging="360"/>
      </w:pPr>
      <w:rPr>
        <w:rFonts w:cs="Times New Roman"/>
      </w:rPr>
    </w:lvl>
    <w:lvl w:ilvl="8" w:tplc="080A001B" w:tentative="1">
      <w:start w:val="1"/>
      <w:numFmt w:val="lowerRoman"/>
      <w:lvlText w:val="%9."/>
      <w:lvlJc w:val="right"/>
      <w:pPr>
        <w:ind w:left="7254" w:hanging="180"/>
      </w:pPr>
      <w:rPr>
        <w:rFonts w:cs="Times New Roman"/>
      </w:r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8"/>
  </w:num>
  <w:num w:numId="5">
    <w:abstractNumId w:val="9"/>
  </w:num>
  <w:num w:numId="6">
    <w:abstractNumId w:val="2"/>
  </w:num>
  <w:num w:numId="7">
    <w:abstractNumId w:val="6"/>
  </w:num>
  <w:num w:numId="8">
    <w:abstractNumId w:val="1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40D5"/>
    <w:rsid w:val="0000611A"/>
    <w:rsid w:val="000120BC"/>
    <w:rsid w:val="00021B22"/>
    <w:rsid w:val="000264B1"/>
    <w:rsid w:val="00026D2F"/>
    <w:rsid w:val="00031EFF"/>
    <w:rsid w:val="00032D08"/>
    <w:rsid w:val="0003609F"/>
    <w:rsid w:val="00036F8B"/>
    <w:rsid w:val="00037D70"/>
    <w:rsid w:val="000477B5"/>
    <w:rsid w:val="000524D0"/>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357E2"/>
    <w:rsid w:val="0014066E"/>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5562"/>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5FD3"/>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5F3E"/>
    <w:rsid w:val="002F6B68"/>
    <w:rsid w:val="003038F1"/>
    <w:rsid w:val="00307006"/>
    <w:rsid w:val="0030701F"/>
    <w:rsid w:val="00314E62"/>
    <w:rsid w:val="003151BB"/>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55AC"/>
    <w:rsid w:val="00396DB6"/>
    <w:rsid w:val="003A56DF"/>
    <w:rsid w:val="003A6124"/>
    <w:rsid w:val="003B1C85"/>
    <w:rsid w:val="003B3F33"/>
    <w:rsid w:val="003B4CA6"/>
    <w:rsid w:val="003B6DA2"/>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0799"/>
    <w:rsid w:val="004612A5"/>
    <w:rsid w:val="004622AB"/>
    <w:rsid w:val="004672ED"/>
    <w:rsid w:val="00471919"/>
    <w:rsid w:val="00477994"/>
    <w:rsid w:val="0049172F"/>
    <w:rsid w:val="004A0B63"/>
    <w:rsid w:val="004B2314"/>
    <w:rsid w:val="004B2903"/>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5285"/>
    <w:rsid w:val="00507622"/>
    <w:rsid w:val="00510DB8"/>
    <w:rsid w:val="005135ED"/>
    <w:rsid w:val="005203E9"/>
    <w:rsid w:val="00521A38"/>
    <w:rsid w:val="00523719"/>
    <w:rsid w:val="005243E9"/>
    <w:rsid w:val="00524A8D"/>
    <w:rsid w:val="005308F6"/>
    <w:rsid w:val="00531CC2"/>
    <w:rsid w:val="0054391A"/>
    <w:rsid w:val="00555C87"/>
    <w:rsid w:val="005573EA"/>
    <w:rsid w:val="00563B39"/>
    <w:rsid w:val="00564825"/>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0CE2"/>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25DE"/>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0926"/>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37118"/>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5CC"/>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238"/>
    <w:rsid w:val="00BA27FC"/>
    <w:rsid w:val="00BA43DC"/>
    <w:rsid w:val="00BB06D2"/>
    <w:rsid w:val="00BB134B"/>
    <w:rsid w:val="00BB3B8B"/>
    <w:rsid w:val="00BB45EE"/>
    <w:rsid w:val="00BC0CFA"/>
    <w:rsid w:val="00BC462B"/>
    <w:rsid w:val="00BD14B3"/>
    <w:rsid w:val="00BD3934"/>
    <w:rsid w:val="00BD677A"/>
    <w:rsid w:val="00BD74AF"/>
    <w:rsid w:val="00BE233B"/>
    <w:rsid w:val="00BE7A6E"/>
    <w:rsid w:val="00BF618D"/>
    <w:rsid w:val="00BF6E0F"/>
    <w:rsid w:val="00C01733"/>
    <w:rsid w:val="00C01801"/>
    <w:rsid w:val="00C0414E"/>
    <w:rsid w:val="00C058C8"/>
    <w:rsid w:val="00C064CD"/>
    <w:rsid w:val="00C15F2A"/>
    <w:rsid w:val="00C172FE"/>
    <w:rsid w:val="00C20F80"/>
    <w:rsid w:val="00C23327"/>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07250"/>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0CD9"/>
    <w:rsid w:val="00E823B8"/>
    <w:rsid w:val="00E825D6"/>
    <w:rsid w:val="00E85E17"/>
    <w:rsid w:val="00E9091C"/>
    <w:rsid w:val="00E913B0"/>
    <w:rsid w:val="00E929F2"/>
    <w:rsid w:val="00E93BB3"/>
    <w:rsid w:val="00E94B5C"/>
    <w:rsid w:val="00E94FB9"/>
    <w:rsid w:val="00E956DE"/>
    <w:rsid w:val="00E9680B"/>
    <w:rsid w:val="00EA0E97"/>
    <w:rsid w:val="00EA2614"/>
    <w:rsid w:val="00EA2A28"/>
    <w:rsid w:val="00EA46CC"/>
    <w:rsid w:val="00EA49B9"/>
    <w:rsid w:val="00EA5AA1"/>
    <w:rsid w:val="00EA61B9"/>
    <w:rsid w:val="00EA7BF4"/>
    <w:rsid w:val="00EB1CAC"/>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471D"/>
    <w:rsid w:val="00FC6F08"/>
    <w:rsid w:val="00FC737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3E"/>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AC47-6DD7-4843-B15D-6A13FBD4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9548</Words>
  <Characters>52516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2025-11-07T18:43:00Z</cp:lastPrinted>
  <dcterms:created xsi:type="dcterms:W3CDTF">2025-10-15T21:00:00Z</dcterms:created>
  <dcterms:modified xsi:type="dcterms:W3CDTF">2025-12-16T15:44:00Z</dcterms:modified>
</cp:coreProperties>
</file>