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1C4D2" w14:textId="77777777" w:rsidR="00253B74" w:rsidRDefault="00253B74" w:rsidP="00382C58">
      <w:pPr>
        <w:tabs>
          <w:tab w:val="left" w:pos="8931"/>
        </w:tabs>
        <w:spacing w:after="0" w:line="360" w:lineRule="auto"/>
      </w:pPr>
    </w:p>
    <w:p w14:paraId="22489318" w14:textId="29EC5036" w:rsidR="00253B74" w:rsidRPr="00020B36" w:rsidRDefault="00B76585" w:rsidP="00382C58">
      <w:pPr>
        <w:keepNext/>
        <w:keepLines/>
        <w:pBdr>
          <w:top w:val="nil"/>
          <w:left w:val="nil"/>
          <w:bottom w:val="nil"/>
          <w:right w:val="nil"/>
          <w:between w:val="nil"/>
        </w:pBdr>
        <w:spacing w:after="0"/>
        <w:jc w:val="center"/>
        <w:rPr>
          <w:rFonts w:ascii="Calibri" w:eastAsia="Calibri" w:hAnsi="Calibri" w:cs="Calibri"/>
          <w:color w:val="2F5496"/>
          <w:sz w:val="32"/>
          <w:szCs w:val="32"/>
        </w:rPr>
      </w:pPr>
      <w:r w:rsidRPr="00020B36">
        <w:rPr>
          <w:color w:val="000000"/>
        </w:rPr>
        <w:t xml:space="preserve">RESOLUCIÓN DEL RECURSO DE REVISIÓN </w:t>
      </w:r>
      <w:r w:rsidR="00936B16" w:rsidRPr="00020B36">
        <w:t>02446/INFOEM/IP/RR/2025</w:t>
      </w:r>
      <w:r w:rsidR="007D1ECF" w:rsidRPr="00020B36">
        <w:t xml:space="preserve"> </w:t>
      </w:r>
    </w:p>
    <w:sdt>
      <w:sdtPr>
        <w:rPr>
          <w:rFonts w:ascii="Palatino Linotype" w:eastAsia="Palatino Linotype" w:hAnsi="Palatino Linotype" w:cs="Palatino Linotype"/>
          <w:color w:val="000000" w:themeColor="text1"/>
          <w:sz w:val="22"/>
          <w:szCs w:val="22"/>
          <w:lang w:val="es-ES"/>
        </w:rPr>
        <w:id w:val="-1418392059"/>
        <w:docPartObj>
          <w:docPartGallery w:val="Table of Contents"/>
          <w:docPartUnique/>
        </w:docPartObj>
      </w:sdtPr>
      <w:sdtEndPr>
        <w:rPr>
          <w:b/>
          <w:bCs/>
        </w:rPr>
      </w:sdtEndPr>
      <w:sdtContent>
        <w:p w14:paraId="1FC55F09" w14:textId="37700A85" w:rsidR="00CB56D6" w:rsidRPr="00020B36" w:rsidRDefault="00CB56D6" w:rsidP="00382C58">
          <w:pPr>
            <w:pStyle w:val="TtulodeTDC"/>
            <w:spacing w:before="0" w:line="360" w:lineRule="auto"/>
          </w:pPr>
        </w:p>
        <w:p w14:paraId="0F342430" w14:textId="02F576CA" w:rsidR="00E013AE" w:rsidRPr="00020B36" w:rsidRDefault="00CB56D6" w:rsidP="00382C58">
          <w:pPr>
            <w:pStyle w:val="TDC1"/>
            <w:tabs>
              <w:tab w:val="right" w:leader="dot" w:pos="8921"/>
            </w:tabs>
            <w:spacing w:after="0" w:line="360" w:lineRule="auto"/>
            <w:rPr>
              <w:rFonts w:asciiTheme="minorHAnsi" w:eastAsiaTheme="minorEastAsia" w:hAnsiTheme="minorHAnsi" w:cstheme="minorBidi"/>
              <w:noProof/>
              <w:color w:val="auto"/>
            </w:rPr>
          </w:pPr>
          <w:r w:rsidRPr="00020B36">
            <w:fldChar w:fldCharType="begin"/>
          </w:r>
          <w:r w:rsidRPr="00020B36">
            <w:instrText xml:space="preserve"> TOC \o "1-3" \h \z \u </w:instrText>
          </w:r>
          <w:r w:rsidRPr="00020B36">
            <w:fldChar w:fldCharType="separate"/>
          </w:r>
          <w:hyperlink w:anchor="_Toc193984896" w:history="1">
            <w:r w:rsidR="00E013AE" w:rsidRPr="00020B36">
              <w:rPr>
                <w:rStyle w:val="Hipervnculo"/>
                <w:noProof/>
              </w:rPr>
              <w:t>A N T E C E D E N T E S</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_Toc193984896 \h </w:instrText>
            </w:r>
            <w:r w:rsidR="00E013AE" w:rsidRPr="00020B36">
              <w:rPr>
                <w:noProof/>
                <w:webHidden/>
              </w:rPr>
            </w:r>
            <w:r w:rsidR="00E013AE" w:rsidRPr="00020B36">
              <w:rPr>
                <w:noProof/>
                <w:webHidden/>
              </w:rPr>
              <w:fldChar w:fldCharType="separate"/>
            </w:r>
            <w:r w:rsidR="00944F0E">
              <w:rPr>
                <w:noProof/>
                <w:webHidden/>
              </w:rPr>
              <w:t>2</w:t>
            </w:r>
            <w:r w:rsidR="00E013AE" w:rsidRPr="00020B36">
              <w:rPr>
                <w:noProof/>
                <w:webHidden/>
              </w:rPr>
              <w:fldChar w:fldCharType="end"/>
            </w:r>
          </w:hyperlink>
        </w:p>
        <w:p w14:paraId="5E5CEDE6" w14:textId="3201DD53" w:rsidR="00E013AE" w:rsidRPr="00020B36" w:rsidRDefault="008E3670" w:rsidP="00382C58">
          <w:pPr>
            <w:pStyle w:val="TDC2"/>
            <w:tabs>
              <w:tab w:val="right" w:leader="dot" w:pos="8921"/>
            </w:tabs>
            <w:spacing w:after="0" w:line="360" w:lineRule="auto"/>
            <w:rPr>
              <w:rFonts w:asciiTheme="minorHAnsi" w:eastAsiaTheme="minorEastAsia" w:hAnsiTheme="minorHAnsi" w:cstheme="minorBidi"/>
              <w:noProof/>
              <w:color w:val="auto"/>
            </w:rPr>
          </w:pPr>
          <w:hyperlink w:anchor="_Toc193984897" w:history="1">
            <w:r w:rsidR="00E013AE" w:rsidRPr="00020B36">
              <w:rPr>
                <w:rStyle w:val="Hipervnculo"/>
                <w:noProof/>
              </w:rPr>
              <w:t>I. Presentación de la solicitud de información</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_Toc193984897 \h </w:instrText>
            </w:r>
            <w:r w:rsidR="00E013AE" w:rsidRPr="00020B36">
              <w:rPr>
                <w:noProof/>
                <w:webHidden/>
              </w:rPr>
            </w:r>
            <w:r w:rsidR="00E013AE" w:rsidRPr="00020B36">
              <w:rPr>
                <w:noProof/>
                <w:webHidden/>
              </w:rPr>
              <w:fldChar w:fldCharType="separate"/>
            </w:r>
            <w:r w:rsidR="00944F0E">
              <w:rPr>
                <w:noProof/>
                <w:webHidden/>
              </w:rPr>
              <w:t>2</w:t>
            </w:r>
            <w:r w:rsidR="00E013AE" w:rsidRPr="00020B36">
              <w:rPr>
                <w:noProof/>
                <w:webHidden/>
              </w:rPr>
              <w:fldChar w:fldCharType="end"/>
            </w:r>
          </w:hyperlink>
        </w:p>
        <w:p w14:paraId="2E1F6DB1" w14:textId="3C26B1E4" w:rsidR="00E013AE" w:rsidRPr="00020B36" w:rsidRDefault="008E3670" w:rsidP="00382C58">
          <w:pPr>
            <w:pStyle w:val="TDC2"/>
            <w:tabs>
              <w:tab w:val="right" w:leader="dot" w:pos="8921"/>
            </w:tabs>
            <w:spacing w:after="0" w:line="360" w:lineRule="auto"/>
            <w:rPr>
              <w:rFonts w:asciiTheme="minorHAnsi" w:eastAsiaTheme="minorEastAsia" w:hAnsiTheme="minorHAnsi" w:cstheme="minorBidi"/>
              <w:noProof/>
              <w:color w:val="auto"/>
            </w:rPr>
          </w:pPr>
          <w:hyperlink w:anchor="_Toc193984898" w:history="1">
            <w:r w:rsidR="00E013AE" w:rsidRPr="00020B36">
              <w:rPr>
                <w:rStyle w:val="Hipervnculo"/>
                <w:noProof/>
              </w:rPr>
              <w:t>II. Respuesta del Sujeto Obligado</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_Toc193984898 \h </w:instrText>
            </w:r>
            <w:r w:rsidR="00E013AE" w:rsidRPr="00020B36">
              <w:rPr>
                <w:noProof/>
                <w:webHidden/>
              </w:rPr>
            </w:r>
            <w:r w:rsidR="00E013AE" w:rsidRPr="00020B36">
              <w:rPr>
                <w:noProof/>
                <w:webHidden/>
              </w:rPr>
              <w:fldChar w:fldCharType="separate"/>
            </w:r>
            <w:r w:rsidR="00944F0E">
              <w:rPr>
                <w:noProof/>
                <w:webHidden/>
              </w:rPr>
              <w:t>2</w:t>
            </w:r>
            <w:r w:rsidR="00E013AE" w:rsidRPr="00020B36">
              <w:rPr>
                <w:noProof/>
                <w:webHidden/>
              </w:rPr>
              <w:fldChar w:fldCharType="end"/>
            </w:r>
          </w:hyperlink>
        </w:p>
        <w:p w14:paraId="06BFF0AD" w14:textId="58056A0B" w:rsidR="00E013AE" w:rsidRPr="00020B36" w:rsidRDefault="008E3670" w:rsidP="00382C58">
          <w:pPr>
            <w:pStyle w:val="TDC2"/>
            <w:tabs>
              <w:tab w:val="right" w:leader="dot" w:pos="8921"/>
            </w:tabs>
            <w:spacing w:after="0" w:line="360" w:lineRule="auto"/>
            <w:rPr>
              <w:rFonts w:asciiTheme="minorHAnsi" w:eastAsiaTheme="minorEastAsia" w:hAnsiTheme="minorHAnsi" w:cstheme="minorBidi"/>
              <w:noProof/>
              <w:color w:val="auto"/>
            </w:rPr>
          </w:pPr>
          <w:hyperlink w:anchor="_Toc193984899" w:history="1">
            <w:r w:rsidR="00E013AE" w:rsidRPr="00020B36">
              <w:rPr>
                <w:rStyle w:val="Hipervnculo"/>
                <w:noProof/>
              </w:rPr>
              <w:t>III. Interposición del Recurso de Revisión</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_Toc193984899 \h </w:instrText>
            </w:r>
            <w:r w:rsidR="00E013AE" w:rsidRPr="00020B36">
              <w:rPr>
                <w:noProof/>
                <w:webHidden/>
              </w:rPr>
            </w:r>
            <w:r w:rsidR="00E013AE" w:rsidRPr="00020B36">
              <w:rPr>
                <w:noProof/>
                <w:webHidden/>
              </w:rPr>
              <w:fldChar w:fldCharType="separate"/>
            </w:r>
            <w:r w:rsidR="00944F0E">
              <w:rPr>
                <w:noProof/>
                <w:webHidden/>
              </w:rPr>
              <w:t>3</w:t>
            </w:r>
            <w:r w:rsidR="00E013AE" w:rsidRPr="00020B36">
              <w:rPr>
                <w:noProof/>
                <w:webHidden/>
              </w:rPr>
              <w:fldChar w:fldCharType="end"/>
            </w:r>
          </w:hyperlink>
        </w:p>
        <w:p w14:paraId="0C80DA5E" w14:textId="4AE57979" w:rsidR="00E013AE" w:rsidRPr="00020B36" w:rsidRDefault="008E3670" w:rsidP="00382C58">
          <w:pPr>
            <w:pStyle w:val="TDC2"/>
            <w:tabs>
              <w:tab w:val="right" w:leader="dot" w:pos="8921"/>
            </w:tabs>
            <w:spacing w:after="0" w:line="360" w:lineRule="auto"/>
            <w:rPr>
              <w:rFonts w:asciiTheme="minorHAnsi" w:eastAsiaTheme="minorEastAsia" w:hAnsiTheme="minorHAnsi" w:cstheme="minorBidi"/>
              <w:noProof/>
              <w:color w:val="auto"/>
            </w:rPr>
          </w:pPr>
          <w:hyperlink w:anchor="_Toc193984900" w:history="1">
            <w:r w:rsidR="00E013AE" w:rsidRPr="00020B36">
              <w:rPr>
                <w:rStyle w:val="Hipervnculo"/>
                <w:noProof/>
              </w:rPr>
              <w:t>IV. Trámite del Recurso de Revisión ante este Instituto</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_Toc193984900 \h </w:instrText>
            </w:r>
            <w:r w:rsidR="00E013AE" w:rsidRPr="00020B36">
              <w:rPr>
                <w:noProof/>
                <w:webHidden/>
              </w:rPr>
            </w:r>
            <w:r w:rsidR="00E013AE" w:rsidRPr="00020B36">
              <w:rPr>
                <w:noProof/>
                <w:webHidden/>
              </w:rPr>
              <w:fldChar w:fldCharType="separate"/>
            </w:r>
            <w:r w:rsidR="00944F0E">
              <w:rPr>
                <w:noProof/>
                <w:webHidden/>
              </w:rPr>
              <w:t>4</w:t>
            </w:r>
            <w:r w:rsidR="00E013AE" w:rsidRPr="00020B36">
              <w:rPr>
                <w:noProof/>
                <w:webHidden/>
              </w:rPr>
              <w:fldChar w:fldCharType="end"/>
            </w:r>
          </w:hyperlink>
        </w:p>
        <w:p w14:paraId="4646007F" w14:textId="14C237D3" w:rsidR="00E013AE" w:rsidRPr="00020B36" w:rsidRDefault="008E3670" w:rsidP="00382C58">
          <w:pPr>
            <w:pStyle w:val="TDC1"/>
            <w:tabs>
              <w:tab w:val="right" w:leader="dot" w:pos="8921"/>
            </w:tabs>
            <w:spacing w:after="0" w:line="360" w:lineRule="auto"/>
            <w:rPr>
              <w:rFonts w:asciiTheme="minorHAnsi" w:eastAsiaTheme="minorEastAsia" w:hAnsiTheme="minorHAnsi" w:cstheme="minorBidi"/>
              <w:noProof/>
              <w:color w:val="auto"/>
            </w:rPr>
          </w:pPr>
          <w:hyperlink w:anchor="_Toc193984901" w:history="1">
            <w:r w:rsidR="00E013AE" w:rsidRPr="00020B36">
              <w:rPr>
                <w:rStyle w:val="Hipervnculo"/>
                <w:noProof/>
              </w:rPr>
              <w:t>C O N S I D E R A N D O S</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_Toc193984901 \h </w:instrText>
            </w:r>
            <w:r w:rsidR="00E013AE" w:rsidRPr="00020B36">
              <w:rPr>
                <w:noProof/>
                <w:webHidden/>
              </w:rPr>
            </w:r>
            <w:r w:rsidR="00E013AE" w:rsidRPr="00020B36">
              <w:rPr>
                <w:noProof/>
                <w:webHidden/>
              </w:rPr>
              <w:fldChar w:fldCharType="separate"/>
            </w:r>
            <w:r w:rsidR="00944F0E">
              <w:rPr>
                <w:noProof/>
                <w:webHidden/>
              </w:rPr>
              <w:t>5</w:t>
            </w:r>
            <w:r w:rsidR="00E013AE" w:rsidRPr="00020B36">
              <w:rPr>
                <w:noProof/>
                <w:webHidden/>
              </w:rPr>
              <w:fldChar w:fldCharType="end"/>
            </w:r>
          </w:hyperlink>
        </w:p>
        <w:p w14:paraId="068DD265" w14:textId="35CCC592" w:rsidR="00E013AE" w:rsidRPr="00020B36" w:rsidRDefault="008E3670" w:rsidP="00382C58">
          <w:pPr>
            <w:pStyle w:val="TDC2"/>
            <w:tabs>
              <w:tab w:val="right" w:leader="dot" w:pos="8921"/>
            </w:tabs>
            <w:spacing w:after="0" w:line="360" w:lineRule="auto"/>
            <w:rPr>
              <w:rFonts w:asciiTheme="minorHAnsi" w:eastAsiaTheme="minorEastAsia" w:hAnsiTheme="minorHAnsi" w:cstheme="minorBidi"/>
              <w:noProof/>
              <w:color w:val="auto"/>
            </w:rPr>
          </w:pPr>
          <w:hyperlink w:anchor="_Toc193984902" w:history="1">
            <w:r w:rsidR="00E013AE" w:rsidRPr="00020B36">
              <w:rPr>
                <w:rStyle w:val="Hipervnculo"/>
                <w:noProof/>
              </w:rPr>
              <w:t>PRIMERO. Competencia</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_Toc193984902 \h </w:instrText>
            </w:r>
            <w:r w:rsidR="00E013AE" w:rsidRPr="00020B36">
              <w:rPr>
                <w:noProof/>
                <w:webHidden/>
              </w:rPr>
            </w:r>
            <w:r w:rsidR="00E013AE" w:rsidRPr="00020B36">
              <w:rPr>
                <w:noProof/>
                <w:webHidden/>
              </w:rPr>
              <w:fldChar w:fldCharType="separate"/>
            </w:r>
            <w:r w:rsidR="00944F0E">
              <w:rPr>
                <w:noProof/>
                <w:webHidden/>
              </w:rPr>
              <w:t>5</w:t>
            </w:r>
            <w:r w:rsidR="00E013AE" w:rsidRPr="00020B36">
              <w:rPr>
                <w:noProof/>
                <w:webHidden/>
              </w:rPr>
              <w:fldChar w:fldCharType="end"/>
            </w:r>
          </w:hyperlink>
        </w:p>
        <w:p w14:paraId="09CD2065" w14:textId="5626D861" w:rsidR="00E013AE" w:rsidRPr="00020B36" w:rsidRDefault="008E3670" w:rsidP="00382C58">
          <w:pPr>
            <w:pStyle w:val="TDC2"/>
            <w:tabs>
              <w:tab w:val="right" w:leader="dot" w:pos="8921"/>
            </w:tabs>
            <w:spacing w:after="0" w:line="360" w:lineRule="auto"/>
            <w:rPr>
              <w:rFonts w:asciiTheme="minorHAnsi" w:eastAsiaTheme="minorEastAsia" w:hAnsiTheme="minorHAnsi" w:cstheme="minorBidi"/>
              <w:noProof/>
              <w:color w:val="auto"/>
            </w:rPr>
          </w:pPr>
          <w:hyperlink w:anchor="_Toc193984903" w:history="1">
            <w:r w:rsidR="00E013AE" w:rsidRPr="00020B36">
              <w:rPr>
                <w:rStyle w:val="Hipervnculo"/>
                <w:noProof/>
              </w:rPr>
              <w:t>SEGUNDO. Causales de improcedencia y Sobreseimiento</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_Toc193984903 \h </w:instrText>
            </w:r>
            <w:r w:rsidR="00E013AE" w:rsidRPr="00020B36">
              <w:rPr>
                <w:noProof/>
                <w:webHidden/>
              </w:rPr>
            </w:r>
            <w:r w:rsidR="00E013AE" w:rsidRPr="00020B36">
              <w:rPr>
                <w:noProof/>
                <w:webHidden/>
              </w:rPr>
              <w:fldChar w:fldCharType="separate"/>
            </w:r>
            <w:r w:rsidR="00944F0E">
              <w:rPr>
                <w:noProof/>
                <w:webHidden/>
              </w:rPr>
              <w:t>6</w:t>
            </w:r>
            <w:r w:rsidR="00E013AE" w:rsidRPr="00020B36">
              <w:rPr>
                <w:noProof/>
                <w:webHidden/>
              </w:rPr>
              <w:fldChar w:fldCharType="end"/>
            </w:r>
          </w:hyperlink>
        </w:p>
        <w:p w14:paraId="1D6082E8" w14:textId="50D7290C" w:rsidR="00E013AE" w:rsidRPr="00020B36" w:rsidRDefault="008E3670" w:rsidP="00382C58">
          <w:pPr>
            <w:pStyle w:val="TDC3"/>
            <w:tabs>
              <w:tab w:val="right" w:leader="dot" w:pos="8921"/>
            </w:tabs>
            <w:spacing w:after="0" w:line="360" w:lineRule="auto"/>
            <w:rPr>
              <w:rFonts w:asciiTheme="minorHAnsi" w:eastAsiaTheme="minorEastAsia" w:hAnsiTheme="minorHAnsi" w:cstheme="minorBidi"/>
              <w:noProof/>
              <w:color w:val="auto"/>
            </w:rPr>
          </w:pPr>
          <w:hyperlink w:anchor="_Toc193984904" w:history="1">
            <w:r w:rsidR="00E013AE" w:rsidRPr="00020B36">
              <w:rPr>
                <w:rStyle w:val="Hipervnculo"/>
                <w:noProof/>
              </w:rPr>
              <w:t>Causales de improcedencia</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_Toc193984904 \h </w:instrText>
            </w:r>
            <w:r w:rsidR="00E013AE" w:rsidRPr="00020B36">
              <w:rPr>
                <w:noProof/>
                <w:webHidden/>
              </w:rPr>
            </w:r>
            <w:r w:rsidR="00E013AE" w:rsidRPr="00020B36">
              <w:rPr>
                <w:noProof/>
                <w:webHidden/>
              </w:rPr>
              <w:fldChar w:fldCharType="separate"/>
            </w:r>
            <w:r w:rsidR="00944F0E">
              <w:rPr>
                <w:noProof/>
                <w:webHidden/>
              </w:rPr>
              <w:t>6</w:t>
            </w:r>
            <w:r w:rsidR="00E013AE" w:rsidRPr="00020B36">
              <w:rPr>
                <w:noProof/>
                <w:webHidden/>
              </w:rPr>
              <w:fldChar w:fldCharType="end"/>
            </w:r>
          </w:hyperlink>
        </w:p>
        <w:p w14:paraId="1A8ACB4F" w14:textId="7A4B56BA" w:rsidR="00E013AE" w:rsidRPr="00020B36" w:rsidRDefault="008E3670" w:rsidP="00382C58">
          <w:pPr>
            <w:pStyle w:val="TDC3"/>
            <w:tabs>
              <w:tab w:val="right" w:leader="dot" w:pos="8921"/>
            </w:tabs>
            <w:spacing w:after="0" w:line="360" w:lineRule="auto"/>
            <w:rPr>
              <w:rFonts w:asciiTheme="minorHAnsi" w:eastAsiaTheme="minorEastAsia" w:hAnsiTheme="minorHAnsi" w:cstheme="minorBidi"/>
              <w:noProof/>
              <w:color w:val="auto"/>
            </w:rPr>
          </w:pPr>
          <w:hyperlink w:anchor="_Toc193984905" w:history="1">
            <w:r w:rsidR="00E013AE" w:rsidRPr="00020B36">
              <w:rPr>
                <w:rStyle w:val="Hipervnculo"/>
                <w:noProof/>
              </w:rPr>
              <w:t>Causales de sobreseimiento</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_Toc193984905 \h </w:instrText>
            </w:r>
            <w:r w:rsidR="00E013AE" w:rsidRPr="00020B36">
              <w:rPr>
                <w:noProof/>
                <w:webHidden/>
              </w:rPr>
            </w:r>
            <w:r w:rsidR="00E013AE" w:rsidRPr="00020B36">
              <w:rPr>
                <w:noProof/>
                <w:webHidden/>
              </w:rPr>
              <w:fldChar w:fldCharType="separate"/>
            </w:r>
            <w:r w:rsidR="00944F0E">
              <w:rPr>
                <w:noProof/>
                <w:webHidden/>
              </w:rPr>
              <w:t>7</w:t>
            </w:r>
            <w:r w:rsidR="00E013AE" w:rsidRPr="00020B36">
              <w:rPr>
                <w:noProof/>
                <w:webHidden/>
              </w:rPr>
              <w:fldChar w:fldCharType="end"/>
            </w:r>
          </w:hyperlink>
        </w:p>
        <w:p w14:paraId="59A6650C" w14:textId="7B051282" w:rsidR="00E013AE" w:rsidRPr="00020B36" w:rsidRDefault="008E3670" w:rsidP="00382C58">
          <w:pPr>
            <w:pStyle w:val="TDC2"/>
            <w:tabs>
              <w:tab w:val="right" w:leader="dot" w:pos="8921"/>
            </w:tabs>
            <w:spacing w:after="0" w:line="360" w:lineRule="auto"/>
            <w:rPr>
              <w:rFonts w:asciiTheme="minorHAnsi" w:eastAsiaTheme="minorEastAsia" w:hAnsiTheme="minorHAnsi" w:cstheme="minorBidi"/>
              <w:noProof/>
              <w:color w:val="auto"/>
            </w:rPr>
          </w:pPr>
          <w:hyperlink w:anchor="_Toc193984906" w:history="1">
            <w:r w:rsidR="00E013AE" w:rsidRPr="00020B36">
              <w:rPr>
                <w:rStyle w:val="Hipervnculo"/>
                <w:noProof/>
              </w:rPr>
              <w:t>TERCERO. Determinación de la Controversia</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_Toc193984906 \h </w:instrText>
            </w:r>
            <w:r w:rsidR="00E013AE" w:rsidRPr="00020B36">
              <w:rPr>
                <w:noProof/>
                <w:webHidden/>
              </w:rPr>
            </w:r>
            <w:r w:rsidR="00E013AE" w:rsidRPr="00020B36">
              <w:rPr>
                <w:noProof/>
                <w:webHidden/>
              </w:rPr>
              <w:fldChar w:fldCharType="separate"/>
            </w:r>
            <w:r w:rsidR="00944F0E">
              <w:rPr>
                <w:noProof/>
                <w:webHidden/>
              </w:rPr>
              <w:t>7</w:t>
            </w:r>
            <w:r w:rsidR="00E013AE" w:rsidRPr="00020B36">
              <w:rPr>
                <w:noProof/>
                <w:webHidden/>
              </w:rPr>
              <w:fldChar w:fldCharType="end"/>
            </w:r>
          </w:hyperlink>
        </w:p>
        <w:p w14:paraId="5F7F64E9" w14:textId="290F0DA6" w:rsidR="00E013AE" w:rsidRPr="00020B36" w:rsidRDefault="008E3670" w:rsidP="00382C58">
          <w:pPr>
            <w:pStyle w:val="TDC2"/>
            <w:tabs>
              <w:tab w:val="right" w:leader="dot" w:pos="8921"/>
            </w:tabs>
            <w:spacing w:after="0" w:line="360" w:lineRule="auto"/>
            <w:rPr>
              <w:rFonts w:asciiTheme="minorHAnsi" w:eastAsiaTheme="minorEastAsia" w:hAnsiTheme="minorHAnsi" w:cstheme="minorBidi"/>
              <w:noProof/>
              <w:color w:val="auto"/>
            </w:rPr>
          </w:pPr>
          <w:hyperlink w:anchor="_Toc193984907" w:history="1">
            <w:r w:rsidR="00E013AE" w:rsidRPr="00020B36">
              <w:rPr>
                <w:rStyle w:val="Hipervnculo"/>
                <w:noProof/>
              </w:rPr>
              <w:t>QUINTO. Estudio de Fondo</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_Toc193984907 \h </w:instrText>
            </w:r>
            <w:r w:rsidR="00E013AE" w:rsidRPr="00020B36">
              <w:rPr>
                <w:noProof/>
                <w:webHidden/>
              </w:rPr>
            </w:r>
            <w:r w:rsidR="00E013AE" w:rsidRPr="00020B36">
              <w:rPr>
                <w:noProof/>
                <w:webHidden/>
              </w:rPr>
              <w:fldChar w:fldCharType="separate"/>
            </w:r>
            <w:r w:rsidR="00944F0E">
              <w:rPr>
                <w:noProof/>
                <w:webHidden/>
              </w:rPr>
              <w:t>9</w:t>
            </w:r>
            <w:r w:rsidR="00E013AE" w:rsidRPr="00020B36">
              <w:rPr>
                <w:noProof/>
                <w:webHidden/>
              </w:rPr>
              <w:fldChar w:fldCharType="end"/>
            </w:r>
          </w:hyperlink>
        </w:p>
        <w:p w14:paraId="354F1989" w14:textId="6820668B" w:rsidR="00E013AE" w:rsidRPr="00020B36" w:rsidRDefault="008E3670" w:rsidP="00382C58">
          <w:pPr>
            <w:pStyle w:val="TDC2"/>
            <w:tabs>
              <w:tab w:val="right" w:leader="dot" w:pos="8921"/>
            </w:tabs>
            <w:spacing w:after="0" w:line="360" w:lineRule="auto"/>
            <w:rPr>
              <w:rFonts w:asciiTheme="minorHAnsi" w:eastAsiaTheme="minorEastAsia" w:hAnsiTheme="minorHAnsi" w:cstheme="minorBidi"/>
              <w:noProof/>
              <w:color w:val="auto"/>
            </w:rPr>
          </w:pPr>
          <w:hyperlink w:anchor="_Toc193984908" w:history="1">
            <w:r w:rsidR="00E013AE" w:rsidRPr="00020B36">
              <w:rPr>
                <w:rStyle w:val="Hipervnculo"/>
                <w:bCs/>
                <w:noProof/>
              </w:rPr>
              <w:t>SEXTO. Decisión</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_Toc193984908 \h </w:instrText>
            </w:r>
            <w:r w:rsidR="00E013AE" w:rsidRPr="00020B36">
              <w:rPr>
                <w:noProof/>
                <w:webHidden/>
              </w:rPr>
            </w:r>
            <w:r w:rsidR="00E013AE" w:rsidRPr="00020B36">
              <w:rPr>
                <w:noProof/>
                <w:webHidden/>
              </w:rPr>
              <w:fldChar w:fldCharType="separate"/>
            </w:r>
            <w:r w:rsidR="00944F0E">
              <w:rPr>
                <w:noProof/>
                <w:webHidden/>
              </w:rPr>
              <w:t>19</w:t>
            </w:r>
            <w:r w:rsidR="00E013AE" w:rsidRPr="00020B36">
              <w:rPr>
                <w:noProof/>
                <w:webHidden/>
              </w:rPr>
              <w:fldChar w:fldCharType="end"/>
            </w:r>
          </w:hyperlink>
        </w:p>
        <w:p w14:paraId="36935CE9" w14:textId="1F73007B" w:rsidR="00E013AE" w:rsidRPr="00020B36" w:rsidRDefault="008E3670" w:rsidP="00382C58">
          <w:pPr>
            <w:pStyle w:val="TDC1"/>
            <w:tabs>
              <w:tab w:val="right" w:leader="dot" w:pos="8921"/>
            </w:tabs>
            <w:spacing w:after="0" w:line="360" w:lineRule="auto"/>
            <w:rPr>
              <w:rFonts w:asciiTheme="minorHAnsi" w:eastAsiaTheme="minorEastAsia" w:hAnsiTheme="minorHAnsi" w:cstheme="minorBidi"/>
              <w:noProof/>
              <w:color w:val="auto"/>
            </w:rPr>
          </w:pPr>
          <w:hyperlink w:anchor="_Toc193984909" w:history="1">
            <w:r w:rsidR="00E013AE" w:rsidRPr="00020B36">
              <w:rPr>
                <w:rStyle w:val="Hipervnculo"/>
                <w:noProof/>
              </w:rPr>
              <w:t>R E S U E L V E</w:t>
            </w:r>
            <w:r w:rsidR="00E013AE" w:rsidRPr="00020B36">
              <w:rPr>
                <w:noProof/>
                <w:webHidden/>
              </w:rPr>
              <w:tab/>
            </w:r>
            <w:r w:rsidR="00E013AE" w:rsidRPr="00020B36">
              <w:rPr>
                <w:noProof/>
                <w:webHidden/>
              </w:rPr>
              <w:fldChar w:fldCharType="begin"/>
            </w:r>
            <w:r w:rsidR="00E013AE" w:rsidRPr="00020B36">
              <w:rPr>
                <w:noProof/>
                <w:webHidden/>
              </w:rPr>
              <w:instrText xml:space="preserve"> PAGEREF _Toc193984909 \h </w:instrText>
            </w:r>
            <w:r w:rsidR="00E013AE" w:rsidRPr="00020B36">
              <w:rPr>
                <w:noProof/>
                <w:webHidden/>
              </w:rPr>
            </w:r>
            <w:r w:rsidR="00E013AE" w:rsidRPr="00020B36">
              <w:rPr>
                <w:noProof/>
                <w:webHidden/>
              </w:rPr>
              <w:fldChar w:fldCharType="separate"/>
            </w:r>
            <w:r w:rsidR="00944F0E">
              <w:rPr>
                <w:noProof/>
                <w:webHidden/>
              </w:rPr>
              <w:t>19</w:t>
            </w:r>
            <w:r w:rsidR="00E013AE" w:rsidRPr="00020B36">
              <w:rPr>
                <w:noProof/>
                <w:webHidden/>
              </w:rPr>
              <w:fldChar w:fldCharType="end"/>
            </w:r>
          </w:hyperlink>
        </w:p>
        <w:p w14:paraId="71DB9271" w14:textId="645855F8" w:rsidR="00CB56D6" w:rsidRPr="00020B36" w:rsidRDefault="00CB56D6" w:rsidP="00382C58">
          <w:pPr>
            <w:spacing w:after="0" w:line="360" w:lineRule="auto"/>
          </w:pPr>
          <w:r w:rsidRPr="00020B36">
            <w:rPr>
              <w:bCs/>
              <w:lang w:val="es-ES"/>
            </w:rPr>
            <w:fldChar w:fldCharType="end"/>
          </w:r>
        </w:p>
      </w:sdtContent>
    </w:sdt>
    <w:p w14:paraId="7DF0AA62" w14:textId="77777777" w:rsidR="00253B74" w:rsidRPr="00020B36" w:rsidRDefault="00253B74" w:rsidP="00382C58">
      <w:pPr>
        <w:tabs>
          <w:tab w:val="left" w:pos="8931"/>
        </w:tabs>
        <w:spacing w:after="0" w:line="360" w:lineRule="auto"/>
      </w:pPr>
    </w:p>
    <w:p w14:paraId="406B9138" w14:textId="77777777" w:rsidR="00E013AE" w:rsidRPr="00020B36" w:rsidRDefault="00E013AE" w:rsidP="00382C58">
      <w:pPr>
        <w:tabs>
          <w:tab w:val="left" w:pos="8931"/>
        </w:tabs>
        <w:spacing w:after="0" w:line="360" w:lineRule="auto"/>
      </w:pPr>
    </w:p>
    <w:p w14:paraId="79AED66D" w14:textId="77777777" w:rsidR="00E013AE" w:rsidRPr="00020B36" w:rsidRDefault="00E013AE" w:rsidP="00382C58">
      <w:pPr>
        <w:tabs>
          <w:tab w:val="left" w:pos="8931"/>
        </w:tabs>
        <w:spacing w:after="0" w:line="360" w:lineRule="auto"/>
      </w:pPr>
    </w:p>
    <w:p w14:paraId="2073253A" w14:textId="77777777" w:rsidR="00E013AE" w:rsidRPr="00020B36" w:rsidRDefault="00E013AE" w:rsidP="00382C58">
      <w:pPr>
        <w:tabs>
          <w:tab w:val="left" w:pos="8931"/>
        </w:tabs>
        <w:spacing w:after="0" w:line="360" w:lineRule="auto"/>
      </w:pPr>
    </w:p>
    <w:p w14:paraId="6455FA9B" w14:textId="77777777" w:rsidR="00B664AF" w:rsidRPr="00020B36" w:rsidRDefault="00B664AF" w:rsidP="00382C58">
      <w:pPr>
        <w:tabs>
          <w:tab w:val="left" w:pos="8931"/>
        </w:tabs>
        <w:spacing w:after="0" w:line="360" w:lineRule="auto"/>
      </w:pPr>
    </w:p>
    <w:p w14:paraId="19AC0C4E" w14:textId="77777777" w:rsidR="00B664AF" w:rsidRPr="00020B36" w:rsidRDefault="00B664AF" w:rsidP="00382C58">
      <w:pPr>
        <w:tabs>
          <w:tab w:val="left" w:pos="8931"/>
        </w:tabs>
        <w:spacing w:after="0" w:line="360" w:lineRule="auto"/>
      </w:pPr>
    </w:p>
    <w:p w14:paraId="14C57A33" w14:textId="517BE925" w:rsidR="00253B74" w:rsidRPr="00020B36" w:rsidRDefault="00B76585" w:rsidP="00382C58">
      <w:pPr>
        <w:tabs>
          <w:tab w:val="left" w:pos="8931"/>
        </w:tabs>
        <w:spacing w:after="0" w:line="360" w:lineRule="auto"/>
      </w:pPr>
      <w:r w:rsidRPr="00020B36">
        <w:lastRenderedPageBreak/>
        <w:t xml:space="preserve">Resolución del Pleno del Instituto de Transparencia, Acceso a la Información Pública y Protección de Datos Personales del Estado de México y Municipios, con domicilio en Metepec, Estado de México, de fecha </w:t>
      </w:r>
      <w:r w:rsidR="00294FEF" w:rsidRPr="00020B36">
        <w:t xml:space="preserve">nueve de abril </w:t>
      </w:r>
      <w:r w:rsidRPr="00020B36">
        <w:t xml:space="preserve">de dos mil veinticinco. </w:t>
      </w:r>
    </w:p>
    <w:p w14:paraId="76EDAF18" w14:textId="77777777" w:rsidR="00253B74" w:rsidRPr="00020B36" w:rsidRDefault="00253B74" w:rsidP="00382C58">
      <w:pPr>
        <w:spacing w:after="0" w:line="360" w:lineRule="auto"/>
        <w:rPr>
          <w:b/>
        </w:rPr>
      </w:pPr>
    </w:p>
    <w:p w14:paraId="1763313E" w14:textId="6F85E8AC" w:rsidR="00253B74" w:rsidRPr="00020B36" w:rsidRDefault="00B76585" w:rsidP="00382C58">
      <w:pPr>
        <w:spacing w:after="0" w:line="360" w:lineRule="auto"/>
      </w:pPr>
      <w:r w:rsidRPr="00020B36">
        <w:rPr>
          <w:b/>
        </w:rPr>
        <w:t xml:space="preserve">VISTO </w:t>
      </w:r>
      <w:r w:rsidRPr="00020B36">
        <w:t xml:space="preserve">el expediente conformado con motivo del Recurso de Revisión </w:t>
      </w:r>
      <w:r w:rsidR="00936B16" w:rsidRPr="00B626D3">
        <w:rPr>
          <w:b/>
          <w:bCs/>
        </w:rPr>
        <w:t>02446/INFOEM/IP/RR/2025</w:t>
      </w:r>
      <w:r w:rsidRPr="00B626D3">
        <w:rPr>
          <w:b/>
          <w:bCs/>
        </w:rPr>
        <w:t xml:space="preserve">, </w:t>
      </w:r>
      <w:r w:rsidRPr="00020B36">
        <w:rPr>
          <w:bCs/>
        </w:rPr>
        <w:t xml:space="preserve">interpuesto por la persona </w:t>
      </w:r>
      <w:r w:rsidRPr="00020B36">
        <w:rPr>
          <w:bCs/>
          <w:color w:val="0D0D0D"/>
        </w:rPr>
        <w:t xml:space="preserve">Recurrente o Particular, </w:t>
      </w:r>
      <w:r w:rsidR="003E535D" w:rsidRPr="00020B36">
        <w:rPr>
          <w:bCs/>
        </w:rPr>
        <w:t>en contra de la respuesta del Sujeto Obligado</w:t>
      </w:r>
      <w:r w:rsidRPr="00020B36">
        <w:rPr>
          <w:bCs/>
          <w:color w:val="0D0D0D"/>
        </w:rPr>
        <w:t xml:space="preserve">, </w:t>
      </w:r>
      <w:r w:rsidR="00936B16" w:rsidRPr="00B626D3">
        <w:rPr>
          <w:b/>
          <w:bCs/>
          <w:color w:val="0D0D0D"/>
        </w:rPr>
        <w:t>Ayuntamiento de Atizapán</w:t>
      </w:r>
      <w:r w:rsidRPr="00020B36">
        <w:rPr>
          <w:bCs/>
          <w:color w:val="0D0D0D"/>
        </w:rPr>
        <w:t>, a la solicitud de acceso a la</w:t>
      </w:r>
      <w:r w:rsidRPr="00020B36">
        <w:rPr>
          <w:color w:val="0D0D0D"/>
        </w:rPr>
        <w:t xml:space="preserve"> información pública</w:t>
      </w:r>
      <w:r w:rsidRPr="00020B36">
        <w:rPr>
          <w:b/>
          <w:color w:val="FF0000"/>
        </w:rPr>
        <w:t> </w:t>
      </w:r>
      <w:r w:rsidR="00936B16" w:rsidRPr="00020B36">
        <w:rPr>
          <w:color w:val="0D0D0D"/>
        </w:rPr>
        <w:t>00049/ATIZAPAN/IP/2025</w:t>
      </w:r>
      <w:r w:rsidRPr="00020B36">
        <w:rPr>
          <w:color w:val="0D0D0D"/>
        </w:rPr>
        <w:t>, se emite la presente Resolución, con base en los Antecedentes y Considerandos que se exponen a continuación:</w:t>
      </w:r>
      <w:r w:rsidR="007D1ECF" w:rsidRPr="00020B36">
        <w:rPr>
          <w:color w:val="0D0D0D"/>
        </w:rPr>
        <w:t xml:space="preserve"> </w:t>
      </w:r>
    </w:p>
    <w:p w14:paraId="5364E560" w14:textId="77777777" w:rsidR="00253B74" w:rsidRPr="00020B36" w:rsidRDefault="00253B74" w:rsidP="00382C58">
      <w:pPr>
        <w:spacing w:after="0" w:line="360" w:lineRule="auto"/>
        <w:rPr>
          <w:b/>
        </w:rPr>
      </w:pPr>
    </w:p>
    <w:p w14:paraId="60C06326" w14:textId="77777777" w:rsidR="00253B74" w:rsidRPr="00020B36" w:rsidRDefault="00B76585" w:rsidP="00382C58">
      <w:pPr>
        <w:pStyle w:val="Ttulo1"/>
        <w:spacing w:before="0"/>
        <w:jc w:val="center"/>
        <w:rPr>
          <w:rFonts w:ascii="Palatino Linotype" w:eastAsia="Palatino Linotype" w:hAnsi="Palatino Linotype" w:cs="Palatino Linotype"/>
          <w:b/>
          <w:color w:val="000000"/>
          <w:sz w:val="22"/>
          <w:szCs w:val="22"/>
        </w:rPr>
      </w:pPr>
      <w:bookmarkStart w:id="0" w:name="_Toc193984896"/>
      <w:r w:rsidRPr="00020B36">
        <w:rPr>
          <w:rFonts w:ascii="Palatino Linotype" w:eastAsia="Palatino Linotype" w:hAnsi="Palatino Linotype" w:cs="Palatino Linotype"/>
          <w:b/>
          <w:color w:val="000000"/>
          <w:sz w:val="22"/>
          <w:szCs w:val="22"/>
        </w:rPr>
        <w:t>A N T E C E D E N T E S</w:t>
      </w:r>
      <w:bookmarkEnd w:id="0"/>
    </w:p>
    <w:p w14:paraId="4FA88963" w14:textId="77777777" w:rsidR="00253B74" w:rsidRPr="00020B36" w:rsidRDefault="00253B74" w:rsidP="00382C58">
      <w:pPr>
        <w:spacing w:after="0" w:line="360" w:lineRule="auto"/>
      </w:pPr>
    </w:p>
    <w:p w14:paraId="0FAB79FA" w14:textId="77777777" w:rsidR="00253B74" w:rsidRPr="00020B36" w:rsidRDefault="00B76585" w:rsidP="00382C58">
      <w:pPr>
        <w:pStyle w:val="Ttulo2"/>
        <w:spacing w:before="0"/>
        <w:rPr>
          <w:rFonts w:ascii="Palatino Linotype" w:eastAsia="Palatino Linotype" w:hAnsi="Palatino Linotype" w:cs="Palatino Linotype"/>
          <w:b/>
          <w:color w:val="000000"/>
          <w:sz w:val="22"/>
          <w:szCs w:val="22"/>
        </w:rPr>
      </w:pPr>
      <w:bookmarkStart w:id="1" w:name="_Toc193984897"/>
      <w:r w:rsidRPr="00020B36">
        <w:rPr>
          <w:rFonts w:ascii="Palatino Linotype" w:eastAsia="Palatino Linotype" w:hAnsi="Palatino Linotype" w:cs="Palatino Linotype"/>
          <w:b/>
          <w:color w:val="000000"/>
          <w:sz w:val="22"/>
          <w:szCs w:val="22"/>
        </w:rPr>
        <w:t>I. Presentación de la solicitud de información</w:t>
      </w:r>
      <w:bookmarkEnd w:id="1"/>
    </w:p>
    <w:p w14:paraId="40732B96" w14:textId="77777777" w:rsidR="00253B74" w:rsidRPr="00020B36" w:rsidRDefault="00253B74" w:rsidP="00382C58">
      <w:pPr>
        <w:spacing w:after="0" w:line="360" w:lineRule="auto"/>
        <w:rPr>
          <w:b/>
        </w:rPr>
      </w:pPr>
    </w:p>
    <w:p w14:paraId="1D5BE313" w14:textId="69F1A8E9" w:rsidR="00253B74" w:rsidRPr="00020B36" w:rsidRDefault="00B76585" w:rsidP="00382C58">
      <w:pPr>
        <w:spacing w:after="0" w:line="360" w:lineRule="auto"/>
      </w:pPr>
      <w:r w:rsidRPr="00020B36">
        <w:t>E</w:t>
      </w:r>
      <w:r w:rsidR="00936B16" w:rsidRPr="00020B36">
        <w:t xml:space="preserve">l </w:t>
      </w:r>
      <w:r w:rsidR="00E6685A" w:rsidRPr="00020B36">
        <w:t>siete</w:t>
      </w:r>
      <w:r w:rsidR="00936B16" w:rsidRPr="00020B36">
        <w:t xml:space="preserve"> de febrero</w:t>
      </w:r>
      <w:r w:rsidR="00E6685A" w:rsidRPr="00020B36">
        <w:t xml:space="preserve"> de dos mil veinticinco</w:t>
      </w:r>
      <w:r w:rsidRPr="00020B36">
        <w:t>, se presentó una solicitud de información del Particular, a través del Sistema de Acceso a la Información Mexiquense</w:t>
      </w:r>
      <w:r w:rsidR="00910E6B" w:rsidRPr="00020B36">
        <w:t xml:space="preserve">, en lo sucesivo el </w:t>
      </w:r>
      <w:r w:rsidRPr="00020B36">
        <w:t>SAIMEX, ante el</w:t>
      </w:r>
      <w:r w:rsidRPr="00020B36">
        <w:rPr>
          <w:color w:val="000000"/>
        </w:rPr>
        <w:t xml:space="preserve"> </w:t>
      </w:r>
      <w:r w:rsidR="00936B16" w:rsidRPr="00020B36">
        <w:rPr>
          <w:color w:val="000000"/>
        </w:rPr>
        <w:t>Ayuntamiento de Atizapán</w:t>
      </w:r>
      <w:r w:rsidRPr="00020B36">
        <w:t>, en los siguientes términos:</w:t>
      </w:r>
    </w:p>
    <w:p w14:paraId="6923119D" w14:textId="77777777" w:rsidR="00253B74" w:rsidRPr="00020B36" w:rsidRDefault="00253B74" w:rsidP="00382C58">
      <w:pPr>
        <w:spacing w:after="0" w:line="360" w:lineRule="auto"/>
      </w:pPr>
    </w:p>
    <w:p w14:paraId="01679958" w14:textId="3D7B09E0" w:rsidR="00253B74" w:rsidRPr="00020B36" w:rsidRDefault="00382C58" w:rsidP="00382C58">
      <w:pPr>
        <w:tabs>
          <w:tab w:val="left" w:pos="4667"/>
        </w:tabs>
        <w:spacing w:after="0" w:line="360" w:lineRule="auto"/>
        <w:ind w:left="567" w:right="567"/>
        <w:rPr>
          <w:b/>
          <w:i/>
          <w:sz w:val="20"/>
          <w:szCs w:val="20"/>
        </w:rPr>
      </w:pPr>
      <w:r w:rsidRPr="00020B36">
        <w:rPr>
          <w:b/>
          <w:i/>
          <w:sz w:val="20"/>
          <w:szCs w:val="20"/>
        </w:rPr>
        <w:t>“</w:t>
      </w:r>
      <w:r w:rsidR="00B76585" w:rsidRPr="00020B36">
        <w:rPr>
          <w:b/>
          <w:i/>
          <w:sz w:val="20"/>
          <w:szCs w:val="20"/>
        </w:rPr>
        <w:t>DESCRIPCIÓN CLARA Y PRECISA DE LA INFORMACIÓN SOLICITADA</w:t>
      </w:r>
    </w:p>
    <w:p w14:paraId="0BBB7104" w14:textId="4D32F148" w:rsidR="00936B16" w:rsidRPr="00020B36" w:rsidRDefault="00936B16" w:rsidP="00382C58">
      <w:pPr>
        <w:spacing w:after="0" w:line="360" w:lineRule="auto"/>
        <w:ind w:left="567" w:right="567"/>
        <w:rPr>
          <w:i/>
          <w:sz w:val="20"/>
          <w:szCs w:val="20"/>
        </w:rPr>
      </w:pPr>
      <w:r w:rsidRPr="00020B36">
        <w:rPr>
          <w:i/>
          <w:sz w:val="20"/>
          <w:szCs w:val="20"/>
        </w:rPr>
        <w:t xml:space="preserve">Los </w:t>
      </w:r>
      <w:proofErr w:type="spellStart"/>
      <w:r w:rsidRPr="00020B36">
        <w:rPr>
          <w:i/>
          <w:sz w:val="20"/>
          <w:szCs w:val="20"/>
        </w:rPr>
        <w:t>viaticos</w:t>
      </w:r>
      <w:proofErr w:type="spellEnd"/>
      <w:r w:rsidRPr="00020B36">
        <w:rPr>
          <w:i/>
          <w:sz w:val="20"/>
          <w:szCs w:val="20"/>
        </w:rPr>
        <w:t xml:space="preserve"> y vales de gasolina para acudir a la Mesa constructora de la Paz con perspectiva de género https://www.facebook.com/share/p/1CMMB2zos7/</w:t>
      </w:r>
      <w:r w:rsidR="00B76585" w:rsidRPr="00020B36">
        <w:rPr>
          <w:i/>
          <w:sz w:val="20"/>
          <w:szCs w:val="20"/>
        </w:rPr>
        <w:t xml:space="preserve">” </w:t>
      </w:r>
      <w:r w:rsidRPr="00020B36">
        <w:rPr>
          <w:i/>
          <w:sz w:val="20"/>
          <w:szCs w:val="20"/>
        </w:rPr>
        <w:t>(Sic).</w:t>
      </w:r>
    </w:p>
    <w:p w14:paraId="06169B06" w14:textId="77777777" w:rsidR="00253B74" w:rsidRPr="00020B36" w:rsidRDefault="00253B74" w:rsidP="00382C58">
      <w:pPr>
        <w:spacing w:after="0" w:line="360" w:lineRule="auto"/>
        <w:ind w:left="567" w:right="567"/>
        <w:rPr>
          <w:i/>
          <w:color w:val="000000"/>
          <w:sz w:val="20"/>
          <w:szCs w:val="20"/>
        </w:rPr>
      </w:pPr>
    </w:p>
    <w:p w14:paraId="7F3BF01D" w14:textId="398097EE" w:rsidR="00294FEF" w:rsidRPr="00020B36" w:rsidRDefault="00294FEF" w:rsidP="00382C58">
      <w:pPr>
        <w:tabs>
          <w:tab w:val="left" w:pos="4667"/>
        </w:tabs>
        <w:spacing w:after="0" w:line="360" w:lineRule="auto"/>
        <w:ind w:left="567" w:right="567"/>
        <w:rPr>
          <w:i/>
          <w:color w:val="000000"/>
          <w:sz w:val="20"/>
          <w:szCs w:val="20"/>
        </w:rPr>
      </w:pPr>
      <w:r w:rsidRPr="00020B36">
        <w:rPr>
          <w:b/>
          <w:i/>
          <w:color w:val="000000"/>
          <w:sz w:val="20"/>
          <w:szCs w:val="20"/>
        </w:rPr>
        <w:t>“</w:t>
      </w:r>
      <w:r w:rsidR="00B76585" w:rsidRPr="00020B36">
        <w:rPr>
          <w:b/>
          <w:i/>
          <w:color w:val="000000"/>
          <w:sz w:val="20"/>
          <w:szCs w:val="20"/>
        </w:rPr>
        <w:t>MODALIDAD DE ENTREGA</w:t>
      </w:r>
      <w:r w:rsidR="008C1488" w:rsidRPr="00020B36">
        <w:rPr>
          <w:i/>
          <w:color w:val="000000"/>
          <w:sz w:val="20"/>
          <w:szCs w:val="20"/>
        </w:rPr>
        <w:t xml:space="preserve"> </w:t>
      </w:r>
    </w:p>
    <w:p w14:paraId="20247D3B" w14:textId="09DE7130" w:rsidR="00253B74" w:rsidRPr="00020B36" w:rsidRDefault="00B76585" w:rsidP="00382C58">
      <w:pPr>
        <w:tabs>
          <w:tab w:val="left" w:pos="4667"/>
        </w:tabs>
        <w:spacing w:after="0" w:line="360" w:lineRule="auto"/>
        <w:ind w:left="567" w:right="567"/>
        <w:rPr>
          <w:i/>
          <w:color w:val="000000"/>
          <w:sz w:val="20"/>
          <w:szCs w:val="20"/>
        </w:rPr>
      </w:pPr>
      <w:r w:rsidRPr="00020B36">
        <w:rPr>
          <w:i/>
          <w:color w:val="000000"/>
          <w:sz w:val="20"/>
          <w:szCs w:val="20"/>
        </w:rPr>
        <w:t>A través del SAIMEX</w:t>
      </w:r>
      <w:r w:rsidR="00294FEF" w:rsidRPr="00020B36">
        <w:rPr>
          <w:i/>
          <w:color w:val="000000"/>
          <w:sz w:val="20"/>
          <w:szCs w:val="20"/>
        </w:rPr>
        <w:t>”</w:t>
      </w:r>
    </w:p>
    <w:p w14:paraId="5C5302B1" w14:textId="77777777" w:rsidR="009C62FD" w:rsidRPr="00020B36" w:rsidRDefault="009C62FD" w:rsidP="00382C58">
      <w:pPr>
        <w:pStyle w:val="Ttulo2"/>
        <w:spacing w:before="0"/>
        <w:rPr>
          <w:rFonts w:ascii="Palatino Linotype" w:eastAsia="Palatino Linotype" w:hAnsi="Palatino Linotype" w:cs="Palatino Linotype"/>
          <w:b/>
          <w:color w:val="000000"/>
          <w:sz w:val="22"/>
          <w:szCs w:val="22"/>
        </w:rPr>
      </w:pPr>
      <w:bookmarkStart w:id="2" w:name="_Toc193984898"/>
    </w:p>
    <w:p w14:paraId="1556D8D8" w14:textId="77777777" w:rsidR="00253B74" w:rsidRPr="00020B36" w:rsidRDefault="00B76585" w:rsidP="00382C58">
      <w:pPr>
        <w:pStyle w:val="Ttulo2"/>
        <w:spacing w:before="0"/>
        <w:rPr>
          <w:rFonts w:ascii="Palatino Linotype" w:eastAsia="Palatino Linotype" w:hAnsi="Palatino Linotype" w:cs="Palatino Linotype"/>
          <w:b/>
          <w:color w:val="000000"/>
          <w:sz w:val="22"/>
          <w:szCs w:val="22"/>
        </w:rPr>
      </w:pPr>
      <w:r w:rsidRPr="00020B36">
        <w:rPr>
          <w:rFonts w:ascii="Palatino Linotype" w:eastAsia="Palatino Linotype" w:hAnsi="Palatino Linotype" w:cs="Palatino Linotype"/>
          <w:b/>
          <w:color w:val="000000"/>
          <w:sz w:val="22"/>
          <w:szCs w:val="22"/>
        </w:rPr>
        <w:t>II. Respuesta del Sujeto Obligado</w:t>
      </w:r>
      <w:bookmarkEnd w:id="2"/>
    </w:p>
    <w:p w14:paraId="3FC994F6" w14:textId="77777777" w:rsidR="00253B74" w:rsidRPr="00020B36" w:rsidRDefault="00253B74" w:rsidP="00382C58">
      <w:pPr>
        <w:spacing w:after="0" w:line="360" w:lineRule="auto"/>
        <w:rPr>
          <w:b/>
        </w:rPr>
      </w:pPr>
    </w:p>
    <w:p w14:paraId="4FC98391" w14:textId="1EDB543F" w:rsidR="00E6685A" w:rsidRPr="00020B36" w:rsidRDefault="00E6685A" w:rsidP="00382C58">
      <w:pPr>
        <w:spacing w:after="0" w:line="360" w:lineRule="auto"/>
      </w:pPr>
      <w:r w:rsidRPr="00020B36">
        <w:lastRenderedPageBreak/>
        <w:t xml:space="preserve">Con fecha </w:t>
      </w:r>
      <w:r w:rsidR="00936B16" w:rsidRPr="00020B36">
        <w:t>veintiuno</w:t>
      </w:r>
      <w:r w:rsidRPr="00020B36">
        <w:t xml:space="preserve"> de febrero de dos mil veinticinco, </w:t>
      </w:r>
      <w:r w:rsidR="00294FEF" w:rsidRPr="00020B36">
        <w:t>el  Sujeto Obligado, notificó la respuesta a la solicitud, a través del Sistema de Acceso a la Información Mexiquense (SAIMEX)</w:t>
      </w:r>
      <w:r w:rsidRPr="00020B36">
        <w:t>,</w:t>
      </w:r>
      <w:r w:rsidR="009C691A" w:rsidRPr="00020B36">
        <w:t xml:space="preserve"> por medio del </w:t>
      </w:r>
      <w:r w:rsidR="00936B16" w:rsidRPr="00020B36">
        <w:t xml:space="preserve">oficio </w:t>
      </w:r>
      <w:r w:rsidR="00294FEF" w:rsidRPr="00020B36">
        <w:t xml:space="preserve">número </w:t>
      </w:r>
      <w:r w:rsidR="00936B16" w:rsidRPr="00020B36">
        <w:t>ATZ/PM/TA/073/2025</w:t>
      </w:r>
      <w:r w:rsidRPr="00020B36">
        <w:t>,</w:t>
      </w:r>
      <w:r w:rsidR="00657C3F" w:rsidRPr="00020B36">
        <w:t xml:space="preserve"> </w:t>
      </w:r>
      <w:r w:rsidR="00294FEF" w:rsidRPr="00020B36">
        <w:t xml:space="preserve">del diecinueve de febrero de dos mil veinticinco, </w:t>
      </w:r>
      <w:r w:rsidR="00657C3F" w:rsidRPr="00020B36">
        <w:t xml:space="preserve">suscrito por la </w:t>
      </w:r>
      <w:r w:rsidR="00936B16" w:rsidRPr="00020B36">
        <w:t>Directora de la Unidad de Tesorería y Administración</w:t>
      </w:r>
      <w:r w:rsidRPr="00020B36">
        <w:t xml:space="preserve"> a través del cual manif</w:t>
      </w:r>
      <w:r w:rsidR="00910E6B" w:rsidRPr="00020B36">
        <w:t>estó</w:t>
      </w:r>
      <w:r w:rsidRPr="00020B36">
        <w:t xml:space="preserve"> lo siguiente:</w:t>
      </w:r>
    </w:p>
    <w:p w14:paraId="621564A2" w14:textId="77777777" w:rsidR="00910E6B" w:rsidRPr="00020B36" w:rsidRDefault="00910E6B" w:rsidP="00382C58">
      <w:pPr>
        <w:spacing w:after="0" w:line="360" w:lineRule="auto"/>
      </w:pPr>
    </w:p>
    <w:p w14:paraId="5CAE564E" w14:textId="7C8EF581" w:rsidR="009C691A" w:rsidRPr="00020B36" w:rsidRDefault="009C691A" w:rsidP="00382C58">
      <w:pPr>
        <w:spacing w:after="0" w:line="360" w:lineRule="auto"/>
        <w:ind w:left="567" w:right="567"/>
        <w:rPr>
          <w:i/>
          <w:sz w:val="20"/>
        </w:rPr>
      </w:pPr>
      <w:r w:rsidRPr="00020B36">
        <w:rPr>
          <w:i/>
          <w:sz w:val="20"/>
        </w:rPr>
        <w:t>“…</w:t>
      </w:r>
    </w:p>
    <w:p w14:paraId="5F3BB5B3" w14:textId="77777777" w:rsidR="00294FEF" w:rsidRPr="00020B36" w:rsidRDefault="009C62FD" w:rsidP="00382C58">
      <w:pPr>
        <w:spacing w:after="0" w:line="360" w:lineRule="auto"/>
        <w:ind w:left="567" w:right="567"/>
        <w:rPr>
          <w:i/>
          <w:sz w:val="20"/>
        </w:rPr>
      </w:pPr>
      <w:r w:rsidRPr="00020B36">
        <w:rPr>
          <w:i/>
          <w:sz w:val="20"/>
        </w:rPr>
        <w:t xml:space="preserve">En respuesta a su solicitud le informo que para asistir a la reunión "Mesa constructora de La Paz con perspectiva de género" en el Municipio de Texcalyacac se le asigno vehículo Patrulla de Genero Marca Nissan modelo </w:t>
      </w:r>
      <w:proofErr w:type="spellStart"/>
      <w:r w:rsidRPr="00020B36">
        <w:rPr>
          <w:i/>
          <w:sz w:val="20"/>
        </w:rPr>
        <w:t>Frontier</w:t>
      </w:r>
      <w:proofErr w:type="spellEnd"/>
      <w:r w:rsidRPr="00020B36">
        <w:rPr>
          <w:i/>
          <w:sz w:val="20"/>
        </w:rPr>
        <w:t xml:space="preserve"> 2023 esta unidad es propiedad del Municipio y se tiene registrado en el inventario, en cuanto a viáticos para las personas que acudieron a dicho evento no se les proporciono ningún recurso.</w:t>
      </w:r>
    </w:p>
    <w:p w14:paraId="2DE653D0" w14:textId="1A30A4D3" w:rsidR="00253B74" w:rsidRPr="00020B36" w:rsidRDefault="00294FEF" w:rsidP="00382C58">
      <w:pPr>
        <w:spacing w:after="0" w:line="360" w:lineRule="auto"/>
        <w:ind w:left="567" w:right="567"/>
        <w:rPr>
          <w:i/>
          <w:sz w:val="20"/>
        </w:rPr>
      </w:pPr>
      <w:r w:rsidRPr="00020B36">
        <w:rPr>
          <w:i/>
          <w:sz w:val="20"/>
        </w:rPr>
        <w:t>…</w:t>
      </w:r>
      <w:r w:rsidR="009C62FD" w:rsidRPr="00020B36">
        <w:rPr>
          <w:i/>
          <w:sz w:val="20"/>
        </w:rPr>
        <w:t>”</w:t>
      </w:r>
    </w:p>
    <w:p w14:paraId="136D59AA" w14:textId="77777777" w:rsidR="009C62FD" w:rsidRPr="00020B36" w:rsidRDefault="009C62FD" w:rsidP="00382C58">
      <w:pPr>
        <w:spacing w:after="0" w:line="360" w:lineRule="auto"/>
        <w:ind w:right="567"/>
        <w:rPr>
          <w:iCs/>
        </w:rPr>
      </w:pPr>
    </w:p>
    <w:p w14:paraId="782A0B21" w14:textId="77777777" w:rsidR="00253B74" w:rsidRPr="00020B36" w:rsidRDefault="00B76585" w:rsidP="00382C58">
      <w:pPr>
        <w:pStyle w:val="Ttulo2"/>
        <w:spacing w:before="0"/>
        <w:rPr>
          <w:rFonts w:ascii="Palatino Linotype" w:eastAsia="Palatino Linotype" w:hAnsi="Palatino Linotype" w:cs="Palatino Linotype"/>
          <w:b/>
          <w:color w:val="000000"/>
          <w:sz w:val="22"/>
          <w:szCs w:val="22"/>
        </w:rPr>
      </w:pPr>
      <w:bookmarkStart w:id="3" w:name="_Toc193984899"/>
      <w:r w:rsidRPr="00020B36">
        <w:rPr>
          <w:rFonts w:ascii="Palatino Linotype" w:eastAsia="Palatino Linotype" w:hAnsi="Palatino Linotype" w:cs="Palatino Linotype"/>
          <w:b/>
          <w:color w:val="000000"/>
          <w:sz w:val="22"/>
          <w:szCs w:val="22"/>
        </w:rPr>
        <w:t>III. Interposición del Recurso de Revisión</w:t>
      </w:r>
      <w:bookmarkEnd w:id="3"/>
    </w:p>
    <w:p w14:paraId="7FF9F682" w14:textId="77777777" w:rsidR="00253B74" w:rsidRPr="00020B36" w:rsidRDefault="00253B74" w:rsidP="00382C58">
      <w:pPr>
        <w:spacing w:after="0" w:line="360" w:lineRule="auto"/>
        <w:rPr>
          <w:color w:val="000000"/>
        </w:rPr>
      </w:pPr>
    </w:p>
    <w:p w14:paraId="56403766" w14:textId="5C0769FF" w:rsidR="00253B74" w:rsidRPr="00020B36" w:rsidRDefault="00B76585" w:rsidP="00382C58">
      <w:pPr>
        <w:spacing w:after="0" w:line="360" w:lineRule="auto"/>
        <w:rPr>
          <w:color w:val="000000"/>
        </w:rPr>
      </w:pPr>
      <w:r w:rsidRPr="00020B36">
        <w:rPr>
          <w:color w:val="000000"/>
        </w:rPr>
        <w:t xml:space="preserve">El </w:t>
      </w:r>
      <w:r w:rsidR="009C62FD" w:rsidRPr="00020B36">
        <w:rPr>
          <w:color w:val="000000"/>
        </w:rPr>
        <w:t>cuatro</w:t>
      </w:r>
      <w:r w:rsidRPr="00020B36">
        <w:rPr>
          <w:color w:val="000000"/>
        </w:rPr>
        <w:t xml:space="preserve"> de </w:t>
      </w:r>
      <w:r w:rsidR="009C62FD" w:rsidRPr="00020B36">
        <w:rPr>
          <w:color w:val="000000"/>
        </w:rPr>
        <w:t>marzo</w:t>
      </w:r>
      <w:r w:rsidRPr="00020B36">
        <w:rPr>
          <w:color w:val="000000"/>
        </w:rPr>
        <w:t xml:space="preserve"> de dos </w:t>
      </w:r>
      <w:r w:rsidR="00B82BF9" w:rsidRPr="00020B36">
        <w:rPr>
          <w:color w:val="000000"/>
        </w:rPr>
        <w:t>mil veinticinco</w:t>
      </w:r>
      <w:r w:rsidRPr="00020B36">
        <w:rPr>
          <w:color w:val="000000"/>
        </w:rPr>
        <w:t xml:space="preserve">, </w:t>
      </w:r>
      <w:r w:rsidR="009F3F75" w:rsidRPr="00020B36">
        <w:rPr>
          <w:bCs/>
          <w:color w:val="000000"/>
        </w:rPr>
        <w:t xml:space="preserve">se recibió en este Instituto, a través del </w:t>
      </w:r>
      <w:r w:rsidR="009F3F75" w:rsidRPr="00020B36">
        <w:rPr>
          <w:bCs/>
          <w:color w:val="000000"/>
          <w:lang w:val="es-ES"/>
        </w:rPr>
        <w:t>Sistema de Acceso a la Información Mexiquense (SAIMEX)</w:t>
      </w:r>
      <w:r w:rsidR="009F3F75" w:rsidRPr="00020B36">
        <w:rPr>
          <w:bCs/>
          <w:color w:val="000000"/>
        </w:rPr>
        <w:t xml:space="preserve">, Recurso de Revisión interpuesto por </w:t>
      </w:r>
      <w:r w:rsidRPr="00020B36">
        <w:rPr>
          <w:color w:val="000000"/>
        </w:rPr>
        <w:t xml:space="preserve">la persona Recurrente, </w:t>
      </w:r>
      <w:r w:rsidR="009F3F75" w:rsidRPr="00020B36">
        <w:rPr>
          <w:color w:val="000000"/>
        </w:rPr>
        <w:t>en contra de la respuesta por el Sujeto Obligado, a la solicitud de información, en los siguientes términos:</w:t>
      </w:r>
    </w:p>
    <w:p w14:paraId="237A3F4B" w14:textId="77777777" w:rsidR="009F3F75" w:rsidRPr="00020B36" w:rsidRDefault="009F3F75" w:rsidP="00382C58">
      <w:pPr>
        <w:spacing w:after="0" w:line="360" w:lineRule="auto"/>
        <w:rPr>
          <w:color w:val="000000"/>
        </w:rPr>
      </w:pPr>
    </w:p>
    <w:p w14:paraId="789A2B9A" w14:textId="77777777" w:rsidR="00253B74" w:rsidRPr="00020B36" w:rsidRDefault="00B76585" w:rsidP="00382C58">
      <w:pPr>
        <w:spacing w:after="0" w:line="360" w:lineRule="auto"/>
        <w:ind w:left="567" w:right="567"/>
        <w:rPr>
          <w:b/>
          <w:i/>
          <w:color w:val="000000"/>
          <w:sz w:val="20"/>
          <w:szCs w:val="20"/>
        </w:rPr>
      </w:pPr>
      <w:r w:rsidRPr="00020B36">
        <w:rPr>
          <w:b/>
          <w:i/>
          <w:color w:val="000000"/>
          <w:sz w:val="20"/>
          <w:szCs w:val="20"/>
        </w:rPr>
        <w:t>ACTO IMPUGNADO</w:t>
      </w:r>
    </w:p>
    <w:p w14:paraId="4D87B432" w14:textId="2E5CF502" w:rsidR="00253B74" w:rsidRPr="00020B36" w:rsidRDefault="00B82BF9" w:rsidP="00382C58">
      <w:pPr>
        <w:spacing w:after="0" w:line="360" w:lineRule="auto"/>
        <w:ind w:left="567" w:right="567"/>
        <w:rPr>
          <w:i/>
          <w:color w:val="000000"/>
          <w:sz w:val="20"/>
          <w:szCs w:val="20"/>
        </w:rPr>
      </w:pPr>
      <w:r w:rsidRPr="00020B36">
        <w:rPr>
          <w:i/>
          <w:color w:val="000000"/>
          <w:sz w:val="20"/>
          <w:szCs w:val="20"/>
        </w:rPr>
        <w:t>“</w:t>
      </w:r>
      <w:r w:rsidR="009C62FD" w:rsidRPr="00020B36">
        <w:rPr>
          <w:i/>
          <w:color w:val="000000"/>
          <w:sz w:val="20"/>
          <w:szCs w:val="20"/>
        </w:rPr>
        <w:t>La respuesta</w:t>
      </w:r>
      <w:r w:rsidR="00B76585" w:rsidRPr="00020B36">
        <w:rPr>
          <w:i/>
          <w:color w:val="000000"/>
          <w:sz w:val="20"/>
          <w:szCs w:val="20"/>
        </w:rPr>
        <w:t>”</w:t>
      </w:r>
    </w:p>
    <w:p w14:paraId="6C3FBCB7" w14:textId="77777777" w:rsidR="00B82BF9" w:rsidRPr="00020B36" w:rsidRDefault="00B82BF9" w:rsidP="00382C58">
      <w:pPr>
        <w:spacing w:after="0" w:line="360" w:lineRule="auto"/>
        <w:ind w:right="567"/>
        <w:rPr>
          <w:b/>
          <w:i/>
          <w:color w:val="000000"/>
          <w:sz w:val="20"/>
          <w:szCs w:val="20"/>
        </w:rPr>
      </w:pPr>
    </w:p>
    <w:p w14:paraId="53D9EE0D" w14:textId="77777777" w:rsidR="00253B74" w:rsidRPr="00020B36" w:rsidRDefault="00B76585" w:rsidP="00382C58">
      <w:pPr>
        <w:spacing w:after="0" w:line="360" w:lineRule="auto"/>
        <w:ind w:left="567" w:right="567"/>
        <w:rPr>
          <w:b/>
          <w:i/>
          <w:color w:val="000000"/>
          <w:sz w:val="20"/>
          <w:szCs w:val="20"/>
        </w:rPr>
      </w:pPr>
      <w:r w:rsidRPr="00020B36">
        <w:rPr>
          <w:b/>
          <w:i/>
          <w:color w:val="000000"/>
          <w:sz w:val="20"/>
          <w:szCs w:val="20"/>
        </w:rPr>
        <w:t>RAZONES O MOTIVOS DE LA INCONFORMIDAD</w:t>
      </w:r>
    </w:p>
    <w:p w14:paraId="6A8E3812" w14:textId="7083C66D" w:rsidR="00253B74" w:rsidRPr="00020B36" w:rsidRDefault="00B82BF9" w:rsidP="00382C58">
      <w:pPr>
        <w:spacing w:after="0" w:line="360" w:lineRule="auto"/>
        <w:ind w:left="567" w:right="567"/>
        <w:rPr>
          <w:b/>
          <w:i/>
          <w:color w:val="000000"/>
          <w:sz w:val="20"/>
          <w:szCs w:val="20"/>
        </w:rPr>
      </w:pPr>
      <w:r w:rsidRPr="00020B36">
        <w:rPr>
          <w:i/>
          <w:color w:val="000000"/>
          <w:sz w:val="20"/>
          <w:szCs w:val="20"/>
        </w:rPr>
        <w:t>“</w:t>
      </w:r>
      <w:r w:rsidR="009C62FD" w:rsidRPr="00020B36">
        <w:rPr>
          <w:i/>
          <w:color w:val="000000"/>
          <w:sz w:val="20"/>
          <w:szCs w:val="20"/>
        </w:rPr>
        <w:t>La respuesta</w:t>
      </w:r>
      <w:r w:rsidR="00B76585" w:rsidRPr="00020B36">
        <w:rPr>
          <w:i/>
          <w:color w:val="000000"/>
          <w:sz w:val="20"/>
          <w:szCs w:val="20"/>
        </w:rPr>
        <w:t>”</w:t>
      </w:r>
    </w:p>
    <w:p w14:paraId="6D09F216" w14:textId="77777777" w:rsidR="00253B74" w:rsidRPr="00020B36" w:rsidRDefault="00253B74" w:rsidP="00382C58">
      <w:pPr>
        <w:spacing w:after="0" w:line="360" w:lineRule="auto"/>
        <w:rPr>
          <w:b/>
          <w:color w:val="000000"/>
        </w:rPr>
      </w:pPr>
    </w:p>
    <w:p w14:paraId="3199373F" w14:textId="77777777" w:rsidR="00253B74" w:rsidRPr="00020B36" w:rsidRDefault="00B76585" w:rsidP="00382C58">
      <w:pPr>
        <w:pStyle w:val="Ttulo2"/>
        <w:spacing w:before="0"/>
        <w:rPr>
          <w:rFonts w:ascii="Palatino Linotype" w:eastAsia="Palatino Linotype" w:hAnsi="Palatino Linotype" w:cs="Palatino Linotype"/>
          <w:b/>
          <w:color w:val="000000"/>
          <w:sz w:val="22"/>
          <w:szCs w:val="22"/>
        </w:rPr>
      </w:pPr>
      <w:bookmarkStart w:id="4" w:name="_Toc193984900"/>
      <w:r w:rsidRPr="00020B36">
        <w:rPr>
          <w:rFonts w:ascii="Palatino Linotype" w:eastAsia="Palatino Linotype" w:hAnsi="Palatino Linotype" w:cs="Palatino Linotype"/>
          <w:b/>
          <w:color w:val="000000"/>
          <w:sz w:val="22"/>
          <w:szCs w:val="22"/>
        </w:rPr>
        <w:lastRenderedPageBreak/>
        <w:t>IV. Trámite del Recurso de Revisión ante este Instituto</w:t>
      </w:r>
      <w:bookmarkEnd w:id="4"/>
    </w:p>
    <w:p w14:paraId="5DE92C19" w14:textId="77777777" w:rsidR="00253B74" w:rsidRPr="00020B36" w:rsidRDefault="00253B74" w:rsidP="00382C58">
      <w:pPr>
        <w:spacing w:after="0" w:line="360" w:lineRule="auto"/>
        <w:rPr>
          <w:color w:val="000000"/>
        </w:rPr>
      </w:pPr>
    </w:p>
    <w:p w14:paraId="554DAE78" w14:textId="0D9A5B8B" w:rsidR="00253B74" w:rsidRPr="00020B36" w:rsidRDefault="00B76585" w:rsidP="00382C58">
      <w:pPr>
        <w:spacing w:after="0" w:line="360" w:lineRule="auto"/>
        <w:rPr>
          <w:b/>
          <w:color w:val="000000"/>
        </w:rPr>
      </w:pPr>
      <w:r w:rsidRPr="00020B36">
        <w:rPr>
          <w:b/>
          <w:color w:val="000000"/>
        </w:rPr>
        <w:t>a) Turno del Medio de Impugnación.</w:t>
      </w:r>
      <w:r w:rsidRPr="00020B36">
        <w:rPr>
          <w:b/>
          <w:color w:val="000000"/>
          <w:sz w:val="20"/>
          <w:szCs w:val="20"/>
        </w:rPr>
        <w:t xml:space="preserve"> </w:t>
      </w:r>
      <w:r w:rsidRPr="00020B36">
        <w:rPr>
          <w:color w:val="000000"/>
        </w:rPr>
        <w:t xml:space="preserve">El </w:t>
      </w:r>
      <w:r w:rsidR="009C62FD" w:rsidRPr="00020B36">
        <w:rPr>
          <w:color w:val="000000"/>
        </w:rPr>
        <w:t>cuatro</w:t>
      </w:r>
      <w:r w:rsidRPr="00020B36">
        <w:rPr>
          <w:color w:val="000000"/>
        </w:rPr>
        <w:t xml:space="preserve"> de </w:t>
      </w:r>
      <w:r w:rsidR="009C62FD" w:rsidRPr="00020B36">
        <w:rPr>
          <w:color w:val="000000"/>
        </w:rPr>
        <w:t>marzo</w:t>
      </w:r>
      <w:r w:rsidR="00B82BF9" w:rsidRPr="00020B36">
        <w:rPr>
          <w:color w:val="000000"/>
        </w:rPr>
        <w:t xml:space="preserve"> de dos mil veinticinco</w:t>
      </w:r>
      <w:r w:rsidRPr="00020B36">
        <w:rPr>
          <w:color w:val="000000"/>
        </w:rPr>
        <w:t xml:space="preserve">, </w:t>
      </w:r>
      <w:r w:rsidR="009F3F75" w:rsidRPr="00020B36">
        <w:rPr>
          <w:color w:val="000000"/>
        </w:rPr>
        <w:t>el Sistema de Acceso a la Información Mexiquense (SAIMEX)</w:t>
      </w:r>
      <w:r w:rsidRPr="00020B36">
        <w:rPr>
          <w:color w:val="000000"/>
        </w:rPr>
        <w:t xml:space="preserve">, asignó el número de expediente </w:t>
      </w:r>
      <w:r w:rsidR="00936B16" w:rsidRPr="00020B36">
        <w:rPr>
          <w:b/>
          <w:color w:val="000000"/>
        </w:rPr>
        <w:t xml:space="preserve"> 02446/INFOEM/IP/RR/2025</w:t>
      </w:r>
      <w:r w:rsidRPr="00020B36">
        <w:rPr>
          <w:color w:val="000000"/>
        </w:rPr>
        <w:t xml:space="preserve">, al Medio de Impugnación que nos ocupa, con base en el sistema aprobado por el Pleno de este Organismo Garante y lo turnó al </w:t>
      </w:r>
      <w:r w:rsidRPr="00020B36">
        <w:rPr>
          <w:b/>
          <w:color w:val="000000"/>
        </w:rPr>
        <w:t>Comisionado Ponente Luis Gustavo Parra Noriega</w:t>
      </w:r>
      <w:r w:rsidRPr="00020B36">
        <w:rPr>
          <w:color w:val="000000"/>
        </w:rPr>
        <w:t>, para los efectos del artículo 185, fracción I de la Ley de Transparencia y Acceso a la Información Pública del Estado de México y Municipios.</w:t>
      </w:r>
    </w:p>
    <w:p w14:paraId="202B274F" w14:textId="77777777" w:rsidR="00253B74" w:rsidRPr="00020B36" w:rsidRDefault="00253B74" w:rsidP="00382C58">
      <w:pPr>
        <w:spacing w:after="0" w:line="360" w:lineRule="auto"/>
        <w:rPr>
          <w:color w:val="000000"/>
        </w:rPr>
      </w:pPr>
    </w:p>
    <w:p w14:paraId="27C9E810" w14:textId="2C24CDB4" w:rsidR="00147E4B" w:rsidRPr="00020B36" w:rsidRDefault="00B76585" w:rsidP="00382C58">
      <w:pPr>
        <w:spacing w:after="0" w:line="360" w:lineRule="auto"/>
        <w:rPr>
          <w:color w:val="000000"/>
        </w:rPr>
      </w:pPr>
      <w:r w:rsidRPr="00020B36">
        <w:rPr>
          <w:b/>
          <w:color w:val="000000"/>
        </w:rPr>
        <w:t xml:space="preserve">b) </w:t>
      </w:r>
      <w:r w:rsidR="00147E4B" w:rsidRPr="00020B36">
        <w:rPr>
          <w:b/>
          <w:color w:val="000000"/>
        </w:rPr>
        <w:t xml:space="preserve">Acuerdo de Prevención </w:t>
      </w:r>
      <w:r w:rsidR="007C20A7" w:rsidRPr="00020B36">
        <w:rPr>
          <w:b/>
          <w:color w:val="000000"/>
        </w:rPr>
        <w:t>del Re</w:t>
      </w:r>
      <w:r w:rsidR="00EB4F15" w:rsidRPr="00020B36">
        <w:rPr>
          <w:b/>
          <w:color w:val="000000"/>
        </w:rPr>
        <w:t xml:space="preserve">curso de Revisión. </w:t>
      </w:r>
      <w:r w:rsidR="00EB4F15" w:rsidRPr="00020B36">
        <w:rPr>
          <w:color w:val="000000"/>
        </w:rPr>
        <w:t xml:space="preserve">El </w:t>
      </w:r>
      <w:r w:rsidR="001418D5" w:rsidRPr="00020B36">
        <w:rPr>
          <w:color w:val="000000"/>
        </w:rPr>
        <w:t xml:space="preserve">siete </w:t>
      </w:r>
      <w:r w:rsidR="00EB4F15" w:rsidRPr="00020B36">
        <w:rPr>
          <w:color w:val="000000"/>
        </w:rPr>
        <w:t>de marzo de dos mil veinticinco,</w:t>
      </w:r>
      <w:r w:rsidR="001418D5" w:rsidRPr="00020B36">
        <w:rPr>
          <w:color w:val="000000"/>
        </w:rPr>
        <w:t xml:space="preserve"> mediante</w:t>
      </w:r>
      <w:r w:rsidR="00EB4F15" w:rsidRPr="00020B36">
        <w:rPr>
          <w:color w:val="000000"/>
        </w:rPr>
        <w:t xml:space="preserve"> el Sistema de Acceso a la Información Mexiquense (SAIMEX), </w:t>
      </w:r>
      <w:r w:rsidR="001418D5" w:rsidRPr="00020B36">
        <w:rPr>
          <w:color w:val="000000"/>
        </w:rPr>
        <w:t>se notificó</w:t>
      </w:r>
      <w:r w:rsidR="00DE331A" w:rsidRPr="00020B36">
        <w:rPr>
          <w:color w:val="000000"/>
        </w:rPr>
        <w:t xml:space="preserve"> </w:t>
      </w:r>
      <w:r w:rsidR="001418D5" w:rsidRPr="00020B36">
        <w:rPr>
          <w:color w:val="000000"/>
        </w:rPr>
        <w:t xml:space="preserve">el Acuerdo de </w:t>
      </w:r>
      <w:r w:rsidR="00DE331A" w:rsidRPr="00020B36">
        <w:rPr>
          <w:color w:val="000000"/>
        </w:rPr>
        <w:t xml:space="preserve">prevención a la persona Recurrente para que en un plazo máximo de cinco días hábiles posteriores a la fecha de la notificación del presente acuerdo, precisara los motivos de inconformidad, pues si bien el acto reclamado es la respuesta, no señaló las circunstancias por las cuales no estaba conforme con esta; lo anterior, sin ampliar o modificar el requerimiento inicial. </w:t>
      </w:r>
    </w:p>
    <w:p w14:paraId="1AF44364" w14:textId="27CA145E" w:rsidR="00DE331A" w:rsidRPr="00020B36" w:rsidRDefault="00DE331A" w:rsidP="00382C58">
      <w:pPr>
        <w:spacing w:after="0" w:line="360" w:lineRule="auto"/>
        <w:rPr>
          <w:color w:val="000000"/>
        </w:rPr>
      </w:pPr>
    </w:p>
    <w:p w14:paraId="2EB4D7C8" w14:textId="3394EABE" w:rsidR="00DE331A" w:rsidRPr="00020B36" w:rsidRDefault="00DE331A" w:rsidP="00382C58">
      <w:pPr>
        <w:spacing w:after="0" w:line="360" w:lineRule="auto"/>
        <w:rPr>
          <w:color w:val="000000"/>
        </w:rPr>
      </w:pPr>
      <w:r w:rsidRPr="00020B36">
        <w:rPr>
          <w:b/>
          <w:color w:val="000000"/>
        </w:rPr>
        <w:t xml:space="preserve">c) Prevención del Recurso de Revisión. </w:t>
      </w:r>
      <w:r w:rsidRPr="00020B36">
        <w:rPr>
          <w:color w:val="000000"/>
        </w:rPr>
        <w:t xml:space="preserve">El catorce de marzo de dos mil veinticinco, se recibió en este Instituto, a través del Sistema de Acceso a la Información Mexiquense (SAIMEX), el desahogo a la prevención de la persona Recurrente, en contra de la respuesta del Sujeto Obligado, de conformidad con lo siguiente: </w:t>
      </w:r>
      <w:r w:rsidRPr="00020B36">
        <w:rPr>
          <w:i/>
          <w:iCs/>
          <w:color w:val="000000"/>
          <w:sz w:val="20"/>
          <w:szCs w:val="20"/>
        </w:rPr>
        <w:t>“La respuesta incompleta y en sentido negativa. Y la suplencia de la queja</w:t>
      </w:r>
      <w:proofErr w:type="gramStart"/>
      <w:r w:rsidRPr="00020B36">
        <w:rPr>
          <w:i/>
          <w:iCs/>
          <w:color w:val="000000"/>
          <w:sz w:val="20"/>
          <w:szCs w:val="20"/>
        </w:rPr>
        <w:t>?</w:t>
      </w:r>
      <w:proofErr w:type="gramEnd"/>
      <w:r w:rsidRPr="00020B36">
        <w:rPr>
          <w:i/>
          <w:iCs/>
          <w:color w:val="000000"/>
          <w:sz w:val="20"/>
          <w:szCs w:val="20"/>
        </w:rPr>
        <w:t xml:space="preserve">”  (Sic.) </w:t>
      </w:r>
    </w:p>
    <w:p w14:paraId="47269BE0" w14:textId="77777777" w:rsidR="00EB4F15" w:rsidRPr="00020B36" w:rsidRDefault="00EB4F15" w:rsidP="00382C58">
      <w:pPr>
        <w:spacing w:after="0" w:line="360" w:lineRule="auto"/>
        <w:rPr>
          <w:b/>
          <w:color w:val="000000"/>
        </w:rPr>
      </w:pPr>
    </w:p>
    <w:p w14:paraId="328FC2E3" w14:textId="0A59941A" w:rsidR="00253B74" w:rsidRPr="00020B36" w:rsidRDefault="00DE331A" w:rsidP="00382C58">
      <w:pPr>
        <w:spacing w:after="0" w:line="360" w:lineRule="auto"/>
        <w:rPr>
          <w:color w:val="000000"/>
        </w:rPr>
      </w:pPr>
      <w:r w:rsidRPr="00020B36">
        <w:rPr>
          <w:b/>
          <w:color w:val="000000"/>
        </w:rPr>
        <w:t xml:space="preserve">d) </w:t>
      </w:r>
      <w:r w:rsidR="00B76585" w:rsidRPr="00020B36">
        <w:rPr>
          <w:b/>
          <w:color w:val="000000"/>
        </w:rPr>
        <w:t>Admisión del Recurso de Revisión.</w:t>
      </w:r>
      <w:r w:rsidR="00B76585" w:rsidRPr="00020B36">
        <w:rPr>
          <w:b/>
          <w:color w:val="000000"/>
          <w:sz w:val="20"/>
          <w:szCs w:val="20"/>
        </w:rPr>
        <w:t xml:space="preserve"> </w:t>
      </w:r>
      <w:r w:rsidR="00B76585" w:rsidRPr="00020B36">
        <w:rPr>
          <w:color w:val="000000"/>
        </w:rPr>
        <w:t xml:space="preserve">El </w:t>
      </w:r>
      <w:r w:rsidR="009C62FD" w:rsidRPr="00020B36">
        <w:rPr>
          <w:color w:val="000000"/>
        </w:rPr>
        <w:t>catorce</w:t>
      </w:r>
      <w:r w:rsidR="00B76585" w:rsidRPr="00020B36">
        <w:rPr>
          <w:color w:val="000000"/>
        </w:rPr>
        <w:t xml:space="preserve"> de </w:t>
      </w:r>
      <w:r w:rsidR="009C62FD" w:rsidRPr="00020B36">
        <w:rPr>
          <w:color w:val="000000"/>
        </w:rPr>
        <w:t>marzo</w:t>
      </w:r>
      <w:r w:rsidR="00B17595" w:rsidRPr="00020B36">
        <w:rPr>
          <w:color w:val="000000"/>
        </w:rPr>
        <w:t xml:space="preserve"> de dos mil veinticinco</w:t>
      </w:r>
      <w:r w:rsidR="00B76585" w:rsidRPr="00020B36">
        <w:rPr>
          <w:color w:val="000000"/>
        </w:rPr>
        <w:t xml:space="preserve">, se acordó la admisión del Recurso de Revisión interpuesto por la persona Recurrente en contra del Sujeto Obligado, en términos del artículo 185, fracciones I y II de la Ley de Transparencia y </w:t>
      </w:r>
      <w:r w:rsidR="00B76585" w:rsidRPr="00020B36">
        <w:rPr>
          <w:color w:val="000000"/>
        </w:rPr>
        <w:lastRenderedPageBreak/>
        <w:t xml:space="preserve">Acceso a la Información Pública del Estado de México y Municipios, el cual fue notificado a las partes, el mismo día, a través del </w:t>
      </w:r>
      <w:r w:rsidR="009F3F75" w:rsidRPr="00020B36">
        <w:rPr>
          <w:color w:val="000000"/>
        </w:rPr>
        <w:t>Sistema de Acceso a la Información Mexiquense (</w:t>
      </w:r>
      <w:r w:rsidR="00910E6B" w:rsidRPr="00020B36">
        <w:rPr>
          <w:color w:val="000000"/>
        </w:rPr>
        <w:t>SAIMEX</w:t>
      </w:r>
      <w:r w:rsidR="009F3F75" w:rsidRPr="00020B36">
        <w:rPr>
          <w:color w:val="000000"/>
        </w:rPr>
        <w:t>)</w:t>
      </w:r>
      <w:r w:rsidR="00B76585" w:rsidRPr="00020B36">
        <w:rPr>
          <w:color w:val="000000"/>
        </w:rPr>
        <w:t xml:space="preserve">, en el que se les otorgó un plazo de siete días hábiles posteriores a la misma, para que manifestaran lo que a su derecho conviniera y formularan alegatos. </w:t>
      </w:r>
    </w:p>
    <w:p w14:paraId="22CD9FE4" w14:textId="77777777" w:rsidR="006E53C3" w:rsidRPr="00020B36" w:rsidRDefault="006E53C3" w:rsidP="00382C58">
      <w:pPr>
        <w:spacing w:after="0" w:line="360" w:lineRule="auto"/>
        <w:rPr>
          <w:color w:val="000000"/>
        </w:rPr>
      </w:pPr>
    </w:p>
    <w:p w14:paraId="189D2DB3" w14:textId="16AB2C89" w:rsidR="00253B74" w:rsidRPr="00020B36" w:rsidRDefault="00DE331A" w:rsidP="00382C58">
      <w:pPr>
        <w:spacing w:after="0" w:line="360" w:lineRule="auto"/>
      </w:pPr>
      <w:r w:rsidRPr="00020B36">
        <w:rPr>
          <w:b/>
        </w:rPr>
        <w:t>e</w:t>
      </w:r>
      <w:r w:rsidR="009C62FD" w:rsidRPr="00020B36">
        <w:rPr>
          <w:b/>
        </w:rPr>
        <w:t xml:space="preserve">) Informe Justificado </w:t>
      </w:r>
      <w:r w:rsidR="009F3F75" w:rsidRPr="00020B36">
        <w:rPr>
          <w:rFonts w:cs="Tahoma"/>
          <w:b/>
          <w:bCs/>
          <w:iCs/>
          <w:lang w:val="es-ES"/>
        </w:rPr>
        <w:t xml:space="preserve">o manifestaciones. </w:t>
      </w:r>
      <w:r w:rsidR="009F3F75" w:rsidRPr="00020B36">
        <w:rPr>
          <w:rFonts w:cs="Tahoma"/>
          <w:iCs/>
          <w:lang w:val="es-ES"/>
        </w:rPr>
        <w:t>Las partes fueron omisas en emitir manifestaciones o alegatos</w:t>
      </w:r>
      <w:r w:rsidR="009F3F75" w:rsidRPr="00020B36">
        <w:rPr>
          <w:rFonts w:cs="Tahoma"/>
        </w:rPr>
        <w:t>.</w:t>
      </w:r>
    </w:p>
    <w:p w14:paraId="79EB3A50" w14:textId="77777777" w:rsidR="009C62FD" w:rsidRPr="00020B36" w:rsidRDefault="009C62FD" w:rsidP="00382C58">
      <w:pPr>
        <w:spacing w:after="0" w:line="360" w:lineRule="auto"/>
      </w:pPr>
    </w:p>
    <w:p w14:paraId="463DB254" w14:textId="68727387" w:rsidR="00253B74" w:rsidRPr="00020B36" w:rsidRDefault="00DE331A" w:rsidP="00382C58">
      <w:pPr>
        <w:spacing w:after="0" w:line="360" w:lineRule="auto"/>
        <w:rPr>
          <w:rFonts w:eastAsia="Times New Roman" w:cs="Tahoma"/>
          <w:color w:val="auto"/>
          <w:szCs w:val="24"/>
          <w:lang w:eastAsia="es-ES"/>
        </w:rPr>
      </w:pPr>
      <w:r w:rsidRPr="00020B36">
        <w:rPr>
          <w:b/>
          <w:color w:val="000000"/>
        </w:rPr>
        <w:t>f</w:t>
      </w:r>
      <w:r w:rsidR="00B76585" w:rsidRPr="00020B36">
        <w:rPr>
          <w:b/>
          <w:color w:val="000000"/>
        </w:rPr>
        <w:t>) Cierre de instrucción.</w:t>
      </w:r>
      <w:r w:rsidR="00B76585" w:rsidRPr="00020B36">
        <w:rPr>
          <w:color w:val="000000"/>
          <w:sz w:val="20"/>
          <w:szCs w:val="20"/>
        </w:rPr>
        <w:t xml:space="preserve"> </w:t>
      </w:r>
      <w:r w:rsidR="00B76585" w:rsidRPr="00020B36">
        <w:rPr>
          <w:color w:val="000000"/>
        </w:rPr>
        <w:t xml:space="preserve">El </w:t>
      </w:r>
      <w:r w:rsidR="00707C4A" w:rsidRPr="00020B36">
        <w:rPr>
          <w:color w:val="000000"/>
        </w:rPr>
        <w:t>primero de abril</w:t>
      </w:r>
      <w:r w:rsidR="00B76585" w:rsidRPr="00020B36">
        <w:rPr>
          <w:color w:val="000000"/>
        </w:rPr>
        <w:t xml:space="preserve">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w:t>
      </w:r>
      <w:r w:rsidR="00707C4A" w:rsidRPr="00020B36">
        <w:rPr>
          <w:rFonts w:eastAsia="Times New Roman" w:cs="Tahoma"/>
          <w:color w:val="auto"/>
          <w:szCs w:val="24"/>
          <w:lang w:eastAsia="es-ES"/>
        </w:rPr>
        <w:t xml:space="preserve">a través del </w:t>
      </w:r>
      <w:r w:rsidR="00707C4A" w:rsidRPr="00020B36">
        <w:rPr>
          <w:rFonts w:eastAsia="Times New Roman" w:cs="Tahoma"/>
          <w:color w:val="auto"/>
          <w:szCs w:val="20"/>
          <w:lang w:val="es-ES" w:eastAsia="es-ES"/>
        </w:rPr>
        <w:t>Sistema de Acceso a la Información Mexiquense (SAIMEX)</w:t>
      </w:r>
      <w:r w:rsidR="00707C4A" w:rsidRPr="00020B36">
        <w:rPr>
          <w:rFonts w:eastAsia="Times New Roman" w:cs="Tahoma"/>
          <w:color w:val="auto"/>
          <w:szCs w:val="24"/>
          <w:lang w:eastAsia="es-ES"/>
        </w:rPr>
        <w:t>.</w:t>
      </w:r>
    </w:p>
    <w:p w14:paraId="49D30252" w14:textId="77777777" w:rsidR="00707C4A" w:rsidRPr="00020B36" w:rsidRDefault="00707C4A" w:rsidP="00382C58">
      <w:pPr>
        <w:spacing w:after="0" w:line="360" w:lineRule="auto"/>
        <w:rPr>
          <w:color w:val="000000"/>
        </w:rPr>
      </w:pPr>
    </w:p>
    <w:p w14:paraId="47EF2598" w14:textId="77777777" w:rsidR="00253B74" w:rsidRPr="00020B36" w:rsidRDefault="00B76585" w:rsidP="00382C58">
      <w:pPr>
        <w:spacing w:after="0" w:line="360" w:lineRule="auto"/>
        <w:rPr>
          <w:color w:val="000000"/>
        </w:rPr>
      </w:pPr>
      <w:r w:rsidRPr="00020B36">
        <w:rPr>
          <w:color w:val="000000"/>
        </w:rPr>
        <w:t>En razón de que fue debidamente sustanciado e integrado el expediente electrónico y no existe diligencia pendiente de desahogo, se emite la resolución que conforme a Derecho proceda, de acuerdo a los siguientes:</w:t>
      </w:r>
    </w:p>
    <w:p w14:paraId="3DCE6455" w14:textId="77777777" w:rsidR="00910E6B" w:rsidRPr="00020B36" w:rsidRDefault="00910E6B" w:rsidP="00382C58">
      <w:pPr>
        <w:spacing w:after="0" w:line="360" w:lineRule="auto"/>
        <w:rPr>
          <w:color w:val="000000"/>
        </w:rPr>
      </w:pPr>
    </w:p>
    <w:p w14:paraId="652C78EC" w14:textId="77777777" w:rsidR="00253B74" w:rsidRPr="00020B36" w:rsidRDefault="00B76585" w:rsidP="00382C58">
      <w:pPr>
        <w:pStyle w:val="Ttulo1"/>
        <w:spacing w:before="0"/>
        <w:jc w:val="center"/>
        <w:rPr>
          <w:rFonts w:ascii="Palatino Linotype" w:eastAsia="Palatino Linotype" w:hAnsi="Palatino Linotype" w:cs="Palatino Linotype"/>
          <w:b/>
          <w:color w:val="000000"/>
          <w:sz w:val="22"/>
          <w:szCs w:val="22"/>
        </w:rPr>
      </w:pPr>
      <w:bookmarkStart w:id="5" w:name="_Toc193984901"/>
      <w:r w:rsidRPr="00020B36">
        <w:rPr>
          <w:rFonts w:ascii="Palatino Linotype" w:eastAsia="Palatino Linotype" w:hAnsi="Palatino Linotype" w:cs="Palatino Linotype"/>
          <w:b/>
          <w:color w:val="000000"/>
          <w:sz w:val="22"/>
          <w:szCs w:val="22"/>
        </w:rPr>
        <w:t>C O N S I D E R A N D O S</w:t>
      </w:r>
      <w:bookmarkEnd w:id="5"/>
    </w:p>
    <w:p w14:paraId="7627D5CA" w14:textId="77777777" w:rsidR="00253B74" w:rsidRPr="00020B36" w:rsidRDefault="00253B74" w:rsidP="00382C58">
      <w:pPr>
        <w:spacing w:after="0" w:line="360" w:lineRule="auto"/>
        <w:jc w:val="center"/>
        <w:rPr>
          <w:b/>
          <w:color w:val="000000"/>
        </w:rPr>
      </w:pPr>
    </w:p>
    <w:p w14:paraId="7141A156" w14:textId="77777777" w:rsidR="00253B74" w:rsidRPr="00020B36" w:rsidRDefault="00B76585" w:rsidP="00382C58">
      <w:pPr>
        <w:pStyle w:val="Ttulo2"/>
        <w:spacing w:before="0"/>
        <w:rPr>
          <w:rFonts w:ascii="Palatino Linotype" w:eastAsia="Palatino Linotype" w:hAnsi="Palatino Linotype" w:cs="Palatino Linotype"/>
          <w:b/>
          <w:color w:val="000000"/>
          <w:sz w:val="22"/>
          <w:szCs w:val="22"/>
        </w:rPr>
      </w:pPr>
      <w:bookmarkStart w:id="6" w:name="_Toc193984902"/>
      <w:r w:rsidRPr="00020B36">
        <w:rPr>
          <w:rFonts w:ascii="Palatino Linotype" w:eastAsia="Palatino Linotype" w:hAnsi="Palatino Linotype" w:cs="Palatino Linotype"/>
          <w:b/>
          <w:color w:val="000000"/>
          <w:sz w:val="22"/>
          <w:szCs w:val="22"/>
        </w:rPr>
        <w:t>PRIMERO. Competencia</w:t>
      </w:r>
      <w:bookmarkEnd w:id="6"/>
    </w:p>
    <w:p w14:paraId="7DD7634A" w14:textId="77777777" w:rsidR="00253B74" w:rsidRPr="00020B36" w:rsidRDefault="00253B74" w:rsidP="00382C58">
      <w:pPr>
        <w:spacing w:after="0" w:line="360" w:lineRule="auto"/>
        <w:rPr>
          <w:b/>
          <w:color w:val="000000"/>
        </w:rPr>
      </w:pPr>
    </w:p>
    <w:p w14:paraId="7918B584" w14:textId="6BA4DF31" w:rsidR="007F48FD" w:rsidRPr="00020B36" w:rsidRDefault="007F48FD" w:rsidP="00382C58">
      <w:pPr>
        <w:spacing w:after="0" w:line="360" w:lineRule="auto"/>
        <w:contextualSpacing/>
        <w:rPr>
          <w:rFonts w:eastAsia="Times New Roman" w:cs="Tahoma"/>
          <w:bCs/>
          <w:color w:val="000000"/>
          <w:lang w:eastAsia="es-ES"/>
        </w:rPr>
      </w:pPr>
      <w:bookmarkStart w:id="7" w:name="_heading=h.26in1rg" w:colFirst="0" w:colLast="0"/>
      <w:bookmarkEnd w:id="7"/>
      <w:r w:rsidRPr="00020B36">
        <w:rPr>
          <w:rFonts w:eastAsia="Times New Roman" w:cs="Tahoma"/>
          <w:bCs/>
          <w:color w:val="000000"/>
          <w:lang w:eastAsia="es-ES"/>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w:t>
      </w:r>
      <w:r w:rsidRPr="00020B36">
        <w:rPr>
          <w:rFonts w:eastAsia="Times New Roman" w:cs="Tahoma"/>
          <w:bCs/>
          <w:color w:val="000000"/>
          <w:lang w:eastAsia="es-ES"/>
        </w:rPr>
        <w:lastRenderedPageBreak/>
        <w:t>en los artículos 5°, párrafo trigésimo séptimo, trigésimo octavo y trigésimo noveno, fracciones I, II, III, IV y V de la Constitución Política del Estado Libre y Soberano de México;</w:t>
      </w:r>
    </w:p>
    <w:p w14:paraId="43F870E1" w14:textId="77777777" w:rsidR="007F48FD" w:rsidRPr="00020B36" w:rsidRDefault="007F48FD" w:rsidP="00382C58">
      <w:pPr>
        <w:spacing w:after="0" w:line="360" w:lineRule="auto"/>
        <w:contextualSpacing/>
        <w:rPr>
          <w:rFonts w:eastAsia="Times New Roman" w:cs="Tahoma"/>
          <w:bCs/>
          <w:color w:val="000000"/>
          <w:lang w:eastAsia="es-ES"/>
        </w:rPr>
      </w:pPr>
      <w:r w:rsidRPr="00020B36">
        <w:rPr>
          <w:rFonts w:eastAsia="Times New Roman" w:cs="Tahoma"/>
          <w:bCs/>
          <w:color w:val="000000"/>
          <w:lang w:eastAsia="es-ES"/>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5748934" w14:textId="77777777" w:rsidR="0060088D" w:rsidRPr="00020B36" w:rsidRDefault="0060088D" w:rsidP="00382C58">
      <w:pPr>
        <w:spacing w:after="0" w:line="360" w:lineRule="auto"/>
        <w:rPr>
          <w:color w:val="000000"/>
        </w:rPr>
      </w:pPr>
    </w:p>
    <w:p w14:paraId="504E5F4B" w14:textId="77777777" w:rsidR="00253B74" w:rsidRPr="00020B36" w:rsidRDefault="00B76585" w:rsidP="00382C58">
      <w:pPr>
        <w:pStyle w:val="Ttulo2"/>
        <w:spacing w:before="0"/>
        <w:rPr>
          <w:rFonts w:ascii="Palatino Linotype" w:eastAsia="Palatino Linotype" w:hAnsi="Palatino Linotype" w:cs="Palatino Linotype"/>
          <w:b/>
          <w:color w:val="000000"/>
          <w:sz w:val="22"/>
          <w:szCs w:val="22"/>
        </w:rPr>
      </w:pPr>
      <w:bookmarkStart w:id="8" w:name="_Toc193984903"/>
      <w:r w:rsidRPr="00020B36">
        <w:rPr>
          <w:rFonts w:ascii="Palatino Linotype" w:eastAsia="Palatino Linotype" w:hAnsi="Palatino Linotype" w:cs="Palatino Linotype"/>
          <w:b/>
          <w:color w:val="000000"/>
          <w:sz w:val="22"/>
          <w:szCs w:val="22"/>
        </w:rPr>
        <w:t>SEGUNDO. Causales de improcedencia y Sobreseimiento</w:t>
      </w:r>
      <w:bookmarkEnd w:id="8"/>
    </w:p>
    <w:p w14:paraId="69AA9BE2" w14:textId="77777777" w:rsidR="00253B74" w:rsidRPr="00020B36" w:rsidRDefault="00253B74" w:rsidP="00382C58">
      <w:pPr>
        <w:spacing w:after="0" w:line="360" w:lineRule="auto"/>
        <w:rPr>
          <w:color w:val="000000"/>
        </w:rPr>
      </w:pPr>
    </w:p>
    <w:p w14:paraId="512B0C8F" w14:textId="77777777" w:rsidR="00253B74" w:rsidRPr="00020B36" w:rsidRDefault="00B76585" w:rsidP="00382C58">
      <w:pPr>
        <w:spacing w:after="0" w:line="360" w:lineRule="auto"/>
        <w:rPr>
          <w:color w:val="000000"/>
        </w:rPr>
      </w:pPr>
      <w:r w:rsidRPr="00020B36">
        <w:rPr>
          <w:color w:val="000000"/>
        </w:rPr>
        <w:t xml:space="preserve">De las constancias que forma parte del Recurso de Revisión que se analiza, se advierte que previo al estudio del fondo de la </w:t>
      </w:r>
      <w:r w:rsidRPr="00020B36">
        <w:rPr>
          <w:i/>
          <w:color w:val="000000"/>
        </w:rPr>
        <w:t>litis</w:t>
      </w:r>
      <w:r w:rsidRPr="00020B36">
        <w:rPr>
          <w:color w:val="000000"/>
        </w:rPr>
        <w:t>, es necesario estudiar las causales de improcedencia y sobreseimiento que se adviertan, para determinar lo que en Derecho proceda.</w:t>
      </w:r>
    </w:p>
    <w:p w14:paraId="7B8DB385" w14:textId="77777777" w:rsidR="00253B74" w:rsidRPr="00020B36" w:rsidRDefault="00253B74" w:rsidP="00382C58">
      <w:pPr>
        <w:spacing w:after="0" w:line="360" w:lineRule="auto"/>
        <w:rPr>
          <w:color w:val="000000"/>
        </w:rPr>
      </w:pPr>
    </w:p>
    <w:p w14:paraId="062CF2E6" w14:textId="77777777" w:rsidR="00253B74" w:rsidRPr="00020B36" w:rsidRDefault="00B76585" w:rsidP="00382C58">
      <w:pPr>
        <w:pStyle w:val="Ttulo3"/>
        <w:spacing w:before="0"/>
        <w:rPr>
          <w:rFonts w:ascii="Palatino Linotype" w:eastAsia="Palatino Linotype" w:hAnsi="Palatino Linotype" w:cs="Palatino Linotype"/>
          <w:b/>
          <w:color w:val="000000"/>
          <w:sz w:val="22"/>
          <w:szCs w:val="22"/>
        </w:rPr>
      </w:pPr>
      <w:bookmarkStart w:id="9" w:name="_Toc193984904"/>
      <w:r w:rsidRPr="00020B36">
        <w:rPr>
          <w:rFonts w:ascii="Palatino Linotype" w:eastAsia="Palatino Linotype" w:hAnsi="Palatino Linotype" w:cs="Palatino Linotype"/>
          <w:b/>
          <w:color w:val="000000"/>
          <w:sz w:val="22"/>
          <w:szCs w:val="22"/>
        </w:rPr>
        <w:t>Causales de improcedencia</w:t>
      </w:r>
      <w:bookmarkEnd w:id="9"/>
    </w:p>
    <w:p w14:paraId="056F2585" w14:textId="77777777" w:rsidR="00253B74" w:rsidRPr="00020B36" w:rsidRDefault="00253B74" w:rsidP="00382C58">
      <w:pPr>
        <w:spacing w:after="0" w:line="360" w:lineRule="auto"/>
      </w:pPr>
    </w:p>
    <w:p w14:paraId="0F17B0E9" w14:textId="77777777" w:rsidR="00657C3F" w:rsidRPr="00020B36" w:rsidRDefault="00657C3F" w:rsidP="00382C58">
      <w:pPr>
        <w:spacing w:after="0" w:line="360" w:lineRule="auto"/>
      </w:pPr>
      <w:r w:rsidRPr="00020B36">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020B36">
        <w:rPr>
          <w:b/>
        </w:rPr>
        <w:t xml:space="preserve"> </w:t>
      </w:r>
      <w:r w:rsidRPr="00020B36">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1AEA8B20" w14:textId="77777777" w:rsidR="00657C3F" w:rsidRPr="00020B36" w:rsidRDefault="00657C3F" w:rsidP="00382C58">
      <w:pPr>
        <w:spacing w:after="0" w:line="360" w:lineRule="auto"/>
      </w:pPr>
    </w:p>
    <w:p w14:paraId="32E8121C" w14:textId="77777777" w:rsidR="00657C3F" w:rsidRPr="00020B36" w:rsidRDefault="00657C3F" w:rsidP="00382C58">
      <w:pPr>
        <w:spacing w:after="0" w:line="360" w:lineRule="auto"/>
      </w:pPr>
      <w:r w:rsidRPr="00020B36">
        <w:lastRenderedPageBreak/>
        <w:t xml:space="preserve">En el presente caso, </w:t>
      </w:r>
      <w:r w:rsidRPr="00020B36">
        <w:rPr>
          <w:b/>
        </w:rPr>
        <w:t>no se actualiza ninguna de las causales de improcedencia</w:t>
      </w:r>
      <w:r w:rsidRPr="00020B36">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4A4339FA" w14:textId="77777777" w:rsidR="00253B74" w:rsidRPr="00020B36" w:rsidRDefault="00253B74" w:rsidP="00382C58">
      <w:pPr>
        <w:spacing w:after="0" w:line="360" w:lineRule="auto"/>
        <w:rPr>
          <w:color w:val="000000"/>
        </w:rPr>
      </w:pPr>
    </w:p>
    <w:p w14:paraId="1014122D" w14:textId="77777777" w:rsidR="00253B74" w:rsidRPr="00020B36" w:rsidRDefault="00B76585" w:rsidP="00382C58">
      <w:pPr>
        <w:pStyle w:val="Ttulo3"/>
        <w:spacing w:before="0"/>
        <w:rPr>
          <w:rFonts w:ascii="Palatino Linotype" w:eastAsia="Palatino Linotype" w:hAnsi="Palatino Linotype" w:cs="Palatino Linotype"/>
          <w:b/>
          <w:color w:val="000000"/>
          <w:sz w:val="22"/>
          <w:szCs w:val="22"/>
        </w:rPr>
      </w:pPr>
      <w:bookmarkStart w:id="10" w:name="_Toc193984905"/>
      <w:r w:rsidRPr="00020B36">
        <w:rPr>
          <w:rFonts w:ascii="Palatino Linotype" w:eastAsia="Palatino Linotype" w:hAnsi="Palatino Linotype" w:cs="Palatino Linotype"/>
          <w:b/>
          <w:color w:val="000000"/>
          <w:sz w:val="22"/>
          <w:szCs w:val="22"/>
        </w:rPr>
        <w:t>Causales de sobreseimiento</w:t>
      </w:r>
      <w:bookmarkEnd w:id="10"/>
    </w:p>
    <w:p w14:paraId="6D0A0077" w14:textId="77777777" w:rsidR="00253B74" w:rsidRPr="00020B36" w:rsidRDefault="00253B74" w:rsidP="00382C58">
      <w:pPr>
        <w:spacing w:after="0" w:line="360" w:lineRule="auto"/>
        <w:rPr>
          <w:color w:val="0D0D0D"/>
        </w:rPr>
      </w:pPr>
    </w:p>
    <w:p w14:paraId="2F6AB219" w14:textId="77777777" w:rsidR="00657C3F" w:rsidRPr="00020B36" w:rsidRDefault="00657C3F" w:rsidP="00382C58">
      <w:pPr>
        <w:spacing w:after="0" w:line="360" w:lineRule="auto"/>
        <w:rPr>
          <w:color w:val="000000"/>
        </w:rPr>
      </w:pPr>
      <w:r w:rsidRPr="00020B36">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020B36">
        <w:rPr>
          <w:b/>
          <w:color w:val="0D0D0D"/>
        </w:rPr>
        <w:t xml:space="preserve"> </w:t>
      </w:r>
      <w:r w:rsidRPr="00020B36">
        <w:rPr>
          <w:color w:val="0D0D0D"/>
        </w:rPr>
        <w:t>toda vez que no hay constancias en el expediente en que se actúa, de que la persona Recurrente se haya desistido, fallecido, que el Sujeto Obligado hubiese modificado o revocado el acto impugnado o bien,</w:t>
      </w:r>
      <w:r w:rsidRPr="00020B36">
        <w:t xml:space="preserve"> </w:t>
      </w:r>
      <w:r w:rsidRPr="00020B36">
        <w:rPr>
          <w:color w:val="0D0D0D"/>
        </w:rPr>
        <w:t>que admitido una vez admitido el Recurso de Revisión, aparezca alguna causal de improcedencia o haya quedado sin materia.</w:t>
      </w:r>
    </w:p>
    <w:p w14:paraId="360D996E" w14:textId="77777777" w:rsidR="00253B74" w:rsidRPr="00020B36" w:rsidRDefault="00253B74" w:rsidP="00382C58">
      <w:pPr>
        <w:spacing w:after="0" w:line="360" w:lineRule="auto"/>
        <w:rPr>
          <w:color w:val="0D0D0D"/>
        </w:rPr>
      </w:pPr>
    </w:p>
    <w:p w14:paraId="42C3D3F2" w14:textId="77777777" w:rsidR="00253B74" w:rsidRPr="00020B36" w:rsidRDefault="00B76585" w:rsidP="00382C58">
      <w:pPr>
        <w:pStyle w:val="Ttulo2"/>
        <w:spacing w:before="0"/>
        <w:rPr>
          <w:rFonts w:ascii="Palatino Linotype" w:eastAsia="Palatino Linotype" w:hAnsi="Palatino Linotype" w:cs="Palatino Linotype"/>
          <w:b/>
          <w:color w:val="000000"/>
          <w:sz w:val="22"/>
          <w:szCs w:val="22"/>
        </w:rPr>
      </w:pPr>
      <w:bookmarkStart w:id="11" w:name="_Toc193984906"/>
      <w:r w:rsidRPr="00020B36">
        <w:rPr>
          <w:rFonts w:ascii="Palatino Linotype" w:eastAsia="Palatino Linotype" w:hAnsi="Palatino Linotype" w:cs="Palatino Linotype"/>
          <w:b/>
          <w:color w:val="000000"/>
          <w:sz w:val="22"/>
          <w:szCs w:val="22"/>
        </w:rPr>
        <w:t>TERCERO. Determinación de la Controversia</w:t>
      </w:r>
      <w:bookmarkEnd w:id="11"/>
    </w:p>
    <w:p w14:paraId="6DA6D396" w14:textId="77777777" w:rsidR="00253B74" w:rsidRPr="00020B36" w:rsidRDefault="00253B74" w:rsidP="00382C58">
      <w:pPr>
        <w:spacing w:after="0" w:line="360" w:lineRule="auto"/>
        <w:rPr>
          <w:color w:val="000000"/>
        </w:rPr>
      </w:pPr>
    </w:p>
    <w:p w14:paraId="126E1ABB" w14:textId="26177E2A" w:rsidR="00AC2BBB" w:rsidRPr="00020B36" w:rsidRDefault="00AC2BBB" w:rsidP="00382C58">
      <w:pPr>
        <w:tabs>
          <w:tab w:val="left" w:pos="4962"/>
        </w:tabs>
        <w:spacing w:after="0" w:line="360" w:lineRule="auto"/>
      </w:pPr>
      <w:r w:rsidRPr="00020B36">
        <w:t>Con el objeto de ilustrar la controversia planteada, resulta conveniente precisar que, una vez realizado el estudio de las constancias que integran el expediente en que se actúa, se desprende que la persona Recurrente requirió</w:t>
      </w:r>
      <w:r w:rsidR="00486938" w:rsidRPr="00020B36">
        <w:t xml:space="preserve"> los viáticos y vales de gasolina que se usaron para acudir a la Mesa </w:t>
      </w:r>
      <w:r w:rsidR="00AD4119" w:rsidRPr="00020B36">
        <w:t>C</w:t>
      </w:r>
      <w:r w:rsidR="00486938" w:rsidRPr="00020B36">
        <w:t>onstructora de la Paz con perspectiva de género</w:t>
      </w:r>
      <w:r w:rsidR="00805F47" w:rsidRPr="00020B36">
        <w:t>, que se llevó a cabo el Municipio de Texcalyacac el seis de febrero de dos mil veinticinco</w:t>
      </w:r>
      <w:r w:rsidR="00C741CB" w:rsidRPr="00020B36">
        <w:t xml:space="preserve">. </w:t>
      </w:r>
    </w:p>
    <w:p w14:paraId="1C57AED4" w14:textId="77777777" w:rsidR="00AC2BBB" w:rsidRPr="00020B36" w:rsidRDefault="00AC2BBB" w:rsidP="00382C58">
      <w:pPr>
        <w:tabs>
          <w:tab w:val="left" w:pos="4962"/>
        </w:tabs>
        <w:spacing w:after="0" w:line="360" w:lineRule="auto"/>
      </w:pPr>
    </w:p>
    <w:p w14:paraId="5988C184" w14:textId="3A1BF370" w:rsidR="00AC2BBB" w:rsidRPr="00020B36" w:rsidRDefault="00AC2BBB" w:rsidP="00382C58">
      <w:pPr>
        <w:spacing w:after="0" w:line="360" w:lineRule="auto"/>
        <w:ind w:right="-28"/>
        <w:rPr>
          <w:rFonts w:eastAsia="Calibri" w:cs="Tahoma"/>
          <w:color w:val="auto"/>
          <w:lang w:eastAsia="en-US"/>
        </w:rPr>
      </w:pPr>
      <w:r w:rsidRPr="00020B36">
        <w:rPr>
          <w:rFonts w:eastAsiaTheme="minorHAnsi" w:cs="Tahoma"/>
          <w:bCs/>
          <w:iCs/>
          <w:color w:val="auto"/>
          <w:lang w:val="es-ES" w:eastAsia="en-US"/>
        </w:rPr>
        <w:t xml:space="preserve">En respuesta, el Sujeto Obligado, por medio de la Dirección de la Unidad de Tesorería y Administración </w:t>
      </w:r>
      <w:r w:rsidR="00ED527B" w:rsidRPr="00020B36">
        <w:rPr>
          <w:rFonts w:eastAsiaTheme="minorHAnsi" w:cs="Tahoma"/>
          <w:bCs/>
          <w:iCs/>
          <w:color w:val="auto"/>
          <w:lang w:val="es-ES" w:eastAsia="en-US"/>
        </w:rPr>
        <w:t>precisó el tipo de vehículo que</w:t>
      </w:r>
      <w:r w:rsidR="00BF6827" w:rsidRPr="00020B36">
        <w:rPr>
          <w:rFonts w:eastAsiaTheme="minorHAnsi" w:cs="Tahoma"/>
          <w:bCs/>
          <w:iCs/>
          <w:color w:val="auto"/>
          <w:lang w:val="es-ES" w:eastAsia="en-US"/>
        </w:rPr>
        <w:t xml:space="preserve"> se</w:t>
      </w:r>
      <w:r w:rsidR="00ED527B" w:rsidRPr="00020B36">
        <w:rPr>
          <w:rFonts w:eastAsiaTheme="minorHAnsi" w:cs="Tahoma"/>
          <w:bCs/>
          <w:iCs/>
          <w:color w:val="auto"/>
          <w:lang w:val="es-ES" w:eastAsia="en-US"/>
        </w:rPr>
        <w:t xml:space="preserve"> proporcionó para su traslado y refirió que no fueron proporcionados viáticos a las personas que acudieron a dicho evento</w:t>
      </w:r>
      <w:r w:rsidR="00BF6827" w:rsidRPr="00020B36">
        <w:rPr>
          <w:rFonts w:eastAsiaTheme="minorHAnsi" w:cs="Tahoma"/>
          <w:bCs/>
          <w:iCs/>
          <w:color w:val="auto"/>
          <w:lang w:val="es-ES" w:eastAsia="en-US"/>
        </w:rPr>
        <w:t>,</w:t>
      </w:r>
      <w:r w:rsidRPr="00020B36">
        <w:rPr>
          <w:rFonts w:eastAsiaTheme="minorHAnsi" w:cs="Tahoma"/>
          <w:color w:val="auto"/>
          <w:lang w:val="es-ES" w:eastAsia="en-US"/>
        </w:rPr>
        <w:t xml:space="preserve"> ante dicha circunstancia, el Particular se inconformó </w:t>
      </w:r>
      <w:r w:rsidR="00ED527B" w:rsidRPr="00020B36">
        <w:rPr>
          <w:rFonts w:eastAsiaTheme="minorHAnsi" w:cs="Tahoma"/>
          <w:color w:val="auto"/>
          <w:lang w:val="es-ES" w:eastAsia="en-US"/>
        </w:rPr>
        <w:t xml:space="preserve">de la respuesta, motivo por el cual este Instituto previno a la persona Solicitante a efecto de precisar los motivos de informidad, ante dicha circunstancia la persona Recurrente se inconformó de la respuesta incompleta </w:t>
      </w:r>
      <w:r w:rsidRPr="00020B36">
        <w:rPr>
          <w:rFonts w:eastAsiaTheme="minorHAnsi" w:cs="Tahoma"/>
          <w:color w:val="auto"/>
          <w:lang w:val="es-ES" w:eastAsia="en-US"/>
        </w:rPr>
        <w:t>, lo cual,</w:t>
      </w:r>
      <w:r w:rsidRPr="00020B36">
        <w:rPr>
          <w:rFonts w:eastAsia="Calibri" w:cs="Tahoma"/>
          <w:color w:val="auto"/>
          <w:lang w:eastAsia="en-US"/>
        </w:rPr>
        <w:t xml:space="preserve"> actualiza la causal de procedencia prevista en la fracción V, del artículo 179 de la Ley de Transparencia y Acceso a la Información Pública del Estado de México y Municipios. Así las cosas, una vez admitido y notificado el Recurso de Revisión a las partes, </w:t>
      </w:r>
      <w:r w:rsidR="00ED527B" w:rsidRPr="00020B36">
        <w:rPr>
          <w:rFonts w:eastAsia="Calibri" w:cs="Tahoma"/>
          <w:color w:val="auto"/>
          <w:lang w:eastAsia="en-US"/>
        </w:rPr>
        <w:t>fueron omisas en manifestarse.</w:t>
      </w:r>
    </w:p>
    <w:p w14:paraId="66E67F7A" w14:textId="77777777" w:rsidR="00ED527B" w:rsidRPr="00020B36" w:rsidRDefault="00ED527B" w:rsidP="00382C58">
      <w:pPr>
        <w:spacing w:after="0" w:line="360" w:lineRule="auto"/>
        <w:ind w:right="-28"/>
        <w:rPr>
          <w:rFonts w:eastAsia="Calibri" w:cs="Tahoma"/>
          <w:color w:val="auto"/>
          <w:lang w:eastAsia="en-US"/>
        </w:rPr>
      </w:pPr>
    </w:p>
    <w:p w14:paraId="0F41D5A2" w14:textId="77777777" w:rsidR="00ED527B" w:rsidRPr="00020B36" w:rsidRDefault="00ED527B" w:rsidP="00382C58">
      <w:pPr>
        <w:tabs>
          <w:tab w:val="left" w:pos="4962"/>
        </w:tabs>
        <w:spacing w:after="0" w:line="360" w:lineRule="auto"/>
        <w:contextualSpacing/>
        <w:rPr>
          <w:rFonts w:eastAsia="Calibri" w:cs="Tahoma"/>
          <w:bCs/>
          <w:color w:val="auto"/>
          <w:szCs w:val="24"/>
          <w:lang w:eastAsia="en-US"/>
        </w:rPr>
      </w:pPr>
      <w:r w:rsidRPr="00020B36">
        <w:rPr>
          <w:rFonts w:eastAsia="Calibri" w:cs="Tahoma"/>
          <w:iCs/>
          <w:color w:val="auto"/>
          <w:lang w:val="es-ES" w:eastAsia="es-ES_tradnl"/>
        </w:rPr>
        <w:t>Lo anterior, se desprende de las documentales que obran en el expediente de referencia, materia de la presente resolución, consistente en: la solicitud de acceso a la información, la respuesta y</w:t>
      </w:r>
      <w:r w:rsidRPr="00020B36">
        <w:rPr>
          <w:rFonts w:eastAsia="Calibri" w:cs="Tahoma"/>
          <w:iCs/>
          <w:color w:val="auto"/>
          <w:lang w:eastAsia="es-ES_tradnl"/>
        </w:rPr>
        <w:t xml:space="preserve"> el escrito recursal; </w:t>
      </w:r>
      <w:r w:rsidRPr="00020B36">
        <w:rPr>
          <w:rFonts w:eastAsia="Calibri" w:cs="Tahoma"/>
          <w:bCs/>
          <w:color w:val="auto"/>
          <w:szCs w:val="24"/>
          <w:lang w:eastAsia="en-US"/>
        </w:rPr>
        <w:t>instrumentales que se toman en cuenta a efecto de resolver el presente medio de impugnación, conforme a lo dispuesto por el artículo 185, fracción IV, de la Ley de Transparencia y Acceso a la Información Pública del Estado de México y Municipios.</w:t>
      </w:r>
    </w:p>
    <w:p w14:paraId="174AADAE" w14:textId="77777777" w:rsidR="00253B74" w:rsidRPr="00020B36" w:rsidRDefault="00253B74" w:rsidP="00382C58">
      <w:pPr>
        <w:tabs>
          <w:tab w:val="left" w:pos="4962"/>
        </w:tabs>
        <w:spacing w:after="0" w:line="360" w:lineRule="auto"/>
      </w:pPr>
    </w:p>
    <w:p w14:paraId="519AABB8" w14:textId="77777777" w:rsidR="001658C4" w:rsidRPr="00020B36" w:rsidRDefault="001658C4" w:rsidP="00382C58">
      <w:pPr>
        <w:spacing w:after="0" w:line="360" w:lineRule="auto"/>
        <w:rPr>
          <w:b/>
          <w:color w:val="000000"/>
        </w:rPr>
      </w:pPr>
      <w:r w:rsidRPr="00020B36">
        <w:rPr>
          <w:b/>
          <w:color w:val="000000"/>
        </w:rPr>
        <w:t>CUARTO. Marco normativo aplicable en materia de transparencia y acceso a la información pública</w:t>
      </w:r>
    </w:p>
    <w:p w14:paraId="35BA8E88" w14:textId="77777777" w:rsidR="001658C4" w:rsidRPr="00020B36" w:rsidRDefault="001658C4" w:rsidP="00382C58">
      <w:pPr>
        <w:spacing w:after="0" w:line="360" w:lineRule="auto"/>
        <w:rPr>
          <w:b/>
          <w:color w:val="000000"/>
        </w:rPr>
      </w:pPr>
    </w:p>
    <w:p w14:paraId="3011DCEB" w14:textId="77777777" w:rsidR="007F48FD" w:rsidRPr="00020B36" w:rsidRDefault="007F48FD" w:rsidP="00382C58">
      <w:pPr>
        <w:spacing w:after="0" w:line="360" w:lineRule="auto"/>
        <w:rPr>
          <w:color w:val="000000"/>
        </w:rPr>
      </w:pPr>
      <w:r w:rsidRPr="00020B36">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854F0FF" w14:textId="77777777" w:rsidR="007F48FD" w:rsidRPr="00020B36" w:rsidRDefault="007F48FD" w:rsidP="00382C58">
      <w:pPr>
        <w:spacing w:after="0" w:line="360" w:lineRule="auto"/>
        <w:rPr>
          <w:color w:val="000000"/>
        </w:rPr>
      </w:pPr>
    </w:p>
    <w:p w14:paraId="2DAE475F" w14:textId="77777777" w:rsidR="007F48FD" w:rsidRPr="00020B36" w:rsidRDefault="007F48FD" w:rsidP="00382C58">
      <w:pPr>
        <w:spacing w:after="0" w:line="360" w:lineRule="auto"/>
        <w:rPr>
          <w:color w:val="000000"/>
        </w:rPr>
      </w:pPr>
      <w:r w:rsidRPr="00020B36">
        <w:rPr>
          <w:color w:val="000000"/>
        </w:rPr>
        <w:lastRenderedPageBreak/>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1F4CE19" w14:textId="77777777" w:rsidR="007F48FD" w:rsidRPr="00020B36" w:rsidRDefault="007F48FD" w:rsidP="00382C58">
      <w:pPr>
        <w:spacing w:after="0" w:line="360" w:lineRule="auto"/>
        <w:rPr>
          <w:color w:val="000000"/>
        </w:rPr>
      </w:pPr>
    </w:p>
    <w:p w14:paraId="77934C9A" w14:textId="77777777" w:rsidR="007F48FD" w:rsidRPr="00020B36" w:rsidRDefault="007F48FD" w:rsidP="00382C58">
      <w:pPr>
        <w:spacing w:after="0" w:line="360" w:lineRule="auto"/>
        <w:rPr>
          <w:color w:val="000000"/>
        </w:rPr>
      </w:pPr>
      <w:r w:rsidRPr="00020B36">
        <w:rPr>
          <w:color w:val="000000"/>
        </w:rPr>
        <w:t>Por su parte, la Ley de Transparencia y Acceso a la Información Pública del Estado de México y Municipios (Reglamentaria del artículo 5° de la Constitución Local), establece lo siguiente:</w:t>
      </w:r>
    </w:p>
    <w:p w14:paraId="68EEA0A3" w14:textId="77777777" w:rsidR="007F48FD" w:rsidRPr="00020B36" w:rsidRDefault="007F48FD" w:rsidP="00382C58">
      <w:pPr>
        <w:spacing w:after="0" w:line="360" w:lineRule="auto"/>
        <w:rPr>
          <w:color w:val="000000"/>
        </w:rPr>
      </w:pPr>
    </w:p>
    <w:p w14:paraId="25956E40" w14:textId="77777777" w:rsidR="007F48FD" w:rsidRPr="00020B36" w:rsidRDefault="007F48FD" w:rsidP="00382C58">
      <w:pPr>
        <w:spacing w:after="0" w:line="360" w:lineRule="auto"/>
        <w:rPr>
          <w:color w:val="000000"/>
        </w:rPr>
      </w:pPr>
      <w:r w:rsidRPr="00020B36">
        <w:rPr>
          <w:color w:val="000000"/>
        </w:rPr>
        <w:t>El artículo 12, que, quienes generen, recopilen, administren, manejen, procesen, archiven o conserven información pública serán responsables de la misma.</w:t>
      </w:r>
    </w:p>
    <w:p w14:paraId="70B34957" w14:textId="77777777" w:rsidR="007F48FD" w:rsidRPr="00020B36" w:rsidRDefault="007F48FD" w:rsidP="00382C58">
      <w:pPr>
        <w:spacing w:after="0" w:line="360" w:lineRule="auto"/>
        <w:rPr>
          <w:color w:val="000000"/>
        </w:rPr>
      </w:pPr>
    </w:p>
    <w:p w14:paraId="2911825F" w14:textId="77777777" w:rsidR="007F48FD" w:rsidRPr="00020B36" w:rsidRDefault="007F48FD" w:rsidP="00382C58">
      <w:pPr>
        <w:widowControl w:val="0"/>
        <w:spacing w:after="0" w:line="360" w:lineRule="auto"/>
        <w:rPr>
          <w:color w:val="000000"/>
        </w:rPr>
      </w:pPr>
      <w:r w:rsidRPr="00020B36">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FC3426B" w14:textId="77777777" w:rsidR="007F48FD" w:rsidRPr="00020B36" w:rsidRDefault="007F48FD" w:rsidP="00382C58">
      <w:pPr>
        <w:widowControl w:val="0"/>
        <w:spacing w:after="0" w:line="360" w:lineRule="auto"/>
        <w:rPr>
          <w:color w:val="000000"/>
        </w:rPr>
      </w:pPr>
    </w:p>
    <w:p w14:paraId="20D7B66D" w14:textId="77777777" w:rsidR="007F48FD" w:rsidRPr="00020B36" w:rsidRDefault="007F48FD" w:rsidP="00382C58">
      <w:pPr>
        <w:spacing w:after="0" w:line="360" w:lineRule="auto"/>
        <w:rPr>
          <w:color w:val="000000"/>
        </w:rPr>
      </w:pPr>
      <w:r w:rsidRPr="00020B36">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6564EE8" w14:textId="77777777" w:rsidR="0060088D" w:rsidRPr="00020B36" w:rsidRDefault="0060088D" w:rsidP="00382C58">
      <w:pPr>
        <w:spacing w:after="0" w:line="360" w:lineRule="auto"/>
      </w:pPr>
    </w:p>
    <w:p w14:paraId="47CBBAA2" w14:textId="77777777" w:rsidR="00253B74" w:rsidRPr="00020B36" w:rsidRDefault="00B76585" w:rsidP="00382C58">
      <w:pPr>
        <w:pStyle w:val="Ttulo2"/>
        <w:spacing w:before="0"/>
        <w:rPr>
          <w:rFonts w:ascii="Palatino Linotype" w:eastAsia="Palatino Linotype" w:hAnsi="Palatino Linotype" w:cs="Palatino Linotype"/>
          <w:b/>
          <w:color w:val="000000"/>
          <w:sz w:val="22"/>
          <w:szCs w:val="22"/>
        </w:rPr>
      </w:pPr>
      <w:bookmarkStart w:id="12" w:name="_Toc193984907"/>
      <w:r w:rsidRPr="00020B36">
        <w:rPr>
          <w:rFonts w:ascii="Palatino Linotype" w:eastAsia="Palatino Linotype" w:hAnsi="Palatino Linotype" w:cs="Palatino Linotype"/>
          <w:b/>
          <w:color w:val="000000"/>
          <w:sz w:val="22"/>
          <w:szCs w:val="22"/>
        </w:rPr>
        <w:t>QUINTO. Estudio de Fondo</w:t>
      </w:r>
      <w:bookmarkEnd w:id="12"/>
    </w:p>
    <w:p w14:paraId="6DC3C293" w14:textId="77777777" w:rsidR="00253B74" w:rsidRPr="00020B36" w:rsidRDefault="00253B74" w:rsidP="00382C58">
      <w:pPr>
        <w:spacing w:after="0" w:line="360" w:lineRule="auto"/>
        <w:rPr>
          <w:b/>
          <w:color w:val="000000"/>
        </w:rPr>
      </w:pPr>
    </w:p>
    <w:p w14:paraId="5115889C" w14:textId="1A24C4FE" w:rsidR="000B7798" w:rsidRPr="00020B36" w:rsidRDefault="001F5092" w:rsidP="00382C58">
      <w:pPr>
        <w:spacing w:after="0" w:line="360" w:lineRule="auto"/>
        <w:rPr>
          <w:rFonts w:eastAsia="Times New Roman" w:cs="Tahoma"/>
          <w:bCs/>
          <w:iCs/>
          <w:color w:val="000000"/>
          <w:lang w:eastAsia="es-ES"/>
        </w:rPr>
      </w:pPr>
      <w:r w:rsidRPr="00020B36">
        <w:rPr>
          <w:rFonts w:eastAsia="Times New Roman" w:cs="Tahoma"/>
        </w:rPr>
        <w:t xml:space="preserve">Expuestas las posturas de las partes, se procede al análisis del agravio hecho valer por la persona Recurrente, concerniente a la entrega de </w:t>
      </w:r>
      <w:r w:rsidR="00910E6B" w:rsidRPr="00020B36">
        <w:rPr>
          <w:rFonts w:eastAsia="Times New Roman" w:cs="Tahoma"/>
        </w:rPr>
        <w:t xml:space="preserve">un documento que no corresponde con </w:t>
      </w:r>
      <w:r w:rsidR="000B7798" w:rsidRPr="00020B36">
        <w:rPr>
          <w:rFonts w:eastAsia="Times New Roman" w:cs="Tahoma"/>
        </w:rPr>
        <w:t xml:space="preserve">la </w:t>
      </w:r>
      <w:r w:rsidR="000B7798" w:rsidRPr="00020B36">
        <w:rPr>
          <w:rFonts w:eastAsia="Times New Roman" w:cs="Tahoma"/>
        </w:rPr>
        <w:lastRenderedPageBreak/>
        <w:t xml:space="preserve">entrega de información incompleta, </w:t>
      </w:r>
      <w:r w:rsidR="000B7798" w:rsidRPr="00020B36">
        <w:rPr>
          <w:rFonts w:eastAsia="Times New Roman" w:cs="Tahoma"/>
          <w:bCs/>
          <w:iCs/>
          <w:color w:val="000000"/>
          <w:lang w:eastAsia="es-ES"/>
        </w:rPr>
        <w:t>por lo que, en principio es necesario contextualizar la solicitud de información.</w:t>
      </w:r>
    </w:p>
    <w:p w14:paraId="0ED5556A" w14:textId="42269F70" w:rsidR="001F5092" w:rsidRPr="00020B36" w:rsidRDefault="001F5092" w:rsidP="00382C58">
      <w:pPr>
        <w:widowControl w:val="0"/>
        <w:spacing w:after="0" w:line="360" w:lineRule="auto"/>
        <w:rPr>
          <w:rFonts w:eastAsia="Times New Roman" w:cs="Tahoma"/>
        </w:rPr>
      </w:pPr>
    </w:p>
    <w:p w14:paraId="0FEE1CB5" w14:textId="77777777" w:rsidR="00382C58" w:rsidRPr="00020B36" w:rsidRDefault="00382C58" w:rsidP="00382C58">
      <w:pPr>
        <w:widowControl w:val="0"/>
        <w:spacing w:after="0" w:line="360" w:lineRule="auto"/>
        <w:rPr>
          <w:rFonts w:eastAsia="Times New Roman" w:cs="Tahoma"/>
        </w:rPr>
      </w:pPr>
    </w:p>
    <w:p w14:paraId="293A8D64" w14:textId="4709E292" w:rsidR="001F5092" w:rsidRPr="00020B36" w:rsidRDefault="00F11FD5" w:rsidP="00382C58">
      <w:pPr>
        <w:widowControl w:val="0"/>
        <w:spacing w:after="0" w:line="360" w:lineRule="auto"/>
        <w:rPr>
          <w:rFonts w:eastAsia="Times New Roman" w:cs="Tahoma"/>
        </w:rPr>
      </w:pPr>
      <w:r w:rsidRPr="00020B36">
        <w:t xml:space="preserve">Sobre el tema, López Olvera, Miguel Alejandro </w:t>
      </w:r>
      <w:proofErr w:type="spellStart"/>
      <w:r w:rsidRPr="00020B36">
        <w:t>Cancino</w:t>
      </w:r>
      <w:proofErr w:type="spellEnd"/>
      <w:r w:rsidRPr="00020B36">
        <w:t xml:space="preserve"> Gómez, Rodolfo. (2020). “La Contratación Pública y el Sistema Nacional Anticorrupción”. (p. 4) la </w:t>
      </w:r>
      <w:r w:rsidRPr="00020B36">
        <w:rPr>
          <w:b/>
          <w:bCs/>
        </w:rPr>
        <w:t>contratación pública</w:t>
      </w:r>
      <w:r w:rsidRPr="00020B36">
        <w:t xml:space="preserve">, es el procedimiento de carácter administrativo, por medio del cual, un ente público selecciona y posteriormente, celebra un acuerdo de voluntades, con una persona física o jurídica colectiva, para que ésta, entregue o arrende un bien, </w:t>
      </w:r>
      <w:r w:rsidRPr="00020B36">
        <w:rPr>
          <w:b/>
          <w:bCs/>
        </w:rPr>
        <w:t>preste algún servicio público</w:t>
      </w:r>
      <w:r w:rsidRPr="00020B36">
        <w:t xml:space="preserve"> o</w:t>
      </w:r>
    </w:p>
    <w:p w14:paraId="0BDA4A2C" w14:textId="77777777" w:rsidR="00F11FD5" w:rsidRPr="00020B36" w:rsidRDefault="00F11FD5" w:rsidP="00382C58">
      <w:pPr>
        <w:spacing w:after="0" w:line="360" w:lineRule="auto"/>
        <w:contextualSpacing/>
        <w:rPr>
          <w:color w:val="000000"/>
        </w:rPr>
      </w:pPr>
      <w:r w:rsidRPr="00020B36">
        <w:rPr>
          <w:color w:val="000000"/>
        </w:rPr>
        <w:t xml:space="preserve">lleve a cabo la ejecución de una obra pública, con recursos públicos del Estado y en beneficio </w:t>
      </w:r>
    </w:p>
    <w:p w14:paraId="0034D6B6" w14:textId="62505D9D" w:rsidR="00F11FD5" w:rsidRPr="00020B36" w:rsidRDefault="00F11FD5" w:rsidP="00382C58">
      <w:pPr>
        <w:spacing w:after="0" w:line="360" w:lineRule="auto"/>
        <w:contextualSpacing/>
        <w:rPr>
          <w:color w:val="000000"/>
        </w:rPr>
      </w:pPr>
      <w:r w:rsidRPr="00020B36">
        <w:rPr>
          <w:color w:val="000000"/>
        </w:rPr>
        <w:t>de la colectividad.</w:t>
      </w:r>
    </w:p>
    <w:p w14:paraId="402444C6" w14:textId="7B3D85C4" w:rsidR="00F11FD5" w:rsidRPr="00020B36" w:rsidRDefault="00F11FD5" w:rsidP="00382C58">
      <w:pPr>
        <w:spacing w:after="0" w:line="360" w:lineRule="auto"/>
        <w:contextualSpacing/>
        <w:rPr>
          <w:color w:val="000000"/>
        </w:rPr>
      </w:pPr>
    </w:p>
    <w:p w14:paraId="0241A40C" w14:textId="5B5A26FA" w:rsidR="00F11FD5" w:rsidRPr="00020B36" w:rsidRDefault="00F11FD5" w:rsidP="00382C58">
      <w:pPr>
        <w:spacing w:after="0" w:line="360" w:lineRule="auto"/>
        <w:contextualSpacing/>
      </w:pPr>
      <w:r w:rsidRPr="00020B36">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w:t>
      </w:r>
      <w:r w:rsidRPr="00020B36">
        <w:rPr>
          <w:b/>
          <w:bCs/>
        </w:rPr>
        <w:t>contratación de servicios</w:t>
      </w:r>
      <w:r w:rsidRPr="00020B36">
        <w:t xml:space="preserve"> de cualquier naturaleza.</w:t>
      </w:r>
    </w:p>
    <w:p w14:paraId="2C963B82" w14:textId="1A75B947" w:rsidR="00F11FD5" w:rsidRPr="00020B36" w:rsidRDefault="00F11FD5" w:rsidP="00382C58">
      <w:pPr>
        <w:spacing w:after="0" w:line="360" w:lineRule="auto"/>
        <w:contextualSpacing/>
      </w:pPr>
    </w:p>
    <w:p w14:paraId="3151A479" w14:textId="671984CC" w:rsidR="00F11FD5" w:rsidRPr="00020B36" w:rsidRDefault="00F11FD5" w:rsidP="00382C58">
      <w:pPr>
        <w:spacing w:after="0" w:line="360" w:lineRule="auto"/>
        <w:contextualSpacing/>
        <w:rPr>
          <w:color w:val="000000"/>
        </w:rPr>
      </w:pPr>
      <w:r w:rsidRPr="00020B36">
        <w:rPr>
          <w:color w:val="000000"/>
        </w:rPr>
        <w:t xml:space="preserve">En ese contexto, conforme a los artículos 26 y 27 de dicho ordenamiento jurídico, las adquisiciones, arrendamientos y </w:t>
      </w:r>
      <w:r w:rsidRPr="00020B36">
        <w:rPr>
          <w:b/>
          <w:bCs/>
          <w:color w:val="000000"/>
        </w:rPr>
        <w:t>servicios</w:t>
      </w:r>
      <w:r w:rsidRPr="00020B36">
        <w:rPr>
          <w:color w:val="000000"/>
        </w:rPr>
        <w:t>, se adjudicarán a través de procedimientos de licitación pública, invitación restringida y adjudicación directa.</w:t>
      </w:r>
    </w:p>
    <w:p w14:paraId="59086198" w14:textId="3194FC1B" w:rsidR="00F11FD5" w:rsidRPr="00020B36" w:rsidRDefault="00F11FD5" w:rsidP="00382C58">
      <w:pPr>
        <w:spacing w:after="0" w:line="360" w:lineRule="auto"/>
        <w:contextualSpacing/>
        <w:rPr>
          <w:color w:val="000000"/>
        </w:rPr>
      </w:pPr>
    </w:p>
    <w:p w14:paraId="3B986343" w14:textId="01A83CB2" w:rsidR="00F11FD5" w:rsidRPr="00020B36" w:rsidRDefault="00F11FD5" w:rsidP="00382C58">
      <w:pPr>
        <w:spacing w:after="0" w:line="360" w:lineRule="auto"/>
        <w:contextualSpacing/>
      </w:pPr>
      <w:r w:rsidRPr="00020B36">
        <w:t xml:space="preserve">En ese orden de ideas, conforme al artículo 65 de la Ley de Contratación Pública del Estado de México y Municipios, la adjudicación de un procedimiento de adquisición y arrendamiento de bienes y </w:t>
      </w:r>
      <w:r w:rsidRPr="00020B36">
        <w:rPr>
          <w:b/>
          <w:bCs/>
        </w:rPr>
        <w:t>contratación de servicios</w:t>
      </w:r>
      <w:r w:rsidRPr="00020B36">
        <w:t xml:space="preserve"> se realizará mediante la suscripción de </w:t>
      </w:r>
      <w:r w:rsidRPr="00020B36">
        <w:lastRenderedPageBreak/>
        <w:t>un contrato, entre el Ayuntamiento y la persona a la cual haya ganado el procedimiento respectivo, dentro de los diez días hábiles siguientes a la notificación del fallo.</w:t>
      </w:r>
    </w:p>
    <w:p w14:paraId="2E2D2DCA" w14:textId="16426FE9" w:rsidR="0031651B" w:rsidRPr="00020B36" w:rsidRDefault="0031651B" w:rsidP="00382C58">
      <w:pPr>
        <w:spacing w:after="0" w:line="360" w:lineRule="auto"/>
        <w:contextualSpacing/>
      </w:pPr>
    </w:p>
    <w:p w14:paraId="0DCBEE3D" w14:textId="27BC8FB0" w:rsidR="0031651B" w:rsidRPr="00020B36" w:rsidRDefault="0031651B" w:rsidP="00382C58">
      <w:pPr>
        <w:spacing w:after="0" w:line="360" w:lineRule="auto"/>
        <w:contextualSpacing/>
        <w:rPr>
          <w:color w:val="000000"/>
        </w:rPr>
      </w:pPr>
      <w:r w:rsidRPr="00020B36">
        <w:rPr>
          <w:color w:val="000000"/>
        </w:rPr>
        <w:t>Ahora bien,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w:t>
      </w:r>
    </w:p>
    <w:p w14:paraId="07E11A93" w14:textId="61C51F64" w:rsidR="0031651B" w:rsidRPr="00020B36" w:rsidRDefault="0031651B" w:rsidP="00382C58">
      <w:pPr>
        <w:spacing w:after="0" w:line="360" w:lineRule="auto"/>
        <w:contextualSpacing/>
        <w:rPr>
          <w:color w:val="000000"/>
        </w:rPr>
      </w:pPr>
    </w:p>
    <w:p w14:paraId="62521CB0" w14:textId="12422F8D" w:rsidR="0031651B" w:rsidRPr="00020B36" w:rsidRDefault="0031651B" w:rsidP="00382C58">
      <w:pPr>
        <w:spacing w:after="0" w:line="360" w:lineRule="auto"/>
        <w:contextualSpacing/>
      </w:pPr>
      <w:r w:rsidRPr="00020B36">
        <w:t xml:space="preserve">En ese orden de ideas, resulta necesario traer a colación el Manual para la Planeación, Programación y Presupuesto de Egresos Municipal para el Ejercicio Fiscal dos mil veintitrés, que establece los capítulos, subcapítulos, partidas genéricas y específicas de gasto, que se deben establecer en el Presupuesto de Egresos Municipal, entre las cuales, se encuentran las </w:t>
      </w:r>
      <w:r w:rsidRPr="00020B36">
        <w:rPr>
          <w:b/>
          <w:bCs/>
        </w:rPr>
        <w:t>2600 y 2610</w:t>
      </w:r>
      <w:r w:rsidRPr="00020B36">
        <w:t xml:space="preserve">, ambas denominadas </w:t>
      </w:r>
      <w:r w:rsidRPr="00020B36">
        <w:rPr>
          <w:b/>
          <w:bCs/>
        </w:rPr>
        <w:t>Combustibles, Lubricantes y Aditivos</w:t>
      </w:r>
      <w:r w:rsidRPr="00020B36">
        <w:t>, que contemplan las asignaciones destinadas a la adquisición, entre otras cosas, de combustibles necesario para el funcionamiento de vehículos de transporte terrestre, tal como es, la gasolina y el diésel.</w:t>
      </w:r>
    </w:p>
    <w:p w14:paraId="1026E9E0" w14:textId="3FE6EBF3" w:rsidR="0031651B" w:rsidRPr="00020B36" w:rsidRDefault="0031651B" w:rsidP="00382C58">
      <w:pPr>
        <w:spacing w:after="0" w:line="360" w:lineRule="auto"/>
        <w:contextualSpacing/>
      </w:pPr>
    </w:p>
    <w:p w14:paraId="4FEE666F" w14:textId="77777777" w:rsidR="0031651B" w:rsidRPr="00020B36" w:rsidRDefault="0031651B" w:rsidP="00382C58">
      <w:pPr>
        <w:spacing w:after="0" w:line="360" w:lineRule="auto"/>
        <w:contextualSpacing/>
      </w:pPr>
      <w:r w:rsidRPr="00020B36">
        <w:t xml:space="preserve">Asimismo, el Anexo IV.5 Glosario de Términos, del Manual para la Planeación, Programación y Presupuesto de Egresos Municipal para el ejercicio fiscal dos mil veinticuatro, que establecen que el presupuesto es la estimación financiera anticipada de los egresos e ingresos del gobierno, necesario para cumplir con los propósitos de un programa determinado; por otra parte, establece lo siguiente: </w:t>
      </w:r>
    </w:p>
    <w:p w14:paraId="31265085" w14:textId="77777777" w:rsidR="0031651B" w:rsidRPr="00020B36" w:rsidRDefault="0031651B" w:rsidP="00382C58">
      <w:pPr>
        <w:spacing w:after="0" w:line="360" w:lineRule="auto"/>
        <w:contextualSpacing/>
      </w:pPr>
    </w:p>
    <w:p w14:paraId="18F69E40" w14:textId="42D8DC41" w:rsidR="0031651B" w:rsidRPr="00020B36" w:rsidRDefault="0031651B" w:rsidP="00382C58">
      <w:pPr>
        <w:pStyle w:val="Prrafodelista"/>
        <w:numPr>
          <w:ilvl w:val="0"/>
          <w:numId w:val="17"/>
        </w:numPr>
        <w:spacing w:after="0" w:line="360" w:lineRule="auto"/>
      </w:pPr>
      <w:r w:rsidRPr="00020B36">
        <w:rPr>
          <w:b/>
          <w:bCs/>
        </w:rPr>
        <w:lastRenderedPageBreak/>
        <w:t xml:space="preserve">Presupuesto Autorizado: </w:t>
      </w:r>
      <w:r w:rsidRPr="00020B36">
        <w:t>Es el monto de recursos que se autoriza ejercer en un ejercicio fiscal, a través del Decreto del Presupuesto de Egresos.</w:t>
      </w:r>
    </w:p>
    <w:p w14:paraId="148686D4" w14:textId="77777777" w:rsidR="0031651B" w:rsidRPr="00020B36" w:rsidRDefault="0031651B" w:rsidP="00382C58">
      <w:pPr>
        <w:pStyle w:val="Prrafodelista"/>
        <w:spacing w:after="0" w:line="360" w:lineRule="auto"/>
      </w:pPr>
    </w:p>
    <w:p w14:paraId="79D3D05C" w14:textId="2DC19EBE" w:rsidR="0031651B" w:rsidRPr="00020B36" w:rsidRDefault="0031651B" w:rsidP="00382C58">
      <w:pPr>
        <w:pStyle w:val="Prrafodelista"/>
        <w:numPr>
          <w:ilvl w:val="0"/>
          <w:numId w:val="17"/>
        </w:numPr>
        <w:spacing w:after="0" w:line="360" w:lineRule="auto"/>
      </w:pPr>
      <w:r w:rsidRPr="00020B36">
        <w:rPr>
          <w:b/>
          <w:bCs/>
        </w:rPr>
        <w:t>Presupuesto Ejercido:</w:t>
      </w:r>
      <w:r w:rsidRPr="00020B36">
        <w:t xml:space="preserve"> Es el importe de erogaciones realizadas, respaldadas por los documentos comprobatorios presentados a la dependencia una vez autorizadas para su pago, con cargo al presupuesto autorizado.</w:t>
      </w:r>
    </w:p>
    <w:p w14:paraId="18B9280D" w14:textId="0D50E21C" w:rsidR="0031651B" w:rsidRPr="00020B36" w:rsidRDefault="0031651B" w:rsidP="00382C58">
      <w:pPr>
        <w:spacing w:after="0" w:line="360" w:lineRule="auto"/>
        <w:contextualSpacing/>
      </w:pPr>
      <w:r w:rsidRPr="00020B36">
        <w:t>Además, precisa que el gasto público es el conjunto de erogaciones que por concepto de gasto corriente, inversión física y financiera, así como pagos de pasivo o deuda pública y transferencia realiza el Gobierno Municipal; este se puede subdividir en gasto social que consiste en el gasto público destinado al financiamiento de los servicios sociales básicos, así como gastos de representación.</w:t>
      </w:r>
    </w:p>
    <w:p w14:paraId="72FF015E" w14:textId="3BE47201" w:rsidR="0031651B" w:rsidRPr="00020B36" w:rsidRDefault="0031651B" w:rsidP="00382C58">
      <w:pPr>
        <w:spacing w:after="0" w:line="360" w:lineRule="auto"/>
        <w:contextualSpacing/>
      </w:pPr>
    </w:p>
    <w:p w14:paraId="568C182A" w14:textId="47CF2164" w:rsidR="006363E3" w:rsidRPr="00020B36" w:rsidRDefault="0031651B" w:rsidP="00382C58">
      <w:pPr>
        <w:spacing w:after="0" w:line="360" w:lineRule="auto"/>
        <w:contextualSpacing/>
        <w:rPr>
          <w:color w:val="000000"/>
        </w:rPr>
      </w:pPr>
      <w:r w:rsidRPr="00020B36">
        <w:rPr>
          <w:color w:val="000000"/>
        </w:rPr>
        <w:t xml:space="preserve">En este sentido, resulta necesario traer a colación los artículos </w:t>
      </w:r>
      <w:r w:rsidR="00D159F1" w:rsidRPr="00020B36">
        <w:rPr>
          <w:color w:val="000000"/>
        </w:rPr>
        <w:t>29, fracción III y 120</w:t>
      </w:r>
      <w:r w:rsidRPr="00020B36">
        <w:rPr>
          <w:color w:val="000000"/>
        </w:rPr>
        <w:t>, del Bando Municipa</w:t>
      </w:r>
      <w:r w:rsidR="00D159F1" w:rsidRPr="00020B36">
        <w:rPr>
          <w:color w:val="000000"/>
        </w:rPr>
        <w:t>l, dos mil veinticinco, de Atizapán</w:t>
      </w:r>
      <w:r w:rsidRPr="00020B36">
        <w:rPr>
          <w:color w:val="000000"/>
        </w:rPr>
        <w:t xml:space="preserve">, los cuales establecen que, la Administración Pública Centralizada se integrará por diversas unidades administrativas entre otras la </w:t>
      </w:r>
      <w:r w:rsidR="00D159F1" w:rsidRPr="00020B36">
        <w:rPr>
          <w:color w:val="000000"/>
        </w:rPr>
        <w:t>Unidad de Tesorería y Administración</w:t>
      </w:r>
      <w:r w:rsidR="007D3D04" w:rsidRPr="00020B36">
        <w:rPr>
          <w:color w:val="000000"/>
        </w:rPr>
        <w:t>, e</w:t>
      </w:r>
      <w:r w:rsidRPr="00020B36">
        <w:rPr>
          <w:color w:val="000000"/>
        </w:rPr>
        <w:t xml:space="preserve">ncargada de </w:t>
      </w:r>
      <w:r w:rsidR="007D3D04" w:rsidRPr="00020B36">
        <w:rPr>
          <w:color w:val="000000"/>
        </w:rPr>
        <w:t>recaudar los ingresos y realizar l</w:t>
      </w:r>
      <w:r w:rsidR="006363E3" w:rsidRPr="00020B36">
        <w:rPr>
          <w:color w:val="000000"/>
        </w:rPr>
        <w:t>o</w:t>
      </w:r>
      <w:r w:rsidR="007D3D04" w:rsidRPr="00020B36">
        <w:rPr>
          <w:color w:val="000000"/>
        </w:rPr>
        <w:t xml:space="preserve">s egresos municipales </w:t>
      </w:r>
      <w:r w:rsidR="006363E3" w:rsidRPr="00020B36">
        <w:rPr>
          <w:color w:val="000000"/>
        </w:rPr>
        <w:t xml:space="preserve">con cargo a los presupuestos aprobados y ara tal efecto se auxiliará de la Coordinación de Control Vehicular. </w:t>
      </w:r>
    </w:p>
    <w:p w14:paraId="22B2460C" w14:textId="32B78C4B" w:rsidR="006363E3" w:rsidRPr="00020B36" w:rsidRDefault="006363E3" w:rsidP="00382C58">
      <w:pPr>
        <w:spacing w:after="0" w:line="360" w:lineRule="auto"/>
        <w:contextualSpacing/>
        <w:rPr>
          <w:color w:val="000000"/>
        </w:rPr>
      </w:pPr>
    </w:p>
    <w:p w14:paraId="28024C80" w14:textId="493CADCC" w:rsidR="00F11FD5" w:rsidRPr="00020B36" w:rsidRDefault="006363E3" w:rsidP="00382C58">
      <w:pPr>
        <w:spacing w:after="0" w:line="360" w:lineRule="auto"/>
        <w:contextualSpacing/>
        <w:rPr>
          <w:color w:val="000000"/>
        </w:rPr>
      </w:pPr>
      <w:r w:rsidRPr="00020B36">
        <w:rPr>
          <w:color w:val="000000"/>
        </w:rPr>
        <w:t>Al respecto, cabe traer a colación el Manual de Organización de la Tesorería Municipal, que precisa que la Coordinación de Control Vehicular, es la encargada del su</w:t>
      </w:r>
      <w:r w:rsidR="00981043" w:rsidRPr="00020B36">
        <w:rPr>
          <w:color w:val="000000"/>
        </w:rPr>
        <w:t>m</w:t>
      </w:r>
      <w:r w:rsidRPr="00020B36">
        <w:rPr>
          <w:color w:val="000000"/>
        </w:rPr>
        <w:t>inistro de combustibles</w:t>
      </w:r>
      <w:r w:rsidR="00981043" w:rsidRPr="00020B36">
        <w:rPr>
          <w:color w:val="000000"/>
        </w:rPr>
        <w:t xml:space="preserve">, </w:t>
      </w:r>
      <w:r w:rsidRPr="00020B36">
        <w:rPr>
          <w:color w:val="000000"/>
        </w:rPr>
        <w:t xml:space="preserve">la reparación </w:t>
      </w:r>
      <w:r w:rsidR="00981043" w:rsidRPr="00020B36">
        <w:rPr>
          <w:color w:val="000000"/>
        </w:rPr>
        <w:t>y mantenimiento de las unidades vehiculares con que cuenta la Administración Municipal y asignados a las dependencias y áreas administrativas del Municipio.</w:t>
      </w:r>
    </w:p>
    <w:p w14:paraId="2624DF36" w14:textId="2E26B851" w:rsidR="006363E3" w:rsidRPr="00020B36" w:rsidRDefault="006363E3" w:rsidP="00382C58">
      <w:pPr>
        <w:spacing w:after="0" w:line="360" w:lineRule="auto"/>
        <w:contextualSpacing/>
        <w:rPr>
          <w:color w:val="000000"/>
        </w:rPr>
      </w:pPr>
    </w:p>
    <w:p w14:paraId="2AD7BDE4" w14:textId="0D4FE3DF" w:rsidR="00981043" w:rsidRPr="00020B36" w:rsidRDefault="00981043" w:rsidP="00382C58">
      <w:pPr>
        <w:spacing w:after="0" w:line="360" w:lineRule="auto"/>
        <w:contextualSpacing/>
        <w:rPr>
          <w:color w:val="000000"/>
        </w:rPr>
      </w:pPr>
      <w:r w:rsidRPr="00020B36">
        <w:rPr>
          <w:color w:val="000000"/>
        </w:rPr>
        <w:lastRenderedPageBreak/>
        <w:t>Finalmente, cabe precisar que la persona Recurrente proporcionó una liga electrónica de la red social Facebook del Ayuntamiento de Atizapán, en la que se logra vislumbrar que tres servidoras públicas, asistieron a la “Mesa constructora de La Paz con perspectiva de género</w:t>
      </w:r>
      <w:r w:rsidR="00F328E4" w:rsidRPr="00020B36">
        <w:rPr>
          <w:color w:val="000000"/>
        </w:rPr>
        <w:t xml:space="preserve">”, que se llevó a cabo el seis de febrero de dos mil veinticinco, en el Municipio de Texcalyacac, tal como  se muestra en la siguiente imagen ilustrativa: </w:t>
      </w:r>
    </w:p>
    <w:p w14:paraId="4CE597BC" w14:textId="77777777" w:rsidR="00F328E4" w:rsidRPr="00020B36" w:rsidRDefault="00F328E4" w:rsidP="00382C58">
      <w:pPr>
        <w:spacing w:after="0" w:line="360" w:lineRule="auto"/>
        <w:contextualSpacing/>
        <w:rPr>
          <w:color w:val="000000"/>
        </w:rPr>
      </w:pPr>
    </w:p>
    <w:p w14:paraId="2A449C35" w14:textId="7CFFA592" w:rsidR="00F328E4" w:rsidRPr="00020B36" w:rsidRDefault="00F328E4" w:rsidP="00382C58">
      <w:pPr>
        <w:spacing w:after="0" w:line="360" w:lineRule="auto"/>
        <w:contextualSpacing/>
        <w:jc w:val="center"/>
        <w:rPr>
          <w:color w:val="000000"/>
        </w:rPr>
      </w:pPr>
      <w:r w:rsidRPr="00020B36">
        <w:rPr>
          <w:noProof/>
          <w:color w:val="000000"/>
        </w:rPr>
        <w:drawing>
          <wp:inline distT="0" distB="0" distL="0" distR="0" wp14:anchorId="767FCA5F" wp14:editId="020B6821">
            <wp:extent cx="2864768" cy="242502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5533" cy="2442600"/>
                    </a:xfrm>
                    <a:prstGeom prst="rect">
                      <a:avLst/>
                    </a:prstGeom>
                  </pic:spPr>
                </pic:pic>
              </a:graphicData>
            </a:graphic>
          </wp:inline>
        </w:drawing>
      </w:r>
    </w:p>
    <w:p w14:paraId="1E79CCCD" w14:textId="67C27A39" w:rsidR="00981043" w:rsidRPr="00020B36" w:rsidRDefault="00981043" w:rsidP="00382C58">
      <w:pPr>
        <w:spacing w:after="0" w:line="360" w:lineRule="auto"/>
        <w:contextualSpacing/>
        <w:rPr>
          <w:color w:val="000000"/>
        </w:rPr>
      </w:pPr>
      <w:r w:rsidRPr="00020B36">
        <w:rPr>
          <w:color w:val="000000"/>
        </w:rPr>
        <w:t xml:space="preserve"> </w:t>
      </w:r>
    </w:p>
    <w:p w14:paraId="5E54E35C" w14:textId="27637907" w:rsidR="00F11FD5" w:rsidRPr="00020B36" w:rsidRDefault="00F11FD5" w:rsidP="00382C58">
      <w:pPr>
        <w:spacing w:after="0" w:line="360" w:lineRule="auto"/>
        <w:contextualSpacing/>
        <w:rPr>
          <w:rFonts w:eastAsia="Calibri" w:cs="Times New Roman"/>
          <w:color w:val="auto"/>
          <w:lang w:eastAsia="en-US"/>
        </w:rPr>
      </w:pPr>
      <w:r w:rsidRPr="00020B36">
        <w:rPr>
          <w:rFonts w:eastAsia="Calibri" w:cs="Times New Roman"/>
          <w:color w:val="auto"/>
          <w:lang w:eastAsia="en-US"/>
        </w:rPr>
        <w:t>Conforme a lo anterior, se logra vislumbrar que la pretensión de la persona Recurrente es obtener</w:t>
      </w:r>
      <w:r w:rsidR="00981043" w:rsidRPr="00020B36">
        <w:rPr>
          <w:rFonts w:eastAsia="Calibri" w:cs="Times New Roman"/>
          <w:color w:val="auto"/>
          <w:lang w:eastAsia="en-US"/>
        </w:rPr>
        <w:t xml:space="preserve"> los documentos que den cuenta de los viáticos y vales de gasolina que se usaron para acudir a la Mesa Constructora de la Paz con perspectiva de género, que se llevó a cabo el Municipio de Texcalyacac el seis de febrero de dos mil veinticinco.</w:t>
      </w:r>
    </w:p>
    <w:p w14:paraId="79A316F6" w14:textId="77777777" w:rsidR="00F11FD5" w:rsidRPr="00020B36" w:rsidRDefault="00F11FD5" w:rsidP="00382C58">
      <w:pPr>
        <w:spacing w:after="0" w:line="360" w:lineRule="auto"/>
        <w:contextualSpacing/>
        <w:rPr>
          <w:rFonts w:eastAsia="Times New Roman" w:cs="Tahoma"/>
          <w:iCs/>
          <w:color w:val="auto"/>
          <w:lang w:eastAsia="es-ES"/>
        </w:rPr>
      </w:pPr>
    </w:p>
    <w:p w14:paraId="00B4D3B5" w14:textId="3AE3973A" w:rsidR="00F11FD5" w:rsidRPr="00020B36" w:rsidRDefault="00F11FD5" w:rsidP="00382C58">
      <w:pPr>
        <w:spacing w:after="0" w:line="360" w:lineRule="auto"/>
        <w:contextualSpacing/>
        <w:rPr>
          <w:rFonts w:eastAsia="Times New Roman" w:cs="Tahoma"/>
          <w:iCs/>
          <w:color w:val="auto"/>
          <w:lang w:eastAsia="es-ES"/>
        </w:rPr>
      </w:pPr>
      <w:r w:rsidRPr="00020B36">
        <w:rPr>
          <w:rFonts w:eastAsia="Times New Roman" w:cs="Tahoma"/>
          <w:iCs/>
          <w:color w:val="auto"/>
          <w:lang w:eastAsia="es-ES"/>
        </w:rPr>
        <w:t xml:space="preserve">Establecida dicha circunstancia, se procede analizar la respuesta entregada, para lo cual, es de señalar que de las constancias que obran en el expediente, se logra vislumbrar que el Sujeto Obligado turno la solicitud de información a la </w:t>
      </w:r>
      <w:r w:rsidR="00AA63EA" w:rsidRPr="00020B36">
        <w:rPr>
          <w:rFonts w:eastAsia="Times New Roman" w:cs="Tahoma"/>
          <w:iCs/>
          <w:color w:val="auto"/>
          <w:lang w:eastAsia="es-ES"/>
        </w:rPr>
        <w:t>Unidad de Tesorería y Administración</w:t>
      </w:r>
      <w:r w:rsidRPr="00020B36">
        <w:rPr>
          <w:rFonts w:eastAsia="Times New Roman" w:cs="Tahoma"/>
          <w:iCs/>
          <w:color w:val="auto"/>
          <w:lang w:eastAsia="es-ES"/>
        </w:rPr>
        <w:t xml:space="preserve">; así, resulta necesario hacer referencia al procedimiento de búsqueda que deben seguir los Sujetos Obligados para localizar la información, el cual se encuentra previsto en el artículo </w:t>
      </w:r>
      <w:r w:rsidRPr="00020B36">
        <w:rPr>
          <w:rFonts w:eastAsia="Times New Roman" w:cs="Tahoma"/>
          <w:iCs/>
          <w:color w:val="auto"/>
          <w:lang w:eastAsia="es-ES"/>
        </w:rPr>
        <w:lastRenderedPageBreak/>
        <w:t>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342A6F71" w14:textId="77777777" w:rsidR="00F11FD5" w:rsidRPr="00020B36" w:rsidRDefault="00F11FD5" w:rsidP="00382C58">
      <w:pPr>
        <w:spacing w:after="0" w:line="360" w:lineRule="auto"/>
        <w:contextualSpacing/>
        <w:rPr>
          <w:rFonts w:eastAsia="Times New Roman" w:cs="Tahoma"/>
          <w:iCs/>
          <w:color w:val="auto"/>
          <w:lang w:eastAsia="es-ES"/>
        </w:rPr>
      </w:pPr>
    </w:p>
    <w:p w14:paraId="5B020DBA" w14:textId="6AE41FDA" w:rsidR="00F11FD5" w:rsidRPr="00020B36" w:rsidRDefault="00F11FD5" w:rsidP="00382C58">
      <w:pPr>
        <w:spacing w:after="0" w:line="360" w:lineRule="auto"/>
        <w:contextualSpacing/>
        <w:rPr>
          <w:rFonts w:eastAsia="Times New Roman" w:cs="Tahoma"/>
          <w:bCs/>
          <w:iCs/>
          <w:color w:val="auto"/>
          <w:lang w:eastAsia="es-ES"/>
        </w:rPr>
      </w:pPr>
      <w:r w:rsidRPr="00020B36">
        <w:rPr>
          <w:rFonts w:eastAsia="Times New Roman" w:cs="Tahoma"/>
          <w:iCs/>
          <w:color w:val="auto"/>
          <w:lang w:eastAsia="es-ES"/>
        </w:rPr>
        <w:t xml:space="preserve">Conforme a lo expuesto en párrafos anteriores, </w:t>
      </w:r>
      <w:r w:rsidRPr="00020B36">
        <w:rPr>
          <w:rFonts w:eastAsia="Times New Roman" w:cs="Tahoma"/>
          <w:bCs/>
          <w:iCs/>
          <w:color w:val="auto"/>
          <w:lang w:eastAsia="es-ES"/>
        </w:rPr>
        <w:t>se advierte que el Sujeto Obligado,</w:t>
      </w:r>
      <w:r w:rsidR="00AA63EA" w:rsidRPr="00020B36">
        <w:rPr>
          <w:rFonts w:eastAsia="Times New Roman" w:cs="Tahoma"/>
          <w:bCs/>
          <w:iCs/>
          <w:color w:val="auto"/>
          <w:lang w:eastAsia="es-ES"/>
        </w:rPr>
        <w:t xml:space="preserve"> </w:t>
      </w:r>
      <w:r w:rsidRPr="00020B36">
        <w:rPr>
          <w:rFonts w:eastAsia="Times New Roman" w:cs="Tahoma"/>
          <w:bCs/>
          <w:iCs/>
          <w:color w:val="auto"/>
          <w:lang w:eastAsia="es-ES"/>
        </w:rPr>
        <w:t xml:space="preserve">cumplió con el procedimiento de búsqueda previsto en el artículo 162 de la Ley de Transparencia y Acceso a la Información Pública del Estado de México y Municipios, toda vez que no turnó la solicitud de información </w:t>
      </w:r>
      <w:r w:rsidR="00AA63EA" w:rsidRPr="00020B36">
        <w:rPr>
          <w:rFonts w:eastAsia="Times New Roman" w:cs="Tahoma"/>
          <w:bCs/>
          <w:iCs/>
          <w:color w:val="auto"/>
          <w:lang w:eastAsia="es-ES"/>
        </w:rPr>
        <w:t>al área competente,</w:t>
      </w:r>
      <w:r w:rsidRPr="00020B36">
        <w:rPr>
          <w:rFonts w:eastAsia="Times New Roman" w:cs="Tahoma"/>
          <w:bCs/>
          <w:iCs/>
          <w:color w:val="auto"/>
          <w:lang w:eastAsia="es-ES"/>
        </w:rPr>
        <w:t xml:space="preserve"> encargada de </w:t>
      </w:r>
      <w:r w:rsidR="00AA63EA" w:rsidRPr="00020B36">
        <w:rPr>
          <w:rFonts w:eastAsia="Times New Roman" w:cs="Tahoma"/>
          <w:bCs/>
          <w:iCs/>
          <w:color w:val="auto"/>
          <w:lang w:eastAsia="es-ES"/>
        </w:rPr>
        <w:t xml:space="preserve">realizar las erogaciones y proporcionar y controlar el suministro de combustible de los vehículos asignados a las áreas administrativas del Municipio de Atizapán. </w:t>
      </w:r>
    </w:p>
    <w:p w14:paraId="78D58F71" w14:textId="77777777" w:rsidR="00F11FD5" w:rsidRPr="00020B36" w:rsidRDefault="00F11FD5" w:rsidP="00382C58">
      <w:pPr>
        <w:spacing w:after="0" w:line="360" w:lineRule="auto"/>
        <w:contextualSpacing/>
        <w:rPr>
          <w:rFonts w:eastAsia="Times New Roman" w:cs="Tahoma"/>
          <w:iCs/>
          <w:color w:val="auto"/>
          <w:lang w:eastAsia="es-ES"/>
        </w:rPr>
      </w:pPr>
    </w:p>
    <w:p w14:paraId="216C1B2C" w14:textId="7909CED9" w:rsidR="00F11FD5" w:rsidRPr="00020B36" w:rsidRDefault="00AA63EA" w:rsidP="00382C58">
      <w:pPr>
        <w:spacing w:after="0" w:line="360" w:lineRule="auto"/>
        <w:contextualSpacing/>
        <w:rPr>
          <w:rFonts w:eastAsia="Times New Roman" w:cs="Tahoma"/>
          <w:iCs/>
          <w:color w:val="auto"/>
          <w:lang w:eastAsia="es-ES"/>
        </w:rPr>
      </w:pPr>
      <w:r w:rsidRPr="00020B36">
        <w:rPr>
          <w:rFonts w:eastAsia="Times New Roman" w:cs="Tahoma"/>
          <w:iCs/>
          <w:color w:val="auto"/>
          <w:lang w:eastAsia="es-ES"/>
        </w:rPr>
        <w:t>Al respecto</w:t>
      </w:r>
      <w:r w:rsidR="00F11FD5" w:rsidRPr="00020B36">
        <w:rPr>
          <w:rFonts w:eastAsia="Times New Roman" w:cs="Tahoma"/>
          <w:iCs/>
          <w:color w:val="auto"/>
          <w:lang w:eastAsia="es-ES"/>
        </w:rPr>
        <w:t xml:space="preserve">, </w:t>
      </w:r>
      <w:r w:rsidRPr="00020B36">
        <w:rPr>
          <w:rFonts w:eastAsia="Times New Roman" w:cs="Tahoma"/>
          <w:iCs/>
          <w:color w:val="auto"/>
          <w:lang w:eastAsia="es-ES"/>
        </w:rPr>
        <w:t>en respuesta la Unidad de Tesorería y Administración</w:t>
      </w:r>
      <w:r w:rsidR="00F11FD5" w:rsidRPr="00020B36">
        <w:rPr>
          <w:rFonts w:eastAsia="Times New Roman" w:cs="Tahoma"/>
          <w:iCs/>
          <w:color w:val="auto"/>
          <w:lang w:eastAsia="es-ES"/>
        </w:rPr>
        <w:t xml:space="preserve"> </w:t>
      </w:r>
      <w:r w:rsidRPr="00020B36">
        <w:rPr>
          <w:rFonts w:eastAsia="Times New Roman" w:cs="Tahoma"/>
          <w:iCs/>
          <w:color w:val="auto"/>
          <w:lang w:eastAsia="es-ES"/>
        </w:rPr>
        <w:t xml:space="preserve">precisó que ara asistir a la “Mesa constructora de La Paz con  perspectiva de género” en el Municipio de Texcalyacac, se </w:t>
      </w:r>
      <w:r w:rsidR="00A918E7" w:rsidRPr="00020B36">
        <w:rPr>
          <w:rFonts w:eastAsia="Times New Roman" w:cs="Tahoma"/>
          <w:iCs/>
          <w:color w:val="auto"/>
          <w:lang w:eastAsia="es-ES"/>
        </w:rPr>
        <w:t>le asignó a las servidoras públicas un vehículo propiedad del Municipio y que no se les proporcionó ningún recurso, motivo por el cual no se contaba con la información relativa a los viáticos,</w:t>
      </w:r>
      <w:r w:rsidR="00F11FD5" w:rsidRPr="00020B36">
        <w:rPr>
          <w:rFonts w:eastAsia="Times New Roman" w:cs="Tahoma"/>
          <w:iCs/>
          <w:color w:val="auto"/>
          <w:lang w:eastAsia="es-ES"/>
        </w:rPr>
        <w:t xml:space="preserve"> tal como muestra a continuación: </w:t>
      </w:r>
    </w:p>
    <w:p w14:paraId="4B5B1D02" w14:textId="322450C7" w:rsidR="00F11FD5" w:rsidRPr="00020B36" w:rsidRDefault="00F11FD5" w:rsidP="00382C58">
      <w:pPr>
        <w:spacing w:after="0" w:line="360" w:lineRule="auto"/>
        <w:contextualSpacing/>
        <w:rPr>
          <w:rFonts w:eastAsia="Times New Roman" w:cs="Tahoma"/>
          <w:noProof/>
          <w:color w:val="auto"/>
        </w:rPr>
      </w:pPr>
    </w:p>
    <w:p w14:paraId="363BBF0E" w14:textId="49BA4A05" w:rsidR="00A918E7" w:rsidRPr="00020B36" w:rsidRDefault="00A918E7" w:rsidP="00382C58">
      <w:pPr>
        <w:spacing w:after="0" w:line="360" w:lineRule="auto"/>
        <w:contextualSpacing/>
        <w:jc w:val="center"/>
        <w:rPr>
          <w:rFonts w:eastAsia="Times New Roman" w:cs="Tahoma"/>
          <w:iCs/>
          <w:color w:val="auto"/>
          <w:lang w:eastAsia="es-ES"/>
        </w:rPr>
      </w:pPr>
      <w:r w:rsidRPr="00020B36">
        <w:rPr>
          <w:rFonts w:eastAsia="Times New Roman" w:cs="Tahoma"/>
          <w:iCs/>
          <w:noProof/>
          <w:color w:val="auto"/>
        </w:rPr>
        <w:drawing>
          <wp:inline distT="0" distB="0" distL="0" distR="0" wp14:anchorId="2C51C7ED" wp14:editId="586F87D1">
            <wp:extent cx="5038762" cy="866781"/>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8762" cy="866781"/>
                    </a:xfrm>
                    <a:prstGeom prst="rect">
                      <a:avLst/>
                    </a:prstGeom>
                  </pic:spPr>
                </pic:pic>
              </a:graphicData>
            </a:graphic>
          </wp:inline>
        </w:drawing>
      </w:r>
    </w:p>
    <w:p w14:paraId="0AB68DA4" w14:textId="77777777" w:rsidR="00A918E7" w:rsidRPr="00020B36" w:rsidRDefault="00A918E7" w:rsidP="00382C58">
      <w:pPr>
        <w:spacing w:after="0" w:line="360" w:lineRule="auto"/>
        <w:contextualSpacing/>
        <w:jc w:val="center"/>
        <w:rPr>
          <w:rFonts w:eastAsia="Times New Roman" w:cs="Tahoma"/>
          <w:iCs/>
          <w:color w:val="auto"/>
          <w:lang w:eastAsia="es-ES"/>
        </w:rPr>
      </w:pPr>
    </w:p>
    <w:p w14:paraId="6F897753" w14:textId="4D1CD245" w:rsidR="00382C58" w:rsidRPr="00020B36" w:rsidRDefault="00F11FD5" w:rsidP="00382C58">
      <w:pPr>
        <w:spacing w:line="360" w:lineRule="auto"/>
        <w:contextualSpacing/>
        <w:rPr>
          <w:rFonts w:eastAsia="Calibri" w:cs="Times New Roman"/>
          <w:bCs/>
          <w:color w:val="auto"/>
          <w:lang w:val="es-ES" w:eastAsia="es-ES"/>
        </w:rPr>
      </w:pPr>
      <w:r w:rsidRPr="00020B36">
        <w:rPr>
          <w:rFonts w:eastAsia="Times New Roman" w:cs="Tahoma"/>
          <w:iCs/>
          <w:color w:val="auto"/>
          <w:lang w:eastAsia="es-ES"/>
        </w:rPr>
        <w:lastRenderedPageBreak/>
        <w:t xml:space="preserve">Conforme a lo anterior, se logra vislumbrar que el Sujeto Obligado señaló </w:t>
      </w:r>
      <w:r w:rsidR="00A918E7" w:rsidRPr="00020B36">
        <w:rPr>
          <w:rFonts w:eastAsia="Times New Roman" w:cs="Tahoma"/>
          <w:iCs/>
          <w:color w:val="auto"/>
          <w:lang w:eastAsia="es-ES"/>
        </w:rPr>
        <w:t>que no se le proporcionaron ningún recurso a las servidoras públicas, motivo p</w:t>
      </w:r>
      <w:r w:rsidR="000962B9" w:rsidRPr="00020B36">
        <w:rPr>
          <w:rFonts w:eastAsia="Times New Roman" w:cs="Tahoma"/>
          <w:iCs/>
          <w:color w:val="auto"/>
          <w:lang w:eastAsia="es-ES"/>
        </w:rPr>
        <w:t>or e</w:t>
      </w:r>
      <w:r w:rsidR="00A918E7" w:rsidRPr="00020B36">
        <w:rPr>
          <w:rFonts w:eastAsia="Times New Roman" w:cs="Tahoma"/>
          <w:iCs/>
          <w:color w:val="auto"/>
          <w:lang w:eastAsia="es-ES"/>
        </w:rPr>
        <w:t>l cual no se generó la información relativa a los viáticos</w:t>
      </w:r>
      <w:r w:rsidRPr="00020B36">
        <w:rPr>
          <w:rFonts w:eastAsia="Times New Roman" w:cs="Tahoma"/>
          <w:iCs/>
          <w:color w:val="auto"/>
          <w:lang w:eastAsia="es-ES"/>
        </w:rPr>
        <w:t>;</w:t>
      </w:r>
      <w:r w:rsidR="00382C58" w:rsidRPr="00020B36">
        <w:rPr>
          <w:color w:val="000000"/>
        </w:rPr>
        <w:t xml:space="preserve"> </w:t>
      </w:r>
      <w:r w:rsidR="00382C58" w:rsidRPr="00020B36">
        <w:rPr>
          <w:color w:val="auto"/>
        </w:rPr>
        <w:t>s</w:t>
      </w:r>
      <w:proofErr w:type="spellStart"/>
      <w:r w:rsidR="00382C58" w:rsidRPr="00020B36">
        <w:rPr>
          <w:rFonts w:eastAsia="Calibri" w:cs="Times New Roman"/>
          <w:bCs/>
          <w:color w:val="auto"/>
          <w:lang w:val="es-ES" w:eastAsia="es-ES"/>
        </w:rPr>
        <w:t>obre</w:t>
      </w:r>
      <w:proofErr w:type="spellEnd"/>
      <w:r w:rsidR="00382C58" w:rsidRPr="00020B36">
        <w:rPr>
          <w:rFonts w:eastAsia="Calibri" w:cs="Times New Roman"/>
          <w:bCs/>
          <w:color w:val="auto"/>
          <w:lang w:val="es-ES" w:eastAsia="es-ES"/>
        </w:rPr>
        <w:t xml:space="preserve"> el tema, el Criterio orientador SO/014/2017, emitido por entonces el Instituto Nacional de Transparencia, Acceso a la Información Pública y Protección de Datos Personales en el Estado de México y Municipios, vigente a la fecha de presentación de la solicitud, precisa que la inexistencia de la información, es una cuestión de hecho que se le atribuye a la misma, cuando ésta no se encuentra en los archivos del sujeto obligado. </w:t>
      </w:r>
    </w:p>
    <w:p w14:paraId="07B3A404" w14:textId="77777777" w:rsidR="00382C58" w:rsidRPr="00020B36" w:rsidRDefault="00382C58" w:rsidP="00382C58">
      <w:pPr>
        <w:spacing w:line="360" w:lineRule="auto"/>
        <w:contextualSpacing/>
        <w:rPr>
          <w:rFonts w:eastAsia="Calibri" w:cs="Times New Roman"/>
          <w:bCs/>
          <w:color w:val="auto"/>
          <w:lang w:val="es-ES" w:eastAsia="es-ES"/>
        </w:rPr>
      </w:pPr>
    </w:p>
    <w:p w14:paraId="11A7E07C" w14:textId="77777777" w:rsidR="00382C58" w:rsidRPr="00020B36" w:rsidRDefault="00382C58" w:rsidP="00382C58">
      <w:pPr>
        <w:spacing w:line="360" w:lineRule="auto"/>
        <w:contextualSpacing/>
        <w:rPr>
          <w:rFonts w:eastAsia="Calibri" w:cs="Times New Roman"/>
          <w:bCs/>
          <w:color w:val="auto"/>
          <w:lang w:val="es-ES" w:eastAsia="es-ES"/>
        </w:rPr>
      </w:pPr>
      <w:r w:rsidRPr="00020B36">
        <w:rPr>
          <w:rFonts w:eastAsia="Calibri" w:cs="Times New Roman"/>
          <w:bCs/>
          <w:color w:val="auto"/>
          <w:lang w:val="es-ES" w:eastAsia="es-ES"/>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705B9CE8" w14:textId="77777777" w:rsidR="00382C58" w:rsidRPr="00020B36" w:rsidRDefault="00382C58" w:rsidP="00382C58">
      <w:pPr>
        <w:spacing w:after="0" w:line="360" w:lineRule="auto"/>
        <w:rPr>
          <w:rFonts w:eastAsia="Calibri" w:cs="Times New Roman"/>
          <w:bCs/>
          <w:color w:val="auto"/>
          <w:lang w:val="es-ES" w:eastAsia="es-ES"/>
        </w:rPr>
      </w:pPr>
    </w:p>
    <w:p w14:paraId="059F6267" w14:textId="77777777" w:rsidR="00382C58" w:rsidRPr="00020B36" w:rsidRDefault="00382C58" w:rsidP="00382C58">
      <w:pPr>
        <w:spacing w:after="0" w:line="360" w:lineRule="auto"/>
        <w:rPr>
          <w:rFonts w:eastAsia="Calibri" w:cs="Times New Roman"/>
          <w:bCs/>
          <w:color w:val="auto"/>
          <w:lang w:val="es-ES" w:eastAsia="es-ES"/>
        </w:rPr>
      </w:pPr>
      <w:r w:rsidRPr="00020B36">
        <w:rPr>
          <w:rFonts w:eastAsia="Calibri" w:cs="Times New Roman"/>
          <w:bCs/>
          <w:color w:val="auto"/>
          <w:lang w:val="es-ES" w:eastAsia="es-ES"/>
        </w:rPr>
        <w:t xml:space="preserve">Así, es posible concluir que la </w:t>
      </w:r>
      <w:r w:rsidRPr="00020B36">
        <w:rPr>
          <w:rFonts w:eastAsia="Calibri" w:cs="Times New Roman"/>
          <w:b/>
          <w:bCs/>
          <w:color w:val="auto"/>
          <w:lang w:val="es-ES" w:eastAsia="es-ES"/>
        </w:rPr>
        <w:t>inexistencia</w:t>
      </w:r>
      <w:r w:rsidRPr="00020B36">
        <w:rPr>
          <w:rFonts w:eastAsia="Calibri" w:cs="Times New Roman"/>
          <w:bCs/>
          <w:color w:val="auto"/>
          <w:lang w:val="es-ES" w:eastAsia="es-ES"/>
        </w:rPr>
        <w:t xml:space="preserve"> presupone la competencia del sujeto obligado para conocer de la información, pero por alguna circunstancia, la documentación solicitada no obra en sus archivos; para tal situación, no basta con que los sujetos obligados señalen dicha circunstancia, sino que también debe de señalar las razones por las cuales no cuentan con lo peticionado, es decir, las circunstancias que dan lugar a la inexistencia.</w:t>
      </w:r>
    </w:p>
    <w:p w14:paraId="4E8EAF1B" w14:textId="77777777" w:rsidR="00382C58" w:rsidRPr="00020B36" w:rsidRDefault="00382C58" w:rsidP="00382C58">
      <w:pPr>
        <w:spacing w:after="0" w:line="360" w:lineRule="auto"/>
        <w:rPr>
          <w:rFonts w:eastAsia="Calibri" w:cs="Times New Roman"/>
          <w:bCs/>
          <w:color w:val="auto"/>
          <w:lang w:val="es-ES" w:eastAsia="es-ES"/>
        </w:rPr>
      </w:pPr>
    </w:p>
    <w:p w14:paraId="706F2EC3" w14:textId="22E911DA" w:rsidR="00382C58" w:rsidRPr="00020B36" w:rsidRDefault="00382C58" w:rsidP="00382C58">
      <w:pPr>
        <w:spacing w:after="0" w:line="360" w:lineRule="auto"/>
        <w:rPr>
          <w:rFonts w:eastAsia="Calibri" w:cs="Times New Roman"/>
          <w:bCs/>
          <w:color w:val="auto"/>
          <w:lang w:val="es-ES" w:eastAsia="es-ES"/>
        </w:rPr>
      </w:pPr>
      <w:r w:rsidRPr="00020B36">
        <w:rPr>
          <w:rFonts w:eastAsia="Calibri" w:cs="Times New Roman"/>
          <w:bCs/>
          <w:color w:val="auto"/>
          <w:lang w:val="es-ES" w:eastAsia="es-ES"/>
        </w:rPr>
        <w:t xml:space="preserve">En ese contexto, el Sujeto Obligado precisó que no había entregado viáticos para la actividad  referida; situación que se robustece pues este Instituto realizó una búsqueda en sus cuentas oficiales de redes sociales, así como, en el Portal de Información Pública de Oficio Mexiquense y no se localizó indicio de la existencia de entrega de recursos, como viáticos;  al respecto, se trae a colación, el artículo 19, segundo párrafo, de la Ley de Transparencia y Acceso a la Información Pública del Estado de México y Municipios, que establece que en el </w:t>
      </w:r>
      <w:r w:rsidRPr="00020B36">
        <w:rPr>
          <w:rFonts w:eastAsia="Calibri" w:cs="Times New Roman"/>
          <w:bCs/>
          <w:color w:val="auto"/>
          <w:lang w:val="es-ES" w:eastAsia="es-ES"/>
        </w:rPr>
        <w:lastRenderedPageBreak/>
        <w:t>caso de que ciertas facultades, competencias o funciones no se hayan ejercido, se debe motivar la respuesta en función de las causas que motiven tal circunstancia.</w:t>
      </w:r>
    </w:p>
    <w:p w14:paraId="7461DCC2" w14:textId="77777777" w:rsidR="00382C58" w:rsidRPr="00020B36" w:rsidRDefault="00382C58" w:rsidP="00382C58">
      <w:pPr>
        <w:spacing w:after="0" w:line="360" w:lineRule="auto"/>
        <w:rPr>
          <w:rFonts w:eastAsia="Calibri" w:cs="Times New Roman"/>
          <w:bCs/>
          <w:color w:val="auto"/>
          <w:lang w:val="es-ES" w:eastAsia="es-ES"/>
        </w:rPr>
      </w:pPr>
    </w:p>
    <w:p w14:paraId="695EEA4C" w14:textId="77777777" w:rsidR="00382C58" w:rsidRPr="00020B36" w:rsidRDefault="00382C58" w:rsidP="00382C58">
      <w:pPr>
        <w:spacing w:after="0" w:line="360" w:lineRule="auto"/>
        <w:rPr>
          <w:rFonts w:eastAsia="Calibri" w:cs="Times New Roman"/>
          <w:bCs/>
          <w:color w:val="auto"/>
          <w:lang w:val="es-ES" w:eastAsia="es-ES"/>
        </w:rPr>
      </w:pPr>
      <w:r w:rsidRPr="00020B36">
        <w:rPr>
          <w:rFonts w:eastAsia="Calibri" w:cs="Times New Roman"/>
          <w:bCs/>
          <w:color w:val="auto"/>
          <w:lang w:val="es-ES" w:eastAsia="es-ES"/>
        </w:rPr>
        <w:t>De la misma manera, el Criterio Orientador con clave de registro SO/007/2017, de la Segunda Época, emitido por el entonces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794F4E22" w14:textId="77777777" w:rsidR="00382C58" w:rsidRPr="00020B36" w:rsidRDefault="00382C58" w:rsidP="00382C58">
      <w:pPr>
        <w:spacing w:after="0" w:line="360" w:lineRule="auto"/>
        <w:rPr>
          <w:rFonts w:eastAsia="Calibri" w:cs="Times New Roman"/>
          <w:bCs/>
          <w:color w:val="auto"/>
          <w:lang w:val="es-ES" w:eastAsia="es-ES"/>
        </w:rPr>
      </w:pPr>
    </w:p>
    <w:p w14:paraId="72755719" w14:textId="1499CFF4" w:rsidR="00382C58" w:rsidRPr="00020B36" w:rsidRDefault="00382C58" w:rsidP="00382C58">
      <w:pPr>
        <w:spacing w:after="0" w:line="360" w:lineRule="auto"/>
        <w:rPr>
          <w:color w:val="000000"/>
        </w:rPr>
      </w:pPr>
      <w:r w:rsidRPr="00020B36">
        <w:rPr>
          <w:rFonts w:eastAsia="Calibri" w:cs="Times New Roman"/>
          <w:bCs/>
          <w:color w:val="auto"/>
          <w:lang w:val="es-ES" w:eastAsia="es-ES"/>
        </w:rPr>
        <w:t>Al respecto, dicho criterio aplica al caso en concreto, ya que, no se localizó algún indicio de que se hayan entregado viáticos para la actividad referida, por lo cual, se considera que señaló las razones por las cuales no contaba con lo requerido y cumplió con el segundo párrafo, del artículo 19 de la Ley de Transparencia y Acceso a la Información Pública del Estado de México y Municipios.</w:t>
      </w:r>
    </w:p>
    <w:p w14:paraId="1A9B57E4" w14:textId="77777777" w:rsidR="00382C58" w:rsidRPr="00020B36" w:rsidRDefault="00382C58" w:rsidP="00382C58">
      <w:pPr>
        <w:spacing w:line="360" w:lineRule="auto"/>
        <w:contextualSpacing/>
        <w:rPr>
          <w:color w:val="000000"/>
        </w:rPr>
      </w:pPr>
    </w:p>
    <w:p w14:paraId="0174AE25" w14:textId="4E540D9F" w:rsidR="00F11FD5" w:rsidRPr="00020B36" w:rsidRDefault="00382C58" w:rsidP="00382C58">
      <w:pPr>
        <w:spacing w:after="0" w:line="360" w:lineRule="auto"/>
        <w:contextualSpacing/>
        <w:rPr>
          <w:rFonts w:eastAsia="Times New Roman" w:cs="Tahoma"/>
          <w:iCs/>
          <w:color w:val="auto"/>
          <w:lang w:eastAsia="es-ES"/>
        </w:rPr>
      </w:pPr>
      <w:r w:rsidRPr="00020B36">
        <w:rPr>
          <w:rFonts w:eastAsia="Times New Roman" w:cs="Tahoma"/>
          <w:iCs/>
          <w:color w:val="auto"/>
          <w:lang w:eastAsia="es-ES"/>
        </w:rPr>
        <w:t>Por otra parte</w:t>
      </w:r>
      <w:r w:rsidR="00A918E7" w:rsidRPr="00020B36">
        <w:rPr>
          <w:rFonts w:eastAsia="Times New Roman" w:cs="Tahoma"/>
          <w:iCs/>
          <w:color w:val="auto"/>
          <w:lang w:eastAsia="es-ES"/>
        </w:rPr>
        <w:t>,</w:t>
      </w:r>
      <w:r w:rsidRPr="00020B36">
        <w:rPr>
          <w:rFonts w:eastAsia="Times New Roman" w:cs="Tahoma"/>
          <w:iCs/>
          <w:color w:val="auto"/>
          <w:lang w:eastAsia="es-ES"/>
        </w:rPr>
        <w:t xml:space="preserve"> el área competente</w:t>
      </w:r>
      <w:r w:rsidR="00A918E7" w:rsidRPr="00020B36">
        <w:rPr>
          <w:rFonts w:eastAsia="Times New Roman" w:cs="Tahoma"/>
          <w:iCs/>
          <w:color w:val="auto"/>
          <w:lang w:eastAsia="es-ES"/>
        </w:rPr>
        <w:t xml:space="preserve"> precisó que se les asignó un vehículo propiedad del Municipio</w:t>
      </w:r>
      <w:r w:rsidR="00F11FD5" w:rsidRPr="00020B36">
        <w:rPr>
          <w:rFonts w:eastAsia="Times New Roman" w:cs="Tahoma"/>
          <w:iCs/>
          <w:color w:val="auto"/>
          <w:lang w:eastAsia="es-ES"/>
        </w:rPr>
        <w:t xml:space="preserve">, </w:t>
      </w:r>
      <w:r w:rsidR="00A918E7" w:rsidRPr="00020B36">
        <w:rPr>
          <w:rFonts w:eastAsia="Times New Roman" w:cs="Tahoma"/>
          <w:iCs/>
          <w:color w:val="auto"/>
          <w:lang w:eastAsia="es-ES"/>
        </w:rPr>
        <w:t xml:space="preserve">sin embargo, </w:t>
      </w:r>
      <w:r w:rsidR="00F11FD5" w:rsidRPr="00020B36">
        <w:rPr>
          <w:rFonts w:eastAsia="Times New Roman" w:cs="Tahoma"/>
          <w:iCs/>
          <w:color w:val="auto"/>
          <w:lang w:eastAsia="es-ES"/>
        </w:rPr>
        <w:t xml:space="preserve">omitió pronunciarse </w:t>
      </w:r>
      <w:r w:rsidR="000962B9" w:rsidRPr="00020B36">
        <w:rPr>
          <w:rFonts w:eastAsia="Times New Roman" w:cs="Tahoma"/>
          <w:iCs/>
          <w:color w:val="auto"/>
          <w:lang w:eastAsia="es-ES"/>
        </w:rPr>
        <w:t>respecto a los vales de gasolina proporcionada para su traslado a dicho evento</w:t>
      </w:r>
      <w:r w:rsidR="00F11FD5" w:rsidRPr="00020B36">
        <w:rPr>
          <w:rFonts w:eastAsia="Times New Roman" w:cs="Tahoma"/>
          <w:iCs/>
          <w:color w:val="auto"/>
          <w:lang w:eastAsia="es-ES"/>
        </w:rPr>
        <w:t xml:space="preserve">,  es decir no entregó la información completa; </w:t>
      </w:r>
      <w:r w:rsidR="00F11FD5" w:rsidRPr="00020B36">
        <w:rPr>
          <w:rFonts w:eastAsia="Times New Roman" w:cs="Tahoma"/>
          <w:bCs/>
          <w:iCs/>
          <w:color w:val="auto"/>
          <w:lang w:eastAsia="es-ES"/>
        </w:rPr>
        <w:t>sobre el tema</w:t>
      </w:r>
      <w:r w:rsidR="00F11FD5" w:rsidRPr="00020B36">
        <w:rPr>
          <w:rFonts w:eastAsia="Times New Roman" w:cs="Tahoma"/>
          <w:iCs/>
          <w:color w:val="auto"/>
          <w:lang w:eastAsia="es-ES"/>
        </w:rPr>
        <w:t>, el artículo 1.8, fracción XIII, del Código Administrativo del Estado de México, establece que para que tenga validez, todo acto administrativo deberá resolver todos los puntos propuestos por los interesados.</w:t>
      </w:r>
    </w:p>
    <w:p w14:paraId="744981CD" w14:textId="77777777" w:rsidR="00F11FD5" w:rsidRPr="00020B36" w:rsidRDefault="00F11FD5" w:rsidP="00382C58">
      <w:pPr>
        <w:spacing w:after="0" w:line="360" w:lineRule="auto"/>
        <w:contextualSpacing/>
        <w:rPr>
          <w:rFonts w:eastAsia="Times New Roman" w:cs="Tahoma"/>
          <w:iCs/>
          <w:color w:val="auto"/>
          <w:lang w:eastAsia="es-ES"/>
        </w:rPr>
      </w:pPr>
    </w:p>
    <w:p w14:paraId="430596CD" w14:textId="77777777" w:rsidR="00F11FD5" w:rsidRPr="00020B36" w:rsidRDefault="00F11FD5" w:rsidP="00382C58">
      <w:pPr>
        <w:spacing w:after="0" w:line="360" w:lineRule="auto"/>
        <w:contextualSpacing/>
        <w:rPr>
          <w:rFonts w:eastAsia="Times New Roman" w:cs="Tahoma"/>
          <w:iCs/>
          <w:color w:val="auto"/>
          <w:lang w:eastAsia="es-ES"/>
        </w:rPr>
      </w:pPr>
      <w:r w:rsidRPr="00020B36">
        <w:rPr>
          <w:rFonts w:eastAsia="Times New Roman" w:cs="Tahoma"/>
          <w:iCs/>
          <w:color w:val="auto"/>
          <w:lang w:eastAsia="es-ES"/>
        </w:rPr>
        <w:t xml:space="preserve">Situación que se robustece, con el </w:t>
      </w:r>
      <w:r w:rsidRPr="00020B36">
        <w:rPr>
          <w:rFonts w:eastAsia="Times New Roman" w:cs="Tahoma"/>
          <w:bCs/>
          <w:iCs/>
          <w:color w:val="auto"/>
          <w:lang w:val="es-ES" w:eastAsia="es-ES"/>
        </w:rPr>
        <w:t>el Criterio de Interpretación</w:t>
      </w:r>
      <w:r w:rsidRPr="00020B36">
        <w:rPr>
          <w:rFonts w:eastAsia="Times New Roman" w:cs="Tahoma"/>
          <w:bCs/>
          <w:iCs/>
          <w:color w:val="auto"/>
          <w:lang w:val="x-none" w:eastAsia="es-ES"/>
        </w:rPr>
        <w:t xml:space="preserve">, con clave de control </w:t>
      </w:r>
      <w:r w:rsidRPr="00020B36">
        <w:rPr>
          <w:rFonts w:eastAsia="Times New Roman" w:cs="Tahoma"/>
          <w:bCs/>
          <w:iCs/>
          <w:color w:val="auto"/>
          <w:lang w:val="es-ES" w:eastAsia="es-ES"/>
        </w:rPr>
        <w:t xml:space="preserve">SO/002/2017, de la Segunda Época, emitido por el Instituto Nacional de Transparencia, Acceso a la Información y Protección de Datos Personales, que </w:t>
      </w:r>
      <w:r w:rsidRPr="00020B36">
        <w:rPr>
          <w:rFonts w:eastAsia="Times New Roman" w:cs="Tahoma"/>
          <w:iCs/>
          <w:color w:val="auto"/>
          <w:lang w:eastAsia="es-ES"/>
        </w:rPr>
        <w:t xml:space="preserve">establece que todo acto </w:t>
      </w:r>
      <w:r w:rsidRPr="00020B36">
        <w:rPr>
          <w:rFonts w:eastAsia="Times New Roman" w:cs="Tahoma"/>
          <w:iCs/>
          <w:color w:val="auto"/>
          <w:lang w:eastAsia="es-ES"/>
        </w:rPr>
        <w:lastRenderedPageBreak/>
        <w:t xml:space="preserve">administrativo debe apegarse al </w:t>
      </w:r>
      <w:r w:rsidRPr="00020B36">
        <w:rPr>
          <w:rFonts w:eastAsia="Times New Roman" w:cs="Tahoma"/>
          <w:b/>
          <w:bCs/>
          <w:iCs/>
          <w:color w:val="auto"/>
          <w:lang w:eastAsia="es-ES"/>
        </w:rPr>
        <w:t>principio de exhaustividad</w:t>
      </w:r>
      <w:r w:rsidRPr="00020B36">
        <w:rPr>
          <w:rFonts w:eastAsia="Times New Roman" w:cs="Tahoma"/>
          <w:iCs/>
          <w:color w:val="auto"/>
          <w:lang w:eastAsia="es-ES"/>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9A5AB27" w14:textId="2B8B0BA8" w:rsidR="00F11FD5" w:rsidRPr="00020B36" w:rsidRDefault="00F11FD5" w:rsidP="00382C58">
      <w:pPr>
        <w:spacing w:after="0" w:line="360" w:lineRule="auto"/>
        <w:contextualSpacing/>
        <w:rPr>
          <w:rFonts w:eastAsia="Times New Roman" w:cs="Tahoma"/>
          <w:b/>
          <w:bCs/>
          <w:iCs/>
          <w:color w:val="auto"/>
          <w:lang w:eastAsia="es-ES"/>
        </w:rPr>
      </w:pPr>
      <w:r w:rsidRPr="00020B36">
        <w:rPr>
          <w:rFonts w:eastAsia="Times New Roman" w:cs="Tahoma"/>
          <w:iCs/>
          <w:color w:val="auto"/>
          <w:lang w:eastAsia="es-ES"/>
        </w:rPr>
        <w:t xml:space="preserve">En esa tesitura, se concluye que el Sujeto Obligado, no satisfizo el derecho de acceso a la información del Solicitante, al no dar atención al requerimiento de información de manera completa, pues omitió entregar </w:t>
      </w:r>
      <w:r w:rsidR="000962B9" w:rsidRPr="00020B36">
        <w:rPr>
          <w:rFonts w:eastAsia="Times New Roman" w:cs="Tahoma"/>
          <w:iCs/>
          <w:color w:val="auto"/>
          <w:lang w:eastAsia="es-ES"/>
        </w:rPr>
        <w:t>los</w:t>
      </w:r>
      <w:r w:rsidRPr="00020B36">
        <w:rPr>
          <w:rFonts w:eastAsia="Times New Roman" w:cs="Tahoma"/>
          <w:iCs/>
          <w:color w:val="auto"/>
          <w:lang w:eastAsia="es-ES"/>
        </w:rPr>
        <w:t xml:space="preserve"> documento</w:t>
      </w:r>
      <w:r w:rsidR="000962B9" w:rsidRPr="00020B36">
        <w:rPr>
          <w:rFonts w:eastAsia="Times New Roman" w:cs="Tahoma"/>
          <w:iCs/>
          <w:color w:val="auto"/>
          <w:lang w:eastAsia="es-ES"/>
        </w:rPr>
        <w:t>s</w:t>
      </w:r>
      <w:r w:rsidRPr="00020B36">
        <w:rPr>
          <w:rFonts w:eastAsia="Times New Roman" w:cs="Tahoma"/>
          <w:iCs/>
          <w:color w:val="auto"/>
          <w:lang w:eastAsia="es-ES"/>
        </w:rPr>
        <w:t xml:space="preserve"> donde conste el </w:t>
      </w:r>
      <w:bookmarkStart w:id="13" w:name="_Hlk194580322"/>
      <w:r w:rsidRPr="00020B36">
        <w:rPr>
          <w:rFonts w:eastAsia="Times New Roman" w:cs="Tahoma"/>
          <w:iCs/>
          <w:color w:val="auto"/>
          <w:lang w:eastAsia="es-ES"/>
        </w:rPr>
        <w:t xml:space="preserve">uso </w:t>
      </w:r>
      <w:r w:rsidR="000962B9" w:rsidRPr="00020B36">
        <w:rPr>
          <w:rFonts w:eastAsia="Times New Roman" w:cs="Tahoma"/>
          <w:iCs/>
          <w:color w:val="auto"/>
          <w:lang w:eastAsia="es-ES"/>
        </w:rPr>
        <w:t>de vales de gasolina para acudir a la “Mesa constructora de la Paz con perspectiva de género” en el Municipio de Texcalyacac, con el vehículo referido en respuesta</w:t>
      </w:r>
      <w:r w:rsidRPr="00020B36">
        <w:rPr>
          <w:rFonts w:eastAsia="Times New Roman" w:cs="Tahoma"/>
          <w:iCs/>
          <w:color w:val="auto"/>
          <w:lang w:eastAsia="es-ES"/>
        </w:rPr>
        <w:t xml:space="preserve">, lo cual da como resultado que el agravio resulta </w:t>
      </w:r>
      <w:r w:rsidRPr="00020B36">
        <w:rPr>
          <w:rFonts w:eastAsia="Times New Roman" w:cs="Tahoma"/>
          <w:b/>
          <w:bCs/>
          <w:iCs/>
          <w:color w:val="auto"/>
          <w:lang w:eastAsia="es-ES"/>
        </w:rPr>
        <w:t>FUNDADO.</w:t>
      </w:r>
    </w:p>
    <w:bookmarkEnd w:id="13"/>
    <w:p w14:paraId="03A3B630" w14:textId="77777777" w:rsidR="00F11FD5" w:rsidRPr="00020B36" w:rsidRDefault="00F11FD5" w:rsidP="00382C58">
      <w:pPr>
        <w:spacing w:after="0" w:line="360" w:lineRule="auto"/>
        <w:contextualSpacing/>
        <w:rPr>
          <w:rFonts w:eastAsia="Times New Roman" w:cs="Tahoma"/>
          <w:b/>
          <w:bCs/>
          <w:iCs/>
          <w:color w:val="auto"/>
          <w:lang w:eastAsia="es-ES"/>
        </w:rPr>
      </w:pPr>
    </w:p>
    <w:p w14:paraId="7879EAC6" w14:textId="6542BAAB" w:rsidR="000962B9" w:rsidRPr="00020B36" w:rsidRDefault="00F11FD5" w:rsidP="00382C58">
      <w:pPr>
        <w:spacing w:after="0" w:line="360" w:lineRule="auto"/>
        <w:contextualSpacing/>
        <w:rPr>
          <w:rFonts w:eastAsia="Times New Roman" w:cs="Tahoma"/>
          <w:b/>
          <w:bCs/>
          <w:iCs/>
          <w:color w:val="auto"/>
          <w:lang w:eastAsia="es-ES"/>
        </w:rPr>
      </w:pPr>
      <w:r w:rsidRPr="00020B36">
        <w:rPr>
          <w:rFonts w:eastAsia="Times New Roman" w:cs="Tahoma"/>
          <w:bCs/>
          <w:iCs/>
          <w:color w:val="auto"/>
          <w:lang w:eastAsia="es-ES"/>
        </w:rPr>
        <w:t>Así, este Instituto considera que, para atender el requerimiento de información, el</w:t>
      </w:r>
      <w:r w:rsidRPr="00020B36">
        <w:rPr>
          <w:rFonts w:eastAsia="Times New Roman" w:cs="Tahoma"/>
          <w:bCs/>
          <w:iCs/>
          <w:color w:val="auto"/>
          <w:lang w:val="es-ES" w:eastAsia="es-ES"/>
        </w:rPr>
        <w:t xml:space="preserve"> Sujeto Obligado deberá realizar una búsqueda exhaustiva y razonable en los archivos de la </w:t>
      </w:r>
      <w:r w:rsidR="000962B9" w:rsidRPr="00020B36">
        <w:rPr>
          <w:rFonts w:eastAsia="Times New Roman" w:cs="Tahoma"/>
          <w:bCs/>
          <w:iCs/>
          <w:color w:val="auto"/>
          <w:lang w:val="es-ES" w:eastAsia="es-ES"/>
        </w:rPr>
        <w:t>Unidad de Tesorería y Administración</w:t>
      </w:r>
      <w:r w:rsidRPr="00020B36">
        <w:rPr>
          <w:rFonts w:eastAsia="Times New Roman" w:cs="Tahoma"/>
          <w:bCs/>
          <w:iCs/>
          <w:color w:val="auto"/>
          <w:lang w:val="es-ES" w:eastAsia="es-ES"/>
        </w:rPr>
        <w:t xml:space="preserve">, a efecto de que proporcione el </w:t>
      </w:r>
      <w:r w:rsidRPr="00020B36">
        <w:rPr>
          <w:rFonts w:eastAsia="Times New Roman" w:cs="Tahoma"/>
          <w:iCs/>
          <w:color w:val="auto"/>
          <w:lang w:eastAsia="es-ES"/>
        </w:rPr>
        <w:t>documento donde conste</w:t>
      </w:r>
      <w:r w:rsidR="000962B9" w:rsidRPr="00020B36">
        <w:rPr>
          <w:rFonts w:eastAsia="Times New Roman" w:cs="Tahoma"/>
          <w:iCs/>
          <w:color w:val="auto"/>
          <w:lang w:eastAsia="es-ES"/>
        </w:rPr>
        <w:t>n</w:t>
      </w:r>
      <w:r w:rsidRPr="00020B36">
        <w:rPr>
          <w:rFonts w:eastAsia="Times New Roman" w:cs="Tahoma"/>
          <w:iCs/>
          <w:color w:val="auto"/>
          <w:lang w:eastAsia="es-ES"/>
        </w:rPr>
        <w:t xml:space="preserve"> </w:t>
      </w:r>
      <w:r w:rsidR="000962B9" w:rsidRPr="00020B36">
        <w:rPr>
          <w:rFonts w:eastAsia="Times New Roman" w:cs="Tahoma"/>
          <w:iCs/>
          <w:color w:val="auto"/>
          <w:lang w:eastAsia="es-ES"/>
        </w:rPr>
        <w:t xml:space="preserve">los vales de gasolina para acudir a la “Mesa constructora de la Paz con perspectiva de género” en el Municipio de Texcalyacac, con el vehículo referido en respuesta. </w:t>
      </w:r>
    </w:p>
    <w:p w14:paraId="66C80C96" w14:textId="77777777" w:rsidR="00F11FD5" w:rsidRPr="00020B36" w:rsidRDefault="00F11FD5" w:rsidP="00382C58">
      <w:pPr>
        <w:spacing w:after="0" w:line="360" w:lineRule="auto"/>
        <w:contextualSpacing/>
        <w:rPr>
          <w:rFonts w:eastAsia="Times New Roman" w:cs="Tahoma"/>
          <w:iCs/>
          <w:color w:val="auto"/>
          <w:lang w:val="es-ES" w:eastAsia="es-ES"/>
        </w:rPr>
      </w:pPr>
    </w:p>
    <w:p w14:paraId="2397B80D" w14:textId="77777777" w:rsidR="00F11FD5" w:rsidRPr="00020B36" w:rsidRDefault="00F11FD5" w:rsidP="00382C58">
      <w:pPr>
        <w:spacing w:after="0" w:line="360" w:lineRule="auto"/>
        <w:contextualSpacing/>
        <w:rPr>
          <w:rFonts w:eastAsia="Times New Roman" w:cs="Tahoma"/>
          <w:iCs/>
          <w:color w:val="auto"/>
          <w:lang w:eastAsia="es-ES"/>
        </w:rPr>
      </w:pPr>
      <w:r w:rsidRPr="00020B36">
        <w:rPr>
          <w:rFonts w:eastAsia="Times New Roman" w:cs="Tahoma"/>
          <w:bCs/>
          <w:iCs/>
          <w:color w:val="auto"/>
          <w:lang w:eastAsia="es-ES"/>
        </w:rPr>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0E7C913C" w14:textId="77777777" w:rsidR="00F11FD5" w:rsidRPr="00020B36" w:rsidRDefault="00F11FD5" w:rsidP="00382C58">
      <w:pPr>
        <w:spacing w:after="0" w:line="360" w:lineRule="auto"/>
        <w:contextualSpacing/>
        <w:rPr>
          <w:rFonts w:eastAsia="Times New Roman" w:cs="Tahoma"/>
          <w:bCs/>
          <w:iCs/>
          <w:color w:val="auto"/>
          <w:lang w:eastAsia="es-ES"/>
        </w:rPr>
      </w:pPr>
    </w:p>
    <w:p w14:paraId="5BDC5B59" w14:textId="77777777" w:rsidR="00F11FD5" w:rsidRPr="00020B36" w:rsidRDefault="00F11FD5" w:rsidP="00382C58">
      <w:pPr>
        <w:spacing w:after="0" w:line="360" w:lineRule="auto"/>
        <w:contextualSpacing/>
        <w:rPr>
          <w:color w:val="auto"/>
        </w:rPr>
      </w:pPr>
      <w:r w:rsidRPr="00020B36">
        <w:rPr>
          <w:rFonts w:eastAsia="Times New Roman" w:cs="Tahoma"/>
          <w:bCs/>
          <w:iCs/>
          <w:color w:val="auto"/>
          <w:lang w:eastAsia="es-ES"/>
        </w:rPr>
        <w:lastRenderedPageBreak/>
        <w:t xml:space="preserve">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 </w:t>
      </w:r>
      <w:r w:rsidRPr="00020B36">
        <w:rPr>
          <w:color w:val="auto"/>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el documento que dé cuenta de lo requerido.</w:t>
      </w:r>
    </w:p>
    <w:p w14:paraId="29B913C0" w14:textId="77777777" w:rsidR="00382C58" w:rsidRPr="00020B36" w:rsidRDefault="00382C58" w:rsidP="00382C58">
      <w:pPr>
        <w:spacing w:after="0" w:line="360" w:lineRule="auto"/>
        <w:contextualSpacing/>
        <w:rPr>
          <w:color w:val="auto"/>
        </w:rPr>
      </w:pPr>
    </w:p>
    <w:p w14:paraId="34003C68" w14:textId="679B5488" w:rsidR="00382C58" w:rsidRPr="00020B36" w:rsidRDefault="00382C58" w:rsidP="00382C58">
      <w:pPr>
        <w:spacing w:after="0" w:line="360" w:lineRule="auto"/>
        <w:contextualSpacing/>
        <w:rPr>
          <w:color w:val="auto"/>
        </w:rPr>
      </w:pPr>
      <w:r w:rsidRPr="00020B36">
        <w:rPr>
          <w:color w:val="auto"/>
        </w:rPr>
        <w:t xml:space="preserve">Ahora bien, para el caso de que no se hayan entregado vales de gasolina para realizar la actividad mencionada, deberá hacerlo del conocimiento de la parte Recurrente, de manera clara y precisa, en términos del artículo 19, párrafo segundo, de la Ley de Transparencia y Acceso a la Información Pública del Estado de México y </w:t>
      </w:r>
      <w:proofErr w:type="spellStart"/>
      <w:r w:rsidRPr="00020B36">
        <w:rPr>
          <w:color w:val="auto"/>
        </w:rPr>
        <w:t>Muncipios</w:t>
      </w:r>
      <w:proofErr w:type="spellEnd"/>
      <w:r w:rsidRPr="00020B36">
        <w:rPr>
          <w:color w:val="auto"/>
        </w:rPr>
        <w:t>.</w:t>
      </w:r>
    </w:p>
    <w:p w14:paraId="2FA95A26" w14:textId="77777777" w:rsidR="00F11FD5" w:rsidRPr="00020B36" w:rsidRDefault="00F11FD5" w:rsidP="00382C58">
      <w:pPr>
        <w:spacing w:after="0" w:line="360" w:lineRule="auto"/>
        <w:rPr>
          <w:rFonts w:eastAsia="Times New Roman" w:cs="Tahoma"/>
          <w:iCs/>
          <w:lang w:eastAsia="es-ES"/>
        </w:rPr>
      </w:pPr>
    </w:p>
    <w:p w14:paraId="18DD8ECD" w14:textId="77777777" w:rsidR="00382C58" w:rsidRPr="00020B36" w:rsidRDefault="00F11FD5" w:rsidP="00382C58">
      <w:pPr>
        <w:spacing w:after="0" w:line="360" w:lineRule="auto"/>
        <w:rPr>
          <w:rFonts w:eastAsia="Calibri" w:cs="Times New Roman"/>
          <w:bCs/>
          <w:iCs/>
          <w:color w:val="auto"/>
          <w:lang w:val="es-ES" w:eastAsia="en-US"/>
        </w:rPr>
      </w:pPr>
      <w:r w:rsidRPr="00020B36">
        <w:rPr>
          <w:rFonts w:eastAsia="Calibri" w:cs="Times New Roman"/>
          <w:bCs/>
          <w:iCs/>
          <w:color w:val="auto"/>
          <w:lang w:eastAsia="en-US"/>
        </w:rPr>
        <w:t>Ahora bien, no pasa desapercibido para este Instituto que los documentos, pudieran contener datos o información clasificada; por lo que, en el supuesto, deberá elaborar la versión pública respectiva; a</w:t>
      </w:r>
      <w:r w:rsidRPr="00020B36">
        <w:rPr>
          <w:rFonts w:eastAsia="Calibri" w:cs="Times New Roman"/>
          <w:bCs/>
          <w:iCs/>
          <w:color w:val="auto"/>
          <w:lang w:val="es-ES" w:eastAsia="en-US"/>
        </w:rPr>
        <w:t xml:space="preserve">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761C5384" w14:textId="77777777" w:rsidR="00382C58" w:rsidRPr="00020B36" w:rsidRDefault="00382C58" w:rsidP="00382C58">
      <w:pPr>
        <w:spacing w:after="0" w:line="360" w:lineRule="auto"/>
        <w:rPr>
          <w:rFonts w:eastAsia="Calibri" w:cs="Times New Roman"/>
          <w:bCs/>
          <w:iCs/>
          <w:color w:val="auto"/>
          <w:lang w:val="es-ES" w:eastAsia="en-US"/>
        </w:rPr>
      </w:pPr>
    </w:p>
    <w:p w14:paraId="0EF41E1A" w14:textId="06BC0519" w:rsidR="00F11FD5" w:rsidRPr="00020B36" w:rsidRDefault="00F11FD5" w:rsidP="00382C58">
      <w:pPr>
        <w:spacing w:after="0" w:line="360" w:lineRule="auto"/>
        <w:rPr>
          <w:rFonts w:eastAsia="Calibri" w:cs="Times New Roman"/>
          <w:bCs/>
          <w:iCs/>
          <w:color w:val="auto"/>
          <w:lang w:val="es-ES" w:eastAsia="en-US"/>
        </w:rPr>
      </w:pPr>
      <w:r w:rsidRPr="00020B36">
        <w:rPr>
          <w:rFonts w:eastAsia="Calibri" w:cs="Times New Roman"/>
          <w:bCs/>
          <w:iCs/>
          <w:color w:val="auto"/>
          <w:lang w:val="es-ES" w:eastAsia="en-U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77E31E24" w14:textId="77777777" w:rsidR="002474BA" w:rsidRPr="00020B36" w:rsidRDefault="002474BA" w:rsidP="00382C58">
      <w:pPr>
        <w:spacing w:after="0" w:line="360" w:lineRule="auto"/>
        <w:rPr>
          <w:color w:val="auto"/>
        </w:rPr>
      </w:pPr>
    </w:p>
    <w:p w14:paraId="5F084B47" w14:textId="77777777" w:rsidR="002474BA" w:rsidRPr="00020B36" w:rsidRDefault="002474BA" w:rsidP="00382C58">
      <w:pPr>
        <w:pStyle w:val="Ttulo2"/>
        <w:spacing w:before="0"/>
        <w:rPr>
          <w:rFonts w:ascii="Palatino Linotype" w:hAnsi="Palatino Linotype"/>
          <w:b/>
          <w:bCs/>
          <w:color w:val="auto"/>
          <w:sz w:val="22"/>
          <w:szCs w:val="22"/>
        </w:rPr>
      </w:pPr>
      <w:bookmarkStart w:id="14" w:name="_heading=h.qsh70q" w:colFirst="0" w:colLast="0"/>
      <w:bookmarkStart w:id="15" w:name="_Toc193984908"/>
      <w:bookmarkEnd w:id="14"/>
      <w:r w:rsidRPr="00020B36">
        <w:rPr>
          <w:rFonts w:ascii="Palatino Linotype" w:hAnsi="Palatino Linotype"/>
          <w:b/>
          <w:bCs/>
          <w:color w:val="auto"/>
          <w:sz w:val="22"/>
          <w:szCs w:val="22"/>
        </w:rPr>
        <w:t>SEXTO. Decisión</w:t>
      </w:r>
      <w:bookmarkEnd w:id="15"/>
    </w:p>
    <w:p w14:paraId="5C3CDAE7" w14:textId="77777777" w:rsidR="002474BA" w:rsidRPr="00020B36" w:rsidRDefault="002474BA" w:rsidP="00382C58">
      <w:pPr>
        <w:spacing w:after="0" w:line="360" w:lineRule="auto"/>
        <w:rPr>
          <w:b/>
          <w:color w:val="auto"/>
        </w:rPr>
      </w:pPr>
    </w:p>
    <w:p w14:paraId="38C74001" w14:textId="77777777" w:rsidR="000962B9" w:rsidRPr="00020B36" w:rsidRDefault="000962B9" w:rsidP="00382C58">
      <w:pPr>
        <w:spacing w:after="0" w:line="360" w:lineRule="auto"/>
        <w:rPr>
          <w:color w:val="000000"/>
          <w:lang w:eastAsia="es-ES"/>
        </w:rPr>
      </w:pPr>
      <w:r w:rsidRPr="00020B36">
        <w:rPr>
          <w:color w:val="000000"/>
          <w:lang w:eastAsia="es-ES"/>
        </w:rPr>
        <w:t xml:space="preserve">Con fundamento en el artículo 186, fracción II, de la Ley de Transparencia y Acceso a la Información Pública del Estado de México y Municipios, este Instituto considera procedente </w:t>
      </w:r>
      <w:r w:rsidRPr="00020B36">
        <w:rPr>
          <w:b/>
          <w:color w:val="000000"/>
          <w:lang w:eastAsia="es-ES"/>
        </w:rPr>
        <w:t xml:space="preserve">MODIFICAR </w:t>
      </w:r>
      <w:r w:rsidRPr="00020B36">
        <w:rPr>
          <w:color w:val="000000"/>
          <w:lang w:eastAsia="es-ES"/>
        </w:rPr>
        <w:t xml:space="preserve">la respuesta otorgada por el Sujeto Obligado. </w:t>
      </w:r>
    </w:p>
    <w:p w14:paraId="06C55DE7" w14:textId="77777777" w:rsidR="002474BA" w:rsidRPr="00020B36" w:rsidRDefault="002474BA" w:rsidP="00382C58">
      <w:pPr>
        <w:tabs>
          <w:tab w:val="left" w:pos="4962"/>
        </w:tabs>
        <w:spacing w:after="0" w:line="360" w:lineRule="auto"/>
        <w:rPr>
          <w:color w:val="000000"/>
        </w:rPr>
      </w:pPr>
    </w:p>
    <w:p w14:paraId="5CB00CAE" w14:textId="77777777" w:rsidR="002474BA" w:rsidRPr="00020B36" w:rsidRDefault="002474BA" w:rsidP="00382C58">
      <w:pPr>
        <w:spacing w:after="0" w:line="360" w:lineRule="auto"/>
        <w:rPr>
          <w:b/>
        </w:rPr>
      </w:pPr>
      <w:r w:rsidRPr="00020B36">
        <w:rPr>
          <w:b/>
        </w:rPr>
        <w:t>Términos de la Resolución para la persona Recurrente</w:t>
      </w:r>
    </w:p>
    <w:p w14:paraId="68E35E07" w14:textId="77777777" w:rsidR="002474BA" w:rsidRPr="00020B36" w:rsidRDefault="002474BA" w:rsidP="00382C58">
      <w:pPr>
        <w:spacing w:after="0" w:line="360" w:lineRule="auto"/>
      </w:pPr>
    </w:p>
    <w:p w14:paraId="573967FB" w14:textId="5EB41778" w:rsidR="008C1488" w:rsidRPr="00020B36" w:rsidRDefault="002474BA" w:rsidP="00382C58">
      <w:pPr>
        <w:spacing w:after="0" w:line="360" w:lineRule="auto"/>
      </w:pPr>
      <w:r w:rsidRPr="00020B36">
        <w:t>Se hace del conocimiento al Particular que este Organismo Garante le otorgó la razón</w:t>
      </w:r>
      <w:r w:rsidR="008C1488" w:rsidRPr="00020B36">
        <w:t xml:space="preserve"> de manera parcial,</w:t>
      </w:r>
      <w:r w:rsidRPr="00020B36">
        <w:t xml:space="preserve"> en virtud de que la respuesta del Sujeto Obligado no </w:t>
      </w:r>
      <w:r w:rsidR="008C1488" w:rsidRPr="00020B36">
        <w:t xml:space="preserve">contiene </w:t>
      </w:r>
      <w:r w:rsidR="000962B9" w:rsidRPr="00020B36">
        <w:t xml:space="preserve">la información relativa a los vales de gasolina proporcionados para acudir al evento de su interés, motivo por el cual deberá entregarle la información faltante.  </w:t>
      </w:r>
      <w:r w:rsidRPr="00020B36">
        <w:t>La labor del INFOEM, es apoyar a la población para acceder a la información pública y garantizar la protección de sus datos personales.</w:t>
      </w:r>
    </w:p>
    <w:p w14:paraId="3DF53887" w14:textId="77777777" w:rsidR="000962B9" w:rsidRPr="00020B36" w:rsidRDefault="000962B9" w:rsidP="00382C58">
      <w:pPr>
        <w:spacing w:after="0" w:line="360" w:lineRule="auto"/>
        <w:rPr>
          <w:u w:val="single"/>
        </w:rPr>
      </w:pPr>
    </w:p>
    <w:p w14:paraId="0727242A" w14:textId="2133B1D1" w:rsidR="00253B74" w:rsidRPr="00020B36" w:rsidRDefault="00B76585" w:rsidP="00382C58">
      <w:pPr>
        <w:pStyle w:val="Ttulo1"/>
        <w:spacing w:before="0"/>
        <w:jc w:val="center"/>
        <w:rPr>
          <w:rFonts w:ascii="Palatino Linotype" w:eastAsia="Palatino Linotype" w:hAnsi="Palatino Linotype" w:cs="Palatino Linotype"/>
          <w:b/>
          <w:color w:val="000000"/>
          <w:sz w:val="22"/>
          <w:szCs w:val="22"/>
        </w:rPr>
      </w:pPr>
      <w:bookmarkStart w:id="16" w:name="_Toc193984909"/>
      <w:r w:rsidRPr="00020B36">
        <w:rPr>
          <w:rFonts w:ascii="Palatino Linotype" w:eastAsia="Palatino Linotype" w:hAnsi="Palatino Linotype" w:cs="Palatino Linotype"/>
          <w:b/>
          <w:color w:val="000000"/>
          <w:sz w:val="22"/>
          <w:szCs w:val="22"/>
        </w:rPr>
        <w:t>R E S U E L V E</w:t>
      </w:r>
      <w:bookmarkEnd w:id="16"/>
    </w:p>
    <w:p w14:paraId="03A30D91" w14:textId="77777777" w:rsidR="00253B74" w:rsidRPr="00020B36" w:rsidRDefault="00253B74" w:rsidP="00382C58">
      <w:pPr>
        <w:spacing w:after="0" w:line="360" w:lineRule="auto"/>
        <w:ind w:right="113"/>
        <w:rPr>
          <w:b/>
          <w:color w:val="FF0000"/>
        </w:rPr>
      </w:pPr>
    </w:p>
    <w:p w14:paraId="01805AAE" w14:textId="1EEBACBE" w:rsidR="008C1488" w:rsidRPr="00020B36" w:rsidRDefault="00B76585" w:rsidP="00382C58">
      <w:pPr>
        <w:spacing w:after="0" w:line="360" w:lineRule="auto"/>
        <w:contextualSpacing/>
        <w:rPr>
          <w:rFonts w:eastAsia="Calibri" w:cs="Tahoma"/>
          <w:bCs/>
          <w:color w:val="000000"/>
          <w:lang w:eastAsia="en-US"/>
        </w:rPr>
      </w:pPr>
      <w:r w:rsidRPr="00020B36">
        <w:rPr>
          <w:b/>
          <w:color w:val="000000"/>
        </w:rPr>
        <w:t xml:space="preserve">PRIMERO. </w:t>
      </w:r>
      <w:r w:rsidR="008C1488" w:rsidRPr="00020B36">
        <w:rPr>
          <w:rFonts w:eastAsia="Calibri" w:cs="Tahoma"/>
          <w:bCs/>
          <w:color w:val="000000"/>
          <w:lang w:eastAsia="en-US"/>
        </w:rPr>
        <w:t xml:space="preserve">Se </w:t>
      </w:r>
      <w:r w:rsidR="008C1488" w:rsidRPr="00020B36">
        <w:rPr>
          <w:rFonts w:eastAsia="Calibri" w:cs="Tahoma"/>
          <w:b/>
          <w:bCs/>
          <w:color w:val="000000"/>
          <w:lang w:eastAsia="en-US"/>
        </w:rPr>
        <w:t xml:space="preserve">MODIFICA </w:t>
      </w:r>
      <w:r w:rsidR="008C1488" w:rsidRPr="00020B36">
        <w:rPr>
          <w:rFonts w:eastAsia="Calibri" w:cs="Tahoma"/>
          <w:bCs/>
          <w:color w:val="000000"/>
          <w:lang w:eastAsia="en-US"/>
        </w:rPr>
        <w:t xml:space="preserve">la respuesta entregada por el </w:t>
      </w:r>
      <w:r w:rsidR="000962B9" w:rsidRPr="00020B36">
        <w:rPr>
          <w:rFonts w:eastAsia="Calibri" w:cs="Tahoma"/>
          <w:bCs/>
          <w:color w:val="000000"/>
          <w:lang w:eastAsia="en-US"/>
        </w:rPr>
        <w:t>Ayuntamiento de Atizapán</w:t>
      </w:r>
      <w:r w:rsidR="008C1488" w:rsidRPr="00020B36">
        <w:rPr>
          <w:rFonts w:eastAsia="Calibri" w:cs="Tahoma"/>
          <w:bCs/>
          <w:color w:val="000000"/>
          <w:lang w:eastAsia="en-US"/>
        </w:rPr>
        <w:t xml:space="preserve">, a la solicitud de </w:t>
      </w:r>
      <w:r w:rsidR="008C1488" w:rsidRPr="00020B36">
        <w:rPr>
          <w:rFonts w:eastAsia="Calibri" w:cs="Tahoma"/>
          <w:color w:val="000000"/>
          <w:lang w:eastAsia="en-US"/>
        </w:rPr>
        <w:t xml:space="preserve">información </w:t>
      </w:r>
      <w:r w:rsidR="00936B16" w:rsidRPr="00020B36">
        <w:t>00049/ATIZAPAN/IP/2025</w:t>
      </w:r>
      <w:r w:rsidR="008C1488" w:rsidRPr="00020B36">
        <w:rPr>
          <w:rFonts w:eastAsia="Calibri" w:cs="Tahoma"/>
          <w:bCs/>
          <w:color w:val="000000"/>
          <w:lang w:eastAsia="en-US"/>
        </w:rPr>
        <w:t xml:space="preserve">, </w:t>
      </w:r>
      <w:r w:rsidR="008C1488" w:rsidRPr="00020B36">
        <w:rPr>
          <w:rFonts w:eastAsia="Calibri"/>
          <w:bCs/>
          <w:color w:val="000000"/>
          <w:lang w:eastAsia="en-US"/>
        </w:rPr>
        <w:t>por</w:t>
      </w:r>
      <w:r w:rsidR="008C1488" w:rsidRPr="00020B36">
        <w:rPr>
          <w:rFonts w:eastAsia="Calibri"/>
          <w:color w:val="000000"/>
          <w:lang w:eastAsia="en-US"/>
        </w:rPr>
        <w:t xml:space="preserve"> resultar</w:t>
      </w:r>
      <w:r w:rsidR="00030D78" w:rsidRPr="00020B36">
        <w:rPr>
          <w:rFonts w:eastAsia="Calibri"/>
          <w:color w:val="000000"/>
          <w:lang w:eastAsia="en-US"/>
        </w:rPr>
        <w:t xml:space="preserve"> </w:t>
      </w:r>
      <w:r w:rsidR="008C1488" w:rsidRPr="00020B36">
        <w:rPr>
          <w:rFonts w:eastAsia="Calibri"/>
          <w:b/>
          <w:color w:val="000000"/>
          <w:lang w:eastAsia="en-US"/>
        </w:rPr>
        <w:t>FUNDADAS</w:t>
      </w:r>
      <w:r w:rsidR="008C1488" w:rsidRPr="00020B36">
        <w:rPr>
          <w:rFonts w:eastAsia="Calibri" w:cs="Tahoma"/>
          <w:color w:val="000000"/>
          <w:lang w:eastAsia="en-US"/>
        </w:rPr>
        <w:t xml:space="preserve"> las razones o motivos de inconformidad hechos valer por la persona Recurrente, en</w:t>
      </w:r>
      <w:r w:rsidR="008C1488" w:rsidRPr="00020B36">
        <w:rPr>
          <w:rFonts w:eastAsia="Calibri" w:cs="Tahoma"/>
          <w:bCs/>
          <w:color w:val="000000"/>
          <w:lang w:eastAsia="en-US"/>
        </w:rPr>
        <w:t xml:space="preserve"> términos de los considerandos </w:t>
      </w:r>
      <w:r w:rsidR="008C1488" w:rsidRPr="00020B36">
        <w:rPr>
          <w:rFonts w:eastAsia="Calibri" w:cs="Tahoma"/>
          <w:color w:val="000000"/>
          <w:lang w:eastAsia="en-US"/>
        </w:rPr>
        <w:t>QUINTO y SEXTO</w:t>
      </w:r>
      <w:r w:rsidR="008C1488" w:rsidRPr="00020B36">
        <w:rPr>
          <w:rFonts w:eastAsia="Calibri" w:cs="Tahoma"/>
          <w:bCs/>
          <w:color w:val="000000"/>
          <w:lang w:eastAsia="en-US"/>
        </w:rPr>
        <w:t xml:space="preserve"> de la presente Resolución.</w:t>
      </w:r>
    </w:p>
    <w:p w14:paraId="2096F57F" w14:textId="34237205" w:rsidR="008C1488" w:rsidRPr="00020B36" w:rsidRDefault="008C1488" w:rsidP="00382C58">
      <w:pPr>
        <w:widowControl w:val="0"/>
        <w:spacing w:after="0" w:line="360" w:lineRule="auto"/>
        <w:rPr>
          <w:b/>
          <w:color w:val="000000"/>
        </w:rPr>
      </w:pPr>
    </w:p>
    <w:p w14:paraId="4173B086" w14:textId="7D6C2012" w:rsidR="00030D78" w:rsidRPr="00020B36" w:rsidRDefault="00030D78" w:rsidP="00382C58">
      <w:pPr>
        <w:widowControl w:val="0"/>
        <w:spacing w:after="0" w:line="360" w:lineRule="auto"/>
        <w:rPr>
          <w:color w:val="000000"/>
        </w:rPr>
      </w:pPr>
      <w:r w:rsidRPr="00020B36">
        <w:rPr>
          <w:b/>
          <w:color w:val="000000"/>
        </w:rPr>
        <w:t>SEGUNDO</w:t>
      </w:r>
      <w:r w:rsidRPr="00020B36">
        <w:rPr>
          <w:color w:val="000000"/>
        </w:rPr>
        <w:t xml:space="preserve">. Se </w:t>
      </w:r>
      <w:r w:rsidRPr="00020B36">
        <w:rPr>
          <w:b/>
          <w:color w:val="000000"/>
        </w:rPr>
        <w:t>ORDENA</w:t>
      </w:r>
      <w:r w:rsidRPr="00020B36">
        <w:rPr>
          <w:color w:val="000000"/>
        </w:rPr>
        <w:t xml:space="preserve"> al Sujeto Obligado, a efecto de que previa búsqueda exhaustiva y razonable, en los archivos de las unidades administrativas competentes, entregue a través del Sistema de Acceso a la Información Mexiquense (SAIMEX), en su caso, en versión pública, los documentos</w:t>
      </w:r>
      <w:r w:rsidR="00382C58" w:rsidRPr="00020B36">
        <w:rPr>
          <w:color w:val="000000"/>
        </w:rPr>
        <w:t xml:space="preserve"> con los que contara al siete de febrero de dos mil veinticinco,</w:t>
      </w:r>
      <w:r w:rsidRPr="00020B36">
        <w:rPr>
          <w:color w:val="000000"/>
        </w:rPr>
        <w:t xml:space="preserve"> donde conste lo siguiente:</w:t>
      </w:r>
    </w:p>
    <w:p w14:paraId="0E47E27E" w14:textId="77777777" w:rsidR="00030D78" w:rsidRPr="00020B36" w:rsidRDefault="00030D78" w:rsidP="00382C58">
      <w:pPr>
        <w:widowControl w:val="0"/>
        <w:spacing w:after="0" w:line="360" w:lineRule="auto"/>
        <w:rPr>
          <w:color w:val="FF0000"/>
        </w:rPr>
      </w:pPr>
    </w:p>
    <w:p w14:paraId="15D81719" w14:textId="780F2672" w:rsidR="00030D78" w:rsidRPr="00020B36" w:rsidRDefault="00030D78" w:rsidP="00382C58">
      <w:pPr>
        <w:widowControl w:val="0"/>
        <w:numPr>
          <w:ilvl w:val="0"/>
          <w:numId w:val="20"/>
        </w:numPr>
        <w:spacing w:after="0" w:line="360" w:lineRule="auto"/>
        <w:rPr>
          <w:color w:val="000000"/>
        </w:rPr>
      </w:pPr>
      <w:r w:rsidRPr="00020B36">
        <w:rPr>
          <w:color w:val="000000"/>
        </w:rPr>
        <w:t xml:space="preserve">Los vales de gasolina proporcionados para </w:t>
      </w:r>
      <w:r w:rsidRPr="00020B36">
        <w:rPr>
          <w:iCs/>
          <w:color w:val="000000"/>
        </w:rPr>
        <w:t xml:space="preserve">acudir a la “Mesa constructora de la Paz con perspectiva de género” en el Municipio de Texcalyacac, con el vehículo referido en respuesta. </w:t>
      </w:r>
    </w:p>
    <w:p w14:paraId="48ADA474" w14:textId="77777777" w:rsidR="00030D78" w:rsidRPr="00020B36" w:rsidRDefault="00030D78" w:rsidP="00382C58">
      <w:pPr>
        <w:widowControl w:val="0"/>
        <w:spacing w:after="0" w:line="360" w:lineRule="auto"/>
        <w:rPr>
          <w:color w:val="000000"/>
        </w:rPr>
      </w:pPr>
    </w:p>
    <w:p w14:paraId="1DFAD295" w14:textId="77777777" w:rsidR="00030D78" w:rsidRPr="00020B36" w:rsidRDefault="00030D78" w:rsidP="00382C58">
      <w:pPr>
        <w:spacing w:after="0" w:line="360" w:lineRule="auto"/>
        <w:rPr>
          <w:color w:val="000000"/>
        </w:rPr>
      </w:pPr>
      <w:r w:rsidRPr="00020B36">
        <w:rPr>
          <w:color w:val="000000"/>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3A6D4FF5" w14:textId="77777777" w:rsidR="00030D78" w:rsidRPr="00020B36" w:rsidRDefault="00030D78" w:rsidP="00382C58">
      <w:pPr>
        <w:spacing w:after="0" w:line="360" w:lineRule="auto"/>
        <w:rPr>
          <w:color w:val="000000"/>
        </w:rPr>
      </w:pPr>
    </w:p>
    <w:p w14:paraId="0EA13BD4" w14:textId="1D6DC888" w:rsidR="00030D78" w:rsidRPr="00020B36" w:rsidRDefault="00030D78" w:rsidP="00382C58">
      <w:pPr>
        <w:spacing w:after="0" w:line="360" w:lineRule="auto"/>
        <w:rPr>
          <w:b/>
        </w:rPr>
      </w:pPr>
      <w:r w:rsidRPr="00020B36">
        <w:rPr>
          <w:color w:val="000000"/>
        </w:rPr>
        <w:t xml:space="preserve">Para el caso, de que no se </w:t>
      </w:r>
      <w:r w:rsidRPr="00020B36">
        <w:t>hayan</w:t>
      </w:r>
      <w:r w:rsidRPr="00020B36">
        <w:rPr>
          <w:color w:val="000000"/>
        </w:rPr>
        <w:t xml:space="preserve"> proporcionados vales de gasolina</w:t>
      </w:r>
      <w:r w:rsidR="00382C58" w:rsidRPr="00020B36">
        <w:rPr>
          <w:color w:val="000000"/>
        </w:rPr>
        <w:t xml:space="preserve"> para realizar la actividad</w:t>
      </w:r>
      <w:r w:rsidRPr="00020B36">
        <w:rPr>
          <w:color w:val="000000"/>
        </w:rPr>
        <w:t>, deberá hacerlo del conocimiento de la parte Recurrente, de manera clara y precisa.</w:t>
      </w:r>
    </w:p>
    <w:p w14:paraId="47541CD9" w14:textId="77777777" w:rsidR="003502D5" w:rsidRPr="00020B36" w:rsidRDefault="003502D5" w:rsidP="00382C58">
      <w:pPr>
        <w:tabs>
          <w:tab w:val="left" w:pos="4962"/>
        </w:tabs>
        <w:spacing w:after="0" w:line="360" w:lineRule="auto"/>
        <w:rPr>
          <w:color w:val="000000"/>
        </w:rPr>
      </w:pPr>
    </w:p>
    <w:p w14:paraId="7C8E1026" w14:textId="77777777" w:rsidR="008C1488" w:rsidRPr="00020B36" w:rsidRDefault="008C1488" w:rsidP="00382C58">
      <w:pPr>
        <w:spacing w:after="0" w:line="360" w:lineRule="auto"/>
        <w:ind w:right="-28"/>
        <w:contextualSpacing/>
        <w:rPr>
          <w:b/>
          <w:lang w:eastAsia="en-US"/>
        </w:rPr>
      </w:pPr>
      <w:r w:rsidRPr="00020B36">
        <w:rPr>
          <w:rFonts w:cs="Tahoma"/>
          <w:b/>
          <w:bCs/>
          <w:iCs/>
          <w:lang w:val="es-ES"/>
        </w:rPr>
        <w:t>TERCERO</w:t>
      </w:r>
      <w:r w:rsidRPr="00020B36">
        <w:rPr>
          <w:rFonts w:cs="Tahoma"/>
          <w:b/>
          <w:bCs/>
          <w:iCs/>
        </w:rPr>
        <w:t xml:space="preserve">. </w:t>
      </w:r>
      <w:r w:rsidRPr="00020B36">
        <w:rPr>
          <w:b/>
          <w:lang w:eastAsia="en-US"/>
        </w:rPr>
        <w:t xml:space="preserve">NOTIFÍQUESE POR SAIMEX </w:t>
      </w:r>
      <w:r w:rsidRPr="00020B36">
        <w:rPr>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020B36">
        <w:rPr>
          <w:lang w:eastAsia="en-US"/>
        </w:rPr>
        <w:lastRenderedPageBreak/>
        <w:t>conformidad con lo previsto en los artículos 198, 200, fracción III, 214, 215 y 216 de la Ley referida.</w:t>
      </w:r>
    </w:p>
    <w:p w14:paraId="710E836E" w14:textId="77777777" w:rsidR="008C1488" w:rsidRPr="00020B36" w:rsidRDefault="008C1488" w:rsidP="00382C58">
      <w:pPr>
        <w:spacing w:after="0" w:line="360" w:lineRule="auto"/>
        <w:ind w:right="-28"/>
        <w:contextualSpacing/>
        <w:rPr>
          <w:color w:val="000000"/>
          <w:lang w:eastAsia="en-US"/>
        </w:rPr>
      </w:pPr>
    </w:p>
    <w:p w14:paraId="54D4F617" w14:textId="77777777" w:rsidR="008C1488" w:rsidRDefault="008C1488" w:rsidP="00382C58">
      <w:pPr>
        <w:spacing w:after="0" w:line="360" w:lineRule="auto"/>
        <w:contextualSpacing/>
        <w:rPr>
          <w:color w:val="000000"/>
          <w:lang w:eastAsia="en-US"/>
        </w:rPr>
      </w:pPr>
      <w:r w:rsidRPr="00020B36">
        <w:rPr>
          <w:color w:val="000000"/>
          <w:lang w:eastAsia="en-US"/>
        </w:rPr>
        <w:t xml:space="preserve">De conformidad con el artículo 198 de la </w:t>
      </w:r>
      <w:r w:rsidRPr="00020B36">
        <w:rPr>
          <w:lang w:eastAsia="en-US"/>
        </w:rPr>
        <w:t>Ley de Transparencia y Acceso a la Información Pública del Estado de México y Municipios</w:t>
      </w:r>
      <w:r w:rsidRPr="00020B36">
        <w:rPr>
          <w:color w:val="000000"/>
          <w:lang w:eastAsia="en-US"/>
        </w:rPr>
        <w:t>, de considerarlo procedente, el Sujeto Obligado de manera fundada y motivada, podrá solicitar una ampliación de plazo para el cumplimiento de la presente resolución.</w:t>
      </w:r>
    </w:p>
    <w:p w14:paraId="21ED1823" w14:textId="77777777" w:rsidR="00B626D3" w:rsidRPr="00020B36" w:rsidRDefault="00B626D3" w:rsidP="00382C58">
      <w:pPr>
        <w:spacing w:after="0" w:line="360" w:lineRule="auto"/>
        <w:contextualSpacing/>
        <w:rPr>
          <w:color w:val="000000"/>
          <w:lang w:eastAsia="en-US"/>
        </w:rPr>
      </w:pPr>
      <w:bookmarkStart w:id="17" w:name="_GoBack"/>
      <w:bookmarkEnd w:id="17"/>
    </w:p>
    <w:p w14:paraId="3BE6FD25" w14:textId="77777777" w:rsidR="008C1488" w:rsidRPr="00020B36" w:rsidRDefault="008C1488" w:rsidP="00382C58">
      <w:pPr>
        <w:spacing w:after="0" w:line="360" w:lineRule="auto"/>
        <w:contextualSpacing/>
        <w:rPr>
          <w:lang w:eastAsia="en-US"/>
        </w:rPr>
      </w:pPr>
      <w:r w:rsidRPr="00020B36">
        <w:rPr>
          <w:b/>
          <w:lang w:eastAsia="en-US"/>
        </w:rPr>
        <w:t>CUARTO. NOTIFÍQUESE POR SAIMEX</w:t>
      </w:r>
      <w:r w:rsidRPr="00020B36">
        <w:rPr>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CC1F5AD" w14:textId="77777777" w:rsidR="00253B74" w:rsidRPr="00020B36" w:rsidRDefault="00253B74" w:rsidP="00382C58">
      <w:pPr>
        <w:spacing w:after="0" w:line="360" w:lineRule="auto"/>
        <w:rPr>
          <w:color w:val="000000"/>
        </w:rPr>
      </w:pPr>
    </w:p>
    <w:p w14:paraId="07FA96EA" w14:textId="18BFEE1A" w:rsidR="00253B74" w:rsidRDefault="00B76585" w:rsidP="00382C58">
      <w:pPr>
        <w:spacing w:after="0" w:line="360" w:lineRule="auto"/>
        <w:rPr>
          <w:color w:val="000000"/>
        </w:rPr>
      </w:pPr>
      <w:r w:rsidRPr="00020B36">
        <w:rPr>
          <w:color w:val="000000"/>
        </w:rPr>
        <w:t xml:space="preserve">ASÍ, POR </w:t>
      </w:r>
      <w:r w:rsidRPr="00020B36">
        <w:rPr>
          <w:b/>
          <w:color w:val="000000"/>
        </w:rPr>
        <w:t>UNANIMIDAD</w:t>
      </w:r>
      <w:r w:rsidRPr="00020B36">
        <w:rPr>
          <w:color w:val="000000"/>
        </w:rPr>
        <w:t xml:space="preserve"> DE VOTOS, LO RESOLVIERON Y FIRMAN LOS COMISIONADOS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D666E" w:rsidRPr="00020B36">
        <w:rPr>
          <w:color w:val="000000"/>
        </w:rPr>
        <w:t>DECIMA</w:t>
      </w:r>
      <w:r w:rsidRPr="00020B36">
        <w:rPr>
          <w:color w:val="000000"/>
        </w:rPr>
        <w:t xml:space="preserve"> </w:t>
      </w:r>
      <w:r w:rsidR="00030D78" w:rsidRPr="00020B36">
        <w:rPr>
          <w:color w:val="000000"/>
        </w:rPr>
        <w:t xml:space="preserve">TERCERA </w:t>
      </w:r>
      <w:r w:rsidRPr="00020B36">
        <w:rPr>
          <w:color w:val="000000"/>
        </w:rPr>
        <w:t>SESIÓN ORDINARIA, CELEBRADA EL</w:t>
      </w:r>
      <w:r w:rsidR="002D666E" w:rsidRPr="00020B36">
        <w:rPr>
          <w:color w:val="000000"/>
        </w:rPr>
        <w:t xml:space="preserve"> </w:t>
      </w:r>
      <w:r w:rsidR="00030D78" w:rsidRPr="00020B36">
        <w:rPr>
          <w:color w:val="000000"/>
        </w:rPr>
        <w:t>NUEVE DE ABRIL</w:t>
      </w:r>
      <w:r w:rsidRPr="00020B36">
        <w:rPr>
          <w:color w:val="000000"/>
        </w:rPr>
        <w:t xml:space="preserve"> DE DOS MIL VEINTICINCO, ANTE EL SECRETARIO TÉCNICO DEL PLENO, ALEXIS TAPIA RAMÍREZ.</w:t>
      </w:r>
    </w:p>
    <w:p w14:paraId="337C30CD" w14:textId="77777777" w:rsidR="00253B74" w:rsidRDefault="00253B74" w:rsidP="00382C58">
      <w:pPr>
        <w:spacing w:after="0" w:line="360" w:lineRule="auto"/>
        <w:rPr>
          <w:color w:val="000000"/>
        </w:rPr>
      </w:pPr>
    </w:p>
    <w:p w14:paraId="3E68FF3D" w14:textId="77777777" w:rsidR="00253B74" w:rsidRDefault="00253B74" w:rsidP="00382C58">
      <w:pPr>
        <w:spacing w:after="0" w:line="360" w:lineRule="auto"/>
      </w:pPr>
    </w:p>
    <w:p w14:paraId="5D14AE09" w14:textId="77777777" w:rsidR="00253B74" w:rsidRDefault="00253B74" w:rsidP="00382C58">
      <w:pPr>
        <w:spacing w:after="0" w:line="360" w:lineRule="auto"/>
      </w:pPr>
    </w:p>
    <w:p w14:paraId="7D65782A" w14:textId="77777777" w:rsidR="00253B74" w:rsidRDefault="00253B74" w:rsidP="00382C58">
      <w:pPr>
        <w:spacing w:after="0" w:line="360" w:lineRule="auto"/>
      </w:pPr>
    </w:p>
    <w:p w14:paraId="38BFEEDA" w14:textId="77777777" w:rsidR="00253B74" w:rsidRDefault="00253B74" w:rsidP="00382C58">
      <w:pPr>
        <w:spacing w:after="0" w:line="360" w:lineRule="auto"/>
      </w:pPr>
    </w:p>
    <w:p w14:paraId="363AE3F5" w14:textId="77777777" w:rsidR="00253B74" w:rsidRDefault="00253B74" w:rsidP="00382C58">
      <w:pPr>
        <w:spacing w:after="0" w:line="360" w:lineRule="auto"/>
      </w:pPr>
    </w:p>
    <w:p w14:paraId="0C4801C7" w14:textId="77777777" w:rsidR="00253B74" w:rsidRDefault="00253B74" w:rsidP="00382C58">
      <w:pPr>
        <w:spacing w:after="0" w:line="360" w:lineRule="auto"/>
      </w:pPr>
    </w:p>
    <w:p w14:paraId="4178E59E" w14:textId="77777777" w:rsidR="00253B74" w:rsidRDefault="00253B74" w:rsidP="00382C58">
      <w:pPr>
        <w:spacing w:after="0" w:line="360" w:lineRule="auto"/>
      </w:pPr>
    </w:p>
    <w:p w14:paraId="560DAC53" w14:textId="77777777" w:rsidR="00253B74" w:rsidRDefault="00253B74" w:rsidP="00382C58">
      <w:pPr>
        <w:spacing w:after="0" w:line="360" w:lineRule="auto"/>
      </w:pPr>
    </w:p>
    <w:p w14:paraId="6598C265" w14:textId="77777777" w:rsidR="00253B74" w:rsidRDefault="00253B74" w:rsidP="00382C58">
      <w:pPr>
        <w:spacing w:after="0" w:line="360" w:lineRule="auto"/>
      </w:pPr>
    </w:p>
    <w:p w14:paraId="30667927" w14:textId="77777777" w:rsidR="00253B74" w:rsidRDefault="00253B74" w:rsidP="00382C58">
      <w:pPr>
        <w:spacing w:after="0" w:line="360" w:lineRule="auto"/>
      </w:pPr>
    </w:p>
    <w:p w14:paraId="6642AC8D" w14:textId="77777777" w:rsidR="00253B74" w:rsidRDefault="00253B74" w:rsidP="00382C58">
      <w:pPr>
        <w:spacing w:after="0" w:line="360" w:lineRule="auto"/>
      </w:pPr>
    </w:p>
    <w:p w14:paraId="26E27FD5" w14:textId="77777777" w:rsidR="00253B74" w:rsidRDefault="00253B74" w:rsidP="00382C58">
      <w:pPr>
        <w:spacing w:after="0" w:line="360" w:lineRule="auto"/>
      </w:pPr>
    </w:p>
    <w:p w14:paraId="5A4EC35A" w14:textId="77777777" w:rsidR="00253B74" w:rsidRDefault="00253B74" w:rsidP="00382C58">
      <w:pPr>
        <w:spacing w:after="0" w:line="360" w:lineRule="auto"/>
      </w:pPr>
    </w:p>
    <w:p w14:paraId="1AA93DA6" w14:textId="77777777" w:rsidR="00253B74" w:rsidRDefault="00253B74" w:rsidP="00382C58">
      <w:pPr>
        <w:spacing w:after="0" w:line="360" w:lineRule="auto"/>
      </w:pPr>
    </w:p>
    <w:p w14:paraId="69AEB6A2" w14:textId="77777777" w:rsidR="00253B74" w:rsidRDefault="00253B74" w:rsidP="00382C58">
      <w:pPr>
        <w:spacing w:after="0" w:line="360" w:lineRule="auto"/>
      </w:pPr>
    </w:p>
    <w:p w14:paraId="6EA160EE" w14:textId="77777777" w:rsidR="00253B74" w:rsidRDefault="00253B74" w:rsidP="00382C58">
      <w:pPr>
        <w:spacing w:after="0" w:line="360" w:lineRule="auto"/>
      </w:pPr>
    </w:p>
    <w:p w14:paraId="401082DF" w14:textId="77777777" w:rsidR="00253B74" w:rsidRDefault="00253B74" w:rsidP="00382C58">
      <w:pPr>
        <w:spacing w:after="0" w:line="360" w:lineRule="auto"/>
      </w:pPr>
    </w:p>
    <w:p w14:paraId="54797AF4" w14:textId="77777777" w:rsidR="00253B74" w:rsidRDefault="00253B74" w:rsidP="00382C58">
      <w:pPr>
        <w:spacing w:after="0" w:line="360" w:lineRule="auto"/>
      </w:pPr>
    </w:p>
    <w:p w14:paraId="536EC997" w14:textId="77777777" w:rsidR="00253B74" w:rsidRDefault="00253B74" w:rsidP="00382C58">
      <w:pPr>
        <w:spacing w:after="0" w:line="360" w:lineRule="auto"/>
      </w:pPr>
    </w:p>
    <w:p w14:paraId="5C3895B9" w14:textId="77777777" w:rsidR="00253B74" w:rsidRDefault="00253B74" w:rsidP="00382C58">
      <w:pPr>
        <w:spacing w:after="0" w:line="360" w:lineRule="auto"/>
      </w:pPr>
    </w:p>
    <w:p w14:paraId="01D4BB51" w14:textId="77777777" w:rsidR="00253B74" w:rsidRDefault="00253B74" w:rsidP="00382C58">
      <w:pPr>
        <w:spacing w:after="0" w:line="360" w:lineRule="auto"/>
      </w:pPr>
    </w:p>
    <w:p w14:paraId="5922D57C" w14:textId="77777777" w:rsidR="00253B74" w:rsidRDefault="00253B74" w:rsidP="00382C58">
      <w:pPr>
        <w:spacing w:after="0" w:line="360" w:lineRule="auto"/>
      </w:pPr>
    </w:p>
    <w:p w14:paraId="2864E5B2" w14:textId="77777777" w:rsidR="00253B74" w:rsidRDefault="00253B74" w:rsidP="00382C58">
      <w:pPr>
        <w:spacing w:after="0" w:line="360" w:lineRule="auto"/>
      </w:pPr>
    </w:p>
    <w:p w14:paraId="41CC9A82" w14:textId="77777777" w:rsidR="00253B74" w:rsidRDefault="00253B74" w:rsidP="00382C58">
      <w:pPr>
        <w:spacing w:after="0" w:line="360" w:lineRule="auto"/>
      </w:pPr>
    </w:p>
    <w:sectPr w:rsidR="00253B74">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851"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BB988" w14:textId="77777777" w:rsidR="008E3670" w:rsidRDefault="008E3670">
      <w:pPr>
        <w:spacing w:after="0" w:line="240" w:lineRule="auto"/>
      </w:pPr>
      <w:r>
        <w:separator/>
      </w:r>
    </w:p>
  </w:endnote>
  <w:endnote w:type="continuationSeparator" w:id="0">
    <w:p w14:paraId="36D30A5B" w14:textId="77777777" w:rsidR="008E3670" w:rsidRDefault="008E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ECBCF" w14:textId="77777777" w:rsidR="00B82BF9" w:rsidRDefault="00B82BF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944F0E">
      <w:rPr>
        <w:b/>
        <w:color w:val="000000"/>
        <w:sz w:val="24"/>
        <w:szCs w:val="24"/>
      </w:rPr>
      <w:fldChar w:fldCharType="separate"/>
    </w:r>
    <w:r w:rsidR="00944F0E">
      <w:rPr>
        <w:b/>
        <w:noProof/>
        <w:color w:val="000000"/>
        <w:sz w:val="24"/>
        <w:szCs w:val="24"/>
      </w:rPr>
      <w:t>22</w:t>
    </w:r>
    <w:r>
      <w:rPr>
        <w:b/>
        <w:color w:val="000000"/>
        <w:sz w:val="24"/>
        <w:szCs w:val="24"/>
      </w:rPr>
      <w:fldChar w:fldCharType="end"/>
    </w:r>
  </w:p>
  <w:p w14:paraId="77DD7EF1" w14:textId="77777777" w:rsidR="00B82BF9" w:rsidRDefault="00B82BF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35C2C" w14:textId="77777777" w:rsidR="00B82BF9" w:rsidRDefault="00B82BF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44F0E">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44F0E">
      <w:rPr>
        <w:b/>
        <w:noProof/>
        <w:color w:val="000000"/>
        <w:sz w:val="24"/>
        <w:szCs w:val="24"/>
      </w:rPr>
      <w:t>22</w:t>
    </w:r>
    <w:r>
      <w:rPr>
        <w:b/>
        <w:color w:val="000000"/>
        <w:sz w:val="24"/>
        <w:szCs w:val="24"/>
      </w:rPr>
      <w:fldChar w:fldCharType="end"/>
    </w:r>
  </w:p>
  <w:p w14:paraId="3283FD85" w14:textId="77777777" w:rsidR="00B82BF9" w:rsidRDefault="00B82BF9">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6102" w14:textId="77777777" w:rsidR="00B82BF9" w:rsidRDefault="00B82BF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44F0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44F0E">
      <w:rPr>
        <w:b/>
        <w:noProof/>
        <w:color w:val="000000"/>
        <w:sz w:val="24"/>
        <w:szCs w:val="24"/>
      </w:rPr>
      <w:t>22</w:t>
    </w:r>
    <w:r>
      <w:rPr>
        <w:b/>
        <w:color w:val="000000"/>
        <w:sz w:val="24"/>
        <w:szCs w:val="24"/>
      </w:rPr>
      <w:fldChar w:fldCharType="end"/>
    </w:r>
  </w:p>
  <w:p w14:paraId="2D436271" w14:textId="77777777" w:rsidR="00B82BF9" w:rsidRDefault="00B82BF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3C8A6" w14:textId="77777777" w:rsidR="008E3670" w:rsidRDefault="008E3670">
      <w:pPr>
        <w:spacing w:after="0" w:line="240" w:lineRule="auto"/>
      </w:pPr>
      <w:r>
        <w:separator/>
      </w:r>
    </w:p>
  </w:footnote>
  <w:footnote w:type="continuationSeparator" w:id="0">
    <w:p w14:paraId="1370DA17" w14:textId="77777777" w:rsidR="008E3670" w:rsidRDefault="008E3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9E016" w14:textId="77777777" w:rsidR="00B82BF9" w:rsidRDefault="00B82BF9">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B82BF9" w14:paraId="51383F49" w14:textId="77777777">
      <w:trPr>
        <w:trHeight w:val="132"/>
      </w:trPr>
      <w:tc>
        <w:tcPr>
          <w:tcW w:w="2691" w:type="dxa"/>
        </w:tcPr>
        <w:p w14:paraId="1F966C5C" w14:textId="77777777" w:rsidR="00B82BF9" w:rsidRDefault="00B82BF9">
          <w:pPr>
            <w:tabs>
              <w:tab w:val="right" w:pos="8838"/>
            </w:tabs>
            <w:ind w:right="-105"/>
            <w:rPr>
              <w:b/>
            </w:rPr>
          </w:pPr>
          <w:r>
            <w:rPr>
              <w:b/>
            </w:rPr>
            <w:t>Recurso de Revisión:</w:t>
          </w:r>
        </w:p>
      </w:tc>
      <w:tc>
        <w:tcPr>
          <w:tcW w:w="3405" w:type="dxa"/>
        </w:tcPr>
        <w:p w14:paraId="68C7BA05" w14:textId="77777777" w:rsidR="00B82BF9" w:rsidRDefault="00B82BF9">
          <w:pPr>
            <w:tabs>
              <w:tab w:val="right" w:pos="8838"/>
            </w:tabs>
            <w:ind w:left="-28" w:right="-32"/>
          </w:pPr>
          <w:r>
            <w:t>03846/INFOEM/IP/RR/2020</w:t>
          </w:r>
        </w:p>
      </w:tc>
    </w:tr>
    <w:tr w:rsidR="00B82BF9" w14:paraId="09F36B16" w14:textId="77777777">
      <w:trPr>
        <w:trHeight w:val="261"/>
      </w:trPr>
      <w:tc>
        <w:tcPr>
          <w:tcW w:w="2691" w:type="dxa"/>
        </w:tcPr>
        <w:p w14:paraId="75E0BBD1" w14:textId="77777777" w:rsidR="00B82BF9" w:rsidRDefault="00B82BF9">
          <w:pPr>
            <w:tabs>
              <w:tab w:val="right" w:pos="8838"/>
            </w:tabs>
            <w:ind w:right="-105"/>
            <w:rPr>
              <w:b/>
            </w:rPr>
          </w:pPr>
          <w:r>
            <w:rPr>
              <w:b/>
            </w:rPr>
            <w:t>Sujeto Obligado:</w:t>
          </w:r>
        </w:p>
      </w:tc>
      <w:tc>
        <w:tcPr>
          <w:tcW w:w="3405" w:type="dxa"/>
        </w:tcPr>
        <w:p w14:paraId="49923B22" w14:textId="77777777" w:rsidR="00B82BF9" w:rsidRDefault="00B82BF9">
          <w:pPr>
            <w:tabs>
              <w:tab w:val="right" w:pos="8838"/>
            </w:tabs>
            <w:ind w:right="-32"/>
          </w:pPr>
          <w:r>
            <w:t>Ayuntamiento de Valle de Chalco Solidaridad</w:t>
          </w:r>
        </w:p>
      </w:tc>
    </w:tr>
    <w:tr w:rsidR="00B82BF9" w14:paraId="4698C452" w14:textId="77777777">
      <w:trPr>
        <w:trHeight w:val="261"/>
      </w:trPr>
      <w:tc>
        <w:tcPr>
          <w:tcW w:w="2691" w:type="dxa"/>
        </w:tcPr>
        <w:p w14:paraId="5A5FD566" w14:textId="77777777" w:rsidR="00B82BF9" w:rsidRDefault="00B82BF9">
          <w:pPr>
            <w:tabs>
              <w:tab w:val="right" w:pos="8838"/>
            </w:tabs>
            <w:ind w:right="-105"/>
            <w:rPr>
              <w:b/>
            </w:rPr>
          </w:pPr>
          <w:r>
            <w:rPr>
              <w:b/>
            </w:rPr>
            <w:t>Comisionado Ponente:</w:t>
          </w:r>
        </w:p>
      </w:tc>
      <w:tc>
        <w:tcPr>
          <w:tcW w:w="3405" w:type="dxa"/>
        </w:tcPr>
        <w:p w14:paraId="298AA2EA" w14:textId="77777777" w:rsidR="00B82BF9" w:rsidRDefault="00B82BF9">
          <w:pPr>
            <w:tabs>
              <w:tab w:val="right" w:pos="8838"/>
            </w:tabs>
            <w:ind w:right="-32"/>
            <w:rPr>
              <w:b/>
            </w:rPr>
          </w:pPr>
          <w:r>
            <w:t>Luis Gustavo Parra Noriega</w:t>
          </w:r>
        </w:p>
      </w:tc>
    </w:tr>
  </w:tbl>
  <w:p w14:paraId="6DB06B68" w14:textId="77777777" w:rsidR="00B82BF9" w:rsidRDefault="008E3670">
    <w:pPr>
      <w:pBdr>
        <w:top w:val="nil"/>
        <w:left w:val="nil"/>
        <w:bottom w:val="nil"/>
        <w:right w:val="nil"/>
        <w:between w:val="nil"/>
      </w:pBdr>
      <w:tabs>
        <w:tab w:val="center" w:pos="4419"/>
        <w:tab w:val="right" w:pos="8838"/>
      </w:tabs>
      <w:spacing w:after="0" w:line="240" w:lineRule="auto"/>
      <w:rPr>
        <w:color w:val="000000"/>
      </w:rPr>
    </w:pPr>
    <w:r>
      <w:rPr>
        <w:color w:val="000000"/>
      </w:rPr>
      <w:pict w14:anchorId="0951C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76A91" w14:textId="77777777" w:rsidR="00B82BF9" w:rsidRDefault="008E3670">
    <w:r>
      <w:pict w14:anchorId="209B5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80.95pt;margin-top:-137.35pt;width:663.5pt;height:12in;z-index:-251659776;mso-position-horizontal-relative:margin;mso-position-vertical-relative:margin">
          <v:imagedata r:id="rId1" o:title="image1"/>
          <w10:wrap anchorx="margin" anchory="margin"/>
        </v:shape>
      </w:pict>
    </w:r>
  </w:p>
  <w:tbl>
    <w:tblPr>
      <w:tblStyle w:val="a0"/>
      <w:tblW w:w="5524" w:type="dxa"/>
      <w:tblInd w:w="3402" w:type="dxa"/>
      <w:tblLayout w:type="fixed"/>
      <w:tblLook w:val="0400" w:firstRow="0" w:lastRow="0" w:firstColumn="0" w:lastColumn="0" w:noHBand="0" w:noVBand="1"/>
    </w:tblPr>
    <w:tblGrid>
      <w:gridCol w:w="2410"/>
      <w:gridCol w:w="3114"/>
    </w:tblGrid>
    <w:tr w:rsidR="00B82BF9" w14:paraId="0A72F0D7" w14:textId="77777777" w:rsidTr="00CB56D6">
      <w:trPr>
        <w:trHeight w:val="138"/>
      </w:trPr>
      <w:tc>
        <w:tcPr>
          <w:tcW w:w="2410" w:type="dxa"/>
          <w:vAlign w:val="center"/>
        </w:tcPr>
        <w:p w14:paraId="6B802F04" w14:textId="77777777" w:rsidR="00B82BF9" w:rsidRDefault="00B82BF9">
          <w:pPr>
            <w:tabs>
              <w:tab w:val="right" w:pos="8838"/>
            </w:tabs>
            <w:ind w:right="-105"/>
            <w:jc w:val="left"/>
            <w:rPr>
              <w:b/>
            </w:rPr>
          </w:pPr>
          <w:r>
            <w:rPr>
              <w:b/>
            </w:rPr>
            <w:t>Recurso de Revisión:</w:t>
          </w:r>
        </w:p>
      </w:tc>
      <w:tc>
        <w:tcPr>
          <w:tcW w:w="3114" w:type="dxa"/>
        </w:tcPr>
        <w:p w14:paraId="2F988D56" w14:textId="787E26D2" w:rsidR="00B82BF9" w:rsidRDefault="00936B16">
          <w:pPr>
            <w:tabs>
              <w:tab w:val="right" w:pos="8838"/>
            </w:tabs>
            <w:ind w:right="-32"/>
          </w:pPr>
          <w:r>
            <w:t>02446/INFOEM/IP/RR/2025</w:t>
          </w:r>
        </w:p>
      </w:tc>
    </w:tr>
    <w:tr w:rsidR="00B82BF9" w14:paraId="431D83E4" w14:textId="77777777" w:rsidTr="00CB56D6">
      <w:trPr>
        <w:trHeight w:val="273"/>
      </w:trPr>
      <w:tc>
        <w:tcPr>
          <w:tcW w:w="2410" w:type="dxa"/>
        </w:tcPr>
        <w:p w14:paraId="768E1E5A" w14:textId="77777777" w:rsidR="00B82BF9" w:rsidRDefault="00B82BF9">
          <w:pPr>
            <w:tabs>
              <w:tab w:val="right" w:pos="8838"/>
            </w:tabs>
            <w:ind w:right="-105"/>
            <w:rPr>
              <w:b/>
            </w:rPr>
          </w:pPr>
          <w:r>
            <w:rPr>
              <w:b/>
            </w:rPr>
            <w:t>Sujeto Obligado:</w:t>
          </w:r>
        </w:p>
      </w:tc>
      <w:tc>
        <w:tcPr>
          <w:tcW w:w="3114" w:type="dxa"/>
        </w:tcPr>
        <w:p w14:paraId="452F5004" w14:textId="277DBDA4" w:rsidR="00B82BF9" w:rsidRDefault="00936B16">
          <w:pPr>
            <w:tabs>
              <w:tab w:val="right" w:pos="8838"/>
            </w:tabs>
            <w:ind w:left="-28" w:right="-32"/>
          </w:pPr>
          <w:r w:rsidRPr="00936B16">
            <w:rPr>
              <w:color w:val="000000"/>
            </w:rPr>
            <w:t>Ayuntamiento de Atizapán</w:t>
          </w:r>
        </w:p>
      </w:tc>
    </w:tr>
    <w:tr w:rsidR="00B82BF9" w14:paraId="0986E5B1" w14:textId="77777777" w:rsidTr="00CB56D6">
      <w:trPr>
        <w:trHeight w:val="273"/>
      </w:trPr>
      <w:tc>
        <w:tcPr>
          <w:tcW w:w="2410" w:type="dxa"/>
        </w:tcPr>
        <w:p w14:paraId="5E59A4E2" w14:textId="77777777" w:rsidR="00B82BF9" w:rsidRDefault="00B82BF9">
          <w:pPr>
            <w:tabs>
              <w:tab w:val="right" w:pos="8838"/>
            </w:tabs>
            <w:ind w:right="-105"/>
            <w:rPr>
              <w:b/>
            </w:rPr>
          </w:pPr>
          <w:r>
            <w:rPr>
              <w:b/>
            </w:rPr>
            <w:t>Comisionado Ponente:</w:t>
          </w:r>
        </w:p>
      </w:tc>
      <w:tc>
        <w:tcPr>
          <w:tcW w:w="3114" w:type="dxa"/>
        </w:tcPr>
        <w:p w14:paraId="3C940905" w14:textId="77777777" w:rsidR="00B82BF9" w:rsidRDefault="00B82BF9">
          <w:pPr>
            <w:tabs>
              <w:tab w:val="right" w:pos="8838"/>
            </w:tabs>
            <w:ind w:left="-28" w:right="-32"/>
          </w:pPr>
          <w:r>
            <w:t>Luis Gustavo Parra Noriega</w:t>
          </w:r>
        </w:p>
        <w:p w14:paraId="301750E3" w14:textId="77777777" w:rsidR="0097705C" w:rsidRDefault="0097705C">
          <w:pPr>
            <w:tabs>
              <w:tab w:val="right" w:pos="8838"/>
            </w:tabs>
            <w:ind w:left="-28" w:right="-32"/>
            <w:rPr>
              <w:b/>
            </w:rPr>
          </w:pPr>
        </w:p>
      </w:tc>
    </w:tr>
  </w:tbl>
  <w:p w14:paraId="172666E2" w14:textId="77777777" w:rsidR="00B82BF9" w:rsidRDefault="00B82BF9">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8764B" w14:textId="451D6709" w:rsidR="00B82BF9" w:rsidRDefault="008E3670">
    <w:pPr>
      <w:widowControl w:val="0"/>
      <w:pBdr>
        <w:top w:val="nil"/>
        <w:left w:val="nil"/>
        <w:bottom w:val="nil"/>
        <w:right w:val="nil"/>
        <w:between w:val="nil"/>
      </w:pBdr>
      <w:spacing w:after="0" w:line="276" w:lineRule="auto"/>
      <w:jc w:val="left"/>
      <w:rPr>
        <w:color w:val="000000"/>
      </w:rPr>
    </w:pPr>
    <w:r>
      <w:rPr>
        <w:color w:val="000000"/>
      </w:rPr>
      <w:pict w14:anchorId="016DB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7.1pt;margin-top:-126.15pt;width:663.5pt;height:12in;z-index:-251658752;mso-position-horizontal-relative:margin;mso-position-vertical-relative:margin">
          <v:imagedata r:id="rId1" o:title="image1"/>
          <w10:wrap anchorx="margin" anchory="margin"/>
        </v:shape>
      </w:pict>
    </w:r>
  </w:p>
  <w:tbl>
    <w:tblPr>
      <w:tblStyle w:val="a1"/>
      <w:tblW w:w="6096"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2"/>
      <w:gridCol w:w="3544"/>
    </w:tblGrid>
    <w:tr w:rsidR="00B82BF9" w14:paraId="71B9D2C4" w14:textId="77777777" w:rsidTr="007D1ECF">
      <w:trPr>
        <w:trHeight w:val="132"/>
      </w:trPr>
      <w:tc>
        <w:tcPr>
          <w:tcW w:w="2552" w:type="dxa"/>
        </w:tcPr>
        <w:p w14:paraId="040EEE7F" w14:textId="77777777" w:rsidR="00B82BF9" w:rsidRDefault="00B82BF9">
          <w:pPr>
            <w:tabs>
              <w:tab w:val="right" w:pos="8838"/>
            </w:tabs>
            <w:ind w:right="-105"/>
            <w:rPr>
              <w:b/>
            </w:rPr>
          </w:pPr>
          <w:r>
            <w:rPr>
              <w:b/>
            </w:rPr>
            <w:t>Recurso de Revisión:</w:t>
          </w:r>
        </w:p>
      </w:tc>
      <w:tc>
        <w:tcPr>
          <w:tcW w:w="3544" w:type="dxa"/>
        </w:tcPr>
        <w:p w14:paraId="4BE02A0B" w14:textId="1AA43E07" w:rsidR="00B82BF9" w:rsidRDefault="00936B16">
          <w:pPr>
            <w:tabs>
              <w:tab w:val="right" w:pos="8838"/>
            </w:tabs>
            <w:ind w:left="-111" w:right="-32"/>
          </w:pPr>
          <w:r>
            <w:t>02446/INFOEM/IP/RR/2025</w:t>
          </w:r>
        </w:p>
      </w:tc>
    </w:tr>
    <w:tr w:rsidR="00B82BF9" w14:paraId="62FE029B" w14:textId="77777777" w:rsidTr="007D1ECF">
      <w:trPr>
        <w:trHeight w:val="132"/>
      </w:trPr>
      <w:tc>
        <w:tcPr>
          <w:tcW w:w="2552" w:type="dxa"/>
        </w:tcPr>
        <w:p w14:paraId="00D7A331" w14:textId="77777777" w:rsidR="00B82BF9" w:rsidRDefault="00B82BF9">
          <w:pPr>
            <w:tabs>
              <w:tab w:val="left" w:pos="1875"/>
            </w:tabs>
            <w:ind w:right="-105"/>
            <w:rPr>
              <w:b/>
            </w:rPr>
          </w:pPr>
          <w:r>
            <w:rPr>
              <w:b/>
            </w:rPr>
            <w:t>Recurrente:</w:t>
          </w:r>
          <w:r>
            <w:rPr>
              <w:b/>
            </w:rPr>
            <w:tab/>
          </w:r>
        </w:p>
      </w:tc>
      <w:tc>
        <w:tcPr>
          <w:tcW w:w="3544" w:type="dxa"/>
        </w:tcPr>
        <w:p w14:paraId="6B9C372F" w14:textId="03E8F651" w:rsidR="00B82BF9" w:rsidRDefault="00B82BF9">
          <w:pPr>
            <w:tabs>
              <w:tab w:val="right" w:pos="8838"/>
            </w:tabs>
            <w:ind w:left="-111" w:right="-109"/>
          </w:pPr>
        </w:p>
      </w:tc>
    </w:tr>
    <w:tr w:rsidR="00B82BF9" w14:paraId="6F502C36" w14:textId="77777777" w:rsidTr="007D1ECF">
      <w:trPr>
        <w:trHeight w:val="261"/>
      </w:trPr>
      <w:tc>
        <w:tcPr>
          <w:tcW w:w="2552" w:type="dxa"/>
        </w:tcPr>
        <w:p w14:paraId="45B6D557" w14:textId="77777777" w:rsidR="00B82BF9" w:rsidRDefault="00B82BF9">
          <w:pPr>
            <w:tabs>
              <w:tab w:val="right" w:pos="8838"/>
            </w:tabs>
            <w:ind w:right="-105"/>
            <w:rPr>
              <w:b/>
            </w:rPr>
          </w:pPr>
          <w:r>
            <w:rPr>
              <w:b/>
            </w:rPr>
            <w:t>Sujeto Obligado:</w:t>
          </w:r>
        </w:p>
      </w:tc>
      <w:tc>
        <w:tcPr>
          <w:tcW w:w="3544" w:type="dxa"/>
        </w:tcPr>
        <w:p w14:paraId="12234D10" w14:textId="00A450A3" w:rsidR="00B82BF9" w:rsidRDefault="00936B16">
          <w:pPr>
            <w:tabs>
              <w:tab w:val="right" w:pos="8838"/>
            </w:tabs>
            <w:ind w:left="-111" w:right="-32"/>
          </w:pPr>
          <w:r w:rsidRPr="00936B16">
            <w:rPr>
              <w:color w:val="000000"/>
            </w:rPr>
            <w:t>Ayuntamiento de Atizapán</w:t>
          </w:r>
        </w:p>
      </w:tc>
    </w:tr>
    <w:tr w:rsidR="00B82BF9" w14:paraId="1129CD48" w14:textId="77777777" w:rsidTr="007D1ECF">
      <w:trPr>
        <w:trHeight w:val="261"/>
      </w:trPr>
      <w:tc>
        <w:tcPr>
          <w:tcW w:w="2552" w:type="dxa"/>
        </w:tcPr>
        <w:p w14:paraId="71BD05CE" w14:textId="77777777" w:rsidR="00B82BF9" w:rsidRDefault="00B82BF9">
          <w:pPr>
            <w:tabs>
              <w:tab w:val="right" w:pos="8838"/>
            </w:tabs>
            <w:ind w:right="-105"/>
            <w:rPr>
              <w:b/>
            </w:rPr>
          </w:pPr>
          <w:r>
            <w:rPr>
              <w:b/>
            </w:rPr>
            <w:t>Comisionado Ponente:</w:t>
          </w:r>
        </w:p>
      </w:tc>
      <w:tc>
        <w:tcPr>
          <w:tcW w:w="3544" w:type="dxa"/>
        </w:tcPr>
        <w:p w14:paraId="7B94A924" w14:textId="77777777" w:rsidR="00B82BF9" w:rsidRDefault="00B82BF9">
          <w:pPr>
            <w:tabs>
              <w:tab w:val="right" w:pos="8838"/>
            </w:tabs>
            <w:ind w:left="-111" w:right="-32"/>
            <w:rPr>
              <w:b/>
            </w:rPr>
          </w:pPr>
          <w:r>
            <w:t>Luis Gustavo Parra Noriega</w:t>
          </w:r>
        </w:p>
      </w:tc>
    </w:tr>
  </w:tbl>
  <w:p w14:paraId="0BB4F8BC" w14:textId="6CA9B1F8" w:rsidR="00B82BF9" w:rsidRDefault="00B82BF9">
    <w:pPr>
      <w:pBdr>
        <w:top w:val="nil"/>
        <w:left w:val="nil"/>
        <w:bottom w:val="nil"/>
        <w:right w:val="nil"/>
        <w:between w:val="nil"/>
      </w:pBdr>
      <w:tabs>
        <w:tab w:val="center" w:pos="4419"/>
        <w:tab w:val="right" w:pos="8838"/>
        <w:tab w:val="left" w:pos="581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2A4"/>
    <w:multiLevelType w:val="hybridMultilevel"/>
    <w:tmpl w:val="76AC0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E1A35"/>
    <w:multiLevelType w:val="multilevel"/>
    <w:tmpl w:val="0E0AF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577E66"/>
    <w:multiLevelType w:val="multilevel"/>
    <w:tmpl w:val="CBCE219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65285F"/>
    <w:multiLevelType w:val="multilevel"/>
    <w:tmpl w:val="F86AB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1B3F72"/>
    <w:multiLevelType w:val="multilevel"/>
    <w:tmpl w:val="99A86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B67FED"/>
    <w:multiLevelType w:val="hybridMultilevel"/>
    <w:tmpl w:val="05724F68"/>
    <w:lvl w:ilvl="0" w:tplc="6A2CAA20">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8B5A3B"/>
    <w:multiLevelType w:val="multilevel"/>
    <w:tmpl w:val="AAC61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0524A4"/>
    <w:multiLevelType w:val="hybridMultilevel"/>
    <w:tmpl w:val="E5B28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0F307E"/>
    <w:multiLevelType w:val="multilevel"/>
    <w:tmpl w:val="05805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994358"/>
    <w:multiLevelType w:val="multilevel"/>
    <w:tmpl w:val="92904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C81B61"/>
    <w:multiLevelType w:val="multilevel"/>
    <w:tmpl w:val="42B45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BC4642"/>
    <w:multiLevelType w:val="multilevel"/>
    <w:tmpl w:val="04FC9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FA02F89"/>
    <w:multiLevelType w:val="hybridMultilevel"/>
    <w:tmpl w:val="A00A0F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03E4C6E"/>
    <w:multiLevelType w:val="multilevel"/>
    <w:tmpl w:val="DD602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3223CF5"/>
    <w:multiLevelType w:val="multilevel"/>
    <w:tmpl w:val="7CBCA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BBA6F6E"/>
    <w:multiLevelType w:val="multilevel"/>
    <w:tmpl w:val="4D08C2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B43BF6"/>
    <w:multiLevelType w:val="multilevel"/>
    <w:tmpl w:val="FBA6C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B71138"/>
    <w:multiLevelType w:val="multilevel"/>
    <w:tmpl w:val="AA2E58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
  </w:num>
  <w:num w:numId="3">
    <w:abstractNumId w:val="10"/>
  </w:num>
  <w:num w:numId="4">
    <w:abstractNumId w:val="18"/>
  </w:num>
  <w:num w:numId="5">
    <w:abstractNumId w:val="11"/>
  </w:num>
  <w:num w:numId="6">
    <w:abstractNumId w:val="12"/>
  </w:num>
  <w:num w:numId="7">
    <w:abstractNumId w:val="17"/>
  </w:num>
  <w:num w:numId="8">
    <w:abstractNumId w:val="4"/>
  </w:num>
  <w:num w:numId="9">
    <w:abstractNumId w:val="1"/>
  </w:num>
  <w:num w:numId="10">
    <w:abstractNumId w:val="6"/>
  </w:num>
  <w:num w:numId="11">
    <w:abstractNumId w:val="16"/>
  </w:num>
  <w:num w:numId="12">
    <w:abstractNumId w:val="19"/>
  </w:num>
  <w:num w:numId="13">
    <w:abstractNumId w:val="13"/>
  </w:num>
  <w:num w:numId="14">
    <w:abstractNumId w:val="8"/>
  </w:num>
  <w:num w:numId="15">
    <w:abstractNumId w:val="7"/>
  </w:num>
  <w:num w:numId="16">
    <w:abstractNumId w:val="14"/>
  </w:num>
  <w:num w:numId="17">
    <w:abstractNumId w:val="9"/>
  </w:num>
  <w:num w:numId="18">
    <w:abstractNumId w:val="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74"/>
    <w:rsid w:val="00011FAC"/>
    <w:rsid w:val="00020B36"/>
    <w:rsid w:val="00030D78"/>
    <w:rsid w:val="000549C4"/>
    <w:rsid w:val="000962B9"/>
    <w:rsid w:val="000B7798"/>
    <w:rsid w:val="000C25AE"/>
    <w:rsid w:val="000D061F"/>
    <w:rsid w:val="00111AC0"/>
    <w:rsid w:val="00131FDE"/>
    <w:rsid w:val="001418D5"/>
    <w:rsid w:val="00147E4B"/>
    <w:rsid w:val="001538EF"/>
    <w:rsid w:val="001658C4"/>
    <w:rsid w:val="001D6609"/>
    <w:rsid w:val="001F5092"/>
    <w:rsid w:val="00210D23"/>
    <w:rsid w:val="00213B19"/>
    <w:rsid w:val="002474BA"/>
    <w:rsid w:val="00253B74"/>
    <w:rsid w:val="00263A65"/>
    <w:rsid w:val="00294FEF"/>
    <w:rsid w:val="002D666E"/>
    <w:rsid w:val="0031651B"/>
    <w:rsid w:val="00321959"/>
    <w:rsid w:val="003502D5"/>
    <w:rsid w:val="00382C58"/>
    <w:rsid w:val="003A6B15"/>
    <w:rsid w:val="003B23E6"/>
    <w:rsid w:val="003D0588"/>
    <w:rsid w:val="003E535D"/>
    <w:rsid w:val="0040291C"/>
    <w:rsid w:val="00411C80"/>
    <w:rsid w:val="00477F69"/>
    <w:rsid w:val="00486938"/>
    <w:rsid w:val="004B13E3"/>
    <w:rsid w:val="004C46DE"/>
    <w:rsid w:val="004F2C16"/>
    <w:rsid w:val="00506079"/>
    <w:rsid w:val="00522842"/>
    <w:rsid w:val="00572CBB"/>
    <w:rsid w:val="0060088D"/>
    <w:rsid w:val="00600DFB"/>
    <w:rsid w:val="00616AB4"/>
    <w:rsid w:val="006363E3"/>
    <w:rsid w:val="0063650B"/>
    <w:rsid w:val="00644D7A"/>
    <w:rsid w:val="00657C3F"/>
    <w:rsid w:val="0066693D"/>
    <w:rsid w:val="00687870"/>
    <w:rsid w:val="006C7ECC"/>
    <w:rsid w:val="006E1314"/>
    <w:rsid w:val="006E53C3"/>
    <w:rsid w:val="00703CFF"/>
    <w:rsid w:val="00707C4A"/>
    <w:rsid w:val="00793480"/>
    <w:rsid w:val="007C20A7"/>
    <w:rsid w:val="007D1ECF"/>
    <w:rsid w:val="007D3D04"/>
    <w:rsid w:val="007F48FD"/>
    <w:rsid w:val="00805F47"/>
    <w:rsid w:val="00861B28"/>
    <w:rsid w:val="00866DE2"/>
    <w:rsid w:val="008C1488"/>
    <w:rsid w:val="008E3670"/>
    <w:rsid w:val="00910E6B"/>
    <w:rsid w:val="009231B6"/>
    <w:rsid w:val="00936B16"/>
    <w:rsid w:val="00944F0E"/>
    <w:rsid w:val="0097705C"/>
    <w:rsid w:val="00981043"/>
    <w:rsid w:val="009B6221"/>
    <w:rsid w:val="009C4527"/>
    <w:rsid w:val="009C62FD"/>
    <w:rsid w:val="009C691A"/>
    <w:rsid w:val="009F3F75"/>
    <w:rsid w:val="00A01A35"/>
    <w:rsid w:val="00A030AC"/>
    <w:rsid w:val="00A40395"/>
    <w:rsid w:val="00A42841"/>
    <w:rsid w:val="00A5159C"/>
    <w:rsid w:val="00A56D74"/>
    <w:rsid w:val="00A7661C"/>
    <w:rsid w:val="00A9154C"/>
    <w:rsid w:val="00A918E7"/>
    <w:rsid w:val="00AA63EA"/>
    <w:rsid w:val="00AC2BBB"/>
    <w:rsid w:val="00AD4119"/>
    <w:rsid w:val="00B17595"/>
    <w:rsid w:val="00B376B0"/>
    <w:rsid w:val="00B556F5"/>
    <w:rsid w:val="00B626D3"/>
    <w:rsid w:val="00B664AF"/>
    <w:rsid w:val="00B76585"/>
    <w:rsid w:val="00B82BF9"/>
    <w:rsid w:val="00BF6827"/>
    <w:rsid w:val="00C105FB"/>
    <w:rsid w:val="00C37A16"/>
    <w:rsid w:val="00C741CB"/>
    <w:rsid w:val="00CB56D6"/>
    <w:rsid w:val="00CE54C0"/>
    <w:rsid w:val="00D159F1"/>
    <w:rsid w:val="00D47D25"/>
    <w:rsid w:val="00DB7F68"/>
    <w:rsid w:val="00DC008C"/>
    <w:rsid w:val="00DC359F"/>
    <w:rsid w:val="00DE331A"/>
    <w:rsid w:val="00E013AE"/>
    <w:rsid w:val="00E43970"/>
    <w:rsid w:val="00E62898"/>
    <w:rsid w:val="00E6685A"/>
    <w:rsid w:val="00EB4F15"/>
    <w:rsid w:val="00ED527B"/>
    <w:rsid w:val="00F03E46"/>
    <w:rsid w:val="00F11FD5"/>
    <w:rsid w:val="00F328E4"/>
    <w:rsid w:val="00F54D9B"/>
    <w:rsid w:val="00F95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F7B65C"/>
  <w15:docId w15:val="{6F0AF7DE-527F-4AEC-9631-6FAF1D8C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79E"/>
    <w:rPr>
      <w:color w:val="000000" w:themeColor="text1"/>
    </w:rPr>
  </w:style>
  <w:style w:type="paragraph" w:styleId="Ttulo1">
    <w:name w:val="heading 1"/>
    <w:basedOn w:val="Normal"/>
    <w:next w:val="Normal"/>
    <w:link w:val="Ttulo1Car"/>
    <w:uiPriority w:val="9"/>
    <w:qFormat/>
    <w:rsid w:val="004146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72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722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F505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05D5"/>
    <w:rPr>
      <w:rFonts w:ascii="Palatino Linotype" w:hAnsi="Palatino Linotype"/>
      <w:color w:val="000000" w:themeColor="text1"/>
    </w:rPr>
  </w:style>
  <w:style w:type="paragraph" w:styleId="Piedepgina">
    <w:name w:val="footer"/>
    <w:basedOn w:val="Normal"/>
    <w:link w:val="PiedepginaCar"/>
    <w:uiPriority w:val="99"/>
    <w:unhideWhenUsed/>
    <w:rsid w:val="00F505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05D5"/>
    <w:rPr>
      <w:rFonts w:ascii="Palatino Linotype" w:hAnsi="Palatino Linotype"/>
      <w:color w:val="000000" w:themeColor="text1"/>
    </w:rPr>
  </w:style>
  <w:style w:type="table" w:styleId="Tablaconcuadrcula">
    <w:name w:val="Table Grid"/>
    <w:basedOn w:val="Tablanormal"/>
    <w:uiPriority w:val="39"/>
    <w:qFormat/>
    <w:rsid w:val="00F505D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505D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505D5"/>
    <w:rPr>
      <w:rFonts w:ascii="Palatino Linotype" w:hAnsi="Palatino Linotype"/>
      <w:color w:val="000000" w:themeColor="text1"/>
    </w:rPr>
  </w:style>
  <w:style w:type="character" w:customStyle="1" w:styleId="normaltextrun">
    <w:name w:val="normaltextrun"/>
    <w:basedOn w:val="Fuentedeprrafopredeter"/>
    <w:rsid w:val="00F505D5"/>
  </w:style>
  <w:style w:type="paragraph" w:customStyle="1" w:styleId="paragraph">
    <w:name w:val="paragraph"/>
    <w:basedOn w:val="Normal"/>
    <w:rsid w:val="00F505D5"/>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F505D5"/>
  </w:style>
  <w:style w:type="character" w:styleId="Hipervnculo">
    <w:name w:val="Hyperlink"/>
    <w:basedOn w:val="Fuentedeprrafopredeter"/>
    <w:uiPriority w:val="99"/>
    <w:unhideWhenUsed/>
    <w:rsid w:val="00507F98"/>
    <w:rPr>
      <w:color w:val="0563C1" w:themeColor="hyperlink"/>
      <w:u w:val="single"/>
    </w:rPr>
  </w:style>
  <w:style w:type="character" w:customStyle="1" w:styleId="Mencinsinresolver1">
    <w:name w:val="Mención sin resolver1"/>
    <w:basedOn w:val="Fuentedeprrafopredeter"/>
    <w:uiPriority w:val="99"/>
    <w:semiHidden/>
    <w:unhideWhenUsed/>
    <w:rsid w:val="00507F98"/>
    <w:rPr>
      <w:color w:val="605E5C"/>
      <w:shd w:val="clear" w:color="auto" w:fill="E1DFDD"/>
    </w:rPr>
  </w:style>
  <w:style w:type="paragraph" w:styleId="NormalWeb">
    <w:name w:val="Normal (Web)"/>
    <w:basedOn w:val="Normal"/>
    <w:uiPriority w:val="99"/>
    <w:unhideWhenUsed/>
    <w:rsid w:val="00D2533B"/>
    <w:rPr>
      <w:rFonts w:ascii="Times New Roman" w:hAnsi="Times New Roman" w:cs="Times New Roman"/>
      <w:sz w:val="24"/>
      <w:szCs w:val="24"/>
    </w:rPr>
  </w:style>
  <w:style w:type="paragraph" w:styleId="Sinespaciado">
    <w:name w:val="No Spacing"/>
    <w:uiPriority w:val="1"/>
    <w:qFormat/>
    <w:rsid w:val="004146DC"/>
    <w:pPr>
      <w:spacing w:after="0" w:line="240" w:lineRule="auto"/>
    </w:pPr>
    <w:rPr>
      <w:color w:val="000000" w:themeColor="text1"/>
    </w:rPr>
  </w:style>
  <w:style w:type="character" w:customStyle="1" w:styleId="Ttulo1Car">
    <w:name w:val="Título 1 Car"/>
    <w:basedOn w:val="Fuentedeprrafopredeter"/>
    <w:link w:val="Ttulo1"/>
    <w:uiPriority w:val="9"/>
    <w:rsid w:val="004146D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72241"/>
    <w:rPr>
      <w:rFonts w:asciiTheme="majorHAnsi" w:eastAsiaTheme="majorEastAsia" w:hAnsiTheme="majorHAnsi" w:cstheme="majorBidi"/>
      <w:color w:val="2F5496" w:themeColor="accent1" w:themeShade="BF"/>
      <w:sz w:val="26"/>
      <w:szCs w:val="26"/>
    </w:rPr>
  </w:style>
  <w:style w:type="paragraph" w:styleId="TtulodeTDC">
    <w:name w:val="TOC Heading"/>
    <w:basedOn w:val="Ttulo1"/>
    <w:next w:val="Normal"/>
    <w:uiPriority w:val="39"/>
    <w:unhideWhenUsed/>
    <w:qFormat/>
    <w:rsid w:val="00772241"/>
    <w:pPr>
      <w:jc w:val="left"/>
      <w:outlineLvl w:val="9"/>
    </w:pPr>
  </w:style>
  <w:style w:type="paragraph" w:styleId="TDC1">
    <w:name w:val="toc 1"/>
    <w:basedOn w:val="Normal"/>
    <w:next w:val="Normal"/>
    <w:autoRedefine/>
    <w:uiPriority w:val="39"/>
    <w:unhideWhenUsed/>
    <w:rsid w:val="00772241"/>
    <w:pPr>
      <w:spacing w:after="100"/>
    </w:pPr>
  </w:style>
  <w:style w:type="paragraph" w:styleId="TDC2">
    <w:name w:val="toc 2"/>
    <w:basedOn w:val="Normal"/>
    <w:next w:val="Normal"/>
    <w:autoRedefine/>
    <w:uiPriority w:val="39"/>
    <w:unhideWhenUsed/>
    <w:rsid w:val="00772241"/>
    <w:pPr>
      <w:spacing w:after="100"/>
      <w:ind w:left="220"/>
    </w:pPr>
  </w:style>
  <w:style w:type="character" w:customStyle="1" w:styleId="Ttulo3Car">
    <w:name w:val="Título 3 Car"/>
    <w:basedOn w:val="Fuentedeprrafopredeter"/>
    <w:link w:val="Ttulo3"/>
    <w:uiPriority w:val="9"/>
    <w:rsid w:val="00772241"/>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772241"/>
    <w:pPr>
      <w:spacing w:after="100"/>
      <w:ind w:left="44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910E6B"/>
    <w:pPr>
      <w:spacing w:after="0" w:line="240" w:lineRule="auto"/>
      <w:jc w:val="lef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783">
      <w:bodyDiv w:val="1"/>
      <w:marLeft w:val="0"/>
      <w:marRight w:val="0"/>
      <w:marTop w:val="0"/>
      <w:marBottom w:val="0"/>
      <w:divBdr>
        <w:top w:val="none" w:sz="0" w:space="0" w:color="auto"/>
        <w:left w:val="none" w:sz="0" w:space="0" w:color="auto"/>
        <w:bottom w:val="none" w:sz="0" w:space="0" w:color="auto"/>
        <w:right w:val="none" w:sz="0" w:space="0" w:color="auto"/>
      </w:divBdr>
    </w:div>
    <w:div w:id="25251383">
      <w:bodyDiv w:val="1"/>
      <w:marLeft w:val="0"/>
      <w:marRight w:val="0"/>
      <w:marTop w:val="0"/>
      <w:marBottom w:val="0"/>
      <w:divBdr>
        <w:top w:val="none" w:sz="0" w:space="0" w:color="auto"/>
        <w:left w:val="none" w:sz="0" w:space="0" w:color="auto"/>
        <w:bottom w:val="none" w:sz="0" w:space="0" w:color="auto"/>
        <w:right w:val="none" w:sz="0" w:space="0" w:color="auto"/>
      </w:divBdr>
    </w:div>
    <w:div w:id="207649120">
      <w:bodyDiv w:val="1"/>
      <w:marLeft w:val="0"/>
      <w:marRight w:val="0"/>
      <w:marTop w:val="0"/>
      <w:marBottom w:val="0"/>
      <w:divBdr>
        <w:top w:val="none" w:sz="0" w:space="0" w:color="auto"/>
        <w:left w:val="none" w:sz="0" w:space="0" w:color="auto"/>
        <w:bottom w:val="none" w:sz="0" w:space="0" w:color="auto"/>
        <w:right w:val="none" w:sz="0" w:space="0" w:color="auto"/>
      </w:divBdr>
    </w:div>
    <w:div w:id="679088915">
      <w:bodyDiv w:val="1"/>
      <w:marLeft w:val="0"/>
      <w:marRight w:val="0"/>
      <w:marTop w:val="0"/>
      <w:marBottom w:val="0"/>
      <w:divBdr>
        <w:top w:val="none" w:sz="0" w:space="0" w:color="auto"/>
        <w:left w:val="none" w:sz="0" w:space="0" w:color="auto"/>
        <w:bottom w:val="none" w:sz="0" w:space="0" w:color="auto"/>
        <w:right w:val="none" w:sz="0" w:space="0" w:color="auto"/>
      </w:divBdr>
    </w:div>
    <w:div w:id="728921313">
      <w:bodyDiv w:val="1"/>
      <w:marLeft w:val="0"/>
      <w:marRight w:val="0"/>
      <w:marTop w:val="0"/>
      <w:marBottom w:val="0"/>
      <w:divBdr>
        <w:top w:val="none" w:sz="0" w:space="0" w:color="auto"/>
        <w:left w:val="none" w:sz="0" w:space="0" w:color="auto"/>
        <w:bottom w:val="none" w:sz="0" w:space="0" w:color="auto"/>
        <w:right w:val="none" w:sz="0" w:space="0" w:color="auto"/>
      </w:divBdr>
    </w:div>
    <w:div w:id="847521664">
      <w:bodyDiv w:val="1"/>
      <w:marLeft w:val="0"/>
      <w:marRight w:val="0"/>
      <w:marTop w:val="0"/>
      <w:marBottom w:val="0"/>
      <w:divBdr>
        <w:top w:val="none" w:sz="0" w:space="0" w:color="auto"/>
        <w:left w:val="none" w:sz="0" w:space="0" w:color="auto"/>
        <w:bottom w:val="none" w:sz="0" w:space="0" w:color="auto"/>
        <w:right w:val="none" w:sz="0" w:space="0" w:color="auto"/>
      </w:divBdr>
    </w:div>
    <w:div w:id="956257061">
      <w:bodyDiv w:val="1"/>
      <w:marLeft w:val="0"/>
      <w:marRight w:val="0"/>
      <w:marTop w:val="0"/>
      <w:marBottom w:val="0"/>
      <w:divBdr>
        <w:top w:val="none" w:sz="0" w:space="0" w:color="auto"/>
        <w:left w:val="none" w:sz="0" w:space="0" w:color="auto"/>
        <w:bottom w:val="none" w:sz="0" w:space="0" w:color="auto"/>
        <w:right w:val="none" w:sz="0" w:space="0" w:color="auto"/>
      </w:divBdr>
    </w:div>
    <w:div w:id="1336152235">
      <w:bodyDiv w:val="1"/>
      <w:marLeft w:val="0"/>
      <w:marRight w:val="0"/>
      <w:marTop w:val="0"/>
      <w:marBottom w:val="0"/>
      <w:divBdr>
        <w:top w:val="none" w:sz="0" w:space="0" w:color="auto"/>
        <w:left w:val="none" w:sz="0" w:space="0" w:color="auto"/>
        <w:bottom w:val="none" w:sz="0" w:space="0" w:color="auto"/>
        <w:right w:val="none" w:sz="0" w:space="0" w:color="auto"/>
      </w:divBdr>
    </w:div>
    <w:div w:id="1406103906">
      <w:bodyDiv w:val="1"/>
      <w:marLeft w:val="0"/>
      <w:marRight w:val="0"/>
      <w:marTop w:val="0"/>
      <w:marBottom w:val="0"/>
      <w:divBdr>
        <w:top w:val="none" w:sz="0" w:space="0" w:color="auto"/>
        <w:left w:val="none" w:sz="0" w:space="0" w:color="auto"/>
        <w:bottom w:val="none" w:sz="0" w:space="0" w:color="auto"/>
        <w:right w:val="none" w:sz="0" w:space="0" w:color="auto"/>
      </w:divBdr>
    </w:div>
    <w:div w:id="1541429655">
      <w:bodyDiv w:val="1"/>
      <w:marLeft w:val="0"/>
      <w:marRight w:val="0"/>
      <w:marTop w:val="0"/>
      <w:marBottom w:val="0"/>
      <w:divBdr>
        <w:top w:val="none" w:sz="0" w:space="0" w:color="auto"/>
        <w:left w:val="none" w:sz="0" w:space="0" w:color="auto"/>
        <w:bottom w:val="none" w:sz="0" w:space="0" w:color="auto"/>
        <w:right w:val="none" w:sz="0" w:space="0" w:color="auto"/>
      </w:divBdr>
    </w:div>
    <w:div w:id="1570965483">
      <w:bodyDiv w:val="1"/>
      <w:marLeft w:val="0"/>
      <w:marRight w:val="0"/>
      <w:marTop w:val="0"/>
      <w:marBottom w:val="0"/>
      <w:divBdr>
        <w:top w:val="none" w:sz="0" w:space="0" w:color="auto"/>
        <w:left w:val="none" w:sz="0" w:space="0" w:color="auto"/>
        <w:bottom w:val="none" w:sz="0" w:space="0" w:color="auto"/>
        <w:right w:val="none" w:sz="0" w:space="0" w:color="auto"/>
      </w:divBdr>
    </w:div>
    <w:div w:id="1729108108">
      <w:bodyDiv w:val="1"/>
      <w:marLeft w:val="0"/>
      <w:marRight w:val="0"/>
      <w:marTop w:val="0"/>
      <w:marBottom w:val="0"/>
      <w:divBdr>
        <w:top w:val="none" w:sz="0" w:space="0" w:color="auto"/>
        <w:left w:val="none" w:sz="0" w:space="0" w:color="auto"/>
        <w:bottom w:val="none" w:sz="0" w:space="0" w:color="auto"/>
        <w:right w:val="none" w:sz="0" w:space="0" w:color="auto"/>
      </w:divBdr>
    </w:div>
    <w:div w:id="1847863427">
      <w:bodyDiv w:val="1"/>
      <w:marLeft w:val="0"/>
      <w:marRight w:val="0"/>
      <w:marTop w:val="0"/>
      <w:marBottom w:val="0"/>
      <w:divBdr>
        <w:top w:val="none" w:sz="0" w:space="0" w:color="auto"/>
        <w:left w:val="none" w:sz="0" w:space="0" w:color="auto"/>
        <w:bottom w:val="none" w:sz="0" w:space="0" w:color="auto"/>
        <w:right w:val="none" w:sz="0" w:space="0" w:color="auto"/>
      </w:divBdr>
      <w:divsChild>
        <w:div w:id="1646011868">
          <w:marLeft w:val="0"/>
          <w:marRight w:val="0"/>
          <w:marTop w:val="0"/>
          <w:marBottom w:val="0"/>
          <w:divBdr>
            <w:top w:val="none" w:sz="0" w:space="0" w:color="auto"/>
            <w:left w:val="none" w:sz="0" w:space="0" w:color="auto"/>
            <w:bottom w:val="none" w:sz="0" w:space="0" w:color="auto"/>
            <w:right w:val="none" w:sz="0" w:space="0" w:color="auto"/>
          </w:divBdr>
        </w:div>
      </w:divsChild>
    </w:div>
    <w:div w:id="1864242942">
      <w:bodyDiv w:val="1"/>
      <w:marLeft w:val="0"/>
      <w:marRight w:val="0"/>
      <w:marTop w:val="0"/>
      <w:marBottom w:val="0"/>
      <w:divBdr>
        <w:top w:val="none" w:sz="0" w:space="0" w:color="auto"/>
        <w:left w:val="none" w:sz="0" w:space="0" w:color="auto"/>
        <w:bottom w:val="none" w:sz="0" w:space="0" w:color="auto"/>
        <w:right w:val="none" w:sz="0" w:space="0" w:color="auto"/>
      </w:divBdr>
    </w:div>
    <w:div w:id="2022202397">
      <w:bodyDiv w:val="1"/>
      <w:marLeft w:val="0"/>
      <w:marRight w:val="0"/>
      <w:marTop w:val="0"/>
      <w:marBottom w:val="0"/>
      <w:divBdr>
        <w:top w:val="none" w:sz="0" w:space="0" w:color="auto"/>
        <w:left w:val="none" w:sz="0" w:space="0" w:color="auto"/>
        <w:bottom w:val="none" w:sz="0" w:space="0" w:color="auto"/>
        <w:right w:val="none" w:sz="0" w:space="0" w:color="auto"/>
      </w:divBdr>
    </w:div>
    <w:div w:id="2119524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DbpLzzrsnoOX+aiQ1ViNRuCUl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gAciExZUN6RXN4ci16V0N6cjBhVlMtQjZPUDdGcUxqdW9yU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890A6A-776E-4000-9DA1-B2DAA7A5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5143</Words>
  <Characters>28290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PEÑA VARA</dc:creator>
  <cp:lastModifiedBy>USUARIO</cp:lastModifiedBy>
  <cp:revision>3</cp:revision>
  <cp:lastPrinted>2025-04-11T17:35:00Z</cp:lastPrinted>
  <dcterms:created xsi:type="dcterms:W3CDTF">2025-04-11T17:35:00Z</dcterms:created>
  <dcterms:modified xsi:type="dcterms:W3CDTF">2025-04-11T17:35:00Z</dcterms:modified>
</cp:coreProperties>
</file>