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88" w:rsidRDefault="00CC4D88">
      <w:pPr>
        <w:widowControl w:val="0"/>
        <w:pBdr>
          <w:top w:val="nil"/>
          <w:left w:val="nil"/>
          <w:bottom w:val="nil"/>
          <w:right w:val="nil"/>
          <w:between w:val="nil"/>
        </w:pBdr>
        <w:spacing w:line="276" w:lineRule="auto"/>
      </w:pPr>
    </w:p>
    <w:p w:rsidR="00CC4D88" w:rsidRPr="00A84E9E" w:rsidRDefault="00A41D92">
      <w:pPr>
        <w:tabs>
          <w:tab w:val="left" w:pos="3465"/>
        </w:tabs>
        <w:spacing w:line="360" w:lineRule="auto"/>
        <w:ind w:right="-697"/>
        <w:jc w:val="both"/>
        <w:rPr>
          <w:rFonts w:ascii="Palatino Linotype" w:eastAsia="Palatino Linotype" w:hAnsi="Palatino Linotype" w:cs="Palatino Linotype"/>
        </w:rPr>
      </w:pPr>
      <w:r w:rsidRPr="00A84E9E">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veintidós (22) de enero de dos mil veinticinco.</w:t>
      </w:r>
    </w:p>
    <w:p w:rsidR="00CC4D88" w:rsidRPr="00A84E9E" w:rsidRDefault="00CC4D88">
      <w:pPr>
        <w:tabs>
          <w:tab w:val="left" w:pos="3465"/>
        </w:tabs>
        <w:spacing w:line="360" w:lineRule="auto"/>
        <w:ind w:right="-697"/>
        <w:jc w:val="both"/>
        <w:rPr>
          <w:rFonts w:ascii="Palatino Linotype" w:eastAsia="Palatino Linotype" w:hAnsi="Palatino Linotype" w:cs="Palatino Linotype"/>
        </w:rPr>
      </w:pPr>
    </w:p>
    <w:p w:rsidR="00CC4D88" w:rsidRPr="00A84E9E" w:rsidRDefault="00A41D92">
      <w:pPr>
        <w:spacing w:line="360" w:lineRule="auto"/>
        <w:ind w:right="-697"/>
        <w:jc w:val="both"/>
        <w:rPr>
          <w:rFonts w:ascii="Palatino Linotype" w:eastAsia="Palatino Linotype" w:hAnsi="Palatino Linotype" w:cs="Palatino Linotype"/>
        </w:rPr>
      </w:pPr>
      <w:r w:rsidRPr="00A84E9E">
        <w:rPr>
          <w:rFonts w:ascii="Palatino Linotype" w:eastAsia="Palatino Linotype" w:hAnsi="Palatino Linotype" w:cs="Palatino Linotype"/>
          <w:b/>
        </w:rPr>
        <w:t>VISTO</w:t>
      </w:r>
      <w:r w:rsidRPr="00A84E9E">
        <w:rPr>
          <w:rFonts w:ascii="Palatino Linotype" w:eastAsia="Palatino Linotype" w:hAnsi="Palatino Linotype" w:cs="Palatino Linotype"/>
        </w:rPr>
        <w:t xml:space="preserve"> el expediente electrónico formado con motivo del recurso de revisión </w:t>
      </w:r>
      <w:r w:rsidRPr="00A84E9E">
        <w:rPr>
          <w:rFonts w:ascii="Palatino Linotype" w:eastAsia="Palatino Linotype" w:hAnsi="Palatino Linotype" w:cs="Palatino Linotype"/>
          <w:b/>
        </w:rPr>
        <w:t xml:space="preserve">07283/INFOEM/IP/RR/2024, </w:t>
      </w:r>
      <w:r w:rsidRPr="00A84E9E">
        <w:rPr>
          <w:rFonts w:ascii="Palatino Linotype" w:eastAsia="Palatino Linotype" w:hAnsi="Palatino Linotype" w:cs="Palatino Linotype"/>
        </w:rPr>
        <w:t xml:space="preserve">promovido por </w:t>
      </w:r>
      <w:r w:rsidR="00A84E9E" w:rsidRPr="00A84E9E">
        <w:rPr>
          <w:rFonts w:ascii="Palatino Linotype" w:eastAsia="Palatino Linotype" w:hAnsi="Palatino Linotype" w:cs="Palatino Linotype"/>
          <w:b/>
        </w:rPr>
        <w:t>XXXXXXXXX</w:t>
      </w:r>
      <w:r w:rsidRPr="00A84E9E">
        <w:rPr>
          <w:rFonts w:ascii="Palatino Linotype" w:eastAsia="Palatino Linotype" w:hAnsi="Palatino Linotype" w:cs="Palatino Linotype"/>
          <w:b/>
        </w:rPr>
        <w:t>,</w:t>
      </w:r>
      <w:r w:rsidRPr="00A84E9E">
        <w:rPr>
          <w:rFonts w:ascii="Palatino Linotype" w:eastAsia="Palatino Linotype" w:hAnsi="Palatino Linotype" w:cs="Palatino Linotype"/>
        </w:rPr>
        <w:t xml:space="preserve"> a quien en lo sucesivo se le identificará como </w:t>
      </w:r>
      <w:r w:rsidRPr="00A84E9E">
        <w:rPr>
          <w:rFonts w:ascii="Palatino Linotype" w:eastAsia="Palatino Linotype" w:hAnsi="Palatino Linotype" w:cs="Palatino Linotype"/>
          <w:b/>
        </w:rPr>
        <w:t>EL RECURRENTE</w:t>
      </w:r>
      <w:r w:rsidRPr="00A84E9E">
        <w:rPr>
          <w:rFonts w:ascii="Palatino Linotype" w:eastAsia="Palatino Linotype" w:hAnsi="Palatino Linotype" w:cs="Palatino Linotype"/>
        </w:rPr>
        <w:t xml:space="preserve">, en contra de la respuesta del </w:t>
      </w:r>
      <w:r w:rsidR="00023754" w:rsidRPr="00A84E9E">
        <w:rPr>
          <w:rFonts w:ascii="Palatino Linotype" w:eastAsia="Palatino Linotype" w:hAnsi="Palatino Linotype" w:cs="Palatino Linotype"/>
          <w:b/>
        </w:rPr>
        <w:t>Ayuntamiento de Tepotzotlá</w:t>
      </w:r>
      <w:r w:rsidRPr="00A84E9E">
        <w:rPr>
          <w:rFonts w:ascii="Palatino Linotype" w:eastAsia="Palatino Linotype" w:hAnsi="Palatino Linotype" w:cs="Palatino Linotype"/>
          <w:b/>
        </w:rPr>
        <w:t xml:space="preserve">n, </w:t>
      </w:r>
      <w:r w:rsidRPr="00A84E9E">
        <w:rPr>
          <w:rFonts w:ascii="Palatino Linotype" w:eastAsia="Palatino Linotype" w:hAnsi="Palatino Linotype" w:cs="Palatino Linotype"/>
        </w:rPr>
        <w:t>en adelante el</w:t>
      </w:r>
      <w:r w:rsidRPr="00A84E9E">
        <w:rPr>
          <w:rFonts w:ascii="Palatino Linotype" w:eastAsia="Palatino Linotype" w:hAnsi="Palatino Linotype" w:cs="Palatino Linotype"/>
          <w:b/>
        </w:rPr>
        <w:t xml:space="preserve"> SUJETO OBLIGADO</w:t>
      </w:r>
      <w:r w:rsidRPr="00A84E9E">
        <w:rPr>
          <w:rFonts w:ascii="Palatino Linotype" w:eastAsia="Palatino Linotype" w:hAnsi="Palatino Linotype" w:cs="Palatino Linotype"/>
        </w:rPr>
        <w:t>, se procede a dictar la presente resolución, con base en los siguientes:</w:t>
      </w:r>
    </w:p>
    <w:p w:rsidR="00CC4D88" w:rsidRPr="00A84E9E" w:rsidRDefault="00CC4D88">
      <w:pPr>
        <w:spacing w:line="360" w:lineRule="auto"/>
        <w:ind w:right="-697"/>
        <w:jc w:val="both"/>
        <w:rPr>
          <w:rFonts w:ascii="Palatino Linotype" w:eastAsia="Palatino Linotype" w:hAnsi="Palatino Linotype" w:cs="Palatino Linotype"/>
          <w:b/>
        </w:rPr>
      </w:pPr>
    </w:p>
    <w:p w:rsidR="00CC4D88" w:rsidRPr="00A84E9E" w:rsidRDefault="00A41D92">
      <w:pPr>
        <w:pStyle w:val="Ttulo1"/>
        <w:spacing w:before="0" w:line="360" w:lineRule="auto"/>
        <w:ind w:right="-697"/>
        <w:jc w:val="center"/>
        <w:rPr>
          <w:rFonts w:ascii="Palatino Linotype" w:eastAsia="Palatino Linotype" w:hAnsi="Palatino Linotype" w:cs="Palatino Linotype"/>
          <w:b/>
          <w:color w:val="000000"/>
          <w:sz w:val="24"/>
          <w:szCs w:val="24"/>
        </w:rPr>
      </w:pPr>
      <w:bookmarkStart w:id="0" w:name="_heading=h.gjdgxs" w:colFirst="0" w:colLast="0"/>
      <w:bookmarkEnd w:id="0"/>
      <w:r w:rsidRPr="00A84E9E">
        <w:rPr>
          <w:rFonts w:ascii="Palatino Linotype" w:eastAsia="Palatino Linotype" w:hAnsi="Palatino Linotype" w:cs="Palatino Linotype"/>
          <w:b/>
          <w:color w:val="000000"/>
          <w:sz w:val="24"/>
          <w:szCs w:val="24"/>
        </w:rPr>
        <w:t>A N T E C E D E N T E S</w:t>
      </w:r>
    </w:p>
    <w:p w:rsidR="00CC4D88" w:rsidRPr="00A84E9E" w:rsidRDefault="00CC4D88">
      <w:pPr>
        <w:ind w:right="-697"/>
      </w:pPr>
    </w:p>
    <w:p w:rsidR="00CC4D88" w:rsidRPr="00A84E9E" w:rsidRDefault="00A41D92">
      <w:pPr>
        <w:numPr>
          <w:ilvl w:val="0"/>
          <w:numId w:val="1"/>
        </w:numPr>
        <w:pBdr>
          <w:top w:val="nil"/>
          <w:left w:val="nil"/>
          <w:bottom w:val="nil"/>
          <w:right w:val="nil"/>
          <w:between w:val="nil"/>
        </w:pBdr>
        <w:spacing w:line="360" w:lineRule="auto"/>
        <w:ind w:left="141" w:right="-697" w:firstLine="0"/>
        <w:jc w:val="both"/>
        <w:rPr>
          <w:color w:val="000000"/>
        </w:rPr>
      </w:pPr>
      <w:r w:rsidRPr="00A84E9E">
        <w:rPr>
          <w:rFonts w:ascii="Palatino Linotype" w:eastAsia="Palatino Linotype" w:hAnsi="Palatino Linotype" w:cs="Palatino Linotype"/>
          <w:color w:val="000000"/>
        </w:rPr>
        <w:t>El día</w:t>
      </w:r>
      <w:r w:rsidRPr="00A84E9E">
        <w:rPr>
          <w:rFonts w:ascii="Palatino Linotype" w:eastAsia="Palatino Linotype" w:hAnsi="Palatino Linotype" w:cs="Palatino Linotype"/>
          <w:b/>
          <w:color w:val="000000"/>
        </w:rPr>
        <w:t xml:space="preserve"> veinticinco de octubre  de dos mil veinticuatro, </w:t>
      </w:r>
      <w:r w:rsidRPr="00A84E9E">
        <w:rPr>
          <w:rFonts w:ascii="Palatino Linotype" w:eastAsia="Palatino Linotype" w:hAnsi="Palatino Linotype" w:cs="Palatino Linotype"/>
          <w:color w:val="000000"/>
        </w:rPr>
        <w:t xml:space="preserve">se presentó ante el </w:t>
      </w:r>
      <w:r w:rsidRPr="00A84E9E">
        <w:rPr>
          <w:rFonts w:ascii="Palatino Linotype" w:eastAsia="Palatino Linotype" w:hAnsi="Palatino Linotype" w:cs="Palatino Linotype"/>
          <w:b/>
          <w:color w:val="000000"/>
        </w:rPr>
        <w:t>SUJETO OBLIGADO</w:t>
      </w:r>
      <w:r w:rsidRPr="00A84E9E">
        <w:rPr>
          <w:rFonts w:ascii="Palatino Linotype" w:eastAsia="Palatino Linotype" w:hAnsi="Palatino Linotype" w:cs="Palatino Linotype"/>
          <w:color w:val="000000"/>
        </w:rPr>
        <w:t xml:space="preserve"> vía Sistema de Acceso a la Información Mexiquense, la solicitud de información pública registrada con el número</w:t>
      </w:r>
      <w:r w:rsidRPr="00A84E9E">
        <w:rPr>
          <w:rFonts w:ascii="Palatino Linotype" w:eastAsia="Palatino Linotype" w:hAnsi="Palatino Linotype" w:cs="Palatino Linotype"/>
          <w:b/>
          <w:color w:val="000000"/>
        </w:rPr>
        <w:t xml:space="preserve">  00264/TEPOTZOT/IP/2024; </w:t>
      </w:r>
      <w:r w:rsidRPr="00A84E9E">
        <w:rPr>
          <w:rFonts w:ascii="Palatino Linotype" w:eastAsia="Palatino Linotype" w:hAnsi="Palatino Linotype" w:cs="Palatino Linotype"/>
        </w:rPr>
        <w:t xml:space="preserve">en la que </w:t>
      </w:r>
      <w:r w:rsidRPr="00A84E9E">
        <w:rPr>
          <w:rFonts w:ascii="Palatino Linotype" w:eastAsia="Palatino Linotype" w:hAnsi="Palatino Linotype" w:cs="Palatino Linotype"/>
          <w:color w:val="000000"/>
        </w:rPr>
        <w:t>se solicitó la siguiente información:</w:t>
      </w:r>
    </w:p>
    <w:p w:rsidR="00CC4D88" w:rsidRPr="00A84E9E" w:rsidRDefault="00CC4D88">
      <w:pPr>
        <w:pBdr>
          <w:top w:val="nil"/>
          <w:left w:val="nil"/>
          <w:bottom w:val="nil"/>
          <w:right w:val="nil"/>
          <w:between w:val="nil"/>
        </w:pBdr>
        <w:spacing w:line="360" w:lineRule="auto"/>
        <w:ind w:left="360" w:right="-697"/>
        <w:jc w:val="both"/>
        <w:rPr>
          <w:rFonts w:ascii="Palatino Linotype" w:eastAsia="Palatino Linotype" w:hAnsi="Palatino Linotype" w:cs="Palatino Linotype"/>
          <w:color w:val="000000"/>
        </w:rPr>
      </w:pPr>
    </w:p>
    <w:p w:rsidR="00CC4D88" w:rsidRPr="00A84E9E" w:rsidRDefault="00A41D92">
      <w:pPr>
        <w:pBdr>
          <w:top w:val="nil"/>
          <w:left w:val="nil"/>
          <w:bottom w:val="nil"/>
          <w:right w:val="nil"/>
          <w:between w:val="nil"/>
        </w:pBdr>
        <w:spacing w:line="360" w:lineRule="auto"/>
        <w:ind w:left="426" w:right="-697"/>
        <w:jc w:val="both"/>
        <w:rPr>
          <w:rFonts w:ascii="Palatino Linotype" w:eastAsia="Palatino Linotype" w:hAnsi="Palatino Linotype" w:cs="Palatino Linotype"/>
          <w:i/>
          <w:color w:val="000000"/>
        </w:rPr>
      </w:pPr>
      <w:r w:rsidRPr="00A84E9E">
        <w:rPr>
          <w:rFonts w:ascii="Palatino Linotype" w:eastAsia="Palatino Linotype" w:hAnsi="Palatino Linotype" w:cs="Palatino Linotype"/>
          <w:i/>
          <w:color w:val="000000"/>
        </w:rPr>
        <w:t>“Quiero solicitarle la información de la cantidad de recurso económico ejercido para la contratación del Grupo Bronco para el día 29 de noviembre del 2024 en la semana cultural de Tepotzotlán y el costo total ejercido de la semana cultural 2024 con la contratación de todos los grupos, escenarios, artistas, carpas etc que destino el gobierno municipal..”</w:t>
      </w:r>
    </w:p>
    <w:p w:rsidR="00CC4D88" w:rsidRPr="00A84E9E" w:rsidRDefault="00CC4D88">
      <w:pPr>
        <w:pBdr>
          <w:top w:val="nil"/>
          <w:left w:val="nil"/>
          <w:bottom w:val="nil"/>
          <w:right w:val="nil"/>
          <w:between w:val="nil"/>
        </w:pBdr>
        <w:spacing w:line="360" w:lineRule="auto"/>
        <w:ind w:left="851" w:right="-697"/>
        <w:jc w:val="both"/>
        <w:rPr>
          <w:rFonts w:ascii="Palatino Linotype" w:eastAsia="Palatino Linotype" w:hAnsi="Palatino Linotype" w:cs="Palatino Linotype"/>
          <w:color w:val="000000"/>
        </w:rPr>
      </w:pPr>
    </w:p>
    <w:p w:rsidR="00CC4D88" w:rsidRPr="00A84E9E" w:rsidRDefault="00A41D92">
      <w:pPr>
        <w:numPr>
          <w:ilvl w:val="0"/>
          <w:numId w:val="2"/>
        </w:numPr>
        <w:pBdr>
          <w:top w:val="nil"/>
          <w:left w:val="nil"/>
          <w:bottom w:val="nil"/>
          <w:right w:val="nil"/>
          <w:between w:val="nil"/>
        </w:pBdr>
        <w:spacing w:line="360" w:lineRule="auto"/>
        <w:ind w:left="851" w:right="-697"/>
        <w:jc w:val="both"/>
        <w:rPr>
          <w:rFonts w:ascii="Palatino Linotype" w:eastAsia="Palatino Linotype" w:hAnsi="Palatino Linotype" w:cs="Palatino Linotype"/>
          <w:color w:val="000000"/>
        </w:rPr>
      </w:pPr>
      <w:r w:rsidRPr="00A84E9E">
        <w:rPr>
          <w:rFonts w:ascii="Palatino Linotype" w:eastAsia="Palatino Linotype" w:hAnsi="Palatino Linotype" w:cs="Palatino Linotype"/>
          <w:color w:val="000000"/>
        </w:rPr>
        <w:t>Se eligió como modalidad de entrega SAIMEX</w:t>
      </w:r>
    </w:p>
    <w:p w:rsidR="00CC4D88" w:rsidRPr="00A84E9E" w:rsidRDefault="00CC4D88">
      <w:pPr>
        <w:pBdr>
          <w:top w:val="nil"/>
          <w:left w:val="nil"/>
          <w:bottom w:val="nil"/>
          <w:right w:val="nil"/>
          <w:between w:val="nil"/>
        </w:pBdr>
        <w:tabs>
          <w:tab w:val="left" w:pos="0"/>
        </w:tabs>
        <w:spacing w:line="360" w:lineRule="auto"/>
        <w:ind w:left="360" w:right="-697"/>
        <w:jc w:val="both"/>
        <w:rPr>
          <w:rFonts w:ascii="Palatino Linotype" w:eastAsia="Palatino Linotype" w:hAnsi="Palatino Linotype" w:cs="Palatino Linotype"/>
          <w:color w:val="000000"/>
        </w:rPr>
      </w:pPr>
    </w:p>
    <w:p w:rsidR="00CC4D88" w:rsidRPr="00A84E9E" w:rsidRDefault="00A41D92">
      <w:pPr>
        <w:numPr>
          <w:ilvl w:val="0"/>
          <w:numId w:val="1"/>
        </w:numPr>
        <w:pBdr>
          <w:top w:val="nil"/>
          <w:left w:val="nil"/>
          <w:bottom w:val="nil"/>
          <w:right w:val="nil"/>
          <w:between w:val="nil"/>
        </w:pBdr>
        <w:tabs>
          <w:tab w:val="left" w:pos="0"/>
        </w:tabs>
        <w:spacing w:line="360" w:lineRule="auto"/>
        <w:ind w:right="-697"/>
        <w:jc w:val="both"/>
        <w:rPr>
          <w:color w:val="000000"/>
        </w:rPr>
      </w:pPr>
      <w:r w:rsidRPr="00A84E9E">
        <w:rPr>
          <w:rFonts w:ascii="Palatino Linotype" w:eastAsia="Palatino Linotype" w:hAnsi="Palatino Linotype" w:cs="Palatino Linotype"/>
          <w:color w:val="000000"/>
        </w:rPr>
        <w:lastRenderedPageBreak/>
        <w:t xml:space="preserve">En fecha once de noviembre de dos mil veinticuatro el Sujeto Obligado realizó requerimiento al Servidor </w:t>
      </w:r>
      <w:r w:rsidRPr="00A84E9E">
        <w:rPr>
          <w:rFonts w:ascii="Palatino Linotype" w:eastAsia="Palatino Linotype" w:hAnsi="Palatino Linotype" w:cs="Palatino Linotype"/>
        </w:rPr>
        <w:t>Público</w:t>
      </w:r>
      <w:r w:rsidRPr="00A84E9E">
        <w:rPr>
          <w:rFonts w:ascii="Palatino Linotype" w:eastAsia="Palatino Linotype" w:hAnsi="Palatino Linotype" w:cs="Palatino Linotype"/>
          <w:color w:val="000000"/>
        </w:rPr>
        <w:t xml:space="preserve"> Habilitado.</w:t>
      </w:r>
    </w:p>
    <w:p w:rsidR="00CC4D88" w:rsidRPr="00A84E9E" w:rsidRDefault="00CC4D88">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i/>
          <w:color w:val="000000"/>
        </w:rPr>
      </w:pPr>
    </w:p>
    <w:p w:rsidR="00CC4D88" w:rsidRPr="00A84E9E" w:rsidRDefault="00A41D92">
      <w:pPr>
        <w:numPr>
          <w:ilvl w:val="0"/>
          <w:numId w:val="1"/>
        </w:numPr>
        <w:pBdr>
          <w:top w:val="nil"/>
          <w:left w:val="nil"/>
          <w:bottom w:val="nil"/>
          <w:right w:val="nil"/>
          <w:between w:val="nil"/>
        </w:pBdr>
        <w:tabs>
          <w:tab w:val="left" w:pos="0"/>
        </w:tabs>
        <w:spacing w:line="360" w:lineRule="auto"/>
        <w:ind w:right="-697"/>
        <w:jc w:val="both"/>
        <w:rPr>
          <w:color w:val="000000"/>
        </w:rPr>
      </w:pPr>
      <w:r w:rsidRPr="00A84E9E">
        <w:rPr>
          <w:rFonts w:ascii="Palatino Linotype" w:eastAsia="Palatino Linotype" w:hAnsi="Palatino Linotype" w:cs="Palatino Linotype"/>
          <w:color w:val="000000"/>
        </w:rPr>
        <w:t xml:space="preserve">El diecinueve de noviembre de dos mil veinticuatro, el </w:t>
      </w:r>
      <w:r w:rsidRPr="00A84E9E">
        <w:rPr>
          <w:rFonts w:ascii="Palatino Linotype" w:eastAsia="Palatino Linotype" w:hAnsi="Palatino Linotype" w:cs="Palatino Linotype"/>
          <w:b/>
          <w:color w:val="000000"/>
        </w:rPr>
        <w:t>SUJETO OBLIGADO,</w:t>
      </w:r>
      <w:r w:rsidRPr="00A84E9E">
        <w:rPr>
          <w:rFonts w:ascii="Palatino Linotype" w:eastAsia="Palatino Linotype" w:hAnsi="Palatino Linotype" w:cs="Palatino Linotype"/>
          <w:color w:val="000000"/>
        </w:rPr>
        <w:t xml:space="preserve"> dio respuesta a la solicitud:</w:t>
      </w:r>
    </w:p>
    <w:p w:rsidR="00CC4D88" w:rsidRPr="00A84E9E" w:rsidRDefault="00A41D92">
      <w:pPr>
        <w:spacing w:line="360" w:lineRule="auto"/>
        <w:ind w:left="709" w:right="-130"/>
        <w:jc w:val="both"/>
        <w:rPr>
          <w:rFonts w:ascii="Palatino Linotype" w:eastAsia="Palatino Linotype" w:hAnsi="Palatino Linotype" w:cs="Palatino Linotype"/>
          <w:color w:val="000000"/>
          <w:sz w:val="22"/>
          <w:szCs w:val="22"/>
        </w:rPr>
      </w:pPr>
      <w:r w:rsidRPr="00A84E9E">
        <w:rPr>
          <w:rFonts w:ascii="Palatino Linotype" w:eastAsia="Palatino Linotype" w:hAnsi="Palatino Linotype" w:cs="Palatino Linotype"/>
          <w:color w:val="000000"/>
          <w:sz w:val="22"/>
          <w:szCs w:val="22"/>
        </w:rPr>
        <w:t xml:space="preserve">Adjuntando el siguiente archivo electrónico cuyo contenido es el siguiente: </w:t>
      </w:r>
    </w:p>
    <w:p w:rsidR="00CC4D88" w:rsidRPr="00A84E9E" w:rsidRDefault="00CC4D88">
      <w:pPr>
        <w:spacing w:line="360" w:lineRule="auto"/>
        <w:ind w:left="851" w:right="-130"/>
        <w:jc w:val="both"/>
        <w:rPr>
          <w:rFonts w:ascii="Palatino Linotype" w:eastAsia="Palatino Linotype" w:hAnsi="Palatino Linotype" w:cs="Palatino Linotype"/>
          <w:color w:val="000000"/>
          <w:sz w:val="22"/>
          <w:szCs w:val="22"/>
        </w:rPr>
      </w:pPr>
    </w:p>
    <w:p w:rsidR="00CC4D88" w:rsidRPr="00A84E9E" w:rsidRDefault="00A41D92">
      <w:pPr>
        <w:numPr>
          <w:ilvl w:val="0"/>
          <w:numId w:val="3"/>
        </w:numPr>
        <w:pBdr>
          <w:top w:val="nil"/>
          <w:left w:val="nil"/>
          <w:bottom w:val="nil"/>
          <w:right w:val="nil"/>
          <w:between w:val="nil"/>
        </w:pBdr>
        <w:tabs>
          <w:tab w:val="left" w:pos="0"/>
        </w:tabs>
        <w:spacing w:line="360" w:lineRule="auto"/>
        <w:ind w:right="-130"/>
        <w:jc w:val="both"/>
        <w:rPr>
          <w:rFonts w:ascii="Palatino Linotype" w:eastAsia="Palatino Linotype" w:hAnsi="Palatino Linotype" w:cs="Palatino Linotype"/>
          <w:b/>
          <w:color w:val="000000"/>
          <w:sz w:val="22"/>
          <w:szCs w:val="22"/>
        </w:rPr>
      </w:pPr>
      <w:r w:rsidRPr="00A84E9E">
        <w:rPr>
          <w:rFonts w:ascii="Palatino Linotype" w:eastAsia="Palatino Linotype" w:hAnsi="Palatino Linotype" w:cs="Palatino Linotype"/>
          <w:b/>
          <w:color w:val="000000"/>
          <w:sz w:val="22"/>
          <w:szCs w:val="22"/>
        </w:rPr>
        <w:t xml:space="preserve">ADQ-165-2024.pdf: </w:t>
      </w:r>
      <w:r w:rsidRPr="00A84E9E">
        <w:rPr>
          <w:rFonts w:ascii="Palatino Linotype" w:eastAsia="Palatino Linotype" w:hAnsi="Palatino Linotype" w:cs="Palatino Linotype"/>
          <w:color w:val="000000"/>
          <w:sz w:val="22"/>
          <w:szCs w:val="22"/>
        </w:rPr>
        <w:t>Oficio suscrito por la Jefa de Adquisiciones, mediante el cual informa “… después de una búsqueda exhaustiva no se encontró documento alguno referente a la información solicitada.”</w:t>
      </w:r>
    </w:p>
    <w:p w:rsidR="00CC4D88" w:rsidRPr="00A84E9E" w:rsidRDefault="00A41D92">
      <w:pPr>
        <w:pBdr>
          <w:top w:val="nil"/>
          <w:left w:val="nil"/>
          <w:bottom w:val="nil"/>
          <w:right w:val="nil"/>
          <w:between w:val="nil"/>
        </w:pBdr>
        <w:tabs>
          <w:tab w:val="left" w:pos="0"/>
        </w:tabs>
        <w:spacing w:line="360" w:lineRule="auto"/>
        <w:ind w:left="1429" w:right="-697"/>
        <w:jc w:val="both"/>
        <w:rPr>
          <w:rFonts w:ascii="Palatino Linotype" w:eastAsia="Palatino Linotype" w:hAnsi="Palatino Linotype" w:cs="Palatino Linotype"/>
          <w:b/>
          <w:color w:val="000000"/>
        </w:rPr>
      </w:pPr>
      <w:r w:rsidRPr="00A84E9E">
        <w:rPr>
          <w:rFonts w:ascii="Palatino Linotype" w:eastAsia="Palatino Linotype" w:hAnsi="Palatino Linotype" w:cs="Palatino Linotype"/>
          <w:color w:val="000000"/>
        </w:rPr>
        <w:t xml:space="preserve"> </w:t>
      </w:r>
    </w:p>
    <w:p w:rsidR="00CC4D88" w:rsidRPr="00A84E9E" w:rsidRDefault="00A41D92">
      <w:pPr>
        <w:numPr>
          <w:ilvl w:val="0"/>
          <w:numId w:val="1"/>
        </w:numPr>
        <w:pBdr>
          <w:top w:val="nil"/>
          <w:left w:val="nil"/>
          <w:bottom w:val="nil"/>
          <w:right w:val="nil"/>
          <w:between w:val="nil"/>
        </w:pBdr>
        <w:tabs>
          <w:tab w:val="left" w:pos="0"/>
        </w:tabs>
        <w:spacing w:line="360" w:lineRule="auto"/>
        <w:ind w:left="0" w:right="-697" w:firstLine="0"/>
        <w:jc w:val="both"/>
        <w:rPr>
          <w:color w:val="000000"/>
        </w:rPr>
      </w:pPr>
      <w:r w:rsidRPr="00A84E9E">
        <w:rPr>
          <w:rFonts w:ascii="Palatino Linotype" w:eastAsia="Palatino Linotype" w:hAnsi="Palatino Linotype" w:cs="Palatino Linotype"/>
          <w:color w:val="000000"/>
        </w:rPr>
        <w:t>El</w:t>
      </w:r>
      <w:r w:rsidRPr="00A84E9E">
        <w:rPr>
          <w:rFonts w:ascii="Palatino Linotype" w:eastAsia="Palatino Linotype" w:hAnsi="Palatino Linotype" w:cs="Palatino Linotype"/>
          <w:b/>
          <w:color w:val="000000"/>
        </w:rPr>
        <w:t xml:space="preserve"> veinte de noviembre de dos mil veinticuatro</w:t>
      </w:r>
      <w:r w:rsidRPr="00A84E9E">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CC4D88" w:rsidRPr="00A84E9E" w:rsidRDefault="00A41D92">
      <w:pPr>
        <w:numPr>
          <w:ilvl w:val="0"/>
          <w:numId w:val="2"/>
        </w:numPr>
        <w:pBdr>
          <w:top w:val="nil"/>
          <w:left w:val="nil"/>
          <w:bottom w:val="nil"/>
          <w:right w:val="nil"/>
          <w:between w:val="nil"/>
        </w:pBdr>
        <w:spacing w:line="360" w:lineRule="auto"/>
        <w:ind w:right="-130"/>
        <w:jc w:val="both"/>
        <w:rPr>
          <w:rFonts w:ascii="Palatino Linotype" w:eastAsia="Palatino Linotype" w:hAnsi="Palatino Linotype" w:cs="Palatino Linotype"/>
          <w:i/>
          <w:color w:val="000000"/>
          <w:sz w:val="22"/>
          <w:szCs w:val="22"/>
        </w:rPr>
      </w:pPr>
      <w:bookmarkStart w:id="1" w:name="_heading=h.30j0zll" w:colFirst="0" w:colLast="0"/>
      <w:bookmarkEnd w:id="1"/>
      <w:r w:rsidRPr="00A84E9E">
        <w:rPr>
          <w:rFonts w:ascii="Palatino Linotype" w:eastAsia="Palatino Linotype" w:hAnsi="Palatino Linotype" w:cs="Palatino Linotype"/>
          <w:b/>
          <w:color w:val="000000"/>
          <w:sz w:val="22"/>
          <w:szCs w:val="22"/>
        </w:rPr>
        <w:t xml:space="preserve">Acto impugnado: </w:t>
      </w:r>
      <w:r w:rsidRPr="00A84E9E">
        <w:rPr>
          <w:rFonts w:ascii="Palatino Linotype" w:eastAsia="Palatino Linotype" w:hAnsi="Palatino Linotype" w:cs="Palatino Linotype"/>
          <w:i/>
          <w:color w:val="000000"/>
          <w:sz w:val="22"/>
          <w:szCs w:val="22"/>
        </w:rPr>
        <w:t>“El ayuntamiento de Tepotzotlán nuevamente no hace entrega de la información solicitada respecto de la contratación del grupo Bronco.”</w:t>
      </w:r>
    </w:p>
    <w:p w:rsidR="00CC4D88" w:rsidRPr="00A84E9E" w:rsidRDefault="00A41D92">
      <w:pPr>
        <w:numPr>
          <w:ilvl w:val="0"/>
          <w:numId w:val="2"/>
        </w:numPr>
        <w:pBdr>
          <w:top w:val="nil"/>
          <w:left w:val="nil"/>
          <w:bottom w:val="nil"/>
          <w:right w:val="nil"/>
          <w:between w:val="nil"/>
        </w:pBdr>
        <w:spacing w:line="360" w:lineRule="auto"/>
        <w:ind w:right="-130"/>
        <w:jc w:val="both"/>
        <w:rPr>
          <w:rFonts w:ascii="Palatino Linotype" w:eastAsia="Palatino Linotype" w:hAnsi="Palatino Linotype" w:cs="Palatino Linotype"/>
          <w:i/>
          <w:color w:val="000000"/>
          <w:sz w:val="22"/>
          <w:szCs w:val="22"/>
        </w:rPr>
      </w:pPr>
      <w:r w:rsidRPr="00A84E9E">
        <w:rPr>
          <w:rFonts w:ascii="Palatino Linotype" w:eastAsia="Palatino Linotype" w:hAnsi="Palatino Linotype" w:cs="Palatino Linotype"/>
          <w:b/>
          <w:color w:val="000000"/>
          <w:sz w:val="22"/>
          <w:szCs w:val="22"/>
        </w:rPr>
        <w:t>Razones o Motivos de Inconformidad:</w:t>
      </w:r>
      <w:r w:rsidRPr="00A84E9E">
        <w:rPr>
          <w:rFonts w:ascii="Palatino Linotype" w:eastAsia="Palatino Linotype" w:hAnsi="Palatino Linotype" w:cs="Palatino Linotype"/>
          <w:i/>
          <w:color w:val="000000"/>
          <w:sz w:val="22"/>
          <w:szCs w:val="22"/>
        </w:rPr>
        <w:t xml:space="preserve"> “La inconformidad se realiza ya que la evidencia que tengo y les comparto es que en la página del Grupo Bronco anuncian la fecha de presentación el 29 de noviembre en Tepotzotlán y las autoridades municipales no quieren darme los contratos e información de dicho evento.”</w:t>
      </w:r>
    </w:p>
    <w:p w:rsidR="00CC4D88" w:rsidRPr="00A84E9E" w:rsidRDefault="00CC4D88">
      <w:pPr>
        <w:pBdr>
          <w:top w:val="nil"/>
          <w:left w:val="nil"/>
          <w:bottom w:val="nil"/>
          <w:right w:val="nil"/>
          <w:between w:val="nil"/>
        </w:pBdr>
        <w:spacing w:line="360" w:lineRule="auto"/>
        <w:ind w:left="1724" w:right="-130"/>
        <w:jc w:val="both"/>
        <w:rPr>
          <w:rFonts w:ascii="Palatino Linotype" w:eastAsia="Palatino Linotype" w:hAnsi="Palatino Linotype" w:cs="Palatino Linotype"/>
          <w:i/>
          <w:sz w:val="22"/>
          <w:szCs w:val="22"/>
        </w:rPr>
      </w:pPr>
    </w:p>
    <w:p w:rsidR="00CC4D88" w:rsidRPr="00A84E9E" w:rsidRDefault="00A41D92">
      <w:pPr>
        <w:spacing w:line="360" w:lineRule="auto"/>
        <w:ind w:left="720" w:right="-130"/>
        <w:jc w:val="both"/>
        <w:rPr>
          <w:rFonts w:ascii="Palatino Linotype" w:eastAsia="Palatino Linotype" w:hAnsi="Palatino Linotype" w:cs="Palatino Linotype"/>
          <w:color w:val="000000"/>
          <w:sz w:val="22"/>
          <w:szCs w:val="22"/>
        </w:rPr>
      </w:pPr>
      <w:r w:rsidRPr="00A84E9E">
        <w:rPr>
          <w:rFonts w:ascii="Palatino Linotype" w:eastAsia="Palatino Linotype" w:hAnsi="Palatino Linotype" w:cs="Palatino Linotype"/>
          <w:color w:val="000000"/>
          <w:sz w:val="22"/>
          <w:szCs w:val="22"/>
        </w:rPr>
        <w:t xml:space="preserve">A su interposición del Recurso de Revisión adjunto los archivos electrónicos siguientes: adjunto: </w:t>
      </w:r>
    </w:p>
    <w:p w:rsidR="00CC4D88" w:rsidRPr="00A84E9E" w:rsidRDefault="00CC4D88">
      <w:pPr>
        <w:spacing w:line="360" w:lineRule="auto"/>
        <w:ind w:left="720" w:right="-130"/>
        <w:jc w:val="both"/>
        <w:rPr>
          <w:rFonts w:ascii="Palatino Linotype" w:eastAsia="Palatino Linotype" w:hAnsi="Palatino Linotype" w:cs="Palatino Linotype"/>
          <w:color w:val="000000"/>
          <w:sz w:val="22"/>
          <w:szCs w:val="22"/>
        </w:rPr>
      </w:pPr>
    </w:p>
    <w:p w:rsidR="00CC4D88" w:rsidRPr="00A84E9E" w:rsidRDefault="00A41D92">
      <w:pPr>
        <w:numPr>
          <w:ilvl w:val="0"/>
          <w:numId w:val="3"/>
        </w:numPr>
        <w:pBdr>
          <w:top w:val="nil"/>
          <w:left w:val="nil"/>
          <w:bottom w:val="nil"/>
          <w:right w:val="nil"/>
          <w:between w:val="nil"/>
        </w:pBdr>
        <w:spacing w:line="360" w:lineRule="auto"/>
        <w:ind w:right="-130"/>
        <w:jc w:val="both"/>
        <w:rPr>
          <w:rFonts w:ascii="Palatino Linotype" w:eastAsia="Palatino Linotype" w:hAnsi="Palatino Linotype" w:cs="Palatino Linotype"/>
          <w:b/>
          <w:color w:val="000000"/>
          <w:sz w:val="22"/>
          <w:szCs w:val="22"/>
        </w:rPr>
      </w:pPr>
      <w:r w:rsidRPr="00A84E9E">
        <w:rPr>
          <w:rFonts w:ascii="Palatino Linotype" w:eastAsia="Palatino Linotype" w:hAnsi="Palatino Linotype" w:cs="Palatino Linotype"/>
          <w:b/>
          <w:color w:val="000000"/>
          <w:sz w:val="22"/>
          <w:szCs w:val="22"/>
        </w:rPr>
        <w:lastRenderedPageBreak/>
        <w:t xml:space="preserve">WhatsApp Image 2024-11-20 at 8.29.39 PM.zip:  </w:t>
      </w:r>
      <w:r w:rsidRPr="00A84E9E">
        <w:rPr>
          <w:rFonts w:ascii="Palatino Linotype" w:eastAsia="Palatino Linotype" w:hAnsi="Palatino Linotype" w:cs="Palatino Linotype"/>
          <w:color w:val="000000"/>
          <w:sz w:val="22"/>
          <w:szCs w:val="22"/>
        </w:rPr>
        <w:t>Contiene una imagen, con el grupo BRONCO, en el cual hacer referencia “Gente hermosa de Tepotzotlán nos vemos este 28 de Noviembre para celebrar nuestro Tour 45¡”</w:t>
      </w:r>
    </w:p>
    <w:p w:rsidR="00CC4D88" w:rsidRPr="00A84E9E" w:rsidRDefault="00A41D92">
      <w:pPr>
        <w:numPr>
          <w:ilvl w:val="0"/>
          <w:numId w:val="3"/>
        </w:numPr>
        <w:pBdr>
          <w:top w:val="nil"/>
          <w:left w:val="nil"/>
          <w:bottom w:val="nil"/>
          <w:right w:val="nil"/>
          <w:between w:val="nil"/>
        </w:pBdr>
        <w:spacing w:line="360" w:lineRule="auto"/>
        <w:ind w:right="-130"/>
        <w:jc w:val="both"/>
        <w:rPr>
          <w:rFonts w:ascii="Palatino Linotype" w:eastAsia="Palatino Linotype" w:hAnsi="Palatino Linotype" w:cs="Palatino Linotype"/>
          <w:b/>
          <w:color w:val="000000"/>
          <w:sz w:val="22"/>
          <w:szCs w:val="22"/>
        </w:rPr>
      </w:pPr>
      <w:r w:rsidRPr="00A84E9E">
        <w:rPr>
          <w:rFonts w:ascii="Palatino Linotype" w:eastAsia="Palatino Linotype" w:hAnsi="Palatino Linotype" w:cs="Palatino Linotype"/>
          <w:b/>
          <w:color w:val="000000"/>
          <w:sz w:val="22"/>
          <w:szCs w:val="22"/>
        </w:rPr>
        <w:t xml:space="preserve">WhatsApp Image 2024-11-20 at 8.29.19 PM.zip: </w:t>
      </w:r>
      <w:r w:rsidRPr="00A84E9E">
        <w:rPr>
          <w:rFonts w:ascii="Palatino Linotype" w:eastAsia="Palatino Linotype" w:hAnsi="Palatino Linotype" w:cs="Palatino Linotype"/>
          <w:color w:val="000000"/>
          <w:sz w:val="22"/>
          <w:szCs w:val="22"/>
        </w:rPr>
        <w:t xml:space="preserve">Contiene una imagen, con el grupo BRONCO, en el cual </w:t>
      </w:r>
      <w:r w:rsidRPr="00A84E9E">
        <w:rPr>
          <w:rFonts w:ascii="Palatino Linotype" w:eastAsia="Palatino Linotype" w:hAnsi="Palatino Linotype" w:cs="Palatino Linotype"/>
          <w:sz w:val="22"/>
          <w:szCs w:val="22"/>
        </w:rPr>
        <w:t>hacen</w:t>
      </w:r>
      <w:r w:rsidRPr="00A84E9E">
        <w:rPr>
          <w:rFonts w:ascii="Palatino Linotype" w:eastAsia="Palatino Linotype" w:hAnsi="Palatino Linotype" w:cs="Palatino Linotype"/>
          <w:color w:val="000000"/>
          <w:sz w:val="22"/>
          <w:szCs w:val="22"/>
        </w:rPr>
        <w:t xml:space="preserve"> referencia TEPOTZOTLAN EDO. MEX. SEMANA CULTURAL JUEVES 28 DE NOVIEMBRE.”</w:t>
      </w:r>
    </w:p>
    <w:p w:rsidR="00CC4D88" w:rsidRPr="00A84E9E" w:rsidRDefault="00CC4D88">
      <w:pPr>
        <w:pBdr>
          <w:top w:val="nil"/>
          <w:left w:val="nil"/>
          <w:bottom w:val="nil"/>
          <w:right w:val="nil"/>
          <w:between w:val="nil"/>
        </w:pBdr>
        <w:spacing w:line="360" w:lineRule="auto"/>
        <w:ind w:left="1429" w:right="-697"/>
        <w:jc w:val="both"/>
        <w:rPr>
          <w:rFonts w:ascii="Palatino Linotype" w:eastAsia="Palatino Linotype" w:hAnsi="Palatino Linotype" w:cs="Palatino Linotype"/>
          <w:b/>
          <w:color w:val="000000"/>
        </w:rPr>
      </w:pPr>
    </w:p>
    <w:p w:rsidR="00CC4D88" w:rsidRPr="00A84E9E" w:rsidRDefault="00A41D92">
      <w:pPr>
        <w:numPr>
          <w:ilvl w:val="0"/>
          <w:numId w:val="1"/>
        </w:numPr>
        <w:pBdr>
          <w:top w:val="nil"/>
          <w:left w:val="nil"/>
          <w:bottom w:val="nil"/>
          <w:right w:val="nil"/>
          <w:between w:val="nil"/>
        </w:pBdr>
        <w:spacing w:line="360" w:lineRule="auto"/>
        <w:ind w:left="0" w:right="-697" w:firstLine="0"/>
        <w:jc w:val="both"/>
        <w:rPr>
          <w:color w:val="000000"/>
        </w:rPr>
      </w:pPr>
      <w:r w:rsidRPr="00A84E9E">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veintidós de noviembre </w:t>
      </w:r>
      <w:r w:rsidRPr="00A84E9E">
        <w:rPr>
          <w:rFonts w:ascii="Palatino Linotype" w:eastAsia="Palatino Linotype" w:hAnsi="Palatino Linotype" w:cs="Palatino Linotype"/>
          <w:b/>
          <w:color w:val="000000"/>
        </w:rPr>
        <w:t xml:space="preserve"> </w:t>
      </w:r>
      <w:r w:rsidRPr="00A84E9E">
        <w:rPr>
          <w:rFonts w:ascii="Palatino Linotype" w:eastAsia="Palatino Linotype" w:hAnsi="Palatino Linotype" w:cs="Palatino Linotype"/>
          <w:color w:val="000000"/>
        </w:rPr>
        <w:t xml:space="preserve">de dos mil veinticuatro, puso a disposición de las partes el expediente electrónico vía </w:t>
      </w:r>
      <w:r w:rsidRPr="00A84E9E">
        <w:rPr>
          <w:rFonts w:ascii="Palatino Linotype" w:eastAsia="Palatino Linotype" w:hAnsi="Palatino Linotype" w:cs="Palatino Linotype"/>
          <w:b/>
          <w:color w:val="000000"/>
        </w:rPr>
        <w:t xml:space="preserve">SAIMEX </w:t>
      </w:r>
      <w:r w:rsidRPr="00A84E9E">
        <w:rPr>
          <w:rFonts w:ascii="Palatino Linotype" w:eastAsia="Palatino Linotype" w:hAnsi="Palatino Linotype" w:cs="Palatino Linotype"/>
          <w:color w:val="000000"/>
        </w:rPr>
        <w:t xml:space="preserve">a efecto de que en un plazo máximo de siete días </w:t>
      </w:r>
      <w:r w:rsidRPr="00A84E9E">
        <w:rPr>
          <w:rFonts w:ascii="Palatino Linotype" w:eastAsia="Palatino Linotype" w:hAnsi="Palatino Linotype" w:cs="Palatino Linotype"/>
        </w:rPr>
        <w:t>manifestara</w:t>
      </w:r>
      <w:r w:rsidRPr="00A84E9E">
        <w:rPr>
          <w:rFonts w:ascii="Palatino Linotype" w:eastAsia="Palatino Linotype" w:hAnsi="Palatino Linotype" w:cs="Palatino Linotype"/>
          <w:color w:val="000000"/>
        </w:rPr>
        <w:t xml:space="preserve"> lo que a su derecho conviniera, </w:t>
      </w:r>
      <w:r w:rsidRPr="00A84E9E">
        <w:rPr>
          <w:rFonts w:ascii="Palatino Linotype" w:eastAsia="Palatino Linotype" w:hAnsi="Palatino Linotype" w:cs="Palatino Linotype"/>
        </w:rPr>
        <w:t>ofreciera</w:t>
      </w:r>
      <w:r w:rsidRPr="00A84E9E">
        <w:rPr>
          <w:rFonts w:ascii="Palatino Linotype" w:eastAsia="Palatino Linotype" w:hAnsi="Palatino Linotype" w:cs="Palatino Linotype"/>
          <w:color w:val="000000"/>
        </w:rPr>
        <w:t xml:space="preserve"> pruebas y alegatos según corresponda a los casos concretos, y el </w:t>
      </w:r>
      <w:r w:rsidRPr="00A84E9E">
        <w:rPr>
          <w:rFonts w:ascii="Palatino Linotype" w:eastAsia="Palatino Linotype" w:hAnsi="Palatino Linotype" w:cs="Palatino Linotype"/>
          <w:b/>
          <w:color w:val="000000"/>
        </w:rPr>
        <w:t>SUJETO OBLIGADO</w:t>
      </w:r>
      <w:r w:rsidRPr="00A84E9E">
        <w:rPr>
          <w:rFonts w:ascii="Palatino Linotype" w:eastAsia="Palatino Linotype" w:hAnsi="Palatino Linotype" w:cs="Palatino Linotype"/>
          <w:color w:val="000000"/>
        </w:rPr>
        <w:t xml:space="preserve"> presentará el Informe Justificado procedente.</w:t>
      </w:r>
    </w:p>
    <w:p w:rsidR="00CC4D88" w:rsidRPr="00A84E9E" w:rsidRDefault="00CC4D88">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CC4D88" w:rsidRPr="00A84E9E" w:rsidRDefault="00A41D92">
      <w:pPr>
        <w:numPr>
          <w:ilvl w:val="0"/>
          <w:numId w:val="1"/>
        </w:numPr>
        <w:pBdr>
          <w:top w:val="nil"/>
          <w:left w:val="nil"/>
          <w:bottom w:val="nil"/>
          <w:right w:val="nil"/>
          <w:between w:val="nil"/>
        </w:pBdr>
        <w:spacing w:line="360" w:lineRule="auto"/>
        <w:ind w:left="141" w:right="-697" w:firstLine="0"/>
        <w:jc w:val="both"/>
        <w:rPr>
          <w:color w:val="000000"/>
        </w:rPr>
      </w:pPr>
      <w:r w:rsidRPr="00A84E9E">
        <w:rPr>
          <w:rFonts w:ascii="Palatino Linotype" w:eastAsia="Palatino Linotype" w:hAnsi="Palatino Linotype" w:cs="Palatino Linotype"/>
          <w:color w:val="000000"/>
        </w:rPr>
        <w:t xml:space="preserve">De lo anterior, el </w:t>
      </w:r>
      <w:r w:rsidRPr="00A84E9E">
        <w:rPr>
          <w:rFonts w:ascii="Palatino Linotype" w:eastAsia="Palatino Linotype" w:hAnsi="Palatino Linotype" w:cs="Palatino Linotype"/>
          <w:b/>
          <w:color w:val="000000"/>
        </w:rPr>
        <w:t xml:space="preserve">SUJETO OBLIGADO </w:t>
      </w:r>
      <w:r w:rsidRPr="00A84E9E">
        <w:rPr>
          <w:rFonts w:ascii="Palatino Linotype" w:eastAsia="Palatino Linotype" w:hAnsi="Palatino Linotype" w:cs="Palatino Linotype"/>
          <w:color w:val="000000"/>
        </w:rPr>
        <w:t>en fecha  veintinueve de noviembre  de dos mil veinticuatro rindió Informe Justificado a través del siguiente archivo electrónico:</w:t>
      </w:r>
    </w:p>
    <w:p w:rsidR="00CC4D88" w:rsidRPr="00A84E9E" w:rsidRDefault="00A41D92">
      <w:pPr>
        <w:numPr>
          <w:ilvl w:val="0"/>
          <w:numId w:val="4"/>
        </w:numPr>
        <w:pBdr>
          <w:top w:val="nil"/>
          <w:left w:val="nil"/>
          <w:bottom w:val="nil"/>
          <w:right w:val="nil"/>
          <w:between w:val="nil"/>
        </w:pBdr>
        <w:spacing w:line="360" w:lineRule="auto"/>
        <w:ind w:right="-130"/>
        <w:jc w:val="both"/>
        <w:rPr>
          <w:rFonts w:ascii="Palatino Linotype" w:eastAsia="Palatino Linotype" w:hAnsi="Palatino Linotype" w:cs="Palatino Linotype"/>
          <w:b/>
          <w:color w:val="000000"/>
          <w:sz w:val="22"/>
          <w:szCs w:val="22"/>
        </w:rPr>
      </w:pPr>
      <w:r w:rsidRPr="00A84E9E">
        <w:rPr>
          <w:rFonts w:ascii="Palatino Linotype" w:eastAsia="Palatino Linotype" w:hAnsi="Palatino Linotype" w:cs="Palatino Linotype"/>
          <w:b/>
          <w:color w:val="000000"/>
          <w:sz w:val="22"/>
          <w:szCs w:val="22"/>
        </w:rPr>
        <w:t xml:space="preserve">ADQ-181-2024.pdf: </w:t>
      </w:r>
      <w:r w:rsidRPr="00A84E9E">
        <w:rPr>
          <w:rFonts w:ascii="Palatino Linotype" w:eastAsia="Palatino Linotype" w:hAnsi="Palatino Linotype" w:cs="Palatino Linotype"/>
          <w:color w:val="000000"/>
          <w:sz w:val="22"/>
          <w:szCs w:val="22"/>
        </w:rPr>
        <w:t>Contiene oficio suscrito por la Jefa de Adquisiciones, mediante el cual refiere “… En este caso, al no haberse formalizado un contrato, no existe información que pueda ser proporcionada… En caso de que en el futuro se concrete un acuerdo y se formalice la contratación mediante la firma del contrato correspondiente, dicha información estará disponible para su consulta en los términos establecidos por la normatividad vigente."</w:t>
      </w:r>
    </w:p>
    <w:p w:rsidR="00CC4D88" w:rsidRPr="00A84E9E" w:rsidRDefault="00CC4D88">
      <w:pPr>
        <w:pBdr>
          <w:top w:val="nil"/>
          <w:left w:val="nil"/>
          <w:bottom w:val="nil"/>
          <w:right w:val="nil"/>
          <w:between w:val="nil"/>
        </w:pBdr>
        <w:ind w:left="720" w:right="-697"/>
        <w:rPr>
          <w:rFonts w:ascii="Palatino Linotype" w:eastAsia="Palatino Linotype" w:hAnsi="Palatino Linotype" w:cs="Palatino Linotype"/>
          <w:b/>
          <w:color w:val="000000"/>
        </w:rPr>
      </w:pPr>
    </w:p>
    <w:p w:rsidR="00CC4D88" w:rsidRPr="00A84E9E" w:rsidRDefault="00A41D92">
      <w:pPr>
        <w:numPr>
          <w:ilvl w:val="0"/>
          <w:numId w:val="1"/>
        </w:numPr>
        <w:pBdr>
          <w:top w:val="nil"/>
          <w:left w:val="nil"/>
          <w:bottom w:val="nil"/>
          <w:right w:val="nil"/>
          <w:between w:val="nil"/>
        </w:pBdr>
        <w:spacing w:line="360" w:lineRule="auto"/>
        <w:ind w:left="0" w:right="-697" w:firstLine="0"/>
        <w:jc w:val="both"/>
        <w:rPr>
          <w:color w:val="000000"/>
        </w:rPr>
      </w:pPr>
      <w:r w:rsidRPr="00A84E9E">
        <w:rPr>
          <w:rFonts w:ascii="Palatino Linotype" w:eastAsia="Palatino Linotype" w:hAnsi="Palatino Linotype" w:cs="Palatino Linotype"/>
          <w:b/>
          <w:color w:val="000000"/>
        </w:rPr>
        <w:t xml:space="preserve">Por su parte el RECURRENTE en fecha veintisiete de noviembre de dos mil veinticuatro </w:t>
      </w:r>
      <w:r w:rsidRPr="00A84E9E">
        <w:rPr>
          <w:rFonts w:ascii="Palatino Linotype" w:eastAsia="Palatino Linotype" w:hAnsi="Palatino Linotype" w:cs="Palatino Linotype"/>
          <w:color w:val="000000"/>
        </w:rPr>
        <w:t xml:space="preserve"> realizó manifestaciones, adjuntando los archivos electrónicos siguientes.</w:t>
      </w:r>
    </w:p>
    <w:p w:rsidR="00CC4D88" w:rsidRPr="00A84E9E" w:rsidRDefault="00A41D92">
      <w:pPr>
        <w:pBdr>
          <w:top w:val="nil"/>
          <w:left w:val="nil"/>
          <w:bottom w:val="nil"/>
          <w:right w:val="nil"/>
          <w:between w:val="nil"/>
        </w:pBdr>
        <w:spacing w:line="360" w:lineRule="auto"/>
        <w:ind w:right="-697"/>
        <w:jc w:val="both"/>
        <w:rPr>
          <w:color w:val="000000"/>
        </w:rPr>
      </w:pPr>
      <w:r w:rsidRPr="00A84E9E">
        <w:rPr>
          <w:rFonts w:ascii="Palatino Linotype" w:eastAsia="Palatino Linotype" w:hAnsi="Palatino Linotype" w:cs="Palatino Linotype"/>
          <w:color w:val="000000"/>
        </w:rPr>
        <w:t xml:space="preserve"> </w:t>
      </w:r>
    </w:p>
    <w:p w:rsidR="00CC4D88" w:rsidRPr="00A84E9E" w:rsidRDefault="00A41D92">
      <w:pPr>
        <w:numPr>
          <w:ilvl w:val="0"/>
          <w:numId w:val="4"/>
        </w:numPr>
        <w:pBdr>
          <w:top w:val="nil"/>
          <w:left w:val="nil"/>
          <w:bottom w:val="nil"/>
          <w:right w:val="nil"/>
          <w:between w:val="nil"/>
        </w:pBdr>
        <w:ind w:right="-130"/>
        <w:rPr>
          <w:rFonts w:ascii="Palatino Linotype" w:eastAsia="Palatino Linotype" w:hAnsi="Palatino Linotype" w:cs="Palatino Linotype"/>
          <w:color w:val="000000"/>
          <w:sz w:val="22"/>
          <w:szCs w:val="22"/>
        </w:rPr>
      </w:pPr>
      <w:r w:rsidRPr="00A84E9E">
        <w:rPr>
          <w:rFonts w:ascii="Palatino Linotype" w:eastAsia="Palatino Linotype" w:hAnsi="Palatino Linotype" w:cs="Palatino Linotype"/>
          <w:b/>
          <w:color w:val="000000"/>
          <w:sz w:val="22"/>
          <w:szCs w:val="22"/>
        </w:rPr>
        <w:lastRenderedPageBreak/>
        <w:t xml:space="preserve">WhatsApp Image 2024-11-27 at 9.24.32 PM.zip: </w:t>
      </w:r>
      <w:r w:rsidRPr="00A84E9E">
        <w:rPr>
          <w:rFonts w:ascii="Palatino Linotype" w:eastAsia="Palatino Linotype" w:hAnsi="Palatino Linotype" w:cs="Palatino Linotype"/>
          <w:color w:val="000000"/>
          <w:sz w:val="22"/>
          <w:szCs w:val="22"/>
        </w:rPr>
        <w:t xml:space="preserve">Contiene imagen, en la que se observa la publicación del festival TEPOVIVE Tradición, Cultura, Identidad y una imagen del Grupo Bronco. </w:t>
      </w:r>
    </w:p>
    <w:p w:rsidR="00CC4D88" w:rsidRPr="00A84E9E" w:rsidRDefault="00CC4D88">
      <w:pPr>
        <w:pBdr>
          <w:top w:val="nil"/>
          <w:left w:val="nil"/>
          <w:bottom w:val="nil"/>
          <w:right w:val="nil"/>
          <w:between w:val="nil"/>
        </w:pBdr>
        <w:ind w:left="720" w:right="-130"/>
        <w:rPr>
          <w:rFonts w:ascii="Palatino Linotype" w:eastAsia="Palatino Linotype" w:hAnsi="Palatino Linotype" w:cs="Palatino Linotype"/>
          <w:b/>
          <w:color w:val="000000"/>
          <w:sz w:val="22"/>
          <w:szCs w:val="22"/>
        </w:rPr>
      </w:pPr>
    </w:p>
    <w:p w:rsidR="00CC4D88" w:rsidRPr="00A84E9E" w:rsidRDefault="00A41D92">
      <w:pPr>
        <w:numPr>
          <w:ilvl w:val="0"/>
          <w:numId w:val="4"/>
        </w:numPr>
        <w:pBdr>
          <w:top w:val="nil"/>
          <w:left w:val="nil"/>
          <w:bottom w:val="nil"/>
          <w:right w:val="nil"/>
          <w:between w:val="nil"/>
        </w:pBdr>
        <w:ind w:right="-130"/>
        <w:rPr>
          <w:rFonts w:ascii="Palatino Linotype" w:eastAsia="Palatino Linotype" w:hAnsi="Palatino Linotype" w:cs="Palatino Linotype"/>
          <w:b/>
          <w:color w:val="000000"/>
          <w:sz w:val="22"/>
          <w:szCs w:val="22"/>
        </w:rPr>
      </w:pPr>
      <w:r w:rsidRPr="00A84E9E">
        <w:rPr>
          <w:rFonts w:ascii="Palatino Linotype" w:eastAsia="Palatino Linotype" w:hAnsi="Palatino Linotype" w:cs="Palatino Linotype"/>
          <w:b/>
          <w:color w:val="000000"/>
          <w:sz w:val="22"/>
          <w:szCs w:val="22"/>
        </w:rPr>
        <w:t xml:space="preserve">WhatsApp Image 2024-11-27 at 10.20.06 PM.zip: </w:t>
      </w:r>
      <w:r w:rsidRPr="00A84E9E">
        <w:rPr>
          <w:rFonts w:ascii="Palatino Linotype" w:eastAsia="Palatino Linotype" w:hAnsi="Palatino Linotype" w:cs="Palatino Linotype"/>
          <w:color w:val="000000"/>
          <w:sz w:val="22"/>
          <w:szCs w:val="22"/>
        </w:rPr>
        <w:t>Contiene imagen de la página del Ayuntamiento de Tepotzotlán.</w:t>
      </w:r>
    </w:p>
    <w:p w:rsidR="00CC4D88" w:rsidRPr="00A84E9E" w:rsidRDefault="00CC4D88">
      <w:pPr>
        <w:pBdr>
          <w:top w:val="nil"/>
          <w:left w:val="nil"/>
          <w:bottom w:val="nil"/>
          <w:right w:val="nil"/>
          <w:between w:val="nil"/>
        </w:pBdr>
        <w:ind w:right="-697"/>
        <w:rPr>
          <w:rFonts w:ascii="Palatino Linotype" w:eastAsia="Palatino Linotype" w:hAnsi="Palatino Linotype" w:cs="Palatino Linotype"/>
          <w:b/>
          <w:color w:val="000000"/>
        </w:rPr>
      </w:pPr>
    </w:p>
    <w:p w:rsidR="00CC4D88" w:rsidRPr="00A84E9E" w:rsidRDefault="00CC4D88">
      <w:pPr>
        <w:spacing w:line="360" w:lineRule="auto"/>
        <w:ind w:right="-697"/>
        <w:rPr>
          <w:rFonts w:ascii="Palatino Linotype" w:eastAsia="Palatino Linotype" w:hAnsi="Palatino Linotype" w:cs="Palatino Linotype"/>
        </w:rPr>
      </w:pPr>
    </w:p>
    <w:p w:rsidR="00CC4D88" w:rsidRPr="00A84E9E" w:rsidRDefault="00A41D92">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bookmarkStart w:id="2" w:name="_heading=h.1fob9te" w:colFirst="0" w:colLast="0"/>
      <w:bookmarkEnd w:id="2"/>
      <w:r w:rsidRPr="00A84E9E">
        <w:rPr>
          <w:rFonts w:ascii="Palatino Linotype" w:eastAsia="Palatino Linotype" w:hAnsi="Palatino Linotype" w:cs="Palatino Linotype"/>
          <w:color w:val="000000"/>
        </w:rPr>
        <w:t>Seguidamente, mediante acuerdo de fecha trece de enero de dos mil veinticuatro se decretó el cierre de instrucción, por lo que no habiendo más que hacer constar, y-----</w:t>
      </w:r>
      <w:r w:rsidRPr="00A84E9E">
        <w:rPr>
          <w:rFonts w:ascii="Palatino Linotype" w:eastAsia="Palatino Linotype" w:hAnsi="Palatino Linotype" w:cs="Palatino Linotype"/>
        </w:rPr>
        <w:t>---------</w:t>
      </w:r>
    </w:p>
    <w:p w:rsidR="00CC4D88" w:rsidRPr="00A84E9E" w:rsidRDefault="00CC4D88">
      <w:pPr>
        <w:pBdr>
          <w:top w:val="nil"/>
          <w:left w:val="nil"/>
          <w:bottom w:val="nil"/>
          <w:right w:val="nil"/>
          <w:between w:val="nil"/>
        </w:pBdr>
        <w:spacing w:line="360" w:lineRule="auto"/>
        <w:ind w:right="-697"/>
        <w:jc w:val="center"/>
        <w:rPr>
          <w:rFonts w:ascii="Palatino Linotype" w:eastAsia="Palatino Linotype" w:hAnsi="Palatino Linotype" w:cs="Palatino Linotype"/>
          <w:b/>
          <w:color w:val="000000"/>
        </w:rPr>
      </w:pPr>
    </w:p>
    <w:p w:rsidR="00CC4D88" w:rsidRPr="00A84E9E" w:rsidRDefault="00A41D92">
      <w:pPr>
        <w:pBdr>
          <w:top w:val="nil"/>
          <w:left w:val="nil"/>
          <w:bottom w:val="nil"/>
          <w:right w:val="nil"/>
          <w:between w:val="nil"/>
        </w:pBdr>
        <w:spacing w:line="360" w:lineRule="auto"/>
        <w:ind w:right="-697"/>
        <w:jc w:val="center"/>
        <w:rPr>
          <w:rFonts w:ascii="Palatino Linotype" w:eastAsia="Palatino Linotype" w:hAnsi="Palatino Linotype" w:cs="Palatino Linotype"/>
          <w:b/>
          <w:color w:val="000000"/>
        </w:rPr>
      </w:pPr>
      <w:r w:rsidRPr="00A84E9E">
        <w:rPr>
          <w:rFonts w:ascii="Palatino Linotype" w:eastAsia="Palatino Linotype" w:hAnsi="Palatino Linotype" w:cs="Palatino Linotype"/>
          <w:b/>
          <w:color w:val="000000"/>
        </w:rPr>
        <w:t>C O N S I D E R A N D O</w:t>
      </w:r>
    </w:p>
    <w:p w:rsidR="00CC4D88" w:rsidRPr="00A84E9E" w:rsidRDefault="00CC4D88">
      <w:pPr>
        <w:pBdr>
          <w:top w:val="nil"/>
          <w:left w:val="nil"/>
          <w:bottom w:val="nil"/>
          <w:right w:val="nil"/>
          <w:between w:val="nil"/>
        </w:pBdr>
        <w:spacing w:line="360" w:lineRule="auto"/>
        <w:ind w:right="-697"/>
        <w:jc w:val="center"/>
        <w:rPr>
          <w:rFonts w:ascii="Palatino Linotype" w:eastAsia="Palatino Linotype" w:hAnsi="Palatino Linotype" w:cs="Palatino Linotype"/>
          <w:b/>
          <w:color w:val="000000"/>
        </w:rPr>
      </w:pPr>
    </w:p>
    <w:p w:rsidR="00CC4D88" w:rsidRPr="00A84E9E" w:rsidRDefault="00A41D92">
      <w:pPr>
        <w:pStyle w:val="Ttulo2"/>
        <w:spacing w:before="0" w:line="360" w:lineRule="auto"/>
        <w:ind w:right="-697"/>
        <w:rPr>
          <w:rFonts w:ascii="Palatino Linotype" w:eastAsia="Palatino Linotype" w:hAnsi="Palatino Linotype" w:cs="Palatino Linotype"/>
          <w:b/>
          <w:color w:val="000000"/>
          <w:sz w:val="24"/>
          <w:szCs w:val="24"/>
        </w:rPr>
      </w:pPr>
      <w:bookmarkStart w:id="3" w:name="_heading=h.3znysh7" w:colFirst="0" w:colLast="0"/>
      <w:bookmarkEnd w:id="3"/>
      <w:r w:rsidRPr="00A84E9E">
        <w:rPr>
          <w:rFonts w:ascii="Palatino Linotype" w:eastAsia="Palatino Linotype" w:hAnsi="Palatino Linotype" w:cs="Palatino Linotype"/>
          <w:b/>
          <w:color w:val="000000"/>
          <w:sz w:val="24"/>
          <w:szCs w:val="24"/>
        </w:rPr>
        <w:t>PRIMERO. De la competencia</w:t>
      </w:r>
    </w:p>
    <w:p w:rsidR="00CC4D88" w:rsidRPr="00A84E9E" w:rsidRDefault="00A41D92">
      <w:pPr>
        <w:numPr>
          <w:ilvl w:val="0"/>
          <w:numId w:val="1"/>
        </w:numPr>
        <w:pBdr>
          <w:top w:val="nil"/>
          <w:left w:val="nil"/>
          <w:bottom w:val="nil"/>
          <w:right w:val="nil"/>
          <w:between w:val="nil"/>
        </w:pBdr>
        <w:spacing w:line="360" w:lineRule="auto"/>
        <w:ind w:left="0" w:right="-697" w:firstLine="0"/>
        <w:jc w:val="both"/>
        <w:rPr>
          <w:color w:val="000000"/>
        </w:rPr>
      </w:pPr>
      <w:r w:rsidRPr="00A84E9E">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CC4D88" w:rsidRPr="00A84E9E" w:rsidRDefault="00CC4D88">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rsidR="00CC4D88" w:rsidRPr="00A84E9E" w:rsidRDefault="00A41D92">
      <w:pPr>
        <w:pStyle w:val="Ttulo2"/>
        <w:spacing w:before="0" w:line="360" w:lineRule="auto"/>
        <w:ind w:right="-697"/>
        <w:rPr>
          <w:rFonts w:ascii="Palatino Linotype" w:eastAsia="Palatino Linotype" w:hAnsi="Palatino Linotype" w:cs="Palatino Linotype"/>
          <w:b/>
          <w:color w:val="000000"/>
          <w:sz w:val="24"/>
          <w:szCs w:val="24"/>
        </w:rPr>
      </w:pPr>
      <w:bookmarkStart w:id="4" w:name="_heading=h.2et92p0" w:colFirst="0" w:colLast="0"/>
      <w:bookmarkEnd w:id="4"/>
      <w:r w:rsidRPr="00A84E9E">
        <w:rPr>
          <w:rFonts w:ascii="Palatino Linotype" w:eastAsia="Palatino Linotype" w:hAnsi="Palatino Linotype" w:cs="Palatino Linotype"/>
          <w:b/>
          <w:color w:val="000000"/>
          <w:sz w:val="24"/>
          <w:szCs w:val="24"/>
        </w:rPr>
        <w:lastRenderedPageBreak/>
        <w:t>SEGUNDO. De la oportunidad y procedencia.</w:t>
      </w:r>
    </w:p>
    <w:p w:rsidR="00CC4D88" w:rsidRPr="00A84E9E" w:rsidRDefault="00A41D92">
      <w:pPr>
        <w:numPr>
          <w:ilvl w:val="0"/>
          <w:numId w:val="1"/>
        </w:numPr>
        <w:pBdr>
          <w:top w:val="nil"/>
          <w:left w:val="nil"/>
          <w:bottom w:val="nil"/>
          <w:right w:val="nil"/>
          <w:between w:val="nil"/>
        </w:pBdr>
        <w:spacing w:line="360" w:lineRule="auto"/>
        <w:ind w:left="0" w:right="-697" w:firstLine="0"/>
        <w:jc w:val="both"/>
        <w:rPr>
          <w:color w:val="000000"/>
        </w:rPr>
      </w:pPr>
      <w:r w:rsidRPr="00A84E9E">
        <w:rPr>
          <w:rFonts w:ascii="Palatino Linotype" w:eastAsia="Palatino Linotype" w:hAnsi="Palatino Linotype" w:cs="Palatino Linotype"/>
          <w:color w:val="000000"/>
        </w:rPr>
        <w:t xml:space="preserve">El medio de impugnación fue presentado a través del </w:t>
      </w:r>
      <w:r w:rsidRPr="00A84E9E">
        <w:rPr>
          <w:rFonts w:ascii="Palatino Linotype" w:eastAsia="Palatino Linotype" w:hAnsi="Palatino Linotype" w:cs="Palatino Linotype"/>
          <w:b/>
          <w:color w:val="000000"/>
        </w:rPr>
        <w:t>SAIMEX,</w:t>
      </w:r>
      <w:r w:rsidRPr="00A84E9E">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A84E9E">
        <w:rPr>
          <w:rFonts w:ascii="Palatino Linotype" w:eastAsia="Palatino Linotype" w:hAnsi="Palatino Linotype" w:cs="Palatino Linotype"/>
          <w:b/>
          <w:color w:val="000000"/>
        </w:rPr>
        <w:t>SUJETO OBLIGADO</w:t>
      </w:r>
      <w:r w:rsidRPr="00A84E9E">
        <w:rPr>
          <w:rFonts w:ascii="Palatino Linotype" w:eastAsia="Palatino Linotype" w:hAnsi="Palatino Linotype" w:cs="Palatino Linotype"/>
          <w:color w:val="000000"/>
        </w:rPr>
        <w:t xml:space="preserve"> entregó su respuesta el diecinueve de noviembre  de dos mil veinticuatro, de tal forma que el plazo para interponer el recurso de revisión transcurrió del día veinte de noviembre al diez de diciembre de dos mil veinticuatro; en consecuencia, el ahora </w:t>
      </w:r>
      <w:r w:rsidRPr="00A84E9E">
        <w:rPr>
          <w:rFonts w:ascii="Palatino Linotype" w:eastAsia="Palatino Linotype" w:hAnsi="Palatino Linotype" w:cs="Palatino Linotype"/>
          <w:b/>
          <w:color w:val="000000"/>
        </w:rPr>
        <w:t>RECURRENTE</w:t>
      </w:r>
      <w:r w:rsidRPr="00A84E9E">
        <w:rPr>
          <w:rFonts w:ascii="Palatino Linotype" w:eastAsia="Palatino Linotype" w:hAnsi="Palatino Linotype" w:cs="Palatino Linotype"/>
          <w:color w:val="000000"/>
        </w:rPr>
        <w:t xml:space="preserve"> presentó su inconformidad el día veinte de noviembre de dos mil veinticuatro; por lo que se estima que la inconformidad se presentó dentro del lapso legalmente establecido para tal efecto.</w:t>
      </w:r>
    </w:p>
    <w:p w:rsidR="00CC4D88" w:rsidRPr="00A84E9E" w:rsidRDefault="00CC4D88">
      <w:pPr>
        <w:ind w:right="-697"/>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pPr>
      <w:r w:rsidRPr="00A84E9E">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CC4D88" w:rsidRPr="00A84E9E" w:rsidRDefault="00CC4D88">
      <w:pPr>
        <w:pBdr>
          <w:top w:val="nil"/>
          <w:left w:val="nil"/>
          <w:bottom w:val="nil"/>
          <w:right w:val="nil"/>
          <w:between w:val="nil"/>
        </w:pBdr>
        <w:spacing w:line="360" w:lineRule="auto"/>
        <w:ind w:right="-697"/>
        <w:rPr>
          <w:rFonts w:ascii="Palatino Linotype" w:eastAsia="Palatino Linotype" w:hAnsi="Palatino Linotype" w:cs="Palatino Linotype"/>
          <w:color w:val="000000"/>
        </w:rPr>
      </w:pPr>
    </w:p>
    <w:p w:rsidR="00CC4D88" w:rsidRPr="00A84E9E" w:rsidRDefault="00A41D92">
      <w:pPr>
        <w:pStyle w:val="Ttulo1"/>
        <w:spacing w:before="0" w:line="360" w:lineRule="auto"/>
        <w:ind w:right="-697"/>
        <w:rPr>
          <w:rFonts w:ascii="Palatino Linotype" w:eastAsia="Palatino Linotype" w:hAnsi="Palatino Linotype" w:cs="Palatino Linotype"/>
          <w:b/>
          <w:color w:val="000000"/>
          <w:sz w:val="24"/>
          <w:szCs w:val="24"/>
        </w:rPr>
      </w:pPr>
      <w:bookmarkStart w:id="5" w:name="_heading=h.tyjcwt" w:colFirst="0" w:colLast="0"/>
      <w:bookmarkEnd w:id="5"/>
      <w:r w:rsidRPr="00A84E9E">
        <w:rPr>
          <w:rFonts w:ascii="Palatino Linotype" w:eastAsia="Palatino Linotype" w:hAnsi="Palatino Linotype" w:cs="Palatino Linotype"/>
          <w:b/>
          <w:color w:val="000000"/>
          <w:sz w:val="24"/>
          <w:szCs w:val="24"/>
        </w:rPr>
        <w:t xml:space="preserve">TERCERO. Del planteamiento de la </w:t>
      </w:r>
      <w:r w:rsidRPr="00A84E9E">
        <w:rPr>
          <w:rFonts w:ascii="Palatino Linotype" w:eastAsia="Palatino Linotype" w:hAnsi="Palatino Linotype" w:cs="Palatino Linotype"/>
          <w:b/>
          <w:i/>
          <w:color w:val="000000"/>
          <w:sz w:val="24"/>
          <w:szCs w:val="24"/>
        </w:rPr>
        <w:t>Litis</w:t>
      </w:r>
      <w:r w:rsidRPr="00A84E9E">
        <w:rPr>
          <w:rFonts w:ascii="Palatino Linotype" w:eastAsia="Palatino Linotype" w:hAnsi="Palatino Linotype" w:cs="Palatino Linotype"/>
          <w:b/>
          <w:color w:val="000000"/>
          <w:sz w:val="24"/>
          <w:szCs w:val="24"/>
        </w:rPr>
        <w:t>.</w:t>
      </w:r>
    </w:p>
    <w:p w:rsidR="00CC4D88" w:rsidRPr="00A84E9E" w:rsidRDefault="00A41D92">
      <w:pPr>
        <w:numPr>
          <w:ilvl w:val="0"/>
          <w:numId w:val="1"/>
        </w:numPr>
        <w:pBdr>
          <w:top w:val="nil"/>
          <w:left w:val="nil"/>
          <w:bottom w:val="nil"/>
          <w:right w:val="nil"/>
          <w:between w:val="nil"/>
        </w:pBdr>
        <w:spacing w:line="360" w:lineRule="auto"/>
        <w:ind w:left="0" w:right="-697" w:firstLine="0"/>
        <w:jc w:val="both"/>
        <w:rPr>
          <w:color w:val="000000"/>
        </w:rPr>
      </w:pPr>
      <w:r w:rsidRPr="00A84E9E">
        <w:rPr>
          <w:rFonts w:ascii="Palatino Linotype" w:eastAsia="Palatino Linotype" w:hAnsi="Palatino Linotype" w:cs="Palatino Linotype"/>
          <w:color w:val="000000"/>
        </w:rPr>
        <w:t>Se solicitó tener acceso, a la información que a continuación se desagrega:</w:t>
      </w:r>
    </w:p>
    <w:p w:rsidR="00CC4D88" w:rsidRPr="00A84E9E" w:rsidRDefault="00A41D92">
      <w:pPr>
        <w:numPr>
          <w:ilvl w:val="0"/>
          <w:numId w:val="5"/>
        </w:numPr>
        <w:pBdr>
          <w:top w:val="nil"/>
          <w:left w:val="nil"/>
          <w:bottom w:val="nil"/>
          <w:right w:val="nil"/>
          <w:between w:val="nil"/>
        </w:pBdr>
        <w:spacing w:line="360" w:lineRule="auto"/>
        <w:ind w:right="-130"/>
        <w:jc w:val="both"/>
        <w:rPr>
          <w:rFonts w:ascii="Palatino Linotype" w:eastAsia="Palatino Linotype" w:hAnsi="Palatino Linotype" w:cs="Palatino Linotype"/>
          <w:color w:val="000000"/>
          <w:sz w:val="22"/>
          <w:szCs w:val="22"/>
        </w:rPr>
      </w:pPr>
      <w:r w:rsidRPr="00A84E9E">
        <w:rPr>
          <w:rFonts w:ascii="Palatino Linotype" w:eastAsia="Palatino Linotype" w:hAnsi="Palatino Linotype" w:cs="Palatino Linotype"/>
          <w:color w:val="000000"/>
          <w:sz w:val="22"/>
          <w:szCs w:val="22"/>
        </w:rPr>
        <w:t xml:space="preserve">Cantidad de recurso económico ejercido para la contratación del Grupo Bronco para el día 29 de noviembre del 2024 en la semana cultural de Tepotzotlán </w:t>
      </w:r>
    </w:p>
    <w:p w:rsidR="00CC4D88" w:rsidRPr="00A84E9E" w:rsidRDefault="00A41D92">
      <w:pPr>
        <w:numPr>
          <w:ilvl w:val="0"/>
          <w:numId w:val="5"/>
        </w:numPr>
        <w:pBdr>
          <w:top w:val="nil"/>
          <w:left w:val="nil"/>
          <w:bottom w:val="nil"/>
          <w:right w:val="nil"/>
          <w:between w:val="nil"/>
        </w:pBdr>
        <w:spacing w:line="360" w:lineRule="auto"/>
        <w:ind w:right="-130"/>
        <w:jc w:val="both"/>
        <w:rPr>
          <w:rFonts w:ascii="Palatino Linotype" w:eastAsia="Palatino Linotype" w:hAnsi="Palatino Linotype" w:cs="Palatino Linotype"/>
          <w:color w:val="000000"/>
          <w:sz w:val="22"/>
          <w:szCs w:val="22"/>
        </w:rPr>
      </w:pPr>
      <w:r w:rsidRPr="00A84E9E">
        <w:rPr>
          <w:rFonts w:ascii="Palatino Linotype" w:eastAsia="Palatino Linotype" w:hAnsi="Palatino Linotype" w:cs="Palatino Linotype"/>
          <w:color w:val="000000"/>
          <w:sz w:val="22"/>
          <w:szCs w:val="22"/>
        </w:rPr>
        <w:t xml:space="preserve">Costo total ejercido de la semana cultural 2024 con la contratación de todos los grupos, escenarios, artistas, carpas, que </w:t>
      </w:r>
      <w:r w:rsidRPr="00A84E9E">
        <w:rPr>
          <w:rFonts w:ascii="Palatino Linotype" w:eastAsia="Palatino Linotype" w:hAnsi="Palatino Linotype" w:cs="Palatino Linotype"/>
          <w:sz w:val="22"/>
          <w:szCs w:val="22"/>
        </w:rPr>
        <w:t>destinó</w:t>
      </w:r>
      <w:r w:rsidRPr="00A84E9E">
        <w:rPr>
          <w:rFonts w:ascii="Palatino Linotype" w:eastAsia="Palatino Linotype" w:hAnsi="Palatino Linotype" w:cs="Palatino Linotype"/>
          <w:color w:val="000000"/>
          <w:sz w:val="22"/>
          <w:szCs w:val="22"/>
        </w:rPr>
        <w:t xml:space="preserve"> el gobierno municipal.</w:t>
      </w:r>
    </w:p>
    <w:p w:rsidR="00CC4D88" w:rsidRPr="00A84E9E" w:rsidRDefault="00CC4D88">
      <w:pPr>
        <w:pBdr>
          <w:top w:val="nil"/>
          <w:left w:val="nil"/>
          <w:bottom w:val="nil"/>
          <w:right w:val="nil"/>
          <w:between w:val="nil"/>
        </w:pBdr>
        <w:spacing w:line="360" w:lineRule="auto"/>
        <w:ind w:left="778" w:right="-697"/>
        <w:jc w:val="both"/>
        <w:rPr>
          <w:rFonts w:ascii="Palatino Linotype" w:eastAsia="Palatino Linotype" w:hAnsi="Palatino Linotype" w:cs="Palatino Linotype"/>
          <w:b/>
          <w:color w:val="000000"/>
        </w:rPr>
      </w:pPr>
    </w:p>
    <w:p w:rsidR="00CC4D88" w:rsidRPr="00A84E9E" w:rsidRDefault="00A41D92">
      <w:pPr>
        <w:numPr>
          <w:ilvl w:val="0"/>
          <w:numId w:val="1"/>
        </w:numPr>
        <w:spacing w:line="360" w:lineRule="auto"/>
        <w:ind w:left="0" w:right="-697" w:firstLine="0"/>
        <w:jc w:val="both"/>
      </w:pPr>
      <w:r w:rsidRPr="00A84E9E">
        <w:rPr>
          <w:rFonts w:ascii="Palatino Linotype" w:eastAsia="Palatino Linotype" w:hAnsi="Palatino Linotype" w:cs="Palatino Linotype"/>
        </w:rPr>
        <w:t xml:space="preserve">En respuesta, el </w:t>
      </w:r>
      <w:r w:rsidRPr="00A84E9E">
        <w:rPr>
          <w:rFonts w:ascii="Palatino Linotype" w:eastAsia="Palatino Linotype" w:hAnsi="Palatino Linotype" w:cs="Palatino Linotype"/>
          <w:b/>
        </w:rPr>
        <w:t xml:space="preserve">SUJETO OBLIGADO </w:t>
      </w:r>
      <w:r w:rsidRPr="00A84E9E">
        <w:rPr>
          <w:rFonts w:ascii="Palatino Linotype" w:eastAsia="Palatino Linotype" w:hAnsi="Palatino Linotype" w:cs="Palatino Linotype"/>
        </w:rPr>
        <w:t xml:space="preserve">refirió que </w:t>
      </w:r>
      <w:r w:rsidRPr="00A84E9E">
        <w:rPr>
          <w:rFonts w:ascii="Palatino Linotype" w:eastAsia="Palatino Linotype" w:hAnsi="Palatino Linotype" w:cs="Palatino Linotype"/>
          <w:color w:val="000000"/>
        </w:rPr>
        <w:t>después de una búsqueda exhaustiva no se encontró documento alguno referente a la información solicitada.</w:t>
      </w:r>
    </w:p>
    <w:p w:rsidR="00CC4D88" w:rsidRPr="00A84E9E" w:rsidRDefault="00A41D92">
      <w:pPr>
        <w:numPr>
          <w:ilvl w:val="0"/>
          <w:numId w:val="1"/>
        </w:numPr>
        <w:spacing w:line="360" w:lineRule="auto"/>
        <w:ind w:left="0" w:right="-697" w:firstLine="0"/>
        <w:jc w:val="both"/>
      </w:pPr>
      <w:r w:rsidRPr="00A84E9E">
        <w:rPr>
          <w:rFonts w:ascii="Palatino Linotype" w:eastAsia="Palatino Linotype" w:hAnsi="Palatino Linotype" w:cs="Palatino Linotype"/>
          <w:color w:val="000000"/>
        </w:rPr>
        <w:lastRenderedPageBreak/>
        <w:t xml:space="preserve">El RECURRENTE se </w:t>
      </w:r>
      <w:r w:rsidRPr="00A84E9E">
        <w:rPr>
          <w:rFonts w:ascii="Palatino Linotype" w:eastAsia="Palatino Linotype" w:hAnsi="Palatino Linotype" w:cs="Palatino Linotype"/>
        </w:rPr>
        <w:t>inconforma</w:t>
      </w:r>
      <w:r w:rsidRPr="00A84E9E">
        <w:rPr>
          <w:rFonts w:ascii="Palatino Linotype" w:eastAsia="Palatino Linotype" w:hAnsi="Palatino Linotype" w:cs="Palatino Linotype"/>
          <w:color w:val="000000"/>
        </w:rPr>
        <w:t xml:space="preserve"> porque, el Ayuntamiento de Tepotzotlán nuevamente no hace entrega de la información solicitada respecto de la contratación del grupo Bronco</w:t>
      </w:r>
    </w:p>
    <w:p w:rsidR="00CC4D88" w:rsidRPr="00A84E9E" w:rsidRDefault="00CC4D88">
      <w:pPr>
        <w:tabs>
          <w:tab w:val="left" w:pos="933"/>
        </w:tabs>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pPr>
      <w:r w:rsidRPr="00A84E9E">
        <w:rPr>
          <w:rFonts w:ascii="Palatino Linotype" w:eastAsia="Palatino Linotype" w:hAnsi="Palatino Linotype" w:cs="Palatino Linotype"/>
        </w:rPr>
        <w:t xml:space="preserve">En dichas condiciones, la </w:t>
      </w:r>
      <w:r w:rsidRPr="00A84E9E">
        <w:rPr>
          <w:rFonts w:ascii="Palatino Linotype" w:eastAsia="Palatino Linotype" w:hAnsi="Palatino Linotype" w:cs="Palatino Linotype"/>
          <w:i/>
        </w:rPr>
        <w:t>Litis</w:t>
      </w:r>
      <w:r w:rsidRPr="00A84E9E">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A84E9E">
        <w:rPr>
          <w:rFonts w:ascii="Palatino Linotype" w:eastAsia="Palatino Linotype" w:hAnsi="Palatino Linotype" w:cs="Palatino Linotype"/>
          <w:b/>
        </w:rPr>
        <w:t xml:space="preserve">fracción I </w:t>
      </w:r>
      <w:r w:rsidRPr="00A84E9E">
        <w:rPr>
          <w:rFonts w:ascii="Palatino Linotype" w:eastAsia="Palatino Linotype" w:hAnsi="Palatino Linotype" w:cs="Palatino Linotype"/>
        </w:rPr>
        <w:t xml:space="preserve">de la </w:t>
      </w:r>
      <w:r w:rsidRPr="00A84E9E">
        <w:rPr>
          <w:rFonts w:ascii="Palatino Linotype" w:eastAsia="Palatino Linotype" w:hAnsi="Palatino Linotype" w:cs="Palatino Linotype"/>
          <w:b/>
        </w:rPr>
        <w:t xml:space="preserve">Ley de Transparencia y Acceso a la Información Pública del Estado de </w:t>
      </w:r>
      <w:r w:rsidRPr="00A84E9E">
        <w:rPr>
          <w:rFonts w:ascii="Palatino Linotype" w:eastAsia="Palatino Linotype" w:hAnsi="Palatino Linotype" w:cs="Palatino Linotype"/>
        </w:rPr>
        <w:t>México</w:t>
      </w:r>
      <w:r w:rsidRPr="00A84E9E">
        <w:rPr>
          <w:rFonts w:ascii="Palatino Linotype" w:eastAsia="Palatino Linotype" w:hAnsi="Palatino Linotype" w:cs="Palatino Linotype"/>
          <w:b/>
        </w:rPr>
        <w:t xml:space="preserve"> y </w:t>
      </w:r>
      <w:r w:rsidRPr="00A84E9E">
        <w:rPr>
          <w:rFonts w:ascii="Palatino Linotype" w:eastAsia="Palatino Linotype" w:hAnsi="Palatino Linotype" w:cs="Palatino Linotype"/>
        </w:rPr>
        <w:t xml:space="preserve">Municipios; </w:t>
      </w:r>
      <w:r w:rsidRPr="00A84E9E">
        <w:rPr>
          <w:rFonts w:ascii="Palatino Linotype" w:eastAsia="Palatino Linotype" w:hAnsi="Palatino Linotype" w:cs="Palatino Linotype"/>
          <w:color w:val="000000"/>
        </w:rPr>
        <w:t xml:space="preserve">fracción que determina la hipótesis jurídica relativa a la negativa a la información solicitada; </w:t>
      </w:r>
      <w:r w:rsidRPr="00A84E9E">
        <w:rPr>
          <w:rFonts w:ascii="Palatino Linotype" w:eastAsia="Palatino Linotype" w:hAnsi="Palatino Linotype" w:cs="Palatino Linotype"/>
        </w:rPr>
        <w:t xml:space="preserve">contexto del cual se dolió </w:t>
      </w:r>
      <w:r w:rsidRPr="00A84E9E">
        <w:rPr>
          <w:rFonts w:ascii="Palatino Linotype" w:eastAsia="Palatino Linotype" w:hAnsi="Palatino Linotype" w:cs="Palatino Linotype"/>
          <w:b/>
        </w:rPr>
        <w:t xml:space="preserve">EL RECURRENTE </w:t>
      </w:r>
      <w:r w:rsidRPr="00A84E9E">
        <w:rPr>
          <w:rFonts w:ascii="Palatino Linotype" w:eastAsia="Palatino Linotype" w:hAnsi="Palatino Linotype" w:cs="Palatino Linotype"/>
        </w:rPr>
        <w:t>al momento de interponer su inconformidad.</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pPr>
      <w:r w:rsidRPr="00A84E9E">
        <w:rPr>
          <w:rFonts w:ascii="Palatino Linotype" w:eastAsia="Palatino Linotype" w:hAnsi="Palatino Linotype" w:cs="Palatino Linotype"/>
          <w:color w:val="000000"/>
        </w:rPr>
        <w:t xml:space="preserve">De modo tal que el presente recurso de revisión se </w:t>
      </w:r>
      <w:r w:rsidRPr="00A84E9E">
        <w:rPr>
          <w:rFonts w:ascii="Palatino Linotype" w:eastAsia="Palatino Linotype" w:hAnsi="Palatino Linotype" w:cs="Palatino Linotype"/>
        </w:rPr>
        <w:t>abocará</w:t>
      </w:r>
      <w:r w:rsidRPr="00A84E9E">
        <w:rPr>
          <w:rFonts w:ascii="Palatino Linotype" w:eastAsia="Palatino Linotype" w:hAnsi="Palatino Linotype" w:cs="Palatino Linotype"/>
          <w:color w:val="000000"/>
        </w:rPr>
        <w:t xml:space="preserve"> en determinar si el </w:t>
      </w:r>
      <w:r w:rsidRPr="00A84E9E">
        <w:rPr>
          <w:rFonts w:ascii="Palatino Linotype" w:eastAsia="Palatino Linotype" w:hAnsi="Palatino Linotype" w:cs="Palatino Linotype"/>
          <w:b/>
          <w:color w:val="000000"/>
        </w:rPr>
        <w:t>SUJETO</w:t>
      </w:r>
      <w:r w:rsidRPr="00A84E9E">
        <w:rPr>
          <w:rFonts w:ascii="Palatino Linotype" w:eastAsia="Palatino Linotype" w:hAnsi="Palatino Linotype" w:cs="Palatino Linotype"/>
          <w:color w:val="000000"/>
        </w:rPr>
        <w:t xml:space="preserve"> </w:t>
      </w:r>
      <w:r w:rsidRPr="00A84E9E">
        <w:rPr>
          <w:rFonts w:ascii="Palatino Linotype" w:eastAsia="Palatino Linotype" w:hAnsi="Palatino Linotype" w:cs="Palatino Linotype"/>
          <w:b/>
          <w:color w:val="000000"/>
        </w:rPr>
        <w:t>OBLIGADO</w:t>
      </w:r>
      <w:r w:rsidRPr="00A84E9E">
        <w:rPr>
          <w:rFonts w:ascii="Palatino Linotype" w:eastAsia="Palatino Linotype" w:hAnsi="Palatino Linotype" w:cs="Palatino Linotype"/>
          <w:color w:val="000000"/>
        </w:rPr>
        <w:t xml:space="preserve"> con su respuesta ciertamente actualiza la causal de procedencia</w:t>
      </w:r>
      <w:r w:rsidRPr="00A84E9E">
        <w:rPr>
          <w:rFonts w:ascii="Palatino Linotype" w:eastAsia="Palatino Linotype" w:hAnsi="Palatino Linotype" w:cs="Palatino Linotype"/>
          <w:b/>
          <w:color w:val="000000"/>
        </w:rPr>
        <w:t xml:space="preserve"> </w:t>
      </w:r>
      <w:r w:rsidRPr="00A84E9E">
        <w:rPr>
          <w:rFonts w:ascii="Palatino Linotype" w:eastAsia="Palatino Linotype" w:hAnsi="Palatino Linotype" w:cs="Palatino Linotype"/>
          <w:color w:val="000000"/>
        </w:rPr>
        <w:t xml:space="preserve">antes señalada. </w:t>
      </w:r>
    </w:p>
    <w:p w:rsidR="00CC4D88" w:rsidRPr="00A84E9E" w:rsidRDefault="00CC4D88">
      <w:pPr>
        <w:spacing w:line="360" w:lineRule="auto"/>
        <w:ind w:right="-697"/>
        <w:jc w:val="both"/>
        <w:rPr>
          <w:rFonts w:ascii="Palatino Linotype" w:eastAsia="Palatino Linotype" w:hAnsi="Palatino Linotype" w:cs="Palatino Linotype"/>
          <w:color w:val="000000"/>
        </w:rPr>
      </w:pPr>
    </w:p>
    <w:p w:rsidR="00CC4D88" w:rsidRPr="00A84E9E" w:rsidRDefault="00A41D92">
      <w:pPr>
        <w:pStyle w:val="Ttulo2"/>
        <w:spacing w:before="0" w:line="360" w:lineRule="auto"/>
        <w:ind w:right="-697"/>
        <w:rPr>
          <w:rFonts w:ascii="Palatino Linotype" w:eastAsia="Palatino Linotype" w:hAnsi="Palatino Linotype" w:cs="Palatino Linotype"/>
          <w:b/>
          <w:color w:val="000000"/>
          <w:sz w:val="24"/>
          <w:szCs w:val="24"/>
        </w:rPr>
      </w:pPr>
      <w:bookmarkStart w:id="6" w:name="_heading=h.3dy6vkm" w:colFirst="0" w:colLast="0"/>
      <w:bookmarkEnd w:id="6"/>
      <w:r w:rsidRPr="00A84E9E">
        <w:rPr>
          <w:rFonts w:ascii="Palatino Linotype" w:eastAsia="Palatino Linotype" w:hAnsi="Palatino Linotype" w:cs="Palatino Linotype"/>
          <w:b/>
          <w:color w:val="000000"/>
          <w:sz w:val="24"/>
          <w:szCs w:val="24"/>
        </w:rPr>
        <w:t>CUARTO. Del estudio y resolución del asunto.</w:t>
      </w:r>
    </w:p>
    <w:p w:rsidR="00CC4D88" w:rsidRPr="00A84E9E" w:rsidRDefault="00A41D92">
      <w:pPr>
        <w:numPr>
          <w:ilvl w:val="0"/>
          <w:numId w:val="1"/>
        </w:numPr>
        <w:spacing w:line="360" w:lineRule="auto"/>
        <w:ind w:left="0" w:right="-697" w:firstLine="0"/>
        <w:jc w:val="both"/>
        <w:rPr>
          <w:color w:val="000000"/>
        </w:rPr>
      </w:pPr>
      <w:r w:rsidRPr="00A84E9E">
        <w:rPr>
          <w:rFonts w:ascii="Palatino Linotype" w:eastAsia="Palatino Linotype" w:hAnsi="Palatino Linotype" w:cs="Palatino Linotype"/>
          <w:color w:val="000000"/>
        </w:rPr>
        <w:t xml:space="preserve">Acotada la </w:t>
      </w:r>
      <w:r w:rsidRPr="00A84E9E">
        <w:rPr>
          <w:rFonts w:ascii="Palatino Linotype" w:eastAsia="Palatino Linotype" w:hAnsi="Palatino Linotype" w:cs="Palatino Linotype"/>
          <w:i/>
          <w:color w:val="000000"/>
        </w:rPr>
        <w:t>Litis</w:t>
      </w:r>
      <w:r w:rsidRPr="00A84E9E">
        <w:rPr>
          <w:rFonts w:ascii="Palatino Linotype" w:eastAsia="Palatino Linotype" w:hAnsi="Palatino Linotype" w:cs="Palatino Linotype"/>
          <w:color w:val="000000"/>
        </w:rPr>
        <w:t xml:space="preserve">, se procede a analizar el contenido íntegro de las </w:t>
      </w:r>
      <w:r w:rsidRPr="00A84E9E">
        <w:rPr>
          <w:rFonts w:ascii="Palatino Linotype" w:eastAsia="Palatino Linotype" w:hAnsi="Palatino Linotype" w:cs="Palatino Linotype"/>
        </w:rPr>
        <w:t>actuaciones</w:t>
      </w:r>
      <w:r w:rsidRPr="00A84E9E">
        <w:rPr>
          <w:rFonts w:ascii="Palatino Linotype" w:eastAsia="Palatino Linotype" w:hAnsi="Palatino Linotype" w:cs="Palatino Linotype"/>
          <w:color w:val="000000"/>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CC4D88" w:rsidRPr="00A84E9E" w:rsidRDefault="00CC4D88">
      <w:pPr>
        <w:spacing w:line="360" w:lineRule="auto"/>
        <w:ind w:right="-697"/>
        <w:jc w:val="both"/>
        <w:rPr>
          <w:rFonts w:ascii="Palatino Linotype" w:eastAsia="Palatino Linotype" w:hAnsi="Palatino Linotype" w:cs="Palatino Linotype"/>
          <w:color w:val="000000"/>
        </w:rPr>
      </w:pPr>
    </w:p>
    <w:p w:rsidR="00CC4D88" w:rsidRPr="00A84E9E" w:rsidRDefault="00A41D92">
      <w:pPr>
        <w:numPr>
          <w:ilvl w:val="0"/>
          <w:numId w:val="1"/>
        </w:numPr>
        <w:spacing w:line="360" w:lineRule="auto"/>
        <w:ind w:left="0" w:right="-697" w:firstLine="0"/>
        <w:jc w:val="both"/>
        <w:rPr>
          <w:color w:val="000000"/>
        </w:rPr>
      </w:pPr>
      <w:r w:rsidRPr="00A84E9E">
        <w:rPr>
          <w:rFonts w:ascii="Palatino Linotype" w:eastAsia="Palatino Linotype" w:hAnsi="Palatino Linotype" w:cs="Palatino Linotype"/>
          <w:color w:val="000000"/>
        </w:rPr>
        <w:t xml:space="preserve">Por ello, es importante recordar que el hoy </w:t>
      </w:r>
      <w:r w:rsidRPr="00A84E9E">
        <w:rPr>
          <w:rFonts w:ascii="Palatino Linotype" w:eastAsia="Palatino Linotype" w:hAnsi="Palatino Linotype" w:cs="Palatino Linotype"/>
          <w:b/>
          <w:color w:val="000000"/>
        </w:rPr>
        <w:t xml:space="preserve">RECURRENTE, </w:t>
      </w:r>
      <w:r w:rsidRPr="00A84E9E">
        <w:rPr>
          <w:rFonts w:ascii="Palatino Linotype" w:eastAsia="Palatino Linotype" w:hAnsi="Palatino Linotype" w:cs="Palatino Linotype"/>
          <w:color w:val="000000"/>
        </w:rPr>
        <w:t>solicitó lo siguiente</w:t>
      </w:r>
      <w:r w:rsidRPr="00A84E9E">
        <w:rPr>
          <w:rFonts w:ascii="Palatino Linotype" w:eastAsia="Palatino Linotype" w:hAnsi="Palatino Linotype" w:cs="Palatino Linotype"/>
          <w:b/>
          <w:color w:val="000000"/>
        </w:rPr>
        <w:t xml:space="preserve">: </w:t>
      </w:r>
    </w:p>
    <w:p w:rsidR="00CC4D88" w:rsidRPr="00A84E9E" w:rsidRDefault="00CC4D88">
      <w:pPr>
        <w:pBdr>
          <w:top w:val="nil"/>
          <w:left w:val="nil"/>
          <w:bottom w:val="nil"/>
          <w:right w:val="nil"/>
          <w:between w:val="nil"/>
        </w:pBdr>
        <w:ind w:left="720" w:right="-697"/>
        <w:rPr>
          <w:rFonts w:eastAsia="Calibri"/>
          <w:color w:val="000000"/>
        </w:rPr>
      </w:pPr>
    </w:p>
    <w:p w:rsidR="00CC4D88" w:rsidRPr="00A84E9E" w:rsidRDefault="00A41D92">
      <w:pPr>
        <w:pBdr>
          <w:top w:val="nil"/>
          <w:left w:val="nil"/>
          <w:bottom w:val="nil"/>
          <w:right w:val="nil"/>
          <w:between w:val="nil"/>
        </w:pBdr>
        <w:spacing w:line="360" w:lineRule="auto"/>
        <w:ind w:left="851" w:right="-130"/>
        <w:jc w:val="both"/>
        <w:rPr>
          <w:rFonts w:ascii="Palatino Linotype" w:eastAsia="Palatino Linotype" w:hAnsi="Palatino Linotype" w:cs="Palatino Linotype"/>
          <w:color w:val="000000"/>
          <w:sz w:val="22"/>
          <w:szCs w:val="22"/>
        </w:rPr>
      </w:pPr>
      <w:r w:rsidRPr="00A84E9E">
        <w:rPr>
          <w:rFonts w:ascii="Palatino Linotype" w:eastAsia="Palatino Linotype" w:hAnsi="Palatino Linotype" w:cs="Palatino Linotype"/>
          <w:b/>
          <w:color w:val="000000"/>
        </w:rPr>
        <w:lastRenderedPageBreak/>
        <w:t>•</w:t>
      </w:r>
      <w:r w:rsidRPr="00A84E9E">
        <w:rPr>
          <w:rFonts w:ascii="Palatino Linotype" w:eastAsia="Palatino Linotype" w:hAnsi="Palatino Linotype" w:cs="Palatino Linotype"/>
          <w:b/>
          <w:color w:val="000000"/>
        </w:rPr>
        <w:tab/>
      </w:r>
      <w:r w:rsidRPr="00A84E9E">
        <w:rPr>
          <w:rFonts w:ascii="Palatino Linotype" w:eastAsia="Palatino Linotype" w:hAnsi="Palatino Linotype" w:cs="Palatino Linotype"/>
          <w:color w:val="000000"/>
        </w:rPr>
        <w:t>C</w:t>
      </w:r>
      <w:r w:rsidRPr="00A84E9E">
        <w:rPr>
          <w:rFonts w:ascii="Palatino Linotype" w:eastAsia="Palatino Linotype" w:hAnsi="Palatino Linotype" w:cs="Palatino Linotype"/>
          <w:color w:val="000000"/>
          <w:sz w:val="22"/>
          <w:szCs w:val="22"/>
        </w:rPr>
        <w:t xml:space="preserve">antidad de recurso económico ejercido para la contratación del Grupo Bronco para el día 29 de noviembre del 2024 en la semana cultural de Tepotzotlán </w:t>
      </w:r>
    </w:p>
    <w:p w:rsidR="00CC4D88" w:rsidRPr="00A84E9E" w:rsidRDefault="00A41D92">
      <w:pPr>
        <w:pBdr>
          <w:top w:val="nil"/>
          <w:left w:val="nil"/>
          <w:bottom w:val="nil"/>
          <w:right w:val="nil"/>
          <w:between w:val="nil"/>
        </w:pBdr>
        <w:spacing w:line="360" w:lineRule="auto"/>
        <w:ind w:left="851" w:right="-130"/>
        <w:jc w:val="both"/>
        <w:rPr>
          <w:rFonts w:ascii="Palatino Linotype" w:eastAsia="Palatino Linotype" w:hAnsi="Palatino Linotype" w:cs="Palatino Linotype"/>
          <w:color w:val="000000"/>
          <w:sz w:val="22"/>
          <w:szCs w:val="22"/>
        </w:rPr>
      </w:pPr>
      <w:r w:rsidRPr="00A84E9E">
        <w:rPr>
          <w:rFonts w:ascii="Palatino Linotype" w:eastAsia="Palatino Linotype" w:hAnsi="Palatino Linotype" w:cs="Palatino Linotype"/>
          <w:color w:val="000000"/>
          <w:sz w:val="22"/>
          <w:szCs w:val="22"/>
        </w:rPr>
        <w:t>•</w:t>
      </w:r>
      <w:r w:rsidRPr="00A84E9E">
        <w:rPr>
          <w:rFonts w:ascii="Palatino Linotype" w:eastAsia="Palatino Linotype" w:hAnsi="Palatino Linotype" w:cs="Palatino Linotype"/>
          <w:color w:val="000000"/>
          <w:sz w:val="22"/>
          <w:szCs w:val="22"/>
        </w:rPr>
        <w:tab/>
        <w:t xml:space="preserve">Costo total ejercido de la semana cultural 2024 con la contratación de todos los grupos, escenarios, artistas, carpas, que </w:t>
      </w:r>
      <w:r w:rsidRPr="00A84E9E">
        <w:rPr>
          <w:rFonts w:ascii="Palatino Linotype" w:eastAsia="Palatino Linotype" w:hAnsi="Palatino Linotype" w:cs="Palatino Linotype"/>
          <w:sz w:val="22"/>
          <w:szCs w:val="22"/>
        </w:rPr>
        <w:t>destinó</w:t>
      </w:r>
      <w:r w:rsidRPr="00A84E9E">
        <w:rPr>
          <w:rFonts w:ascii="Palatino Linotype" w:eastAsia="Palatino Linotype" w:hAnsi="Palatino Linotype" w:cs="Palatino Linotype"/>
          <w:color w:val="000000"/>
          <w:sz w:val="22"/>
          <w:szCs w:val="22"/>
        </w:rPr>
        <w:t xml:space="preserve"> el gobierno municipal.</w:t>
      </w:r>
    </w:p>
    <w:p w:rsidR="00CC4D88" w:rsidRPr="00A84E9E" w:rsidRDefault="00CC4D88">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CC4D88" w:rsidRPr="00A84E9E" w:rsidRDefault="00A41D92">
      <w:pPr>
        <w:numPr>
          <w:ilvl w:val="0"/>
          <w:numId w:val="1"/>
        </w:numPr>
        <w:spacing w:line="360" w:lineRule="auto"/>
        <w:ind w:left="0" w:right="-697" w:firstLine="0"/>
        <w:jc w:val="both"/>
      </w:pPr>
      <w:r w:rsidRPr="00A84E9E">
        <w:rPr>
          <w:rFonts w:ascii="Palatino Linotype" w:eastAsia="Palatino Linotype" w:hAnsi="Palatino Linotype" w:cs="Palatino Linotype"/>
          <w:color w:val="000000"/>
        </w:rPr>
        <w:t xml:space="preserve">De lo anterior, el </w:t>
      </w:r>
      <w:r w:rsidRPr="00A84E9E">
        <w:rPr>
          <w:rFonts w:ascii="Palatino Linotype" w:eastAsia="Palatino Linotype" w:hAnsi="Palatino Linotype" w:cs="Palatino Linotype"/>
          <w:b/>
          <w:color w:val="000000"/>
        </w:rPr>
        <w:t>SUJETO OBLIGADO</w:t>
      </w:r>
      <w:r w:rsidRPr="00A84E9E">
        <w:rPr>
          <w:rFonts w:ascii="Palatino Linotype" w:eastAsia="Palatino Linotype" w:hAnsi="Palatino Linotype" w:cs="Palatino Linotype"/>
          <w:color w:val="000000"/>
        </w:rPr>
        <w:t xml:space="preserve">, indicó, </w:t>
      </w:r>
      <w:r w:rsidRPr="00A84E9E">
        <w:rPr>
          <w:rFonts w:ascii="Palatino Linotype" w:eastAsia="Palatino Linotype" w:hAnsi="Palatino Linotype" w:cs="Palatino Linotype"/>
        </w:rPr>
        <w:t xml:space="preserve">que </w:t>
      </w:r>
      <w:r w:rsidRPr="00A84E9E">
        <w:rPr>
          <w:rFonts w:ascii="Palatino Linotype" w:eastAsia="Palatino Linotype" w:hAnsi="Palatino Linotype" w:cs="Palatino Linotype"/>
          <w:color w:val="000000"/>
        </w:rPr>
        <w:t>después de una búsqueda exhaustiva no se encontró documento alguno referente a la información solicitada</w:t>
      </w:r>
    </w:p>
    <w:p w:rsidR="00CC4D88" w:rsidRPr="00A84E9E" w:rsidRDefault="00CC4D88">
      <w:pPr>
        <w:spacing w:line="360" w:lineRule="auto"/>
        <w:ind w:right="-697"/>
        <w:jc w:val="both"/>
        <w:rPr>
          <w:rFonts w:ascii="Palatino Linotype" w:eastAsia="Palatino Linotype" w:hAnsi="Palatino Linotype" w:cs="Palatino Linotype"/>
          <w:i/>
          <w:color w:val="000000"/>
        </w:rPr>
      </w:pPr>
    </w:p>
    <w:p w:rsidR="00CC4D88" w:rsidRPr="00A84E9E" w:rsidRDefault="00A41D92">
      <w:pPr>
        <w:numPr>
          <w:ilvl w:val="0"/>
          <w:numId w:val="1"/>
        </w:numPr>
        <w:spacing w:line="360" w:lineRule="auto"/>
        <w:ind w:left="0" w:right="-697" w:firstLine="0"/>
        <w:jc w:val="both"/>
      </w:pPr>
      <w:r w:rsidRPr="00A84E9E">
        <w:rPr>
          <w:rFonts w:ascii="Palatino Linotype" w:eastAsia="Palatino Linotype" w:hAnsi="Palatino Linotype" w:cs="Palatino Linotype"/>
          <w:color w:val="000000"/>
        </w:rPr>
        <w:t>Derivado de la respuesta el RECURRENTE, interpuso el recurso de revisión, manifestando el Acto Impugnado siguiente: el Ayuntamiento de Tepotzotlán nuevamente no hace entrega de la información solicitada respecto de la contratación del grupo Bronco</w:t>
      </w:r>
      <w:r w:rsidR="00F13AAD" w:rsidRPr="00A84E9E">
        <w:rPr>
          <w:rFonts w:ascii="Palatino Linotype" w:eastAsia="Palatino Linotype" w:hAnsi="Palatino Linotype" w:cs="Palatino Linotype"/>
          <w:color w:val="000000"/>
        </w:rPr>
        <w:t>.</w:t>
      </w:r>
    </w:p>
    <w:p w:rsidR="00F13AAD" w:rsidRPr="00A84E9E" w:rsidRDefault="00F13AAD" w:rsidP="00F13AAD">
      <w:pPr>
        <w:pStyle w:val="Prrafodelista"/>
      </w:pPr>
    </w:p>
    <w:p w:rsidR="00F13AAD" w:rsidRPr="00A84E9E" w:rsidRDefault="00F13AAD" w:rsidP="00F13AAD">
      <w:pPr>
        <w:numPr>
          <w:ilvl w:val="0"/>
          <w:numId w:val="1"/>
        </w:numPr>
        <w:spacing w:line="360" w:lineRule="auto"/>
        <w:ind w:left="0" w:right="-697" w:firstLine="0"/>
        <w:jc w:val="both"/>
        <w:rPr>
          <w:rFonts w:ascii="Palatino Linotype" w:hAnsi="Palatino Linotype"/>
        </w:rPr>
      </w:pPr>
      <w:r w:rsidRPr="00A84E9E">
        <w:rPr>
          <w:rFonts w:ascii="Palatino Linotype" w:hAnsi="Palatino Linotype"/>
        </w:rPr>
        <w:t>De los motivos de inconformidad anunciados se advierte que se actualiza la figura de Plus Petitio  pues dicha información no fue requerida en la solicitud presentada, en ese sentido, se trata de un requerimiento que se formula hasta la interposición del presente recurso. Es decir, LA PARTE RECURRENTE pretende ampliar sus requerimientos mediante el recurso de revisión, inconformándose con nueva solicitud; por lo que, dichas razones y motivos de inconformidad son inoperantes.</w:t>
      </w:r>
    </w:p>
    <w:p w:rsidR="00A41D92" w:rsidRPr="00A84E9E" w:rsidRDefault="00A41D92" w:rsidP="00A41D92">
      <w:pPr>
        <w:spacing w:line="360" w:lineRule="auto"/>
        <w:ind w:right="-697"/>
        <w:jc w:val="both"/>
        <w:rPr>
          <w:rFonts w:ascii="Palatino Linotype" w:hAnsi="Palatino Linotype"/>
        </w:rPr>
      </w:pPr>
    </w:p>
    <w:p w:rsidR="00A41D92" w:rsidRPr="00A84E9E" w:rsidRDefault="00A41D92" w:rsidP="00A41D92">
      <w:pPr>
        <w:numPr>
          <w:ilvl w:val="0"/>
          <w:numId w:val="1"/>
        </w:numPr>
        <w:spacing w:line="360" w:lineRule="auto"/>
        <w:ind w:left="0" w:right="-697" w:firstLine="0"/>
        <w:jc w:val="both"/>
        <w:rPr>
          <w:rFonts w:ascii="Palatino Linotype" w:hAnsi="Palatino Linotype"/>
        </w:rPr>
      </w:pPr>
      <w:r w:rsidRPr="00A84E9E">
        <w:rPr>
          <w:rFonts w:ascii="Palatino Linotype" w:hAnsi="Palatino Linotype"/>
        </w:rPr>
        <w:t>Sirve de apoyo a lo anterior por analogía, la Jurisprudencia de rubro y texto:</w:t>
      </w:r>
    </w:p>
    <w:p w:rsidR="00A41D92" w:rsidRPr="00A84E9E" w:rsidRDefault="00A41D92" w:rsidP="00A41D92">
      <w:pPr>
        <w:spacing w:line="360" w:lineRule="auto"/>
        <w:ind w:left="360" w:right="-697"/>
        <w:jc w:val="both"/>
        <w:rPr>
          <w:rFonts w:ascii="Palatino Linotype" w:hAnsi="Palatino Linotype"/>
        </w:rPr>
      </w:pPr>
    </w:p>
    <w:p w:rsidR="00A41D92" w:rsidRPr="00A84E9E" w:rsidRDefault="00A41D92" w:rsidP="00A41D92">
      <w:pPr>
        <w:spacing w:line="360" w:lineRule="auto"/>
        <w:ind w:left="851" w:right="426"/>
        <w:jc w:val="both"/>
        <w:rPr>
          <w:rFonts w:ascii="Palatino Linotype" w:hAnsi="Palatino Linotype"/>
          <w:i/>
          <w:sz w:val="22"/>
          <w:szCs w:val="22"/>
        </w:rPr>
      </w:pPr>
      <w:r w:rsidRPr="00A84E9E">
        <w:rPr>
          <w:rFonts w:ascii="Palatino Linotype" w:hAnsi="Palatino Linotype"/>
          <w:i/>
          <w:sz w:val="22"/>
          <w:szCs w:val="22"/>
        </w:rPr>
        <w:t xml:space="preserve">"AGRAVIOS EN LA REVISION. DEBEN ESTAR EN RELACION DIRECTA CON LOS FUNDAMENTOS Y CONSIDERACIONES DE LA SENTENCIA.- Los agravios deben estar en relación directa e inmediata con los fundamentos contenidos en la sentencia que se recurre, y forzosamente deben contener, no sólo la cita de las </w:t>
      </w:r>
      <w:r w:rsidRPr="00A84E9E">
        <w:rPr>
          <w:rFonts w:ascii="Palatino Linotype" w:hAnsi="Palatino Linotype"/>
          <w:i/>
          <w:sz w:val="22"/>
          <w:szCs w:val="22"/>
        </w:rPr>
        <w:lastRenderedPageBreak/>
        <w:t xml:space="preserve">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rsidR="00A41D92" w:rsidRPr="00A84E9E" w:rsidRDefault="00A41D92" w:rsidP="00A41D92">
      <w:pPr>
        <w:spacing w:line="360" w:lineRule="auto"/>
        <w:ind w:left="360" w:right="-697"/>
        <w:jc w:val="both"/>
        <w:rPr>
          <w:rFonts w:ascii="Palatino Linotype" w:hAnsi="Palatino Linotype"/>
        </w:rPr>
      </w:pPr>
    </w:p>
    <w:p w:rsidR="00A41D92" w:rsidRPr="00A84E9E" w:rsidRDefault="00A41D92" w:rsidP="00A41D92">
      <w:pPr>
        <w:numPr>
          <w:ilvl w:val="0"/>
          <w:numId w:val="1"/>
        </w:numPr>
        <w:spacing w:line="360" w:lineRule="auto"/>
        <w:ind w:left="0" w:right="-697" w:firstLine="0"/>
        <w:jc w:val="both"/>
        <w:rPr>
          <w:rFonts w:ascii="Palatino Linotype" w:hAnsi="Palatino Linotype"/>
        </w:rPr>
      </w:pPr>
      <w:r w:rsidRPr="00A84E9E">
        <w:rPr>
          <w:rFonts w:ascii="Palatino Linotype" w:hAnsi="Palatino Linotype"/>
        </w:rPr>
        <w:t>Así entonces dichas manifestaciones no serán materia de estudio, no obstante, se dejan a salvo los derechos del particular, si es que así lo desea, podrá suscribir una nueva solicitud de información.</w:t>
      </w:r>
    </w:p>
    <w:p w:rsidR="00CC4D88" w:rsidRPr="00A84E9E" w:rsidRDefault="00CC4D88" w:rsidP="00F13AAD">
      <w:pPr>
        <w:spacing w:line="360" w:lineRule="auto"/>
        <w:ind w:right="-697"/>
        <w:jc w:val="both"/>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A84E9E">
        <w:rPr>
          <w:rFonts w:ascii="Palatino Linotype" w:eastAsia="Palatino Linotype" w:hAnsi="Palatino Linotype" w:cs="Palatino Linotype"/>
          <w:i/>
        </w:rPr>
        <w:t xml:space="preserve">en el ámbito de sus atribuciones, de promover, respetar, proteger y </w:t>
      </w:r>
      <w:r w:rsidRPr="00A84E9E">
        <w:rPr>
          <w:rFonts w:ascii="Palatino Linotype" w:eastAsia="Palatino Linotype" w:hAnsi="Palatino Linotype" w:cs="Palatino Linotype"/>
          <w:b/>
          <w:i/>
        </w:rPr>
        <w:t>garantizar</w:t>
      </w:r>
      <w:r w:rsidRPr="00A84E9E">
        <w:rPr>
          <w:rFonts w:ascii="Palatino Linotype" w:eastAsia="Palatino Linotype" w:hAnsi="Palatino Linotype" w:cs="Palatino Linotype"/>
          <w:i/>
        </w:rPr>
        <w:t xml:space="preserve"> los derechos humanos. </w:t>
      </w:r>
      <w:r w:rsidRPr="00A84E9E">
        <w:rPr>
          <w:rFonts w:ascii="Palatino Linotype" w:eastAsia="Palatino Linotype" w:hAnsi="Palatino Linotype" w:cs="Palatino Linotype"/>
          <w:b/>
          <w:i/>
        </w:rPr>
        <w:t>En cuanto al derecho de acceso a la información, la Ley de Transparencia y Acceso a la Información Pública del Estado de México y Municipios prevé establece que e</w:t>
      </w:r>
      <w:r w:rsidRPr="00A84E9E">
        <w:rPr>
          <w:rFonts w:ascii="Palatino Linotype" w:eastAsia="Palatino Linotype" w:hAnsi="Palatino Linotype" w:cs="Palatino Linotype"/>
          <w:i/>
        </w:rPr>
        <w:t>l procedimiento de acceso a la información es la garantía primaria del derecho en cuestión y se rige por los principios de simplicidad, rapidez y gratuidad del procedimiento, auxilio y orientación a los particulares</w:t>
      </w:r>
      <w:r w:rsidRPr="00A84E9E">
        <w:rPr>
          <w:rFonts w:ascii="Cambria" w:eastAsia="Cambria" w:hAnsi="Cambria" w:cs="Cambria"/>
          <w:i/>
          <w:vertAlign w:val="superscript"/>
        </w:rPr>
        <w:footnoteReference w:id="1"/>
      </w:r>
      <w:r w:rsidRPr="00A84E9E">
        <w:rPr>
          <w:rFonts w:ascii="Palatino Linotype" w:eastAsia="Palatino Linotype" w:hAnsi="Palatino Linotype" w:cs="Palatino Linotype"/>
          <w:i/>
        </w:rPr>
        <w:t xml:space="preserve">, </w:t>
      </w:r>
      <w:r w:rsidRPr="00A84E9E">
        <w:rPr>
          <w:rFonts w:ascii="Palatino Linotype" w:eastAsia="Palatino Linotype" w:hAnsi="Palatino Linotype" w:cs="Palatino Linotype"/>
        </w:rPr>
        <w:t>asimismo establece</w:t>
      </w:r>
      <w:r w:rsidRPr="00A84E9E">
        <w:rPr>
          <w:rFonts w:ascii="Palatino Linotype" w:eastAsia="Palatino Linotype" w:hAnsi="Palatino Linotype" w:cs="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CC4D88" w:rsidRPr="00A84E9E" w:rsidRDefault="00CC4D88">
      <w:pPr>
        <w:ind w:left="720" w:right="-697"/>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b/>
        </w:rPr>
      </w:pPr>
      <w:r w:rsidRPr="00A84E9E">
        <w:rPr>
          <w:rFonts w:ascii="Palatino Linotype" w:eastAsia="Palatino Linotype" w:hAnsi="Palatino Linotype" w:cs="Palatino Linotype"/>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administran o poseen la información, </w:t>
      </w:r>
      <w:r w:rsidRPr="00A84E9E">
        <w:rPr>
          <w:rFonts w:ascii="Palatino Linotype" w:eastAsia="Palatino Linotype" w:hAnsi="Palatino Linotype" w:cs="Palatino Linotype"/>
          <w:b/>
          <w:u w:val="single"/>
        </w:rPr>
        <w:t>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CC4D88" w:rsidRPr="00A84E9E" w:rsidRDefault="00CC4D88">
      <w:pPr>
        <w:ind w:left="720" w:right="-697"/>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Es así que, su obligación es </w:t>
      </w:r>
      <w:r w:rsidRPr="00A84E9E">
        <w:rPr>
          <w:rFonts w:ascii="Palatino Linotype" w:eastAsia="Palatino Linotype" w:hAnsi="Palatino Linotype" w:cs="Palatino Linotype"/>
          <w:i/>
        </w:rPr>
        <w:t>realizar, con efectividad, los trámites internos necesarios para la atención de las solicitudes de información</w:t>
      </w:r>
      <w:r w:rsidRPr="00A84E9E">
        <w:rPr>
          <w:rFonts w:ascii="Cambria" w:eastAsia="Cambria" w:hAnsi="Cambria" w:cs="Cambria"/>
          <w:vertAlign w:val="superscript"/>
        </w:rPr>
        <w:footnoteReference w:id="2"/>
      </w:r>
      <w:r w:rsidRPr="00A84E9E">
        <w:rPr>
          <w:rFonts w:ascii="Palatino Linotype" w:eastAsia="Palatino Linotype" w:hAnsi="Palatino Linotype" w:cs="Palatino Linotype"/>
        </w:rPr>
        <w:t>, es decir, deben otorgar respuestas concisas, contundentes y sobre todo que den la certeza de los actos que realizan.</w:t>
      </w:r>
    </w:p>
    <w:p w:rsidR="00CC4D88" w:rsidRPr="00A84E9E" w:rsidRDefault="00CC4D88">
      <w:pPr>
        <w:ind w:left="720" w:right="-697"/>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 xml:space="preserve">Artículo 50. </w:t>
      </w:r>
      <w:r w:rsidRPr="00A84E9E">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CC4D88" w:rsidRPr="00A84E9E" w:rsidRDefault="00CC4D88">
      <w:pPr>
        <w:spacing w:line="360" w:lineRule="auto"/>
        <w:ind w:left="567" w:right="-697"/>
        <w:jc w:val="both"/>
        <w:rPr>
          <w:rFonts w:ascii="Palatino Linotype" w:eastAsia="Palatino Linotype" w:hAnsi="Palatino Linotype" w:cs="Palatino Linotype"/>
          <w:i/>
          <w:sz w:val="22"/>
          <w:szCs w:val="22"/>
        </w:rPr>
      </w:pP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 xml:space="preserve">Artículo 53. </w:t>
      </w:r>
      <w:r w:rsidRPr="00A84E9E">
        <w:rPr>
          <w:rFonts w:ascii="Palatino Linotype" w:eastAsia="Palatino Linotype" w:hAnsi="Palatino Linotype" w:cs="Palatino Linotype"/>
          <w:i/>
          <w:sz w:val="22"/>
          <w:szCs w:val="22"/>
        </w:rPr>
        <w:t>Las Unidades de Transparencia tendrán las siguientes funciones:</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II. Recibir, tramitar y dar respuesta a las solicitudes de acceso a la información;</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w:t>
      </w:r>
    </w:p>
    <w:p w:rsidR="00CC4D88" w:rsidRPr="00A84E9E" w:rsidRDefault="00A41D92">
      <w:pPr>
        <w:spacing w:line="360" w:lineRule="auto"/>
        <w:ind w:left="567" w:right="-697"/>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lastRenderedPageBreak/>
        <w:t>IV. Realizar, con efectividad, los trámites internos necesarios para la atención de las solicitudes de acceso a la información;</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V.</w:t>
      </w:r>
      <w:r w:rsidRPr="00A84E9E">
        <w:rPr>
          <w:rFonts w:ascii="Palatino Linotype" w:eastAsia="Palatino Linotype" w:hAnsi="Palatino Linotype" w:cs="Palatino Linotype"/>
          <w:i/>
          <w:sz w:val="22"/>
          <w:szCs w:val="22"/>
        </w:rPr>
        <w:t xml:space="preserve"> Entregar, en su caso, a los particulares la información solicitada;</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w:t>
      </w:r>
    </w:p>
    <w:p w:rsidR="00CC4D88" w:rsidRPr="00A84E9E" w:rsidRDefault="00CC4D88">
      <w:pPr>
        <w:spacing w:line="360" w:lineRule="auto"/>
        <w:ind w:left="567" w:right="-697"/>
        <w:jc w:val="both"/>
        <w:rPr>
          <w:rFonts w:ascii="Palatino Linotype" w:eastAsia="Palatino Linotype" w:hAnsi="Palatino Linotype" w:cs="Palatino Linotype"/>
          <w:i/>
          <w:sz w:val="22"/>
          <w:szCs w:val="22"/>
        </w:rPr>
      </w:pP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 xml:space="preserve">Artículo 58. </w:t>
      </w:r>
      <w:r w:rsidRPr="00A84E9E">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CC4D88" w:rsidRPr="00A84E9E" w:rsidRDefault="00CC4D88">
      <w:pPr>
        <w:spacing w:line="360" w:lineRule="auto"/>
        <w:ind w:left="567" w:right="-697"/>
        <w:jc w:val="both"/>
        <w:rPr>
          <w:rFonts w:ascii="Palatino Linotype" w:eastAsia="Palatino Linotype" w:hAnsi="Palatino Linotype" w:cs="Palatino Linotype"/>
          <w:i/>
          <w:sz w:val="22"/>
          <w:szCs w:val="22"/>
        </w:rPr>
      </w:pP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 xml:space="preserve">Artículo 59. </w:t>
      </w:r>
      <w:r w:rsidRPr="00A84E9E">
        <w:rPr>
          <w:rFonts w:ascii="Palatino Linotype" w:eastAsia="Palatino Linotype" w:hAnsi="Palatino Linotype" w:cs="Palatino Linotype"/>
          <w:i/>
          <w:sz w:val="22"/>
          <w:szCs w:val="22"/>
        </w:rPr>
        <w:t>Los servidores públicos habilitados tendrán las funciones siguientes:</w:t>
      </w:r>
    </w:p>
    <w:p w:rsidR="00CC4D88" w:rsidRPr="00A84E9E" w:rsidRDefault="00CC4D88">
      <w:pPr>
        <w:spacing w:line="360" w:lineRule="auto"/>
        <w:ind w:left="567" w:right="-697"/>
        <w:jc w:val="both"/>
        <w:rPr>
          <w:rFonts w:ascii="Palatino Linotype" w:eastAsia="Palatino Linotype" w:hAnsi="Palatino Linotype" w:cs="Palatino Linotype"/>
          <w:i/>
          <w:sz w:val="22"/>
          <w:szCs w:val="22"/>
        </w:rPr>
      </w:pP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I.</w:t>
      </w:r>
      <w:r w:rsidRPr="00A84E9E">
        <w:rPr>
          <w:rFonts w:ascii="Palatino Linotype" w:eastAsia="Palatino Linotype" w:hAnsi="Palatino Linotype" w:cs="Palatino Linotype"/>
          <w:i/>
          <w:sz w:val="22"/>
          <w:szCs w:val="22"/>
        </w:rPr>
        <w:t xml:space="preserve"> Localizar la información que le solicite la Unidad de Transparencia;</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II.</w:t>
      </w:r>
      <w:r w:rsidRPr="00A84E9E">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w:t>
      </w:r>
    </w:p>
    <w:p w:rsidR="00CC4D88" w:rsidRPr="00A84E9E" w:rsidRDefault="00CC4D88">
      <w:pPr>
        <w:spacing w:line="360" w:lineRule="auto"/>
        <w:ind w:left="567" w:right="-697"/>
        <w:jc w:val="both"/>
        <w:rPr>
          <w:rFonts w:ascii="Palatino Linotype" w:eastAsia="Palatino Linotype" w:hAnsi="Palatino Linotype" w:cs="Palatino Linotype"/>
          <w:i/>
          <w:sz w:val="22"/>
          <w:szCs w:val="22"/>
        </w:rPr>
      </w:pPr>
    </w:p>
    <w:p w:rsidR="00CC4D88" w:rsidRPr="00A84E9E" w:rsidRDefault="00A41D92">
      <w:pPr>
        <w:spacing w:line="360" w:lineRule="auto"/>
        <w:ind w:left="567" w:right="-697"/>
        <w:jc w:val="both"/>
        <w:rPr>
          <w:rFonts w:ascii="Palatino Linotype" w:eastAsia="Palatino Linotype" w:hAnsi="Palatino Linotype" w:cs="Palatino Linotype"/>
          <w:b/>
          <w:i/>
          <w:u w:val="single"/>
        </w:rPr>
      </w:pPr>
      <w:r w:rsidRPr="00A84E9E">
        <w:rPr>
          <w:rFonts w:ascii="Palatino Linotype" w:eastAsia="Palatino Linotype" w:hAnsi="Palatino Linotype" w:cs="Palatino Linotype"/>
          <w:b/>
          <w:i/>
          <w:sz w:val="22"/>
          <w:szCs w:val="22"/>
        </w:rPr>
        <w:t xml:space="preserve">Artículo 162. </w:t>
      </w:r>
      <w:r w:rsidRPr="00A84E9E">
        <w:rPr>
          <w:rFonts w:ascii="Palatino Linotype" w:eastAsia="Palatino Linotype" w:hAnsi="Palatino Linotype" w:cs="Palatino Linotype"/>
          <w:b/>
          <w:i/>
          <w:sz w:val="22"/>
          <w:szCs w:val="22"/>
          <w:u w:val="single"/>
        </w:rPr>
        <w:t xml:space="preserve">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w:t>
      </w:r>
      <w:r w:rsidRPr="00A84E9E">
        <w:rPr>
          <w:rFonts w:ascii="Palatino Linotype" w:eastAsia="Palatino Linotype" w:hAnsi="Palatino Linotype" w:cs="Palatino Linotype"/>
          <w:b/>
          <w:i/>
          <w:u w:val="single"/>
        </w:rPr>
        <w:t>solicitada.</w:t>
      </w:r>
    </w:p>
    <w:p w:rsidR="00CC4D88" w:rsidRPr="00A84E9E" w:rsidRDefault="00A41D92">
      <w:pPr>
        <w:spacing w:line="360" w:lineRule="auto"/>
        <w:ind w:left="567" w:right="-697"/>
        <w:jc w:val="both"/>
        <w:rPr>
          <w:rFonts w:ascii="Palatino Linotype" w:eastAsia="Palatino Linotype" w:hAnsi="Palatino Linotype" w:cs="Palatino Linotype"/>
          <w:b/>
          <w:i/>
          <w:u w:val="single"/>
        </w:rPr>
      </w:pPr>
      <w:r w:rsidRPr="00A84E9E">
        <w:rPr>
          <w:rFonts w:ascii="Palatino Linotype" w:eastAsia="Palatino Linotype" w:hAnsi="Palatino Linotype" w:cs="Palatino Linotype"/>
          <w:b/>
          <w:i/>
        </w:rPr>
        <w:t>(Énfasis añadido)</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w:t>
      </w:r>
      <w:r w:rsidRPr="00A84E9E">
        <w:rPr>
          <w:rFonts w:ascii="Palatino Linotype" w:eastAsia="Palatino Linotype" w:hAnsi="Palatino Linotype" w:cs="Palatino Linotype"/>
        </w:rPr>
        <w:lastRenderedPageBreak/>
        <w:t xml:space="preserve">en su caso, a los particulares la información. Por su parte, </w:t>
      </w:r>
      <w:r w:rsidRPr="00A84E9E">
        <w:rPr>
          <w:rFonts w:ascii="Palatino Linotype" w:eastAsia="Palatino Linotype" w:hAnsi="Palatino Linotype" w:cs="Palatino Linotype"/>
          <w:b/>
        </w:rPr>
        <w:t>los servidores públicos habilitados auxiliarán a las Unidades de Transparencia localizando la información solicitada y proporcionando la misma que obre en sus archivos.</w:t>
      </w:r>
      <w:r w:rsidRPr="00A84E9E">
        <w:rPr>
          <w:rFonts w:ascii="Palatino Linotype" w:eastAsia="Palatino Linotype" w:hAnsi="Palatino Linotype" w:cs="Palatino Linotype"/>
        </w:rPr>
        <w:t xml:space="preserve"> Asimismo, es una obligación de las Unidades de Transparencia turnar a todas las áreas que se consideren competentes para que realicen una búsqueda exhaustiva y razonable de la información solicitada a fin de que ésta sea entregada a los solicitantes.</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En el presente asunto en particular, en el expediente electrónico del SAIMEX, no se aprecia que el Titular de la Unidad de Transparencia haya realizado el carteo o turno a los servidores públicos habilitados que de acuerdo a sus atribuciones, competencias y funciones generen, administren o posean la información requerida por el pa</w:t>
      </w:r>
      <w:r w:rsidR="00AB1214" w:rsidRPr="00A84E9E">
        <w:rPr>
          <w:rFonts w:ascii="Palatino Linotype" w:eastAsia="Palatino Linotype" w:hAnsi="Palatino Linotype" w:cs="Palatino Linotype"/>
        </w:rPr>
        <w:t>rticular, como lo es la Tesorería Municipal</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Ahora bien, no pasa desapercibido que el particular solicitó información relacionada con la cantidad de recursos económicos ejercido para la contratación del grupo BRONCO para el día 29 de noviembre del 2024 en la semana cultural de Tepotzotlán y el costo total ejercido de la semana cultural 2024 con la contratación de todos los grupos, escenarios, artistas, carpas, por tal motivo es necesario traer a contexto lo que dispone la Ley de Contratación Pública del Estado de México y Municipios en el Capítulo Quinto, el cual dispone lo siguiente:</w:t>
      </w:r>
    </w:p>
    <w:p w:rsidR="00CC4D88" w:rsidRPr="00A84E9E" w:rsidRDefault="00A41D92">
      <w:pPr>
        <w:spacing w:line="360" w:lineRule="auto"/>
        <w:ind w:left="567" w:right="-697"/>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CAPÍTULO QUINTO</w:t>
      </w:r>
    </w:p>
    <w:p w:rsidR="00CC4D88" w:rsidRPr="00A84E9E" w:rsidRDefault="00A41D92">
      <w:pPr>
        <w:spacing w:line="360" w:lineRule="auto"/>
        <w:ind w:left="567" w:right="-697"/>
        <w:jc w:val="center"/>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DE LA INTEGRACIÓN Y FUNCIONES DE LOS COMITÉS</w:t>
      </w:r>
    </w:p>
    <w:p w:rsidR="00CC4D88" w:rsidRPr="00A84E9E" w:rsidRDefault="00CC4D88">
      <w:pPr>
        <w:spacing w:line="360" w:lineRule="auto"/>
        <w:ind w:left="567" w:right="-697"/>
        <w:jc w:val="both"/>
        <w:rPr>
          <w:rFonts w:ascii="Palatino Linotype" w:eastAsia="Palatino Linotype" w:hAnsi="Palatino Linotype" w:cs="Palatino Linotype"/>
          <w:i/>
          <w:sz w:val="22"/>
          <w:szCs w:val="22"/>
        </w:rPr>
      </w:pP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Artículo 22.- Los comités son órganos colegiados con facultades de opinión, que tienen por objeto auxiliar a la Secretaría, entidades, tribunales administrativos y </w:t>
      </w:r>
      <w:r w:rsidRPr="00A84E9E">
        <w:rPr>
          <w:rFonts w:ascii="Palatino Linotype" w:eastAsia="Palatino Linotype" w:hAnsi="Palatino Linotype" w:cs="Palatino Linotype"/>
          <w:b/>
          <w:i/>
          <w:sz w:val="22"/>
          <w:szCs w:val="22"/>
        </w:rPr>
        <w:t>ayuntamientos</w:t>
      </w:r>
      <w:r w:rsidRPr="00A84E9E">
        <w:rPr>
          <w:rFonts w:ascii="Palatino Linotype" w:eastAsia="Palatino Linotype" w:hAnsi="Palatino Linotype" w:cs="Palatino Linotype"/>
          <w:i/>
          <w:sz w:val="22"/>
          <w:szCs w:val="22"/>
        </w:rPr>
        <w:t xml:space="preserve">, en la substanciación </w:t>
      </w:r>
      <w:r w:rsidRPr="00A84E9E">
        <w:rPr>
          <w:rFonts w:ascii="Palatino Linotype" w:eastAsia="Palatino Linotype" w:hAnsi="Palatino Linotype" w:cs="Palatino Linotype"/>
          <w:i/>
          <w:sz w:val="22"/>
          <w:szCs w:val="22"/>
        </w:rPr>
        <w:lastRenderedPageBreak/>
        <w:t xml:space="preserve">de los procedimientos de adquisiciones y de servicios, de conformidad con el Reglamento y los manuales de operación. </w:t>
      </w:r>
    </w:p>
    <w:p w:rsidR="00CC4D88" w:rsidRPr="00A84E9E" w:rsidRDefault="00CC4D88">
      <w:pPr>
        <w:spacing w:line="360" w:lineRule="auto"/>
        <w:ind w:left="567" w:right="-697"/>
        <w:jc w:val="both"/>
        <w:rPr>
          <w:rFonts w:ascii="Palatino Linotype" w:eastAsia="Palatino Linotype" w:hAnsi="Palatino Linotype" w:cs="Palatino Linotype"/>
          <w:i/>
          <w:sz w:val="22"/>
          <w:szCs w:val="22"/>
        </w:rPr>
      </w:pPr>
    </w:p>
    <w:p w:rsidR="00CC4D88" w:rsidRPr="00A84E9E" w:rsidRDefault="00A41D92">
      <w:pPr>
        <w:spacing w:line="360" w:lineRule="auto"/>
        <w:ind w:left="567" w:right="-697"/>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i/>
          <w:sz w:val="22"/>
          <w:szCs w:val="22"/>
        </w:rPr>
        <w:t xml:space="preserve">En la Secretaría, en cada entidad, tribunal administrativo </w:t>
      </w:r>
      <w:r w:rsidRPr="00A84E9E">
        <w:rPr>
          <w:rFonts w:ascii="Palatino Linotype" w:eastAsia="Palatino Linotype" w:hAnsi="Palatino Linotype" w:cs="Palatino Linotype"/>
          <w:b/>
          <w:i/>
          <w:sz w:val="22"/>
          <w:szCs w:val="22"/>
        </w:rPr>
        <w:t xml:space="preserve">y ayuntamiento se constituirá un comité de adquisiciones y servicios. </w:t>
      </w:r>
    </w:p>
    <w:p w:rsidR="00CC4D88" w:rsidRPr="00A84E9E" w:rsidRDefault="00CC4D88">
      <w:pPr>
        <w:spacing w:line="360" w:lineRule="auto"/>
        <w:ind w:left="567" w:right="-697"/>
        <w:jc w:val="both"/>
        <w:rPr>
          <w:rFonts w:ascii="Palatino Linotype" w:eastAsia="Palatino Linotype" w:hAnsi="Palatino Linotype" w:cs="Palatino Linotype"/>
          <w:i/>
          <w:sz w:val="22"/>
          <w:szCs w:val="22"/>
        </w:rPr>
      </w:pP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La Secretaría, las entidades, los tribunales administrativos y </w:t>
      </w:r>
      <w:r w:rsidRPr="00A84E9E">
        <w:rPr>
          <w:rFonts w:ascii="Palatino Linotype" w:eastAsia="Palatino Linotype" w:hAnsi="Palatino Linotype" w:cs="Palatino Linotype"/>
          <w:b/>
          <w:i/>
          <w:sz w:val="22"/>
          <w:szCs w:val="22"/>
        </w:rPr>
        <w:t>los ayuntamientos se auxiliarán de un comité de arrendamientos, adquisiciones de inmuebles y enajenaciones</w:t>
      </w:r>
      <w:r w:rsidRPr="00A84E9E">
        <w:rPr>
          <w:rFonts w:ascii="Palatino Linotype" w:eastAsia="Palatino Linotype" w:hAnsi="Palatino Linotype" w:cs="Palatino Linotype"/>
          <w:i/>
          <w:sz w:val="22"/>
          <w:szCs w:val="22"/>
        </w:rPr>
        <w:t>.</w:t>
      </w:r>
    </w:p>
    <w:p w:rsidR="00CC4D88" w:rsidRPr="00A84E9E" w:rsidRDefault="00CC4D88">
      <w:pPr>
        <w:spacing w:line="360" w:lineRule="auto"/>
        <w:ind w:left="567" w:right="-697"/>
        <w:jc w:val="both"/>
        <w:rPr>
          <w:rFonts w:ascii="Palatino Linotype" w:eastAsia="Palatino Linotype" w:hAnsi="Palatino Linotype" w:cs="Palatino Linotype"/>
          <w:i/>
          <w:sz w:val="22"/>
          <w:szCs w:val="22"/>
        </w:rPr>
      </w:pP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Artículo 23.- Los comités de adquisiciones y de servicios tendrán las funciones siguientes:</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 Dictaminar sobre la procedencia de los casos de excepción al procedimiento de licitación pública. </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II. Participar en los procedimientos de licitación, invitación restringida y adjudicación directa, hasta dejarlos en estado de dictar el fallo correspondiente, incluidos los que tengan que desahogarse bajo la modalidad de subasta inversa. </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III. Emitir los dictámenes de adjudicación. </w:t>
      </w:r>
    </w:p>
    <w:p w:rsidR="00CC4D88" w:rsidRPr="00A84E9E" w:rsidRDefault="00A41D92">
      <w:pPr>
        <w:spacing w:line="360" w:lineRule="auto"/>
        <w:ind w:left="567" w:right="-697"/>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IV. Las demás que establezca el reglamento de esta Ley.</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Es así que, los Ayuntamientos, para la adquisición de bienes y servicios deben integrar el Comité correspondiente, que es un órgano colegiado con facultades de opinión que tienen por objeto auxiliar a los Ayuntamientos en la substanciación de los procedimientos.</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Asimismo, la referida Ley de Contratación, ahora en el Capítulo Sexto establece lo siguiente:</w:t>
      </w:r>
    </w:p>
    <w:p w:rsidR="00CC4D88" w:rsidRPr="00A84E9E" w:rsidRDefault="00CC4D88">
      <w:pPr>
        <w:ind w:left="720" w:right="-697"/>
        <w:rPr>
          <w:rFonts w:ascii="Palatino Linotype" w:eastAsia="Palatino Linotype" w:hAnsi="Palatino Linotype" w:cs="Palatino Linotype"/>
        </w:rPr>
      </w:pPr>
    </w:p>
    <w:p w:rsidR="00CC4D88" w:rsidRPr="00A84E9E" w:rsidRDefault="00A41D92">
      <w:pPr>
        <w:spacing w:line="360" w:lineRule="auto"/>
        <w:ind w:right="-130"/>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CAPÍTULO SEXTO</w:t>
      </w:r>
    </w:p>
    <w:p w:rsidR="00CC4D88" w:rsidRPr="00A84E9E" w:rsidRDefault="00A41D92">
      <w:pPr>
        <w:spacing w:line="360" w:lineRule="auto"/>
        <w:ind w:right="-130"/>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lastRenderedPageBreak/>
        <w:t>DE LOS PROCEDIMIENTOS DE ADQUISICIÓN</w:t>
      </w:r>
    </w:p>
    <w:p w:rsidR="00CC4D88" w:rsidRPr="00A84E9E" w:rsidRDefault="00A41D92">
      <w:pPr>
        <w:spacing w:line="360" w:lineRule="auto"/>
        <w:ind w:right="-130"/>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SECCIÓN PRIMERA</w:t>
      </w:r>
    </w:p>
    <w:p w:rsidR="00CC4D88" w:rsidRPr="00A84E9E" w:rsidRDefault="00A41D92">
      <w:pPr>
        <w:spacing w:line="360" w:lineRule="auto"/>
        <w:ind w:right="-130"/>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DISPOSICIONES GENERALES</w:t>
      </w:r>
    </w:p>
    <w:p w:rsidR="00CC4D88" w:rsidRPr="00A84E9E" w:rsidRDefault="00CC4D88">
      <w:pPr>
        <w:spacing w:line="360" w:lineRule="auto"/>
        <w:ind w:right="-130"/>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Artículo 26.- </w:t>
      </w:r>
      <w:r w:rsidRPr="00A84E9E">
        <w:rPr>
          <w:rFonts w:ascii="Palatino Linotype" w:eastAsia="Palatino Linotype" w:hAnsi="Palatino Linotype" w:cs="Palatino Linotype"/>
          <w:b/>
          <w:i/>
          <w:sz w:val="22"/>
          <w:szCs w:val="22"/>
        </w:rPr>
        <w:t>Las adquisiciones, arrendamientos y servicios</w:t>
      </w:r>
      <w:r w:rsidRPr="00A84E9E">
        <w:rPr>
          <w:rFonts w:ascii="Palatino Linotype" w:eastAsia="Palatino Linotype" w:hAnsi="Palatino Linotype" w:cs="Palatino Linotype"/>
          <w:i/>
          <w:sz w:val="22"/>
          <w:szCs w:val="22"/>
        </w:rPr>
        <w:t xml:space="preserve"> se adjudicarán a través de licitaciones públicas, mediante convocatoria pública.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Artículo 27.- La Secretaría, las entidades, los tribunales administrativos y los ayuntamientos podrán adjudicar adquisiciones, arrendamientos y servicios, mediante las excepciones al procedimiento de licitación que a continuación se señalan: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I. Invitación restringida.</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 II. Adjudicación directa.</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Artículo 28.- La licitación pública, conforme a los medios que se utilicen, podrá ser: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 Presencial, en la cual los licitantes exclusivamente podrán presentar sus propuestas en forma documental y por escrito, en sobre cerrado, durante el acto de presentación y apertura de propuestas, o bien, si así se prevé en la convocatoria a la licitación, mediante el uso del servicio postal.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Bajo esta modalidad, la o las juntas de aclaraciones, el acto de presentación y la apertura de propuestas se realizarán de manera presencial, a los cuales podrán asistir los licitantes.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II. Electrónica, en la cual exclusivamente se permitirá la participación de los licitantes a través de COMPRAMEX, se utilizarán medios de identificación electrónica, las comunicaciones producirán los efectos que señala la Ley para el Uso de Medios Electrónicos del Estado de México.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lastRenderedPageBreak/>
        <w:t xml:space="preserve">Bajo esta modalidad, la o las juntas de aclaraciones, el acto de presentación, la apertura de propuestas y el acto de fallo sólo se realizarán a través de COMPRAMEX y sin la presencia de los licitantes en dichos actos, y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III. Mixta, en la cual los licitantes, a su elección, podrán participar en forma presencial o electrónica en la o las juntas de aclaraciones, en el acto de presentación y en la apertura de propuestas, y el acto de fallo.</w:t>
      </w:r>
    </w:p>
    <w:p w:rsidR="00CC4D88" w:rsidRPr="00A84E9E" w:rsidRDefault="00CC4D88">
      <w:pPr>
        <w:spacing w:line="360" w:lineRule="auto"/>
        <w:ind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SECCIÓN SEGUNDA</w:t>
      </w:r>
    </w:p>
    <w:p w:rsidR="00CC4D88" w:rsidRPr="00A84E9E" w:rsidRDefault="00A41D92">
      <w:pPr>
        <w:spacing w:line="360" w:lineRule="auto"/>
        <w:ind w:left="567" w:right="-130"/>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DE LA LICITACIÓN PÚBLICA</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Artículo 29.- En el procedimiento de licitación pública deberán establecerse los mismos requisitos y condiciones para todos los licitantes.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Todo licitante que satisfaga los requisitos de la convocatoria y de las bases de la licitación tendrá derecho a presentar su propuesta. Las entidades, los tribunales administrativos y los ayuntamientos proporcionarán a los interesados igual acceso a la información relacionada con la licitación, a fin de evitar favorecer a algún participante.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Artículo 30.- Las licitaciones públicas podrán ser:</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 Nacionales, cuando únicamente puedan participar personas de nacionalidad mexicana.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II. Internacionales, cuando puedan participar tanto personas de nacionalidad mexicana como extranjera.</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Artículo 32.- La Secretaría, las entidades, los tribunales administrativos y los ayuntamientos, en términos de esta Ley, serán los responsables de llevar a cabo el procedimiento de licitación pública</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SECCIÓN QUINTA</w:t>
      </w:r>
    </w:p>
    <w:p w:rsidR="00CC4D88" w:rsidRPr="00A84E9E" w:rsidRDefault="00A41D92">
      <w:pPr>
        <w:spacing w:line="360" w:lineRule="auto"/>
        <w:ind w:left="567" w:right="-130"/>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DE LA ADJUDICACIÓN DIRECTA</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Artículo 48.- </w:t>
      </w:r>
      <w:r w:rsidRPr="00A84E9E">
        <w:rPr>
          <w:rFonts w:ascii="Palatino Linotype" w:eastAsia="Palatino Linotype" w:hAnsi="Palatino Linotype" w:cs="Palatino Linotype"/>
          <w:b/>
          <w:i/>
          <w:sz w:val="22"/>
          <w:szCs w:val="22"/>
        </w:rPr>
        <w:t>La Secretaría, las entidades, los tribunales administrativos y los ayuntamientos podrán adquirir bienes, arrendar bienes muebles e inmuebles y contratar servicios, mediante adjudicación directa, cuando</w:t>
      </w:r>
      <w:r w:rsidRPr="00A84E9E">
        <w:rPr>
          <w:rFonts w:ascii="Palatino Linotype" w:eastAsia="Palatino Linotype" w:hAnsi="Palatino Linotype" w:cs="Palatino Linotype"/>
          <w:i/>
          <w:sz w:val="22"/>
          <w:szCs w:val="22"/>
        </w:rPr>
        <w:t>:</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I. La adquisición o el servicio sólo puedan realizarse con una determinada persona, por tratarse de obras de arte, titularidad de patentes, registros, marcas específicas, derechos de autor u otros derechos exclusivos.</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III. Se trate de servicios que requieran de experiencia, técnicas o equipos especiales, o se trate de la adquisición de bienes usados o de características especiales que solamente puedan ser prestados o suministrados por una sola persona.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V. Existan circunstancias que puedan provocar pérdidas o costos adicionales importantes al erario.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VI. Pueda comprometerse información de naturaleza confidencial para el Estado o municipios, por razones de seguridad pública.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lastRenderedPageBreak/>
        <w:t xml:space="preserve">VII. Existan circunstancias extraordinarias o imprevisibles derivadas de riesgo o desastre. En este supuesto, la adquisición, arrendamiento y servicio deberá limitarse a lo estrictamente necesario para enfrentar tal eventualidad.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VIII. Se hubiere rescindido un contrato, por causas imputables al proveedor o que la persona que habiendo resultado ganadora en una licitación, no concurra a la suscripción del contrato dentro del plazo establecido en esta Ley.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En estos supuestos, la Secretaría,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IX. Se hubiere declarado desierto un procedimiento de invitación restringida.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X. Cuando se aseguren condiciones financieras que permitan al Estado o a los municipios cumplir con la obligación de pago de manera diferida, sin que ello implique un costo financiero adicional o que habiéndolo, sea inferior al del mercado, o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XI. El importe de la operación no rebase los montos establecidos en el Presupuesto de Egresos del Gobierno del Estado del ejercicio correspondiente. Tratándose de arrendamientos de inmuebles se entenderá por importe de la operación el monto mensual de la renta.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XII. Se trate de bienes producidos por sociedades cooperativas, de producción rural, de interés colectivo, de solidaridad social, sociedades y asociaciones de fin social, cuyo objeto no sea </w:t>
      </w:r>
      <w:r w:rsidRPr="00A84E9E">
        <w:rPr>
          <w:rFonts w:ascii="Palatino Linotype" w:eastAsia="Palatino Linotype" w:hAnsi="Palatino Linotype" w:cs="Palatino Linotype"/>
          <w:i/>
          <w:sz w:val="22"/>
          <w:szCs w:val="22"/>
        </w:rPr>
        <w:lastRenderedPageBreak/>
        <w:t xml:space="preserve">preponderantemente lucrativo, producidos en el Estado de México y adquiridos directamente a éstas. Artículo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49.- El procedimiento de adjudicación directa se substanciará con arreglo a el reglamento de esta Ley.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Artículo 50.- Las disposiciones relativas a los procedimientos de adquisición establecidas en este capítulo serán aplicables a los arrendamientos de bienes muebles e inmuebles, con arreglo al reglamento de esta Ley.</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SECCIÓN CUARTA</w:t>
      </w:r>
    </w:p>
    <w:p w:rsidR="00CC4D88" w:rsidRPr="00A84E9E" w:rsidRDefault="00A41D92">
      <w:pPr>
        <w:spacing w:line="360" w:lineRule="auto"/>
        <w:ind w:left="567" w:right="-130"/>
        <w:jc w:val="center"/>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DE LA INVITACIÓN RESTRINGIDA</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Artículo 44.- La Secretaría, las entidades, los tribunales administrativos y los ayuntamientos podrán adquirir y contratar servicios mediante invitación restringida, cuando: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 Se hubiere declarado desierto un procedimiento de licitación, o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II. El importe de la operación no exceda de los montos establecidos por el Presupuesto de Egresos del Gobierno del Estado de México del ejercicio correspondiente.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La Secretaría,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En la invitación deberá especificarse si en el proceso de asignación aplicará la modalidad de subasta inversa.</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lastRenderedPageBreak/>
        <w:t xml:space="preserve">Artículo 45.- El procedimiento establecido en el artículo anterior, comprende la invitación de tres personas cuando menos, que serán seleccionadas de entre las que se inscriban en el catálogo de proveedores cuando exista el número de proveedores referidos.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Artículo 46.- El procedimiento de invitación restringida se desarrollará en los términos de la licitación pública, a excepción de la publicación de la convocatoria.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Artículo 47.- El procedimiento de invitación restringida se declarará desierto, cuando no se presente propuesta alguna que cumpla con los requisitos establecidos en las bases.</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Es así que, de acuerdo a la Ley de Contratación antes citada, para la adquisición de bienes y servicios se puede realizar mediante tres modalidades, licitación pública, invitación restringida y adjudicación directa, cada una modalidad cuenta con características propias para que se lleve a cabo.</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Adicionalmente, el artículo 92 fracción fracciones XXIX de la Ley de Transparencia y Acceso a la Información Pública del Estado de México y Municipios, el cual establece lo siguiente:</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lastRenderedPageBreak/>
        <w:t xml:space="preserve">a) De licitaciones públicas o procedimientos de invitación restringida: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1) La convocatoria o invitación emitida, así como los fundamentos legales aplicados para llevarla a cabo;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2) Los nombres de los participantes o invitados;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3) El nombre del ganador y las razones que lo justifican;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4) El área solicitante y la responsable de su ejecución;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5) Las convocatorias e invitaciones emitidas;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6) Los dictámenes y fallo de adjudicación; </w:t>
      </w:r>
    </w:p>
    <w:p w:rsidR="00CC4D88" w:rsidRPr="00A84E9E" w:rsidRDefault="00A41D92">
      <w:pPr>
        <w:spacing w:line="360" w:lineRule="auto"/>
        <w:ind w:left="567" w:right="-130"/>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 xml:space="preserve">7) El contrato y, en su caso, sus anexos;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9) La partida presupuestal, de conformidad con el clasificador por objeto del gasto, en el caso de ser aplicable; </w:t>
      </w:r>
    </w:p>
    <w:p w:rsidR="00CC4D88" w:rsidRPr="00A84E9E" w:rsidRDefault="00A41D92">
      <w:pPr>
        <w:spacing w:line="360" w:lineRule="auto"/>
        <w:ind w:left="567" w:right="-130"/>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 xml:space="preserve">10) Origen de los recursos especificando si son federales, estatales o municipales, así como el tipo de fondo de participación o aportación respectiva;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11) Los convenios modificatorios que, en su caso, sean firmados, precisando el objeto y la fecha de celebración;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12) Los informes de avance físico y financiero sobre las obras o servicios contratados;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13) El convenio de terminación; y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14) El finiquito. </w:t>
      </w:r>
    </w:p>
    <w:p w:rsidR="00CC4D88" w:rsidRPr="00A84E9E" w:rsidRDefault="00CC4D88">
      <w:pPr>
        <w:spacing w:line="360" w:lineRule="auto"/>
        <w:ind w:left="567" w:right="-130"/>
        <w:jc w:val="both"/>
        <w:rPr>
          <w:rFonts w:ascii="Palatino Linotype" w:eastAsia="Palatino Linotype" w:hAnsi="Palatino Linotype" w:cs="Palatino Linotype"/>
          <w:i/>
          <w:sz w:val="22"/>
          <w:szCs w:val="22"/>
        </w:rPr>
      </w:pP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b) De las adjudicaciones directas: </w:t>
      </w:r>
    </w:p>
    <w:p w:rsidR="00CC4D88" w:rsidRPr="00A84E9E" w:rsidRDefault="00A41D92">
      <w:pPr>
        <w:spacing w:line="360" w:lineRule="auto"/>
        <w:ind w:left="567" w:right="-130"/>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 xml:space="preserve">1) La propuesta enviada por el participante; </w:t>
      </w:r>
    </w:p>
    <w:p w:rsidR="00CC4D88" w:rsidRPr="00A84E9E" w:rsidRDefault="00A41D92">
      <w:pPr>
        <w:spacing w:line="360" w:lineRule="auto"/>
        <w:ind w:left="567" w:right="-130"/>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 xml:space="preserve">2) Los motivos y fundamentos legales aplicados para llevarla a cabo;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3) La autorización del ejercicio de la opción; </w:t>
      </w:r>
    </w:p>
    <w:p w:rsidR="00CC4D88" w:rsidRPr="00A84E9E" w:rsidRDefault="00A41D92">
      <w:pPr>
        <w:spacing w:line="360" w:lineRule="auto"/>
        <w:ind w:left="567" w:right="-130"/>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lastRenderedPageBreak/>
        <w:t xml:space="preserve">4) En su caso, las cotizaciones consideradas, especificando los nombres de los proveedores y sus montos; </w:t>
      </w:r>
    </w:p>
    <w:p w:rsidR="00CC4D88" w:rsidRPr="00A84E9E" w:rsidRDefault="00A41D92">
      <w:pPr>
        <w:spacing w:line="360" w:lineRule="auto"/>
        <w:ind w:left="567" w:right="-130"/>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 xml:space="preserve">5) El nombre de la persona física o jurídica colectiva adjudicada;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6) La unidad administrativa solicitante y la responsable de su ejecución; </w:t>
      </w:r>
    </w:p>
    <w:p w:rsidR="00CC4D88" w:rsidRPr="00A84E9E" w:rsidRDefault="00A41D92">
      <w:pPr>
        <w:spacing w:line="360" w:lineRule="auto"/>
        <w:ind w:left="567" w:right="-130"/>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 xml:space="preserve">7) El número, fecha, el monto del contrato y el plazo de entrega o de ejecución de los servicios u obra;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rsidR="00CC4D88" w:rsidRPr="00A84E9E" w:rsidRDefault="00A41D92">
      <w:pPr>
        <w:spacing w:line="360" w:lineRule="auto"/>
        <w:ind w:left="567" w:right="-130"/>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 xml:space="preserve">9) Los informes de avance sobre las obras o servicios contratados;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 xml:space="preserve">10) El convenio de terminación; y </w:t>
      </w:r>
    </w:p>
    <w:p w:rsidR="00CC4D88" w:rsidRPr="00A84E9E" w:rsidRDefault="00A41D92">
      <w:pPr>
        <w:spacing w:line="360"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11) El finiquito.</w:t>
      </w:r>
    </w:p>
    <w:p w:rsidR="00CC4D88" w:rsidRPr="00A84E9E" w:rsidRDefault="00CC4D88">
      <w:pPr>
        <w:spacing w:line="360" w:lineRule="auto"/>
        <w:ind w:left="567" w:right="-697"/>
        <w:jc w:val="both"/>
        <w:rPr>
          <w:rFonts w:ascii="Cambria" w:eastAsia="Cambria" w:hAnsi="Cambria" w:cs="Cambria"/>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Es así que, cuando los Sujetos Obligados realicen procedimientos de adquisición de bienes o servicios, bajo cualquier modalidad, ya sea licitación pública, invitación restringida o </w:t>
      </w:r>
      <w:r w:rsidRPr="00A84E9E">
        <w:rPr>
          <w:rFonts w:ascii="Palatino Linotype" w:eastAsia="Palatino Linotype" w:hAnsi="Palatino Linotype" w:cs="Palatino Linotype"/>
          <w:b/>
        </w:rPr>
        <w:t>adjudicación directa</w:t>
      </w:r>
      <w:r w:rsidRPr="00A84E9E">
        <w:rPr>
          <w:rFonts w:ascii="Palatino Linotype" w:eastAsia="Palatino Linotype" w:hAnsi="Palatino Linotype" w:cs="Palatino Linotype"/>
        </w:rPr>
        <w:t xml:space="preserve">, existe la obligación de hacer pública toda la información al respecto, conforme al artículo 92 fracción XXIX inciso a) y b), en los medios electrónicos tales como lo es el IPOMEX del Sujeto Obligado, incluyendo los montos de contratación y el origen de los recursos, </w:t>
      </w:r>
      <w:r w:rsidRPr="00A84E9E">
        <w:rPr>
          <w:rFonts w:ascii="Palatino Linotype" w:eastAsia="Palatino Linotype" w:hAnsi="Palatino Linotype" w:cs="Palatino Linotype"/>
          <w:b/>
          <w:i/>
        </w:rPr>
        <w:t>especificando si son federales, estatales o municipales, así como el tipo de fondo de participación o aportación respectiva.</w:t>
      </w:r>
    </w:p>
    <w:p w:rsidR="00A41D92" w:rsidRPr="00A84E9E" w:rsidRDefault="00A41D92" w:rsidP="00A41D92">
      <w:pPr>
        <w:spacing w:line="360" w:lineRule="auto"/>
        <w:ind w:right="-697"/>
        <w:jc w:val="both"/>
        <w:rPr>
          <w:rFonts w:ascii="Palatino Linotype" w:eastAsia="Palatino Linotype" w:hAnsi="Palatino Linotype" w:cs="Palatino Linotype"/>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imes New Roman"/>
          <w:color w:val="000000"/>
          <w:szCs w:val="22"/>
          <w:lang w:val="es-MX"/>
        </w:rPr>
      </w:pPr>
      <w:r w:rsidRPr="00A84E9E">
        <w:rPr>
          <w:rFonts w:ascii="Palatino Linotype" w:eastAsia="Times New Roman" w:hAnsi="Palatino Linotype" w:cs="Times New Roman"/>
          <w:color w:val="000000"/>
          <w:szCs w:val="22"/>
          <w:lang w:val="es-MX"/>
        </w:rPr>
        <w:t>La Ley Orgánica Municipal del Estado de México en los artículos 93, 94 y 95 dispone lo siguiente:</w:t>
      </w:r>
    </w:p>
    <w:p w:rsidR="00A41D92" w:rsidRPr="00A84E9E" w:rsidRDefault="00A41D92" w:rsidP="00A41D92">
      <w:pPr>
        <w:ind w:left="720"/>
        <w:contextualSpacing/>
        <w:rPr>
          <w:rFonts w:ascii="Palatino Linotype" w:eastAsia="Times New Roman" w:hAnsi="Palatino Linotype" w:cs="Times New Roman"/>
          <w:color w:val="000000"/>
          <w:sz w:val="22"/>
          <w:szCs w:val="22"/>
          <w:lang w:val="es-MX"/>
        </w:rPr>
      </w:pPr>
    </w:p>
    <w:p w:rsidR="00A41D92" w:rsidRPr="00A84E9E" w:rsidRDefault="00A41D92" w:rsidP="00A41D92">
      <w:pPr>
        <w:spacing w:line="360" w:lineRule="auto"/>
        <w:ind w:left="567" w:right="616"/>
        <w:contextualSpacing/>
        <w:jc w:val="both"/>
        <w:rPr>
          <w:rFonts w:ascii="Palatino Linotype" w:eastAsia="Times New Roman" w:hAnsi="Palatino Linotype" w:cs="Times New Roman"/>
          <w:i/>
          <w:sz w:val="22"/>
          <w:lang w:val="es-MX"/>
        </w:rPr>
      </w:pPr>
      <w:r w:rsidRPr="00A84E9E">
        <w:rPr>
          <w:rFonts w:ascii="Palatino Linotype" w:eastAsia="Times New Roman" w:hAnsi="Palatino Linotype" w:cs="Times New Roman"/>
          <w:i/>
          <w:sz w:val="22"/>
          <w:lang w:val="es-MX"/>
        </w:rPr>
        <w:t xml:space="preserve">Artículo 93.- La tesorería municipal es el órgano encargado de la recaudación de los ingresos municipales y responsable de realizar las erogaciones que haga el ayuntamiento. </w:t>
      </w:r>
    </w:p>
    <w:p w:rsidR="00A41D92" w:rsidRPr="00A84E9E" w:rsidRDefault="00A41D92" w:rsidP="00A41D92">
      <w:pPr>
        <w:spacing w:line="360" w:lineRule="auto"/>
        <w:ind w:left="567" w:right="616"/>
        <w:contextualSpacing/>
        <w:jc w:val="both"/>
        <w:rPr>
          <w:rFonts w:ascii="Palatino Linotype" w:eastAsia="Times New Roman" w:hAnsi="Palatino Linotype" w:cs="Times New Roman"/>
          <w:i/>
          <w:sz w:val="22"/>
          <w:lang w:val="es-MX"/>
        </w:rPr>
      </w:pPr>
    </w:p>
    <w:p w:rsidR="00A41D92" w:rsidRPr="00A84E9E" w:rsidRDefault="00A41D92" w:rsidP="00A41D92">
      <w:pPr>
        <w:spacing w:line="360" w:lineRule="auto"/>
        <w:ind w:left="567" w:right="616"/>
        <w:contextualSpacing/>
        <w:jc w:val="both"/>
        <w:rPr>
          <w:rFonts w:ascii="Palatino Linotype" w:eastAsia="Times New Roman" w:hAnsi="Palatino Linotype" w:cs="Times New Roman"/>
          <w:i/>
          <w:color w:val="000000"/>
          <w:sz w:val="22"/>
          <w:szCs w:val="22"/>
          <w:lang w:val="es-MX"/>
        </w:rPr>
      </w:pPr>
      <w:r w:rsidRPr="00A84E9E">
        <w:rPr>
          <w:rFonts w:ascii="Palatino Linotype" w:eastAsia="Times New Roman" w:hAnsi="Palatino Linotype" w:cs="Times New Roman"/>
          <w:i/>
          <w:sz w:val="22"/>
          <w:lang w:val="es-MX"/>
        </w:rPr>
        <w:lastRenderedPageBreak/>
        <w:t>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rsidR="00A41D92" w:rsidRPr="00A84E9E" w:rsidRDefault="00A41D92" w:rsidP="00A41D92">
      <w:pPr>
        <w:spacing w:line="360" w:lineRule="auto"/>
        <w:ind w:left="567" w:right="616"/>
        <w:contextualSpacing/>
        <w:jc w:val="both"/>
        <w:rPr>
          <w:rFonts w:ascii="Palatino Linotype" w:eastAsia="Times New Roman" w:hAnsi="Palatino Linotype" w:cs="Times New Roman"/>
          <w:i/>
          <w:color w:val="000000"/>
          <w:sz w:val="22"/>
          <w:szCs w:val="22"/>
          <w:lang w:val="es-MX"/>
        </w:rPr>
      </w:pPr>
    </w:p>
    <w:p w:rsidR="00A41D92" w:rsidRPr="00A84E9E" w:rsidRDefault="00A41D92" w:rsidP="00A41D92">
      <w:pPr>
        <w:spacing w:line="360" w:lineRule="auto"/>
        <w:ind w:left="567" w:right="616"/>
        <w:contextualSpacing/>
        <w:jc w:val="both"/>
        <w:rPr>
          <w:rFonts w:ascii="Palatino Linotype" w:eastAsia="Times New Roman" w:hAnsi="Palatino Linotype" w:cs="Times New Roman"/>
          <w:i/>
          <w:sz w:val="22"/>
          <w:lang w:val="es-MX"/>
        </w:rPr>
      </w:pPr>
      <w:r w:rsidRPr="00A84E9E">
        <w:rPr>
          <w:rFonts w:ascii="Palatino Linotype" w:eastAsia="Times New Roman" w:hAnsi="Palatino Linotype" w:cs="Times New Roman"/>
          <w:i/>
          <w:sz w:val="22"/>
          <w:lang w:val="es-MX"/>
        </w:rPr>
        <w:t>Artículo 95.- Son atribuciones del tesorero municipal:</w:t>
      </w:r>
    </w:p>
    <w:p w:rsidR="00A41D92" w:rsidRPr="00A84E9E" w:rsidRDefault="00A41D92" w:rsidP="00A41D92">
      <w:pPr>
        <w:spacing w:line="360" w:lineRule="auto"/>
        <w:ind w:left="567" w:right="616"/>
        <w:contextualSpacing/>
        <w:jc w:val="both"/>
        <w:rPr>
          <w:rFonts w:ascii="Palatino Linotype" w:eastAsia="Times New Roman" w:hAnsi="Palatino Linotype" w:cs="Times New Roman"/>
          <w:b/>
          <w:i/>
          <w:color w:val="000000"/>
          <w:sz w:val="22"/>
          <w:szCs w:val="22"/>
          <w:lang w:val="es-MX"/>
        </w:rPr>
      </w:pPr>
      <w:r w:rsidRPr="00A84E9E">
        <w:rPr>
          <w:rFonts w:ascii="Palatino Linotype" w:eastAsia="Times New Roman" w:hAnsi="Palatino Linotype" w:cs="Times New Roman"/>
          <w:b/>
          <w:i/>
          <w:sz w:val="22"/>
          <w:lang w:val="es-MX"/>
        </w:rPr>
        <w:t>I. Administrar la hacienda pública municipal, de conformidad con las disposiciones legales aplicables;</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III. Imponer las sanciones administrativas que procedan por infracciones a las disposiciones fiscales; </w:t>
      </w:r>
    </w:p>
    <w:p w:rsidR="00A41D92" w:rsidRPr="00A84E9E" w:rsidRDefault="00A41D92" w:rsidP="00A41D92">
      <w:pPr>
        <w:spacing w:line="360" w:lineRule="auto"/>
        <w:ind w:left="567" w:right="616"/>
        <w:jc w:val="both"/>
        <w:rPr>
          <w:rFonts w:ascii="Palatino Linotype" w:eastAsia="Times New Roman" w:hAnsi="Palatino Linotype" w:cs="Times New Roman"/>
          <w:b/>
          <w:i/>
          <w:sz w:val="22"/>
        </w:rPr>
      </w:pPr>
      <w:r w:rsidRPr="00A84E9E">
        <w:rPr>
          <w:rFonts w:ascii="Palatino Linotype" w:eastAsia="Times New Roman" w:hAnsi="Palatino Linotype" w:cs="Times New Roman"/>
          <w:b/>
          <w:i/>
          <w:sz w:val="22"/>
        </w:rPr>
        <w:t xml:space="preserve">IV. Llevar los registros contables, financieros y administrativos de los ingresos, egresos, e inventarios;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V. Proporcionar oportunamente al ayuntamiento todos los datos o informes que sean necesarios para la formulación del Presupuesto de Egresos Municipales, vigilando que se ajuste a las disposiciones de esta Ley y otros ordenamientos aplicables;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VI. Presentar anualmente al ayuntamiento un informe de la situación contable financiera de la Tesorería Municipal;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VI Bis. Proporcionar para la formulación del proyecto de Presupuesto de Egresos Municipales la información financiera relativa a la solución o en su caso, el pago de los litigios laborales;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VII. Diseñar y aprobar las formas oficiales de manifestaciones, avisos y declaraciones y demás documentos requeridos;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lastRenderedPageBreak/>
        <w:t xml:space="preserve">VIII. Participar en la formulación de Convenios Fiscales y ejercer las atribuciones que le correspondan en el ámbito de su competencia;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IX. Proponer al ayuntamiento la cancelación de cuentas incobrables;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X. Custodiar y ejercer las garantías que se otorguen en favor de la hacienda municipal; XI. Proponer la política de ingresos de la tesorería municipal;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XII. Intervenir en la elaboración del programa financiero municipal;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XIII. Elaborar y mantener actualizado el Padrón de Contribuyentes;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XIV. Ministrar a su inmediato antecesor todos los datos oficiales que le solicitare, para contestar los pliegos de observaciones y alcances que formule y deduzca el Órgano Superior de Fiscalización del Estado de México;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XV. Solicitar a las instancias competentes, la práctica de revisiones circunstanciadas, de conformidad con las normas que rigen en materia de control y evaluación gubernamental en el ámbito municipal;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XVI. Glosar oportunamente las cuentas del ayuntamiento;</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XVIII. Expedir copias certificadas de los documentos a su cuidado, por acuerdo expreso del Ayuntamiento y cuando se trate de documentación presentada ante el Órgano Superior de Fiscalización del Estado de México;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w:t>
      </w:r>
      <w:r w:rsidRPr="00A84E9E">
        <w:rPr>
          <w:rFonts w:ascii="Palatino Linotype" w:eastAsia="Times New Roman" w:hAnsi="Palatino Linotype" w:cs="Times New Roman"/>
          <w:i/>
          <w:sz w:val="22"/>
        </w:rPr>
        <w:lastRenderedPageBreak/>
        <w:t xml:space="preserve">inobservancia de las diversas disposiciones y ordenamientos legales, constituyendo los créditos fiscales correspondientes;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XX. Dar cumplimiento a las leyes, convenios de coordinación fiscal y demás que en materia hacendaria celebre el Ayuntamiento con el Estado; </w:t>
      </w:r>
    </w:p>
    <w:p w:rsidR="00A41D92" w:rsidRPr="00A84E9E" w:rsidRDefault="00A41D92" w:rsidP="00A41D92">
      <w:pPr>
        <w:spacing w:line="360" w:lineRule="auto"/>
        <w:ind w:left="567" w:right="616"/>
        <w:jc w:val="both"/>
        <w:rPr>
          <w:rFonts w:ascii="Palatino Linotype" w:eastAsia="Times New Roman" w:hAnsi="Palatino Linotype" w:cs="Times New Roman"/>
          <w:i/>
          <w:sz w:val="22"/>
        </w:rPr>
      </w:pPr>
      <w:r w:rsidRPr="00A84E9E">
        <w:rPr>
          <w:rFonts w:ascii="Palatino Linotype" w:eastAsia="Times New Roman" w:hAnsi="Palatino Linotype" w:cs="Times New Roman"/>
          <w:i/>
          <w:sz w:val="22"/>
        </w:rPr>
        <w:t xml:space="preserve">XXI. Entregar oportunamente a él o los Síndicos, según sea el caso, el informe mensual que corresponda, a fin de que se revise, y de ser necesario, para que se formulen las observaciones respectivas. </w:t>
      </w:r>
    </w:p>
    <w:p w:rsidR="00A41D92" w:rsidRPr="00A84E9E" w:rsidRDefault="00A41D92" w:rsidP="00A41D92">
      <w:pPr>
        <w:spacing w:line="360" w:lineRule="auto"/>
        <w:ind w:left="567" w:right="616"/>
        <w:jc w:val="both"/>
        <w:rPr>
          <w:rFonts w:ascii="Palatino Linotype" w:eastAsia="Times New Roman" w:hAnsi="Palatino Linotype" w:cs="Times New Roman"/>
          <w:i/>
          <w:color w:val="000000"/>
          <w:sz w:val="22"/>
          <w:szCs w:val="22"/>
        </w:rPr>
      </w:pPr>
      <w:r w:rsidRPr="00A84E9E">
        <w:rPr>
          <w:rFonts w:ascii="Palatino Linotype" w:eastAsia="Times New Roman" w:hAnsi="Palatino Linotype" w:cs="Times New Roman"/>
          <w:i/>
          <w:sz w:val="22"/>
        </w:rPr>
        <w:t>XXII. Las que les señalen las demás disposiciones legales y el ayuntamiento.</w:t>
      </w:r>
    </w:p>
    <w:p w:rsidR="00A41D92" w:rsidRPr="00A84E9E" w:rsidRDefault="00A41D92" w:rsidP="00A41D92">
      <w:pPr>
        <w:spacing w:line="360" w:lineRule="auto"/>
        <w:jc w:val="both"/>
        <w:rPr>
          <w:rFonts w:ascii="Palatino Linotype" w:eastAsia="Times New Roman" w:hAnsi="Palatino Linotype" w:cs="Times New Roman"/>
          <w:color w:val="000000"/>
          <w:szCs w:val="22"/>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imes New Roman"/>
          <w:color w:val="000000"/>
          <w:szCs w:val="22"/>
          <w:lang w:val="es-MX"/>
        </w:rPr>
      </w:pPr>
      <w:r w:rsidRPr="00A84E9E">
        <w:rPr>
          <w:rFonts w:ascii="Palatino Linotype" w:eastAsia="Times New Roman" w:hAnsi="Palatino Linotype" w:cs="Times New Roman"/>
          <w:color w:val="000000"/>
          <w:szCs w:val="22"/>
          <w:lang w:val="es-MX"/>
        </w:rPr>
        <w:t xml:space="preserve">Es así que, corresponde a la Tesorería administrar la hacienda municipal, así como llevar los registros contables, financieros y administrativos de los ingresos y </w:t>
      </w:r>
      <w:r w:rsidRPr="00A84E9E">
        <w:rPr>
          <w:rFonts w:ascii="Palatino Linotype" w:eastAsia="Times New Roman" w:hAnsi="Palatino Linotype" w:cs="Times New Roman"/>
          <w:b/>
          <w:color w:val="000000"/>
          <w:szCs w:val="22"/>
          <w:lang w:val="es-MX"/>
        </w:rPr>
        <w:t>egresos</w:t>
      </w:r>
      <w:r w:rsidRPr="00A84E9E">
        <w:rPr>
          <w:rFonts w:ascii="Palatino Linotype" w:eastAsia="Times New Roman" w:hAnsi="Palatino Linotype" w:cs="Times New Roman"/>
          <w:color w:val="000000"/>
          <w:szCs w:val="22"/>
          <w:lang w:val="es-MX"/>
        </w:rPr>
        <w:t xml:space="preserve"> del Ayuntamiento, siendo la autoridad competente para conocer sobre las erogaciones por cualquier concepto que realicen las áreas administrativas.</w:t>
      </w:r>
    </w:p>
    <w:p w:rsidR="00A41D92" w:rsidRPr="00A84E9E" w:rsidRDefault="00A41D92" w:rsidP="00A41D92">
      <w:pPr>
        <w:spacing w:line="360" w:lineRule="auto"/>
        <w:contextualSpacing/>
        <w:jc w:val="both"/>
        <w:rPr>
          <w:rFonts w:ascii="Palatino Linotype" w:eastAsia="Times New Roman" w:hAnsi="Palatino Linotype" w:cs="Times New Roman"/>
          <w:color w:val="000000"/>
          <w:szCs w:val="22"/>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Times New Roman" w:hAnsi="Palatino Linotype" w:cs="Tahoma"/>
          <w:bCs/>
          <w:iCs/>
          <w:lang w:val="es-MX"/>
        </w:rPr>
        <w:t>Al respecto, no es ocioso recordar que la materia elemental de la solicitud de acceso a la información pública, es referente a facturas o pólizas, por lo que debemos primeramente conocer a que nos referimos por “</w:t>
      </w:r>
      <w:r w:rsidRPr="00A84E9E">
        <w:rPr>
          <w:rFonts w:ascii="Palatino Linotype" w:eastAsia="Times New Roman" w:hAnsi="Palatino Linotype" w:cs="Tahoma"/>
          <w:bCs/>
          <w:i/>
          <w:iCs/>
          <w:lang w:val="es-MX"/>
        </w:rPr>
        <w:t>factura</w:t>
      </w:r>
      <w:r w:rsidRPr="00A84E9E">
        <w:rPr>
          <w:rFonts w:ascii="Palatino Linotype" w:eastAsia="Times New Roman" w:hAnsi="Palatino Linotype" w:cs="Tahoma"/>
          <w:bCs/>
          <w:iCs/>
          <w:lang w:val="es-MX"/>
        </w:rPr>
        <w:t>”; al respecto, nos referiremos a éste concepto aunque sea sucintamente de acuerdo a lo que dispone el Glosario de Términos Hacendarios que emite el Instituto Hacendario del Estado de México, mismo que expresa lo siguiente:</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sz w:val="22"/>
          <w:lang w:val="es-MX"/>
        </w:rPr>
      </w:pP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
          <w:bCs/>
          <w:i/>
          <w:iCs/>
          <w:sz w:val="22"/>
          <w:lang w:val="es-MX"/>
        </w:rPr>
      </w:pPr>
      <w:r w:rsidRPr="00A84E9E">
        <w:rPr>
          <w:rFonts w:ascii="Palatino Linotype" w:eastAsia="Times New Roman" w:hAnsi="Palatino Linotype" w:cs="Tahoma"/>
          <w:bCs/>
          <w:i/>
          <w:iCs/>
          <w:sz w:val="22"/>
          <w:lang w:val="es-MX"/>
        </w:rPr>
        <w:t>“</w:t>
      </w:r>
      <w:r w:rsidRPr="00A84E9E">
        <w:rPr>
          <w:rFonts w:ascii="Palatino Linotype" w:eastAsia="Times New Roman" w:hAnsi="Palatino Linotype" w:cs="Tahoma"/>
          <w:b/>
          <w:bCs/>
          <w:i/>
          <w:iCs/>
          <w:sz w:val="22"/>
          <w:lang w:val="es-MX"/>
        </w:rPr>
        <w:t>FACTURA:</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Es el documento fiscal que emite la persona física o moral para comprobar la venta o adquisición de un bien y/o servicio.”</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sz w:val="22"/>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Times New Roman" w:hAnsi="Palatino Linotype" w:cs="Times New Roman"/>
          <w:color w:val="000000"/>
          <w:lang w:val="es-MX"/>
        </w:rPr>
        <w:t xml:space="preserve">Una </w:t>
      </w:r>
      <w:r w:rsidRPr="00A84E9E">
        <w:rPr>
          <w:rFonts w:ascii="Palatino Linotype" w:eastAsia="Calibri" w:hAnsi="Palatino Linotype" w:cs="Arial"/>
          <w:bCs/>
          <w:lang w:val="es-MX" w:eastAsia="en-US"/>
        </w:rPr>
        <w:t xml:space="preserve">vez precisado lo anterior, se procede a analizar si las facturas solicitadas son de acceso público; por lo que es de señalarse que </w:t>
      </w:r>
      <w:r w:rsidRPr="00A84E9E">
        <w:rPr>
          <w:rFonts w:ascii="Palatino Linotype" w:eastAsia="Calibri" w:hAnsi="Palatino Linotype" w:cs="Arial"/>
          <w:b/>
          <w:bCs/>
          <w:lang w:val="es-MX" w:eastAsia="en-US"/>
        </w:rPr>
        <w:t xml:space="preserve">las facturas </w:t>
      </w:r>
      <w:r w:rsidRPr="00A84E9E">
        <w:rPr>
          <w:rFonts w:ascii="Palatino Linotype" w:eastAsia="Calibri" w:hAnsi="Palatino Linotype" w:cs="Arial"/>
          <w:bCs/>
          <w:lang w:val="es-MX" w:eastAsia="en-US"/>
        </w:rPr>
        <w:t xml:space="preserve">o comprobantes que amparan las </w:t>
      </w:r>
      <w:r w:rsidRPr="00A84E9E">
        <w:rPr>
          <w:rFonts w:ascii="Palatino Linotype" w:eastAsia="Calibri" w:hAnsi="Palatino Linotype" w:cs="Arial"/>
          <w:bCs/>
          <w:lang w:val="es-MX" w:eastAsia="en-US"/>
        </w:rPr>
        <w:lastRenderedPageBreak/>
        <w:t xml:space="preserve">erogaciones que se realizan con erario público tienen naturaleza análoga, pues </w:t>
      </w:r>
      <w:r w:rsidRPr="00A84E9E">
        <w:rPr>
          <w:rFonts w:ascii="Palatino Linotype" w:eastAsia="Calibri" w:hAnsi="Palatino Linotype" w:cs="Arial"/>
          <w:b/>
          <w:bCs/>
          <w:lang w:val="es-MX" w:eastAsia="en-US"/>
        </w:rPr>
        <w:t>constituyen los medios idóneos de evidencia del gasto realizado con recursos públicos</w:t>
      </w:r>
      <w:r w:rsidRPr="00A84E9E">
        <w:rPr>
          <w:rFonts w:ascii="Palatino Linotype" w:eastAsia="Calibri" w:hAnsi="Palatino Linotype" w:cs="Arial"/>
          <w:bCs/>
          <w:lang w:val="es-MX" w:eastAsia="en-US"/>
        </w:rPr>
        <w:t>.</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Times New Roman" w:hAnsi="Palatino Linotype" w:cs="Times New Roman"/>
          <w:color w:val="000000"/>
          <w:lang w:val="es-MX"/>
        </w:rPr>
        <w:t xml:space="preserve">Al </w:t>
      </w:r>
      <w:r w:rsidRPr="00A84E9E">
        <w:rPr>
          <w:rFonts w:ascii="Palatino Linotype" w:eastAsia="Calibri" w:hAnsi="Palatino Linotype" w:cs="Arial"/>
          <w:bCs/>
          <w:lang w:val="es-MX" w:eastAsia="en-US"/>
        </w:rPr>
        <w:t>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todos los pagos se harán mediante orden escrita en la que se expresará la partida del presupuesto a cargo de la cual se realizan.</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Times New Roman" w:hAnsi="Palatino Linotype" w:cs="Times New Roman"/>
          <w:color w:val="000000"/>
          <w:lang w:val="es-MX"/>
        </w:rPr>
        <w:t xml:space="preserve">Como </w:t>
      </w:r>
      <w:r w:rsidRPr="00A84E9E">
        <w:rPr>
          <w:rFonts w:ascii="Palatino Linotype" w:eastAsia="Calibri" w:hAnsi="Palatino Linotype" w:cs="Arial"/>
          <w:bCs/>
          <w:lang w:val="es-MX" w:eastAsia="en-US"/>
        </w:rPr>
        <w:t>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sz w:val="22"/>
          <w:lang w:val="es-MX"/>
        </w:rPr>
      </w:pP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w:t>
      </w:r>
      <w:r w:rsidRPr="00A84E9E">
        <w:rPr>
          <w:rFonts w:ascii="Palatino Linotype" w:eastAsia="Times New Roman" w:hAnsi="Palatino Linotype" w:cs="Tahoma"/>
          <w:b/>
          <w:bCs/>
          <w:i/>
          <w:iCs/>
          <w:sz w:val="22"/>
          <w:lang w:val="es-MX"/>
        </w:rPr>
        <w:t>Artículo 342.-</w:t>
      </w:r>
      <w:r w:rsidRPr="00A84E9E">
        <w:rPr>
          <w:rFonts w:ascii="Palatino Linotype" w:eastAsia="Times New Roman" w:hAnsi="Palatino Linotype" w:cs="Tahoma"/>
          <w:bCs/>
          <w:i/>
          <w:iCs/>
          <w:sz w:val="22"/>
          <w:lang w:val="es-MX"/>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
          <w:bCs/>
          <w:i/>
          <w:iCs/>
          <w:sz w:val="22"/>
          <w:lang w:val="es-MX"/>
        </w:rPr>
        <w:t>“Artículo 343.-</w:t>
      </w:r>
      <w:r w:rsidRPr="00A84E9E">
        <w:rPr>
          <w:rFonts w:ascii="Palatino Linotype" w:eastAsia="Times New Roman" w:hAnsi="Palatino Linotype" w:cs="Tahoma"/>
          <w:bCs/>
          <w:i/>
          <w:iCs/>
          <w:sz w:val="22"/>
          <w:lang w:val="es-MX"/>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w:t>
      </w:r>
      <w:r w:rsidRPr="00A84E9E">
        <w:rPr>
          <w:rFonts w:ascii="Palatino Linotype" w:eastAsia="Times New Roman" w:hAnsi="Palatino Linotype" w:cs="Tahoma"/>
          <w:bCs/>
          <w:i/>
          <w:iCs/>
          <w:sz w:val="22"/>
          <w:lang w:val="es-MX"/>
        </w:rPr>
        <w:lastRenderedPageBreak/>
        <w:t xml:space="preserve">control interno que permitan verificar el registro de la totalidad de las operaciones financieras. </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El sistema de contabilidad sobre base acumulativa total se sustentará en los postulados básicos y el marco conceptual de la contabilidad gubernamental.”</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w:t>
      </w:r>
      <w:r w:rsidRPr="00A84E9E">
        <w:rPr>
          <w:rFonts w:ascii="Palatino Linotype" w:eastAsia="Times New Roman" w:hAnsi="Palatino Linotype" w:cs="Tahoma"/>
          <w:b/>
          <w:bCs/>
          <w:i/>
          <w:iCs/>
          <w:sz w:val="22"/>
          <w:lang w:val="es-MX"/>
        </w:rPr>
        <w:t>Artículo 344.-</w:t>
      </w:r>
      <w:r w:rsidRPr="00A84E9E">
        <w:rPr>
          <w:rFonts w:ascii="Palatino Linotype" w:eastAsia="Times New Roman" w:hAnsi="Palatino Linotype" w:cs="Tahoma"/>
          <w:bCs/>
          <w:i/>
          <w:iCs/>
          <w:sz w:val="22"/>
          <w:lang w:val="es-MX"/>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 xml:space="preserve">Derogado. </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w:t>
      </w:r>
      <w:r w:rsidRPr="00A84E9E">
        <w:rPr>
          <w:rFonts w:ascii="Palatino Linotype" w:eastAsia="Times New Roman" w:hAnsi="Palatino Linotype" w:cs="Tahoma"/>
          <w:b/>
          <w:bCs/>
          <w:i/>
          <w:iCs/>
          <w:sz w:val="22"/>
          <w:lang w:val="es-MX"/>
        </w:rPr>
        <w:t>Artículo 345.-</w:t>
      </w:r>
      <w:r w:rsidRPr="00A84E9E">
        <w:rPr>
          <w:rFonts w:ascii="Palatino Linotype" w:eastAsia="Times New Roman" w:hAnsi="Palatino Linotype" w:cs="Tahoma"/>
          <w:bCs/>
          <w:i/>
          <w:iCs/>
          <w:sz w:val="22"/>
          <w:lang w:val="es-MX"/>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El plazo señalado en el párrafo anterior, empezará a contar a partir de la publicación en el Periódico Oficial, del decreto correspondiente. “</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sz w:val="22"/>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Times New Roman" w:hAnsi="Palatino Linotype" w:cs="Times New Roman"/>
          <w:color w:val="000000"/>
          <w:lang w:val="es-MX"/>
        </w:rPr>
        <w:t xml:space="preserve">De </w:t>
      </w:r>
      <w:r w:rsidRPr="00A84E9E">
        <w:rPr>
          <w:rFonts w:ascii="Palatino Linotype" w:eastAsia="Calibri" w:hAnsi="Palatino Linotype" w:cs="Arial"/>
          <w:bCs/>
          <w:lang w:val="es-MX" w:eastAsia="en-US"/>
        </w:rPr>
        <w:t xml:space="preserve">una interpretación sistemática de los artículos transcritos, se desprende primeramente que el registro contable del efecto patrimonial y presupuestal de las operaciones financieras se realizará conforme al sistema y a las disposiciones que se </w:t>
      </w:r>
      <w:r w:rsidRPr="00A84E9E">
        <w:rPr>
          <w:rFonts w:ascii="Palatino Linotype" w:eastAsia="Calibri" w:hAnsi="Palatino Linotype" w:cs="Arial"/>
          <w:bCs/>
          <w:lang w:val="es-MX" w:eastAsia="en-US"/>
        </w:rPr>
        <w:lastRenderedPageBreak/>
        <w:t>aprueben en materia de planeación, programación, presupuestación, evaluación y contabilidad gubernamental.</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Times New Roman" w:hAnsi="Palatino Linotype" w:cs="Times New Roman"/>
          <w:color w:val="000000"/>
          <w:lang w:val="es-MX"/>
        </w:rPr>
        <w:t xml:space="preserve">Al </w:t>
      </w:r>
      <w:r w:rsidRPr="00A84E9E">
        <w:rPr>
          <w:rFonts w:ascii="Palatino Linotype" w:eastAsia="Calibri" w:hAnsi="Palatino Linotype" w:cs="Arial"/>
          <w:bCs/>
          <w:lang w:val="es-MX" w:eastAsia="en-US"/>
        </w:rPr>
        <w:t>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sz w:val="22"/>
          <w:lang w:val="es-MX"/>
        </w:rPr>
      </w:pP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
          <w:bCs/>
          <w:i/>
          <w:iCs/>
          <w:sz w:val="22"/>
          <w:lang w:val="es-MX"/>
        </w:rPr>
      </w:pPr>
      <w:r w:rsidRPr="00A84E9E">
        <w:rPr>
          <w:rFonts w:ascii="Palatino Linotype" w:eastAsia="Times New Roman" w:hAnsi="Palatino Linotype" w:cs="Tahoma"/>
          <w:bCs/>
          <w:i/>
          <w:iCs/>
          <w:sz w:val="22"/>
          <w:lang w:val="es-MX"/>
        </w:rPr>
        <w:t>“</w:t>
      </w:r>
      <w:r w:rsidRPr="00A84E9E">
        <w:rPr>
          <w:rFonts w:ascii="Palatino Linotype" w:eastAsia="Times New Roman" w:hAnsi="Palatino Linotype" w:cs="Tahoma"/>
          <w:b/>
          <w:bCs/>
          <w:i/>
          <w:iCs/>
          <w:sz w:val="22"/>
          <w:lang w:val="es-MX"/>
        </w:rPr>
        <w:t>REGISTRO CONTABLE:</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 xml:space="preserve">Asiento que se realiza en los libros de contabilidad de las actividades relacionadas con el ingreso y egresos de un ente económico.” </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
          <w:bCs/>
          <w:i/>
          <w:iCs/>
          <w:sz w:val="22"/>
          <w:lang w:val="es-MX"/>
        </w:rPr>
      </w:pPr>
      <w:r w:rsidRPr="00A84E9E">
        <w:rPr>
          <w:rFonts w:ascii="Palatino Linotype" w:eastAsia="Times New Roman" w:hAnsi="Palatino Linotype" w:cs="Tahoma"/>
          <w:bCs/>
          <w:i/>
          <w:iCs/>
          <w:sz w:val="22"/>
          <w:lang w:val="es-MX"/>
        </w:rPr>
        <w:t>“</w:t>
      </w:r>
      <w:r w:rsidRPr="00A84E9E">
        <w:rPr>
          <w:rFonts w:ascii="Palatino Linotype" w:eastAsia="Times New Roman" w:hAnsi="Palatino Linotype" w:cs="Tahoma"/>
          <w:b/>
          <w:bCs/>
          <w:i/>
          <w:iCs/>
          <w:sz w:val="22"/>
          <w:lang w:val="es-MX"/>
        </w:rPr>
        <w:t>REGISTRO PRESUPUESTARIO:</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Asiento contable de las erogaciones realizadas por las dependencias y entidades con relación a la asignación, modificación y ejercicio de los recursos presupuestarios que se les hayan autorizado.”</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sz w:val="22"/>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Times New Roman" w:hAnsi="Palatino Linotype" w:cs="Times New Roman"/>
          <w:color w:val="000000"/>
          <w:lang w:val="es-MX"/>
        </w:rPr>
        <w:t xml:space="preserve">Por </w:t>
      </w:r>
      <w:r w:rsidRPr="00A84E9E">
        <w:rPr>
          <w:rFonts w:ascii="Palatino Linotype" w:eastAsia="Calibri" w:hAnsi="Palatino Linotype" w:cs="Arial"/>
          <w:bCs/>
          <w:lang w:val="es-MX" w:eastAsia="en-US"/>
        </w:rPr>
        <w:t>otra parte, se establece que el sistema de contabilidad sobre base acumulativa total se sustentará en los principios de contabilidad gubernamental.</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Times New Roman" w:hAnsi="Palatino Linotype" w:cs="Times New Roman"/>
          <w:color w:val="000000"/>
          <w:lang w:val="es-MX"/>
        </w:rPr>
        <w:lastRenderedPageBreak/>
        <w:t xml:space="preserve">Igualmente, </w:t>
      </w:r>
      <w:r w:rsidRPr="00A84E9E">
        <w:rPr>
          <w:rFonts w:ascii="Palatino Linotype" w:eastAsia="Calibri" w:hAnsi="Palatino Linotype" w:cs="Arial"/>
          <w:bCs/>
          <w:lang w:val="es-MX" w:eastAsia="en-US"/>
        </w:rPr>
        <w:t>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Times New Roman" w:hAnsi="Palatino Linotype" w:cs="Times New Roman"/>
          <w:color w:val="000000"/>
          <w:lang w:val="es-MX"/>
        </w:rPr>
        <w:t xml:space="preserve">Correlativo </w:t>
      </w:r>
      <w:r w:rsidRPr="00A84E9E">
        <w:rPr>
          <w:rFonts w:ascii="Palatino Linotype" w:eastAsia="Calibri" w:hAnsi="Palatino Linotype" w:cs="Arial"/>
          <w:bCs/>
          <w:lang w:val="es-MX" w:eastAsia="en-US"/>
        </w:rPr>
        <w:t>a lo anterior, es preciso referir una definición de póliza contable, la cual, primeramente, no está definida en el Código Financiero del Estado de México y Municipios; no obstante, los ya mencionados Glosarios la definen como:</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sz w:val="22"/>
          <w:lang w:val="es-MX"/>
        </w:rPr>
      </w:pP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
          <w:bCs/>
          <w:i/>
          <w:iCs/>
          <w:sz w:val="22"/>
          <w:lang w:val="es-MX"/>
        </w:rPr>
      </w:pPr>
      <w:r w:rsidRPr="00A84E9E">
        <w:rPr>
          <w:rFonts w:ascii="Palatino Linotype" w:eastAsia="Times New Roman" w:hAnsi="Palatino Linotype" w:cs="Tahoma"/>
          <w:bCs/>
          <w:i/>
          <w:iCs/>
          <w:sz w:val="22"/>
          <w:lang w:val="es-MX"/>
        </w:rPr>
        <w:t>“</w:t>
      </w:r>
      <w:r w:rsidRPr="00A84E9E">
        <w:rPr>
          <w:rFonts w:ascii="Palatino Linotype" w:eastAsia="Times New Roman" w:hAnsi="Palatino Linotype" w:cs="Tahoma"/>
          <w:b/>
          <w:bCs/>
          <w:i/>
          <w:iCs/>
          <w:sz w:val="22"/>
          <w:lang w:val="es-MX"/>
        </w:rPr>
        <w:t>PÓLIZA CONTABLE:</w:t>
      </w:r>
    </w:p>
    <w:p w:rsidR="00A41D92" w:rsidRPr="00A84E9E" w:rsidRDefault="00A41D92"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r w:rsidRPr="00A84E9E">
        <w:rPr>
          <w:rFonts w:ascii="Palatino Linotype" w:eastAsia="Times New Roman" w:hAnsi="Palatino Linotype" w:cs="Tahoma"/>
          <w:bCs/>
          <w:i/>
          <w:iCs/>
          <w:sz w:val="22"/>
          <w:lang w:val="es-MX"/>
        </w:rPr>
        <w:t>Documento en el cual se asientan en forma individual todas y cada una de las operaciones desarrolladas por una institución, así como la información necesaria para la identificación de dichas operaciones.”</w:t>
      </w:r>
    </w:p>
    <w:p w:rsidR="00AB1214" w:rsidRPr="00A84E9E" w:rsidRDefault="00AB1214" w:rsidP="00A41D92">
      <w:pPr>
        <w:tabs>
          <w:tab w:val="left" w:pos="426"/>
        </w:tabs>
        <w:spacing w:before="240" w:after="240" w:line="276" w:lineRule="auto"/>
        <w:ind w:left="567" w:right="567"/>
        <w:contextualSpacing/>
        <w:jc w:val="both"/>
        <w:rPr>
          <w:rFonts w:ascii="Palatino Linotype" w:eastAsia="Times New Roman" w:hAnsi="Palatino Linotype" w:cs="Tahoma"/>
          <w:bCs/>
          <w:i/>
          <w:iCs/>
          <w:sz w:val="22"/>
          <w:lang w:val="es-MX"/>
        </w:rPr>
      </w:pPr>
    </w:p>
    <w:p w:rsidR="00A41D92" w:rsidRPr="00A84E9E" w:rsidRDefault="00A41D92" w:rsidP="00AB1214">
      <w:pPr>
        <w:numPr>
          <w:ilvl w:val="0"/>
          <w:numId w:val="1"/>
        </w:numPr>
        <w:spacing w:line="360" w:lineRule="auto"/>
        <w:ind w:left="0" w:right="-697" w:firstLine="0"/>
        <w:jc w:val="both"/>
        <w:rPr>
          <w:rFonts w:ascii="Palatino Linotype" w:eastAsia="Times New Roman" w:hAnsi="Palatino Linotype" w:cs="Tahoma"/>
          <w:bCs/>
          <w:iCs/>
          <w:sz w:val="22"/>
          <w:lang w:val="es-MX"/>
        </w:rPr>
      </w:pPr>
      <w:r w:rsidRPr="00A84E9E">
        <w:rPr>
          <w:rFonts w:ascii="Palatino Linotype" w:eastAsia="Times New Roman" w:hAnsi="Palatino Linotype" w:cs="Times New Roman"/>
          <w:color w:val="000000"/>
          <w:lang w:val="es-MX"/>
        </w:rPr>
        <w:t xml:space="preserve">Luego entonces, </w:t>
      </w:r>
      <w:r w:rsidRPr="00A84E9E">
        <w:rPr>
          <w:rFonts w:ascii="Palatino Linotype" w:eastAsia="Calibri" w:hAnsi="Palatino Linotype" w:cs="Arial"/>
          <w:bCs/>
          <w:lang w:val="es-MX" w:eastAsia="en-US"/>
        </w:rPr>
        <w:t>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rsidR="00A41D92" w:rsidRPr="00A84E9E" w:rsidRDefault="00A41D92" w:rsidP="00A41D92">
      <w:pPr>
        <w:tabs>
          <w:tab w:val="left" w:pos="426"/>
        </w:tabs>
        <w:spacing w:before="240" w:after="240" w:line="360" w:lineRule="auto"/>
        <w:ind w:right="51"/>
        <w:contextualSpacing/>
        <w:jc w:val="both"/>
        <w:rPr>
          <w:rFonts w:ascii="Palatino Linotype" w:eastAsia="Times New Roman" w:hAnsi="Palatino Linotype" w:cs="Tahoma"/>
          <w:bCs/>
          <w:iCs/>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Calibri" w:hAnsi="Palatino Linotype" w:cs="Arial"/>
          <w:bCs/>
          <w:lang w:val="es-MX" w:eastAsia="en-US"/>
        </w:rPr>
        <w:t>Al respecto, existen diversos tipos de pólizas contables de acuerdo a las operaciones realizadas, dentro de las cuales, encontramos las llamadas pólizas de egresos, en las cuales se anotan diariamente las operaciones que representan egresos, es decir, salidas de dinero para, la cual además, debe encontrarse acompañada de las documentales que sirven de soporte de dicho movimiento.</w:t>
      </w:r>
    </w:p>
    <w:p w:rsidR="00A41D92" w:rsidRPr="00A84E9E" w:rsidRDefault="00A41D92" w:rsidP="00A41D92">
      <w:pPr>
        <w:ind w:left="720"/>
        <w:contextualSpacing/>
        <w:rPr>
          <w:rFonts w:ascii="Palatino Linotype" w:eastAsia="Times New Roman" w:hAnsi="Palatino Linotype" w:cs="Tahoma"/>
          <w:bCs/>
          <w:iCs/>
          <w:lang w:val="es-MX"/>
        </w:rPr>
      </w:pPr>
    </w:p>
    <w:p w:rsidR="00A41D92" w:rsidRPr="00A84E9E" w:rsidRDefault="00A41D92" w:rsidP="00A41D92">
      <w:pPr>
        <w:numPr>
          <w:ilvl w:val="0"/>
          <w:numId w:val="1"/>
        </w:numPr>
        <w:spacing w:line="360" w:lineRule="auto"/>
        <w:ind w:left="0" w:right="-697" w:firstLine="0"/>
        <w:jc w:val="both"/>
        <w:rPr>
          <w:rFonts w:ascii="Palatino Linotype" w:eastAsia="Times New Roman" w:hAnsi="Palatino Linotype" w:cs="Tahoma"/>
          <w:bCs/>
          <w:iCs/>
          <w:lang w:val="es-MX"/>
        </w:rPr>
      </w:pPr>
      <w:r w:rsidRPr="00A84E9E">
        <w:rPr>
          <w:rFonts w:ascii="Palatino Linotype" w:eastAsia="Times New Roman" w:hAnsi="Palatino Linotype" w:cs="Tahoma"/>
          <w:bCs/>
          <w:iCs/>
          <w:lang w:val="es-MX"/>
        </w:rPr>
        <w:lastRenderedPageBreak/>
        <w:t>Asimismo, se refuerza que al tener que documentar cada ingreso que se realiza de manera diaria, queda claro que el Sujeto Obligado debe generar, administrar y poseer la información que solicitó el particular.</w:t>
      </w:r>
    </w:p>
    <w:p w:rsidR="00A41D92" w:rsidRPr="00A84E9E" w:rsidRDefault="00A41D92" w:rsidP="00A41D92">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Ahora bien, el Instituto localizó en la página oficial de Facebook del Ayuntamiento de Tepotzotlán la nota periodística, denominada “FESTIVAL TEPOVIVE”, de fecha 27 de noviembre, tal como se observa en la siguiente liga electrónica y en la captura que se proporciona a manera de ejemplo.</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tabs>
          <w:tab w:val="left" w:pos="8505"/>
        </w:tabs>
        <w:spacing w:line="360" w:lineRule="auto"/>
        <w:ind w:left="851" w:right="-697"/>
        <w:jc w:val="both"/>
        <w:rPr>
          <w:rFonts w:ascii="Palatino Linotype" w:eastAsia="Palatino Linotype" w:hAnsi="Palatino Linotype" w:cs="Palatino Linotype"/>
        </w:rPr>
      </w:pPr>
      <w:r w:rsidRPr="00A84E9E">
        <w:rPr>
          <w:rFonts w:ascii="Palatino Linotype" w:eastAsia="Palatino Linotype" w:hAnsi="Palatino Linotype" w:cs="Palatino Linotype"/>
        </w:rPr>
        <w:t>https://www.facebook.com/GobTepotzotlan/posts/para-seguir-con-nuestro-festival-tepovive-tradici%C3%B3n-cultura-e-identidad-traemos-/964224652400097/</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spacing w:line="360" w:lineRule="auto"/>
        <w:ind w:left="1560" w:right="-697"/>
        <w:jc w:val="both"/>
        <w:rPr>
          <w:rFonts w:ascii="Palatino Linotype" w:eastAsia="Palatino Linotype" w:hAnsi="Palatino Linotype" w:cs="Palatino Linotype"/>
        </w:rPr>
      </w:pPr>
      <w:r w:rsidRPr="00A84E9E">
        <w:rPr>
          <w:rFonts w:ascii="Palatino Linotype" w:eastAsia="Palatino Linotype" w:hAnsi="Palatino Linotype" w:cs="Palatino Linotype"/>
          <w:noProof/>
          <w:lang w:val="es-MX" w:eastAsia="es-MX"/>
        </w:rPr>
        <w:drawing>
          <wp:inline distT="0" distB="0" distL="0" distR="0">
            <wp:extent cx="3600450" cy="3124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600450" cy="3124200"/>
                    </a:xfrm>
                    <a:prstGeom prst="rect">
                      <a:avLst/>
                    </a:prstGeom>
                    <a:ln/>
                  </pic:spPr>
                </pic:pic>
              </a:graphicData>
            </a:graphic>
          </wp:inline>
        </w:drawing>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spacing w:line="360" w:lineRule="auto"/>
        <w:ind w:left="1701" w:right="-697"/>
        <w:jc w:val="both"/>
        <w:rPr>
          <w:rFonts w:ascii="Palatino Linotype" w:eastAsia="Palatino Linotype" w:hAnsi="Palatino Linotype" w:cs="Palatino Linotype"/>
        </w:rPr>
      </w:pPr>
      <w:bookmarkStart w:id="7" w:name="_heading=h.2s8eyo1" w:colFirst="0" w:colLast="0"/>
      <w:bookmarkEnd w:id="7"/>
      <w:r w:rsidRPr="00A84E9E">
        <w:rPr>
          <w:rFonts w:ascii="Palatino Linotype" w:eastAsia="Palatino Linotype" w:hAnsi="Palatino Linotype" w:cs="Palatino Linotype"/>
          <w:noProof/>
          <w:lang w:val="es-MX" w:eastAsia="es-MX"/>
        </w:rPr>
        <w:drawing>
          <wp:inline distT="0" distB="0" distL="0" distR="0">
            <wp:extent cx="3537827" cy="338442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537827" cy="3384424"/>
                    </a:xfrm>
                    <a:prstGeom prst="rect">
                      <a:avLst/>
                    </a:prstGeom>
                    <a:ln/>
                  </pic:spPr>
                </pic:pic>
              </a:graphicData>
            </a:graphic>
          </wp:inline>
        </w:drawing>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Con base a lo anterior, podemos concluir que hay un indicio de que si debe obrar en los </w:t>
      </w:r>
      <w:r w:rsidRPr="00A84E9E">
        <w:rPr>
          <w:rFonts w:ascii="Palatino Linotype" w:eastAsia="Palatino Linotype" w:hAnsi="Palatino Linotype" w:cs="Palatino Linotype"/>
          <w:b/>
        </w:rPr>
        <w:t>a</w:t>
      </w:r>
      <w:r w:rsidRPr="00A84E9E">
        <w:rPr>
          <w:rFonts w:ascii="Palatino Linotype" w:eastAsia="Palatino Linotype" w:hAnsi="Palatino Linotype" w:cs="Palatino Linotype"/>
        </w:rPr>
        <w:t xml:space="preserve">rchivos del Sujeto Obligado la información solicitada por el Recurrente, sirve de sustento a lo anterior </w:t>
      </w:r>
      <w:r w:rsidRPr="00A84E9E">
        <w:rPr>
          <w:rFonts w:ascii="Palatino Linotype" w:eastAsia="Palatino Linotype" w:hAnsi="Palatino Linotype" w:cs="Palatino Linotype"/>
          <w:color w:val="000000"/>
        </w:rPr>
        <w:t>las siguientes tesis jurisprudenciales</w:t>
      </w:r>
      <w:r w:rsidRPr="00A84E9E">
        <w:rPr>
          <w:rFonts w:ascii="Palatino Linotype" w:eastAsia="Palatino Linotype" w:hAnsi="Palatino Linotype" w:cs="Palatino Linotype"/>
        </w:rPr>
        <w:t>:</w:t>
      </w:r>
    </w:p>
    <w:p w:rsidR="00CC4D88" w:rsidRPr="00A84E9E" w:rsidRDefault="00A41D92">
      <w:pPr>
        <w:spacing w:line="360" w:lineRule="auto"/>
        <w:ind w:left="567" w:right="-130"/>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HECHOS NOTORIOS. CONCEPTOS GENERAL Y JURÍDICO</w:t>
      </w:r>
    </w:p>
    <w:p w:rsidR="00CC4D88" w:rsidRPr="00A84E9E" w:rsidRDefault="00A41D92">
      <w:pPr>
        <w:spacing w:line="276"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 xml:space="preserve">Conforme al artículo </w:t>
      </w:r>
      <w:hyperlink r:id="rId10">
        <w:r w:rsidRPr="00A84E9E">
          <w:rPr>
            <w:rFonts w:ascii="Palatino Linotype" w:eastAsia="Palatino Linotype" w:hAnsi="Palatino Linotype" w:cs="Palatino Linotype"/>
            <w:b/>
            <w:i/>
            <w:sz w:val="22"/>
            <w:szCs w:val="22"/>
          </w:rPr>
          <w:t>88 del Código Federal de Procedimientos Civiles</w:t>
        </w:r>
      </w:hyperlink>
      <w:r w:rsidRPr="00A84E9E">
        <w:rPr>
          <w:rFonts w:ascii="Palatino Linotype" w:eastAsia="Palatino Linotype" w:hAnsi="Palatino Linotype" w:cs="Palatino Linotype"/>
          <w:b/>
          <w:i/>
          <w:sz w:val="22"/>
          <w:szCs w:val="22"/>
        </w:rPr>
        <w:t xml:space="preserve"> los tribunales pueden invocar hechos notorios aunque no hayan sido alegados ni probados por las partes.</w:t>
      </w:r>
      <w:r w:rsidRPr="00A84E9E">
        <w:rPr>
          <w:rFonts w:ascii="Palatino Linotype" w:eastAsia="Palatino Linotype" w:hAnsi="Palatino Linotype" w:cs="Palatino Linotype"/>
          <w:i/>
          <w:sz w:val="22"/>
          <w:szCs w:val="22"/>
        </w:rPr>
        <w:t xml:space="preserve"> Por hechos notorios deben entenderse, en general, aquellos que por el conocimiento humano se consideran ciertos e indiscutibles, ya sea que pertenezcan a la historia, a la ciencia, a la naturaleza</w:t>
      </w:r>
      <w:r w:rsidRPr="00A84E9E">
        <w:rPr>
          <w:rFonts w:ascii="Palatino Linotype" w:eastAsia="Palatino Linotype" w:hAnsi="Palatino Linotype" w:cs="Palatino Linotype"/>
          <w:b/>
          <w:i/>
          <w:sz w:val="22"/>
          <w:szCs w:val="22"/>
        </w:rPr>
        <w:t>, a las vicisitudes de la vida pública actual o a circunstancias comúnmente conocidas en un determinado lugar</w:t>
      </w:r>
      <w:r w:rsidRPr="00A84E9E">
        <w:rPr>
          <w:rFonts w:ascii="Palatino Linotype" w:eastAsia="Palatino Linotype" w:hAnsi="Palatino Linotype" w:cs="Palatino Linotype"/>
          <w:i/>
          <w:sz w:val="22"/>
          <w:szCs w:val="22"/>
        </w:rPr>
        <w:t xml:space="preserve">, </w:t>
      </w:r>
      <w:r w:rsidRPr="00A84E9E">
        <w:rPr>
          <w:rFonts w:ascii="Palatino Linotype" w:eastAsia="Palatino Linotype" w:hAnsi="Palatino Linotype" w:cs="Palatino Linotype"/>
          <w:b/>
          <w:i/>
          <w:sz w:val="22"/>
          <w:szCs w:val="22"/>
        </w:rPr>
        <w:t>de modo que toda persona de ese medio esté en condiciones de saberlo</w:t>
      </w:r>
      <w:r w:rsidRPr="00A84E9E">
        <w:rPr>
          <w:rFonts w:ascii="Palatino Linotype" w:eastAsia="Palatino Linotype" w:hAnsi="Palatino Linotype" w:cs="Palatino Linotype"/>
          <w:i/>
          <w:sz w:val="22"/>
          <w:szCs w:val="22"/>
        </w:rPr>
        <w:t xml:space="preserve">; y desde el punto de vista jurídico, hecho notorio es cualquier acontecimiento de dominio público conocido por todos o casi todos los miembros de un círculo social en el momento en que va a pronunciarse la decisión judicial, respecto del cual no hay duda </w:t>
      </w:r>
      <w:r w:rsidRPr="00A84E9E">
        <w:rPr>
          <w:rFonts w:ascii="Palatino Linotype" w:eastAsia="Palatino Linotype" w:hAnsi="Palatino Linotype" w:cs="Palatino Linotype"/>
          <w:i/>
          <w:sz w:val="22"/>
          <w:szCs w:val="22"/>
        </w:rPr>
        <w:lastRenderedPageBreak/>
        <w:t>ni discusión; de manera que al ser notorio la ley exime de su prueba, por ser del conocimiento público en el medio social donde ocurrió o donde se tramita el procedimiento.</w:t>
      </w:r>
    </w:p>
    <w:p w:rsidR="00CC4D88" w:rsidRPr="00A84E9E" w:rsidRDefault="00A41D92">
      <w:pPr>
        <w:spacing w:line="276"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Controversia constitucional 24/2005. Cámara de Diputados del Congreso de la Unión. 9 de marzo de 2006. Once votos. Ponente: José Ramón Cossío Díaz. Secretarios: Raúl Manuel Mejía Garza y Laura Patricia Rojas Zamudio.</w:t>
      </w:r>
    </w:p>
    <w:p w:rsidR="00CC4D88" w:rsidRPr="00A84E9E" w:rsidRDefault="00A41D92">
      <w:pPr>
        <w:spacing w:line="276"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El Tribunal Pleno, el dieciséis de mayo en curso, aprobó, con el número 74/2006, la tesis jurisprudencial que antecede. México, Distrito Federal, a dieciséis de mayo de dos mil seis.</w:t>
      </w:r>
    </w:p>
    <w:p w:rsidR="00CC4D88" w:rsidRPr="00A84E9E" w:rsidRDefault="00A41D92">
      <w:pPr>
        <w:spacing w:line="276" w:lineRule="auto"/>
        <w:ind w:left="567"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Nota: Esta tesis fue objeto de la denuncia relativa a la contradicción de tesis 91/2014, desechada por notoriamente improcedente, mediante acuerdo de 24 de marzo de 2014.”</w:t>
      </w:r>
    </w:p>
    <w:p w:rsidR="00CC4D88" w:rsidRPr="00A84E9E" w:rsidRDefault="00CC4D88">
      <w:pPr>
        <w:ind w:right="-697"/>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color w:val="000000"/>
        </w:rPr>
        <w:t>En virtud de todo lo anterior se advierte</w:t>
      </w:r>
      <w:r w:rsidRPr="00A84E9E">
        <w:rPr>
          <w:rFonts w:ascii="Palatino Linotype" w:eastAsia="Palatino Linotype" w:hAnsi="Palatino Linotype" w:cs="Palatino Linotype"/>
        </w:rPr>
        <w:t xml:space="preserve">, que la respuesta otorgada por parte del </w:t>
      </w:r>
      <w:r w:rsidRPr="00A84E9E">
        <w:rPr>
          <w:rFonts w:ascii="Palatino Linotype" w:eastAsia="Palatino Linotype" w:hAnsi="Palatino Linotype" w:cs="Palatino Linotype"/>
          <w:b/>
        </w:rPr>
        <w:t>SUJETO OBLIGADO</w:t>
      </w:r>
      <w:r w:rsidRPr="00A84E9E">
        <w:rPr>
          <w:rFonts w:ascii="Palatino Linotype" w:eastAsia="Palatino Linotype" w:hAnsi="Palatino Linotype" w:cs="Palatino Linotype"/>
        </w:rPr>
        <w:t xml:space="preserve"> no colma el derecho de acceso a la información del </w:t>
      </w:r>
      <w:r w:rsidRPr="00A84E9E">
        <w:rPr>
          <w:rFonts w:ascii="Palatino Linotype" w:eastAsia="Palatino Linotype" w:hAnsi="Palatino Linotype" w:cs="Palatino Linotype"/>
          <w:b/>
        </w:rPr>
        <w:t>RECURRENTE</w:t>
      </w:r>
      <w:r w:rsidRPr="00A84E9E">
        <w:rPr>
          <w:rFonts w:ascii="Palatino Linotype" w:eastAsia="Palatino Linotype" w:hAnsi="Palatino Linotype" w:cs="Palatino Linotype"/>
        </w:rPr>
        <w:t xml:space="preserve">, toda vez que </w:t>
      </w:r>
      <w:r w:rsidRPr="00A84E9E">
        <w:rPr>
          <w:rFonts w:ascii="Palatino Linotype" w:eastAsia="Palatino Linotype" w:hAnsi="Palatino Linotype" w:cs="Palatino Linotype"/>
          <w:b/>
        </w:rPr>
        <w:t>EL SUJETO OBLIGADO</w:t>
      </w:r>
      <w:r w:rsidRPr="00A84E9E">
        <w:rPr>
          <w:rFonts w:ascii="Palatino Linotype" w:eastAsia="Palatino Linotype" w:hAnsi="Palatino Linotype" w:cs="Palatino Linotype"/>
        </w:rPr>
        <w:t xml:space="preserve"> como se mencionó con anterioridad, omitió entregar la información que requirió el particular.</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Por todo lo antes expuesto, resulta procedente REVOCAR la respuesta del SUJETO OBLIGADO, por resultar fundados los motivos de inconformidad planteados por EL RECURRENTE, motivo por el que se ordena previa búsqueda exhaustiva y razonable haga entrega de los documentos en donde conste;  Cantidad de recurso económico ejercido para la contratación del Grupo Bronco para el día 29 de noviembre del 2024 en la semana cultural de Tepotzotlán, Costo total ejercido de la semana cultural 2024 con la contratación de todos los grupos, escenarios, artistas, carpas, que destinó el gobierno municipal.</w:t>
      </w:r>
    </w:p>
    <w:p w:rsidR="00CC4D88" w:rsidRPr="00A84E9E" w:rsidRDefault="00CC4D88" w:rsidP="00E800B2">
      <w:pPr>
        <w:spacing w:line="360" w:lineRule="auto"/>
        <w:ind w:right="-697"/>
        <w:jc w:val="both"/>
        <w:rPr>
          <w:rFonts w:ascii="Palatino Linotype" w:eastAsia="Palatino Linotype" w:hAnsi="Palatino Linotype" w:cs="Palatino Linotype"/>
        </w:rPr>
      </w:pPr>
    </w:p>
    <w:p w:rsidR="00CC4D88" w:rsidRPr="00A84E9E" w:rsidRDefault="00A41D92">
      <w:pPr>
        <w:keepNext/>
        <w:keepLines/>
        <w:spacing w:after="160" w:line="360" w:lineRule="auto"/>
        <w:ind w:right="-697"/>
        <w:rPr>
          <w:rFonts w:ascii="Palatino Linotype" w:eastAsia="Palatino Linotype" w:hAnsi="Palatino Linotype" w:cs="Palatino Linotype"/>
          <w:b/>
        </w:rPr>
      </w:pPr>
      <w:r w:rsidRPr="00A84E9E">
        <w:rPr>
          <w:rFonts w:ascii="Palatino Linotype" w:eastAsia="Palatino Linotype" w:hAnsi="Palatino Linotype" w:cs="Palatino Linotype"/>
          <w:b/>
        </w:rPr>
        <w:t>QUINTO. De la versión pública.</w:t>
      </w:r>
    </w:p>
    <w:p w:rsidR="00CC4D88" w:rsidRPr="00A84E9E" w:rsidRDefault="00A41D92">
      <w:pPr>
        <w:keepNext/>
        <w:keepLines/>
        <w:numPr>
          <w:ilvl w:val="0"/>
          <w:numId w:val="6"/>
        </w:numPr>
        <w:tabs>
          <w:tab w:val="left" w:pos="284"/>
        </w:tabs>
        <w:spacing w:after="160" w:line="360" w:lineRule="auto"/>
        <w:ind w:right="-697"/>
        <w:rPr>
          <w:rFonts w:ascii="Palatino Linotype" w:eastAsia="Palatino Linotype" w:hAnsi="Palatino Linotype" w:cs="Palatino Linotype"/>
          <w:b/>
        </w:rPr>
      </w:pPr>
      <w:bookmarkStart w:id="8" w:name="_heading=h.lnxbz9" w:colFirst="0" w:colLast="0"/>
      <w:bookmarkEnd w:id="8"/>
      <w:r w:rsidRPr="00A84E9E">
        <w:rPr>
          <w:rFonts w:ascii="Palatino Linotype" w:eastAsia="Palatino Linotype" w:hAnsi="Palatino Linotype" w:cs="Palatino Linotype"/>
          <w:b/>
        </w:rPr>
        <w:t xml:space="preserve">Nociones generales. </w:t>
      </w: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Debe destacarse, que debido a la información solicitada por el </w:t>
      </w:r>
      <w:r w:rsidRPr="00A84E9E">
        <w:rPr>
          <w:rFonts w:ascii="Palatino Linotype" w:eastAsia="Palatino Linotype" w:hAnsi="Palatino Linotype" w:cs="Palatino Linotype"/>
          <w:b/>
        </w:rPr>
        <w:t xml:space="preserve">RECURRENTE, pueden obrar </w:t>
      </w:r>
      <w:r w:rsidRPr="00A84E9E">
        <w:rPr>
          <w:rFonts w:ascii="Palatino Linotype" w:eastAsia="Palatino Linotype" w:hAnsi="Palatino Linotype" w:cs="Palatino Linotype"/>
        </w:rPr>
        <w:t xml:space="preserve">datos personales susceptibles de protegerse, así como información </w:t>
      </w:r>
      <w:r w:rsidRPr="00A84E9E">
        <w:rPr>
          <w:rFonts w:ascii="Palatino Linotype" w:eastAsia="Palatino Linotype" w:hAnsi="Palatino Linotype" w:cs="Palatino Linotype"/>
        </w:rPr>
        <w:lastRenderedPageBreak/>
        <w:t xml:space="preserve">susceptible de clasificarse como confidenciales,  por lo que el </w:t>
      </w:r>
      <w:r w:rsidRPr="00A84E9E">
        <w:rPr>
          <w:rFonts w:ascii="Palatino Linotype" w:eastAsia="Palatino Linotype" w:hAnsi="Palatino Linotype" w:cs="Palatino Linotype"/>
          <w:b/>
        </w:rPr>
        <w:t xml:space="preserve">SUJETO OBLIGADO </w:t>
      </w:r>
      <w:r w:rsidRPr="00A84E9E">
        <w:rPr>
          <w:rFonts w:ascii="Palatino Linotype" w:eastAsia="Palatino Linotype" w:hAnsi="Palatino Linotype" w:cs="Palatino Linotype"/>
        </w:rPr>
        <w:t xml:space="preserve">deberá de hacer la adecuada versión pública, protegiendo los datos que no son susceptibles de ser proporcionados. </w:t>
      </w:r>
    </w:p>
    <w:p w:rsidR="00CC4D88" w:rsidRPr="00A84E9E" w:rsidRDefault="00CC4D88">
      <w:pPr>
        <w:spacing w:line="360" w:lineRule="auto"/>
        <w:ind w:left="360" w:right="-697"/>
        <w:jc w:val="both"/>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No pasa desapercibido para este Órgano Garante que los sujetos obligados</w:t>
      </w:r>
      <w:r w:rsidRPr="00A84E9E">
        <w:rPr>
          <w:rFonts w:ascii="Palatino Linotype" w:eastAsia="Palatino Linotype" w:hAnsi="Palatino Linotype" w:cs="Palatino Linotype"/>
          <w:b/>
        </w:rPr>
        <w:t xml:space="preserve"> </w:t>
      </w:r>
      <w:r w:rsidRPr="00A84E9E">
        <w:rPr>
          <w:rFonts w:ascii="Palatino Linotype" w:eastAsia="Palatino Linotype" w:hAnsi="Palatino Linotype" w:cs="Palatino Linotype"/>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2"/>
        <w:tblW w:w="972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5"/>
        <w:gridCol w:w="6885"/>
      </w:tblGrid>
      <w:tr w:rsidR="00CC4D88" w:rsidRPr="00A84E9E">
        <w:tc>
          <w:tcPr>
            <w:tcW w:w="2835" w:type="dxa"/>
          </w:tcPr>
          <w:p w:rsidR="00CC4D88" w:rsidRPr="00A84E9E" w:rsidRDefault="00A41D92">
            <w:pPr>
              <w:tabs>
                <w:tab w:val="left" w:pos="284"/>
              </w:tabs>
              <w:spacing w:line="360" w:lineRule="auto"/>
              <w:ind w:right="43"/>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a) Requisitos previos.</w:t>
            </w:r>
          </w:p>
        </w:tc>
        <w:tc>
          <w:tcPr>
            <w:tcW w:w="6885" w:type="dxa"/>
          </w:tcPr>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A84E9E">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A84E9E">
              <w:rPr>
                <w:rFonts w:ascii="Palatino Linotype" w:eastAsia="Palatino Linotype" w:hAnsi="Palatino Linotype" w:cs="Palatino Linotype"/>
                <w:sz w:val="22"/>
                <w:szCs w:val="22"/>
              </w:rPr>
              <w:t xml:space="preserve"> individualizar su análisis y tampoco se puede hacer un acuerdo por cada dato que se vaya a </w:t>
            </w:r>
            <w:r w:rsidRPr="00A84E9E">
              <w:rPr>
                <w:rFonts w:ascii="Palatino Linotype" w:eastAsia="Palatino Linotype" w:hAnsi="Palatino Linotype" w:cs="Palatino Linotype"/>
                <w:sz w:val="22"/>
                <w:szCs w:val="22"/>
              </w:rPr>
              <w:lastRenderedPageBreak/>
              <w:t>clasificar dentro de un documento con diez datos, por ejemplo, susceptibles de ser clasificados.</w:t>
            </w:r>
          </w:p>
        </w:tc>
      </w:tr>
      <w:tr w:rsidR="00CC4D88" w:rsidRPr="00A84E9E">
        <w:tc>
          <w:tcPr>
            <w:tcW w:w="2835" w:type="dxa"/>
          </w:tcPr>
          <w:p w:rsidR="00CC4D88" w:rsidRPr="00A84E9E" w:rsidRDefault="00A41D92">
            <w:pPr>
              <w:tabs>
                <w:tab w:val="left" w:pos="284"/>
              </w:tabs>
              <w:spacing w:line="360" w:lineRule="auto"/>
              <w:ind w:right="43"/>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lastRenderedPageBreak/>
              <w:t>b) Supuestos de clasificación.</w:t>
            </w:r>
          </w:p>
        </w:tc>
        <w:tc>
          <w:tcPr>
            <w:tcW w:w="6885" w:type="dxa"/>
          </w:tcPr>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El </w:t>
            </w:r>
            <w:r w:rsidRPr="00A84E9E">
              <w:rPr>
                <w:rFonts w:ascii="Palatino Linotype" w:eastAsia="Palatino Linotype" w:hAnsi="Palatino Linotype" w:cs="Palatino Linotype"/>
                <w:b/>
                <w:sz w:val="22"/>
                <w:szCs w:val="22"/>
              </w:rPr>
              <w:t>Sujeto Obligado</w:t>
            </w:r>
            <w:r w:rsidRPr="00A84E9E">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C4D88" w:rsidRPr="00A84E9E">
        <w:tc>
          <w:tcPr>
            <w:tcW w:w="2835" w:type="dxa"/>
          </w:tcPr>
          <w:p w:rsidR="00CC4D88" w:rsidRPr="00A84E9E" w:rsidRDefault="00A41D92">
            <w:pPr>
              <w:tabs>
                <w:tab w:val="left" w:pos="284"/>
              </w:tabs>
              <w:spacing w:line="360" w:lineRule="auto"/>
              <w:ind w:right="43"/>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c) Formalidades para emitir el acuerdo de clasificación.</w:t>
            </w:r>
          </w:p>
        </w:tc>
        <w:tc>
          <w:tcPr>
            <w:tcW w:w="6885" w:type="dxa"/>
          </w:tcPr>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Es necesario que </w:t>
            </w:r>
            <w:r w:rsidRPr="00A84E9E">
              <w:rPr>
                <w:rFonts w:ascii="Palatino Linotype" w:eastAsia="Palatino Linotype" w:hAnsi="Palatino Linotype" w:cs="Palatino Linotype"/>
                <w:b/>
                <w:sz w:val="22"/>
                <w:szCs w:val="22"/>
                <w:u w:val="single"/>
              </w:rPr>
              <w:t>el acto reúna con los requisitos elementales</w:t>
            </w:r>
            <w:r w:rsidRPr="00A84E9E">
              <w:rPr>
                <w:rFonts w:ascii="Palatino Linotype" w:eastAsia="Palatino Linotype" w:hAnsi="Palatino Linotype" w:cs="Palatino Linotype"/>
                <w:sz w:val="22"/>
                <w:szCs w:val="22"/>
              </w:rPr>
              <w:t>, entre ellos, que la autoridad que va a emitir el acto de autoridad sea la legalmente facultada para ello.</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La decisión de aprobar, modificar o revocar la clasificación deberá de asentarse en un documento que registre la determinación a la que </w:t>
            </w:r>
            <w:r w:rsidRPr="00A84E9E">
              <w:rPr>
                <w:rFonts w:ascii="Palatino Linotype" w:eastAsia="Palatino Linotype" w:hAnsi="Palatino Linotype" w:cs="Palatino Linotype"/>
                <w:sz w:val="22"/>
                <w:szCs w:val="22"/>
              </w:rPr>
              <w:lastRenderedPageBreak/>
              <w:t>se llegue después de un análisis minucioso a partir de lo propuesto por el Titular del I. 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C4D88" w:rsidRPr="00A84E9E">
        <w:tc>
          <w:tcPr>
            <w:tcW w:w="2835" w:type="dxa"/>
          </w:tcPr>
          <w:p w:rsidR="00CC4D88" w:rsidRPr="00A84E9E" w:rsidRDefault="00CC4D88">
            <w:pPr>
              <w:tabs>
                <w:tab w:val="left" w:pos="284"/>
              </w:tabs>
              <w:spacing w:line="360" w:lineRule="auto"/>
              <w:ind w:right="43"/>
              <w:rPr>
                <w:rFonts w:ascii="Palatino Linotype" w:eastAsia="Palatino Linotype" w:hAnsi="Palatino Linotype" w:cs="Palatino Linotype"/>
                <w:sz w:val="22"/>
                <w:szCs w:val="22"/>
              </w:rPr>
            </w:pP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d) Requisitos de fondo del acuerdo de clasificación. </w:t>
            </w:r>
          </w:p>
        </w:tc>
        <w:tc>
          <w:tcPr>
            <w:tcW w:w="6885" w:type="dxa"/>
          </w:tcPr>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84E9E">
              <w:rPr>
                <w:rFonts w:ascii="Palatino Linotype" w:eastAsia="Palatino Linotype" w:hAnsi="Palatino Linotype" w:cs="Palatino Linotype"/>
                <w:b/>
                <w:sz w:val="22"/>
                <w:szCs w:val="22"/>
              </w:rPr>
              <w:t>Sujetos Obligados</w:t>
            </w:r>
            <w:r w:rsidRPr="00A84E9E">
              <w:rPr>
                <w:rFonts w:ascii="Palatino Linotype" w:eastAsia="Palatino Linotype" w:hAnsi="Palatino Linotype" w:cs="Palatino Linotype"/>
                <w:sz w:val="22"/>
                <w:szCs w:val="22"/>
              </w:rPr>
              <w:t xml:space="preserve">, por lo que deberán fundar y motivar debidamente la clasificación. </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De lo anterior, se desprende que para una correcta </w:t>
            </w:r>
            <w:r w:rsidRPr="00A84E9E">
              <w:rPr>
                <w:rFonts w:ascii="Palatino Linotype" w:eastAsia="Palatino Linotype" w:hAnsi="Palatino Linotype" w:cs="Palatino Linotype"/>
                <w:b/>
                <w:sz w:val="22"/>
                <w:szCs w:val="22"/>
              </w:rPr>
              <w:t>clasificación total o parcial</w:t>
            </w:r>
            <w:r w:rsidRPr="00A84E9E">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w:t>
            </w:r>
            <w:r w:rsidRPr="00A84E9E">
              <w:rPr>
                <w:rFonts w:ascii="Palatino Linotype" w:eastAsia="Palatino Linotype" w:hAnsi="Palatino Linotype" w:cs="Palatino Linotype"/>
                <w:sz w:val="22"/>
                <w:szCs w:val="22"/>
              </w:rPr>
              <w:lastRenderedPageBreak/>
              <w:t>persona que se sienta afectada pueda impugnar la decisión, permitiéndole una real y auténtica defensa.</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Ahora bien, </w:t>
            </w:r>
            <w:r w:rsidRPr="00A84E9E">
              <w:rPr>
                <w:rFonts w:ascii="Palatino Linotype" w:eastAsia="Palatino Linotype" w:hAnsi="Palatino Linotype" w:cs="Palatino Linotype"/>
                <w:b/>
                <w:sz w:val="22"/>
                <w:szCs w:val="22"/>
                <w:u w:val="single"/>
              </w:rPr>
              <w:t>para cada caso además de fundar y motivar</w:t>
            </w:r>
            <w:r w:rsidRPr="00A84E9E">
              <w:rPr>
                <w:rFonts w:ascii="Palatino Linotype" w:eastAsia="Palatino Linotype" w:hAnsi="Palatino Linotype" w:cs="Palatino Linotype"/>
                <w:sz w:val="22"/>
                <w:szCs w:val="22"/>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C4D88" w:rsidRPr="00A84E9E">
        <w:tc>
          <w:tcPr>
            <w:tcW w:w="2835" w:type="dxa"/>
          </w:tcPr>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885" w:type="dxa"/>
          </w:tcPr>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CC4D88" w:rsidRPr="00A84E9E" w:rsidRDefault="00A41D92">
            <w:pPr>
              <w:tabs>
                <w:tab w:val="left" w:pos="284"/>
              </w:tabs>
              <w:spacing w:line="360" w:lineRule="auto"/>
              <w:ind w:right="43"/>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CC4D88" w:rsidRPr="00A84E9E" w:rsidRDefault="00A41D92">
            <w:pPr>
              <w:tabs>
                <w:tab w:val="left" w:pos="284"/>
              </w:tabs>
              <w:spacing w:line="360" w:lineRule="auto"/>
              <w:ind w:right="43"/>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CC4D88" w:rsidRPr="00A84E9E" w:rsidRDefault="00CC4D88">
      <w:pPr>
        <w:ind w:right="-697"/>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En ese sentido, de manera enunciativa más no limitativa de la información que se entregue pueden obrar datos personales susceptibles de clasificarse que de manera enunciativa más no limitativa pueden ser la clave de elector, teléfono particular, correo electrónico personal Clave Única de Registro de Población (CURP), número de pasaporte, es así que, por lo que hace </w:t>
      </w:r>
      <w:r w:rsidRPr="00A84E9E">
        <w:rPr>
          <w:rFonts w:ascii="Palatino Linotype" w:eastAsia="Palatino Linotype" w:hAnsi="Palatino Linotype" w:cs="Palatino Linotype"/>
          <w:b/>
        </w:rPr>
        <w:t xml:space="preserve">al nombre del servidor público, nombre, denominación o razón social de la Asociación nombre del apoderado o representante legal, domicilio fiscal, teléfono institucional, firmas, y RFC de la asociación,  se consideran datos personales públicos. </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Ahora bien, se debe de señalar que de manera enunciativa más no limitativa en  la información solicitada por el </w:t>
      </w:r>
      <w:r w:rsidRPr="00A84E9E">
        <w:rPr>
          <w:rFonts w:ascii="Palatino Linotype" w:eastAsia="Palatino Linotype" w:hAnsi="Palatino Linotype" w:cs="Palatino Linotype"/>
          <w:b/>
        </w:rPr>
        <w:t xml:space="preserve">RECURRENTE </w:t>
      </w:r>
      <w:r w:rsidRPr="00A84E9E">
        <w:rPr>
          <w:rFonts w:ascii="Palatino Linotype" w:eastAsia="Palatino Linotype" w:hAnsi="Palatino Linotype" w:cs="Palatino Linotype"/>
        </w:rPr>
        <w:t xml:space="preserve">podrían existir datos que son susceptibles de clasificarse como confidenciales, siendo los siguientes. </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spacing w:line="360" w:lineRule="auto"/>
        <w:ind w:right="-697"/>
        <w:jc w:val="both"/>
        <w:rPr>
          <w:rFonts w:ascii="Palatino Linotype" w:eastAsia="Palatino Linotype" w:hAnsi="Palatino Linotype" w:cs="Palatino Linotype"/>
        </w:rPr>
      </w:pPr>
      <w:r w:rsidRPr="00A84E9E">
        <w:rPr>
          <w:rFonts w:ascii="Palatino Linotype" w:eastAsia="Palatino Linotype" w:hAnsi="Palatino Linotype" w:cs="Palatino Linotype"/>
          <w:b/>
        </w:rPr>
        <w:t>Registro Federal de Contribuyentes</w:t>
      </w:r>
      <w:r w:rsidRPr="00A84E9E">
        <w:rPr>
          <w:rFonts w:ascii="Palatino Linotype" w:eastAsia="Palatino Linotype" w:hAnsi="Palatino Linotype" w:cs="Palatino Linotype"/>
        </w:rPr>
        <w:t xml:space="preserve"> (RFC)</w:t>
      </w: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De acuerdo con lo establecido en el artículo en comento, esta clave se compone de trece caracteres alfanuméricos, con datos obtenidos de los apellidos, nombre (s), fecha de </w:t>
      </w:r>
      <w:r w:rsidRPr="00A84E9E">
        <w:rPr>
          <w:rFonts w:ascii="Palatino Linotype" w:eastAsia="Palatino Linotype" w:hAnsi="Palatino Linotype" w:cs="Palatino Linotype"/>
        </w:rPr>
        <w:lastRenderedPageBreak/>
        <w:t>nacimiento del titular, más una homoclave que establece el sistema automático del Servicio de Administración Tributaria.</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Lo anterior, resulta congruente con el Criterio 19/17 emitido por el Instituto Nacional de Transparencia, Acceso a la Información y Protección de Datos Personales, en el cual se señala lo siguiente:</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ind w:left="1134"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w:t>
      </w:r>
      <w:r w:rsidRPr="00A84E9E">
        <w:rPr>
          <w:rFonts w:ascii="Palatino Linotype" w:eastAsia="Palatino Linotype" w:hAnsi="Palatino Linotype" w:cs="Palatino Linotype"/>
          <w:b/>
          <w:i/>
          <w:sz w:val="22"/>
          <w:szCs w:val="22"/>
        </w:rPr>
        <w:t>Registro Federal de Contribuyentes (RFC) de personas físicas</w:t>
      </w:r>
      <w:r w:rsidRPr="00A84E9E">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lastRenderedPageBreak/>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CC4D88" w:rsidRPr="00A84E9E" w:rsidRDefault="00CC4D88">
      <w:pPr>
        <w:spacing w:line="360" w:lineRule="auto"/>
        <w:ind w:right="-697"/>
        <w:jc w:val="both"/>
        <w:rPr>
          <w:rFonts w:ascii="Palatino Linotype" w:eastAsia="Palatino Linotype" w:hAnsi="Palatino Linotype" w:cs="Palatino Linotype"/>
          <w:b/>
        </w:rPr>
      </w:pPr>
    </w:p>
    <w:p w:rsidR="00CC4D88" w:rsidRPr="00A84E9E" w:rsidRDefault="00A41D92">
      <w:pPr>
        <w:spacing w:line="360" w:lineRule="auto"/>
        <w:ind w:right="-697"/>
        <w:jc w:val="both"/>
        <w:rPr>
          <w:rFonts w:ascii="Palatino Linotype" w:eastAsia="Palatino Linotype" w:hAnsi="Palatino Linotype" w:cs="Palatino Linotype"/>
          <w:b/>
        </w:rPr>
      </w:pPr>
      <w:r w:rsidRPr="00A84E9E">
        <w:rPr>
          <w:rFonts w:ascii="Palatino Linotype" w:eastAsia="Palatino Linotype" w:hAnsi="Palatino Linotype" w:cs="Palatino Linotype"/>
          <w:b/>
        </w:rPr>
        <w:t>Clave única de Registro de Población –CURP-.de particulares</w:t>
      </w: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El artículo 36 de la Constitución Política de los Estados Unidos Mexicanos, dispone la obligación de los ciudadanos de inscribirse en el Registro Nacional de Ciudadanos. </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El artículo 85 de la Ley General de Población, prevé que corresponde a la Secretaría de Gobernación el registro y acreditación de la identidad de todas las personas residentes en el país y de los nacionales que residan en el extranjero.</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De conformidad con lo precisado por la propia Secretaría de Gobernación en la dirección </w:t>
      </w:r>
      <w:hyperlink r:id="rId11">
        <w:r w:rsidRPr="00A84E9E">
          <w:rPr>
            <w:rFonts w:ascii="Palatino Linotype" w:eastAsia="Palatino Linotype" w:hAnsi="Palatino Linotype" w:cs="Palatino Linotype"/>
            <w:color w:val="0563C1"/>
            <w:u w:val="single"/>
          </w:rPr>
          <w:t>https://consultas.curp.gob.mx/CurpSP/html/informacionecurpPS.html</w:t>
        </w:r>
      </w:hyperlink>
      <w:r w:rsidRPr="00A84E9E">
        <w:rPr>
          <w:rFonts w:ascii="Palatino Linotype" w:eastAsia="Palatino Linotype" w:hAnsi="Palatino Linotype" w:cs="Palatino Linotype"/>
        </w:rPr>
        <w:t xml:space="preserve">, la Clave Única del Registro de Población  CURP-, es un instrumento de registro que se asigna a todas las personas que viven en el territorio nacional, así como a los mexicanos que residen en el </w:t>
      </w:r>
      <w:r w:rsidRPr="00A84E9E">
        <w:rPr>
          <w:rFonts w:ascii="Palatino Linotype" w:eastAsia="Palatino Linotype" w:hAnsi="Palatino Linotype" w:cs="Palatino Linotype"/>
        </w:rPr>
        <w:lastRenderedPageBreak/>
        <w:t xml:space="preserve">extranjero y se compone de dieciocho elementos, representados por letras y números, que </w:t>
      </w:r>
      <w:r w:rsidRPr="00A84E9E">
        <w:rPr>
          <w:rFonts w:ascii="Palatino Linotype" w:eastAsia="Palatino Linotype" w:hAnsi="Palatino Linotype" w:cs="Palatino Linotype"/>
          <w:b/>
        </w:rPr>
        <w:t xml:space="preserve">se generan a partir de los datos contenidos en el documento probatorio de la identidad del interesado </w:t>
      </w:r>
      <w:r w:rsidRPr="00A84E9E">
        <w:rPr>
          <w:rFonts w:ascii="Palatino Linotype" w:eastAsia="Palatino Linotype" w:hAnsi="Palatino Linotype" w:cs="Palatino Linotype"/>
        </w:rPr>
        <w:t>(acta de nacimiento, carta de naturalización o documento migratorio) de la siguiente forma:</w:t>
      </w:r>
    </w:p>
    <w:p w:rsidR="00CC4D88" w:rsidRPr="00A84E9E" w:rsidRDefault="00A41D92">
      <w:pPr>
        <w:spacing w:line="360" w:lineRule="auto"/>
        <w:ind w:right="-130"/>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rPr>
        <w:t xml:space="preserve"> •</w:t>
      </w:r>
      <w:r w:rsidRPr="00A84E9E">
        <w:rPr>
          <w:rFonts w:ascii="Palatino Linotype" w:eastAsia="Palatino Linotype" w:hAnsi="Palatino Linotype" w:cs="Palatino Linotype"/>
          <w:sz w:val="22"/>
          <w:szCs w:val="22"/>
        </w:rPr>
        <w:t xml:space="preserve"> El primero y segundo apellidos, así como el nombre de pila.</w:t>
      </w:r>
    </w:p>
    <w:p w:rsidR="00CC4D88" w:rsidRPr="00A84E9E" w:rsidRDefault="00A41D92">
      <w:pPr>
        <w:spacing w:line="360" w:lineRule="auto"/>
        <w:ind w:right="-130"/>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 • La fecha de nacimiento.</w:t>
      </w:r>
    </w:p>
    <w:p w:rsidR="00CC4D88" w:rsidRPr="00A84E9E" w:rsidRDefault="00A41D92">
      <w:pPr>
        <w:spacing w:line="360" w:lineRule="auto"/>
        <w:ind w:right="-130"/>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 • El sexo.</w:t>
      </w:r>
    </w:p>
    <w:p w:rsidR="00CC4D88" w:rsidRPr="00A84E9E" w:rsidRDefault="00A41D92">
      <w:pPr>
        <w:spacing w:line="360" w:lineRule="auto"/>
        <w:ind w:right="-130"/>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 xml:space="preserve"> • La entidad federativa de nacimiento.</w:t>
      </w:r>
    </w:p>
    <w:p w:rsidR="00CC4D88" w:rsidRPr="00A84E9E" w:rsidRDefault="00A41D92">
      <w:pPr>
        <w:spacing w:line="360" w:lineRule="auto"/>
        <w:ind w:right="-130"/>
        <w:jc w:val="both"/>
        <w:rPr>
          <w:rFonts w:ascii="Palatino Linotype" w:eastAsia="Palatino Linotype" w:hAnsi="Palatino Linotype" w:cs="Palatino Linotype"/>
          <w:sz w:val="22"/>
          <w:szCs w:val="22"/>
        </w:rPr>
      </w:pPr>
      <w:r w:rsidRPr="00A84E9E">
        <w:rPr>
          <w:rFonts w:ascii="Palatino Linotype" w:eastAsia="Palatino Linotype" w:hAnsi="Palatino Linotype" w:cs="Palatino Linotype"/>
          <w:sz w:val="22"/>
          <w:szCs w:val="22"/>
        </w:rPr>
        <w:t>Los dos últimos elementos de la CURP evitan la duplicidad de la clave y garantizan su correcta integración.</w:t>
      </w:r>
    </w:p>
    <w:p w:rsidR="00CC4D88" w:rsidRPr="00A84E9E" w:rsidRDefault="00CC4D88">
      <w:pPr>
        <w:spacing w:line="360" w:lineRule="auto"/>
        <w:ind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Resulta aplicable en la especie, como argumento orientador, el Criterio 3/10, emitido por el INAI.</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ind w:left="1134"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 xml:space="preserve">Clave Única de Registro de Población (CURP) es un dato personal confidencial. </w:t>
      </w:r>
      <w:r w:rsidRPr="00A84E9E">
        <w:rPr>
          <w:rFonts w:ascii="Palatino Linotype" w:eastAsia="Palatino Linotype" w:hAnsi="Palatino Linotype" w:cs="Palatino Linotype"/>
          <w:i/>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w:t>
      </w:r>
      <w:r w:rsidRPr="00A84E9E">
        <w:rPr>
          <w:rFonts w:ascii="Palatino Linotype" w:eastAsia="Palatino Linotype" w:hAnsi="Palatino Linotype" w:cs="Palatino Linotype"/>
          <w:i/>
          <w:sz w:val="22"/>
          <w:szCs w:val="22"/>
        </w:rPr>
        <w:lastRenderedPageBreak/>
        <w:t xml:space="preserve">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rsidR="00CC4D88" w:rsidRPr="00A84E9E" w:rsidRDefault="00CC4D88">
      <w:pPr>
        <w:spacing w:line="360" w:lineRule="auto"/>
        <w:ind w:left="360" w:right="-130"/>
        <w:jc w:val="both"/>
        <w:rPr>
          <w:rFonts w:ascii="Palatino Linotype" w:eastAsia="Palatino Linotype" w:hAnsi="Palatino Linotype" w:cs="Palatino Linotype"/>
          <w:sz w:val="22"/>
          <w:szCs w:val="22"/>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De acuerdo con lo anterior, la clave CURP, es un dato personal confidencial, en términos del artículo 143, fracción I, de la Ley de Transparencia y Acceso a la Información Pública del Estado de México y Municipios.</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Cobra sustento lo anterior, con el criterio 01/19 reiterado vigente del INAI, que refiere lo siguiente:</w:t>
      </w:r>
    </w:p>
    <w:p w:rsidR="00CC4D88" w:rsidRPr="00A84E9E" w:rsidRDefault="00A41D92">
      <w:pPr>
        <w:ind w:left="1134"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b/>
          <w:i/>
          <w:sz w:val="22"/>
          <w:szCs w:val="22"/>
        </w:rPr>
        <w:t>Datos de identificación del representante o apoderado legal.</w:t>
      </w:r>
      <w:r w:rsidRPr="00A84E9E">
        <w:rPr>
          <w:rFonts w:ascii="Palatino Linotype" w:eastAsia="Palatino Linotype" w:hAnsi="Palatino Linotype" w:cs="Palatino Linotype"/>
          <w:i/>
          <w:sz w:val="22"/>
          <w:szCs w:val="22"/>
        </w:rPr>
        <w:t xml:space="preserve"> </w:t>
      </w:r>
      <w:r w:rsidRPr="00A84E9E">
        <w:rPr>
          <w:rFonts w:ascii="Palatino Linotype" w:eastAsia="Palatino Linotype" w:hAnsi="Palatino Linotype" w:cs="Palatino Linotype"/>
          <w:b/>
          <w:i/>
          <w:sz w:val="22"/>
          <w:szCs w:val="22"/>
        </w:rPr>
        <w:t xml:space="preserve">Naturaleza jurídica. </w:t>
      </w:r>
      <w:r w:rsidRPr="00A84E9E">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CC4D88" w:rsidRPr="00A84E9E" w:rsidRDefault="00CC4D88">
      <w:pPr>
        <w:ind w:left="1134" w:right="-130"/>
        <w:jc w:val="both"/>
        <w:rPr>
          <w:rFonts w:ascii="Palatino Linotype" w:eastAsia="Palatino Linotype" w:hAnsi="Palatino Linotype" w:cs="Palatino Linotype"/>
          <w:i/>
          <w:sz w:val="22"/>
          <w:szCs w:val="22"/>
        </w:rPr>
      </w:pPr>
    </w:p>
    <w:p w:rsidR="00CC4D88" w:rsidRPr="00A84E9E" w:rsidRDefault="00A41D92">
      <w:pPr>
        <w:ind w:left="1134" w:right="-130"/>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b/>
          <w:i/>
          <w:sz w:val="22"/>
          <w:szCs w:val="22"/>
        </w:rPr>
        <w:t>Precedentes:</w:t>
      </w:r>
    </w:p>
    <w:p w:rsidR="00CC4D88" w:rsidRPr="00A84E9E" w:rsidRDefault="00A41D92">
      <w:pPr>
        <w:ind w:left="1134"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Acceso a la información pública. RRA 3104/16. Sesión del 01 de noviembre del 2016. Votación por unanimidad. Sin votos disidentes o particulares. Secretaría de la Defensa Nacional. Comisionado Ponente Oscar Mauricio Guerra Ford.</w:t>
      </w:r>
    </w:p>
    <w:p w:rsidR="00CC4D88" w:rsidRPr="00A84E9E" w:rsidRDefault="00A41D92">
      <w:pPr>
        <w:ind w:left="1134" w:right="-130"/>
        <w:jc w:val="both"/>
        <w:rPr>
          <w:rFonts w:ascii="Palatino Linotype" w:eastAsia="Palatino Linotype" w:hAnsi="Palatino Linotype" w:cs="Palatino Linotype"/>
          <w:b/>
          <w:i/>
          <w:sz w:val="22"/>
          <w:szCs w:val="22"/>
        </w:rPr>
      </w:pPr>
      <w:r w:rsidRPr="00A84E9E">
        <w:rPr>
          <w:rFonts w:ascii="Palatino Linotype" w:eastAsia="Palatino Linotype" w:hAnsi="Palatino Linotype" w:cs="Palatino Linotype"/>
          <w:i/>
          <w:sz w:val="22"/>
          <w:szCs w:val="22"/>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rsidR="00CC4D88" w:rsidRPr="00A84E9E" w:rsidRDefault="00A41D92">
      <w:pPr>
        <w:tabs>
          <w:tab w:val="left" w:pos="7371"/>
        </w:tabs>
        <w:ind w:left="1134" w:right="-130"/>
        <w:jc w:val="both"/>
        <w:rPr>
          <w:rFonts w:ascii="Palatino Linotype" w:eastAsia="Palatino Linotype" w:hAnsi="Palatino Linotype" w:cs="Palatino Linotype"/>
          <w:i/>
          <w:sz w:val="22"/>
          <w:szCs w:val="22"/>
        </w:rPr>
      </w:pPr>
      <w:r w:rsidRPr="00A84E9E">
        <w:rPr>
          <w:rFonts w:ascii="Palatino Linotype" w:eastAsia="Palatino Linotype" w:hAnsi="Palatino Linotype" w:cs="Palatino Linotype"/>
          <w:i/>
          <w:sz w:val="22"/>
          <w:szCs w:val="22"/>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CC4D88" w:rsidRPr="00A84E9E" w:rsidRDefault="00CC4D88">
      <w:pPr>
        <w:ind w:right="-697"/>
        <w:rPr>
          <w:rFonts w:ascii="Palatino Linotype" w:eastAsia="Palatino Linotype" w:hAnsi="Palatino Linotype" w:cs="Palatino Linotype"/>
        </w:rPr>
      </w:pPr>
    </w:p>
    <w:p w:rsidR="00CC4D88" w:rsidRPr="00A84E9E" w:rsidRDefault="00A41D92">
      <w:pPr>
        <w:spacing w:line="360" w:lineRule="auto"/>
        <w:ind w:right="-697"/>
        <w:jc w:val="both"/>
        <w:rPr>
          <w:rFonts w:ascii="Palatino Linotype" w:eastAsia="Palatino Linotype" w:hAnsi="Palatino Linotype" w:cs="Palatino Linotype"/>
        </w:rPr>
      </w:pPr>
      <w:r w:rsidRPr="00A84E9E">
        <w:rPr>
          <w:rFonts w:ascii="Palatino Linotype" w:eastAsia="Palatino Linotype" w:hAnsi="Palatino Linotype" w:cs="Palatino Linotype"/>
          <w:b/>
        </w:rPr>
        <w:t>Domicilio de particulares</w:t>
      </w: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Ahora bien, de acuerdo a lo señalado en los artículos 2.3 y 2.5, fracción V del Código Civil del Estado de México, el domicilio es un atributo de la personalidad y un derecho de </w:t>
      </w:r>
      <w:r w:rsidRPr="00A84E9E">
        <w:rPr>
          <w:rFonts w:ascii="Palatino Linotype" w:eastAsia="Palatino Linotype" w:hAnsi="Palatino Linotype" w:cs="Palatino Linotype"/>
        </w:rPr>
        <w:lastRenderedPageBreak/>
        <w:t xml:space="preserve">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sidRPr="00A84E9E">
        <w:rPr>
          <w:rFonts w:ascii="Palatino Linotype" w:eastAsia="Palatino Linotype" w:hAnsi="Palatino Linotype" w:cs="Palatino Linotype"/>
          <w:b/>
        </w:rPr>
        <w:t>el domicilio particular</w:t>
      </w:r>
      <w:r w:rsidRPr="00A84E9E">
        <w:rPr>
          <w:rFonts w:ascii="Palatino Linotype" w:eastAsia="Palatino Linotype" w:hAnsi="Palatino Linotype" w:cs="Palatino Linotype"/>
        </w:rPr>
        <w:t xml:space="preserve"> es confidencial, en términos del artículo 143, fracción I de la Ley de Transparencia y Acceso a la Información Pública del Estado de México y Municipios. </w:t>
      </w:r>
    </w:p>
    <w:p w:rsidR="00CC4D88" w:rsidRPr="00A84E9E" w:rsidRDefault="00CC4D88">
      <w:pPr>
        <w:spacing w:line="360" w:lineRule="auto"/>
        <w:ind w:right="-697"/>
        <w:jc w:val="both"/>
        <w:rPr>
          <w:rFonts w:ascii="Palatino Linotype" w:eastAsia="Palatino Linotype" w:hAnsi="Palatino Linotype" w:cs="Palatino Linotype"/>
          <w:b/>
        </w:rPr>
      </w:pPr>
    </w:p>
    <w:p w:rsidR="00CC4D88" w:rsidRPr="00A84E9E" w:rsidRDefault="00A41D92">
      <w:pPr>
        <w:spacing w:line="360" w:lineRule="auto"/>
        <w:ind w:right="-697"/>
        <w:jc w:val="both"/>
        <w:rPr>
          <w:rFonts w:ascii="Palatino Linotype" w:eastAsia="Palatino Linotype" w:hAnsi="Palatino Linotype" w:cs="Palatino Linotype"/>
        </w:rPr>
      </w:pPr>
      <w:r w:rsidRPr="00A84E9E">
        <w:rPr>
          <w:rFonts w:ascii="Palatino Linotype" w:eastAsia="Palatino Linotype" w:hAnsi="Palatino Linotype" w:cs="Palatino Linotype"/>
          <w:b/>
        </w:rPr>
        <w:t>Teléfono y celular particular.</w:t>
      </w:r>
    </w:p>
    <w:p w:rsidR="00CC4D88" w:rsidRPr="00A84E9E" w:rsidRDefault="00A41D92" w:rsidP="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 xml:space="preserve">El número asignado a un teléfono particular o celular permite localizar a una persona física identificada o identificable, ya sea a través de un dispositivo móvil o bien, en un lugar como el domicilio. </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En tales consideraciones, si se localizan dichos datos personales en la información entregada, esta es susceptible de ser clasificada como confidencial, con fundamento en el artículo 143, fracción I de la Ley de Transparencia y Acceso a la Información Pública.</w:t>
      </w:r>
    </w:p>
    <w:p w:rsidR="00CC4D88" w:rsidRPr="00A84E9E" w:rsidRDefault="00CC4D88">
      <w:pPr>
        <w:spacing w:line="360" w:lineRule="auto"/>
        <w:ind w:left="360" w:right="-697"/>
        <w:jc w:val="both"/>
        <w:rPr>
          <w:rFonts w:ascii="Palatino Linotype" w:eastAsia="Palatino Linotype" w:hAnsi="Palatino Linotype" w:cs="Palatino Linotype"/>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rPr>
      </w:pPr>
      <w:r w:rsidRPr="00A84E9E">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w:t>
      </w:r>
    </w:p>
    <w:p w:rsidR="00CC4D88" w:rsidRPr="00A84E9E" w:rsidRDefault="00CC4D88">
      <w:pPr>
        <w:pBdr>
          <w:top w:val="nil"/>
          <w:left w:val="nil"/>
          <w:bottom w:val="nil"/>
          <w:right w:val="nil"/>
          <w:between w:val="nil"/>
        </w:pBdr>
        <w:tabs>
          <w:tab w:val="left" w:pos="284"/>
        </w:tabs>
        <w:spacing w:line="360" w:lineRule="auto"/>
        <w:ind w:right="-697"/>
        <w:jc w:val="both"/>
        <w:rPr>
          <w:rFonts w:ascii="Palatino Linotype" w:eastAsia="Palatino Linotype" w:hAnsi="Palatino Linotype" w:cs="Palatino Linotype"/>
          <w:b/>
          <w:color w:val="000000"/>
        </w:rPr>
      </w:pPr>
    </w:p>
    <w:p w:rsidR="00CC4D88" w:rsidRPr="00A84E9E" w:rsidRDefault="00A41D92">
      <w:pPr>
        <w:numPr>
          <w:ilvl w:val="0"/>
          <w:numId w:val="1"/>
        </w:numPr>
        <w:spacing w:line="360" w:lineRule="auto"/>
        <w:ind w:left="0" w:right="-697" w:firstLine="0"/>
        <w:jc w:val="both"/>
        <w:rPr>
          <w:rFonts w:ascii="Palatino Linotype" w:eastAsia="Palatino Linotype" w:hAnsi="Palatino Linotype" w:cs="Palatino Linotype"/>
          <w:color w:val="000000"/>
        </w:rPr>
      </w:pPr>
      <w:r w:rsidRPr="00A84E9E">
        <w:rPr>
          <w:rFonts w:ascii="Palatino Linotype" w:eastAsia="Palatino Linotype" w:hAnsi="Palatino Linotype" w:cs="Palatino Linotype"/>
          <w:color w:val="222222"/>
        </w:rPr>
        <w:t xml:space="preserve">Por lo anteriormente expuesto y fundado, este </w:t>
      </w:r>
      <w:r w:rsidRPr="00A84E9E">
        <w:rPr>
          <w:rFonts w:ascii="Palatino Linotype" w:eastAsia="Palatino Linotype" w:hAnsi="Palatino Linotype" w:cs="Palatino Linotype"/>
          <w:b/>
          <w:color w:val="222222"/>
        </w:rPr>
        <w:t>ÓRGANO GARANTE</w:t>
      </w:r>
      <w:r w:rsidRPr="00A84E9E">
        <w:rPr>
          <w:rFonts w:ascii="Palatino Linotype" w:eastAsia="Palatino Linotype" w:hAnsi="Palatino Linotype" w:cs="Palatino Linotype"/>
          <w:color w:val="222222"/>
        </w:rPr>
        <w:t xml:space="preserve"> emite los siguientes:</w:t>
      </w:r>
    </w:p>
    <w:p w:rsidR="00CC4D88" w:rsidRPr="00A84E9E" w:rsidRDefault="00A41D92">
      <w:pPr>
        <w:spacing w:line="360" w:lineRule="auto"/>
        <w:ind w:right="-697"/>
        <w:jc w:val="center"/>
        <w:rPr>
          <w:rFonts w:ascii="Palatino Linotype" w:eastAsia="Palatino Linotype" w:hAnsi="Palatino Linotype" w:cs="Palatino Linotype"/>
          <w:b/>
          <w:color w:val="000000"/>
        </w:rPr>
      </w:pPr>
      <w:r w:rsidRPr="00A84E9E">
        <w:rPr>
          <w:rFonts w:ascii="Palatino Linotype" w:eastAsia="Palatino Linotype" w:hAnsi="Palatino Linotype" w:cs="Palatino Linotype"/>
          <w:b/>
          <w:color w:val="000000"/>
        </w:rPr>
        <w:lastRenderedPageBreak/>
        <w:t>R E S O L U T I V O S</w:t>
      </w:r>
    </w:p>
    <w:p w:rsidR="00CC4D88" w:rsidRPr="00A84E9E" w:rsidRDefault="00CC4D88">
      <w:pPr>
        <w:spacing w:line="360" w:lineRule="auto"/>
        <w:ind w:right="-697"/>
        <w:jc w:val="both"/>
        <w:rPr>
          <w:rFonts w:ascii="Palatino Linotype" w:eastAsia="Palatino Linotype" w:hAnsi="Palatino Linotype" w:cs="Palatino Linotype"/>
          <w:b/>
          <w:color w:val="000000"/>
        </w:rPr>
      </w:pPr>
    </w:p>
    <w:p w:rsidR="00CC4D88" w:rsidRPr="00A84E9E" w:rsidRDefault="00A41D92">
      <w:pPr>
        <w:spacing w:line="360" w:lineRule="auto"/>
        <w:ind w:right="-697"/>
        <w:jc w:val="both"/>
        <w:rPr>
          <w:rFonts w:ascii="Palatino Linotype" w:eastAsia="Palatino Linotype" w:hAnsi="Palatino Linotype" w:cs="Palatino Linotype"/>
          <w:color w:val="000000"/>
        </w:rPr>
      </w:pPr>
      <w:r w:rsidRPr="00A84E9E">
        <w:rPr>
          <w:rFonts w:ascii="Palatino Linotype" w:eastAsia="Palatino Linotype" w:hAnsi="Palatino Linotype" w:cs="Palatino Linotype"/>
          <w:b/>
          <w:color w:val="000000"/>
        </w:rPr>
        <w:t>PRIMERO.</w:t>
      </w:r>
      <w:r w:rsidRPr="00A84E9E">
        <w:rPr>
          <w:rFonts w:ascii="Palatino Linotype" w:eastAsia="Palatino Linotype" w:hAnsi="Palatino Linotype" w:cs="Palatino Linotype"/>
          <w:color w:val="000000"/>
        </w:rPr>
        <w:t xml:space="preserve"> Resulta fundada las razones o motivos de inconformidad hechos valer en el Recurso de Revisión </w:t>
      </w:r>
      <w:r w:rsidRPr="00A84E9E">
        <w:rPr>
          <w:rFonts w:ascii="Palatino Linotype" w:eastAsia="Palatino Linotype" w:hAnsi="Palatino Linotype" w:cs="Palatino Linotype"/>
          <w:b/>
          <w:color w:val="000000"/>
        </w:rPr>
        <w:t>07283/INFOEM/IP/RR/2024</w:t>
      </w:r>
      <w:r w:rsidRPr="00A84E9E">
        <w:rPr>
          <w:rFonts w:ascii="Palatino Linotype" w:eastAsia="Palatino Linotype" w:hAnsi="Palatino Linotype" w:cs="Palatino Linotype"/>
          <w:color w:val="000000"/>
        </w:rPr>
        <w:t xml:space="preserve">, en términos del Considerando  </w:t>
      </w:r>
      <w:r w:rsidRPr="00A84E9E">
        <w:rPr>
          <w:rFonts w:ascii="Palatino Linotype" w:eastAsia="Palatino Linotype" w:hAnsi="Palatino Linotype" w:cs="Palatino Linotype"/>
          <w:b/>
          <w:color w:val="000000"/>
        </w:rPr>
        <w:t>CUARTO Y  QUINTO</w:t>
      </w:r>
      <w:r w:rsidRPr="00A84E9E">
        <w:rPr>
          <w:rFonts w:ascii="Palatino Linotype" w:eastAsia="Palatino Linotype" w:hAnsi="Palatino Linotype" w:cs="Palatino Linotype"/>
          <w:color w:val="000000"/>
        </w:rPr>
        <w:t xml:space="preserve"> de la presente resolución. </w:t>
      </w:r>
    </w:p>
    <w:p w:rsidR="00CC4D88" w:rsidRPr="00A84E9E" w:rsidRDefault="00CC4D88">
      <w:pPr>
        <w:spacing w:line="360" w:lineRule="auto"/>
        <w:ind w:right="-697"/>
        <w:jc w:val="both"/>
        <w:rPr>
          <w:rFonts w:ascii="Palatino Linotype" w:eastAsia="Palatino Linotype" w:hAnsi="Palatino Linotype" w:cs="Palatino Linotype"/>
          <w:color w:val="000000"/>
        </w:rPr>
      </w:pPr>
    </w:p>
    <w:p w:rsidR="00CC4D88" w:rsidRPr="00A84E9E" w:rsidRDefault="00A41D92">
      <w:pPr>
        <w:spacing w:line="360" w:lineRule="auto"/>
        <w:ind w:right="-697"/>
        <w:jc w:val="both"/>
        <w:rPr>
          <w:rFonts w:ascii="Palatino Linotype" w:eastAsia="Palatino Linotype" w:hAnsi="Palatino Linotype" w:cs="Palatino Linotype"/>
          <w:color w:val="000000"/>
        </w:rPr>
      </w:pPr>
      <w:r w:rsidRPr="00A84E9E">
        <w:rPr>
          <w:rFonts w:ascii="Palatino Linotype" w:eastAsia="Palatino Linotype" w:hAnsi="Palatino Linotype" w:cs="Palatino Linotype"/>
          <w:b/>
          <w:color w:val="000000"/>
        </w:rPr>
        <w:t>SEGUNDO</w:t>
      </w:r>
      <w:r w:rsidRPr="00A84E9E">
        <w:rPr>
          <w:rFonts w:ascii="Palatino Linotype" w:eastAsia="Palatino Linotype" w:hAnsi="Palatino Linotype" w:cs="Palatino Linotype"/>
          <w:color w:val="000000"/>
        </w:rPr>
        <w:t xml:space="preserve">. Se </w:t>
      </w:r>
      <w:r w:rsidRPr="00A84E9E">
        <w:rPr>
          <w:rFonts w:ascii="Palatino Linotype" w:eastAsia="Palatino Linotype" w:hAnsi="Palatino Linotype" w:cs="Palatino Linotype"/>
          <w:b/>
          <w:color w:val="000000"/>
        </w:rPr>
        <w:t>REVOCA</w:t>
      </w:r>
      <w:r w:rsidRPr="00A84E9E">
        <w:rPr>
          <w:rFonts w:ascii="Palatino Linotype" w:eastAsia="Palatino Linotype" w:hAnsi="Palatino Linotype" w:cs="Palatino Linotype"/>
          <w:color w:val="000000"/>
        </w:rPr>
        <w:t xml:space="preserve"> la respuesta emitida por el Ayuntamiento de Tepotzotlán y se </w:t>
      </w:r>
      <w:r w:rsidRPr="00A84E9E">
        <w:rPr>
          <w:rFonts w:ascii="Palatino Linotype" w:eastAsia="Palatino Linotype" w:hAnsi="Palatino Linotype" w:cs="Palatino Linotype"/>
          <w:b/>
          <w:color w:val="000000"/>
        </w:rPr>
        <w:t>ORDENA</w:t>
      </w:r>
      <w:r w:rsidRPr="00A84E9E">
        <w:rPr>
          <w:rFonts w:ascii="Palatino Linotype" w:eastAsia="Palatino Linotype" w:hAnsi="Palatino Linotype" w:cs="Palatino Linotype"/>
          <w:color w:val="000000"/>
        </w:rPr>
        <w:t xml:space="preserve"> entregar vía Sistema de Acceso a la Información Mexiquense (SAIMEX),  en versión pública, </w:t>
      </w:r>
      <w:r w:rsidRPr="00A84E9E">
        <w:rPr>
          <w:rFonts w:ascii="Palatino Linotype" w:eastAsia="Palatino Linotype" w:hAnsi="Palatino Linotype" w:cs="Palatino Linotype"/>
        </w:rPr>
        <w:t xml:space="preserve">los documentos en donde conste </w:t>
      </w:r>
      <w:r w:rsidR="00685EE5" w:rsidRPr="00A84E9E">
        <w:rPr>
          <w:rFonts w:ascii="Palatino Linotype" w:eastAsia="Palatino Linotype" w:hAnsi="Palatino Linotype" w:cs="Palatino Linotype"/>
          <w:color w:val="000000"/>
        </w:rPr>
        <w:t>la siguiente información.</w:t>
      </w:r>
    </w:p>
    <w:p w:rsidR="00CC4D88" w:rsidRPr="00A84E9E" w:rsidRDefault="00CC4D88">
      <w:pPr>
        <w:spacing w:line="360" w:lineRule="auto"/>
        <w:ind w:right="-697"/>
        <w:jc w:val="both"/>
        <w:rPr>
          <w:rFonts w:ascii="Palatino Linotype" w:eastAsia="Palatino Linotype" w:hAnsi="Palatino Linotype" w:cs="Palatino Linotype"/>
          <w:color w:val="000000"/>
        </w:rPr>
      </w:pPr>
    </w:p>
    <w:p w:rsidR="00CC4D88" w:rsidRPr="00A84E9E" w:rsidRDefault="00A41D92">
      <w:pPr>
        <w:pBdr>
          <w:top w:val="nil"/>
          <w:left w:val="nil"/>
          <w:bottom w:val="nil"/>
          <w:right w:val="nil"/>
          <w:between w:val="nil"/>
        </w:pBdr>
        <w:spacing w:line="360" w:lineRule="auto"/>
        <w:ind w:left="993" w:right="-130"/>
        <w:jc w:val="both"/>
        <w:rPr>
          <w:rFonts w:ascii="Palatino Linotype" w:eastAsia="Palatino Linotype" w:hAnsi="Palatino Linotype" w:cs="Palatino Linotype"/>
          <w:b/>
          <w:color w:val="000000"/>
        </w:rPr>
      </w:pPr>
      <w:r w:rsidRPr="00A84E9E">
        <w:rPr>
          <w:rFonts w:ascii="Palatino Linotype" w:eastAsia="Palatino Linotype" w:hAnsi="Palatino Linotype" w:cs="Palatino Linotype"/>
          <w:b/>
          <w:color w:val="000000"/>
        </w:rPr>
        <w:t xml:space="preserve">1. </w:t>
      </w:r>
      <w:r w:rsidRPr="00A84E9E">
        <w:rPr>
          <w:rFonts w:ascii="Palatino Linotype" w:eastAsia="Palatino Linotype" w:hAnsi="Palatino Linotype" w:cs="Palatino Linotype"/>
          <w:b/>
        </w:rPr>
        <w:t>R</w:t>
      </w:r>
      <w:r w:rsidRPr="00A84E9E">
        <w:rPr>
          <w:rFonts w:ascii="Palatino Linotype" w:eastAsia="Palatino Linotype" w:hAnsi="Palatino Linotype" w:cs="Palatino Linotype"/>
          <w:b/>
          <w:color w:val="000000"/>
        </w:rPr>
        <w:t>ecurso económico ejercido para la contratación</w:t>
      </w:r>
      <w:r w:rsidR="00F13AAD" w:rsidRPr="00A84E9E">
        <w:rPr>
          <w:rFonts w:ascii="Palatino Linotype" w:eastAsia="Palatino Linotype" w:hAnsi="Palatino Linotype" w:cs="Palatino Linotype"/>
          <w:b/>
          <w:color w:val="000000"/>
        </w:rPr>
        <w:t xml:space="preserve"> del Grupo Bronco, al día 25 de octubre de</w:t>
      </w:r>
      <w:r w:rsidRPr="00A84E9E">
        <w:rPr>
          <w:rFonts w:ascii="Palatino Linotype" w:eastAsia="Palatino Linotype" w:hAnsi="Palatino Linotype" w:cs="Palatino Linotype"/>
          <w:b/>
          <w:color w:val="000000"/>
        </w:rPr>
        <w:t xml:space="preserve"> 2024 en la semana cultural de Tepotzotlán</w:t>
      </w:r>
    </w:p>
    <w:p w:rsidR="00CC4D88" w:rsidRPr="00A84E9E" w:rsidRDefault="00A41D92">
      <w:pPr>
        <w:pBdr>
          <w:top w:val="nil"/>
          <w:left w:val="nil"/>
          <w:bottom w:val="nil"/>
          <w:right w:val="nil"/>
          <w:between w:val="nil"/>
        </w:pBdr>
        <w:spacing w:line="360" w:lineRule="auto"/>
        <w:ind w:left="993" w:right="-130"/>
        <w:jc w:val="both"/>
        <w:rPr>
          <w:rFonts w:ascii="Palatino Linotype" w:eastAsia="Palatino Linotype" w:hAnsi="Palatino Linotype" w:cs="Palatino Linotype"/>
          <w:b/>
          <w:color w:val="000000"/>
        </w:rPr>
      </w:pPr>
      <w:r w:rsidRPr="00A84E9E">
        <w:rPr>
          <w:rFonts w:ascii="Palatino Linotype" w:eastAsia="Palatino Linotype" w:hAnsi="Palatino Linotype" w:cs="Palatino Linotype"/>
          <w:b/>
        </w:rPr>
        <w:t>2.</w:t>
      </w:r>
      <w:r w:rsidRPr="00A84E9E">
        <w:rPr>
          <w:rFonts w:ascii="Palatino Linotype" w:eastAsia="Palatino Linotype" w:hAnsi="Palatino Linotype" w:cs="Palatino Linotype"/>
          <w:b/>
          <w:color w:val="000000"/>
        </w:rPr>
        <w:t xml:space="preserve"> Costo total ejercido para la celebr</w:t>
      </w:r>
      <w:r w:rsidR="00F13AAD" w:rsidRPr="00A84E9E">
        <w:rPr>
          <w:rFonts w:ascii="Palatino Linotype" w:eastAsia="Palatino Linotype" w:hAnsi="Palatino Linotype" w:cs="Palatino Linotype"/>
          <w:b/>
          <w:color w:val="000000"/>
        </w:rPr>
        <w:t>ación de la semana cultural al día 25 de octubre de 2024</w:t>
      </w:r>
      <w:r w:rsidRPr="00A84E9E">
        <w:rPr>
          <w:rFonts w:ascii="Palatino Linotype" w:eastAsia="Palatino Linotype" w:hAnsi="Palatino Linotype" w:cs="Palatino Linotype"/>
          <w:b/>
          <w:color w:val="000000"/>
        </w:rPr>
        <w:t>, que incluya la contratación de  grupos, escenarios, artistas, carpas.</w:t>
      </w:r>
    </w:p>
    <w:p w:rsidR="00CC4D88" w:rsidRPr="00A84E9E" w:rsidRDefault="00CC4D88">
      <w:pPr>
        <w:pBdr>
          <w:top w:val="nil"/>
          <w:left w:val="nil"/>
          <w:bottom w:val="nil"/>
          <w:right w:val="nil"/>
          <w:between w:val="nil"/>
        </w:pBdr>
        <w:spacing w:line="360" w:lineRule="auto"/>
        <w:ind w:left="851" w:right="-697"/>
        <w:jc w:val="both"/>
        <w:rPr>
          <w:rFonts w:ascii="Palatino Linotype" w:eastAsia="Palatino Linotype" w:hAnsi="Palatino Linotype" w:cs="Palatino Linotype"/>
          <w:color w:val="000000"/>
        </w:rPr>
      </w:pPr>
    </w:p>
    <w:p w:rsidR="00CC4D88" w:rsidRPr="00A84E9E" w:rsidRDefault="00A41D92">
      <w:pPr>
        <w:spacing w:line="360" w:lineRule="auto"/>
        <w:ind w:right="-697"/>
        <w:jc w:val="both"/>
        <w:rPr>
          <w:rFonts w:ascii="Palatino Linotype" w:eastAsia="Palatino Linotype" w:hAnsi="Palatino Linotype" w:cs="Palatino Linotype"/>
          <w:color w:val="0D0D0D"/>
        </w:rPr>
      </w:pPr>
      <w:bookmarkStart w:id="9" w:name="_heading=h.oa124z5j8n8u" w:colFirst="0" w:colLast="0"/>
      <w:bookmarkEnd w:id="9"/>
      <w:r w:rsidRPr="00A84E9E">
        <w:rPr>
          <w:rFonts w:ascii="Palatino Linotype" w:eastAsia="Palatino Linotype" w:hAnsi="Palatino Linotype" w:cs="Palatino Linotype"/>
          <w:color w:val="0D0D0D"/>
        </w:rPr>
        <w:t>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RECURRENTE.</w:t>
      </w:r>
    </w:p>
    <w:p w:rsidR="00862A19" w:rsidRPr="00A84E9E" w:rsidRDefault="00862A19">
      <w:pPr>
        <w:spacing w:line="360" w:lineRule="auto"/>
        <w:ind w:right="-697"/>
        <w:jc w:val="both"/>
        <w:rPr>
          <w:rFonts w:ascii="Palatino Linotype" w:eastAsia="Palatino Linotype" w:hAnsi="Palatino Linotype" w:cs="Palatino Linotype"/>
          <w:color w:val="0D0D0D"/>
        </w:rPr>
      </w:pPr>
    </w:p>
    <w:p w:rsidR="00CC4D88" w:rsidRPr="00A84E9E" w:rsidRDefault="00CC4D88">
      <w:pPr>
        <w:pBdr>
          <w:top w:val="nil"/>
          <w:left w:val="nil"/>
          <w:bottom w:val="nil"/>
          <w:right w:val="nil"/>
          <w:between w:val="nil"/>
        </w:pBdr>
        <w:spacing w:line="360" w:lineRule="auto"/>
        <w:ind w:left="778" w:right="-697"/>
        <w:jc w:val="both"/>
        <w:rPr>
          <w:rFonts w:ascii="Palatino Linotype" w:eastAsia="Palatino Linotype" w:hAnsi="Palatino Linotype" w:cs="Palatino Linotype"/>
          <w:b/>
          <w:color w:val="000000"/>
        </w:rPr>
      </w:pPr>
    </w:p>
    <w:p w:rsidR="00CC4D88" w:rsidRPr="00A84E9E" w:rsidRDefault="00A41D92">
      <w:pPr>
        <w:spacing w:line="360" w:lineRule="auto"/>
        <w:ind w:right="-697"/>
        <w:jc w:val="both"/>
        <w:rPr>
          <w:rFonts w:ascii="Palatino Linotype" w:eastAsia="Palatino Linotype" w:hAnsi="Palatino Linotype" w:cs="Palatino Linotype"/>
          <w:color w:val="000000"/>
        </w:rPr>
      </w:pPr>
      <w:r w:rsidRPr="00A84E9E">
        <w:rPr>
          <w:rFonts w:ascii="Palatino Linotype" w:eastAsia="Palatino Linotype" w:hAnsi="Palatino Linotype" w:cs="Palatino Linotype"/>
          <w:b/>
          <w:color w:val="000000"/>
        </w:rPr>
        <w:lastRenderedPageBreak/>
        <w:t>TERCERO. NOTIFÍQUESE</w:t>
      </w:r>
      <w:r w:rsidRPr="00A84E9E">
        <w:rPr>
          <w:rFonts w:ascii="Palatino Linotype" w:eastAsia="Palatino Linotype" w:hAnsi="Palatino Linotype" w:cs="Palatino Linotype"/>
          <w:color w:val="000000"/>
        </w:rPr>
        <w:t>, la presente resolución al Titular de la Unidad de Transparencia del Sujeto Obligado vía SAIMEX, para que conforme al artículo 186 último párrafo, 189 segundo párrafo y 194 de la Ley de Transparencia y Acceso a la Información Pública del Estado de México y Municipios;</w:t>
      </w:r>
      <w:r w:rsidRPr="00A84E9E">
        <w:rPr>
          <w:rFonts w:ascii="Palatino Linotype" w:eastAsia="Palatino Linotype" w:hAnsi="Palatino Linotype" w:cs="Palatino Linotype"/>
          <w:b/>
          <w:color w:val="000000"/>
        </w:rPr>
        <w:t xml:space="preserve"> dé cumplimiento a lo ordenado dentro del plazo de diez días hábiles,</w:t>
      </w:r>
      <w:r w:rsidRPr="00A84E9E">
        <w:rPr>
          <w:rFonts w:ascii="Palatino Linotype" w:eastAsia="Palatino Linotype" w:hAnsi="Palatino Linotype" w:cs="Palatino Linotype"/>
          <w:color w:val="000000"/>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C4D88" w:rsidRPr="00A84E9E" w:rsidRDefault="00CC4D88">
      <w:pPr>
        <w:spacing w:line="360" w:lineRule="auto"/>
        <w:ind w:right="-697"/>
        <w:jc w:val="both"/>
        <w:rPr>
          <w:rFonts w:ascii="Palatino Linotype" w:eastAsia="Palatino Linotype" w:hAnsi="Palatino Linotype" w:cs="Palatino Linotype"/>
          <w:color w:val="000000"/>
        </w:rPr>
      </w:pPr>
    </w:p>
    <w:p w:rsidR="00CC4D88" w:rsidRPr="00A84E9E" w:rsidRDefault="00A41D92">
      <w:pPr>
        <w:spacing w:line="360" w:lineRule="auto"/>
        <w:ind w:right="-697"/>
        <w:jc w:val="both"/>
        <w:rPr>
          <w:rFonts w:ascii="Palatino Linotype" w:eastAsia="Palatino Linotype" w:hAnsi="Palatino Linotype" w:cs="Palatino Linotype"/>
          <w:color w:val="000000"/>
        </w:rPr>
      </w:pPr>
      <w:r w:rsidRPr="00A84E9E">
        <w:rPr>
          <w:rFonts w:ascii="Palatino Linotype" w:eastAsia="Palatino Linotype" w:hAnsi="Palatino Linotype" w:cs="Palatino Linotype"/>
          <w:b/>
          <w:color w:val="000000"/>
        </w:rPr>
        <w:t xml:space="preserve">CUARTO. </w:t>
      </w:r>
      <w:r w:rsidRPr="00A84E9E">
        <w:rPr>
          <w:rFonts w:ascii="Palatino Linotype" w:eastAsia="Palatino Linotype" w:hAnsi="Palatino Linotype" w:cs="Palatino Linotype"/>
          <w:color w:val="000000"/>
        </w:rPr>
        <w:t xml:space="preserve">De conformidad con el artículo 198 de la Ley de Transparencia y Acceso a la Información Pública del Estado de México y Municipios, de considerarlo procedente, el </w:t>
      </w:r>
      <w:r w:rsidRPr="00A84E9E">
        <w:rPr>
          <w:rFonts w:ascii="Palatino Linotype" w:eastAsia="Palatino Linotype" w:hAnsi="Palatino Linotype" w:cs="Palatino Linotype"/>
          <w:b/>
          <w:color w:val="000000"/>
        </w:rPr>
        <w:t>SUJETO OBLIGADO</w:t>
      </w:r>
      <w:r w:rsidRPr="00A84E9E">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rsidR="00CC4D88" w:rsidRPr="00A84E9E" w:rsidRDefault="00CC4D88">
      <w:pPr>
        <w:spacing w:line="360" w:lineRule="auto"/>
        <w:ind w:right="-697"/>
        <w:jc w:val="both"/>
        <w:rPr>
          <w:rFonts w:ascii="Palatino Linotype" w:eastAsia="Palatino Linotype" w:hAnsi="Palatino Linotype" w:cs="Palatino Linotype"/>
          <w:color w:val="000000"/>
        </w:rPr>
      </w:pPr>
    </w:p>
    <w:p w:rsidR="00CC4D88" w:rsidRPr="00A84E9E" w:rsidRDefault="00A41D92">
      <w:pPr>
        <w:spacing w:line="360" w:lineRule="auto"/>
        <w:ind w:right="-697"/>
        <w:jc w:val="both"/>
        <w:rPr>
          <w:rFonts w:ascii="Palatino Linotype" w:eastAsia="Palatino Linotype" w:hAnsi="Palatino Linotype" w:cs="Palatino Linotype"/>
          <w:color w:val="000000"/>
        </w:rPr>
      </w:pPr>
      <w:r w:rsidRPr="00A84E9E">
        <w:rPr>
          <w:rFonts w:ascii="Palatino Linotype" w:eastAsia="Palatino Linotype" w:hAnsi="Palatino Linotype" w:cs="Palatino Linotype"/>
          <w:b/>
          <w:color w:val="000000"/>
        </w:rPr>
        <w:t>QUINTO.</w:t>
      </w:r>
      <w:r w:rsidRPr="00A84E9E">
        <w:rPr>
          <w:rFonts w:ascii="Palatino Linotype" w:eastAsia="Palatino Linotype" w:hAnsi="Palatino Linotype" w:cs="Palatino Linotype"/>
          <w:color w:val="000000"/>
        </w:rPr>
        <w:t xml:space="preserve"> Notifíquese a </w:t>
      </w:r>
      <w:r w:rsidRPr="00A84E9E">
        <w:rPr>
          <w:rFonts w:ascii="Palatino Linotype" w:eastAsia="Palatino Linotype" w:hAnsi="Palatino Linotype" w:cs="Palatino Linotype"/>
          <w:b/>
          <w:color w:val="000000"/>
        </w:rPr>
        <w:t>EL RECURRENTE</w:t>
      </w:r>
      <w:r w:rsidRPr="00A84E9E">
        <w:rPr>
          <w:rFonts w:ascii="Palatino Linotype" w:eastAsia="Palatino Linotype" w:hAnsi="Palatino Linotype" w:cs="Palatino Linotype"/>
          <w:color w:val="000000"/>
        </w:rPr>
        <w:t xml:space="preserve"> la presente resolución, vía </w:t>
      </w:r>
      <w:r w:rsidR="00862A19" w:rsidRPr="00A84E9E">
        <w:rPr>
          <w:rFonts w:ascii="Palatino Linotype" w:eastAsia="Palatino Linotype" w:hAnsi="Palatino Linotype" w:cs="Palatino Linotype"/>
          <w:b/>
          <w:color w:val="000000"/>
        </w:rPr>
        <w:t>SAIMEX</w:t>
      </w:r>
      <w:r w:rsidRPr="00A84E9E">
        <w:rPr>
          <w:rFonts w:ascii="Palatino Linotype" w:eastAsia="Palatino Linotype" w:hAnsi="Palatino Linotype" w:cs="Palatino Linotype"/>
          <w:color w:val="000000"/>
        </w:rPr>
        <w:t>.</w:t>
      </w:r>
      <w:r w:rsidR="00BF2451" w:rsidRPr="00A84E9E">
        <w:rPr>
          <w:rFonts w:ascii="Palatino Linotype" w:eastAsia="Palatino Linotype" w:hAnsi="Palatino Linotype" w:cs="Palatino Linotype"/>
          <w:color w:val="000000"/>
        </w:rPr>
        <w:t xml:space="preserve"> </w:t>
      </w:r>
    </w:p>
    <w:p w:rsidR="00CC4D88" w:rsidRPr="00A84E9E" w:rsidRDefault="00CC4D88">
      <w:pPr>
        <w:spacing w:line="360" w:lineRule="auto"/>
        <w:ind w:right="-697"/>
        <w:jc w:val="both"/>
        <w:rPr>
          <w:rFonts w:ascii="Palatino Linotype" w:eastAsia="Palatino Linotype" w:hAnsi="Palatino Linotype" w:cs="Palatino Linotype"/>
          <w:color w:val="000000"/>
        </w:rPr>
      </w:pPr>
    </w:p>
    <w:p w:rsidR="00CC4D88" w:rsidRPr="00A84E9E" w:rsidRDefault="00A41D92">
      <w:pPr>
        <w:spacing w:line="360" w:lineRule="auto"/>
        <w:ind w:right="-697"/>
        <w:jc w:val="both"/>
        <w:rPr>
          <w:rFonts w:ascii="Palatino Linotype" w:eastAsia="Palatino Linotype" w:hAnsi="Palatino Linotype" w:cs="Palatino Linotype"/>
          <w:color w:val="000000"/>
        </w:rPr>
      </w:pPr>
      <w:r w:rsidRPr="00A84E9E">
        <w:rPr>
          <w:rFonts w:ascii="Palatino Linotype" w:eastAsia="Palatino Linotype" w:hAnsi="Palatino Linotype" w:cs="Palatino Linotype"/>
          <w:b/>
          <w:color w:val="000000"/>
        </w:rPr>
        <w:t>SEXTO.</w:t>
      </w:r>
      <w:r w:rsidRPr="00A84E9E">
        <w:rPr>
          <w:rFonts w:ascii="Palatino Linotype" w:eastAsia="Palatino Linotype" w:hAnsi="Palatino Linotype" w:cs="Palatino Linotype"/>
          <w:color w:val="000000"/>
        </w:rPr>
        <w:t xml:space="preserve"> Se hace del conocimiento de </w:t>
      </w:r>
      <w:r w:rsidRPr="00A84E9E">
        <w:rPr>
          <w:rFonts w:ascii="Palatino Linotype" w:eastAsia="Palatino Linotype" w:hAnsi="Palatino Linotype" w:cs="Palatino Linotype"/>
          <w:b/>
          <w:color w:val="000000"/>
        </w:rPr>
        <w:t>EL RECURRENTE</w:t>
      </w:r>
      <w:r w:rsidRPr="00A84E9E">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A84E9E">
        <w:rPr>
          <w:rFonts w:ascii="Palatino Linotype" w:eastAsia="Palatino Linotype" w:hAnsi="Palatino Linotype" w:cs="Palatino Linotype"/>
        </w:rPr>
        <w:t>impugnar vía</w:t>
      </w:r>
      <w:r w:rsidRPr="00A84E9E">
        <w:rPr>
          <w:rFonts w:ascii="Palatino Linotype" w:eastAsia="Palatino Linotype" w:hAnsi="Palatino Linotype" w:cs="Palatino Linotype"/>
          <w:color w:val="000000"/>
        </w:rPr>
        <w:t xml:space="preserve"> juicio de amparo en los términos de las leyes aplicables.</w:t>
      </w:r>
    </w:p>
    <w:p w:rsidR="00CC4D88" w:rsidRPr="00A84E9E" w:rsidRDefault="00CC4D88">
      <w:pPr>
        <w:spacing w:line="360" w:lineRule="auto"/>
        <w:ind w:right="-697"/>
        <w:jc w:val="both"/>
        <w:rPr>
          <w:rFonts w:ascii="Palatino Linotype" w:eastAsia="Palatino Linotype" w:hAnsi="Palatino Linotype" w:cs="Palatino Linotype"/>
          <w:color w:val="000000"/>
        </w:rPr>
      </w:pPr>
    </w:p>
    <w:p w:rsidR="00381666" w:rsidRPr="003C7186" w:rsidRDefault="00381666" w:rsidP="00381666">
      <w:pPr>
        <w:spacing w:line="360" w:lineRule="auto"/>
        <w:ind w:left="-142" w:right="-234" w:firstLine="1"/>
        <w:jc w:val="both"/>
        <w:rPr>
          <w:rFonts w:ascii="Palatino Linotype" w:hAnsi="Palatino Linotype"/>
        </w:rPr>
      </w:pPr>
      <w:r w:rsidRPr="00A84E9E">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10" w:name="_GoBack"/>
      <w:bookmarkEnd w:id="10"/>
      <w:r w:rsidRPr="003C7186">
        <w:rPr>
          <w:rFonts w:ascii="Palatino Linotype" w:hAnsi="Palatino Linotype"/>
        </w:rPr>
        <w:t xml:space="preserve"> </w:t>
      </w:r>
    </w:p>
    <w:p w:rsidR="00CC4D88" w:rsidRDefault="00CC4D88">
      <w:pPr>
        <w:tabs>
          <w:tab w:val="left" w:pos="3374"/>
        </w:tabs>
        <w:spacing w:line="360" w:lineRule="auto"/>
        <w:ind w:right="-697"/>
        <w:rPr>
          <w:rFonts w:ascii="Palatino Linotype" w:eastAsia="Palatino Linotype" w:hAnsi="Palatino Linotype" w:cs="Palatino Linotype"/>
        </w:rPr>
      </w:pPr>
    </w:p>
    <w:p w:rsidR="00CC4D88" w:rsidRDefault="00CC4D88">
      <w:pPr>
        <w:ind w:right="-697"/>
      </w:pPr>
    </w:p>
    <w:sectPr w:rsidR="00CC4D88">
      <w:headerReference w:type="even" r:id="rId12"/>
      <w:headerReference w:type="default" r:id="rId13"/>
      <w:footerReference w:type="default" r:id="rId14"/>
      <w:headerReference w:type="first" r:id="rId15"/>
      <w:footerReference w:type="first" r:id="rId16"/>
      <w:pgSz w:w="12240" w:h="15840"/>
      <w:pgMar w:top="2268" w:right="1608"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5B5" w:rsidRDefault="00B865B5">
      <w:r>
        <w:separator/>
      </w:r>
    </w:p>
  </w:endnote>
  <w:endnote w:type="continuationSeparator" w:id="0">
    <w:p w:rsidR="00B865B5" w:rsidRDefault="00B8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92" w:rsidRDefault="00A41D9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84E9E">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84E9E">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p>
  <w:p w:rsidR="00A41D92" w:rsidRDefault="00A41D9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92" w:rsidRDefault="00A41D9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84E9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84E9E">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p>
  <w:p w:rsidR="00A41D92" w:rsidRDefault="00A41D9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5B5" w:rsidRDefault="00B865B5">
      <w:r>
        <w:separator/>
      </w:r>
    </w:p>
  </w:footnote>
  <w:footnote w:type="continuationSeparator" w:id="0">
    <w:p w:rsidR="00B865B5" w:rsidRDefault="00B865B5">
      <w:r>
        <w:continuationSeparator/>
      </w:r>
    </w:p>
  </w:footnote>
  <w:footnote w:id="1">
    <w:p w:rsidR="00A41D92" w:rsidRDefault="00A41D9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150. Ley de Transparencia y Acceso a la Información Pública del Estado de México y Municipios.</w:t>
      </w:r>
    </w:p>
    <w:p w:rsidR="00A41D92" w:rsidRDefault="00A41D92">
      <w:pPr>
        <w:pBdr>
          <w:top w:val="nil"/>
          <w:left w:val="nil"/>
          <w:bottom w:val="nil"/>
          <w:right w:val="nil"/>
          <w:between w:val="nil"/>
        </w:pBdr>
        <w:rPr>
          <w:rFonts w:eastAsia="Calibri"/>
          <w:color w:val="000000"/>
          <w:sz w:val="20"/>
          <w:szCs w:val="20"/>
        </w:rPr>
      </w:pPr>
      <w:r>
        <w:rPr>
          <w:rFonts w:eastAsia="Calibri"/>
          <w:color w:val="000000"/>
          <w:sz w:val="20"/>
          <w:szCs w:val="20"/>
        </w:rPr>
        <w:t>Artículo 151. Ibídem.</w:t>
      </w:r>
    </w:p>
  </w:footnote>
  <w:footnote w:id="2">
    <w:p w:rsidR="00A41D92" w:rsidRDefault="00A41D9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92" w:rsidRDefault="00B865B5">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92" w:rsidRDefault="00A41D92">
    <w:pPr>
      <w:widowControl w:val="0"/>
      <w:pBdr>
        <w:top w:val="nil"/>
        <w:left w:val="nil"/>
        <w:bottom w:val="nil"/>
        <w:right w:val="nil"/>
        <w:between w:val="nil"/>
      </w:pBdr>
      <w:spacing w:line="276" w:lineRule="auto"/>
      <w:rPr>
        <w:color w:val="000000"/>
      </w:rPr>
    </w:pPr>
  </w:p>
  <w:tbl>
    <w:tblPr>
      <w:tblStyle w:val="a3"/>
      <w:tblW w:w="6519" w:type="dxa"/>
      <w:tblInd w:w="2694" w:type="dxa"/>
      <w:tblLayout w:type="fixed"/>
      <w:tblLook w:val="0400" w:firstRow="0" w:lastRow="0" w:firstColumn="0" w:lastColumn="0" w:noHBand="0" w:noVBand="1"/>
    </w:tblPr>
    <w:tblGrid>
      <w:gridCol w:w="2976"/>
      <w:gridCol w:w="3543"/>
    </w:tblGrid>
    <w:tr w:rsidR="00A41D92">
      <w:trPr>
        <w:trHeight w:val="227"/>
      </w:trPr>
      <w:tc>
        <w:tcPr>
          <w:tcW w:w="2976" w:type="dxa"/>
          <w:vAlign w:val="center"/>
        </w:tcPr>
        <w:p w:rsidR="00A41D92" w:rsidRDefault="00A41D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A41D92" w:rsidRDefault="00A41D9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07283/INFOEM/IP/RR/2024</w:t>
          </w:r>
        </w:p>
      </w:tc>
    </w:tr>
    <w:tr w:rsidR="00A41D92">
      <w:trPr>
        <w:trHeight w:val="242"/>
      </w:trPr>
      <w:tc>
        <w:tcPr>
          <w:tcW w:w="2976" w:type="dxa"/>
          <w:vAlign w:val="center"/>
        </w:tcPr>
        <w:p w:rsidR="00A41D92" w:rsidRDefault="00A41D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A41D92" w:rsidRDefault="00A41D9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Tepotzotlán</w:t>
          </w:r>
        </w:p>
      </w:tc>
    </w:tr>
    <w:tr w:rsidR="00A41D92">
      <w:trPr>
        <w:trHeight w:val="342"/>
      </w:trPr>
      <w:tc>
        <w:tcPr>
          <w:tcW w:w="2976" w:type="dxa"/>
          <w:vAlign w:val="center"/>
        </w:tcPr>
        <w:p w:rsidR="00A41D92" w:rsidRDefault="00A41D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A41D92" w:rsidRDefault="00A41D9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41D92" w:rsidRDefault="00B865B5">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92" w:rsidRDefault="00A41D92">
    <w:pPr>
      <w:widowControl w:val="0"/>
      <w:pBdr>
        <w:top w:val="nil"/>
        <w:left w:val="nil"/>
        <w:bottom w:val="nil"/>
        <w:right w:val="nil"/>
        <w:between w:val="nil"/>
      </w:pBdr>
      <w:spacing w:line="276" w:lineRule="auto"/>
      <w:rPr>
        <w:color w:val="000000"/>
        <w:sz w:val="14"/>
        <w:szCs w:val="14"/>
      </w:rPr>
    </w:pPr>
  </w:p>
  <w:tbl>
    <w:tblPr>
      <w:tblStyle w:val="a4"/>
      <w:tblW w:w="6660" w:type="dxa"/>
      <w:tblInd w:w="2552" w:type="dxa"/>
      <w:tblLayout w:type="fixed"/>
      <w:tblLook w:val="0400" w:firstRow="0" w:lastRow="0" w:firstColumn="0" w:lastColumn="0" w:noHBand="0" w:noVBand="1"/>
    </w:tblPr>
    <w:tblGrid>
      <w:gridCol w:w="2977"/>
      <w:gridCol w:w="3683"/>
    </w:tblGrid>
    <w:tr w:rsidR="00A41D92">
      <w:trPr>
        <w:trHeight w:val="227"/>
      </w:trPr>
      <w:tc>
        <w:tcPr>
          <w:tcW w:w="2977" w:type="dxa"/>
          <w:vAlign w:val="center"/>
        </w:tcPr>
        <w:p w:rsidR="00A41D92" w:rsidRDefault="00A41D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A41D92" w:rsidRDefault="00A41D9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07283/INFOEM/IP/RR/2024</w:t>
          </w:r>
        </w:p>
      </w:tc>
    </w:tr>
    <w:tr w:rsidR="00A41D92">
      <w:trPr>
        <w:trHeight w:val="242"/>
      </w:trPr>
      <w:tc>
        <w:tcPr>
          <w:tcW w:w="2977" w:type="dxa"/>
          <w:vAlign w:val="center"/>
        </w:tcPr>
        <w:p w:rsidR="00A41D92" w:rsidRDefault="00A41D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A41D92" w:rsidRDefault="00A84E9E">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XXXXXXXX</w:t>
          </w:r>
        </w:p>
      </w:tc>
    </w:tr>
    <w:tr w:rsidR="00A41D92">
      <w:trPr>
        <w:trHeight w:val="342"/>
      </w:trPr>
      <w:tc>
        <w:tcPr>
          <w:tcW w:w="2977" w:type="dxa"/>
          <w:vAlign w:val="center"/>
        </w:tcPr>
        <w:p w:rsidR="00A41D92" w:rsidRDefault="00A41D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A41D92" w:rsidRDefault="00A41D9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Tepotzotlán</w:t>
          </w:r>
        </w:p>
      </w:tc>
    </w:tr>
    <w:tr w:rsidR="00A41D92">
      <w:trPr>
        <w:trHeight w:val="342"/>
      </w:trPr>
      <w:tc>
        <w:tcPr>
          <w:tcW w:w="2977" w:type="dxa"/>
          <w:vAlign w:val="center"/>
        </w:tcPr>
        <w:p w:rsidR="00A41D92" w:rsidRDefault="00A41D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A41D92" w:rsidRDefault="00A41D9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41D92" w:rsidRDefault="00B865B5">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491C"/>
    <w:multiLevelType w:val="multilevel"/>
    <w:tmpl w:val="F402AAE8"/>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C0E1532"/>
    <w:multiLevelType w:val="multilevel"/>
    <w:tmpl w:val="BF06FD88"/>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2" w15:restartNumberingAfterBreak="0">
    <w:nsid w:val="13EA1D1E"/>
    <w:multiLevelType w:val="multilevel"/>
    <w:tmpl w:val="88685E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7A261F7"/>
    <w:multiLevelType w:val="multilevel"/>
    <w:tmpl w:val="1A5C998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8275C"/>
    <w:multiLevelType w:val="multilevel"/>
    <w:tmpl w:val="554E2D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0F5146"/>
    <w:multiLevelType w:val="multilevel"/>
    <w:tmpl w:val="42C01B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88"/>
    <w:rsid w:val="00023754"/>
    <w:rsid w:val="00381666"/>
    <w:rsid w:val="00683045"/>
    <w:rsid w:val="00685EE5"/>
    <w:rsid w:val="006B06A3"/>
    <w:rsid w:val="00862A19"/>
    <w:rsid w:val="008D18F0"/>
    <w:rsid w:val="00927E6B"/>
    <w:rsid w:val="00A41D92"/>
    <w:rsid w:val="00A84E9E"/>
    <w:rsid w:val="00AB1214"/>
    <w:rsid w:val="00B45821"/>
    <w:rsid w:val="00B865B5"/>
    <w:rsid w:val="00BF2451"/>
    <w:rsid w:val="00C417F6"/>
    <w:rsid w:val="00CC4D88"/>
    <w:rsid w:val="00E800B2"/>
    <w:rsid w:val="00F13A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15F1E23-651C-4402-8467-863DCCC3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1B4"/>
    <w:rPr>
      <w:rFonts w:eastAsiaTheme="minorEastAsia"/>
      <w:lang w:eastAsia="es-ES"/>
    </w:rPr>
  </w:style>
  <w:style w:type="paragraph" w:styleId="Ttulo1">
    <w:name w:val="heading 1"/>
    <w:basedOn w:val="Normal"/>
    <w:next w:val="Normal"/>
    <w:link w:val="Ttulo1Car"/>
    <w:uiPriority w:val="1"/>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rsid w:val="004C20DC"/>
    <w:pPr>
      <w:spacing w:before="120" w:after="120"/>
      <w:ind w:left="283"/>
      <w:jc w:val="center"/>
    </w:pPr>
    <w:rPr>
      <w:rFonts w:eastAsia="Calibri" w:cs="Times New Roman"/>
      <w:sz w:val="22"/>
      <w:szCs w:val="22"/>
      <w:lang w:val="x-none" w:eastAsia="en-US"/>
    </w:rPr>
  </w:style>
  <w:style w:type="character" w:customStyle="1" w:styleId="SangradetextonormalCar">
    <w:name w:val="Sangría de texto normal Car"/>
    <w:basedOn w:val="Fuentedeprrafopredeter"/>
    <w:link w:val="Sangradetextonormal"/>
    <w:rsid w:val="004C20DC"/>
    <w:rPr>
      <w:rFonts w:ascii="Calibri" w:eastAsia="Calibri" w:hAnsi="Calibri" w:cs="Times New Roman"/>
      <w:lang w:val="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4ZQvcOuitq5ndHfrLxpgzjJmnw==">CgMxLjAyCGguZ2pkZ3hzMgloLjMwajB6bGwyCWguMWZvYjl0ZTIJaC4zem55c2g3MgloLjJldDkycDAyCGgudHlqY3d0MgloLjNkeTZ2a20yCWguMnM4ZXlvMTIIaC5sbnhiejkyDmgub2ExMjR6NWo4bjh1OAByITFHU0lTRG1QUDRlalRYR3Nma3NKTE5oSjQ3Nm1xeWJGUA==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43</Pages>
  <Words>10100</Words>
  <Characters>55551</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7</cp:revision>
  <dcterms:created xsi:type="dcterms:W3CDTF">2025-01-21T01:20:00Z</dcterms:created>
  <dcterms:modified xsi:type="dcterms:W3CDTF">2025-02-10T23:12:00Z</dcterms:modified>
</cp:coreProperties>
</file>