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348" w:rsidRDefault="00FD6348">
      <w:pPr>
        <w:widowControl w:val="0"/>
        <w:pBdr>
          <w:top w:val="nil"/>
          <w:left w:val="nil"/>
          <w:bottom w:val="nil"/>
          <w:right w:val="nil"/>
          <w:between w:val="nil"/>
        </w:pBdr>
        <w:spacing w:line="276" w:lineRule="auto"/>
      </w:pPr>
    </w:p>
    <w:p w:rsidR="00FD6348" w:rsidRDefault="00FD6348">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FD6348" w:rsidRDefault="00477E34">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12956/INFOEM/IP/RR/2025</w:t>
      </w:r>
    </w:p>
    <w:p w:rsidR="00FD6348" w:rsidRDefault="00FD6348">
      <w:pPr>
        <w:spacing w:line="360" w:lineRule="auto"/>
      </w:pPr>
    </w:p>
    <w:p w:rsidR="00FD6348" w:rsidRDefault="00FD6348">
      <w:pPr>
        <w:spacing w:line="360" w:lineRule="auto"/>
        <w:jc w:val="both"/>
      </w:pPr>
    </w:p>
    <w:sdt>
      <w:sdtPr>
        <w:rPr>
          <w:lang w:val="es-ES"/>
        </w:rPr>
        <w:id w:val="-1873915860"/>
        <w:docPartObj>
          <w:docPartGallery w:val="Table of Contents"/>
          <w:docPartUnique/>
        </w:docPartObj>
      </w:sdtPr>
      <w:sdtEndPr>
        <w:rPr>
          <w:b/>
          <w:bCs/>
        </w:rPr>
      </w:sdtEndPr>
      <w:sdtContent>
        <w:p w:rsidR="00D02D25" w:rsidRDefault="00D02D25">
          <w:pPr>
            <w:pStyle w:val="TtulodeTDC"/>
          </w:pPr>
        </w:p>
        <w:p w:rsidR="00D02D25" w:rsidRPr="00B87133" w:rsidRDefault="00D02D25">
          <w:pPr>
            <w:pStyle w:val="TDC1"/>
            <w:rPr>
              <w:rFonts w:ascii="Palatino Linotype" w:eastAsiaTheme="minorEastAsia" w:hAnsi="Palatino Linotype" w:cstheme="minorBidi"/>
              <w:noProof/>
              <w:sz w:val="22"/>
              <w:szCs w:val="22"/>
            </w:rPr>
          </w:pPr>
          <w:r w:rsidRPr="00B87133">
            <w:rPr>
              <w:rFonts w:ascii="Palatino Linotype" w:hAnsi="Palatino Linotype"/>
              <w:b/>
              <w:bCs/>
              <w:sz w:val="22"/>
              <w:szCs w:val="22"/>
              <w:lang w:val="es-ES"/>
            </w:rPr>
            <w:fldChar w:fldCharType="begin"/>
          </w:r>
          <w:r w:rsidRPr="00B87133">
            <w:rPr>
              <w:rFonts w:ascii="Palatino Linotype" w:hAnsi="Palatino Linotype"/>
              <w:b/>
              <w:bCs/>
              <w:sz w:val="22"/>
              <w:szCs w:val="22"/>
              <w:lang w:val="es-ES"/>
            </w:rPr>
            <w:instrText xml:space="preserve"> TOC \o "1-3" \h \z \u </w:instrText>
          </w:r>
          <w:r w:rsidRPr="00B87133">
            <w:rPr>
              <w:rFonts w:ascii="Palatino Linotype" w:hAnsi="Palatino Linotype"/>
              <w:b/>
              <w:bCs/>
              <w:sz w:val="22"/>
              <w:szCs w:val="22"/>
              <w:lang w:val="es-ES"/>
            </w:rPr>
            <w:fldChar w:fldCharType="separate"/>
          </w:r>
          <w:hyperlink w:anchor="_Toc215758525" w:history="1">
            <w:r w:rsidRPr="00B87133">
              <w:rPr>
                <w:rStyle w:val="Hipervnculo"/>
                <w:rFonts w:ascii="Palatino Linotype" w:hAnsi="Palatino Linotype"/>
                <w:noProof/>
                <w:sz w:val="22"/>
                <w:szCs w:val="22"/>
              </w:rPr>
              <w:t>A N T E C E D E N T E S</w:t>
            </w:r>
            <w:r w:rsidRPr="00B87133">
              <w:rPr>
                <w:rFonts w:ascii="Palatino Linotype" w:hAnsi="Palatino Linotype"/>
                <w:noProof/>
                <w:webHidden/>
                <w:sz w:val="22"/>
                <w:szCs w:val="22"/>
              </w:rPr>
              <w:tab/>
            </w:r>
            <w:r w:rsidRPr="00B87133">
              <w:rPr>
                <w:rFonts w:ascii="Palatino Linotype" w:hAnsi="Palatino Linotype"/>
                <w:noProof/>
                <w:webHidden/>
                <w:sz w:val="22"/>
                <w:szCs w:val="22"/>
              </w:rPr>
              <w:fldChar w:fldCharType="begin"/>
            </w:r>
            <w:r w:rsidRPr="00B87133">
              <w:rPr>
                <w:rFonts w:ascii="Palatino Linotype" w:hAnsi="Palatino Linotype"/>
                <w:noProof/>
                <w:webHidden/>
                <w:sz w:val="22"/>
                <w:szCs w:val="22"/>
              </w:rPr>
              <w:instrText xml:space="preserve"> PAGEREF _Toc215758525 \h </w:instrText>
            </w:r>
            <w:r w:rsidRPr="00B87133">
              <w:rPr>
                <w:rFonts w:ascii="Palatino Linotype" w:hAnsi="Palatino Linotype"/>
                <w:noProof/>
                <w:webHidden/>
                <w:sz w:val="22"/>
                <w:szCs w:val="22"/>
              </w:rPr>
            </w:r>
            <w:r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2</w:t>
            </w:r>
            <w:r w:rsidRPr="00B87133">
              <w:rPr>
                <w:rFonts w:ascii="Palatino Linotype" w:hAnsi="Palatino Linotype"/>
                <w:noProof/>
                <w:webHidden/>
                <w:sz w:val="22"/>
                <w:szCs w:val="22"/>
              </w:rPr>
              <w:fldChar w:fldCharType="end"/>
            </w:r>
          </w:hyperlink>
        </w:p>
        <w:p w:rsidR="00D02D25" w:rsidRPr="00B87133" w:rsidRDefault="0061156D">
          <w:pPr>
            <w:pStyle w:val="TDC2"/>
            <w:tabs>
              <w:tab w:val="right" w:leader="dot" w:pos="9034"/>
            </w:tabs>
            <w:rPr>
              <w:rFonts w:ascii="Palatino Linotype" w:eastAsiaTheme="minorEastAsia" w:hAnsi="Palatino Linotype" w:cstheme="minorBidi"/>
              <w:noProof/>
              <w:sz w:val="22"/>
              <w:szCs w:val="22"/>
            </w:rPr>
          </w:pPr>
          <w:hyperlink w:anchor="_Toc215758526" w:history="1">
            <w:r w:rsidR="00D02D25" w:rsidRPr="00B87133">
              <w:rPr>
                <w:rStyle w:val="Hipervnculo"/>
                <w:rFonts w:ascii="Palatino Linotype" w:hAnsi="Palatino Linotype"/>
                <w:noProof/>
                <w:sz w:val="22"/>
                <w:szCs w:val="22"/>
              </w:rPr>
              <w:t>I. Presentación de la solicitud de información</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_Toc215758526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2</w:t>
            </w:r>
            <w:r w:rsidR="00D02D25" w:rsidRPr="00B87133">
              <w:rPr>
                <w:rFonts w:ascii="Palatino Linotype" w:hAnsi="Palatino Linotype"/>
                <w:noProof/>
                <w:webHidden/>
                <w:sz w:val="22"/>
                <w:szCs w:val="22"/>
              </w:rPr>
              <w:fldChar w:fldCharType="end"/>
            </w:r>
          </w:hyperlink>
        </w:p>
        <w:p w:rsidR="00D02D25" w:rsidRPr="00B87133" w:rsidRDefault="0061156D">
          <w:pPr>
            <w:pStyle w:val="TDC2"/>
            <w:tabs>
              <w:tab w:val="right" w:leader="dot" w:pos="9034"/>
            </w:tabs>
            <w:rPr>
              <w:rFonts w:ascii="Palatino Linotype" w:eastAsiaTheme="minorEastAsia" w:hAnsi="Palatino Linotype" w:cstheme="minorBidi"/>
              <w:noProof/>
              <w:sz w:val="22"/>
              <w:szCs w:val="22"/>
            </w:rPr>
          </w:pPr>
          <w:hyperlink w:anchor="_Toc215758527" w:history="1">
            <w:r w:rsidR="00D02D25" w:rsidRPr="00B87133">
              <w:rPr>
                <w:rStyle w:val="Hipervnculo"/>
                <w:rFonts w:ascii="Palatino Linotype" w:hAnsi="Palatino Linotype"/>
                <w:noProof/>
                <w:sz w:val="22"/>
                <w:szCs w:val="22"/>
              </w:rPr>
              <w:t>II. Respuesta del Sujeto Obligado</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_Toc215758527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3</w:t>
            </w:r>
            <w:r w:rsidR="00D02D25" w:rsidRPr="00B87133">
              <w:rPr>
                <w:rFonts w:ascii="Palatino Linotype" w:hAnsi="Palatino Linotype"/>
                <w:noProof/>
                <w:webHidden/>
                <w:sz w:val="22"/>
                <w:szCs w:val="22"/>
              </w:rPr>
              <w:fldChar w:fldCharType="end"/>
            </w:r>
          </w:hyperlink>
        </w:p>
        <w:p w:rsidR="00D02D25" w:rsidRPr="00B87133" w:rsidRDefault="0061156D">
          <w:pPr>
            <w:pStyle w:val="TDC2"/>
            <w:tabs>
              <w:tab w:val="right" w:leader="dot" w:pos="9034"/>
            </w:tabs>
            <w:rPr>
              <w:rFonts w:ascii="Palatino Linotype" w:eastAsiaTheme="minorEastAsia" w:hAnsi="Palatino Linotype" w:cstheme="minorBidi"/>
              <w:noProof/>
              <w:sz w:val="22"/>
              <w:szCs w:val="22"/>
            </w:rPr>
          </w:pPr>
          <w:hyperlink w:anchor="_Toc215758528" w:history="1">
            <w:r w:rsidR="00D02D25" w:rsidRPr="00B87133">
              <w:rPr>
                <w:rStyle w:val="Hipervnculo"/>
                <w:rFonts w:ascii="Palatino Linotype" w:hAnsi="Palatino Linotype"/>
                <w:noProof/>
                <w:sz w:val="22"/>
                <w:szCs w:val="22"/>
              </w:rPr>
              <w:t>III. Interposición del Recurso de Revisión</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_Toc215758528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3</w:t>
            </w:r>
            <w:r w:rsidR="00D02D25" w:rsidRPr="00B87133">
              <w:rPr>
                <w:rFonts w:ascii="Palatino Linotype" w:hAnsi="Palatino Linotype"/>
                <w:noProof/>
                <w:webHidden/>
                <w:sz w:val="22"/>
                <w:szCs w:val="22"/>
              </w:rPr>
              <w:fldChar w:fldCharType="end"/>
            </w:r>
          </w:hyperlink>
        </w:p>
        <w:p w:rsidR="00D02D25" w:rsidRPr="00B87133" w:rsidRDefault="0061156D">
          <w:pPr>
            <w:pStyle w:val="TDC2"/>
            <w:tabs>
              <w:tab w:val="right" w:leader="dot" w:pos="9034"/>
            </w:tabs>
            <w:rPr>
              <w:rFonts w:ascii="Palatino Linotype" w:eastAsiaTheme="minorEastAsia" w:hAnsi="Palatino Linotype" w:cstheme="minorBidi"/>
              <w:noProof/>
              <w:sz w:val="22"/>
              <w:szCs w:val="22"/>
            </w:rPr>
          </w:pPr>
          <w:hyperlink w:anchor="_Toc215758529" w:history="1">
            <w:r w:rsidR="00D02D25" w:rsidRPr="00B87133">
              <w:rPr>
                <w:rStyle w:val="Hipervnculo"/>
                <w:rFonts w:ascii="Palatino Linotype" w:hAnsi="Palatino Linotype"/>
                <w:noProof/>
                <w:sz w:val="22"/>
                <w:szCs w:val="22"/>
              </w:rPr>
              <w:t>IV. Trámite del Recurso de Revisión ante el Instituto</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_Toc215758529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4</w:t>
            </w:r>
            <w:r w:rsidR="00D02D25" w:rsidRPr="00B87133">
              <w:rPr>
                <w:rFonts w:ascii="Palatino Linotype" w:hAnsi="Palatino Linotype"/>
                <w:noProof/>
                <w:webHidden/>
                <w:sz w:val="22"/>
                <w:szCs w:val="22"/>
              </w:rPr>
              <w:fldChar w:fldCharType="end"/>
            </w:r>
          </w:hyperlink>
        </w:p>
        <w:p w:rsidR="00D02D25" w:rsidRPr="00B87133" w:rsidRDefault="0061156D">
          <w:pPr>
            <w:pStyle w:val="TDC1"/>
            <w:rPr>
              <w:rFonts w:ascii="Palatino Linotype" w:eastAsiaTheme="minorEastAsia" w:hAnsi="Palatino Linotype" w:cstheme="minorBidi"/>
              <w:noProof/>
              <w:sz w:val="22"/>
              <w:szCs w:val="22"/>
            </w:rPr>
          </w:pPr>
          <w:hyperlink w:anchor="_Toc215758530" w:history="1">
            <w:r w:rsidR="00D02D25" w:rsidRPr="00B87133">
              <w:rPr>
                <w:rStyle w:val="Hipervnculo"/>
                <w:rFonts w:ascii="Palatino Linotype" w:hAnsi="Palatino Linotype"/>
                <w:noProof/>
                <w:sz w:val="22"/>
                <w:szCs w:val="22"/>
              </w:rPr>
              <w:t>C O N S I D E R A N D O S</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_Toc215758530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5</w:t>
            </w:r>
            <w:r w:rsidR="00D02D25" w:rsidRPr="00B87133">
              <w:rPr>
                <w:rFonts w:ascii="Palatino Linotype" w:hAnsi="Palatino Linotype"/>
                <w:noProof/>
                <w:webHidden/>
                <w:sz w:val="22"/>
                <w:szCs w:val="22"/>
              </w:rPr>
              <w:fldChar w:fldCharType="end"/>
            </w:r>
          </w:hyperlink>
        </w:p>
        <w:p w:rsidR="00D02D25" w:rsidRPr="00B87133" w:rsidRDefault="0061156D">
          <w:pPr>
            <w:pStyle w:val="TDC2"/>
            <w:tabs>
              <w:tab w:val="right" w:leader="dot" w:pos="9034"/>
            </w:tabs>
            <w:rPr>
              <w:rFonts w:ascii="Palatino Linotype" w:eastAsiaTheme="minorEastAsia" w:hAnsi="Palatino Linotype" w:cstheme="minorBidi"/>
              <w:noProof/>
              <w:sz w:val="22"/>
              <w:szCs w:val="22"/>
            </w:rPr>
          </w:pPr>
          <w:hyperlink w:anchor="_Toc215758531" w:history="1">
            <w:r w:rsidR="00D02D25" w:rsidRPr="00B87133">
              <w:rPr>
                <w:rStyle w:val="Hipervnculo"/>
                <w:rFonts w:ascii="Palatino Linotype" w:hAnsi="Palatino Linotype"/>
                <w:noProof/>
                <w:sz w:val="22"/>
                <w:szCs w:val="22"/>
              </w:rPr>
              <w:t>PRIMERO. Competencia</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_Toc215758531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5</w:t>
            </w:r>
            <w:r w:rsidR="00D02D25" w:rsidRPr="00B87133">
              <w:rPr>
                <w:rFonts w:ascii="Palatino Linotype" w:hAnsi="Palatino Linotype"/>
                <w:noProof/>
                <w:webHidden/>
                <w:sz w:val="22"/>
                <w:szCs w:val="22"/>
              </w:rPr>
              <w:fldChar w:fldCharType="end"/>
            </w:r>
          </w:hyperlink>
        </w:p>
        <w:p w:rsidR="00D02D25" w:rsidRPr="00B87133" w:rsidRDefault="0061156D">
          <w:pPr>
            <w:pStyle w:val="TDC2"/>
            <w:tabs>
              <w:tab w:val="right" w:leader="dot" w:pos="9034"/>
            </w:tabs>
            <w:rPr>
              <w:rFonts w:ascii="Palatino Linotype" w:eastAsiaTheme="minorEastAsia" w:hAnsi="Palatino Linotype" w:cstheme="minorBidi"/>
              <w:noProof/>
              <w:sz w:val="22"/>
              <w:szCs w:val="22"/>
            </w:rPr>
          </w:pPr>
          <w:hyperlink w:anchor="_Toc215758532" w:history="1">
            <w:r w:rsidR="00D02D25" w:rsidRPr="00B87133">
              <w:rPr>
                <w:rStyle w:val="Hipervnculo"/>
                <w:rFonts w:ascii="Palatino Linotype" w:hAnsi="Palatino Linotype"/>
                <w:noProof/>
                <w:sz w:val="22"/>
                <w:szCs w:val="22"/>
              </w:rPr>
              <w:t>SEGUNDO. Causales de improcedencia y Sobreseimiento</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_Toc215758532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5</w:t>
            </w:r>
            <w:r w:rsidR="00D02D25" w:rsidRPr="00B87133">
              <w:rPr>
                <w:rFonts w:ascii="Palatino Linotype" w:hAnsi="Palatino Linotype"/>
                <w:noProof/>
                <w:webHidden/>
                <w:sz w:val="22"/>
                <w:szCs w:val="22"/>
              </w:rPr>
              <w:fldChar w:fldCharType="end"/>
            </w:r>
          </w:hyperlink>
        </w:p>
        <w:p w:rsidR="00D02D25" w:rsidRPr="00B87133" w:rsidRDefault="0061156D">
          <w:pPr>
            <w:pStyle w:val="TDC2"/>
            <w:tabs>
              <w:tab w:val="right" w:leader="dot" w:pos="9034"/>
            </w:tabs>
            <w:rPr>
              <w:rFonts w:ascii="Palatino Linotype" w:eastAsiaTheme="minorEastAsia" w:hAnsi="Palatino Linotype" w:cstheme="minorBidi"/>
              <w:noProof/>
              <w:sz w:val="22"/>
              <w:szCs w:val="22"/>
            </w:rPr>
          </w:pPr>
          <w:hyperlink w:anchor="_Toc215758533" w:history="1">
            <w:r w:rsidR="00D02D25" w:rsidRPr="00B87133">
              <w:rPr>
                <w:rStyle w:val="Hipervnculo"/>
                <w:rFonts w:ascii="Palatino Linotype" w:hAnsi="Palatino Linotype"/>
                <w:noProof/>
                <w:sz w:val="22"/>
                <w:szCs w:val="22"/>
              </w:rPr>
              <w:t>TERCERO. Determinación de la Controversia</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_Toc215758533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7</w:t>
            </w:r>
            <w:r w:rsidR="00D02D25" w:rsidRPr="00B87133">
              <w:rPr>
                <w:rFonts w:ascii="Palatino Linotype" w:hAnsi="Palatino Linotype"/>
                <w:noProof/>
                <w:webHidden/>
                <w:sz w:val="22"/>
                <w:szCs w:val="22"/>
              </w:rPr>
              <w:fldChar w:fldCharType="end"/>
            </w:r>
          </w:hyperlink>
        </w:p>
        <w:p w:rsidR="00D02D25" w:rsidRPr="00B87133" w:rsidRDefault="0061156D">
          <w:pPr>
            <w:pStyle w:val="TDC2"/>
            <w:tabs>
              <w:tab w:val="right" w:leader="dot" w:pos="9034"/>
            </w:tabs>
            <w:rPr>
              <w:rFonts w:ascii="Palatino Linotype" w:eastAsiaTheme="minorEastAsia" w:hAnsi="Palatino Linotype" w:cstheme="minorBidi"/>
              <w:noProof/>
              <w:sz w:val="22"/>
              <w:szCs w:val="22"/>
            </w:rPr>
          </w:pPr>
          <w:hyperlink w:anchor="_Toc215758534" w:history="1">
            <w:r w:rsidR="00D02D25" w:rsidRPr="00B87133">
              <w:rPr>
                <w:rStyle w:val="Hipervnculo"/>
                <w:rFonts w:ascii="Palatino Linotype" w:hAnsi="Palatino Linotype"/>
                <w:noProof/>
                <w:sz w:val="22"/>
                <w:szCs w:val="22"/>
              </w:rPr>
              <w:t>CUARTO. Marco normativo aplicable en materia de transparencia y acceso a la información pública</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_Toc215758534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8</w:t>
            </w:r>
            <w:r w:rsidR="00D02D25" w:rsidRPr="00B87133">
              <w:rPr>
                <w:rFonts w:ascii="Palatino Linotype" w:hAnsi="Palatino Linotype"/>
                <w:noProof/>
                <w:webHidden/>
                <w:sz w:val="22"/>
                <w:szCs w:val="22"/>
              </w:rPr>
              <w:fldChar w:fldCharType="end"/>
            </w:r>
          </w:hyperlink>
        </w:p>
        <w:p w:rsidR="00D02D25" w:rsidRPr="00B87133" w:rsidRDefault="0061156D">
          <w:pPr>
            <w:pStyle w:val="TDC2"/>
            <w:tabs>
              <w:tab w:val="right" w:leader="dot" w:pos="9034"/>
            </w:tabs>
            <w:rPr>
              <w:rFonts w:ascii="Palatino Linotype" w:eastAsiaTheme="minorEastAsia" w:hAnsi="Palatino Linotype" w:cstheme="minorBidi"/>
              <w:noProof/>
              <w:sz w:val="22"/>
              <w:szCs w:val="22"/>
            </w:rPr>
          </w:pPr>
          <w:hyperlink w:anchor="_Toc215758535" w:history="1">
            <w:r w:rsidR="00D02D25" w:rsidRPr="00B87133">
              <w:rPr>
                <w:rStyle w:val="Hipervnculo"/>
                <w:rFonts w:ascii="Palatino Linotype" w:hAnsi="Palatino Linotype"/>
                <w:noProof/>
                <w:sz w:val="22"/>
                <w:szCs w:val="22"/>
              </w:rPr>
              <w:t>QUINTO. Estudio de Fondo</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_Toc215758535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9</w:t>
            </w:r>
            <w:r w:rsidR="00D02D25" w:rsidRPr="00B87133">
              <w:rPr>
                <w:rFonts w:ascii="Palatino Linotype" w:hAnsi="Palatino Linotype"/>
                <w:noProof/>
                <w:webHidden/>
                <w:sz w:val="22"/>
                <w:szCs w:val="22"/>
              </w:rPr>
              <w:fldChar w:fldCharType="end"/>
            </w:r>
          </w:hyperlink>
        </w:p>
        <w:p w:rsidR="00D02D25" w:rsidRPr="00B87133" w:rsidRDefault="0061156D">
          <w:pPr>
            <w:pStyle w:val="TDC2"/>
            <w:tabs>
              <w:tab w:val="right" w:leader="dot" w:pos="9034"/>
            </w:tabs>
            <w:rPr>
              <w:rFonts w:ascii="Palatino Linotype" w:eastAsiaTheme="minorEastAsia" w:hAnsi="Palatino Linotype" w:cstheme="minorBidi"/>
              <w:noProof/>
              <w:sz w:val="22"/>
              <w:szCs w:val="22"/>
            </w:rPr>
          </w:pPr>
          <w:hyperlink w:anchor="_Toc215758536" w:history="1">
            <w:r w:rsidR="00D02D25" w:rsidRPr="00B87133">
              <w:rPr>
                <w:rStyle w:val="Hipervnculo"/>
                <w:rFonts w:ascii="Palatino Linotype" w:hAnsi="Palatino Linotype"/>
                <w:noProof/>
                <w:sz w:val="22"/>
                <w:szCs w:val="22"/>
              </w:rPr>
              <w:t>SEXTO. Decisión</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_Toc215758536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18</w:t>
            </w:r>
            <w:r w:rsidR="00D02D25" w:rsidRPr="00B87133">
              <w:rPr>
                <w:rFonts w:ascii="Palatino Linotype" w:hAnsi="Palatino Linotype"/>
                <w:noProof/>
                <w:webHidden/>
                <w:sz w:val="22"/>
                <w:szCs w:val="22"/>
              </w:rPr>
              <w:fldChar w:fldCharType="end"/>
            </w:r>
          </w:hyperlink>
        </w:p>
        <w:p w:rsidR="00D02D25" w:rsidRPr="00B87133" w:rsidRDefault="0061156D">
          <w:pPr>
            <w:pStyle w:val="TDC2"/>
            <w:tabs>
              <w:tab w:val="right" w:leader="dot" w:pos="9034"/>
            </w:tabs>
            <w:rPr>
              <w:rFonts w:ascii="Palatino Linotype" w:eastAsiaTheme="minorEastAsia" w:hAnsi="Palatino Linotype" w:cstheme="minorBidi"/>
              <w:noProof/>
              <w:sz w:val="22"/>
              <w:szCs w:val="22"/>
            </w:rPr>
          </w:pPr>
          <w:hyperlink w:anchor="_Toc215758537" w:history="1">
            <w:r w:rsidR="00D02D25" w:rsidRPr="00B87133">
              <w:rPr>
                <w:rStyle w:val="Hipervnculo"/>
                <w:rFonts w:ascii="Palatino Linotype" w:hAnsi="Palatino Linotype"/>
                <w:noProof/>
                <w:sz w:val="22"/>
                <w:szCs w:val="22"/>
              </w:rPr>
              <w:t>SÉPTIMO. Vista a la Secretaría Técnica del Pleno</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_Toc215758537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18</w:t>
            </w:r>
            <w:r w:rsidR="00D02D25" w:rsidRPr="00B87133">
              <w:rPr>
                <w:rFonts w:ascii="Palatino Linotype" w:hAnsi="Palatino Linotype"/>
                <w:noProof/>
                <w:webHidden/>
                <w:sz w:val="22"/>
                <w:szCs w:val="22"/>
              </w:rPr>
              <w:fldChar w:fldCharType="end"/>
            </w:r>
          </w:hyperlink>
        </w:p>
        <w:p w:rsidR="00D02D25" w:rsidRPr="00B87133" w:rsidRDefault="0061156D">
          <w:pPr>
            <w:pStyle w:val="TDC1"/>
            <w:rPr>
              <w:rFonts w:ascii="Palatino Linotype" w:eastAsiaTheme="minorEastAsia" w:hAnsi="Palatino Linotype" w:cstheme="minorBidi"/>
              <w:noProof/>
              <w:sz w:val="22"/>
              <w:szCs w:val="22"/>
            </w:rPr>
          </w:pPr>
          <w:hyperlink w:anchor="_Toc215758538" w:history="1">
            <w:r w:rsidR="00D02D25" w:rsidRPr="00B87133">
              <w:rPr>
                <w:rStyle w:val="Hipervnculo"/>
                <w:rFonts w:ascii="Palatino Linotype" w:hAnsi="Palatino Linotype"/>
                <w:noProof/>
                <w:sz w:val="22"/>
                <w:szCs w:val="22"/>
              </w:rPr>
              <w:t>R E S U E L V E</w:t>
            </w:r>
            <w:r w:rsidR="00D02D25" w:rsidRPr="00B87133">
              <w:rPr>
                <w:rFonts w:ascii="Palatino Linotype" w:hAnsi="Palatino Linotype"/>
                <w:noProof/>
                <w:webHidden/>
                <w:sz w:val="22"/>
                <w:szCs w:val="22"/>
              </w:rPr>
              <w:tab/>
            </w:r>
            <w:r w:rsidR="00D02D25" w:rsidRPr="00B87133">
              <w:rPr>
                <w:rFonts w:ascii="Palatino Linotype" w:hAnsi="Palatino Linotype"/>
                <w:noProof/>
                <w:webHidden/>
                <w:sz w:val="22"/>
                <w:szCs w:val="22"/>
              </w:rPr>
              <w:fldChar w:fldCharType="begin"/>
            </w:r>
            <w:r w:rsidR="00D02D25" w:rsidRPr="00B87133">
              <w:rPr>
                <w:rFonts w:ascii="Palatino Linotype" w:hAnsi="Palatino Linotype"/>
                <w:noProof/>
                <w:webHidden/>
                <w:sz w:val="22"/>
                <w:szCs w:val="22"/>
              </w:rPr>
              <w:instrText xml:space="preserve"> PAGEREF _Toc215758538 \h </w:instrText>
            </w:r>
            <w:r w:rsidR="00D02D25" w:rsidRPr="00B87133">
              <w:rPr>
                <w:rFonts w:ascii="Palatino Linotype" w:hAnsi="Palatino Linotype"/>
                <w:noProof/>
                <w:webHidden/>
                <w:sz w:val="22"/>
                <w:szCs w:val="22"/>
              </w:rPr>
            </w:r>
            <w:r w:rsidR="00D02D25" w:rsidRPr="00B87133">
              <w:rPr>
                <w:rFonts w:ascii="Palatino Linotype" w:hAnsi="Palatino Linotype"/>
                <w:noProof/>
                <w:webHidden/>
                <w:sz w:val="22"/>
                <w:szCs w:val="22"/>
              </w:rPr>
              <w:fldChar w:fldCharType="separate"/>
            </w:r>
            <w:r w:rsidR="009A6C8C">
              <w:rPr>
                <w:rFonts w:ascii="Palatino Linotype" w:hAnsi="Palatino Linotype"/>
                <w:noProof/>
                <w:webHidden/>
                <w:sz w:val="22"/>
                <w:szCs w:val="22"/>
              </w:rPr>
              <w:t>20</w:t>
            </w:r>
            <w:r w:rsidR="00D02D25" w:rsidRPr="00B87133">
              <w:rPr>
                <w:rFonts w:ascii="Palatino Linotype" w:hAnsi="Palatino Linotype"/>
                <w:noProof/>
                <w:webHidden/>
                <w:sz w:val="22"/>
                <w:szCs w:val="22"/>
              </w:rPr>
              <w:fldChar w:fldCharType="end"/>
            </w:r>
          </w:hyperlink>
        </w:p>
        <w:p w:rsidR="00D02D25" w:rsidRDefault="00D02D25">
          <w:r w:rsidRPr="00B87133">
            <w:rPr>
              <w:rFonts w:ascii="Palatino Linotype" w:hAnsi="Palatino Linotype"/>
              <w:b/>
              <w:bCs/>
              <w:sz w:val="22"/>
              <w:szCs w:val="22"/>
              <w:lang w:val="es-ES"/>
            </w:rPr>
            <w:fldChar w:fldCharType="end"/>
          </w:r>
        </w:p>
      </w:sdtContent>
    </w:sdt>
    <w:p w:rsidR="00D02D25" w:rsidRDefault="00D02D25">
      <w:pPr>
        <w:spacing w:line="360" w:lineRule="auto"/>
        <w:jc w:val="both"/>
      </w:pPr>
    </w:p>
    <w:p w:rsidR="00D02D25" w:rsidRDefault="00D02D25">
      <w:pPr>
        <w:spacing w:line="360" w:lineRule="auto"/>
        <w:jc w:val="both"/>
      </w:pPr>
    </w:p>
    <w:p w:rsidR="00D02D25" w:rsidRDefault="00D02D25">
      <w:pPr>
        <w:spacing w:line="360" w:lineRule="auto"/>
        <w:jc w:val="both"/>
      </w:pPr>
    </w:p>
    <w:p w:rsidR="00D02D25" w:rsidRDefault="00D02D25">
      <w:pPr>
        <w:spacing w:line="360" w:lineRule="auto"/>
        <w:jc w:val="both"/>
      </w:pPr>
    </w:p>
    <w:p w:rsidR="00D02D25" w:rsidRDefault="00D02D25">
      <w:pPr>
        <w:spacing w:line="360" w:lineRule="auto"/>
        <w:jc w:val="both"/>
      </w:pPr>
    </w:p>
    <w:p w:rsidR="00D02D25" w:rsidRDefault="00D02D25">
      <w:pPr>
        <w:spacing w:line="360" w:lineRule="auto"/>
        <w:jc w:val="both"/>
      </w:pPr>
    </w:p>
    <w:p w:rsidR="00D02D25" w:rsidRDefault="00D02D25">
      <w:pPr>
        <w:spacing w:line="360" w:lineRule="auto"/>
        <w:jc w:val="both"/>
      </w:pPr>
    </w:p>
    <w:p w:rsidR="00D02D25" w:rsidRDefault="00D02D25">
      <w:pPr>
        <w:spacing w:line="360" w:lineRule="auto"/>
        <w:jc w:val="both"/>
      </w:pPr>
    </w:p>
    <w:p w:rsidR="00D02D25" w:rsidRDefault="00D02D25">
      <w:pPr>
        <w:spacing w:line="360" w:lineRule="auto"/>
        <w:jc w:val="both"/>
      </w:pPr>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477E3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tres de diciembre de dos mil veinticinco. </w:t>
      </w:r>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477E3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sidRPr="00C313FB">
        <w:rPr>
          <w:rFonts w:ascii="Palatino Linotype" w:eastAsia="Palatino Linotype" w:hAnsi="Palatino Linotype" w:cs="Palatino Linotype"/>
          <w:b/>
          <w:color w:val="000000"/>
          <w:sz w:val="22"/>
          <w:szCs w:val="22"/>
        </w:rPr>
        <w:t>12956/INFOEM/IP/RR/2025</w:t>
      </w:r>
      <w:r>
        <w:rPr>
          <w:rFonts w:ascii="Palatino Linotype" w:eastAsia="Palatino Linotype" w:hAnsi="Palatino Linotype" w:cs="Palatino Linotype"/>
          <w:color w:val="000000"/>
          <w:sz w:val="22"/>
          <w:szCs w:val="22"/>
        </w:rPr>
        <w:t xml:space="preserve">, interpuesto por la persona </w:t>
      </w:r>
      <w:r>
        <w:rPr>
          <w:rFonts w:ascii="Palatino Linotype" w:eastAsia="Palatino Linotype" w:hAnsi="Palatino Linotype" w:cs="Palatino Linotype"/>
          <w:color w:val="0D0D0D"/>
          <w:sz w:val="22"/>
          <w:szCs w:val="22"/>
        </w:rPr>
        <w:t>Recurrente o Particular</w:t>
      </w:r>
      <w:r>
        <w:rPr>
          <w:rFonts w:ascii="Palatino Linotype" w:eastAsia="Palatino Linotype" w:hAnsi="Palatino Linotype" w:cs="Palatino Linotype"/>
          <w:color w:val="000000"/>
          <w:sz w:val="22"/>
          <w:szCs w:val="22"/>
        </w:rPr>
        <w:t xml:space="preserve">, en contra de la falta de respuesta del Sujeto Obligado, </w:t>
      </w:r>
      <w:r w:rsidRPr="00C313FB">
        <w:rPr>
          <w:rFonts w:ascii="Palatino Linotype" w:eastAsia="Palatino Linotype" w:hAnsi="Palatino Linotype" w:cs="Palatino Linotype"/>
          <w:b/>
          <w:color w:val="000000"/>
          <w:sz w:val="22"/>
          <w:szCs w:val="22"/>
        </w:rPr>
        <w:t>Ayuntamiento de Tepotzotlán</w:t>
      </w:r>
      <w:r>
        <w:rPr>
          <w:rFonts w:ascii="Palatino Linotype" w:eastAsia="Palatino Linotype" w:hAnsi="Palatino Linotype" w:cs="Palatino Linotype"/>
          <w:color w:val="000000"/>
          <w:sz w:val="22"/>
          <w:szCs w:val="22"/>
        </w:rPr>
        <w:t>, a la solicitud de acceso a la información pública 00606/TEPOTZOT/IP/2025, se emite la presente Resolución, con base en los Antecedentes y Considerandos que a continuación se exponen:</w:t>
      </w:r>
    </w:p>
    <w:p w:rsidR="00FD6348" w:rsidRDefault="00FD6348">
      <w:pPr>
        <w:pStyle w:val="Subttulo"/>
        <w:spacing w:after="0" w:line="360" w:lineRule="auto"/>
      </w:pPr>
    </w:p>
    <w:p w:rsidR="00FD6348" w:rsidRDefault="00477E34">
      <w:pPr>
        <w:pStyle w:val="Ttulo1"/>
      </w:pPr>
      <w:bookmarkStart w:id="0" w:name="_heading=h.inet46ug94ej" w:colFirst="0" w:colLast="0"/>
      <w:bookmarkStart w:id="1" w:name="_Toc215758525"/>
      <w:bookmarkEnd w:id="0"/>
      <w:r>
        <w:t>A N T E C E D E N T E S</w:t>
      </w:r>
      <w:bookmarkEnd w:id="1"/>
    </w:p>
    <w:p w:rsidR="00FD6348" w:rsidRDefault="00FD6348">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rsidR="00FD6348" w:rsidRDefault="00477E34">
      <w:pPr>
        <w:pStyle w:val="Ttulo2"/>
      </w:pPr>
      <w:bookmarkStart w:id="2" w:name="_heading=h.qs0gjhzbby0x" w:colFirst="0" w:colLast="0"/>
      <w:bookmarkStart w:id="3" w:name="_Toc215758526"/>
      <w:bookmarkEnd w:id="2"/>
      <w:r>
        <w:t>I. Presentación de la solicitud de información</w:t>
      </w:r>
      <w:bookmarkEnd w:id="3"/>
    </w:p>
    <w:p w:rsidR="00FD6348" w:rsidRDefault="00FD6348">
      <w:pPr>
        <w:tabs>
          <w:tab w:val="left" w:pos="567"/>
        </w:tabs>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seis de octubre de dos mil veinticinco, </w:t>
      </w:r>
      <w:r>
        <w:rPr>
          <w:rFonts w:ascii="Palatino Linotype" w:eastAsia="Palatino Linotype" w:hAnsi="Palatino Linotype" w:cs="Palatino Linotype"/>
          <w:sz w:val="22"/>
          <w:szCs w:val="22"/>
        </w:rPr>
        <w:t>el Particular presentó una solicitud de acceso a la información pública, a través del Sistema de Acceso a la Información Mexiquense (SAIMEX), ante el</w:t>
      </w:r>
      <w:r>
        <w:rPr>
          <w:rFonts w:ascii="Palatino Linotype" w:eastAsia="Palatino Linotype" w:hAnsi="Palatino Linotype" w:cs="Palatino Linotype"/>
          <w:color w:val="000000"/>
          <w:sz w:val="22"/>
          <w:szCs w:val="22"/>
        </w:rPr>
        <w:t xml:space="preserve"> Ayuntamiento de Tepotzotlán</w:t>
      </w:r>
      <w:r>
        <w:rPr>
          <w:rFonts w:ascii="Palatino Linotype" w:eastAsia="Palatino Linotype" w:hAnsi="Palatino Linotype" w:cs="Palatino Linotype"/>
          <w:sz w:val="22"/>
          <w:szCs w:val="22"/>
        </w:rPr>
        <w:t>, en los siguientes términos:</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rsidR="00FD6348" w:rsidRDefault="00477E34">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Cuanto fue el costo del encuentro nacional de turismo religioso realizado en octubre de 2025 anunciado en la página del municipio.</w:t>
      </w:r>
      <w:r>
        <w:rPr>
          <w:rFonts w:ascii="Palatino Linotype" w:eastAsia="Palatino Linotype" w:hAnsi="Palatino Linotype" w:cs="Palatino Linotype"/>
          <w:i/>
          <w:iCs/>
        </w:rPr>
        <w:t>” (Sic.)</w:t>
      </w:r>
    </w:p>
    <w:p w:rsidR="00FD6348" w:rsidRDefault="00FD6348">
      <w:pPr>
        <w:tabs>
          <w:tab w:val="left" w:pos="4667"/>
        </w:tabs>
        <w:spacing w:line="360" w:lineRule="auto"/>
        <w:ind w:left="567" w:right="567"/>
        <w:jc w:val="both"/>
        <w:rPr>
          <w:rFonts w:ascii="Palatino Linotype" w:eastAsia="Palatino Linotype" w:hAnsi="Palatino Linotype" w:cs="Palatino Linotype"/>
          <w:i/>
          <w:iCs/>
        </w:rPr>
      </w:pPr>
    </w:p>
    <w:p w:rsidR="00FD6348" w:rsidRDefault="00477E34">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rsidR="00FD6348" w:rsidRDefault="00477E3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través del SAIMEX” </w:t>
      </w:r>
    </w:p>
    <w:p w:rsidR="00FD6348" w:rsidRDefault="00FD6348">
      <w:pPr>
        <w:pStyle w:val="Ttulo2"/>
      </w:pPr>
    </w:p>
    <w:p w:rsidR="00FD6348" w:rsidRDefault="00FD6348"/>
    <w:p w:rsidR="00FD6348" w:rsidRDefault="00FD6348"/>
    <w:p w:rsidR="00FD6348" w:rsidRDefault="00477E34">
      <w:pPr>
        <w:pStyle w:val="Ttulo2"/>
      </w:pPr>
      <w:bookmarkStart w:id="4" w:name="_heading=h.mk097mmlaj6v" w:colFirst="0" w:colLast="0"/>
      <w:bookmarkStart w:id="5" w:name="_Toc215758527"/>
      <w:bookmarkEnd w:id="4"/>
      <w:r>
        <w:lastRenderedPageBreak/>
        <w:t>II. Respuesta del Sujeto Obligado</w:t>
      </w:r>
      <w:bookmarkEnd w:id="5"/>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477E3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conformidad con el artículo 136, párrafo primero de la Ley de Transparencia y Acceso a</w:t>
      </w:r>
    </w:p>
    <w:p w:rsidR="00FD6348" w:rsidRDefault="00477E3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w:t>
      </w:r>
      <w:r>
        <w:rPr>
          <w:rFonts w:ascii="Palatino Linotype" w:eastAsia="Palatino Linotype" w:hAnsi="Palatino Linotype" w:cs="Palatino Linotype"/>
          <w:b/>
          <w:bCs/>
          <w:color w:val="000000"/>
          <w:sz w:val="22"/>
          <w:szCs w:val="22"/>
        </w:rPr>
        <w:t>el Ayuntamiento de Tepotzotlán</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bCs/>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477E34">
      <w:pPr>
        <w:pStyle w:val="Ttulo2"/>
      </w:pPr>
      <w:bookmarkStart w:id="6" w:name="_heading=h.9i4nwevb407l" w:colFirst="0" w:colLast="0"/>
      <w:bookmarkStart w:id="7" w:name="_Toc215758528"/>
      <w:bookmarkEnd w:id="6"/>
      <w:r>
        <w:t>III. Interposición del Recurso de Revisión</w:t>
      </w:r>
      <w:bookmarkEnd w:id="7"/>
    </w:p>
    <w:p w:rsidR="00FD6348" w:rsidRDefault="00FD6348">
      <w:pPr>
        <w:spacing w:line="360" w:lineRule="auto"/>
        <w:jc w:val="both"/>
        <w:rPr>
          <w:rFonts w:ascii="Palatino Linotype" w:eastAsia="Palatino Linotype" w:hAnsi="Palatino Linotype" w:cs="Palatino Linotype"/>
          <w:b/>
          <w:bCs/>
          <w:color w:val="000000"/>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diez de noviembre de dos mil veinticinco, el Particular interpuso un Recurso de Revisión ante este Instituto, a través del Sistema de Acceso a la Información Mexiquense (SAIMEX), en 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477E34">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 IMPUGNADO</w:t>
      </w:r>
    </w:p>
    <w:p w:rsidR="00FD6348" w:rsidRDefault="00477E34">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 falta de respuesta a una solicitud de acceso a la información.” (Sic.)</w:t>
      </w:r>
    </w:p>
    <w:p w:rsidR="00FD6348" w:rsidRDefault="00FD6348">
      <w:pPr>
        <w:spacing w:line="360" w:lineRule="auto"/>
        <w:ind w:left="567" w:right="567"/>
        <w:jc w:val="both"/>
        <w:rPr>
          <w:rFonts w:ascii="Palatino Linotype" w:eastAsia="Palatino Linotype" w:hAnsi="Palatino Linotype" w:cs="Palatino Linotype"/>
          <w:i/>
          <w:iCs/>
          <w:color w:val="000000"/>
        </w:rPr>
      </w:pPr>
    </w:p>
    <w:p w:rsidR="00FD6348" w:rsidRDefault="00477E34">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FD6348" w:rsidRDefault="00477E34">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 falta de respuesta a una solicitud de acceso a la información, abusando de su autoridad.” (Sic.)</w:t>
      </w:r>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477E34">
      <w:pPr>
        <w:pStyle w:val="Ttulo2"/>
      </w:pPr>
      <w:bookmarkStart w:id="8" w:name="_heading=h.mnetsxzg2zcz" w:colFirst="0" w:colLast="0"/>
      <w:bookmarkStart w:id="9" w:name="_Toc215758529"/>
      <w:bookmarkEnd w:id="8"/>
      <w:r>
        <w:lastRenderedPageBreak/>
        <w:t>IV. Trámite del Recurso de Revisión ante el Instituto</w:t>
      </w:r>
      <w:bookmarkEnd w:id="9"/>
    </w:p>
    <w:p w:rsidR="00FD6348" w:rsidRDefault="00FD6348">
      <w:pPr>
        <w:spacing w:line="360" w:lineRule="auto"/>
        <w:jc w:val="both"/>
        <w:rPr>
          <w:rFonts w:ascii="Palatino Linotype" w:eastAsia="Palatino Linotype" w:hAnsi="Palatino Linotype" w:cs="Palatino Linotype"/>
          <w:b/>
          <w:bCs/>
          <w:color w:val="000000"/>
          <w:sz w:val="22"/>
          <w:szCs w:val="22"/>
        </w:rPr>
      </w:pPr>
    </w:p>
    <w:p w:rsidR="00FD6348" w:rsidRDefault="00477E3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a) Turno del Recurso de Revisión. </w:t>
      </w:r>
      <w:r>
        <w:rPr>
          <w:rFonts w:ascii="Palatino Linotype" w:eastAsia="Palatino Linotype" w:hAnsi="Palatino Linotype" w:cs="Palatino Linotype"/>
          <w:color w:val="000000"/>
          <w:sz w:val="22"/>
          <w:szCs w:val="22"/>
        </w:rPr>
        <w:t xml:space="preserve">El diez de noviembre de dos mil veinticinco, el Sistema de Acceso a la Información Mexiquense (SAIMEX), asignó el número de expediente </w:t>
      </w:r>
      <w:r>
        <w:rPr>
          <w:rFonts w:ascii="Palatino Linotype" w:eastAsia="Palatino Linotype" w:hAnsi="Palatino Linotype" w:cs="Palatino Linotype"/>
          <w:b/>
          <w:bCs/>
          <w:color w:val="000000"/>
          <w:sz w:val="22"/>
          <w:szCs w:val="22"/>
        </w:rPr>
        <w:t>12956/INFOEM/IP/RR/2025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FD6348" w:rsidRDefault="00FD6348">
      <w:pPr>
        <w:spacing w:line="360" w:lineRule="auto"/>
        <w:jc w:val="both"/>
        <w:rPr>
          <w:rFonts w:ascii="Palatino Linotype" w:eastAsia="Palatino Linotype" w:hAnsi="Palatino Linotype" w:cs="Palatino Linotype"/>
          <w:b/>
          <w:bCs/>
          <w:color w:val="000000"/>
          <w:sz w:val="22"/>
          <w:szCs w:val="22"/>
        </w:rPr>
      </w:pPr>
    </w:p>
    <w:p w:rsidR="00FD6348" w:rsidRDefault="00477E3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b) Admisión del Recurso de Revisión. </w:t>
      </w:r>
      <w:r>
        <w:rPr>
          <w:rFonts w:ascii="Palatino Linotype" w:eastAsia="Palatino Linotype" w:hAnsi="Palatino Linotype" w:cs="Palatino Linotype"/>
          <w:color w:val="000000"/>
          <w:sz w:val="22"/>
          <w:szCs w:val="22"/>
        </w:rPr>
        <w:t>El trece de noviembre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477E34">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b/>
          <w:bCs/>
          <w:color w:val="000000"/>
          <w:sz w:val="22"/>
          <w:szCs w:val="22"/>
        </w:rPr>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sz w:val="22"/>
          <w:szCs w:val="22"/>
        </w:rPr>
        <w:t xml:space="preserve"> Informe Justificado y Manifestaciones. </w:t>
      </w:r>
      <w:r>
        <w:rPr>
          <w:rFonts w:ascii="Palatino Linotype" w:eastAsia="Palatino Linotype" w:hAnsi="Palatino Linotype" w:cs="Palatino Linotype"/>
          <w:sz w:val="22"/>
          <w:szCs w:val="22"/>
        </w:rPr>
        <w:t>Las partes fueron omisas en emitir manifestaciones o alegatos.</w:t>
      </w:r>
    </w:p>
    <w:p w:rsidR="00FD6348" w:rsidRDefault="00FD6348">
      <w:pPr>
        <w:spacing w:line="360" w:lineRule="auto"/>
        <w:jc w:val="both"/>
        <w:rPr>
          <w:rFonts w:ascii="Palatino Linotype" w:eastAsia="Palatino Linotype" w:hAnsi="Palatino Linotype" w:cs="Palatino Linotype"/>
          <w:b/>
          <w:bCs/>
          <w:sz w:val="18"/>
          <w:szCs w:val="18"/>
        </w:rPr>
      </w:pPr>
    </w:p>
    <w:p w:rsidR="00FD6348" w:rsidRDefault="00477E34">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d) Cierre de instrucción. </w:t>
      </w:r>
      <w:r>
        <w:rPr>
          <w:rFonts w:ascii="Palatino Linotype" w:eastAsia="Palatino Linotype" w:hAnsi="Palatino Linotype" w:cs="Palatino Linotype"/>
          <w:sz w:val="22"/>
          <w:szCs w:val="22"/>
        </w:rPr>
        <w:t xml:space="preserve">El veintisiete de noviembre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rsidR="00FD6348" w:rsidRDefault="00FD6348">
      <w:pPr>
        <w:spacing w:line="360" w:lineRule="auto"/>
        <w:jc w:val="both"/>
        <w:rPr>
          <w:rFonts w:ascii="Palatino Linotype" w:eastAsia="Palatino Linotype" w:hAnsi="Palatino Linotype" w:cs="Palatino Linotype"/>
          <w:b/>
          <w:bCs/>
          <w:sz w:val="18"/>
          <w:szCs w:val="18"/>
        </w:rPr>
      </w:pPr>
    </w:p>
    <w:p w:rsidR="00FD6348" w:rsidRDefault="00477E3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477E34">
      <w:pPr>
        <w:pStyle w:val="Ttulo1"/>
      </w:pPr>
      <w:bookmarkStart w:id="10" w:name="_heading=h.bup1eckkn86k" w:colFirst="0" w:colLast="0"/>
      <w:bookmarkStart w:id="11" w:name="_Toc215758530"/>
      <w:bookmarkEnd w:id="10"/>
      <w:r>
        <w:t>C O N S I D E R A N D O S</w:t>
      </w:r>
      <w:bookmarkEnd w:id="11"/>
    </w:p>
    <w:p w:rsidR="00FD6348" w:rsidRDefault="00FD6348">
      <w:pPr>
        <w:spacing w:line="360" w:lineRule="auto"/>
        <w:jc w:val="both"/>
        <w:rPr>
          <w:rFonts w:ascii="Palatino Linotype" w:eastAsia="Palatino Linotype" w:hAnsi="Palatino Linotype" w:cs="Palatino Linotype"/>
          <w:b/>
          <w:bCs/>
          <w:sz w:val="22"/>
          <w:szCs w:val="22"/>
        </w:rPr>
      </w:pPr>
    </w:p>
    <w:p w:rsidR="00FD6348" w:rsidRDefault="00477E34">
      <w:pPr>
        <w:pStyle w:val="Ttulo2"/>
      </w:pPr>
      <w:bookmarkStart w:id="12" w:name="_heading=h.cs5rv4ltct58" w:colFirst="0" w:colLast="0"/>
      <w:bookmarkStart w:id="13" w:name="_Toc215758531"/>
      <w:bookmarkEnd w:id="12"/>
      <w:r>
        <w:t>PRIMERO. Competencia</w:t>
      </w:r>
      <w:bookmarkEnd w:id="13"/>
    </w:p>
    <w:p w:rsidR="00FD6348" w:rsidRDefault="00FD6348">
      <w:pPr>
        <w:spacing w:line="360" w:lineRule="auto"/>
        <w:jc w:val="both"/>
        <w:rPr>
          <w:rFonts w:ascii="Palatino Linotype" w:eastAsia="Palatino Linotype" w:hAnsi="Palatino Linotype" w:cs="Palatino Linotype"/>
          <w:b/>
          <w:bCs/>
          <w:sz w:val="22"/>
          <w:szCs w:val="22"/>
        </w:rPr>
      </w:pPr>
    </w:p>
    <w:p w:rsidR="00FD6348" w:rsidRDefault="00D02D25">
      <w:pPr>
        <w:spacing w:line="360" w:lineRule="auto"/>
        <w:jc w:val="both"/>
        <w:rPr>
          <w:rFonts w:ascii="Palatino Linotype" w:eastAsia="Palatino Linotype" w:hAnsi="Palatino Linotype" w:cs="Palatino Linotype"/>
          <w:sz w:val="22"/>
          <w:szCs w:val="22"/>
        </w:rPr>
      </w:pPr>
      <w:r w:rsidRPr="00D02D25">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D02D25" w:rsidRDefault="00D02D25">
      <w:pPr>
        <w:spacing w:line="360" w:lineRule="auto"/>
        <w:jc w:val="both"/>
        <w:rPr>
          <w:rFonts w:ascii="Palatino Linotype" w:eastAsia="Palatino Linotype" w:hAnsi="Palatino Linotype" w:cs="Palatino Linotype"/>
          <w:color w:val="000000"/>
          <w:sz w:val="22"/>
          <w:szCs w:val="22"/>
        </w:rPr>
      </w:pPr>
    </w:p>
    <w:p w:rsidR="00FD6348" w:rsidRDefault="00477E34">
      <w:pPr>
        <w:pStyle w:val="Ttulo2"/>
      </w:pPr>
      <w:bookmarkStart w:id="14" w:name="_heading=h.kq061xr4n93s" w:colFirst="0" w:colLast="0"/>
      <w:bookmarkStart w:id="15" w:name="_Toc215758532"/>
      <w:bookmarkEnd w:id="14"/>
      <w:r>
        <w:t>SEGUNDO. Causales de improcedencia y Sobreseimiento</w:t>
      </w:r>
      <w:bookmarkEnd w:id="15"/>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bCs/>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xml:space="preserve">; por lo que, no es necesario determinar una temporalidad respecto del momento de presentación, conforme a lo establecido en los artículos 166 y 178, párrafo </w:t>
      </w:r>
      <w:r>
        <w:rPr>
          <w:rFonts w:ascii="Palatino Linotype" w:eastAsia="Palatino Linotype" w:hAnsi="Palatino Linotype" w:cs="Palatino Linotype"/>
          <w:sz w:val="22"/>
          <w:szCs w:val="22"/>
        </w:rPr>
        <w:lastRenderedPageBreak/>
        <w:t>segundo de la Ley de Transparencia y Acceso a la Información Pública del Estado de México y los Municipios.</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b/>
          <w:bCs/>
          <w:color w:val="0D0D0D"/>
          <w:sz w:val="22"/>
          <w:szCs w:val="22"/>
        </w:rPr>
        <w:t>Causales de sobreseimiento</w:t>
      </w:r>
    </w:p>
    <w:p w:rsidR="00FD6348" w:rsidRDefault="00FD6348">
      <w:pPr>
        <w:spacing w:line="360" w:lineRule="auto"/>
        <w:jc w:val="both"/>
        <w:rPr>
          <w:rFonts w:ascii="Palatino Linotype" w:eastAsia="Palatino Linotype" w:hAnsi="Palatino Linotype" w:cs="Palatino Linotype"/>
          <w:color w:val="0D0D0D"/>
          <w:sz w:val="22"/>
          <w:szCs w:val="22"/>
        </w:rPr>
      </w:pPr>
    </w:p>
    <w:p w:rsidR="00FD6348" w:rsidRDefault="00477E34">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rsidR="00FD6348" w:rsidRDefault="00FD6348">
      <w:pPr>
        <w:spacing w:line="360" w:lineRule="auto"/>
        <w:jc w:val="both"/>
        <w:rPr>
          <w:rFonts w:ascii="Palatino Linotype" w:eastAsia="Palatino Linotype" w:hAnsi="Palatino Linotype" w:cs="Palatino Linotype"/>
          <w:color w:val="0D0D0D"/>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rsidR="00FD6348" w:rsidRDefault="00FD6348">
      <w:pPr>
        <w:spacing w:line="360" w:lineRule="auto"/>
        <w:jc w:val="both"/>
        <w:rPr>
          <w:rFonts w:ascii="Palatino Linotype" w:eastAsia="Palatino Linotype" w:hAnsi="Palatino Linotype" w:cs="Palatino Linotype"/>
          <w:color w:val="0D0D0D"/>
          <w:sz w:val="22"/>
          <w:szCs w:val="22"/>
        </w:rPr>
      </w:pPr>
    </w:p>
    <w:p w:rsidR="00FD6348" w:rsidRDefault="00477E34">
      <w:pPr>
        <w:pStyle w:val="Ttulo2"/>
      </w:pPr>
      <w:bookmarkStart w:id="16" w:name="_heading=h.vpt7lu9c6qhk" w:colFirst="0" w:colLast="0"/>
      <w:bookmarkStart w:id="17" w:name="_Toc215758533"/>
      <w:bookmarkEnd w:id="16"/>
      <w:r>
        <w:t>TERCERO. Determinación de la Controversia</w:t>
      </w:r>
      <w:bookmarkEnd w:id="17"/>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477E34">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el objeto de ilustrar la controversia planteada, resulta conveniente precisar, que una vez realizado el estudio de las constancias que integran el expediente en que se actúa, se desprende </w:t>
      </w:r>
      <w:r>
        <w:rPr>
          <w:rFonts w:ascii="Palatino Linotype" w:eastAsia="Palatino Linotype" w:hAnsi="Palatino Linotype" w:cs="Palatino Linotype"/>
          <w:color w:val="000000"/>
          <w:sz w:val="22"/>
          <w:szCs w:val="22"/>
        </w:rPr>
        <w:lastRenderedPageBreak/>
        <w:t>que el Particular requirió el costo del encuentro nacional de turismo religioso realizado en el municipio de Tepotzotlán.</w:t>
      </w:r>
    </w:p>
    <w:p w:rsidR="00FD6348" w:rsidRDefault="00FD6348">
      <w:pPr>
        <w:tabs>
          <w:tab w:val="left" w:pos="4962"/>
        </w:tabs>
        <w:spacing w:line="360" w:lineRule="auto"/>
        <w:jc w:val="both"/>
        <w:rPr>
          <w:rFonts w:ascii="Palatino Linotype" w:eastAsia="Palatino Linotype" w:hAnsi="Palatino Linotype" w:cs="Palatino Linotype"/>
          <w:color w:val="000000"/>
          <w:sz w:val="22"/>
          <w:szCs w:val="22"/>
        </w:rPr>
      </w:pPr>
    </w:p>
    <w:p w:rsidR="00FD6348" w:rsidRDefault="00FD6348">
      <w:pPr>
        <w:tabs>
          <w:tab w:val="left" w:pos="4962"/>
        </w:tabs>
        <w:spacing w:line="360" w:lineRule="auto"/>
        <w:jc w:val="both"/>
        <w:rPr>
          <w:rFonts w:ascii="Palatino Linotype" w:eastAsia="Palatino Linotype" w:hAnsi="Palatino Linotype" w:cs="Palatino Linotype"/>
          <w:color w:val="000000"/>
          <w:sz w:val="22"/>
          <w:szCs w:val="22"/>
        </w:rPr>
      </w:pPr>
    </w:p>
    <w:p w:rsidR="00FD6348" w:rsidRDefault="00477E34">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rsidR="00FD6348" w:rsidRDefault="00FD6348">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rsidR="00FD6348" w:rsidRDefault="00477E3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y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00FD6348" w:rsidRDefault="00FD6348">
      <w:pPr>
        <w:tabs>
          <w:tab w:val="left" w:pos="4962"/>
        </w:tabs>
        <w:spacing w:line="360" w:lineRule="auto"/>
        <w:jc w:val="both"/>
        <w:rPr>
          <w:rFonts w:ascii="Palatino Linotype" w:eastAsia="Palatino Linotype" w:hAnsi="Palatino Linotype" w:cs="Palatino Linotype"/>
          <w:sz w:val="22"/>
          <w:szCs w:val="22"/>
        </w:rPr>
      </w:pPr>
    </w:p>
    <w:p w:rsidR="00FD6348" w:rsidRDefault="00477E34">
      <w:pPr>
        <w:pStyle w:val="Ttulo2"/>
        <w:jc w:val="both"/>
      </w:pPr>
      <w:bookmarkStart w:id="18" w:name="_heading=h.l14vt3yvl3gv" w:colFirst="0" w:colLast="0"/>
      <w:bookmarkStart w:id="19" w:name="_Toc215758534"/>
      <w:bookmarkEnd w:id="18"/>
      <w:r>
        <w:t>CUARTO. Marco normativo aplicable en materia de transparencia y acceso a la información pública</w:t>
      </w:r>
      <w:bookmarkEnd w:id="19"/>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w:t>
      </w:r>
      <w:r>
        <w:rPr>
          <w:rFonts w:ascii="Palatino Linotype" w:eastAsia="Palatino Linotype" w:hAnsi="Palatino Linotype" w:cs="Palatino Linotype"/>
          <w:sz w:val="22"/>
          <w:szCs w:val="22"/>
        </w:rPr>
        <w:lastRenderedPageBreak/>
        <w:t>información referente a la intimidad de la vida privada y la imagen de las personas, con las excepciones que establezca la ley reglamentaria.</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pStyle w:val="Ttulo2"/>
      </w:pPr>
      <w:bookmarkStart w:id="20" w:name="_heading=h.k7nj8h80wksd" w:colFirst="0" w:colLast="0"/>
      <w:bookmarkStart w:id="21" w:name="_Toc215758535"/>
      <w:bookmarkEnd w:id="20"/>
      <w:r>
        <w:t>QUINTO. Estudio de Fondo</w:t>
      </w:r>
      <w:bookmarkEnd w:id="21"/>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Expuestas las posturas de las partes, se procede al análisis del agravio hecho valer por la persona Recurrente, concerniente a la falta de respuesta del </w:t>
      </w:r>
      <w:r>
        <w:rPr>
          <w:rFonts w:ascii="Palatino Linotype" w:eastAsia="Palatino Linotype" w:hAnsi="Palatino Linotype" w:cs="Palatino Linotype"/>
          <w:color w:val="000000"/>
          <w:sz w:val="22"/>
          <w:szCs w:val="22"/>
        </w:rPr>
        <w:t>Ayuntamiento de Tepotzotlán</w:t>
      </w:r>
      <w:r>
        <w:rPr>
          <w:rFonts w:ascii="Palatino Linotype" w:eastAsia="Palatino Linotype" w:hAnsi="Palatino Linotype" w:cs="Palatino Linotype"/>
          <w:sz w:val="22"/>
          <w:szCs w:val="22"/>
        </w:rPr>
        <w:t>.</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principio, es de suma importancia señalar los objetivos de la Ley de Transparencia y Acceso a la Información Pública del Estado de México y Municipios, en relación con la obligación de </w:t>
      </w:r>
      <w:r>
        <w:rPr>
          <w:rFonts w:ascii="Palatino Linotype" w:eastAsia="Palatino Linotype" w:hAnsi="Palatino Linotype" w:cs="Palatino Linotype"/>
          <w:sz w:val="22"/>
          <w:szCs w:val="22"/>
        </w:rPr>
        <w:lastRenderedPageBreak/>
        <w:t>acceso por parte de los Sujetos Obligados, lo cuales se encuentran establecidos en el artículo 2° de dicho ordenamiento jurídico y son los siguientes:</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rsidR="00FD6348" w:rsidRDefault="00FD6348">
      <w:pPr>
        <w:spacing w:line="360" w:lineRule="auto"/>
        <w:ind w:left="720"/>
        <w:jc w:val="both"/>
        <w:rPr>
          <w:rFonts w:ascii="Palatino Linotype" w:eastAsia="Palatino Linotype" w:hAnsi="Palatino Linotype" w:cs="Palatino Linotype"/>
          <w:sz w:val="22"/>
          <w:szCs w:val="22"/>
        </w:rPr>
      </w:pPr>
    </w:p>
    <w:p w:rsidR="00FD6348" w:rsidRDefault="00477E34">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rsidR="00FD6348" w:rsidRDefault="00FD6348">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FD6348" w:rsidRDefault="00477E34">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para la atención de las solicitudes de acceso a la información, debe privilegiarse el principio de máxima publicidad el cual dispone que toda la información en posesión de los sujetos obligados será pública, completa, oportuna y accesible, sujeta a un </w:t>
      </w:r>
      <w:r>
        <w:rPr>
          <w:rFonts w:ascii="Palatino Linotype" w:eastAsia="Palatino Linotype" w:hAnsi="Palatino Linotype" w:cs="Palatino Linotype"/>
          <w:sz w:val="22"/>
          <w:szCs w:val="22"/>
        </w:rPr>
        <w:lastRenderedPageBreak/>
        <w:t>claro régimen de excepciones que deberán estar definidas y ser legítimas y estrictamente necesarias en una sociedad democrática.</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FD6348" w:rsidRDefault="00FD6348">
      <w:pPr>
        <w:spacing w:line="360" w:lineRule="auto"/>
        <w:ind w:left="720"/>
        <w:jc w:val="both"/>
        <w:rPr>
          <w:rFonts w:ascii="Palatino Linotype" w:eastAsia="Palatino Linotype" w:hAnsi="Palatino Linotype" w:cs="Palatino Linotype"/>
          <w:sz w:val="22"/>
          <w:szCs w:val="22"/>
        </w:rPr>
      </w:pPr>
    </w:p>
    <w:p w:rsidR="00FD6348" w:rsidRDefault="00477E3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FD6348" w:rsidRDefault="00FD6348">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FD6348" w:rsidRDefault="00477E3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rsidR="00FD6348" w:rsidRDefault="00FD6348">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FD6348" w:rsidRDefault="00477E3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00FD6348" w:rsidRDefault="00FD6348">
      <w:pPr>
        <w:spacing w:line="360" w:lineRule="auto"/>
        <w:rPr>
          <w:rFonts w:ascii="Palatino Linotype" w:eastAsia="Palatino Linotype" w:hAnsi="Palatino Linotype" w:cs="Palatino Linotype"/>
        </w:rPr>
      </w:pPr>
    </w:p>
    <w:p w:rsidR="00FD6348" w:rsidRDefault="00477E3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FD6348" w:rsidRDefault="00FD6348">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FD6348" w:rsidRDefault="00477E3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establecido lo anterior, es de indicar que el agravio del Particular consistió en que, a la fecha de interposición del Recurso de Revisión, el</w:t>
      </w:r>
      <w:r>
        <w:rPr>
          <w:rFonts w:ascii="Palatino Linotype" w:eastAsia="Palatino Linotype" w:hAnsi="Palatino Linotype" w:cs="Palatino Linotype"/>
          <w:color w:val="000000"/>
          <w:sz w:val="22"/>
          <w:szCs w:val="22"/>
        </w:rPr>
        <w:t xml:space="preserve"> Ayuntamiento de Tepotzotlán</w:t>
      </w:r>
      <w:r>
        <w:rPr>
          <w:rFonts w:ascii="Palatino Linotype" w:eastAsia="Palatino Linotype" w:hAnsi="Palatino Linotype" w:cs="Palatino Linotype"/>
          <w:sz w:val="22"/>
          <w:szCs w:val="22"/>
        </w:rPr>
        <w:t>, no había registrado respuesta al requerimiento de acceso a la información, el cual se presentó, el seis de octubre de dos mil veinticinco.</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bookmarkStart w:id="22" w:name="_heading=h.oukyqx3vm6ff" w:colFirst="0" w:colLast="0"/>
      <w:bookmarkEnd w:id="22"/>
      <w:r>
        <w:rPr>
          <w:rFonts w:ascii="Palatino Linotype" w:eastAsia="Palatino Linotype" w:hAnsi="Palatino Linotype" w:cs="Palatino Linotype"/>
          <w:sz w:val="22"/>
          <w:szCs w:val="22"/>
        </w:rPr>
        <w:lastRenderedPageBreak/>
        <w:t>En ese orden de ideas, el plazo con el que contaba el Sujeto Obligado para emitir contestación al requerimiento informativo comenzó a correr el siete de octubre y feneció el veintisiete de octubre de dos mil veinticinco; lo anterior, sin contar los días once, doce, dieciocho, diecinueve, veinticinco y veintiséis de octubre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2762636" cy="156231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762636" cy="1562318"/>
                    </a:xfrm>
                    <a:prstGeom prst="rect">
                      <a:avLst/>
                    </a:prstGeom>
                    <a:ln/>
                  </pic:spPr>
                </pic:pic>
              </a:graphicData>
            </a:graphic>
          </wp:inline>
        </w:drawing>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w:t>
      </w:r>
      <w:r>
        <w:rPr>
          <w:rFonts w:ascii="Palatino Linotype" w:eastAsia="Palatino Linotype" w:hAnsi="Palatino Linotype" w:cs="Palatino Linotype"/>
          <w:color w:val="000000"/>
          <w:sz w:val="22"/>
          <w:szCs w:val="22"/>
        </w:rPr>
        <w:t>Ayuntamiento de Tepotzotlán</w:t>
      </w:r>
      <w:r>
        <w:rPr>
          <w:rFonts w:ascii="Palatino Linotype" w:eastAsia="Palatino Linotype" w:hAnsi="Palatino Linotype" w:cs="Palatino Linotype"/>
          <w:sz w:val="22"/>
          <w:szCs w:val="22"/>
        </w:rPr>
        <w:t xml:space="preserve">, no emitió respuesta para dar contestación a la solicitud de acceso a la información pública, dentro de los plazos establecidos en el artículo 163, de la Ley de Transparencia y Acceso a la Información Pública del Estado de México y Municipios, pues </w:t>
      </w:r>
      <w:r>
        <w:rPr>
          <w:rFonts w:ascii="Palatino Linotype" w:eastAsia="Palatino Linotype" w:hAnsi="Palatino Linotype" w:cs="Palatino Linotype"/>
          <w:sz w:val="22"/>
          <w:szCs w:val="22"/>
        </w:rPr>
        <w:lastRenderedPageBreak/>
        <w:t xml:space="preserve">tenía hasta el veintisiete de octubre de dos mil veinticinco, para realizar dicha situación, por lo que es evidente que el agravio es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xml:space="preserve">. </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base en lo expuesto, es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 </w:t>
      </w:r>
    </w:p>
    <w:p w:rsidR="00FD6348" w:rsidRDefault="00FD6348">
      <w:pPr>
        <w:tabs>
          <w:tab w:val="left" w:pos="4962"/>
        </w:tabs>
        <w:spacing w:line="360" w:lineRule="auto"/>
        <w:jc w:val="both"/>
        <w:rPr>
          <w:rFonts w:ascii="Palatino Linotype" w:eastAsia="Palatino Linotype" w:hAnsi="Palatino Linotype" w:cs="Palatino Linotype"/>
          <w:sz w:val="22"/>
          <w:szCs w:val="22"/>
        </w:rPr>
      </w:pPr>
    </w:p>
    <w:p w:rsidR="00FD6348" w:rsidRDefault="00477E3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w:t>
      </w:r>
    </w:p>
    <w:p w:rsidR="00FD6348" w:rsidRDefault="00FD6348">
      <w:pPr>
        <w:tabs>
          <w:tab w:val="left" w:pos="4962"/>
        </w:tabs>
        <w:spacing w:line="360" w:lineRule="auto"/>
        <w:jc w:val="both"/>
        <w:rPr>
          <w:rFonts w:ascii="Palatino Linotype" w:eastAsia="Palatino Linotype" w:hAnsi="Palatino Linotype" w:cs="Palatino Linotype"/>
          <w:sz w:val="22"/>
          <w:szCs w:val="22"/>
        </w:rPr>
      </w:pPr>
    </w:p>
    <w:p w:rsidR="00FD6348" w:rsidRDefault="00477E3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rsidR="00FD6348" w:rsidRDefault="00FD6348">
      <w:pPr>
        <w:tabs>
          <w:tab w:val="left" w:pos="4962"/>
        </w:tabs>
        <w:spacing w:line="360" w:lineRule="auto"/>
        <w:jc w:val="both"/>
        <w:rPr>
          <w:rFonts w:ascii="Palatino Linotype" w:eastAsia="Palatino Linotype" w:hAnsi="Palatino Linotype" w:cs="Palatino Linotype"/>
          <w:sz w:val="22"/>
          <w:szCs w:val="22"/>
        </w:rPr>
      </w:pPr>
    </w:p>
    <w:p w:rsidR="00FD6348" w:rsidRDefault="00477E3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FD6348" w:rsidRDefault="00FD6348">
      <w:pPr>
        <w:tabs>
          <w:tab w:val="left" w:pos="4962"/>
        </w:tabs>
        <w:spacing w:line="360" w:lineRule="auto"/>
        <w:jc w:val="both"/>
        <w:rPr>
          <w:rFonts w:ascii="Palatino Linotype" w:eastAsia="Palatino Linotype" w:hAnsi="Palatino Linotype" w:cs="Palatino Linotype"/>
          <w:sz w:val="22"/>
          <w:szCs w:val="22"/>
        </w:rPr>
      </w:pPr>
    </w:p>
    <w:p w:rsidR="00FD6348" w:rsidRDefault="00477E3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w:t>
      </w:r>
      <w:r>
        <w:rPr>
          <w:rFonts w:ascii="Palatino Linotype" w:eastAsia="Palatino Linotype" w:hAnsi="Palatino Linotype" w:cs="Palatino Linotype"/>
          <w:sz w:val="22"/>
          <w:szCs w:val="22"/>
        </w:rPr>
        <w:lastRenderedPageBreak/>
        <w:t>electrónicos, informáticos, entre otros; asimismo aclara que estos pueden contener valores administrativos, legales, fiscales, contables, históricos, informativos, entre otros.</w:t>
      </w:r>
    </w:p>
    <w:p w:rsidR="00FD6348" w:rsidRDefault="00FD6348">
      <w:pPr>
        <w:tabs>
          <w:tab w:val="left" w:pos="4962"/>
        </w:tabs>
        <w:spacing w:line="360" w:lineRule="auto"/>
        <w:jc w:val="both"/>
        <w:rPr>
          <w:rFonts w:ascii="Palatino Linotype" w:eastAsia="Palatino Linotype" w:hAnsi="Palatino Linotype" w:cs="Palatino Linotype"/>
          <w:sz w:val="22"/>
          <w:szCs w:val="22"/>
        </w:rPr>
      </w:pPr>
    </w:p>
    <w:p w:rsidR="00FD6348" w:rsidRDefault="00477E3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razón de lo anterior, se arriba a la conclusión de que la información requerida forma parte de las obligaciones de transparencia común de los sujetos obligados y, por ende, debe contar con esta.</w:t>
      </w:r>
    </w:p>
    <w:p w:rsidR="00FD6348" w:rsidRDefault="00FD6348">
      <w:pPr>
        <w:tabs>
          <w:tab w:val="left" w:pos="4962"/>
        </w:tabs>
        <w:spacing w:line="360" w:lineRule="auto"/>
        <w:jc w:val="both"/>
        <w:rPr>
          <w:rFonts w:ascii="Palatino Linotype" w:eastAsia="Palatino Linotype" w:hAnsi="Palatino Linotype" w:cs="Palatino Linotype"/>
          <w:sz w:val="22"/>
          <w:szCs w:val="22"/>
        </w:rPr>
      </w:pPr>
    </w:p>
    <w:p w:rsidR="00FD6348" w:rsidRDefault="00477E34">
      <w:pPr>
        <w:tabs>
          <w:tab w:val="left" w:pos="4962"/>
        </w:tabs>
        <w:spacing w:line="360" w:lineRule="auto"/>
        <w:jc w:val="both"/>
        <w:rPr>
          <w:rFonts w:ascii="Palatino Linotype" w:eastAsia="Palatino Linotype" w:hAnsi="Palatino Linotype" w:cs="Palatino Linotype"/>
          <w:sz w:val="22"/>
          <w:szCs w:val="22"/>
        </w:rPr>
      </w:pPr>
      <w:bookmarkStart w:id="23" w:name="_heading=h.y9b88gkseq3f" w:colFirst="0" w:colLast="0"/>
      <w:bookmarkEnd w:id="23"/>
      <w:r>
        <w:rPr>
          <w:rFonts w:ascii="Palatino Linotype" w:eastAsia="Palatino Linotype" w:hAnsi="Palatino Linotype" w:cs="Palatino Linotype"/>
          <w:sz w:val="22"/>
          <w:szCs w:val="22"/>
        </w:rPr>
        <w:t>Al respecto, el artículo 68, del Bando Municipal de Tepotzotlán, precisan que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2"/>
          <w:szCs w:val="22"/>
        </w:rPr>
        <w:t>todo evento público (representación, función, acto, feria, fiesta patronal, evento exhibición artística, musical, deportiva, cinematográfica, teatral o cultural, tradicional, organizada por una persona física o jurídica colectiva del sector privado, que se realice en recintos al aire libre, en locales cerrados o instalaciones desmontables, en cualquier tiempo, convocado al público con fines culturales o de esparcimiento, en forma gratuita o mediante el pago de una contraprestación en dinero o especie), que conlleve la concentración masiva de población deberá solicitar oportunamente el permiso de la Coordinación Municipal de Protección Civil y Bomberos y presentar su programa específico de protección civil para eventos públicos así como de la Dirección de Desarrollo Económico; Siendo así que en su artículo 48 de la misma normativa en comento la dirección de Administración y Finanzas con funciones de Tesorería Municipal, es el único órgano encargado de la recaudación de los ingresos municipales y responsable de realizar las erogaciones que lleve a cabo el Ayuntamiento.</w:t>
      </w:r>
    </w:p>
    <w:p w:rsidR="00FD6348" w:rsidRDefault="00FD6348">
      <w:pPr>
        <w:tabs>
          <w:tab w:val="left" w:pos="4962"/>
        </w:tabs>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mismo, se localizó la nota periodística  “Punta de lanza del turismo religioso en el valle de México”, (consultadas en las ligas electrónica  </w:t>
      </w:r>
      <w:hyperlink r:id="rId10">
        <w:r>
          <w:rPr>
            <w:rFonts w:ascii="Palatino Linotype" w:eastAsia="Palatino Linotype" w:hAnsi="Palatino Linotype" w:cs="Palatino Linotype"/>
            <w:color w:val="0563C1"/>
            <w:sz w:val="22"/>
            <w:szCs w:val="22"/>
            <w:u w:val="single"/>
          </w:rPr>
          <w:t>https://elgarroteperiodismocritico.com/2025/10/07/tepotzotlan-punta-de-lanza-del-turismo-religioso-en-el-valle-de-mexico/</w:t>
        </w:r>
      </w:hyperlink>
      <w:r>
        <w:rPr>
          <w:rFonts w:ascii="Palatino Linotype" w:eastAsia="Palatino Linotype" w:hAnsi="Palatino Linotype" w:cs="Palatino Linotype"/>
          <w:color w:val="0000FF"/>
          <w:sz w:val="22"/>
          <w:szCs w:val="22"/>
          <w:u w:val="single"/>
        </w:rPr>
        <w:t xml:space="preserve"> </w:t>
      </w:r>
      <w:r>
        <w:rPr>
          <w:rFonts w:ascii="Palatino Linotype" w:eastAsia="Palatino Linotype" w:hAnsi="Palatino Linotype" w:cs="Palatino Linotype"/>
          <w:sz w:val="22"/>
          <w:szCs w:val="22"/>
        </w:rPr>
        <w:t xml:space="preserve"> tal como se muestra a continuación:</w:t>
      </w:r>
    </w:p>
    <w:p w:rsidR="00FD6348" w:rsidRDefault="00477E34">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extent cx="4462335" cy="340645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462335" cy="3406452"/>
                    </a:xfrm>
                    <a:prstGeom prst="rect">
                      <a:avLst/>
                    </a:prstGeom>
                    <a:ln/>
                  </pic:spPr>
                </pic:pic>
              </a:graphicData>
            </a:graphic>
          </wp:inline>
        </w:drawing>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rFonts w:ascii="Palatino Linotype" w:eastAsia="Palatino Linotype" w:hAnsi="Palatino Linotype" w:cs="Palatino Linotype"/>
          <w:b/>
          <w:bCs/>
          <w:i/>
          <w:iCs/>
          <w:sz w:val="22"/>
          <w:szCs w:val="22"/>
        </w:rPr>
        <w:t>NOTAS PERIODISTICAS, EL CONOCIMIENTO QUE DE ELLAS SE OBTIENE NO CONSTITUYE ‘UN HECHO PUBLICO Y NOTORIO’</w:t>
      </w:r>
      <w:r>
        <w:rPr>
          <w:rFonts w:ascii="Palatino Linotype" w:eastAsia="Palatino Linotype" w:hAnsi="Palatino Linotype" w:cs="Palatino Linotype"/>
          <w:i/>
          <w:iCs/>
          <w:sz w:val="22"/>
          <w:szCs w:val="22"/>
        </w:rPr>
        <w:t>”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r>
        <w:rPr>
          <w:rFonts w:ascii="Palatino Linotype" w:eastAsia="Palatino Linotype" w:hAnsi="Palatino Linotype" w:cs="Palatino Linotype"/>
          <w:sz w:val="22"/>
          <w:szCs w:val="22"/>
        </w:rPr>
        <w:t xml:space="preserve"> De tal situación, lo consignado en las notas periodísticas no constituye un hecho público o notorio, sino que es una opinión de su autor, por lo que sólo se pueden tomar como </w:t>
      </w:r>
      <w:r>
        <w:rPr>
          <w:rFonts w:ascii="Palatino Linotype" w:eastAsia="Palatino Linotype" w:hAnsi="Palatino Linotype" w:cs="Palatino Linotype"/>
          <w:b/>
          <w:bCs/>
          <w:sz w:val="22"/>
          <w:szCs w:val="22"/>
        </w:rPr>
        <w:t>indicios.</w:t>
      </w:r>
      <w:r>
        <w:rPr>
          <w:rFonts w:ascii="Palatino Linotype" w:eastAsia="Palatino Linotype" w:hAnsi="Palatino Linotype" w:cs="Palatino Linotype"/>
          <w:sz w:val="22"/>
          <w:szCs w:val="22"/>
        </w:rPr>
        <w:t xml:space="preserve"> </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si bien de la nota periodística señalada, contiene información que guarda relación con lo solicitado, a saber, del evento religioso en el Municipio, lo cierto es que no constituyen prueba plena, al ser una opinión privada realizada por parte de un particular; sin embargo, en el presente caso, sirven de indicio para robustecer lo encontrado en las redes sociales del Sujeto Obligado.</w:t>
      </w:r>
    </w:p>
    <w:p w:rsidR="00FD6348" w:rsidRDefault="00FD6348">
      <w:pPr>
        <w:tabs>
          <w:tab w:val="left" w:pos="4962"/>
        </w:tabs>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Conforme a lo anterior, el Sujeto Obligado cuenta con competencia para conocer de lo solicitado, por lo que, deberá realizar una búsqueda exhaustiva y razonable en todas las unidades administrativas competentes</w:t>
      </w:r>
      <w:r>
        <w:rPr>
          <w:rFonts w:ascii="Palatino Linotype" w:eastAsia="Palatino Linotype" w:hAnsi="Palatino Linotype" w:cs="Palatino Linotype"/>
          <w:sz w:val="22"/>
          <w:szCs w:val="22"/>
        </w:rPr>
        <w:t>, a efecto de que dé la respuesta que a derecho corresponda y, en su caso, proporcione los documentos que den cuenta de la información solicitada</w:t>
      </w:r>
      <w:r>
        <w:rPr>
          <w:rFonts w:ascii="Palatino Linotype" w:eastAsia="Palatino Linotype" w:hAnsi="Palatino Linotype" w:cs="Palatino Linotype"/>
          <w:color w:val="000000"/>
          <w:sz w:val="22"/>
          <w:szCs w:val="22"/>
        </w:rPr>
        <w:t>.</w:t>
      </w:r>
    </w:p>
    <w:p w:rsidR="00FD6348" w:rsidRDefault="00FD6348">
      <w:pPr>
        <w:tabs>
          <w:tab w:val="left" w:pos="4962"/>
        </w:tabs>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bookmarkStart w:id="24" w:name="_heading=h.8u86yc1cogo3" w:colFirst="0" w:colLast="0"/>
      <w:bookmarkEnd w:id="24"/>
      <w:r>
        <w:rPr>
          <w:rFonts w:ascii="Palatino Linotype" w:eastAsia="Palatino Linotype" w:hAnsi="Palatino Linotype" w:cs="Palatino Linotype"/>
          <w:sz w:val="22"/>
          <w:szCs w:val="22"/>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pStyle w:val="Ttulo2"/>
      </w:pPr>
      <w:bookmarkStart w:id="25" w:name="_heading=h.h2yei2o0x8x8" w:colFirst="0" w:colLast="0"/>
      <w:bookmarkStart w:id="26" w:name="_Toc215758536"/>
      <w:bookmarkEnd w:id="25"/>
      <w:r>
        <w:t>SEXTO. Decisión</w:t>
      </w:r>
      <w:bookmarkEnd w:id="26"/>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a que dé trámite y respuesta a la solicitud de información pública con número</w:t>
      </w:r>
      <w:r>
        <w:rPr>
          <w:rFonts w:ascii="Palatino Linotype" w:eastAsia="Palatino Linotype" w:hAnsi="Palatino Linotype" w:cs="Palatino Linotype"/>
          <w:color w:val="000000"/>
          <w:sz w:val="22"/>
          <w:szCs w:val="22"/>
        </w:rPr>
        <w:t xml:space="preserve"> 00606/TEPOTZOT/IP/2025</w:t>
      </w:r>
      <w:r>
        <w:rPr>
          <w:rFonts w:ascii="Palatino Linotype" w:eastAsia="Palatino Linotype" w:hAnsi="Palatino Linotype" w:cs="Palatino Linotype"/>
          <w:color w:val="0D0D0D"/>
          <w:sz w:val="22"/>
          <w:szCs w:val="22"/>
        </w:rPr>
        <w:t>.</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pStyle w:val="Ttulo2"/>
      </w:pPr>
      <w:bookmarkStart w:id="27" w:name="_heading=h.1qqxydx4bfpm" w:colFirst="0" w:colLast="0"/>
      <w:bookmarkStart w:id="28" w:name="_Toc215758537"/>
      <w:bookmarkEnd w:id="27"/>
      <w:r>
        <w:t>SÉPTIMO. Vista a la Secretaría Técnica del Pleno</w:t>
      </w:r>
      <w:bookmarkEnd w:id="28"/>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w:t>
      </w:r>
      <w:r>
        <w:rPr>
          <w:rFonts w:ascii="Palatino Linotype" w:eastAsia="Palatino Linotype" w:hAnsi="Palatino Linotype" w:cs="Palatino Linotype"/>
          <w:color w:val="000000"/>
          <w:sz w:val="22"/>
          <w:szCs w:val="22"/>
        </w:rPr>
        <w:t xml:space="preserve">Ayuntamiento de Tepotzotlán </w:t>
      </w:r>
      <w:r>
        <w:rPr>
          <w:rFonts w:ascii="Palatino Linotype" w:eastAsia="Palatino Linotype" w:hAnsi="Palatino Linotype" w:cs="Palatino Linotype"/>
          <w:sz w:val="22"/>
          <w:szCs w:val="22"/>
        </w:rPr>
        <w:t xml:space="preserve">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rsidR="00FD6348" w:rsidRDefault="00FD6348">
      <w:pPr>
        <w:spacing w:line="360" w:lineRule="auto"/>
        <w:ind w:right="-93"/>
        <w:jc w:val="both"/>
        <w:rPr>
          <w:rFonts w:ascii="Palatino Linotype" w:eastAsia="Palatino Linotype" w:hAnsi="Palatino Linotype" w:cs="Palatino Linotype"/>
          <w:sz w:val="22"/>
          <w:szCs w:val="22"/>
        </w:rPr>
      </w:pPr>
    </w:p>
    <w:p w:rsidR="00FD6348" w:rsidRDefault="00477E3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rsidR="00FD6348" w:rsidRDefault="00FD6348">
      <w:pPr>
        <w:spacing w:line="360" w:lineRule="auto"/>
        <w:ind w:right="-93"/>
        <w:jc w:val="both"/>
        <w:rPr>
          <w:rFonts w:ascii="Palatino Linotype" w:eastAsia="Palatino Linotype" w:hAnsi="Palatino Linotype" w:cs="Palatino Linotype"/>
          <w:sz w:val="22"/>
          <w:szCs w:val="22"/>
        </w:rPr>
      </w:pPr>
    </w:p>
    <w:p w:rsidR="00FD6348" w:rsidRDefault="00477E3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w:t>
      </w:r>
      <w:r>
        <w:rPr>
          <w:rFonts w:ascii="Palatino Linotype" w:eastAsia="Palatino Linotype" w:hAnsi="Palatino Linotype" w:cs="Palatino Linotype"/>
          <w:sz w:val="22"/>
          <w:szCs w:val="22"/>
        </w:rPr>
        <w:lastRenderedPageBreak/>
        <w:t xml:space="preserve">con el fin de que determine el grado de responsabilidad de los servidores públicos que incumplan con las obligaciones establecidas en la Ley. </w:t>
      </w:r>
    </w:p>
    <w:p w:rsidR="00FD6348" w:rsidRDefault="00FD6348">
      <w:pPr>
        <w:spacing w:line="360" w:lineRule="auto"/>
        <w:ind w:right="-93"/>
        <w:jc w:val="both"/>
        <w:rPr>
          <w:rFonts w:ascii="Palatino Linotype" w:eastAsia="Palatino Linotype" w:hAnsi="Palatino Linotype" w:cs="Palatino Linotype"/>
          <w:sz w:val="22"/>
          <w:szCs w:val="22"/>
        </w:rPr>
      </w:pPr>
    </w:p>
    <w:p w:rsidR="00FD6348" w:rsidRDefault="00477E3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rsidR="00FD6348" w:rsidRDefault="00FD6348">
      <w:pPr>
        <w:spacing w:line="360" w:lineRule="auto"/>
        <w:ind w:right="-93"/>
        <w:jc w:val="both"/>
        <w:rPr>
          <w:rFonts w:ascii="Palatino Linotype" w:eastAsia="Palatino Linotype" w:hAnsi="Palatino Linotype" w:cs="Palatino Linotype"/>
          <w:sz w:val="22"/>
          <w:szCs w:val="22"/>
        </w:rPr>
      </w:pPr>
    </w:p>
    <w:p w:rsidR="00FD6348" w:rsidRDefault="00477E3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rsidR="00FD6348" w:rsidRDefault="00FD6348">
      <w:pPr>
        <w:spacing w:line="360" w:lineRule="auto"/>
        <w:jc w:val="both"/>
        <w:rPr>
          <w:rFonts w:ascii="Palatino Linotype" w:eastAsia="Palatino Linotype" w:hAnsi="Palatino Linotype" w:cs="Palatino Linotype"/>
          <w:b/>
          <w:bCs/>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en el presente caso, se le da la razón, pues el Sujeto Obligado no emitió contestación alguna, por lo que, deberá dar atención al requerimiento de información, realizar unas búsqueda exhaustiva y razonable en sus archivos, y en su caso, entregarle la documentación que corresponda.  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rsidR="00FD6348" w:rsidRDefault="00FD6348">
      <w:pPr>
        <w:spacing w:line="360" w:lineRule="auto"/>
        <w:jc w:val="both"/>
        <w:rPr>
          <w:rFonts w:ascii="Palatino Linotype" w:eastAsia="Palatino Linotype" w:hAnsi="Palatino Linotype" w:cs="Palatino Linotype"/>
          <w:color w:val="000000"/>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pStyle w:val="Ttulo1"/>
      </w:pPr>
      <w:bookmarkStart w:id="29" w:name="_heading=h.kdgd5866tuc0" w:colFirst="0" w:colLast="0"/>
      <w:bookmarkStart w:id="30" w:name="_Toc215758538"/>
      <w:bookmarkEnd w:id="29"/>
      <w:r>
        <w:t>R E S U E L V E</w:t>
      </w:r>
      <w:bookmarkEnd w:id="30"/>
    </w:p>
    <w:p w:rsidR="00FD6348" w:rsidRDefault="00FD6348">
      <w:pPr>
        <w:spacing w:line="360" w:lineRule="auto"/>
        <w:jc w:val="both"/>
        <w:rPr>
          <w:rFonts w:ascii="Palatino Linotype" w:eastAsia="Palatino Linotype" w:hAnsi="Palatino Linotype" w:cs="Palatino Linotype"/>
          <w:b/>
          <w:bCs/>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por el Particular en el Recurso de Revisión 12956/INFOEM/IP/RR/2025,</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en términos de los considerandos QUINTO y SEXTO de la presente Resolución.</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b/>
          <w:bCs/>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bCs/>
          <w:sz w:val="22"/>
          <w:szCs w:val="22"/>
        </w:rPr>
        <w:t xml:space="preserve"> ORDENA </w:t>
      </w:r>
      <w:r>
        <w:rPr>
          <w:rFonts w:ascii="Palatino Linotype" w:eastAsia="Palatino Linotype" w:hAnsi="Palatino Linotype" w:cs="Palatino Linotype"/>
          <w:sz w:val="22"/>
          <w:szCs w:val="22"/>
        </w:rPr>
        <w:t>al Sujeto Obligado, a efecto de que dé atención a la solicitud de acceso a la información</w:t>
      </w:r>
      <w:r>
        <w:rPr>
          <w:rFonts w:ascii="Palatino Linotype" w:eastAsia="Palatino Linotype" w:hAnsi="Palatino Linotype" w:cs="Palatino Linotype"/>
          <w:color w:val="0D0D0D"/>
          <w:sz w:val="22"/>
          <w:szCs w:val="22"/>
        </w:rPr>
        <w:t xml:space="preserve">   00606/TEPOTZOT/IP/2025</w:t>
      </w:r>
      <w:r>
        <w:rPr>
          <w:rFonts w:ascii="Palatino Linotype" w:eastAsia="Palatino Linotype" w:hAnsi="Palatino Linotype" w:cs="Palatino Linotype"/>
          <w:sz w:val="22"/>
          <w:szCs w:val="22"/>
        </w:rPr>
        <w:t>y, a través del Sistema de Acceso a la Información Mexiquense (SAIMEX), dé la respuesta que conforme a derecho corresponda</w:t>
      </w:r>
      <w:r>
        <w:rPr>
          <w:b/>
          <w:bCs/>
        </w:rPr>
        <w:t xml:space="preserve">. </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w:t>
      </w:r>
      <w:r>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w:t>
      </w:r>
      <w:r>
        <w:rPr>
          <w:rFonts w:ascii="Palatino Linotype" w:eastAsia="Palatino Linotype" w:hAnsi="Palatino Linotype" w:cs="Palatino Linotype"/>
          <w:sz w:val="22"/>
          <w:szCs w:val="22"/>
        </w:rPr>
        <w:lastRenderedPageBreak/>
        <w:t>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FD6348" w:rsidRDefault="00FD6348">
      <w:pPr>
        <w:spacing w:line="360" w:lineRule="auto"/>
        <w:jc w:val="both"/>
        <w:rPr>
          <w:rFonts w:ascii="Palatino Linotype" w:eastAsia="Palatino Linotype" w:hAnsi="Palatino Linotype" w:cs="Palatino Linotype"/>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SEXTO.</w:t>
      </w:r>
      <w:r>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rsidR="00FD6348" w:rsidRDefault="00FD6348">
      <w:pPr>
        <w:spacing w:line="360" w:lineRule="auto"/>
        <w:jc w:val="both"/>
        <w:rPr>
          <w:rFonts w:ascii="Palatino Linotype" w:eastAsia="Palatino Linotype" w:hAnsi="Palatino Linotype" w:cs="Palatino Linotype"/>
          <w:b/>
          <w:bCs/>
          <w:sz w:val="22"/>
          <w:szCs w:val="22"/>
        </w:rPr>
      </w:pPr>
    </w:p>
    <w:p w:rsidR="00FD6348" w:rsidRDefault="00477E3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TRES DE DICIEMBRE DE DOS MIL VEINTICINCO, ANTE EL SECRETARIO TÉCNICO DEL PLENO, ALEXIS TAPIA RAMÍREZ.</w:t>
      </w: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sz w:val="22"/>
          <w:szCs w:val="22"/>
        </w:rPr>
      </w:pPr>
    </w:p>
    <w:p w:rsidR="00FD6348" w:rsidRDefault="00FD6348">
      <w:pPr>
        <w:spacing w:line="360" w:lineRule="auto"/>
        <w:jc w:val="both"/>
        <w:rPr>
          <w:rFonts w:ascii="Palatino Linotype" w:eastAsia="Palatino Linotype" w:hAnsi="Palatino Linotype" w:cs="Palatino Linotype"/>
          <w:color w:val="000000"/>
          <w:sz w:val="22"/>
          <w:szCs w:val="22"/>
        </w:rPr>
      </w:pPr>
      <w:bookmarkStart w:id="31" w:name="_GoBack"/>
      <w:bookmarkEnd w:id="31"/>
    </w:p>
    <w:sectPr w:rsidR="00FD6348">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56D" w:rsidRDefault="0061156D">
      <w:r>
        <w:separator/>
      </w:r>
    </w:p>
  </w:endnote>
  <w:endnote w:type="continuationSeparator" w:id="0">
    <w:p w:rsidR="0061156D" w:rsidRDefault="0061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6C66BAB0-5F1C-4323-9622-098C24E2F79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CC55B93-3B70-487A-B349-C83E7126FACB}"/>
    <w:embedBold r:id="rId3" w:fontKey="{714EDFCF-9D62-4525-AF7E-9631EA557A9C}"/>
    <w:embedItalic r:id="rId4" w:fontKey="{D49FA57A-4B9C-43B5-82E7-5381C0D55DFF}"/>
    <w:embedBoldItalic r:id="rId5" w:fontKey="{611F57C9-FAD1-4041-BACD-AB6BFE8814BF}"/>
  </w:font>
  <w:font w:name="Calibri">
    <w:panose1 w:val="020F0502020204030204"/>
    <w:charset w:val="00"/>
    <w:family w:val="swiss"/>
    <w:pitch w:val="variable"/>
    <w:sig w:usb0="E4002EFF" w:usb1="C200247B" w:usb2="00000009" w:usb3="00000000" w:csb0="000001FF" w:csb1="00000000"/>
    <w:embedRegular r:id="rId6" w:fontKey="{ED042DFA-3360-4B50-952E-E9E88BCF3070}"/>
    <w:embedBold r:id="rId7" w:fontKey="{12CDA688-D305-444C-AEAA-61F2E4A7F9D4}"/>
  </w:font>
  <w:font w:name="Century Gothic">
    <w:panose1 w:val="020B0502020202020204"/>
    <w:charset w:val="00"/>
    <w:family w:val="swiss"/>
    <w:pitch w:val="variable"/>
    <w:sig w:usb0="00000287" w:usb1="00000000" w:usb2="00000000" w:usb3="00000000" w:csb0="0000009F" w:csb1="00000000"/>
    <w:embedRegular r:id="rId8" w:fontKey="{A5C11AED-9C95-42E0-A4FA-C80986CFAE3A}"/>
  </w:font>
  <w:font w:name="Segoe UI">
    <w:panose1 w:val="020B0502040204020203"/>
    <w:charset w:val="00"/>
    <w:family w:val="swiss"/>
    <w:pitch w:val="variable"/>
    <w:sig w:usb0="E4002EFF" w:usb1="C000E47F" w:usb2="00000009" w:usb3="00000000" w:csb0="000001FF" w:csb1="00000000"/>
    <w:embedRegular r:id="rId9" w:fontKey="{BD3F3338-4108-423E-9CF2-28B31274C63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391D2707-1A9B-4D39-A384-9FDAB40E224B}"/>
  </w:font>
  <w:font w:name="Tahoma">
    <w:panose1 w:val="020B0604030504040204"/>
    <w:charset w:val="00"/>
    <w:family w:val="swiss"/>
    <w:pitch w:val="variable"/>
    <w:sig w:usb0="E1002EFF" w:usb1="C000605B" w:usb2="00000029" w:usb3="00000000" w:csb0="000101FF" w:csb1="00000000"/>
    <w:embedBold r:id="rId11" w:fontKey="{929AA893-59AD-43A3-A13F-EFE1BDC0DD6D}"/>
  </w:font>
  <w:font w:name="Garamond">
    <w:panose1 w:val="02020404030301010803"/>
    <w:charset w:val="00"/>
    <w:family w:val="roman"/>
    <w:pitch w:val="variable"/>
    <w:sig w:usb0="00000287" w:usb1="00000000" w:usb2="00000000" w:usb3="00000000" w:csb0="0000009F" w:csb1="00000000"/>
    <w:embedRegular r:id="rId12" w:fontKey="{93344D92-5501-461E-AB90-127725365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348" w:rsidRDefault="00FD6348">
    <w:pPr>
      <w:pBdr>
        <w:top w:val="nil"/>
        <w:left w:val="nil"/>
        <w:bottom w:val="nil"/>
        <w:right w:val="nil"/>
        <w:between w:val="nil"/>
      </w:pBdr>
      <w:tabs>
        <w:tab w:val="center" w:pos="4419"/>
        <w:tab w:val="right" w:pos="8838"/>
      </w:tabs>
      <w:jc w:val="right"/>
      <w:rPr>
        <w:color w:val="000000"/>
        <w:sz w:val="26"/>
        <w:szCs w:val="26"/>
      </w:rPr>
    </w:pPr>
  </w:p>
  <w:p w:rsidR="00FD6348" w:rsidRDefault="00477E34">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A6C8C">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A6C8C">
      <w:rPr>
        <w:b/>
        <w:bCs/>
        <w:noProof/>
        <w:color w:val="000000"/>
        <w:sz w:val="24"/>
        <w:szCs w:val="24"/>
      </w:rPr>
      <w:t>22</w:t>
    </w:r>
    <w:r>
      <w:rPr>
        <w:b/>
        <w:bCs/>
        <w:color w:val="000000"/>
        <w:sz w:val="24"/>
        <w:szCs w:val="24"/>
      </w:rPr>
      <w:fldChar w:fldCharType="end"/>
    </w:r>
  </w:p>
  <w:p w:rsidR="00FD6348" w:rsidRDefault="00FD634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348" w:rsidRDefault="00FD6348">
    <w:pPr>
      <w:pBdr>
        <w:top w:val="nil"/>
        <w:left w:val="nil"/>
        <w:bottom w:val="nil"/>
        <w:right w:val="nil"/>
        <w:between w:val="nil"/>
      </w:pBdr>
      <w:tabs>
        <w:tab w:val="center" w:pos="4419"/>
        <w:tab w:val="right" w:pos="8838"/>
      </w:tabs>
      <w:jc w:val="right"/>
      <w:rPr>
        <w:color w:val="000000"/>
      </w:rPr>
    </w:pPr>
  </w:p>
  <w:p w:rsidR="00FD6348" w:rsidRDefault="00477E34">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A6C8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A6C8C">
      <w:rPr>
        <w:b/>
        <w:bCs/>
        <w:noProof/>
        <w:color w:val="000000"/>
        <w:sz w:val="24"/>
        <w:szCs w:val="24"/>
      </w:rPr>
      <w:t>22</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56D" w:rsidRDefault="0061156D">
      <w:r>
        <w:separator/>
      </w:r>
    </w:p>
  </w:footnote>
  <w:footnote w:type="continuationSeparator" w:id="0">
    <w:p w:rsidR="0061156D" w:rsidRDefault="00611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348" w:rsidRDefault="00FD634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FD6348">
      <w:trPr>
        <w:trHeight w:val="1412"/>
      </w:trPr>
      <w:tc>
        <w:tcPr>
          <w:tcW w:w="8222" w:type="dxa"/>
          <w:shd w:val="clear" w:color="auto" w:fill="auto"/>
        </w:tcPr>
        <w:p w:rsidR="00FD6348" w:rsidRDefault="00FD634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700" w:type="dxa"/>
            <w:tblInd w:w="34"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FD6348">
            <w:trPr>
              <w:trHeight w:val="144"/>
            </w:trPr>
            <w:tc>
              <w:tcPr>
                <w:tcW w:w="2552" w:type="dxa"/>
              </w:tcPr>
              <w:p w:rsidR="00FD6348" w:rsidRDefault="00477E34">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49" w:type="dxa"/>
              </w:tcPr>
              <w:p w:rsidR="00FD6348" w:rsidRDefault="00477E34">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12956/INFOEM/IP/RR/2025</w:t>
                </w:r>
              </w:p>
            </w:tc>
          </w:tr>
          <w:tr w:rsidR="00FD6348">
            <w:trPr>
              <w:trHeight w:val="144"/>
            </w:trPr>
            <w:tc>
              <w:tcPr>
                <w:tcW w:w="2552" w:type="dxa"/>
              </w:tcPr>
              <w:p w:rsidR="00FD6348" w:rsidRDefault="00477E34">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49" w:type="dxa"/>
              </w:tcPr>
              <w:p w:rsidR="00FD6348" w:rsidRDefault="00477E34">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Tepotzotlán</w:t>
                </w:r>
              </w:p>
            </w:tc>
          </w:tr>
          <w:tr w:rsidR="00FD6348">
            <w:trPr>
              <w:trHeight w:val="138"/>
            </w:trPr>
            <w:tc>
              <w:tcPr>
                <w:tcW w:w="2552" w:type="dxa"/>
              </w:tcPr>
              <w:p w:rsidR="00FD6348" w:rsidRDefault="00477E34">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49" w:type="dxa"/>
              </w:tcPr>
              <w:p w:rsidR="00FD6348" w:rsidRDefault="00477E34">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FD6348" w:rsidRDefault="00FD6348">
          <w:pPr>
            <w:tabs>
              <w:tab w:val="right" w:pos="8838"/>
            </w:tabs>
            <w:ind w:left="-28"/>
            <w:jc w:val="both"/>
            <w:rPr>
              <w:rFonts w:ascii="Arial" w:eastAsia="Arial" w:hAnsi="Arial" w:cs="Arial"/>
              <w:b/>
              <w:bCs/>
              <w:sz w:val="22"/>
              <w:szCs w:val="22"/>
            </w:rPr>
          </w:pPr>
        </w:p>
      </w:tc>
    </w:tr>
  </w:tbl>
  <w:p w:rsidR="00FD6348" w:rsidRDefault="0061156D">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79.4pt;margin-top:-123.6pt;width:663.5pt;height:12in;z-index:-251658240;mso-wrap-edited:f;mso-position-horizontal:absolute;mso-position-horizontal-relative:margin;mso-position-vertical:absolute;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348" w:rsidRDefault="0061156D">
    <w:r>
      <w:rPr>
        <w:rFonts w:ascii="Palatino Linotype" w:eastAsia="Palatino Linotype" w:hAnsi="Palatino Linotype" w:cs="Palatino Linotype"/>
        <w:b/>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MARCA DE AGUA - HOJA RESOLUCIÓN" style="position:absolute;margin-left:-79.7pt;margin-top:-120.95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93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4"/>
      <w:gridCol w:w="2405"/>
      <w:gridCol w:w="4257"/>
    </w:tblGrid>
    <w:tr w:rsidR="00FD6348">
      <w:trPr>
        <w:trHeight w:val="466"/>
      </w:trPr>
      <w:tc>
        <w:tcPr>
          <w:tcW w:w="2694" w:type="dxa"/>
          <w:vAlign w:val="bottom"/>
        </w:tcPr>
        <w:p w:rsidR="00FD6348" w:rsidRDefault="00FD6348">
          <w:pPr>
            <w:tabs>
              <w:tab w:val="right" w:pos="8838"/>
            </w:tabs>
            <w:ind w:right="-105"/>
            <w:rPr>
              <w:rFonts w:ascii="Palatino Linotype" w:eastAsia="Palatino Linotype" w:hAnsi="Palatino Linotype" w:cs="Palatino Linotype"/>
              <w:b/>
              <w:bCs/>
              <w:sz w:val="22"/>
              <w:szCs w:val="22"/>
            </w:rPr>
          </w:pPr>
        </w:p>
      </w:tc>
      <w:tc>
        <w:tcPr>
          <w:tcW w:w="2405" w:type="dxa"/>
          <w:vAlign w:val="bottom"/>
        </w:tcPr>
        <w:p w:rsidR="00FD6348" w:rsidRDefault="00477E34">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rsidR="00FD6348" w:rsidRDefault="00477E34">
          <w:pPr>
            <w:tabs>
              <w:tab w:val="left" w:pos="3435"/>
              <w:tab w:val="right" w:pos="8838"/>
            </w:tabs>
            <w:spacing w:line="276" w:lineRule="auto"/>
            <w:ind w:left="-28" w:right="39"/>
            <w:jc w:val="both"/>
            <w:rPr>
              <w:rFonts w:ascii="Palatino Linotype" w:eastAsia="Palatino Linotype" w:hAnsi="Palatino Linotype" w:cs="Palatino Linotype"/>
              <w:sz w:val="22"/>
              <w:szCs w:val="22"/>
            </w:rPr>
          </w:pPr>
          <w:bookmarkStart w:id="32" w:name="_heading=h.izxhbgpclins" w:colFirst="0" w:colLast="0"/>
          <w:bookmarkEnd w:id="32"/>
          <w:r>
            <w:rPr>
              <w:rFonts w:ascii="Palatino Linotype" w:eastAsia="Palatino Linotype" w:hAnsi="Palatino Linotype" w:cs="Palatino Linotype"/>
              <w:sz w:val="22"/>
              <w:szCs w:val="22"/>
            </w:rPr>
            <w:t>12956/INFOEM/IP/RR/2025</w:t>
          </w:r>
        </w:p>
      </w:tc>
    </w:tr>
    <w:tr w:rsidR="00FD6348">
      <w:trPr>
        <w:trHeight w:val="119"/>
      </w:trPr>
      <w:tc>
        <w:tcPr>
          <w:tcW w:w="2694" w:type="dxa"/>
        </w:tcPr>
        <w:p w:rsidR="00FD6348" w:rsidRDefault="00FD6348">
          <w:pPr>
            <w:tabs>
              <w:tab w:val="right" w:pos="8838"/>
            </w:tabs>
            <w:ind w:right="-105"/>
            <w:rPr>
              <w:rFonts w:ascii="Palatino Linotype" w:eastAsia="Palatino Linotype" w:hAnsi="Palatino Linotype" w:cs="Palatino Linotype"/>
              <w:b/>
              <w:bCs/>
              <w:sz w:val="22"/>
              <w:szCs w:val="22"/>
            </w:rPr>
          </w:pPr>
        </w:p>
      </w:tc>
      <w:tc>
        <w:tcPr>
          <w:tcW w:w="2405" w:type="dxa"/>
        </w:tcPr>
        <w:p w:rsidR="00FD6348" w:rsidRDefault="00477E34">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rsidR="00FD6348" w:rsidRDefault="00FD6348">
          <w:pPr>
            <w:tabs>
              <w:tab w:val="right" w:pos="8838"/>
            </w:tabs>
            <w:spacing w:line="276" w:lineRule="auto"/>
            <w:ind w:right="-246"/>
            <w:jc w:val="both"/>
            <w:rPr>
              <w:rFonts w:ascii="Palatino Linotype" w:eastAsia="Palatino Linotype" w:hAnsi="Palatino Linotype" w:cs="Palatino Linotype"/>
              <w:sz w:val="22"/>
              <w:szCs w:val="22"/>
            </w:rPr>
          </w:pPr>
        </w:p>
      </w:tc>
    </w:tr>
    <w:tr w:rsidR="00FD6348">
      <w:trPr>
        <w:trHeight w:val="234"/>
      </w:trPr>
      <w:tc>
        <w:tcPr>
          <w:tcW w:w="2694" w:type="dxa"/>
        </w:tcPr>
        <w:p w:rsidR="00FD6348" w:rsidRDefault="00FD6348">
          <w:pPr>
            <w:tabs>
              <w:tab w:val="right" w:pos="8838"/>
            </w:tabs>
            <w:ind w:right="-105"/>
            <w:rPr>
              <w:rFonts w:ascii="Palatino Linotype" w:eastAsia="Palatino Linotype" w:hAnsi="Palatino Linotype" w:cs="Palatino Linotype"/>
              <w:b/>
              <w:bCs/>
              <w:sz w:val="22"/>
              <w:szCs w:val="22"/>
            </w:rPr>
          </w:pPr>
        </w:p>
      </w:tc>
      <w:tc>
        <w:tcPr>
          <w:tcW w:w="2405" w:type="dxa"/>
        </w:tcPr>
        <w:p w:rsidR="00FD6348" w:rsidRDefault="00477E34">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rsidR="00FD6348" w:rsidRDefault="00477E34">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Tepotzotlán</w:t>
          </w:r>
        </w:p>
      </w:tc>
    </w:tr>
    <w:tr w:rsidR="00FD6348">
      <w:trPr>
        <w:trHeight w:val="234"/>
      </w:trPr>
      <w:tc>
        <w:tcPr>
          <w:tcW w:w="2694" w:type="dxa"/>
        </w:tcPr>
        <w:p w:rsidR="00FD6348" w:rsidRDefault="00FD6348">
          <w:pPr>
            <w:tabs>
              <w:tab w:val="right" w:pos="8838"/>
            </w:tabs>
            <w:ind w:right="-105"/>
            <w:rPr>
              <w:rFonts w:ascii="Palatino Linotype" w:eastAsia="Palatino Linotype" w:hAnsi="Palatino Linotype" w:cs="Palatino Linotype"/>
              <w:b/>
              <w:bCs/>
              <w:sz w:val="22"/>
              <w:szCs w:val="22"/>
            </w:rPr>
          </w:pPr>
        </w:p>
      </w:tc>
      <w:tc>
        <w:tcPr>
          <w:tcW w:w="2405" w:type="dxa"/>
        </w:tcPr>
        <w:p w:rsidR="00FD6348" w:rsidRDefault="00477E34">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rsidR="00FD6348" w:rsidRDefault="00477E34">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FD6348" w:rsidRDefault="00FD6348">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924175"/>
    <w:multiLevelType w:val="multilevel"/>
    <w:tmpl w:val="CEB6C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704D5E"/>
    <w:multiLevelType w:val="multilevel"/>
    <w:tmpl w:val="ADD0A524"/>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348"/>
    <w:rsid w:val="00477E34"/>
    <w:rsid w:val="0061156D"/>
    <w:rsid w:val="00891B0F"/>
    <w:rsid w:val="009A6C8C"/>
    <w:rsid w:val="00B87133"/>
    <w:rsid w:val="00C313FB"/>
    <w:rsid w:val="00D02D25"/>
    <w:rsid w:val="00FD63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E6878BF6-2C94-4D64-8479-8B2E62777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elgarroteperiodismocritico.com/2025/10/07/tepotzotlan-punta-de-lanza-del-turismo-religioso-en-el-valle-de-mexic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1HCFwCaJWYuWDvy9kXy/WoWwbg==">CgMxLjAyDmguaW5ldDQ2dWc5NGVqMg5oLnFzMGdqaHpiYnkweDIOaC5tazA5N21tbGFqNnYyDmguOWk0bndldmI0MDdsMg5oLm1uZXRzeHpnMnpjejIOaC5idXAxZWNra244NmsyDmguY3M1cnY0bHRjdDU4Mg5oLmtxMDYxeHI0bjkzczIOaC52cHQ3bHU5YzZxaGsyDmgubDE0dnQzeXZsM2d2Mg5oLms3bmo4aDgwd2tzZDIOaC5vdWt5cXgzdm02ZmYyDmgueTliODhna3NlcTNmMg5oLjh1ODZ5YzFjb2dvMzIOaC5oMnllaTJvMHg4eDgyDmguMXFxeHlkeDRiZnBtMg5oLmtkZ2Q1ODY2dHVjMDIOaC5penhoYmdwY2xpbnM4AHIhMXdKbUZSZ0lsLWI2eTBDNzVTSnFZQzRQcjN0MTM2Tnh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19EF50-5536-431C-A90F-C79C21AC7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4993</Words>
  <Characters>27466</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3</cp:revision>
  <cp:lastPrinted>2025-12-05T14:39:00Z</cp:lastPrinted>
  <dcterms:created xsi:type="dcterms:W3CDTF">2025-12-05T14:39:00Z</dcterms:created>
  <dcterms:modified xsi:type="dcterms:W3CDTF">2025-12-05T14:39:00Z</dcterms:modified>
</cp:coreProperties>
</file>