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7F2A" w14:textId="77777777" w:rsidR="00D10152" w:rsidRPr="001429FF" w:rsidRDefault="00785AE5">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1429F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8648E" w:rsidRPr="001429FF">
        <w:rPr>
          <w:rFonts w:ascii="Palatino Linotype" w:eastAsia="Palatino Linotype" w:hAnsi="Palatino Linotype" w:cs="Palatino Linotype"/>
        </w:rPr>
        <w:t xml:space="preserve">dieciséis de </w:t>
      </w:r>
      <w:r w:rsidRPr="001429FF">
        <w:rPr>
          <w:rFonts w:ascii="Palatino Linotype" w:eastAsia="Palatino Linotype" w:hAnsi="Palatino Linotype" w:cs="Palatino Linotype"/>
        </w:rPr>
        <w:t xml:space="preserve">julio de dos mil veinticinco. </w:t>
      </w:r>
    </w:p>
    <w:p w14:paraId="0BEC3A2A" w14:textId="77777777" w:rsidR="00D10152" w:rsidRPr="001429FF" w:rsidRDefault="00785AE5">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1429FF">
        <w:rPr>
          <w:rFonts w:ascii="Palatino Linotype" w:eastAsia="Palatino Linotype" w:hAnsi="Palatino Linotype" w:cs="Palatino Linotype"/>
          <w:b/>
        </w:rPr>
        <w:t>VISTO</w:t>
      </w:r>
      <w:r w:rsidRPr="001429FF">
        <w:rPr>
          <w:rFonts w:ascii="Palatino Linotype" w:eastAsia="Palatino Linotype" w:hAnsi="Palatino Linotype" w:cs="Palatino Linotype"/>
        </w:rPr>
        <w:t xml:space="preserve"> el expediente formado con motivo del recurso de revisión </w:t>
      </w:r>
      <w:r w:rsidRPr="001429FF">
        <w:rPr>
          <w:rFonts w:ascii="Palatino Linotype" w:eastAsia="Palatino Linotype" w:hAnsi="Palatino Linotype" w:cs="Palatino Linotype"/>
          <w:b/>
        </w:rPr>
        <w:t>045</w:t>
      </w:r>
      <w:r w:rsidR="0018648E" w:rsidRPr="001429FF">
        <w:rPr>
          <w:rFonts w:ascii="Palatino Linotype" w:eastAsia="Palatino Linotype" w:hAnsi="Palatino Linotype" w:cs="Palatino Linotype"/>
          <w:b/>
        </w:rPr>
        <w:t>59</w:t>
      </w:r>
      <w:r w:rsidRPr="001429FF">
        <w:rPr>
          <w:rFonts w:ascii="Palatino Linotype" w:eastAsia="Palatino Linotype" w:hAnsi="Palatino Linotype" w:cs="Palatino Linotype"/>
          <w:b/>
        </w:rPr>
        <w:t>/INFOEM/IP/RR/2025</w:t>
      </w:r>
      <w:r w:rsidRPr="001429FF">
        <w:rPr>
          <w:rFonts w:ascii="Palatino Linotype" w:eastAsia="Palatino Linotype" w:hAnsi="Palatino Linotype" w:cs="Palatino Linotype"/>
        </w:rPr>
        <w:t>, interpuesto por</w:t>
      </w:r>
      <w:r w:rsidRPr="001429FF">
        <w:rPr>
          <w:rFonts w:ascii="Palatino Linotype" w:eastAsia="Palatino Linotype" w:hAnsi="Palatino Linotype" w:cs="Palatino Linotype"/>
          <w:b/>
        </w:rPr>
        <w:t xml:space="preserve"> una persona que no proporcionó nombre o seudónimo,</w:t>
      </w:r>
      <w:r w:rsidRPr="001429FF">
        <w:rPr>
          <w:rFonts w:ascii="Palatino Linotype" w:eastAsia="Palatino Linotype" w:hAnsi="Palatino Linotype" w:cs="Palatino Linotype"/>
        </w:rPr>
        <w:t xml:space="preserve"> en lo sucesivo</w:t>
      </w:r>
      <w:r w:rsidRPr="001429FF">
        <w:rPr>
          <w:rFonts w:ascii="Palatino Linotype" w:eastAsia="Palatino Linotype" w:hAnsi="Palatino Linotype" w:cs="Palatino Linotype"/>
          <w:b/>
        </w:rPr>
        <w:t xml:space="preserve"> </w:t>
      </w:r>
      <w:r w:rsidRPr="001429FF">
        <w:rPr>
          <w:rFonts w:ascii="Palatino Linotype" w:eastAsia="Palatino Linotype" w:hAnsi="Palatino Linotype" w:cs="Palatino Linotype"/>
        </w:rPr>
        <w:t xml:space="preserve">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 xml:space="preserve"> en contra de la respuesta a la solicitud de información con número de folio</w:t>
      </w:r>
      <w:r w:rsidRPr="001429FF">
        <w:rPr>
          <w:rFonts w:ascii="Palatino Linotype" w:eastAsia="Palatino Linotype" w:hAnsi="Palatino Linotype" w:cs="Palatino Linotype"/>
          <w:b/>
        </w:rPr>
        <w:t xml:space="preserve"> </w:t>
      </w:r>
      <w:r w:rsidR="0018648E" w:rsidRPr="001429FF">
        <w:rPr>
          <w:rFonts w:ascii="Palatino Linotype" w:eastAsia="Palatino Linotype" w:hAnsi="Palatino Linotype" w:cs="Palatino Linotype"/>
          <w:b/>
        </w:rPr>
        <w:t>00031/VIALLEN/IP/2025</w:t>
      </w:r>
      <w:r w:rsidRPr="001429FF">
        <w:rPr>
          <w:rFonts w:ascii="Palatino Linotype" w:eastAsia="Palatino Linotype" w:hAnsi="Palatino Linotype" w:cs="Palatino Linotype"/>
          <w:b/>
        </w:rPr>
        <w:t xml:space="preserve">, </w:t>
      </w:r>
      <w:r w:rsidRPr="001429FF">
        <w:rPr>
          <w:rFonts w:ascii="Palatino Linotype" w:eastAsia="Palatino Linotype" w:hAnsi="Palatino Linotype" w:cs="Palatino Linotype"/>
        </w:rPr>
        <w:t xml:space="preserve">por parte del </w:t>
      </w:r>
      <w:r w:rsidR="0018648E" w:rsidRPr="001429FF">
        <w:rPr>
          <w:rFonts w:ascii="Palatino Linotype" w:eastAsia="Palatino Linotype" w:hAnsi="Palatino Linotype" w:cs="Palatino Linotype"/>
          <w:b/>
        </w:rPr>
        <w:t>Ayuntamiento de Villa de Allende</w:t>
      </w:r>
      <w:r w:rsidRPr="001429FF">
        <w:rPr>
          <w:rFonts w:ascii="Palatino Linotype" w:eastAsia="Palatino Linotype" w:hAnsi="Palatino Linotype" w:cs="Palatino Linotype"/>
          <w:b/>
        </w:rPr>
        <w:t xml:space="preserve">, </w:t>
      </w:r>
      <w:r w:rsidRPr="001429FF">
        <w:rPr>
          <w:rFonts w:ascii="Palatino Linotype" w:eastAsia="Palatino Linotype" w:hAnsi="Palatino Linotype" w:cs="Palatino Linotype"/>
        </w:rPr>
        <w:t xml:space="preserve">en lo sucesivo 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 xml:space="preserve">se procede a dictar la presente resolución con base en los siguientes: </w:t>
      </w:r>
    </w:p>
    <w:p w14:paraId="008010D0" w14:textId="77777777" w:rsidR="00D10152" w:rsidRPr="001429FF" w:rsidRDefault="00785AE5">
      <w:pPr>
        <w:spacing w:before="240" w:after="240" w:line="360" w:lineRule="auto"/>
        <w:jc w:val="center"/>
        <w:rPr>
          <w:rFonts w:ascii="Palatino Linotype" w:eastAsia="Palatino Linotype" w:hAnsi="Palatino Linotype" w:cs="Palatino Linotype"/>
          <w:b/>
        </w:rPr>
      </w:pPr>
      <w:r w:rsidRPr="001429FF">
        <w:rPr>
          <w:rFonts w:ascii="Palatino Linotype" w:eastAsia="Palatino Linotype" w:hAnsi="Palatino Linotype" w:cs="Palatino Linotype"/>
          <w:b/>
        </w:rPr>
        <w:t>I. A N T E C E D E N T E S</w:t>
      </w:r>
    </w:p>
    <w:p w14:paraId="4C11ADD7" w14:textId="77777777" w:rsidR="00D10152" w:rsidRPr="001429FF" w:rsidRDefault="00785AE5">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1429FF">
        <w:rPr>
          <w:rFonts w:ascii="Palatino Linotype" w:eastAsia="Palatino Linotype" w:hAnsi="Palatino Linotype" w:cs="Palatino Linotype"/>
          <w:b/>
        </w:rPr>
        <w:t>1. Solicitud de acceso a la información.</w:t>
      </w:r>
      <w:r w:rsidRPr="001429FF">
        <w:rPr>
          <w:rFonts w:ascii="Palatino Linotype" w:eastAsia="Palatino Linotype" w:hAnsi="Palatino Linotype" w:cs="Palatino Linotype"/>
        </w:rPr>
        <w:t xml:space="preserve"> El </w:t>
      </w:r>
      <w:r w:rsidRPr="001429FF">
        <w:rPr>
          <w:rFonts w:ascii="Palatino Linotype" w:eastAsia="Palatino Linotype" w:hAnsi="Palatino Linotype" w:cs="Palatino Linotype"/>
          <w:b/>
        </w:rPr>
        <w:t>veinti</w:t>
      </w:r>
      <w:r w:rsidR="0018648E" w:rsidRPr="001429FF">
        <w:rPr>
          <w:rFonts w:ascii="Palatino Linotype" w:eastAsia="Palatino Linotype" w:hAnsi="Palatino Linotype" w:cs="Palatino Linotype"/>
          <w:b/>
        </w:rPr>
        <w:t xml:space="preserve">ocho </w:t>
      </w:r>
      <w:r w:rsidRPr="001429FF">
        <w:rPr>
          <w:rFonts w:ascii="Palatino Linotype" w:eastAsia="Palatino Linotype" w:hAnsi="Palatino Linotype" w:cs="Palatino Linotype"/>
          <w:b/>
        </w:rPr>
        <w:t>de marzo de dos mil veinticinco,</w:t>
      </w:r>
      <w:r w:rsidRPr="001429FF">
        <w:rPr>
          <w:rFonts w:ascii="Palatino Linotype" w:eastAsia="Palatino Linotype" w:hAnsi="Palatino Linotype" w:cs="Palatino Linotype"/>
        </w:rPr>
        <w:t xml:space="preserve"> la parte </w:t>
      </w:r>
      <w:r w:rsidRPr="001429FF">
        <w:rPr>
          <w:rFonts w:ascii="Palatino Linotype" w:eastAsia="Palatino Linotype" w:hAnsi="Palatino Linotype" w:cs="Palatino Linotype"/>
          <w:b/>
        </w:rPr>
        <w:t xml:space="preserve">Recurrente </w:t>
      </w:r>
      <w:r w:rsidRPr="001429FF">
        <w:rPr>
          <w:rFonts w:ascii="Palatino Linotype" w:eastAsia="Palatino Linotype" w:hAnsi="Palatino Linotype" w:cs="Palatino Linotype"/>
        </w:rPr>
        <w:t xml:space="preserve">presentó la solicitud de acceso a la información pública ante el </w:t>
      </w:r>
      <w:r w:rsidRPr="001429FF">
        <w:rPr>
          <w:rFonts w:ascii="Palatino Linotype" w:eastAsia="Palatino Linotype" w:hAnsi="Palatino Linotype" w:cs="Palatino Linotype"/>
          <w:b/>
        </w:rPr>
        <w:t>Sujeto Obligado</w:t>
      </w:r>
      <w:r w:rsidRPr="001429FF">
        <w:rPr>
          <w:rFonts w:ascii="Palatino Linotype" w:eastAsia="Palatino Linotype" w:hAnsi="Palatino Linotype" w:cs="Palatino Linotype"/>
        </w:rPr>
        <w:t xml:space="preserve">, a través del Sistema de Acceso a la Información Mexiquense, en lo subsecuente el </w:t>
      </w:r>
      <w:r w:rsidRPr="001429FF">
        <w:rPr>
          <w:rFonts w:ascii="Palatino Linotype" w:eastAsia="Palatino Linotype" w:hAnsi="Palatino Linotype" w:cs="Palatino Linotype"/>
          <w:b/>
        </w:rPr>
        <w:t>SAIMEX,</w:t>
      </w:r>
      <w:r w:rsidRPr="001429FF">
        <w:rPr>
          <w:rFonts w:ascii="Palatino Linotype" w:eastAsia="Palatino Linotype" w:hAnsi="Palatino Linotype" w:cs="Palatino Linotype"/>
        </w:rPr>
        <w:t xml:space="preserve"> mediante la cual requirió lo siguiente:</w:t>
      </w:r>
    </w:p>
    <w:p w14:paraId="5D46E660" w14:textId="77777777" w:rsidR="00D10152" w:rsidRPr="001429FF" w:rsidRDefault="00785AE5">
      <w:pPr>
        <w:spacing w:before="120" w:after="120"/>
        <w:ind w:left="851" w:right="902"/>
        <w:jc w:val="both"/>
        <w:rPr>
          <w:rFonts w:ascii="Palatino Linotype" w:eastAsia="Palatino Linotype" w:hAnsi="Palatino Linotype" w:cs="Palatino Linotype"/>
          <w:b/>
          <w:i/>
          <w:sz w:val="22"/>
          <w:szCs w:val="22"/>
        </w:rPr>
      </w:pPr>
      <w:r w:rsidRPr="001429FF">
        <w:rPr>
          <w:rFonts w:ascii="Palatino Linotype" w:eastAsia="Palatino Linotype" w:hAnsi="Palatino Linotype" w:cs="Palatino Linotype"/>
          <w:i/>
          <w:sz w:val="22"/>
          <w:szCs w:val="22"/>
        </w:rPr>
        <w:t xml:space="preserve"> “</w:t>
      </w:r>
      <w:r w:rsidR="0018648E" w:rsidRPr="001429FF">
        <w:rPr>
          <w:rFonts w:ascii="Palatino Linotype" w:eastAsia="Palatino Linotype" w:hAnsi="Palatino Linotype" w:cs="Palatino Linotype"/>
          <w:i/>
          <w:sz w:val="22"/>
          <w:szCs w:val="22"/>
        </w:rPr>
        <w:t xml:space="preserve">sanciones </w:t>
      </w:r>
      <w:proofErr w:type="spellStart"/>
      <w:r w:rsidR="0018648E" w:rsidRPr="001429FF">
        <w:rPr>
          <w:rFonts w:ascii="Palatino Linotype" w:eastAsia="Palatino Linotype" w:hAnsi="Palatino Linotype" w:cs="Palatino Linotype"/>
          <w:i/>
          <w:sz w:val="22"/>
          <w:szCs w:val="22"/>
        </w:rPr>
        <w:t>qie</w:t>
      </w:r>
      <w:proofErr w:type="spellEnd"/>
      <w:r w:rsidR="0018648E" w:rsidRPr="001429FF">
        <w:rPr>
          <w:rFonts w:ascii="Palatino Linotype" w:eastAsia="Palatino Linotype" w:hAnsi="Palatino Linotype" w:cs="Palatino Linotype"/>
          <w:i/>
          <w:sz w:val="22"/>
          <w:szCs w:val="22"/>
        </w:rPr>
        <w:t xml:space="preserve"> ha recibido el </w:t>
      </w:r>
      <w:proofErr w:type="spellStart"/>
      <w:r w:rsidR="0018648E" w:rsidRPr="001429FF">
        <w:rPr>
          <w:rFonts w:ascii="Palatino Linotype" w:eastAsia="Palatino Linotype" w:hAnsi="Palatino Linotype" w:cs="Palatino Linotype"/>
          <w:i/>
          <w:sz w:val="22"/>
          <w:szCs w:val="22"/>
        </w:rPr>
        <w:t>auintamiento</w:t>
      </w:r>
      <w:proofErr w:type="spellEnd"/>
      <w:r w:rsidR="0018648E" w:rsidRPr="001429FF">
        <w:rPr>
          <w:rFonts w:ascii="Palatino Linotype" w:eastAsia="Palatino Linotype" w:hAnsi="Palatino Linotype" w:cs="Palatino Linotype"/>
          <w:i/>
          <w:sz w:val="22"/>
          <w:szCs w:val="22"/>
        </w:rPr>
        <w:t xml:space="preserve"> de villa de allende desde 2022 a la fecha de la solicitud y cuantos procedimientos sancionatorios ha iniciado la </w:t>
      </w:r>
      <w:proofErr w:type="spellStart"/>
      <w:r w:rsidR="0018648E" w:rsidRPr="001429FF">
        <w:rPr>
          <w:rFonts w:ascii="Palatino Linotype" w:eastAsia="Palatino Linotype" w:hAnsi="Palatino Linotype" w:cs="Palatino Linotype"/>
          <w:i/>
          <w:sz w:val="22"/>
          <w:szCs w:val="22"/>
        </w:rPr>
        <w:t>contraloriav</w:t>
      </w:r>
      <w:proofErr w:type="spellEnd"/>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b/>
          <w:i/>
          <w:sz w:val="22"/>
          <w:szCs w:val="22"/>
        </w:rPr>
        <w:t>”</w:t>
      </w:r>
      <w:r w:rsidRPr="001429FF">
        <w:rPr>
          <w:rFonts w:ascii="Palatino Linotype" w:eastAsia="Palatino Linotype" w:hAnsi="Palatino Linotype" w:cs="Palatino Linotype"/>
          <w:i/>
          <w:sz w:val="22"/>
          <w:szCs w:val="22"/>
        </w:rPr>
        <w:t xml:space="preserve"> (sic) </w:t>
      </w:r>
    </w:p>
    <w:p w14:paraId="0400CAF1" w14:textId="77777777" w:rsidR="00D10152" w:rsidRPr="001429FF" w:rsidRDefault="00785AE5">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1429FF">
        <w:rPr>
          <w:rFonts w:ascii="Palatino Linotype" w:eastAsia="Palatino Linotype" w:hAnsi="Palatino Linotype" w:cs="Palatino Linotype"/>
          <w:b/>
        </w:rPr>
        <w:t>Modalidad de Entrega:</w:t>
      </w:r>
      <w:r w:rsidRPr="001429FF">
        <w:rPr>
          <w:rFonts w:ascii="Palatino Linotype" w:eastAsia="Palatino Linotype" w:hAnsi="Palatino Linotype" w:cs="Palatino Linotype"/>
        </w:rPr>
        <w:t xml:space="preserve"> a través del</w:t>
      </w:r>
      <w:r w:rsidRPr="001429FF">
        <w:rPr>
          <w:rFonts w:ascii="Palatino Linotype" w:eastAsia="Palatino Linotype" w:hAnsi="Palatino Linotype" w:cs="Palatino Linotype"/>
          <w:b/>
        </w:rPr>
        <w:t xml:space="preserve"> SAIMEX.</w:t>
      </w:r>
    </w:p>
    <w:p w14:paraId="2D763FC4"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b/>
        </w:rPr>
        <w:t xml:space="preserve">2. Respuesta. </w:t>
      </w:r>
      <w:r w:rsidRPr="001429FF">
        <w:rPr>
          <w:rFonts w:ascii="Palatino Linotype" w:eastAsia="Palatino Linotype" w:hAnsi="Palatino Linotype" w:cs="Palatino Linotype"/>
        </w:rPr>
        <w:t xml:space="preserve">El </w:t>
      </w:r>
      <w:r w:rsidR="0018648E" w:rsidRPr="001429FF">
        <w:rPr>
          <w:rFonts w:ascii="Palatino Linotype" w:eastAsia="Palatino Linotype" w:hAnsi="Palatino Linotype" w:cs="Palatino Linotype"/>
          <w:b/>
        </w:rPr>
        <w:t>ocho</w:t>
      </w:r>
      <w:r w:rsidRPr="001429FF">
        <w:rPr>
          <w:rFonts w:ascii="Palatino Linotype" w:eastAsia="Palatino Linotype" w:hAnsi="Palatino Linotype" w:cs="Palatino Linotype"/>
          <w:b/>
        </w:rPr>
        <w:t xml:space="preserve"> de abril de dos mil veinticinco,</w:t>
      </w:r>
      <w:r w:rsidRPr="001429FF">
        <w:rPr>
          <w:rFonts w:ascii="Palatino Linotype" w:eastAsia="Palatino Linotype" w:hAnsi="Palatino Linotype" w:cs="Palatino Linotype"/>
        </w:rPr>
        <w:t xml:space="preserve"> 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2C790F3B" w14:textId="77777777" w:rsidR="00D10152" w:rsidRPr="001429FF" w:rsidRDefault="00785AE5">
      <w:pPr>
        <w:spacing w:before="240" w:after="24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lastRenderedPageBreak/>
        <w:t>“…</w:t>
      </w:r>
      <w:r w:rsidR="0018648E" w:rsidRPr="001429FF">
        <w:rPr>
          <w:rFonts w:ascii="Palatino Linotype" w:eastAsia="Palatino Linotype" w:hAnsi="Palatino Linotype" w:cs="Palatino Linotype"/>
          <w:i/>
          <w:sz w:val="22"/>
          <w:szCs w:val="22"/>
        </w:rPr>
        <w:t>ADJUNTO ARCHIVOS DE RESPUESTA.</w:t>
      </w:r>
      <w:r w:rsidRPr="001429FF">
        <w:rPr>
          <w:rFonts w:ascii="Palatino Linotype" w:eastAsia="Palatino Linotype" w:hAnsi="Palatino Linotype" w:cs="Palatino Linotype"/>
          <w:i/>
          <w:sz w:val="22"/>
          <w:szCs w:val="22"/>
        </w:rPr>
        <w:t>..” (sic)</w:t>
      </w:r>
    </w:p>
    <w:p w14:paraId="3B4A19C9" w14:textId="77777777" w:rsidR="00D10152" w:rsidRPr="001429FF" w:rsidRDefault="00785AE5">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adjuntó lo siguiente:</w:t>
      </w:r>
    </w:p>
    <w:p w14:paraId="24CBF536" w14:textId="77777777" w:rsidR="00CD2073" w:rsidRPr="001429FF" w:rsidRDefault="00785AE5" w:rsidP="009116F5">
      <w:pPr>
        <w:spacing w:before="240" w:after="240" w:line="360" w:lineRule="auto"/>
        <w:ind w:left="142" w:right="49"/>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 Oficio número </w:t>
      </w:r>
      <w:r w:rsidR="0018648E" w:rsidRPr="001429FF">
        <w:rPr>
          <w:rFonts w:ascii="Palatino Linotype" w:eastAsia="Palatino Linotype" w:hAnsi="Palatino Linotype" w:cs="Palatino Linotype"/>
        </w:rPr>
        <w:t>UTA</w:t>
      </w:r>
      <w:r w:rsidR="00067B3B" w:rsidRPr="001429FF">
        <w:rPr>
          <w:rFonts w:ascii="Palatino Linotype" w:eastAsia="Palatino Linotype" w:hAnsi="Palatino Linotype" w:cs="Palatino Linotype"/>
        </w:rPr>
        <w:t>IP/VA</w:t>
      </w:r>
      <w:r w:rsidRPr="001429FF">
        <w:rPr>
          <w:rFonts w:ascii="Palatino Linotype" w:eastAsia="Palatino Linotype" w:hAnsi="Palatino Linotype" w:cs="Palatino Linotype"/>
        </w:rPr>
        <w:t>/</w:t>
      </w:r>
      <w:r w:rsidR="00067B3B" w:rsidRPr="001429FF">
        <w:rPr>
          <w:rFonts w:ascii="Palatino Linotype" w:eastAsia="Palatino Linotype" w:hAnsi="Palatino Linotype" w:cs="Palatino Linotype"/>
        </w:rPr>
        <w:t>091/IV/</w:t>
      </w:r>
      <w:r w:rsidRPr="001429FF">
        <w:rPr>
          <w:rFonts w:ascii="Palatino Linotype" w:eastAsia="Palatino Linotype" w:hAnsi="Palatino Linotype" w:cs="Palatino Linotype"/>
        </w:rPr>
        <w:t>2025, del o</w:t>
      </w:r>
      <w:r w:rsidR="00067B3B" w:rsidRPr="001429FF">
        <w:rPr>
          <w:rFonts w:ascii="Palatino Linotype" w:eastAsia="Palatino Linotype" w:hAnsi="Palatino Linotype" w:cs="Palatino Linotype"/>
        </w:rPr>
        <w:t>cho</w:t>
      </w:r>
      <w:r w:rsidRPr="001429FF">
        <w:rPr>
          <w:rFonts w:ascii="Palatino Linotype" w:eastAsia="Palatino Linotype" w:hAnsi="Palatino Linotype" w:cs="Palatino Linotype"/>
        </w:rPr>
        <w:t xml:space="preserve"> d</w:t>
      </w:r>
      <w:r w:rsidR="00CD2073" w:rsidRPr="001429FF">
        <w:rPr>
          <w:rFonts w:ascii="Palatino Linotype" w:eastAsia="Palatino Linotype" w:hAnsi="Palatino Linotype" w:cs="Palatino Linotype"/>
        </w:rPr>
        <w:t xml:space="preserve">e abril de dos mil veinticinco, </w:t>
      </w:r>
      <w:r w:rsidRPr="001429FF">
        <w:rPr>
          <w:rFonts w:ascii="Palatino Linotype" w:eastAsia="Palatino Linotype" w:hAnsi="Palatino Linotype" w:cs="Palatino Linotype"/>
        </w:rPr>
        <w:t xml:space="preserve">mediante el cual el </w:t>
      </w:r>
      <w:r w:rsidR="00CD2073" w:rsidRPr="001429FF">
        <w:rPr>
          <w:rFonts w:ascii="Palatino Linotype" w:eastAsia="Palatino Linotype" w:hAnsi="Palatino Linotype" w:cs="Palatino Linotype"/>
        </w:rPr>
        <w:t>encargado de Despacho de la Unidad de Transparencia notificó a la persona solicitante la respuesta proporcionada por la Contraloría Interna.</w:t>
      </w:r>
    </w:p>
    <w:p w14:paraId="3F8ACD24" w14:textId="77777777" w:rsidR="00CD2073" w:rsidRPr="001429FF" w:rsidRDefault="00CD2073" w:rsidP="009116F5">
      <w:pPr>
        <w:spacing w:before="240" w:after="240" w:line="360" w:lineRule="auto"/>
        <w:ind w:left="142" w:right="49"/>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 Oficio </w:t>
      </w:r>
      <w:r w:rsidR="009116F5" w:rsidRPr="001429FF">
        <w:rPr>
          <w:rFonts w:ascii="Palatino Linotype" w:eastAsia="Palatino Linotype" w:hAnsi="Palatino Linotype" w:cs="Palatino Linotype"/>
        </w:rPr>
        <w:t xml:space="preserve">número </w:t>
      </w:r>
      <w:r w:rsidRPr="001429FF">
        <w:rPr>
          <w:rFonts w:ascii="Palatino Linotype" w:eastAsia="Palatino Linotype" w:hAnsi="Palatino Linotype" w:cs="Palatino Linotype"/>
        </w:rPr>
        <w:t>MVA/CIM/INT-018/IV/2025, del dos de abril de dos mil veinticinco, mediante el cual el titular del Órgano Interno de Control</w:t>
      </w:r>
      <w:r w:rsidR="003E5B2D" w:rsidRPr="001429FF">
        <w:rPr>
          <w:rFonts w:ascii="Palatino Linotype" w:eastAsia="Palatino Linotype" w:hAnsi="Palatino Linotype" w:cs="Palatino Linotype"/>
        </w:rPr>
        <w:t xml:space="preserve"> manifestó que se llevó a cabo una búsqueda exhaustiva en los archivos que obran en la Contraloría Interna Municipal, dando vista de que no se han encontrado registros donde se hayan recibido sanciones al </w:t>
      </w:r>
      <w:r w:rsidR="000E7BEB" w:rsidRPr="001429FF">
        <w:rPr>
          <w:rFonts w:ascii="Palatino Linotype" w:eastAsia="Palatino Linotype" w:hAnsi="Palatino Linotype" w:cs="Palatino Linotype"/>
        </w:rPr>
        <w:t>a</w:t>
      </w:r>
      <w:r w:rsidR="003E5B2D" w:rsidRPr="001429FF">
        <w:rPr>
          <w:rFonts w:ascii="Palatino Linotype" w:eastAsia="Palatino Linotype" w:hAnsi="Palatino Linotype" w:cs="Palatino Linotype"/>
        </w:rPr>
        <w:t xml:space="preserve">yuntamiento desde </w:t>
      </w:r>
      <w:r w:rsidR="000E7BEB" w:rsidRPr="001429FF">
        <w:rPr>
          <w:rFonts w:ascii="Palatino Linotype" w:eastAsia="Palatino Linotype" w:hAnsi="Palatino Linotype" w:cs="Palatino Linotype"/>
        </w:rPr>
        <w:t>dos mil veintidós</w:t>
      </w:r>
      <w:r w:rsidR="003E5B2D" w:rsidRPr="001429FF">
        <w:rPr>
          <w:rFonts w:ascii="Palatino Linotype" w:eastAsia="Palatino Linotype" w:hAnsi="Palatino Linotype" w:cs="Palatino Linotype"/>
        </w:rPr>
        <w:t xml:space="preserve"> a la fecha de la solicitud, asimismo</w:t>
      </w:r>
      <w:r w:rsidR="000E7BEB" w:rsidRPr="001429FF">
        <w:rPr>
          <w:rFonts w:ascii="Palatino Linotype" w:eastAsia="Palatino Linotype" w:hAnsi="Palatino Linotype" w:cs="Palatino Linotype"/>
        </w:rPr>
        <w:t xml:space="preserve"> indicó</w:t>
      </w:r>
      <w:r w:rsidR="003E5B2D" w:rsidRPr="001429FF">
        <w:rPr>
          <w:rFonts w:ascii="Palatino Linotype" w:eastAsia="Palatino Linotype" w:hAnsi="Palatino Linotype" w:cs="Palatino Linotype"/>
        </w:rPr>
        <w:t>, que no se han iniciado procedimientos sancionatorios en la Contraloría a la fecha.</w:t>
      </w:r>
    </w:p>
    <w:p w14:paraId="4AECC494" w14:textId="77777777" w:rsidR="00D10152" w:rsidRPr="001429FF" w:rsidRDefault="00785AE5">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b/>
        </w:rPr>
        <w:t xml:space="preserve">3. Interposición del recurso de revisión. </w:t>
      </w:r>
      <w:r w:rsidRPr="001429FF">
        <w:rPr>
          <w:rFonts w:ascii="Palatino Linotype" w:eastAsia="Palatino Linotype" w:hAnsi="Palatino Linotype" w:cs="Palatino Linotype"/>
        </w:rPr>
        <w:t xml:space="preserve">Inconforme con los términos de la respuesta emitida por parte del </w:t>
      </w:r>
      <w:r w:rsidRPr="001429FF">
        <w:rPr>
          <w:rFonts w:ascii="Palatino Linotype" w:eastAsia="Palatino Linotype" w:hAnsi="Palatino Linotype" w:cs="Palatino Linotype"/>
          <w:b/>
        </w:rPr>
        <w:t>Sujeto Obligado</w:t>
      </w:r>
      <w:r w:rsidRPr="001429FF">
        <w:rPr>
          <w:rFonts w:ascii="Palatino Linotype" w:eastAsia="Palatino Linotype" w:hAnsi="Palatino Linotype" w:cs="Palatino Linotype"/>
        </w:rPr>
        <w:t xml:space="preserve">, el </w:t>
      </w:r>
      <w:r w:rsidRPr="001429FF">
        <w:rPr>
          <w:rFonts w:ascii="Palatino Linotype" w:eastAsia="Palatino Linotype" w:hAnsi="Palatino Linotype" w:cs="Palatino Linotype"/>
          <w:b/>
        </w:rPr>
        <w:t>veintidós de abril de dos mil veinticinco,</w:t>
      </w:r>
      <w:r w:rsidRPr="001429FF">
        <w:rPr>
          <w:rFonts w:ascii="Palatino Linotype" w:eastAsia="Palatino Linotype" w:hAnsi="Palatino Linotype" w:cs="Palatino Linotype"/>
        </w:rPr>
        <w:t xml:space="preserve"> 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 xml:space="preserve"> interpuso el recurso de revisión a través de </w:t>
      </w:r>
      <w:r w:rsidRPr="001429FF">
        <w:rPr>
          <w:rFonts w:ascii="Palatino Linotype" w:eastAsia="Palatino Linotype" w:hAnsi="Palatino Linotype" w:cs="Palatino Linotype"/>
          <w:b/>
        </w:rPr>
        <w:t xml:space="preserve">SAIMEX, </w:t>
      </w:r>
      <w:r w:rsidRPr="001429FF">
        <w:rPr>
          <w:rFonts w:ascii="Palatino Linotype" w:eastAsia="Palatino Linotype" w:hAnsi="Palatino Linotype" w:cs="Palatino Linotype"/>
        </w:rPr>
        <w:t>en donde se manifestó de la siguiente manera:</w:t>
      </w:r>
    </w:p>
    <w:p w14:paraId="783E4E2F" w14:textId="77777777" w:rsidR="00D10152" w:rsidRPr="001429FF" w:rsidRDefault="00785AE5">
      <w:pPr>
        <w:spacing w:before="240" w:after="240" w:line="360" w:lineRule="auto"/>
        <w:ind w:right="49"/>
        <w:jc w:val="both"/>
        <w:rPr>
          <w:rFonts w:ascii="Palatino Linotype" w:eastAsia="Palatino Linotype" w:hAnsi="Palatino Linotype" w:cs="Palatino Linotype"/>
          <w:b/>
        </w:rPr>
      </w:pPr>
      <w:r w:rsidRPr="001429FF">
        <w:rPr>
          <w:rFonts w:ascii="Palatino Linotype" w:eastAsia="Palatino Linotype" w:hAnsi="Palatino Linotype" w:cs="Palatino Linotype"/>
          <w:b/>
        </w:rPr>
        <w:t xml:space="preserve">Acto impugnado: </w:t>
      </w:r>
    </w:p>
    <w:p w14:paraId="094A5AE9" w14:textId="77777777" w:rsidR="00D10152" w:rsidRPr="001429FF"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“no entregaron lo solicitado” (sic)</w:t>
      </w:r>
    </w:p>
    <w:p w14:paraId="048E5D9C" w14:textId="77777777" w:rsidR="00D10152" w:rsidRPr="001429FF" w:rsidRDefault="00785AE5">
      <w:pPr>
        <w:spacing w:line="360" w:lineRule="auto"/>
        <w:jc w:val="both"/>
        <w:rPr>
          <w:rFonts w:ascii="Palatino Linotype" w:eastAsia="Palatino Linotype" w:hAnsi="Palatino Linotype" w:cs="Palatino Linotype"/>
        </w:rPr>
      </w:pPr>
      <w:bookmarkStart w:id="4" w:name="_heading=h.30j0zll" w:colFirst="0" w:colLast="0"/>
      <w:bookmarkEnd w:id="4"/>
      <w:r w:rsidRPr="001429FF">
        <w:rPr>
          <w:rFonts w:ascii="Palatino Linotype" w:eastAsia="Palatino Linotype" w:hAnsi="Palatino Linotype" w:cs="Palatino Linotype"/>
          <w:b/>
        </w:rPr>
        <w:t>Y, Razones o motivos de inconformidad</w:t>
      </w:r>
      <w:r w:rsidRPr="001429FF">
        <w:rPr>
          <w:rFonts w:ascii="Palatino Linotype" w:eastAsia="Palatino Linotype" w:hAnsi="Palatino Linotype" w:cs="Palatino Linotype"/>
        </w:rPr>
        <w:t>:</w:t>
      </w:r>
    </w:p>
    <w:p w14:paraId="64A9EFA7" w14:textId="77777777" w:rsidR="00D10152" w:rsidRPr="001429FF"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“no entregaron lo solicitado” (sic)</w:t>
      </w:r>
    </w:p>
    <w:p w14:paraId="665BCC88" w14:textId="77777777" w:rsidR="00D10152" w:rsidRPr="001429FF" w:rsidRDefault="00785AE5">
      <w:pPr>
        <w:spacing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b/>
        </w:rPr>
        <w:lastRenderedPageBreak/>
        <w:t xml:space="preserve">4. Turno. </w:t>
      </w:r>
      <w:r w:rsidRPr="001429F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429FF">
        <w:rPr>
          <w:rFonts w:ascii="Palatino Linotype" w:eastAsia="Palatino Linotype" w:hAnsi="Palatino Linotype" w:cs="Palatino Linotype"/>
          <w:b/>
        </w:rPr>
        <w:t xml:space="preserve">Guadalupe Ramírez Peña, </w:t>
      </w:r>
      <w:r w:rsidRPr="001429FF">
        <w:rPr>
          <w:rFonts w:ascii="Palatino Linotype" w:eastAsia="Palatino Linotype" w:hAnsi="Palatino Linotype" w:cs="Palatino Linotype"/>
        </w:rPr>
        <w:t xml:space="preserve">a efecto de que analizara sobre su admisión o su </w:t>
      </w:r>
      <w:proofErr w:type="spellStart"/>
      <w:r w:rsidRPr="001429FF">
        <w:rPr>
          <w:rFonts w:ascii="Palatino Linotype" w:eastAsia="Palatino Linotype" w:hAnsi="Palatino Linotype" w:cs="Palatino Linotype"/>
        </w:rPr>
        <w:t>desechamiento</w:t>
      </w:r>
      <w:proofErr w:type="spellEnd"/>
      <w:r w:rsidRPr="001429FF">
        <w:rPr>
          <w:rFonts w:ascii="Palatino Linotype" w:eastAsia="Palatino Linotype" w:hAnsi="Palatino Linotype" w:cs="Palatino Linotype"/>
        </w:rPr>
        <w:t>.</w:t>
      </w:r>
    </w:p>
    <w:p w14:paraId="6AC268B4" w14:textId="77777777" w:rsidR="00D10152" w:rsidRPr="001429FF" w:rsidRDefault="00785AE5">
      <w:pPr>
        <w:spacing w:before="240" w:after="240" w:line="360" w:lineRule="auto"/>
        <w:jc w:val="both"/>
        <w:rPr>
          <w:rFonts w:ascii="Palatino Linotype" w:eastAsia="Palatino Linotype" w:hAnsi="Palatino Linotype" w:cs="Palatino Linotype"/>
          <w:b/>
        </w:rPr>
      </w:pPr>
      <w:r w:rsidRPr="001429FF">
        <w:rPr>
          <w:rFonts w:ascii="Palatino Linotype" w:eastAsia="Palatino Linotype" w:hAnsi="Palatino Linotype" w:cs="Palatino Linotype"/>
          <w:b/>
        </w:rPr>
        <w:t>5. Admisión del Recurso de revisión.</w:t>
      </w:r>
      <w:r w:rsidRPr="001429FF">
        <w:rPr>
          <w:rFonts w:ascii="Palatino Linotype" w:eastAsia="Palatino Linotype" w:hAnsi="Palatino Linotype" w:cs="Palatino Linotype"/>
        </w:rPr>
        <w:t xml:space="preserve"> El</w:t>
      </w:r>
      <w:r w:rsidRPr="001429FF">
        <w:rPr>
          <w:rFonts w:ascii="Palatino Linotype" w:eastAsia="Palatino Linotype" w:hAnsi="Palatino Linotype" w:cs="Palatino Linotype"/>
          <w:b/>
        </w:rPr>
        <w:t xml:space="preserve"> veinticuatro de abril de dos mil veinticinco, </w:t>
      </w:r>
      <w:r w:rsidRPr="001429F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presentara su informe justificado.</w:t>
      </w:r>
    </w:p>
    <w:p w14:paraId="3F379F6D" w14:textId="77777777" w:rsidR="009116F5" w:rsidRPr="001429FF" w:rsidRDefault="00785AE5" w:rsidP="009116F5">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1429FF">
        <w:rPr>
          <w:rFonts w:ascii="Palatino Linotype" w:eastAsia="Palatino Linotype" w:hAnsi="Palatino Linotype" w:cs="Palatino Linotype"/>
          <w:b/>
        </w:rPr>
        <w:t>6. Manifestaciones</w:t>
      </w:r>
      <w:r w:rsidRPr="001429FF">
        <w:rPr>
          <w:rFonts w:ascii="Palatino Linotype" w:eastAsia="Palatino Linotype" w:hAnsi="Palatino Linotype" w:cs="Palatino Linotype"/>
        </w:rPr>
        <w:t xml:space="preserve">. </w:t>
      </w:r>
      <w:r w:rsidR="009116F5" w:rsidRPr="001429FF">
        <w:rPr>
          <w:rFonts w:ascii="Palatino Linotype" w:eastAsia="Palatino Linotype" w:hAnsi="Palatino Linotype" w:cs="Palatino Linotype"/>
        </w:rPr>
        <w:t xml:space="preserve">El </w:t>
      </w:r>
      <w:r w:rsidR="009116F5" w:rsidRPr="001429FF">
        <w:rPr>
          <w:rFonts w:ascii="Palatino Linotype" w:eastAsia="Palatino Linotype" w:hAnsi="Palatino Linotype" w:cs="Palatino Linotype"/>
          <w:b/>
        </w:rPr>
        <w:t>veinticinco de abril y uno de mayo de dos mil veinticinco</w:t>
      </w:r>
      <w:r w:rsidR="009116F5" w:rsidRPr="001429FF">
        <w:rPr>
          <w:rFonts w:ascii="Palatino Linotype" w:eastAsia="Palatino Linotype" w:hAnsi="Palatino Linotype" w:cs="Palatino Linotype"/>
        </w:rPr>
        <w:t xml:space="preserve">, el </w:t>
      </w:r>
      <w:r w:rsidR="009116F5" w:rsidRPr="001429FF">
        <w:rPr>
          <w:rFonts w:ascii="Palatino Linotype" w:eastAsia="Palatino Linotype" w:hAnsi="Palatino Linotype" w:cs="Palatino Linotype"/>
          <w:b/>
        </w:rPr>
        <w:t>Sujeto Obligado</w:t>
      </w:r>
      <w:r w:rsidR="009116F5" w:rsidRPr="001429FF">
        <w:rPr>
          <w:rFonts w:ascii="Palatino Linotype" w:eastAsia="Palatino Linotype" w:hAnsi="Palatino Linotype" w:cs="Palatino Linotype"/>
        </w:rPr>
        <w:t xml:space="preserve"> remitió, a través del SAIMEX, lo siguiente:</w:t>
      </w:r>
    </w:p>
    <w:p w14:paraId="53EBF0DD" w14:textId="77777777" w:rsidR="009116F5" w:rsidRPr="001429FF" w:rsidRDefault="009116F5" w:rsidP="009116F5">
      <w:pPr>
        <w:spacing w:before="240" w:after="240" w:line="360" w:lineRule="auto"/>
        <w:jc w:val="both"/>
        <w:rPr>
          <w:rFonts w:ascii="Palatino Linotype" w:hAnsi="Palatino Linotype"/>
        </w:rPr>
      </w:pPr>
      <w:r w:rsidRPr="001429FF">
        <w:rPr>
          <w:rFonts w:ascii="Palatino Linotype" w:eastAsia="Palatino Linotype" w:hAnsi="Palatino Linotype" w:cs="Palatino Linotype"/>
        </w:rPr>
        <w:t>- Oficio número UTAIP/VA/113/IV/2025, del treinta de abril de dos mil veinticinco, mediante el cual el encargado de Despacho de la Unidad de Transparencia remitió nuevamente los oficios con números de folios UTAIP/VA/091/IV/2025 y MVA/CIM/INT-018/IV/2025, proporcionados en respuesta.</w:t>
      </w:r>
    </w:p>
    <w:p w14:paraId="1D842714" w14:textId="77777777" w:rsidR="009116F5" w:rsidRPr="001429FF" w:rsidRDefault="009116F5" w:rsidP="009116F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71DBE71B" w14:textId="77777777" w:rsidR="00495886" w:rsidRPr="001429FF" w:rsidRDefault="00495886" w:rsidP="00495886">
      <w:pPr>
        <w:spacing w:before="240" w:after="240" w:line="360" w:lineRule="auto"/>
        <w:jc w:val="both"/>
        <w:rPr>
          <w:rFonts w:ascii="Palatino Linotype" w:hAnsi="Palatino Linotype"/>
        </w:rPr>
      </w:pPr>
      <w:r w:rsidRPr="001429FF">
        <w:rPr>
          <w:rFonts w:ascii="Palatino Linotype" w:hAnsi="Palatino Linotype"/>
        </w:rPr>
        <w:lastRenderedPageBreak/>
        <w:t xml:space="preserve">Cabe señalar que el </w:t>
      </w:r>
      <w:r w:rsidRPr="001429FF">
        <w:rPr>
          <w:rFonts w:ascii="Palatino Linotype" w:eastAsia="Palatino Linotype" w:hAnsi="Palatino Linotype" w:cs="Palatino Linotype"/>
        </w:rPr>
        <w:t xml:space="preserve">veinticinco de abril de dos mil veinticinco, 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 xml:space="preserve">adjuntó, en el apartado de las manifestaciones de la parte Recurrente, oficios con números de folios UTAIP/VA/091/IV/2025 y MVA/CIM/INT-018/IV/2025, proporcionados en respuesta, así como el oficio número </w:t>
      </w:r>
      <w:r w:rsidRPr="001429FF">
        <w:rPr>
          <w:rFonts w:ascii="Palatino Linotype" w:hAnsi="Palatino Linotype"/>
        </w:rPr>
        <w:t>MVA/RH/0026/IV/2025 el cual no guarda relación con la solicitud 00031/VIALLEN/IP/2025.</w:t>
      </w:r>
    </w:p>
    <w:p w14:paraId="1C3DE388"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b/>
        </w:rPr>
        <w:t xml:space="preserve">7. Cierre de instrucción. </w:t>
      </w:r>
      <w:r w:rsidRPr="001429FF">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9116F5" w:rsidRPr="001429FF">
        <w:rPr>
          <w:rFonts w:ascii="Palatino Linotype" w:eastAsia="Palatino Linotype" w:hAnsi="Palatino Linotype" w:cs="Palatino Linotype"/>
          <w:b/>
        </w:rPr>
        <w:t>nueve de julio</w:t>
      </w:r>
      <w:r w:rsidRPr="001429FF">
        <w:rPr>
          <w:rFonts w:ascii="Palatino Linotype" w:eastAsia="Palatino Linotype" w:hAnsi="Palatino Linotype" w:cs="Palatino Linotype"/>
          <w:b/>
        </w:rPr>
        <w:t xml:space="preserve"> de dos mil veinticinco</w:t>
      </w:r>
      <w:r w:rsidRPr="001429F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D4EA177" w14:textId="77777777" w:rsidR="00D10152" w:rsidRPr="001429FF" w:rsidRDefault="00785AE5">
      <w:pPr>
        <w:spacing w:before="240" w:after="240" w:line="360" w:lineRule="auto"/>
        <w:jc w:val="both"/>
        <w:rPr>
          <w:rFonts w:ascii="Palatino Linotype" w:eastAsia="Palatino Linotype" w:hAnsi="Palatino Linotype" w:cs="Palatino Linotype"/>
          <w:b/>
        </w:rPr>
      </w:pPr>
      <w:r w:rsidRPr="001429FF">
        <w:rPr>
          <w:rFonts w:ascii="Palatino Linotype" w:eastAsia="Palatino Linotype" w:hAnsi="Palatino Linotype" w:cs="Palatino Linotype"/>
          <w:b/>
        </w:rPr>
        <w:t>8</w:t>
      </w:r>
      <w:r w:rsidRPr="001429FF">
        <w:rPr>
          <w:rFonts w:ascii="Palatino Linotype" w:eastAsia="Palatino Linotype" w:hAnsi="Palatino Linotype" w:cs="Palatino Linotype"/>
        </w:rPr>
        <w:t xml:space="preserve">. </w:t>
      </w:r>
      <w:r w:rsidRPr="001429FF">
        <w:rPr>
          <w:rFonts w:ascii="Palatino Linotype" w:eastAsia="Palatino Linotype" w:hAnsi="Palatino Linotype" w:cs="Palatino Linotype"/>
          <w:b/>
        </w:rPr>
        <w:t>Ampliación del término para resolver</w:t>
      </w:r>
      <w:r w:rsidRPr="001429FF">
        <w:rPr>
          <w:rFonts w:ascii="Palatino Linotype" w:eastAsia="Palatino Linotype" w:hAnsi="Palatino Linotype" w:cs="Palatino Linotype"/>
        </w:rPr>
        <w:t xml:space="preserve">. El </w:t>
      </w:r>
      <w:r w:rsidR="009116F5" w:rsidRPr="001429FF">
        <w:rPr>
          <w:rFonts w:ascii="Palatino Linotype" w:eastAsia="Palatino Linotype" w:hAnsi="Palatino Linotype" w:cs="Palatino Linotype"/>
          <w:b/>
        </w:rPr>
        <w:t xml:space="preserve">nueve de julio </w:t>
      </w:r>
      <w:r w:rsidRPr="001429FF">
        <w:rPr>
          <w:rFonts w:ascii="Palatino Linotype" w:eastAsia="Palatino Linotype" w:hAnsi="Palatino Linotype" w:cs="Palatino Linotype"/>
          <w:b/>
        </w:rPr>
        <w:t>de dos mil veinticinco</w:t>
      </w:r>
      <w:r w:rsidRPr="001429F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C950988"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C9B5BD5"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1429FF">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0F1EC16A"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EEBA7A"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74B249" w14:textId="77777777" w:rsidR="00D10152" w:rsidRPr="001429FF" w:rsidRDefault="00785AE5">
      <w:pPr>
        <w:spacing w:before="240" w:after="240" w:line="360" w:lineRule="auto"/>
        <w:jc w:val="both"/>
        <w:rPr>
          <w:rFonts w:ascii="Palatino Linotype" w:eastAsia="Palatino Linotype" w:hAnsi="Palatino Linotype" w:cs="Palatino Linotype"/>
          <w:strike/>
        </w:rPr>
      </w:pPr>
      <w:r w:rsidRPr="001429F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E87DCE" w14:textId="77777777" w:rsidR="00D10152" w:rsidRPr="001429FF" w:rsidRDefault="00785AE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32EEECC" w14:textId="77777777" w:rsidR="00D10152" w:rsidRPr="001429FF" w:rsidRDefault="00785AE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429FF">
        <w:rPr>
          <w:rFonts w:ascii="Palatino Linotype" w:eastAsia="Palatino Linotype" w:hAnsi="Palatino Linotype" w:cs="Palatino Linotype"/>
        </w:rPr>
        <w:t>Actividad Procesal del interesado. Acciones u omisiones del interesado.</w:t>
      </w:r>
    </w:p>
    <w:p w14:paraId="7A8BF354" w14:textId="77777777" w:rsidR="00D10152" w:rsidRPr="001429FF" w:rsidRDefault="00785AE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429FF">
        <w:rPr>
          <w:rFonts w:ascii="Palatino Linotype" w:eastAsia="Palatino Linotype" w:hAnsi="Palatino Linotype" w:cs="Palatino Linotype"/>
        </w:rPr>
        <w:t>Conducta de la Autoridad: Las Acciones u omisiones realizadas en el procedimiento. Así como si la autoridad actuó con la debida diligencia.</w:t>
      </w:r>
    </w:p>
    <w:p w14:paraId="6602DAF2" w14:textId="77777777" w:rsidR="00D10152" w:rsidRPr="001429FF" w:rsidRDefault="00785AE5">
      <w:pPr>
        <w:tabs>
          <w:tab w:val="left" w:pos="567"/>
        </w:tabs>
        <w:spacing w:before="240" w:after="240" w:line="360" w:lineRule="auto"/>
        <w:ind w:left="284"/>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16965274"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E5EC22" w14:textId="77777777" w:rsidR="00D10152" w:rsidRPr="001429FF" w:rsidRDefault="00785AE5">
      <w:pPr>
        <w:spacing w:before="240" w:after="240" w:line="360" w:lineRule="auto"/>
        <w:jc w:val="both"/>
        <w:rPr>
          <w:rFonts w:ascii="Palatino Linotype" w:eastAsia="Palatino Linotype" w:hAnsi="Palatino Linotype" w:cs="Palatino Linotype"/>
          <w:b/>
        </w:rPr>
      </w:pPr>
      <w:r w:rsidRPr="001429F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429F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429FF">
        <w:rPr>
          <w:rFonts w:ascii="Palatino Linotype" w:eastAsia="Palatino Linotype" w:hAnsi="Palatino Linotype" w:cs="Palatino Linotype"/>
        </w:rPr>
        <w:t>, visible en la Gaceta del Seminario Judicial de la Federación con el registro digital 205635.</w:t>
      </w:r>
    </w:p>
    <w:p w14:paraId="52A08C79"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429FF">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7439D9AB"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A605B8C" w14:textId="77777777" w:rsidR="00D10152" w:rsidRPr="001429FF" w:rsidRDefault="00785AE5">
      <w:pPr>
        <w:spacing w:before="120" w:after="120"/>
        <w:ind w:left="851" w:right="902"/>
        <w:jc w:val="both"/>
        <w:rPr>
          <w:rFonts w:ascii="Palatino Linotype" w:eastAsia="Palatino Linotype" w:hAnsi="Palatino Linotype" w:cs="Palatino Linotype"/>
          <w:sz w:val="22"/>
          <w:szCs w:val="22"/>
        </w:rPr>
      </w:pPr>
      <w:r w:rsidRPr="001429FF">
        <w:rPr>
          <w:rFonts w:ascii="Palatino Linotype" w:eastAsia="Palatino Linotype" w:hAnsi="Palatino Linotype" w:cs="Palatino Linotype"/>
          <w:sz w:val="22"/>
          <w:szCs w:val="22"/>
        </w:rPr>
        <w:t xml:space="preserve"> </w:t>
      </w: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b/>
          <w:i/>
          <w:sz w:val="22"/>
          <w:szCs w:val="22"/>
        </w:rPr>
        <w:t>PLAZO RAZONABLE PARA RESOLVER. DIMENSIÓN Y EFECTOS DE ESTE CONCEPTO CUANDO SE ADUCE EXCESIVA CARGA DE TRABAJO</w:t>
      </w: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sz w:val="22"/>
          <w:szCs w:val="22"/>
        </w:rPr>
        <w:t xml:space="preserve"> consultable en el Seminario Judicial de la Federación y su gaceta, con el registro digital 2002351.</w:t>
      </w:r>
    </w:p>
    <w:p w14:paraId="0DA4EF64" w14:textId="77777777" w:rsidR="00D10152" w:rsidRPr="001429FF" w:rsidRDefault="00785AE5">
      <w:pPr>
        <w:spacing w:before="120" w:after="120"/>
        <w:ind w:left="851" w:right="902"/>
        <w:jc w:val="both"/>
        <w:rPr>
          <w:rFonts w:ascii="Palatino Linotype" w:eastAsia="Palatino Linotype" w:hAnsi="Palatino Linotype" w:cs="Palatino Linotype"/>
          <w:sz w:val="22"/>
          <w:szCs w:val="22"/>
        </w:rPr>
      </w:pP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sz w:val="22"/>
          <w:szCs w:val="22"/>
        </w:rPr>
        <w:t>, visible en el Seminario Judicial de la Federación y su gaceta, con el registro digital 2002350.</w:t>
      </w:r>
    </w:p>
    <w:p w14:paraId="0B808787"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CDC025C"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F5365B9" w14:textId="77777777" w:rsidR="00D10152" w:rsidRPr="001429FF" w:rsidRDefault="00785AE5">
      <w:pPr>
        <w:widowControl w:val="0"/>
        <w:spacing w:before="240" w:after="240" w:line="360" w:lineRule="auto"/>
        <w:jc w:val="center"/>
        <w:rPr>
          <w:rFonts w:ascii="Palatino Linotype" w:eastAsia="Palatino Linotype" w:hAnsi="Palatino Linotype" w:cs="Palatino Linotype"/>
          <w:b/>
        </w:rPr>
      </w:pPr>
      <w:r w:rsidRPr="001429FF">
        <w:rPr>
          <w:rFonts w:ascii="Palatino Linotype" w:eastAsia="Palatino Linotype" w:hAnsi="Palatino Linotype" w:cs="Palatino Linotype"/>
          <w:b/>
        </w:rPr>
        <w:t>II. C O N S I D E R A N D O S</w:t>
      </w:r>
    </w:p>
    <w:p w14:paraId="3D727666"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b/>
        </w:rPr>
        <w:t>Primero. Competencia.</w:t>
      </w:r>
      <w:r w:rsidRPr="001429FF">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1429FF">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1429FF" w:rsidRDefault="00785AE5">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429FF">
        <w:rPr>
          <w:rFonts w:ascii="Palatino Linotype" w:eastAsia="Palatino Linotype" w:hAnsi="Palatino Linotype" w:cs="Palatino Linotype"/>
          <w:b/>
        </w:rPr>
        <w:t>Segundo. Oportunidad y Procedibilidad del Recurso de Revisión</w:t>
      </w:r>
      <w:r w:rsidRPr="001429F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5ACB1"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 xml:space="preserve">remitió la respuesta a la solicitud de información el día </w:t>
      </w:r>
      <w:r w:rsidR="00EF706F" w:rsidRPr="001429FF">
        <w:rPr>
          <w:rFonts w:ascii="Palatino Linotype" w:eastAsia="Palatino Linotype" w:hAnsi="Palatino Linotype" w:cs="Palatino Linotype"/>
          <w:b/>
        </w:rPr>
        <w:t>ocho</w:t>
      </w:r>
      <w:r w:rsidRPr="001429FF">
        <w:rPr>
          <w:rFonts w:ascii="Palatino Linotype" w:eastAsia="Palatino Linotype" w:hAnsi="Palatino Linotype" w:cs="Palatino Linotype"/>
          <w:b/>
        </w:rPr>
        <w:t xml:space="preserve"> de abril de dos mil veinticinco, </w:t>
      </w:r>
      <w:r w:rsidRPr="001429FF">
        <w:rPr>
          <w:rFonts w:ascii="Palatino Linotype" w:eastAsia="Palatino Linotype" w:hAnsi="Palatino Linotype" w:cs="Palatino Linotype"/>
        </w:rPr>
        <w:t xml:space="preserve">mientras que el recurso de revisión interpuesto por la parte </w:t>
      </w:r>
      <w:r w:rsidRPr="001429FF">
        <w:rPr>
          <w:rFonts w:ascii="Palatino Linotype" w:eastAsia="Palatino Linotype" w:hAnsi="Palatino Linotype" w:cs="Palatino Linotype"/>
          <w:b/>
        </w:rPr>
        <w:t xml:space="preserve">Recurrente, </w:t>
      </w:r>
      <w:r w:rsidRPr="001429FF">
        <w:rPr>
          <w:rFonts w:ascii="Palatino Linotype" w:eastAsia="Palatino Linotype" w:hAnsi="Palatino Linotype" w:cs="Palatino Linotype"/>
        </w:rPr>
        <w:t>se tuvo por presentado el día</w:t>
      </w:r>
      <w:r w:rsidR="00EF706F" w:rsidRPr="001429FF">
        <w:rPr>
          <w:rFonts w:ascii="Palatino Linotype" w:eastAsia="Palatino Linotype" w:hAnsi="Palatino Linotype" w:cs="Palatino Linotype"/>
          <w:b/>
        </w:rPr>
        <w:t xml:space="preserve"> veintidós</w:t>
      </w:r>
      <w:r w:rsidRPr="001429FF">
        <w:rPr>
          <w:rFonts w:ascii="Palatino Linotype" w:eastAsia="Palatino Linotype" w:hAnsi="Palatino Linotype" w:cs="Palatino Linotype"/>
          <w:b/>
        </w:rPr>
        <w:t xml:space="preserve"> abril de dos mil veinticinco, </w:t>
      </w:r>
      <w:r w:rsidRPr="001429FF">
        <w:rPr>
          <w:rFonts w:ascii="Palatino Linotype" w:eastAsia="Palatino Linotype" w:hAnsi="Palatino Linotype" w:cs="Palatino Linotype"/>
        </w:rPr>
        <w:t xml:space="preserve">esto es, al </w:t>
      </w:r>
      <w:r w:rsidR="00EF706F" w:rsidRPr="001429FF">
        <w:rPr>
          <w:rFonts w:ascii="Palatino Linotype" w:eastAsia="Palatino Linotype" w:hAnsi="Palatino Linotype" w:cs="Palatino Linotype"/>
        </w:rPr>
        <w:t>quinto</w:t>
      </w:r>
      <w:r w:rsidRPr="001429FF">
        <w:rPr>
          <w:rFonts w:ascii="Palatino Linotype" w:eastAsia="Palatino Linotype" w:hAnsi="Palatino Linotype" w:cs="Palatino Linotype"/>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0B0EE223"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Además, por cuanto hace a la procedibilidad del recurso de revisión, es de suma importancia señalar que la parte</w:t>
      </w:r>
      <w:r w:rsidRPr="001429FF">
        <w:rPr>
          <w:rFonts w:ascii="Palatino Linotype" w:eastAsia="Palatino Linotype" w:hAnsi="Palatino Linotype" w:cs="Palatino Linotype"/>
          <w:b/>
        </w:rPr>
        <w:t xml:space="preserve"> Recurrente</w:t>
      </w:r>
      <w:r w:rsidRPr="001429FF">
        <w:rPr>
          <w:rFonts w:ascii="Palatino Linotype" w:eastAsia="Palatino Linotype" w:hAnsi="Palatino Linotype" w:cs="Palatino Linotype"/>
        </w:rPr>
        <w:t>, no señaló un nombre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061867" w14:textId="77777777" w:rsidR="00D10152" w:rsidRPr="001429FF" w:rsidRDefault="00785AE5">
      <w:pPr>
        <w:spacing w:before="120" w:after="120"/>
        <w:ind w:left="860" w:right="900"/>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b/>
          <w:i/>
          <w:sz w:val="22"/>
          <w:szCs w:val="22"/>
        </w:rPr>
        <w:t>Las solicitudes anónimas</w:t>
      </w:r>
      <w:r w:rsidRPr="001429FF">
        <w:rPr>
          <w:rFonts w:ascii="Palatino Linotype" w:eastAsia="Palatino Linotype" w:hAnsi="Palatino Linotype" w:cs="Palatino Linotype"/>
          <w:i/>
          <w:sz w:val="22"/>
          <w:szCs w:val="22"/>
        </w:rPr>
        <w:t xml:space="preserve">, con nombre incompleto o </w:t>
      </w:r>
      <w:r w:rsidRPr="001429FF">
        <w:rPr>
          <w:rFonts w:ascii="Palatino Linotype" w:eastAsia="Palatino Linotype" w:hAnsi="Palatino Linotype" w:cs="Palatino Linotype"/>
          <w:b/>
          <w:i/>
          <w:sz w:val="22"/>
          <w:szCs w:val="22"/>
        </w:rPr>
        <w:t>seudónimo</w:t>
      </w:r>
      <w:r w:rsidRPr="001429FF">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5E31064" w14:textId="77777777" w:rsidR="00D10152" w:rsidRPr="001429FF" w:rsidRDefault="00785AE5">
      <w:pPr>
        <w:spacing w:before="240" w:after="240" w:line="360" w:lineRule="auto"/>
        <w:jc w:val="both"/>
        <w:rPr>
          <w:rFonts w:ascii="Palatino Linotype" w:eastAsia="Palatino Linotype" w:hAnsi="Palatino Linotype" w:cs="Palatino Linotype"/>
          <w:b/>
        </w:rPr>
      </w:pPr>
      <w:r w:rsidRPr="001429FF">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1429FF">
        <w:rPr>
          <w:rFonts w:ascii="Palatino Linotype" w:eastAsia="Palatino Linotype" w:hAnsi="Palatino Linotype" w:cs="Palatino Linotype"/>
          <w:b/>
        </w:rPr>
        <w:t xml:space="preserve"> SAIMEX.</w:t>
      </w:r>
    </w:p>
    <w:p w14:paraId="52F8B886"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Finalmente, se advierte que resulta procedente la interposición del recurso, según lo manifestado por 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 xml:space="preserve"> en sus motivos de inconformidad, de acuerdo al artículo 179, fracción </w:t>
      </w:r>
      <w:r w:rsidR="00EF706F" w:rsidRPr="001429FF">
        <w:rPr>
          <w:rFonts w:ascii="Palatino Linotype" w:eastAsia="Palatino Linotype" w:hAnsi="Palatino Linotype" w:cs="Palatino Linotype"/>
        </w:rPr>
        <w:t>I</w:t>
      </w:r>
      <w:r w:rsidRPr="001429FF">
        <w:rPr>
          <w:rFonts w:ascii="Palatino Linotype" w:eastAsia="Palatino Linotype" w:hAnsi="Palatino Linotype" w:cs="Palatino Linotype"/>
        </w:rPr>
        <w:t xml:space="preserve"> del ordenamiento legal citado, que a la letra dice: </w:t>
      </w:r>
    </w:p>
    <w:p w14:paraId="2ACBD19C" w14:textId="77777777" w:rsidR="00D10152" w:rsidRPr="001429FF" w:rsidRDefault="00785AE5">
      <w:pPr>
        <w:tabs>
          <w:tab w:val="left" w:pos="7938"/>
        </w:tabs>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b/>
          <w:i/>
          <w:sz w:val="22"/>
          <w:szCs w:val="22"/>
        </w:rPr>
        <w:t>Artículo 179.</w:t>
      </w:r>
      <w:r w:rsidRPr="001429F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8351AD9" w14:textId="77777777" w:rsidR="00D10152" w:rsidRPr="001429FF" w:rsidRDefault="00EF706F">
      <w:pPr>
        <w:tabs>
          <w:tab w:val="left" w:pos="7938"/>
        </w:tabs>
        <w:spacing w:before="120" w:after="120"/>
        <w:ind w:left="1134" w:right="900"/>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b/>
          <w:i/>
          <w:sz w:val="22"/>
          <w:szCs w:val="22"/>
        </w:rPr>
        <w:t>I.</w:t>
      </w:r>
      <w:r w:rsidRPr="001429FF">
        <w:rPr>
          <w:rFonts w:ascii="Palatino Linotype" w:eastAsia="Palatino Linotype" w:hAnsi="Palatino Linotype" w:cs="Palatino Linotype"/>
          <w:i/>
          <w:sz w:val="22"/>
          <w:szCs w:val="22"/>
        </w:rPr>
        <w:t xml:space="preserve"> La negativa a la información </w:t>
      </w:r>
      <w:proofErr w:type="gramStart"/>
      <w:r w:rsidRPr="001429FF">
        <w:rPr>
          <w:rFonts w:ascii="Palatino Linotype" w:eastAsia="Palatino Linotype" w:hAnsi="Palatino Linotype" w:cs="Palatino Linotype"/>
          <w:i/>
          <w:sz w:val="22"/>
          <w:szCs w:val="22"/>
        </w:rPr>
        <w:t>solicitada;“</w:t>
      </w:r>
      <w:proofErr w:type="gramEnd"/>
      <w:r w:rsidRPr="001429FF">
        <w:rPr>
          <w:rFonts w:ascii="Palatino Linotype" w:eastAsia="Palatino Linotype" w:hAnsi="Palatino Linotype" w:cs="Palatino Linotype"/>
          <w:i/>
          <w:sz w:val="22"/>
          <w:szCs w:val="22"/>
        </w:rPr>
        <w:cr/>
      </w:r>
    </w:p>
    <w:p w14:paraId="5853D41E" w14:textId="77777777" w:rsidR="00D10152" w:rsidRPr="001429FF" w:rsidRDefault="00785AE5">
      <w:pPr>
        <w:spacing w:before="240" w:after="240" w:line="360" w:lineRule="auto"/>
        <w:jc w:val="both"/>
        <w:rPr>
          <w:rFonts w:ascii="Palatino Linotype" w:eastAsia="Palatino Linotype" w:hAnsi="Palatino Linotype" w:cs="Palatino Linotype"/>
          <w:b/>
        </w:rPr>
      </w:pPr>
      <w:r w:rsidRPr="001429FF">
        <w:rPr>
          <w:rFonts w:ascii="Palatino Linotype" w:eastAsia="Palatino Linotype" w:hAnsi="Palatino Linotype" w:cs="Palatino Linotype"/>
          <w:b/>
        </w:rPr>
        <w:lastRenderedPageBreak/>
        <w:t xml:space="preserve">Tercero. Materia de la revisión. </w:t>
      </w:r>
      <w:r w:rsidRPr="001429F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429FF">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429FF">
        <w:rPr>
          <w:rFonts w:ascii="Palatino Linotype" w:eastAsia="Palatino Linotype" w:hAnsi="Palatino Linotype" w:cs="Palatino Linotype"/>
        </w:rPr>
        <w:t xml:space="preserve">de 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 o en su defecto, en caso de ser procedente, ordenar la entrega de información.</w:t>
      </w:r>
    </w:p>
    <w:p w14:paraId="22FD6236" w14:textId="77777777" w:rsidR="00D10152" w:rsidRPr="001429FF" w:rsidRDefault="00785AE5">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1429FF">
        <w:rPr>
          <w:rFonts w:ascii="Palatino Linotype" w:eastAsia="Palatino Linotype" w:hAnsi="Palatino Linotype" w:cs="Palatino Linotype"/>
          <w:b/>
        </w:rPr>
        <w:t xml:space="preserve">Cuarto. Estudio del asunto. </w:t>
      </w:r>
      <w:r w:rsidRPr="001429FF">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AD66E4"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b/>
          <w:i/>
          <w:sz w:val="22"/>
          <w:szCs w:val="22"/>
        </w:rPr>
        <w:t>Artículo 4</w:t>
      </w:r>
      <w:r w:rsidRPr="001429F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429F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1429FF">
        <w:rPr>
          <w:rFonts w:ascii="Palatino Linotype" w:eastAsia="Palatino Linotype" w:hAnsi="Palatino Linotype" w:cs="Palatino Linotype"/>
          <w:i/>
          <w:sz w:val="22"/>
          <w:szCs w:val="22"/>
        </w:rPr>
        <w:t>.”</w:t>
      </w:r>
    </w:p>
    <w:p w14:paraId="338039AD"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b/>
          <w:i/>
          <w:sz w:val="22"/>
          <w:szCs w:val="22"/>
        </w:rPr>
        <w:t>“Artículo 12.-</w:t>
      </w:r>
      <w:r w:rsidRPr="001429F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429FF">
        <w:rPr>
          <w:rFonts w:ascii="Palatino Linotype" w:eastAsia="Palatino Linotype" w:hAnsi="Palatino Linotype" w:cs="Palatino Linotype"/>
          <w:i/>
          <w:sz w:val="22"/>
          <w:szCs w:val="22"/>
        </w:rPr>
        <w:t xml:space="preserve">. </w:t>
      </w:r>
      <w:r w:rsidRPr="001429F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0911A0A" w14:textId="77777777" w:rsidR="00D10152" w:rsidRPr="001429FF" w:rsidRDefault="00785AE5">
      <w:pPr>
        <w:spacing w:before="240" w:after="240" w:line="360" w:lineRule="auto"/>
        <w:ind w:right="-93"/>
        <w:jc w:val="both"/>
        <w:rPr>
          <w:rFonts w:ascii="Palatino Linotype" w:eastAsia="Palatino Linotype" w:hAnsi="Palatino Linotype" w:cs="Palatino Linotype"/>
        </w:rPr>
      </w:pPr>
      <w:r w:rsidRPr="001429F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9A09C57" w14:textId="77777777" w:rsidR="00D10152" w:rsidRPr="001429FF" w:rsidRDefault="00785AE5">
      <w:pPr>
        <w:spacing w:before="240" w:after="240" w:line="360" w:lineRule="auto"/>
        <w:jc w:val="both"/>
        <w:rPr>
          <w:rFonts w:ascii="Palatino Linotype" w:eastAsia="Palatino Linotype" w:hAnsi="Palatino Linotype" w:cs="Palatino Linotype"/>
          <w:b/>
        </w:rPr>
      </w:pPr>
      <w:r w:rsidRPr="001429FF">
        <w:rPr>
          <w:rFonts w:ascii="Palatino Linotype" w:eastAsia="Palatino Linotype" w:hAnsi="Palatino Linotype" w:cs="Palatino Linotype"/>
        </w:rPr>
        <w:lastRenderedPageBreak/>
        <w:t>Sirve de apoyo a lo anterior, el criterio orientador con clave de control SO/003/2017, emitido por el entonces Instituto Nacional de Transparencia, Acceso a la Información y Protección de Datos Personales, que por rubro y texto, dispone lo siguiente:</w:t>
      </w:r>
      <w:r w:rsidRPr="001429FF">
        <w:rPr>
          <w:rFonts w:ascii="Palatino Linotype" w:eastAsia="Palatino Linotype" w:hAnsi="Palatino Linotype" w:cs="Palatino Linotype"/>
          <w:b/>
        </w:rPr>
        <w:t xml:space="preserve"> </w:t>
      </w:r>
    </w:p>
    <w:p w14:paraId="019AA3FB" w14:textId="77777777" w:rsidR="00D10152" w:rsidRPr="001429FF" w:rsidRDefault="00785AE5">
      <w:pPr>
        <w:spacing w:before="120" w:after="120"/>
        <w:ind w:left="1134"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 xml:space="preserve"> “</w:t>
      </w:r>
      <w:r w:rsidRPr="001429FF">
        <w:rPr>
          <w:rFonts w:ascii="Palatino Linotype" w:eastAsia="Palatino Linotype" w:hAnsi="Palatino Linotype" w:cs="Palatino Linotype"/>
          <w:b/>
          <w:i/>
          <w:sz w:val="22"/>
          <w:szCs w:val="22"/>
        </w:rPr>
        <w:t>No existe obligación de elaborar documentos ad hoc para atender las solicitudes de acceso a la información.</w:t>
      </w:r>
      <w:r w:rsidRPr="001429F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91821E" w14:textId="77777777" w:rsidR="00D10152" w:rsidRPr="001429FF" w:rsidRDefault="00785AE5">
      <w:pPr>
        <w:spacing w:before="120" w:after="12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979A2" w14:textId="77777777" w:rsidR="00D10152" w:rsidRPr="001429FF" w:rsidRDefault="00785AE5">
      <w:pPr>
        <w:spacing w:before="120" w:after="12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1429FF">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w:t>
      </w:r>
      <w:r w:rsidRPr="001429FF">
        <w:rPr>
          <w:rFonts w:ascii="Palatino Linotype" w:eastAsia="Palatino Linotype" w:hAnsi="Palatino Linotype" w:cs="Palatino Linotype"/>
          <w:b/>
          <w:i/>
          <w:sz w:val="22"/>
          <w:szCs w:val="22"/>
        </w:rPr>
        <w:t xml:space="preserve">Artículo 3. </w:t>
      </w:r>
      <w:r w:rsidRPr="001429FF">
        <w:rPr>
          <w:rFonts w:ascii="Palatino Linotype" w:eastAsia="Palatino Linotype" w:hAnsi="Palatino Linotype" w:cs="Palatino Linotype"/>
          <w:i/>
          <w:sz w:val="22"/>
          <w:szCs w:val="22"/>
        </w:rPr>
        <w:t>Para los efectos de la presente Ley se entenderá por:</w:t>
      </w:r>
    </w:p>
    <w:p w14:paraId="08F5F729" w14:textId="77777777" w:rsidR="00D10152" w:rsidRPr="001429FF" w:rsidRDefault="00785AE5">
      <w:pPr>
        <w:spacing w:before="120" w:after="120"/>
        <w:ind w:left="1134"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w:t>
      </w:r>
    </w:p>
    <w:p w14:paraId="5F179B63" w14:textId="77777777" w:rsidR="00D10152" w:rsidRPr="001429FF" w:rsidRDefault="00785AE5">
      <w:pPr>
        <w:spacing w:before="120" w:after="120"/>
        <w:ind w:left="1134"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b/>
          <w:i/>
          <w:sz w:val="22"/>
          <w:szCs w:val="22"/>
        </w:rPr>
        <w:t>XI. Documento:</w:t>
      </w:r>
      <w:r w:rsidRPr="001429FF">
        <w:rPr>
          <w:rFonts w:ascii="Palatino Linotype" w:eastAsia="Palatino Linotype" w:hAnsi="Palatino Linotype" w:cs="Palatino Linotype"/>
          <w:i/>
          <w:sz w:val="22"/>
          <w:szCs w:val="22"/>
        </w:rPr>
        <w:t xml:space="preserve"> Los expedientes, reportes, estudios, actas</w:t>
      </w:r>
      <w:r w:rsidRPr="001429FF">
        <w:rPr>
          <w:rFonts w:ascii="Palatino Linotype" w:eastAsia="Palatino Linotype" w:hAnsi="Palatino Linotype" w:cs="Palatino Linotype"/>
          <w:b/>
          <w:i/>
          <w:sz w:val="22"/>
          <w:szCs w:val="22"/>
        </w:rPr>
        <w:t>,</w:t>
      </w:r>
      <w:r w:rsidRPr="001429F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b/>
          <w:sz w:val="22"/>
          <w:szCs w:val="22"/>
        </w:rPr>
        <w:t>“</w:t>
      </w:r>
      <w:r w:rsidRPr="001429F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429F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1429FF" w:rsidRDefault="00785AE5">
      <w:pPr>
        <w:spacing w:before="120" w:after="120"/>
        <w:ind w:left="851"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1429FF" w:rsidRDefault="00785AE5">
      <w:pPr>
        <w:spacing w:before="120" w:after="120"/>
        <w:ind w:left="1134"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42B91EF1" w14:textId="77777777" w:rsidR="00D10152" w:rsidRPr="001429FF" w:rsidRDefault="00785AE5">
      <w:pPr>
        <w:spacing w:before="120" w:after="120"/>
        <w:ind w:left="1134"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1429FF" w:rsidRDefault="00785AE5">
      <w:pPr>
        <w:spacing w:before="120" w:after="120"/>
        <w:ind w:left="1134" w:right="902"/>
        <w:jc w:val="both"/>
        <w:rPr>
          <w:rFonts w:ascii="Palatino Linotype" w:eastAsia="Palatino Linotype" w:hAnsi="Palatino Linotype" w:cs="Palatino Linotype"/>
          <w:i/>
          <w:sz w:val="22"/>
          <w:szCs w:val="22"/>
        </w:rPr>
      </w:pPr>
      <w:r w:rsidRPr="001429FF">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366DBF9" w14:textId="77777777" w:rsidR="00D10152" w:rsidRPr="001429FF" w:rsidRDefault="00785AE5">
      <w:pPr>
        <w:spacing w:before="240" w:after="240" w:line="360" w:lineRule="auto"/>
        <w:ind w:right="51"/>
        <w:jc w:val="both"/>
        <w:rPr>
          <w:rFonts w:ascii="Palatino Linotype" w:eastAsia="Palatino Linotype" w:hAnsi="Palatino Linotype" w:cs="Palatino Linotype"/>
        </w:rPr>
      </w:pPr>
      <w:r w:rsidRPr="001429FF">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1429FF">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1C5528EF" w14:textId="77777777" w:rsidR="009C6343" w:rsidRPr="001429FF" w:rsidRDefault="009C6343" w:rsidP="009C6343">
      <w:pPr>
        <w:spacing w:before="240" w:after="240" w:line="360" w:lineRule="auto"/>
        <w:ind w:right="51"/>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 xml:space="preserve"> requirió al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le proporcione, información consistente en lo siguiente:</w:t>
      </w:r>
    </w:p>
    <w:p w14:paraId="0A101D76" w14:textId="77777777" w:rsidR="009C6343" w:rsidRPr="001429FF" w:rsidRDefault="009C6343" w:rsidP="000E7BEB">
      <w:pPr>
        <w:spacing w:before="240" w:after="240" w:line="360" w:lineRule="auto"/>
        <w:ind w:left="284" w:right="51"/>
        <w:jc w:val="both"/>
        <w:rPr>
          <w:rFonts w:ascii="Palatino Linotype" w:eastAsia="Palatino Linotype" w:hAnsi="Palatino Linotype" w:cs="Palatino Linotype"/>
        </w:rPr>
      </w:pPr>
      <w:r w:rsidRPr="001429FF">
        <w:rPr>
          <w:rFonts w:ascii="Palatino Linotype" w:eastAsia="Palatino Linotype" w:hAnsi="Palatino Linotype" w:cs="Palatino Linotype"/>
        </w:rPr>
        <w:t>1. Sanciones que ha recibido el ayuntamiento desde</w:t>
      </w:r>
      <w:r w:rsidR="000E7BEB" w:rsidRPr="001429FF">
        <w:rPr>
          <w:rFonts w:ascii="Palatino Linotype" w:eastAsia="Palatino Linotype" w:hAnsi="Palatino Linotype" w:cs="Palatino Linotype"/>
        </w:rPr>
        <w:t xml:space="preserve"> en uno de</w:t>
      </w:r>
      <w:r w:rsidRPr="001429FF">
        <w:rPr>
          <w:rFonts w:ascii="Palatino Linotype" w:eastAsia="Palatino Linotype" w:hAnsi="Palatino Linotype" w:cs="Palatino Linotype"/>
        </w:rPr>
        <w:t xml:space="preserve"> enero de dos mil veintidós, al veintiocho de marzo de dos mil veinticinco </w:t>
      </w:r>
      <w:r w:rsidR="000E7BEB" w:rsidRPr="001429FF">
        <w:rPr>
          <w:rFonts w:ascii="Palatino Linotype" w:eastAsia="Palatino Linotype" w:hAnsi="Palatino Linotype" w:cs="Palatino Linotype"/>
        </w:rPr>
        <w:t>y c</w:t>
      </w:r>
      <w:r w:rsidR="00AA7FBE" w:rsidRPr="001429FF">
        <w:rPr>
          <w:rFonts w:ascii="Palatino Linotype" w:eastAsia="Palatino Linotype" w:hAnsi="Palatino Linotype" w:cs="Palatino Linotype"/>
        </w:rPr>
        <w:t>uá</w:t>
      </w:r>
      <w:r w:rsidRPr="001429FF">
        <w:rPr>
          <w:rFonts w:ascii="Palatino Linotype" w:eastAsia="Palatino Linotype" w:hAnsi="Palatino Linotype" w:cs="Palatino Linotype"/>
        </w:rPr>
        <w:t xml:space="preserve">ntos procedimientos sancionatorios ha iniciado la </w:t>
      </w:r>
      <w:r w:rsidR="00AA7FBE" w:rsidRPr="001429FF">
        <w:rPr>
          <w:rFonts w:ascii="Palatino Linotype" w:eastAsia="Palatino Linotype" w:hAnsi="Palatino Linotype" w:cs="Palatino Linotype"/>
        </w:rPr>
        <w:t xml:space="preserve">Contraloría </w:t>
      </w:r>
      <w:r w:rsidR="000E7BEB" w:rsidRPr="001429FF">
        <w:rPr>
          <w:rFonts w:ascii="Palatino Linotype" w:eastAsia="Palatino Linotype" w:hAnsi="Palatino Linotype" w:cs="Palatino Linotype"/>
        </w:rPr>
        <w:t xml:space="preserve">Interna </w:t>
      </w:r>
      <w:r w:rsidR="00AA7FBE" w:rsidRPr="001429FF">
        <w:rPr>
          <w:rFonts w:ascii="Palatino Linotype" w:eastAsia="Palatino Linotype" w:hAnsi="Palatino Linotype" w:cs="Palatino Linotype"/>
        </w:rPr>
        <w:t>Municipal.</w:t>
      </w:r>
    </w:p>
    <w:p w14:paraId="2746FA08" w14:textId="77777777" w:rsidR="000E7BEB" w:rsidRPr="001429FF" w:rsidRDefault="009C6343" w:rsidP="009C6343">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En respuesta,</w:t>
      </w:r>
      <w:r w:rsidR="000E7BEB" w:rsidRPr="001429FF">
        <w:rPr>
          <w:rFonts w:ascii="Palatino Linotype" w:eastAsia="Palatino Linotype" w:hAnsi="Palatino Linotype" w:cs="Palatino Linotype"/>
        </w:rPr>
        <w:t xml:space="preserve"> el </w:t>
      </w:r>
      <w:r w:rsidR="000E7BEB" w:rsidRPr="001429FF">
        <w:rPr>
          <w:rFonts w:ascii="Palatino Linotype" w:eastAsia="Palatino Linotype" w:hAnsi="Palatino Linotype" w:cs="Palatino Linotype"/>
          <w:b/>
        </w:rPr>
        <w:t xml:space="preserve">Sujeto Obligado </w:t>
      </w:r>
      <w:r w:rsidR="000E7BEB" w:rsidRPr="001429FF">
        <w:rPr>
          <w:rFonts w:ascii="Palatino Linotype" w:eastAsia="Palatino Linotype" w:hAnsi="Palatino Linotype" w:cs="Palatino Linotype"/>
        </w:rPr>
        <w:t>por conducto del titular del Órgano Interno de Control manifestó que se llevó a cabo una búsqueda exhaustiva en los archivos que obran en la Contraloría Interna Municipal, no obstante, no se encontraron registros donde se hayan recibido sanciones al ayuntamiento desde dos mil veintidós a la fecha de la solicitud, asimismo indicó que no se han iniciado procedimientos sancionatorios en la Contraloría a la fecha de la solicitud.</w:t>
      </w:r>
    </w:p>
    <w:p w14:paraId="68F2C74A" w14:textId="77777777" w:rsidR="009C6343" w:rsidRPr="001429FF" w:rsidRDefault="009C6343" w:rsidP="009C6343">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Derivado de lo anterior, la parte </w:t>
      </w:r>
      <w:r w:rsidRPr="001429FF">
        <w:rPr>
          <w:rFonts w:ascii="Palatino Linotype" w:eastAsia="Palatino Linotype" w:hAnsi="Palatino Linotype" w:cs="Palatino Linotype"/>
          <w:b/>
        </w:rPr>
        <w:t xml:space="preserve">Recurrente </w:t>
      </w:r>
      <w:r w:rsidRPr="001429FF">
        <w:rPr>
          <w:rFonts w:ascii="Palatino Linotype" w:eastAsia="Palatino Linotype" w:hAnsi="Palatino Linotype" w:cs="Palatino Linotype"/>
        </w:rPr>
        <w:t xml:space="preserve">presentó el recurso de revisión que se resuelve, por medio del cual alegó que no </w:t>
      </w:r>
      <w:r w:rsidR="009C63C1" w:rsidRPr="001429FF">
        <w:rPr>
          <w:rFonts w:ascii="Palatino Linotype" w:eastAsia="Palatino Linotype" w:hAnsi="Palatino Linotype" w:cs="Palatino Linotype"/>
        </w:rPr>
        <w:t>se entregó la información solicitada</w:t>
      </w:r>
      <w:r w:rsidRPr="001429FF">
        <w:rPr>
          <w:rFonts w:ascii="Palatino Linotype" w:eastAsia="Palatino Linotype" w:hAnsi="Palatino Linotype" w:cs="Palatino Linotype"/>
        </w:rPr>
        <w:t xml:space="preserve">. </w:t>
      </w:r>
    </w:p>
    <w:p w14:paraId="44D45F8A" w14:textId="77777777" w:rsidR="009C6343" w:rsidRPr="001429FF" w:rsidRDefault="009C6343" w:rsidP="009C6343">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la etapa de manifestaciones el </w:t>
      </w:r>
      <w:r w:rsidRPr="001429FF">
        <w:rPr>
          <w:rFonts w:ascii="Palatino Linotype" w:eastAsia="Palatino Linotype" w:hAnsi="Palatino Linotype" w:cs="Palatino Linotype"/>
          <w:b/>
        </w:rPr>
        <w:t xml:space="preserve">Sujeto Obligado </w:t>
      </w:r>
      <w:r w:rsidR="00BE36BC" w:rsidRPr="001429FF">
        <w:rPr>
          <w:rFonts w:ascii="Palatino Linotype" w:eastAsia="Palatino Linotype" w:hAnsi="Palatino Linotype" w:cs="Palatino Linotype"/>
        </w:rPr>
        <w:t>ratificó en lo sustancial la respuesta proporcionada en primera instancia</w:t>
      </w:r>
      <w:r w:rsidRPr="001429FF">
        <w:rPr>
          <w:rFonts w:ascii="Palatino Linotype" w:eastAsia="Palatino Linotype" w:hAnsi="Palatino Linotype" w:cs="Palatino Linotype"/>
        </w:rPr>
        <w:t xml:space="preserve">, y la parte </w:t>
      </w:r>
      <w:r w:rsidRPr="001429FF">
        <w:rPr>
          <w:rFonts w:ascii="Palatino Linotype" w:eastAsia="Palatino Linotype" w:hAnsi="Palatino Linotype" w:cs="Palatino Linotype"/>
          <w:b/>
        </w:rPr>
        <w:t xml:space="preserve">Recurrente </w:t>
      </w:r>
      <w:r w:rsidRPr="001429FF">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2261FC10" w14:textId="77777777" w:rsidR="009C6343" w:rsidRPr="001429FF" w:rsidRDefault="009C6343" w:rsidP="009C6343">
      <w:pPr>
        <w:spacing w:before="280" w:after="28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 xml:space="preserve">Una vez establecidas las posturas de las partes, se procede al análisis del requerimiento de información combatido, así como la información proporcionada por 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 xml:space="preserve">en contraposición con el motivo de inconformidad alegado por la parte </w:t>
      </w:r>
      <w:r w:rsidRPr="001429FF">
        <w:rPr>
          <w:rFonts w:ascii="Palatino Linotype" w:eastAsia="Palatino Linotype" w:hAnsi="Palatino Linotype" w:cs="Palatino Linotype"/>
          <w:b/>
        </w:rPr>
        <w:t xml:space="preserve">Recurrente, </w:t>
      </w:r>
      <w:r w:rsidRPr="001429FF">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40FBDDE" w14:textId="77777777" w:rsidR="00D10152" w:rsidRPr="001429FF" w:rsidRDefault="00BE36BC">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este tenor, en principio es imprescindible mencionar </w:t>
      </w:r>
      <w:r w:rsidR="00785AE5" w:rsidRPr="001429FF">
        <w:rPr>
          <w:rFonts w:ascii="Palatino Linotype" w:eastAsia="Palatino Linotype" w:hAnsi="Palatino Linotype" w:cs="Palatino Linotype"/>
        </w:rPr>
        <w:t>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AF3AF24"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192A21D" w14:textId="77777777" w:rsidR="00D10152" w:rsidRPr="001429FF" w:rsidRDefault="00785AE5">
      <w:pPr>
        <w:spacing w:before="240" w:after="240" w:line="360" w:lineRule="auto"/>
        <w:ind w:right="51"/>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w:t>
      </w:r>
      <w:r w:rsidRPr="001429FF">
        <w:rPr>
          <w:rFonts w:ascii="Palatino Linotype" w:eastAsia="Palatino Linotype" w:hAnsi="Palatino Linotype" w:cs="Palatino Linotype"/>
        </w:rPr>
        <w:lastRenderedPageBreak/>
        <w:t>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3162088E"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8EEF725" w14:textId="77777777" w:rsidR="00D10152" w:rsidRPr="001429FF" w:rsidRDefault="00785AE5">
      <w:pPr>
        <w:spacing w:before="280" w:after="28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w:t>
      </w:r>
      <w:r w:rsidR="00BE36BC" w:rsidRPr="001429FF">
        <w:rPr>
          <w:rFonts w:ascii="Palatino Linotype" w:eastAsia="Palatino Linotype" w:hAnsi="Palatino Linotype" w:cs="Palatino Linotype"/>
        </w:rPr>
        <w:t>Contraloría Interna Municipal</w:t>
      </w:r>
      <w:r w:rsidR="007C1F34" w:rsidRPr="001429FF">
        <w:rPr>
          <w:rFonts w:ascii="Palatino Linotype" w:eastAsia="Palatino Linotype" w:hAnsi="Palatino Linotype" w:cs="Palatino Linotype"/>
        </w:rPr>
        <w:t xml:space="preserve"> </w:t>
      </w:r>
      <w:r w:rsidRPr="001429FF">
        <w:rPr>
          <w:rFonts w:ascii="Palatino Linotype" w:eastAsia="Palatino Linotype" w:hAnsi="Palatino Linotype" w:cs="Palatino Linotype"/>
        </w:rPr>
        <w:t>como la dependencia responsable para conocer de la información que es del interés de la persona solicitante.</w:t>
      </w:r>
    </w:p>
    <w:p w14:paraId="228C0BD4" w14:textId="77777777" w:rsidR="002A0B10" w:rsidRPr="001429FF" w:rsidRDefault="00785AE5" w:rsidP="002A0B10">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 xml:space="preserve">Como sustento a lo anterior, es oportuno mencionar que de conformidad con el artículo </w:t>
      </w:r>
      <w:r w:rsidR="007C1F34" w:rsidRPr="001429FF">
        <w:rPr>
          <w:rFonts w:ascii="Palatino Linotype" w:eastAsia="Palatino Linotype" w:hAnsi="Palatino Linotype" w:cs="Palatino Linotype"/>
        </w:rPr>
        <w:t>11</w:t>
      </w:r>
      <w:r w:rsidR="002A0B10" w:rsidRPr="001429FF">
        <w:rPr>
          <w:rFonts w:ascii="Palatino Linotype" w:eastAsia="Palatino Linotype" w:hAnsi="Palatino Linotype" w:cs="Palatino Linotype"/>
        </w:rPr>
        <w:t>0</w:t>
      </w:r>
      <w:r w:rsidR="007C1F34" w:rsidRPr="001429FF">
        <w:rPr>
          <w:rFonts w:ascii="Palatino Linotype" w:eastAsia="Palatino Linotype" w:hAnsi="Palatino Linotype" w:cs="Palatino Linotype"/>
        </w:rPr>
        <w:t xml:space="preserve"> de la Ley Orgánica del Estado de México, </w:t>
      </w:r>
      <w:r w:rsidR="002A0B10" w:rsidRPr="001429FF">
        <w:rPr>
          <w:rFonts w:ascii="Palatino Linotype" w:eastAsia="Palatino Linotype" w:hAnsi="Palatino Linotype" w:cs="Palatino Linotype"/>
        </w:rPr>
        <w:t>el órgano interno de control municipal es el órgano interno de control encargado de promover, evaluar y fortalecer el buen funcionamiento del control interno, competente para aplicar las leyes en materia de responsabilidades de los servidores públicos, cuyas atribuciones, en su parte conducente se encuentran enmarcadas en el artículo 112 de la referida Ley, a saber:</w:t>
      </w:r>
    </w:p>
    <w:p w14:paraId="71AE7F22" w14:textId="77777777" w:rsidR="002A0B10" w:rsidRPr="001429FF" w:rsidRDefault="007620DB" w:rsidP="007620DB">
      <w:pPr>
        <w:spacing w:before="120" w:after="120"/>
        <w:ind w:left="851" w:right="902"/>
        <w:jc w:val="both"/>
        <w:rPr>
          <w:rFonts w:ascii="Palatino Linotype" w:hAnsi="Palatino Linotype"/>
          <w:i/>
          <w:sz w:val="22"/>
        </w:rPr>
      </w:pPr>
      <w:r w:rsidRPr="001429FF">
        <w:rPr>
          <w:rFonts w:ascii="Palatino Linotype" w:hAnsi="Palatino Linotype"/>
          <w:b/>
          <w:i/>
          <w:sz w:val="22"/>
        </w:rPr>
        <w:t>“</w:t>
      </w:r>
      <w:r w:rsidR="002A0B10" w:rsidRPr="001429FF">
        <w:rPr>
          <w:rFonts w:ascii="Palatino Linotype" w:hAnsi="Palatino Linotype"/>
          <w:b/>
          <w:i/>
          <w:sz w:val="22"/>
        </w:rPr>
        <w:t>Artículo 112</w:t>
      </w:r>
      <w:r w:rsidR="002A0B10" w:rsidRPr="001429FF">
        <w:rPr>
          <w:rFonts w:ascii="Palatino Linotype" w:hAnsi="Palatino Linotype"/>
          <w:i/>
          <w:sz w:val="22"/>
        </w:rPr>
        <w:t>. El órgano interno de control municipal tendrá a su cargo las funciones siguientes:</w:t>
      </w:r>
    </w:p>
    <w:p w14:paraId="4E502141"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b/>
          <w:i/>
          <w:sz w:val="22"/>
        </w:rPr>
        <w:t>I.</w:t>
      </w:r>
      <w:r w:rsidRPr="001429FF">
        <w:rPr>
          <w:rFonts w:ascii="Palatino Linotype" w:hAnsi="Palatino Linotype"/>
          <w:i/>
          <w:sz w:val="22"/>
        </w:rPr>
        <w:t xml:space="preserve"> Planear, programar, organizar y coordinar el sistema de control y evaluación municipal;</w:t>
      </w:r>
    </w:p>
    <w:p w14:paraId="731895A6"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b/>
          <w:i/>
          <w:sz w:val="22"/>
        </w:rPr>
        <w:t>II</w:t>
      </w:r>
      <w:r w:rsidRPr="001429FF">
        <w:rPr>
          <w:rFonts w:ascii="Palatino Linotype" w:hAnsi="Palatino Linotype"/>
          <w:i/>
          <w:sz w:val="22"/>
        </w:rPr>
        <w:t>. Fiscalizar el ingreso y ejercicio del gasto público municipal y su congruencia con el presupuesto de egresos;</w:t>
      </w:r>
    </w:p>
    <w:p w14:paraId="1131F5BF"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i/>
          <w:sz w:val="22"/>
        </w:rPr>
        <w:t>...</w:t>
      </w:r>
    </w:p>
    <w:p w14:paraId="44AD5E5A"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b/>
          <w:i/>
          <w:sz w:val="22"/>
        </w:rPr>
        <w:t>V.</w:t>
      </w:r>
      <w:r w:rsidRPr="001429FF">
        <w:rPr>
          <w:rFonts w:ascii="Palatino Linotype" w:hAnsi="Palatino Linotype"/>
          <w:i/>
          <w:sz w:val="22"/>
        </w:rPr>
        <w:t xml:space="preserve"> Establecer las bases generales para la realización de auditorías e inspecciones;</w:t>
      </w:r>
    </w:p>
    <w:p w14:paraId="4A0984DA" w14:textId="77777777" w:rsidR="002A0B10" w:rsidRPr="001429FF" w:rsidRDefault="007620DB" w:rsidP="007620DB">
      <w:pPr>
        <w:spacing w:before="120" w:after="120"/>
        <w:ind w:left="851" w:right="902"/>
        <w:jc w:val="both"/>
        <w:rPr>
          <w:rFonts w:ascii="Palatino Linotype" w:hAnsi="Palatino Linotype"/>
          <w:i/>
          <w:sz w:val="22"/>
        </w:rPr>
      </w:pPr>
      <w:r w:rsidRPr="001429FF">
        <w:rPr>
          <w:rFonts w:ascii="Palatino Linotype" w:hAnsi="Palatino Linotype"/>
          <w:i/>
          <w:sz w:val="22"/>
        </w:rPr>
        <w:t>...</w:t>
      </w:r>
    </w:p>
    <w:p w14:paraId="6A3A7715"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b/>
          <w:i/>
          <w:sz w:val="22"/>
        </w:rPr>
        <w:t>VIII</w:t>
      </w:r>
      <w:r w:rsidRPr="001429FF">
        <w:rPr>
          <w:rFonts w:ascii="Palatino Linotype" w:hAnsi="Palatino Linotype"/>
          <w:i/>
          <w:sz w:val="22"/>
        </w:rPr>
        <w:t>. Coordinarse con el Órgano Superior de Fiscalización del Estado de México y la Contraloría del Poder Legislativo y con la Secretaría de la Contraloría del Estado para el cumplimiento de sus funciones;</w:t>
      </w:r>
    </w:p>
    <w:p w14:paraId="5FF7634D"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i/>
          <w:sz w:val="22"/>
        </w:rPr>
        <w:t>...</w:t>
      </w:r>
    </w:p>
    <w:p w14:paraId="30A978C9"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b/>
          <w:i/>
          <w:sz w:val="22"/>
        </w:rPr>
        <w:t>X.</w:t>
      </w:r>
      <w:r w:rsidRPr="001429FF">
        <w:rPr>
          <w:rFonts w:ascii="Palatino Linotype" w:hAnsi="Palatino Linotype"/>
          <w:i/>
          <w:sz w:val="22"/>
        </w:rPr>
        <w:t xml:space="preserve"> Establecer y operar un sistema de atención de quejas, denuncias y sugerencias;</w:t>
      </w:r>
    </w:p>
    <w:p w14:paraId="708B7B80" w14:textId="77777777" w:rsidR="007620DB" w:rsidRPr="001429FF" w:rsidRDefault="007620DB" w:rsidP="007620DB">
      <w:pPr>
        <w:spacing w:before="120" w:after="120"/>
        <w:ind w:left="851" w:right="902"/>
        <w:jc w:val="both"/>
        <w:rPr>
          <w:rFonts w:ascii="Palatino Linotype" w:hAnsi="Palatino Linotype"/>
          <w:i/>
          <w:sz w:val="22"/>
        </w:rPr>
      </w:pPr>
      <w:r w:rsidRPr="001429FF">
        <w:rPr>
          <w:rFonts w:ascii="Palatino Linotype" w:hAnsi="Palatino Linotype"/>
          <w:b/>
          <w:i/>
          <w:sz w:val="22"/>
        </w:rPr>
        <w:t>XI.</w:t>
      </w:r>
      <w:r w:rsidRPr="001429FF">
        <w:rPr>
          <w:rFonts w:ascii="Palatino Linotype" w:hAnsi="Palatino Linotype"/>
          <w:i/>
          <w:sz w:val="22"/>
        </w:rPr>
        <w:t xml:space="preserve"> Realizar auditorías y evaluaciones e informar del resultado de las mismas al ayuntamiento;</w:t>
      </w:r>
    </w:p>
    <w:p w14:paraId="320DDE74"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i/>
          <w:sz w:val="22"/>
        </w:rPr>
        <w:t>...</w:t>
      </w:r>
    </w:p>
    <w:p w14:paraId="591BD2D8" w14:textId="77777777" w:rsidR="002A0B10" w:rsidRPr="001429FF" w:rsidRDefault="002A0B10" w:rsidP="007620DB">
      <w:pPr>
        <w:spacing w:before="120" w:after="120"/>
        <w:ind w:left="851" w:right="902"/>
        <w:jc w:val="both"/>
        <w:rPr>
          <w:rFonts w:ascii="Palatino Linotype" w:hAnsi="Palatino Linotype"/>
          <w:i/>
          <w:sz w:val="22"/>
        </w:rPr>
      </w:pPr>
      <w:r w:rsidRPr="001429FF">
        <w:rPr>
          <w:rFonts w:ascii="Palatino Linotype" w:hAnsi="Palatino Linotype"/>
          <w:b/>
          <w:i/>
          <w:sz w:val="22"/>
        </w:rPr>
        <w:t>XVII</w:t>
      </w:r>
      <w:r w:rsidRPr="001429FF">
        <w:rPr>
          <w:rFonts w:ascii="Palatino Linotype" w:hAnsi="Palatino Linotype"/>
          <w:i/>
          <w:sz w:val="22"/>
        </w:rPr>
        <w:t xml:space="preserve">. Recibir las denuncias que se formulen por presuntas infracciones o faltas administrativas derivadas de actos u omisiones cometidos por las personas servidoras públicas de sus municipios, o de particulares vinculados con faltas administrativas graves; así como </w:t>
      </w:r>
      <w:r w:rsidRPr="001429FF">
        <w:rPr>
          <w:rFonts w:ascii="Palatino Linotype" w:hAnsi="Palatino Linotype"/>
          <w:b/>
          <w:i/>
          <w:sz w:val="22"/>
          <w:u w:val="single"/>
        </w:rPr>
        <w:t>iniciar de oficio, por denuncia o derivado de auditorías realizadas por las autoridades competentes</w:t>
      </w:r>
      <w:r w:rsidRPr="001429FF">
        <w:rPr>
          <w:rFonts w:ascii="Palatino Linotype" w:hAnsi="Palatino Linotype"/>
          <w:b/>
          <w:i/>
          <w:sz w:val="22"/>
        </w:rPr>
        <w:t xml:space="preserve">, los </w:t>
      </w:r>
      <w:r w:rsidRPr="001429FF">
        <w:rPr>
          <w:rFonts w:ascii="Palatino Linotype" w:hAnsi="Palatino Linotype"/>
          <w:b/>
          <w:i/>
          <w:sz w:val="22"/>
        </w:rPr>
        <w:lastRenderedPageBreak/>
        <w:t>procedimientos de investigación por posibles faltas administrativas y en su caso, la calificación de faltas graves y no graves, en términos de la Ley de Responsabilidades Administrativas del Estado de México y Municipios.</w:t>
      </w:r>
      <w:r w:rsidRPr="001429FF">
        <w:rPr>
          <w:rFonts w:ascii="Palatino Linotype" w:hAnsi="Palatino Linotype"/>
          <w:i/>
          <w:sz w:val="22"/>
        </w:rPr>
        <w:t xml:space="preserve"> </w:t>
      </w:r>
    </w:p>
    <w:p w14:paraId="1B7485FB" w14:textId="77777777" w:rsidR="002A0B10" w:rsidRPr="001429FF" w:rsidRDefault="002A0B10" w:rsidP="007620DB">
      <w:pPr>
        <w:spacing w:before="120" w:after="120"/>
        <w:ind w:left="851" w:right="902"/>
        <w:jc w:val="both"/>
        <w:rPr>
          <w:rFonts w:ascii="Palatino Linotype" w:eastAsia="Palatino Linotype" w:hAnsi="Palatino Linotype" w:cs="Palatino Linotype"/>
          <w:b/>
          <w:i/>
          <w:sz w:val="22"/>
        </w:rPr>
      </w:pPr>
      <w:r w:rsidRPr="001429FF">
        <w:rPr>
          <w:rFonts w:ascii="Palatino Linotype" w:hAnsi="Palatino Linotype"/>
          <w:i/>
          <w:sz w:val="22"/>
        </w:rPr>
        <w:t xml:space="preserve">Asimismo, </w:t>
      </w:r>
      <w:r w:rsidRPr="001429FF">
        <w:rPr>
          <w:rFonts w:ascii="Palatino Linotype" w:hAnsi="Palatino Linotype"/>
          <w:b/>
          <w:i/>
          <w:sz w:val="22"/>
          <w:u w:val="single"/>
        </w:rPr>
        <w:t>substanciar los procedimientos de responsabilidad administrativa</w:t>
      </w:r>
      <w:r w:rsidRPr="001429FF">
        <w:rPr>
          <w:rFonts w:ascii="Palatino Linotype" w:hAnsi="Palatino Linotype"/>
          <w:b/>
          <w:i/>
          <w:sz w:val="22"/>
        </w:rPr>
        <w:t xml:space="preserve"> y emitir en su caso, las resoluciones que son de su competencia, </w:t>
      </w:r>
      <w:r w:rsidRPr="001429FF">
        <w:rPr>
          <w:rFonts w:ascii="Palatino Linotype" w:hAnsi="Palatino Linotype"/>
          <w:b/>
          <w:i/>
          <w:sz w:val="22"/>
          <w:u w:val="single"/>
        </w:rPr>
        <w:t>imponiendo cuando proceda, las sanciones que correspondan</w:t>
      </w:r>
      <w:r w:rsidRPr="001429FF">
        <w:rPr>
          <w:rFonts w:ascii="Palatino Linotype" w:hAnsi="Palatino Linotype"/>
          <w:b/>
          <w:i/>
          <w:sz w:val="22"/>
        </w:rPr>
        <w:t>;</w:t>
      </w:r>
      <w:r w:rsidRPr="001429FF">
        <w:rPr>
          <w:rFonts w:ascii="Palatino Linotype" w:hAnsi="Palatino Linotype"/>
          <w:i/>
          <w:sz w:val="22"/>
        </w:rPr>
        <w:t xml:space="preserve"> remitiendo los expedientes al Tribunal de Justicia Administrativa del Estado de México, por faltas graves y faltas de particulares en términos de la referida Ley de Responsabilidades Administrativas del Estado de México y Municipios; </w:t>
      </w:r>
      <w:r w:rsidRPr="001429FF">
        <w:rPr>
          <w:rFonts w:ascii="Palatino Linotype" w:hAnsi="Palatino Linotype"/>
          <w:b/>
          <w:i/>
          <w:sz w:val="22"/>
        </w:rPr>
        <w:t>instruyendo, tramitando y resolviendo los recursos que le corresponda conocer, previstos en esta;</w:t>
      </w:r>
      <w:r w:rsidR="007620DB" w:rsidRPr="001429FF">
        <w:rPr>
          <w:rFonts w:ascii="Palatino Linotype" w:hAnsi="Palatino Linotype"/>
          <w:b/>
          <w:i/>
          <w:sz w:val="22"/>
        </w:rPr>
        <w:t>”</w:t>
      </w:r>
    </w:p>
    <w:p w14:paraId="6044BC08" w14:textId="77777777" w:rsidR="0058476C" w:rsidRPr="001429FF" w:rsidRDefault="0058476C" w:rsidP="0058476C">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Para el cumplimiento sus atribuciones la Contraloría Interna Municipal se auxilia de las siguientes áreas, de conformidad con el artículo 46 del Bando Municipal:</w:t>
      </w:r>
    </w:p>
    <w:p w14:paraId="47EE748B" w14:textId="77777777" w:rsidR="0058476C" w:rsidRPr="001429FF" w:rsidRDefault="0058476C" w:rsidP="0058476C">
      <w:pPr>
        <w:spacing w:before="240" w:after="240" w:line="360" w:lineRule="auto"/>
        <w:ind w:left="284" w:right="49"/>
        <w:jc w:val="both"/>
        <w:rPr>
          <w:rFonts w:ascii="Palatino Linotype" w:hAnsi="Palatino Linotype"/>
        </w:rPr>
      </w:pPr>
      <w:r w:rsidRPr="001429FF">
        <w:rPr>
          <w:rFonts w:ascii="Palatino Linotype" w:hAnsi="Palatino Linotype"/>
          <w:b/>
        </w:rPr>
        <w:t>I</w:t>
      </w:r>
      <w:r w:rsidRPr="001429FF">
        <w:rPr>
          <w:rFonts w:ascii="Palatino Linotype" w:hAnsi="Palatino Linotype"/>
        </w:rPr>
        <w:t xml:space="preserve">. Unidad Administrativa de Investigación. </w:t>
      </w:r>
    </w:p>
    <w:p w14:paraId="21F9D915" w14:textId="77777777" w:rsidR="0058476C" w:rsidRPr="001429FF" w:rsidRDefault="0058476C" w:rsidP="0058476C">
      <w:pPr>
        <w:spacing w:before="240" w:after="240" w:line="360" w:lineRule="auto"/>
        <w:ind w:left="284" w:right="49"/>
        <w:jc w:val="both"/>
        <w:rPr>
          <w:rFonts w:ascii="Palatino Linotype" w:hAnsi="Palatino Linotype"/>
        </w:rPr>
      </w:pPr>
      <w:r w:rsidRPr="001429FF">
        <w:rPr>
          <w:rFonts w:ascii="Palatino Linotype" w:hAnsi="Palatino Linotype"/>
          <w:b/>
        </w:rPr>
        <w:t>II</w:t>
      </w:r>
      <w:r w:rsidRPr="001429FF">
        <w:rPr>
          <w:rFonts w:ascii="Palatino Linotype" w:hAnsi="Palatino Linotype"/>
        </w:rPr>
        <w:t xml:space="preserve">. Unidad Administrativa de Substanciación. </w:t>
      </w:r>
    </w:p>
    <w:p w14:paraId="0909B347" w14:textId="77777777" w:rsidR="0058476C" w:rsidRPr="001429FF" w:rsidRDefault="0058476C" w:rsidP="0058476C">
      <w:pPr>
        <w:spacing w:before="240" w:after="240" w:line="360" w:lineRule="auto"/>
        <w:ind w:left="284" w:right="49"/>
        <w:jc w:val="both"/>
        <w:rPr>
          <w:rFonts w:ascii="Palatino Linotype" w:hAnsi="Palatino Linotype"/>
        </w:rPr>
      </w:pPr>
      <w:r w:rsidRPr="001429FF">
        <w:rPr>
          <w:rFonts w:ascii="Palatino Linotype" w:hAnsi="Palatino Linotype"/>
          <w:b/>
        </w:rPr>
        <w:t>III</w:t>
      </w:r>
      <w:r w:rsidRPr="001429FF">
        <w:rPr>
          <w:rFonts w:ascii="Palatino Linotype" w:hAnsi="Palatino Linotype"/>
        </w:rPr>
        <w:t xml:space="preserve">. Unidad Administrativa de Resolución. </w:t>
      </w:r>
    </w:p>
    <w:p w14:paraId="542F6A8E" w14:textId="77777777" w:rsidR="0058476C" w:rsidRPr="001429FF" w:rsidRDefault="0058476C" w:rsidP="0058476C">
      <w:pPr>
        <w:spacing w:before="240" w:after="240" w:line="360" w:lineRule="auto"/>
        <w:ind w:left="284" w:right="49"/>
        <w:jc w:val="both"/>
        <w:rPr>
          <w:rFonts w:ascii="Palatino Linotype" w:eastAsia="Palatino Linotype" w:hAnsi="Palatino Linotype" w:cs="Palatino Linotype"/>
        </w:rPr>
      </w:pPr>
      <w:r w:rsidRPr="001429FF">
        <w:rPr>
          <w:rFonts w:ascii="Palatino Linotype" w:hAnsi="Palatino Linotype"/>
          <w:b/>
        </w:rPr>
        <w:t>IV</w:t>
      </w:r>
      <w:r w:rsidRPr="001429FF">
        <w:rPr>
          <w:rFonts w:ascii="Palatino Linotype" w:hAnsi="Palatino Linotype"/>
        </w:rPr>
        <w:t>. Unidad Administrativa de Auditoría</w:t>
      </w:r>
    </w:p>
    <w:p w14:paraId="3A17B988" w14:textId="77777777" w:rsidR="003B6859" w:rsidRPr="001429FF" w:rsidRDefault="003B6859" w:rsidP="00F62BE1">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Por su parte,</w:t>
      </w:r>
      <w:r w:rsidR="007620DB" w:rsidRPr="001429FF">
        <w:rPr>
          <w:rFonts w:ascii="Palatino Linotype" w:eastAsia="Palatino Linotype" w:hAnsi="Palatino Linotype" w:cs="Palatino Linotype"/>
        </w:rPr>
        <w:t xml:space="preserve"> el artículo 10</w:t>
      </w:r>
      <w:r w:rsidRPr="001429FF">
        <w:rPr>
          <w:rFonts w:ascii="Palatino Linotype" w:eastAsia="Palatino Linotype" w:hAnsi="Palatino Linotype" w:cs="Palatino Linotype"/>
        </w:rPr>
        <w:t xml:space="preserve">, </w:t>
      </w:r>
      <w:r w:rsidR="007620DB" w:rsidRPr="001429FF">
        <w:rPr>
          <w:rFonts w:ascii="Palatino Linotype" w:eastAsia="Palatino Linotype" w:hAnsi="Palatino Linotype" w:cs="Palatino Linotype"/>
        </w:rPr>
        <w:t>de la Ley de Responsabilidades Administrativas del Estado de México y Municipios</w:t>
      </w:r>
      <w:r w:rsidR="002E4605" w:rsidRPr="001429FF">
        <w:rPr>
          <w:rFonts w:ascii="Palatino Linotype" w:eastAsia="Palatino Linotype" w:hAnsi="Palatino Linotype" w:cs="Palatino Linotype"/>
        </w:rPr>
        <w:t>,</w:t>
      </w:r>
      <w:r w:rsidR="007620DB" w:rsidRPr="001429FF">
        <w:rPr>
          <w:rFonts w:ascii="Palatino Linotype" w:eastAsia="Palatino Linotype" w:hAnsi="Palatino Linotype" w:cs="Palatino Linotype"/>
        </w:rPr>
        <w:t xml:space="preserve"> </w:t>
      </w:r>
      <w:r w:rsidRPr="001429FF">
        <w:rPr>
          <w:rFonts w:ascii="Palatino Linotype" w:eastAsia="Palatino Linotype" w:hAnsi="Palatino Linotype" w:cs="Palatino Linotype"/>
        </w:rPr>
        <w:t>en su parte conducente, confiere a los órganos internos de control la atribución para investigar, substanciar calificar faltas administrativas en el ámbito de su competencia, así como de  iniciar, substanciar, y resolver los procedimientos de responsabilidad administrativa en los términos previstos en dicha Ley, respecto de aquellos actos u omisiones que hayan sido calificados como faltas no graves.</w:t>
      </w:r>
    </w:p>
    <w:p w14:paraId="3B35581E" w14:textId="77777777" w:rsidR="002E4605" w:rsidRPr="001429FF" w:rsidRDefault="003B6859" w:rsidP="00DB4FCB">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 xml:space="preserve">Asimismo, el precepto en cita dispone que en aquellos casos en los cuales las autoridades investigadoras determinen en su calificación la existencia de faltas administrativas, así como la presunta responsabilidad del infractor, deben elaborar el Informe de Presunta Responsabilidad Administrativa y presentarlo a la autoridad sustanciadora para que procesa en los términos de la Ley de </w:t>
      </w:r>
      <w:r w:rsidR="002E4605" w:rsidRPr="001429FF">
        <w:rPr>
          <w:rFonts w:ascii="Palatino Linotype" w:eastAsia="Palatino Linotype" w:hAnsi="Palatino Linotype" w:cs="Palatino Linotype"/>
        </w:rPr>
        <w:t>Responsabilidades de la entidad.</w:t>
      </w:r>
    </w:p>
    <w:p w14:paraId="08825C35" w14:textId="77777777" w:rsidR="00DB4FCB" w:rsidRPr="001429FF" w:rsidRDefault="002E4605" w:rsidP="00DB4FCB">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Al respecto, es</w:t>
      </w:r>
      <w:r w:rsidR="003B6859" w:rsidRPr="001429FF">
        <w:rPr>
          <w:rFonts w:ascii="Palatino Linotype" w:eastAsia="Palatino Linotype" w:hAnsi="Palatino Linotype" w:cs="Palatino Linotype"/>
        </w:rPr>
        <w:t xml:space="preserve"> importante </w:t>
      </w:r>
      <w:r w:rsidR="00DB4FCB" w:rsidRPr="001429FF">
        <w:rPr>
          <w:rFonts w:ascii="Palatino Linotype" w:eastAsia="Palatino Linotype" w:hAnsi="Palatino Linotype" w:cs="Palatino Linotype"/>
        </w:rPr>
        <w:t>mencionar que</w:t>
      </w:r>
      <w:r w:rsidR="00E3616C" w:rsidRPr="001429FF">
        <w:rPr>
          <w:rFonts w:ascii="Palatino Linotype" w:eastAsia="Palatino Linotype" w:hAnsi="Palatino Linotype" w:cs="Palatino Linotype"/>
        </w:rPr>
        <w:t xml:space="preserve"> en términos</w:t>
      </w:r>
      <w:r w:rsidR="00DB4FCB" w:rsidRPr="001429FF">
        <w:rPr>
          <w:rFonts w:ascii="Palatino Linotype" w:eastAsia="Palatino Linotype" w:hAnsi="Palatino Linotype" w:cs="Palatino Linotype"/>
        </w:rPr>
        <w:t xml:space="preserve"> de</w:t>
      </w:r>
      <w:r w:rsidRPr="001429FF">
        <w:rPr>
          <w:rFonts w:ascii="Palatino Linotype" w:eastAsia="Palatino Linotype" w:hAnsi="Palatino Linotype" w:cs="Palatino Linotype"/>
        </w:rPr>
        <w:t xml:space="preserve"> </w:t>
      </w:r>
      <w:r w:rsidR="00DB4FCB" w:rsidRPr="001429FF">
        <w:rPr>
          <w:rFonts w:ascii="Palatino Linotype" w:eastAsia="Palatino Linotype" w:hAnsi="Palatino Linotype" w:cs="Palatino Linotype"/>
        </w:rPr>
        <w:t>l</w:t>
      </w:r>
      <w:r w:rsidRPr="001429FF">
        <w:rPr>
          <w:rFonts w:ascii="Palatino Linotype" w:eastAsia="Palatino Linotype" w:hAnsi="Palatino Linotype" w:cs="Palatino Linotype"/>
        </w:rPr>
        <w:t>os</w:t>
      </w:r>
      <w:r w:rsidR="00DB4FCB" w:rsidRPr="001429FF">
        <w:rPr>
          <w:rFonts w:ascii="Palatino Linotype" w:eastAsia="Palatino Linotype" w:hAnsi="Palatino Linotype" w:cs="Palatino Linotype"/>
        </w:rPr>
        <w:t xml:space="preserve"> artículo</w:t>
      </w:r>
      <w:r w:rsidRPr="001429FF">
        <w:rPr>
          <w:rFonts w:ascii="Palatino Linotype" w:eastAsia="Palatino Linotype" w:hAnsi="Palatino Linotype" w:cs="Palatino Linotype"/>
        </w:rPr>
        <w:t>s</w:t>
      </w:r>
      <w:r w:rsidR="00DB4FCB" w:rsidRPr="001429FF">
        <w:rPr>
          <w:rFonts w:ascii="Palatino Linotype" w:eastAsia="Palatino Linotype" w:hAnsi="Palatino Linotype" w:cs="Palatino Linotype"/>
        </w:rPr>
        <w:t xml:space="preserve"> 3 fracciones XIII y XVI</w:t>
      </w:r>
      <w:r w:rsidRPr="001429FF">
        <w:rPr>
          <w:rFonts w:ascii="Palatino Linotype" w:eastAsia="Palatino Linotype" w:hAnsi="Palatino Linotype" w:cs="Palatino Linotype"/>
        </w:rPr>
        <w:t xml:space="preserve">, 10 y 13 </w:t>
      </w:r>
      <w:r w:rsidR="00DB4FCB" w:rsidRPr="001429FF">
        <w:rPr>
          <w:rFonts w:ascii="Palatino Linotype" w:eastAsia="Palatino Linotype" w:hAnsi="Palatino Linotype" w:cs="Palatino Linotype"/>
        </w:rPr>
        <w:t>de la Ley de Responsabilidades</w:t>
      </w:r>
      <w:r w:rsidRPr="001429FF">
        <w:rPr>
          <w:rFonts w:ascii="Palatino Linotype" w:eastAsia="Palatino Linotype" w:hAnsi="Palatino Linotype" w:cs="Palatino Linotype"/>
        </w:rPr>
        <w:t xml:space="preserve"> Ley de Responsabilidades Administrativas del Estado de México y Municipios, </w:t>
      </w:r>
      <w:r w:rsidR="00E3616C" w:rsidRPr="001429FF">
        <w:rPr>
          <w:rFonts w:ascii="Palatino Linotype" w:eastAsia="Palatino Linotype" w:hAnsi="Palatino Linotype" w:cs="Palatino Linotype"/>
        </w:rPr>
        <w:t xml:space="preserve">la Secretaría de la Contraloría y órganos internos de control son competentes para </w:t>
      </w:r>
      <w:r w:rsidR="00DB4FCB" w:rsidRPr="001429FF">
        <w:rPr>
          <w:rFonts w:ascii="Palatino Linotype" w:eastAsia="Palatino Linotype" w:hAnsi="Palatino Linotype" w:cs="Palatino Linotype"/>
        </w:rPr>
        <w:t xml:space="preserve">imponer sanciones respecto de las </w:t>
      </w:r>
      <w:r w:rsidR="00E3616C" w:rsidRPr="001429FF">
        <w:rPr>
          <w:rFonts w:ascii="Palatino Linotype" w:eastAsia="Palatino Linotype" w:hAnsi="Palatino Linotype" w:cs="Palatino Linotype"/>
        </w:rPr>
        <w:t>faltas administrativas no graves</w:t>
      </w:r>
      <w:r w:rsidR="00DB4FCB" w:rsidRPr="001429FF">
        <w:rPr>
          <w:rFonts w:ascii="Palatino Linotype" w:eastAsia="Palatino Linotype" w:hAnsi="Palatino Linotype" w:cs="Palatino Linotype"/>
        </w:rPr>
        <w:t xml:space="preserve"> de los servidores públicos</w:t>
      </w:r>
      <w:r w:rsidR="00E3616C" w:rsidRPr="001429FF">
        <w:rPr>
          <w:rFonts w:ascii="Palatino Linotype" w:eastAsia="Palatino Linotype" w:hAnsi="Palatino Linotype" w:cs="Palatino Linotype"/>
        </w:rPr>
        <w:t>;</w:t>
      </w:r>
      <w:r w:rsidR="00DB4FCB" w:rsidRPr="001429FF">
        <w:rPr>
          <w:rFonts w:ascii="Palatino Linotype" w:eastAsia="Palatino Linotype" w:hAnsi="Palatino Linotype" w:cs="Palatino Linotype"/>
        </w:rPr>
        <w:t xml:space="preserve"> mientras que el Tribunal de Justicia Administrativa del Estado de México es competente para imponer sanciones por faltas graves de servidores públicos, así como por actos u omisiones de personas físicas o jurídicas colectivas que se encuentran vinculadas con las faltas administrativas graves. </w:t>
      </w:r>
    </w:p>
    <w:p w14:paraId="0C18008C" w14:textId="77777777" w:rsidR="0058476C" w:rsidRPr="001429FF" w:rsidRDefault="0058476C" w:rsidP="0058476C">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En este orden de ideas, debe mencionarse que cuando las autoridades investigadoras determinen que de los actos u omisiones investigados se desprende que el servidor público incurrió en la comisión de faltas administrativas graves y no graves, se deberá substanciar el procedimiento en cuanto a las faltas graves, para que el Tribunal de Justicia Administrativa sea quien imponga la sanción que corresponda a dicha falta administrativa grave.</w:t>
      </w:r>
    </w:p>
    <w:p w14:paraId="0FD9C38B" w14:textId="77777777" w:rsidR="0091405A" w:rsidRPr="001429FF" w:rsidRDefault="0058476C" w:rsidP="0058476C">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 xml:space="preserve">Por lo que se refiere a las sanciones por faltas administrativas no graves, </w:t>
      </w:r>
      <w:r w:rsidR="00545318" w:rsidRPr="001429FF">
        <w:rPr>
          <w:rFonts w:ascii="Palatino Linotype" w:eastAsia="Palatino Linotype" w:hAnsi="Palatino Linotype" w:cs="Palatino Linotype"/>
        </w:rPr>
        <w:t xml:space="preserve">los </w:t>
      </w:r>
      <w:r w:rsidRPr="001429FF">
        <w:rPr>
          <w:rFonts w:ascii="Palatino Linotype" w:eastAsia="Palatino Linotype" w:hAnsi="Palatino Linotype" w:cs="Palatino Linotype"/>
        </w:rPr>
        <w:t>artículo</w:t>
      </w:r>
      <w:r w:rsidR="00545318" w:rsidRPr="001429FF">
        <w:rPr>
          <w:rFonts w:ascii="Palatino Linotype" w:eastAsia="Palatino Linotype" w:hAnsi="Palatino Linotype" w:cs="Palatino Linotype"/>
        </w:rPr>
        <w:t>s</w:t>
      </w:r>
      <w:r w:rsidRPr="001429FF">
        <w:rPr>
          <w:rFonts w:ascii="Palatino Linotype" w:eastAsia="Palatino Linotype" w:hAnsi="Palatino Linotype" w:cs="Palatino Linotype"/>
        </w:rPr>
        <w:t xml:space="preserve"> 79</w:t>
      </w:r>
      <w:r w:rsidR="00545318" w:rsidRPr="001429FF">
        <w:rPr>
          <w:rFonts w:ascii="Palatino Linotype" w:eastAsia="Palatino Linotype" w:hAnsi="Palatino Linotype" w:cs="Palatino Linotype"/>
        </w:rPr>
        <w:t xml:space="preserve"> y 81</w:t>
      </w:r>
      <w:r w:rsidRPr="001429FF">
        <w:rPr>
          <w:rFonts w:ascii="Palatino Linotype" w:eastAsia="Palatino Linotype" w:hAnsi="Palatino Linotype" w:cs="Palatino Linotype"/>
        </w:rPr>
        <w:t xml:space="preserve"> de la Ley de Responsabilidades Administrativas del Estado de México </w:t>
      </w:r>
      <w:r w:rsidR="0091405A" w:rsidRPr="001429FF">
        <w:rPr>
          <w:rFonts w:ascii="Palatino Linotype" w:eastAsia="Palatino Linotype" w:hAnsi="Palatino Linotype" w:cs="Palatino Linotype"/>
        </w:rPr>
        <w:t>y Municipios, dispone lo siguiente:</w:t>
      </w:r>
    </w:p>
    <w:p w14:paraId="302F6651" w14:textId="77777777" w:rsidR="0091405A" w:rsidRPr="001429FF" w:rsidRDefault="0091405A" w:rsidP="00545318">
      <w:pPr>
        <w:spacing w:before="120" w:after="120"/>
        <w:ind w:left="851" w:right="902"/>
        <w:jc w:val="both"/>
        <w:rPr>
          <w:rFonts w:ascii="Palatino Linotype" w:hAnsi="Palatino Linotype"/>
          <w:i/>
          <w:sz w:val="22"/>
        </w:rPr>
      </w:pPr>
      <w:r w:rsidRPr="001429FF">
        <w:rPr>
          <w:rFonts w:ascii="Palatino Linotype" w:eastAsia="Palatino Linotype" w:hAnsi="Palatino Linotype" w:cs="Palatino Linotype"/>
          <w:i/>
          <w:sz w:val="22"/>
        </w:rPr>
        <w:t>“</w:t>
      </w:r>
      <w:r w:rsidRPr="001429FF">
        <w:rPr>
          <w:rFonts w:ascii="Palatino Linotype" w:hAnsi="Palatino Linotype"/>
          <w:b/>
          <w:i/>
          <w:sz w:val="22"/>
        </w:rPr>
        <w:t>Artículo 79.</w:t>
      </w:r>
      <w:r w:rsidRPr="001429FF">
        <w:rPr>
          <w:rFonts w:ascii="Palatino Linotype" w:hAnsi="Palatino Linotype"/>
          <w:i/>
          <w:sz w:val="22"/>
        </w:rPr>
        <w:t xml:space="preserve"> </w:t>
      </w:r>
      <w:r w:rsidRPr="001429FF">
        <w:rPr>
          <w:rFonts w:ascii="Palatino Linotype" w:hAnsi="Palatino Linotype"/>
          <w:b/>
          <w:i/>
          <w:sz w:val="22"/>
        </w:rPr>
        <w:t>En los casos de responsabilidades administrativas distintas a las que son competencia del Tribunal de Justicia Administrativa</w:t>
      </w:r>
      <w:r w:rsidRPr="001429FF">
        <w:rPr>
          <w:rFonts w:ascii="Palatino Linotype" w:hAnsi="Palatino Linotype"/>
          <w:i/>
          <w:sz w:val="22"/>
        </w:rPr>
        <w:t xml:space="preserve">, la Secretaría de la Contraloría o </w:t>
      </w:r>
      <w:r w:rsidRPr="001429FF">
        <w:rPr>
          <w:rFonts w:ascii="Palatino Linotype" w:hAnsi="Palatino Linotype"/>
          <w:b/>
          <w:i/>
          <w:sz w:val="22"/>
        </w:rPr>
        <w:t>los órganos internos de control impondrán las sanciones administrativas siguientes</w:t>
      </w:r>
      <w:r w:rsidRPr="001429FF">
        <w:rPr>
          <w:rFonts w:ascii="Palatino Linotype" w:hAnsi="Palatino Linotype"/>
          <w:i/>
          <w:sz w:val="22"/>
        </w:rPr>
        <w:t xml:space="preserve">: </w:t>
      </w:r>
    </w:p>
    <w:p w14:paraId="2574FB75" w14:textId="77777777" w:rsidR="0091405A" w:rsidRPr="001429FF" w:rsidRDefault="0091405A" w:rsidP="00545318">
      <w:pPr>
        <w:spacing w:before="120" w:after="120"/>
        <w:ind w:left="1134" w:right="902"/>
        <w:jc w:val="both"/>
        <w:rPr>
          <w:rFonts w:ascii="Palatino Linotype" w:hAnsi="Palatino Linotype"/>
          <w:i/>
          <w:sz w:val="22"/>
        </w:rPr>
      </w:pPr>
      <w:r w:rsidRPr="001429FF">
        <w:rPr>
          <w:rFonts w:ascii="Palatino Linotype" w:hAnsi="Palatino Linotype"/>
          <w:b/>
          <w:i/>
          <w:sz w:val="22"/>
        </w:rPr>
        <w:t>I</w:t>
      </w:r>
      <w:r w:rsidRPr="001429FF">
        <w:rPr>
          <w:rFonts w:ascii="Palatino Linotype" w:hAnsi="Palatino Linotype"/>
          <w:i/>
          <w:sz w:val="22"/>
        </w:rPr>
        <w:t xml:space="preserve">. Amonestación pública o privada. </w:t>
      </w:r>
    </w:p>
    <w:p w14:paraId="13DF7CAA" w14:textId="77777777" w:rsidR="0091405A" w:rsidRPr="001429FF" w:rsidRDefault="0091405A" w:rsidP="00545318">
      <w:pPr>
        <w:spacing w:before="120" w:after="120"/>
        <w:ind w:left="1134" w:right="902"/>
        <w:jc w:val="both"/>
        <w:rPr>
          <w:rFonts w:ascii="Palatino Linotype" w:hAnsi="Palatino Linotype"/>
          <w:i/>
          <w:sz w:val="22"/>
        </w:rPr>
      </w:pPr>
      <w:r w:rsidRPr="001429FF">
        <w:rPr>
          <w:rFonts w:ascii="Palatino Linotype" w:hAnsi="Palatino Linotype"/>
          <w:b/>
          <w:i/>
          <w:sz w:val="22"/>
        </w:rPr>
        <w:t>II</w:t>
      </w:r>
      <w:r w:rsidRPr="001429FF">
        <w:rPr>
          <w:rFonts w:ascii="Palatino Linotype" w:hAnsi="Palatino Linotype"/>
          <w:i/>
          <w:sz w:val="22"/>
        </w:rPr>
        <w:t xml:space="preserve">. Suspensión del empleo, cargo o comisión, sin goce de sueldo por un periodo no menor de un día ni mayor a treinta días naturales. </w:t>
      </w:r>
    </w:p>
    <w:p w14:paraId="7FBE5255" w14:textId="77777777" w:rsidR="0091405A" w:rsidRPr="001429FF" w:rsidRDefault="0091405A" w:rsidP="00545318">
      <w:pPr>
        <w:spacing w:before="120" w:after="120"/>
        <w:ind w:left="1134" w:right="902"/>
        <w:jc w:val="both"/>
        <w:rPr>
          <w:rFonts w:ascii="Palatino Linotype" w:hAnsi="Palatino Linotype"/>
          <w:i/>
          <w:sz w:val="22"/>
        </w:rPr>
      </w:pPr>
      <w:r w:rsidRPr="001429FF">
        <w:rPr>
          <w:rFonts w:ascii="Palatino Linotype" w:hAnsi="Palatino Linotype"/>
          <w:b/>
          <w:i/>
          <w:sz w:val="22"/>
        </w:rPr>
        <w:t>III.</w:t>
      </w:r>
      <w:r w:rsidRPr="001429FF">
        <w:rPr>
          <w:rFonts w:ascii="Palatino Linotype" w:hAnsi="Palatino Linotype"/>
          <w:i/>
          <w:sz w:val="22"/>
        </w:rPr>
        <w:t xml:space="preserve"> Destitución de su empleo, cargo o comisión.</w:t>
      </w:r>
    </w:p>
    <w:p w14:paraId="43697925" w14:textId="77777777" w:rsidR="0091405A" w:rsidRPr="001429FF" w:rsidRDefault="0091405A" w:rsidP="00545318">
      <w:pPr>
        <w:spacing w:before="120" w:after="120"/>
        <w:ind w:left="1134" w:right="902"/>
        <w:jc w:val="both"/>
        <w:rPr>
          <w:rFonts w:ascii="Palatino Linotype" w:hAnsi="Palatino Linotype"/>
          <w:i/>
          <w:sz w:val="22"/>
        </w:rPr>
      </w:pPr>
      <w:r w:rsidRPr="001429FF">
        <w:rPr>
          <w:rFonts w:ascii="Palatino Linotype" w:hAnsi="Palatino Linotype"/>
          <w:b/>
          <w:i/>
          <w:sz w:val="22"/>
        </w:rPr>
        <w:t>IV</w:t>
      </w:r>
      <w:r w:rsidRPr="001429FF">
        <w:rPr>
          <w:rFonts w:ascii="Palatino Linotype" w:hAnsi="Palatino Linotype"/>
          <w:i/>
          <w:sz w:val="22"/>
        </w:rPr>
        <w:t xml:space="preserve">. Inhabilitación temporal para desempeñar empleos, cargos o comisiones en el servicio público y para participar en adquisiciones, arrendamientos, servicios u obras públicas, por un período no menor de tres meses ni mayor de un año. </w:t>
      </w:r>
    </w:p>
    <w:p w14:paraId="40595A6E" w14:textId="77777777" w:rsidR="00545318" w:rsidRPr="001429FF" w:rsidRDefault="0091405A" w:rsidP="00545318">
      <w:pPr>
        <w:spacing w:before="120" w:after="120"/>
        <w:ind w:left="851" w:right="902"/>
        <w:jc w:val="both"/>
        <w:rPr>
          <w:rFonts w:ascii="Palatino Linotype" w:hAnsi="Palatino Linotype"/>
          <w:i/>
          <w:sz w:val="22"/>
        </w:rPr>
      </w:pPr>
      <w:r w:rsidRPr="001429FF">
        <w:rPr>
          <w:rFonts w:ascii="Palatino Linotype" w:hAnsi="Palatino Linotype"/>
          <w:i/>
          <w:sz w:val="22"/>
        </w:rPr>
        <w:t xml:space="preserve">La Secretaría de la Contraloría y </w:t>
      </w:r>
      <w:r w:rsidRPr="001429FF">
        <w:rPr>
          <w:rFonts w:ascii="Palatino Linotype" w:hAnsi="Palatino Linotype"/>
          <w:b/>
          <w:i/>
          <w:sz w:val="22"/>
        </w:rPr>
        <w:t>los órganos internos de control podrán imponer una o más de las sanciones administrativas</w:t>
      </w:r>
      <w:r w:rsidRPr="001429FF">
        <w:rPr>
          <w:rFonts w:ascii="Palatino Linotype" w:hAnsi="Palatino Linotype"/>
          <w:i/>
          <w:sz w:val="22"/>
        </w:rPr>
        <w:t xml:space="preserve"> señaladas en este artículo, siempre y cuando sean compatibles entre ellas y de acuerdo a la trascendencia de la falta administrativa no grave.</w:t>
      </w:r>
    </w:p>
    <w:p w14:paraId="3EEF0D92" w14:textId="77777777" w:rsidR="00545318" w:rsidRPr="001429FF" w:rsidRDefault="00545318" w:rsidP="00545318">
      <w:pPr>
        <w:spacing w:before="120" w:after="120"/>
        <w:ind w:left="851" w:right="902"/>
        <w:jc w:val="both"/>
        <w:rPr>
          <w:rFonts w:ascii="Palatino Linotype" w:hAnsi="Palatino Linotype"/>
          <w:i/>
          <w:sz w:val="22"/>
        </w:rPr>
      </w:pPr>
      <w:r w:rsidRPr="001429FF">
        <w:rPr>
          <w:rFonts w:ascii="Palatino Linotype" w:hAnsi="Palatino Linotype"/>
          <w:i/>
          <w:sz w:val="22"/>
        </w:rPr>
        <w:t>...</w:t>
      </w:r>
    </w:p>
    <w:p w14:paraId="73E86B2F" w14:textId="77777777" w:rsidR="00545318" w:rsidRPr="001429FF" w:rsidRDefault="00545318" w:rsidP="00545318">
      <w:pPr>
        <w:spacing w:before="120" w:after="120"/>
        <w:ind w:left="851" w:right="902"/>
        <w:jc w:val="both"/>
        <w:rPr>
          <w:rFonts w:ascii="Palatino Linotype" w:hAnsi="Palatino Linotype"/>
          <w:i/>
          <w:sz w:val="22"/>
        </w:rPr>
      </w:pPr>
      <w:r w:rsidRPr="001429FF">
        <w:rPr>
          <w:rFonts w:ascii="Palatino Linotype" w:hAnsi="Palatino Linotype"/>
          <w:b/>
          <w:i/>
          <w:sz w:val="22"/>
        </w:rPr>
        <w:t>Artículo 81</w:t>
      </w:r>
      <w:r w:rsidRPr="001429FF">
        <w:rPr>
          <w:rFonts w:ascii="Palatino Linotype" w:hAnsi="Palatino Linotype"/>
          <w:i/>
          <w:sz w:val="22"/>
        </w:rPr>
        <w:t xml:space="preserve">. La Secretaría de la Contraloría y </w:t>
      </w:r>
      <w:r w:rsidRPr="001429FF">
        <w:rPr>
          <w:rFonts w:ascii="Palatino Linotype" w:hAnsi="Palatino Linotype"/>
          <w:b/>
          <w:i/>
          <w:sz w:val="22"/>
        </w:rPr>
        <w:t>los órganos internos de control son las autoridades facultadas para imponer las sanciones por faltas administrativas no graves y ejecutarlas</w:t>
      </w:r>
      <w:r w:rsidRPr="001429FF">
        <w:rPr>
          <w:rFonts w:ascii="Palatino Linotype" w:hAnsi="Palatino Linotype"/>
          <w:i/>
          <w:sz w:val="22"/>
        </w:rPr>
        <w:t xml:space="preserve">. Podrán abstenerse de imponer la sanción que corresponda por una sola vez siempre y cuando el servidor público: </w:t>
      </w:r>
    </w:p>
    <w:p w14:paraId="3664DF6A" w14:textId="77777777" w:rsidR="00545318" w:rsidRPr="001429FF" w:rsidRDefault="00545318" w:rsidP="00545318">
      <w:pPr>
        <w:spacing w:before="120" w:after="120"/>
        <w:ind w:left="1134" w:right="902"/>
        <w:jc w:val="both"/>
        <w:rPr>
          <w:rFonts w:ascii="Palatino Linotype" w:hAnsi="Palatino Linotype"/>
          <w:i/>
          <w:sz w:val="22"/>
        </w:rPr>
      </w:pPr>
      <w:r w:rsidRPr="001429FF">
        <w:rPr>
          <w:rFonts w:ascii="Palatino Linotype" w:hAnsi="Palatino Linotype"/>
          <w:b/>
          <w:i/>
          <w:sz w:val="22"/>
        </w:rPr>
        <w:t>I.</w:t>
      </w:r>
      <w:r w:rsidRPr="001429FF">
        <w:rPr>
          <w:rFonts w:ascii="Palatino Linotype" w:hAnsi="Palatino Linotype"/>
          <w:i/>
          <w:sz w:val="22"/>
        </w:rPr>
        <w:t xml:space="preserve"> No haya sido sancionado previamente por la misma falta administrativa no grave o por alguna falta grave. </w:t>
      </w:r>
    </w:p>
    <w:p w14:paraId="56DBAA5E" w14:textId="77777777" w:rsidR="00545318" w:rsidRPr="001429FF" w:rsidRDefault="00545318" w:rsidP="00545318">
      <w:pPr>
        <w:spacing w:before="120" w:after="120"/>
        <w:ind w:left="1134" w:right="902"/>
        <w:jc w:val="both"/>
        <w:rPr>
          <w:rFonts w:ascii="Palatino Linotype" w:hAnsi="Palatino Linotype"/>
          <w:i/>
          <w:sz w:val="22"/>
        </w:rPr>
      </w:pPr>
      <w:r w:rsidRPr="001429FF">
        <w:rPr>
          <w:rFonts w:ascii="Palatino Linotype" w:hAnsi="Palatino Linotype"/>
          <w:b/>
          <w:i/>
          <w:sz w:val="22"/>
        </w:rPr>
        <w:t>II</w:t>
      </w:r>
      <w:r w:rsidRPr="001429FF">
        <w:rPr>
          <w:rFonts w:ascii="Palatino Linotype" w:hAnsi="Palatino Linotype"/>
          <w:i/>
          <w:sz w:val="22"/>
        </w:rPr>
        <w:t xml:space="preserve">. No haya actuado de forma dolosa. </w:t>
      </w:r>
    </w:p>
    <w:p w14:paraId="4423AF37" w14:textId="77777777" w:rsidR="0091405A" w:rsidRPr="001429FF" w:rsidRDefault="00545318" w:rsidP="00545318">
      <w:pPr>
        <w:spacing w:before="120" w:after="120"/>
        <w:ind w:left="851" w:right="902"/>
        <w:jc w:val="both"/>
        <w:rPr>
          <w:rFonts w:ascii="Palatino Linotype" w:eastAsia="Palatino Linotype" w:hAnsi="Palatino Linotype" w:cs="Palatino Linotype"/>
          <w:i/>
          <w:sz w:val="22"/>
        </w:rPr>
      </w:pPr>
      <w:r w:rsidRPr="001429FF">
        <w:rPr>
          <w:rFonts w:ascii="Palatino Linotype" w:hAnsi="Palatino Linotype"/>
          <w:i/>
          <w:sz w:val="22"/>
        </w:rPr>
        <w:t>La Secretaría de la Contraloría o los órganos internos de control, deberán fundamentar y motivar la no imposición de la sanción.</w:t>
      </w:r>
      <w:r w:rsidR="0091405A" w:rsidRPr="001429FF">
        <w:rPr>
          <w:rFonts w:ascii="Palatino Linotype" w:hAnsi="Palatino Linotype"/>
          <w:i/>
          <w:sz w:val="22"/>
        </w:rPr>
        <w:t>”</w:t>
      </w:r>
    </w:p>
    <w:p w14:paraId="2805AD5E" w14:textId="77777777" w:rsidR="000367EE" w:rsidRPr="001429FF" w:rsidRDefault="00545318" w:rsidP="0058476C">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Respecto del cumplimiento y ejecución de las sanciones por faltas</w:t>
      </w:r>
      <w:r w:rsidR="000367EE" w:rsidRPr="001429FF">
        <w:rPr>
          <w:rFonts w:ascii="Palatino Linotype" w:eastAsia="Palatino Linotype" w:hAnsi="Palatino Linotype" w:cs="Palatino Linotype"/>
        </w:rPr>
        <w:t xml:space="preserve"> administrativas</w:t>
      </w:r>
      <w:r w:rsidRPr="001429FF">
        <w:rPr>
          <w:rFonts w:ascii="Palatino Linotype" w:eastAsia="Palatino Linotype" w:hAnsi="Palatino Linotype" w:cs="Palatino Linotype"/>
        </w:rPr>
        <w:t xml:space="preserve"> no graves, </w:t>
      </w:r>
      <w:r w:rsidR="000367EE" w:rsidRPr="001429FF">
        <w:rPr>
          <w:rFonts w:ascii="Palatino Linotype" w:eastAsia="Palatino Linotype" w:hAnsi="Palatino Linotype" w:cs="Palatino Linotype"/>
        </w:rPr>
        <w:t>el artículo 206 de Ley de Responsabilidades Administrativas del Estado de México y Municipios dispone lo siguiente:</w:t>
      </w:r>
    </w:p>
    <w:p w14:paraId="7CD8C78F" w14:textId="77777777" w:rsidR="000367EE" w:rsidRPr="001429FF" w:rsidRDefault="000367EE" w:rsidP="000367EE">
      <w:pPr>
        <w:spacing w:before="120" w:after="120"/>
        <w:ind w:left="851" w:right="902"/>
        <w:jc w:val="both"/>
        <w:rPr>
          <w:rFonts w:ascii="Palatino Linotype" w:eastAsia="Palatino Linotype" w:hAnsi="Palatino Linotype" w:cs="Palatino Linotype"/>
          <w:i/>
          <w:sz w:val="22"/>
        </w:rPr>
      </w:pPr>
      <w:r w:rsidRPr="001429FF">
        <w:rPr>
          <w:rFonts w:ascii="Palatino Linotype" w:eastAsia="Palatino Linotype" w:hAnsi="Palatino Linotype" w:cs="Palatino Linotype"/>
          <w:b/>
          <w:i/>
          <w:sz w:val="22"/>
        </w:rPr>
        <w:t>“Artículo 206</w:t>
      </w:r>
      <w:r w:rsidRPr="001429FF">
        <w:rPr>
          <w:rFonts w:ascii="Palatino Linotype" w:eastAsia="Palatino Linotype" w:hAnsi="Palatino Linotype" w:cs="Palatino Linotype"/>
          <w:i/>
          <w:sz w:val="22"/>
        </w:rPr>
        <w:t xml:space="preserve">. </w:t>
      </w:r>
      <w:r w:rsidRPr="001429FF">
        <w:rPr>
          <w:rFonts w:ascii="Palatino Linotype" w:eastAsia="Palatino Linotype" w:hAnsi="Palatino Linotype" w:cs="Palatino Linotype"/>
          <w:b/>
          <w:i/>
          <w:sz w:val="22"/>
        </w:rPr>
        <w:t>La ejecución de las sanciones impuestas por la comisión de faltas administrativas no graves, se llevará a cabo de manera inmediata</w:t>
      </w:r>
      <w:r w:rsidRPr="001429FF">
        <w:rPr>
          <w:rFonts w:ascii="Palatino Linotype" w:eastAsia="Palatino Linotype" w:hAnsi="Palatino Linotype" w:cs="Palatino Linotype"/>
          <w:i/>
          <w:sz w:val="22"/>
        </w:rPr>
        <w:t xml:space="preserve">, </w:t>
      </w:r>
      <w:r w:rsidRPr="001429FF">
        <w:rPr>
          <w:rFonts w:ascii="Palatino Linotype" w:eastAsia="Palatino Linotype" w:hAnsi="Palatino Linotype" w:cs="Palatino Linotype"/>
          <w:b/>
          <w:i/>
          <w:sz w:val="22"/>
          <w:u w:val="single"/>
        </w:rPr>
        <w:t>una vez determinadas por</w:t>
      </w:r>
      <w:r w:rsidRPr="001429FF">
        <w:rPr>
          <w:rFonts w:ascii="Palatino Linotype" w:eastAsia="Palatino Linotype" w:hAnsi="Palatino Linotype" w:cs="Palatino Linotype"/>
          <w:i/>
          <w:sz w:val="22"/>
        </w:rPr>
        <w:t xml:space="preserve"> la Secretaría de la Contraloría o </w:t>
      </w:r>
      <w:r w:rsidRPr="001429FF">
        <w:rPr>
          <w:rFonts w:ascii="Palatino Linotype" w:eastAsia="Palatino Linotype" w:hAnsi="Palatino Linotype" w:cs="Palatino Linotype"/>
          <w:b/>
          <w:i/>
          <w:sz w:val="22"/>
          <w:u w:val="single"/>
        </w:rPr>
        <w:t>los Órganos internos de control</w:t>
      </w:r>
      <w:r w:rsidRPr="001429FF">
        <w:rPr>
          <w:rFonts w:ascii="Palatino Linotype" w:eastAsia="Palatino Linotype" w:hAnsi="Palatino Linotype" w:cs="Palatino Linotype"/>
          <w:i/>
          <w:sz w:val="22"/>
        </w:rPr>
        <w:t xml:space="preserve"> y en los términos que disponga la resolución respectiva.</w:t>
      </w:r>
    </w:p>
    <w:p w14:paraId="236CC60B" w14:textId="77777777" w:rsidR="000367EE" w:rsidRPr="001429FF" w:rsidRDefault="000367EE" w:rsidP="000367EE">
      <w:pPr>
        <w:spacing w:before="120" w:after="120"/>
        <w:ind w:left="851" w:right="902"/>
        <w:jc w:val="both"/>
        <w:rPr>
          <w:rFonts w:ascii="Palatino Linotype" w:eastAsia="Palatino Linotype" w:hAnsi="Palatino Linotype" w:cs="Palatino Linotype"/>
          <w:i/>
          <w:sz w:val="22"/>
        </w:rPr>
      </w:pPr>
      <w:r w:rsidRPr="001429FF">
        <w:rPr>
          <w:rFonts w:ascii="Palatino Linotype" w:eastAsia="Palatino Linotype" w:hAnsi="Palatino Linotype" w:cs="Palatino Linotype"/>
          <w:i/>
          <w:sz w:val="22"/>
        </w:rPr>
        <w:t>Tratándose de servidores públicos de base, la suspensión y la destitución se ejecutarán por el titular del ente público que corresponda.”</w:t>
      </w:r>
    </w:p>
    <w:p w14:paraId="1EF648AC" w14:textId="77777777" w:rsidR="00F62BE1" w:rsidRPr="001429FF" w:rsidRDefault="00F62BE1" w:rsidP="00F62BE1">
      <w:pPr>
        <w:tabs>
          <w:tab w:val="left" w:pos="3544"/>
        </w:tabs>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Atento a lo anterior, se colige que la Contraloría Interna Municipal</w:t>
      </w:r>
      <w:r w:rsidRPr="001429FF">
        <w:rPr>
          <w:rFonts w:ascii="Palatino Linotype" w:eastAsia="Palatino Linotype" w:hAnsi="Palatino Linotype" w:cs="Palatino Linotype"/>
          <w:b/>
        </w:rPr>
        <w:t xml:space="preserve"> </w:t>
      </w:r>
      <w:r w:rsidRPr="001429FF">
        <w:rPr>
          <w:rFonts w:ascii="Palatino Linotype" w:eastAsia="Palatino Linotype" w:hAnsi="Palatino Linotype" w:cs="Palatino Linotype"/>
        </w:rPr>
        <w:t xml:space="preserve">cuenta con atribuciones para conocer de la información solicitada por 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w:t>
      </w:r>
      <w:r w:rsidR="0058476C" w:rsidRPr="001429FF">
        <w:rPr>
          <w:rFonts w:ascii="Palatino Linotype" w:eastAsia="Palatino Linotype" w:hAnsi="Palatino Linotype" w:cs="Palatino Linotype"/>
        </w:rPr>
        <w:t xml:space="preserve"> al ser el órgano responsable de imponer sanciones por faltas administrativas no graves de los servidores públicos, </w:t>
      </w:r>
      <w:r w:rsidRPr="001429FF">
        <w:rPr>
          <w:rFonts w:ascii="Palatino Linotype" w:eastAsia="Palatino Linotype" w:hAnsi="Palatino Linotype" w:cs="Palatino Linotype"/>
        </w:rPr>
        <w:t>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3800931B" w14:textId="77777777" w:rsidR="00186329" w:rsidRPr="001429FF" w:rsidRDefault="00F62BE1" w:rsidP="00186329">
      <w:pPr>
        <w:spacing w:before="240" w:after="240" w:line="360" w:lineRule="auto"/>
        <w:ind w:right="49"/>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En este orden de ideas, </w:t>
      </w:r>
      <w:r w:rsidR="000367EE" w:rsidRPr="001429FF">
        <w:rPr>
          <w:rFonts w:ascii="Palatino Linotype" w:eastAsia="Palatino Linotype" w:hAnsi="Palatino Linotype" w:cs="Palatino Linotype"/>
        </w:rPr>
        <w:t xml:space="preserve">recordemos que en atención a la solicitud, la persona servidora pública habilitada de la Contraloría Interna Municipal refirió que derivado de la búsqueda exhaustiva en los archivos a su cargo, no se encontraron registros donde se hayan recibido sanciones, asimismo, que no se habían iniciado procedimientos sancionatorios en la Contraloría </w:t>
      </w:r>
      <w:r w:rsidR="0066283B" w:rsidRPr="001429FF">
        <w:rPr>
          <w:rFonts w:ascii="Palatino Linotype" w:eastAsia="Palatino Linotype" w:hAnsi="Palatino Linotype" w:cs="Palatino Linotype"/>
        </w:rPr>
        <w:t xml:space="preserve">desde el año dos mil veintidós a la </w:t>
      </w:r>
      <w:r w:rsidR="0066283B" w:rsidRPr="001429FF">
        <w:rPr>
          <w:rFonts w:ascii="Palatino Linotype" w:eastAsia="Palatino Linotype" w:hAnsi="Palatino Linotype" w:cs="Palatino Linotype"/>
        </w:rPr>
        <w:lastRenderedPageBreak/>
        <w:t>fecha de presentación de la solicitud, esto es, al veintiocho de marzo de dos mil veinticinco</w:t>
      </w:r>
      <w:r w:rsidR="00186329" w:rsidRPr="001429FF">
        <w:rPr>
          <w:rFonts w:ascii="Palatino Linotype" w:eastAsia="Palatino Linotype" w:hAnsi="Palatino Linotype" w:cs="Palatino Linotype"/>
        </w:rPr>
        <w:t>, lo cual se constituye en una expresión en sentido negativo puesto que en la misma refiere expresamente que no cuenta con registros relacionados con sanciones y por consiguiente de procedimientos sancionatorios en el periodo requerido, siendo imposible, en consecuencia, proporcionar información alguna al no haberse generado.</w:t>
      </w:r>
    </w:p>
    <w:p w14:paraId="0918459C" w14:textId="77777777" w:rsidR="00186329" w:rsidRPr="001429FF" w:rsidRDefault="00186329" w:rsidP="0018632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Por consiguiente, toda vez que no posee, administra, ni generó la información requerida por la persona solicitante, constituye un hecho negativo; entonces, si se considera el hecho negativo, es obvio que éste no puede fácticamente obrar en los archivos del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ya que no puede probarse por ser lógica y materialmente imposible.</w:t>
      </w:r>
    </w:p>
    <w:p w14:paraId="03331A23" w14:textId="77777777" w:rsidR="00186329" w:rsidRPr="001429FF" w:rsidRDefault="00186329" w:rsidP="00186329">
      <w:pPr>
        <w:pBdr>
          <w:top w:val="nil"/>
          <w:left w:val="nil"/>
          <w:bottom w:val="nil"/>
          <w:right w:val="nil"/>
          <w:between w:val="nil"/>
        </w:pBdr>
        <w:spacing w:before="240" w:after="240" w:line="360" w:lineRule="auto"/>
        <w:jc w:val="both"/>
        <w:rPr>
          <w:sz w:val="28"/>
          <w:szCs w:val="28"/>
        </w:rPr>
      </w:pPr>
      <w:r w:rsidRPr="001429FF">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1429FF">
        <w:rPr>
          <w:rFonts w:ascii="Palatino Linotype" w:eastAsia="Palatino Linotype" w:hAnsi="Palatino Linotype" w:cs="Palatino Linotype"/>
          <w:vertAlign w:val="superscript"/>
        </w:rPr>
        <w:footnoteReference w:id="1"/>
      </w:r>
      <w:r w:rsidRPr="001429FF">
        <w:rPr>
          <w:rFonts w:ascii="Palatino Linotype" w:eastAsia="Palatino Linotype" w:hAnsi="Palatino Linotype" w:cs="Palatino Linotype"/>
        </w:rPr>
        <w:t xml:space="preserve"> emitida por la Segunda Sala de la Suprema Corte de la Nación, que es del tenor literal siguiente:</w:t>
      </w:r>
    </w:p>
    <w:p w14:paraId="5A7E677C" w14:textId="77777777" w:rsidR="00186329" w:rsidRPr="001429FF" w:rsidRDefault="00186329" w:rsidP="00186329">
      <w:pPr>
        <w:spacing w:before="240" w:after="240"/>
        <w:ind w:left="851" w:right="900"/>
        <w:jc w:val="both"/>
        <w:rPr>
          <w:rFonts w:ascii="Palatino Linotype" w:eastAsia="Palatino Linotype" w:hAnsi="Palatino Linotype" w:cs="Palatino Linotype"/>
          <w:sz w:val="22"/>
          <w:szCs w:val="22"/>
        </w:rPr>
      </w:pPr>
      <w:r w:rsidRPr="001429FF">
        <w:rPr>
          <w:rFonts w:ascii="Palatino Linotype" w:eastAsia="Palatino Linotype" w:hAnsi="Palatino Linotype" w:cs="Palatino Linotype"/>
          <w:b/>
          <w:i/>
          <w:sz w:val="22"/>
          <w:szCs w:val="22"/>
        </w:rPr>
        <w:t>“HECHOS NEGATIVOS, NO SON SUSCEPTIBLES DE DEMOSTRACIÓN</w:t>
      </w:r>
      <w:r w:rsidRPr="001429FF">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3E54F7C9" w14:textId="77777777" w:rsidR="00186329" w:rsidRPr="001429FF" w:rsidRDefault="00186329" w:rsidP="00186329">
      <w:pPr>
        <w:spacing w:before="240" w:after="360" w:line="360" w:lineRule="auto"/>
        <w:ind w:right="18"/>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De tal manera que basta con la aseveración por parte del servidor público habilitado de la Contraloría Interna Municipal, como el área competente para conocer de la </w:t>
      </w:r>
      <w:r w:rsidRPr="001429FF">
        <w:rPr>
          <w:rFonts w:ascii="Palatino Linotype" w:eastAsia="Palatino Linotype" w:hAnsi="Palatino Linotype" w:cs="Palatino Linotype"/>
        </w:rPr>
        <w:lastRenderedPageBreak/>
        <w:t>información requerida, respeto de la inexistencia de la misma; siendo que de conformidad con lo establecido en el artículo 12, segundo párrafo de la Ley de Transparencia y Acceso a la Información Pública del Estado de México y Municipios, los Sujetos Obligados sólo proporcionaran la información pública que se les requiera y que obre en sus archivos y en el estado en que ésta se encuentre, en sentido contrario, no están obligados a proporcionar lo que no tengan en sus archivos.</w:t>
      </w:r>
    </w:p>
    <w:p w14:paraId="5CB2AE8A" w14:textId="77777777" w:rsidR="00186329" w:rsidRPr="001429FF" w:rsidRDefault="00186329" w:rsidP="00186329">
      <w:pPr>
        <w:spacing w:before="240" w:after="360" w:line="360" w:lineRule="auto"/>
        <w:ind w:right="18"/>
        <w:jc w:val="both"/>
        <w:rPr>
          <w:rFonts w:ascii="Palatino Linotype" w:eastAsia="Palatino Linotype" w:hAnsi="Palatino Linotype" w:cs="Palatino Linotype"/>
        </w:rPr>
      </w:pPr>
      <w:r w:rsidRPr="001429FF">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4DDEB9C6" w14:textId="77777777" w:rsidR="00186329" w:rsidRPr="001429FF" w:rsidRDefault="00186329" w:rsidP="00186329">
      <w:pPr>
        <w:pBdr>
          <w:top w:val="nil"/>
          <w:left w:val="nil"/>
          <w:bottom w:val="nil"/>
          <w:right w:val="nil"/>
          <w:between w:val="nil"/>
        </w:pBdr>
        <w:spacing w:before="240" w:after="240" w:line="360" w:lineRule="auto"/>
        <w:jc w:val="both"/>
      </w:pPr>
      <w:r w:rsidRPr="001429FF">
        <w:rPr>
          <w:rFonts w:ascii="Palatino Linotype" w:eastAsia="Palatino Linotype" w:hAnsi="Palatino Linotype" w:cs="Palatino Linotype"/>
        </w:rPr>
        <w:t>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1CE4B5B1" w14:textId="77777777" w:rsidR="00D10152" w:rsidRPr="001429FF" w:rsidRDefault="00785AE5">
      <w:pPr>
        <w:tabs>
          <w:tab w:val="left" w:pos="851"/>
        </w:tabs>
        <w:spacing w:before="240" w:after="360" w:line="360" w:lineRule="auto"/>
        <w:ind w:right="18"/>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Derivado de lo expuesto, se concluye que los motivos de inconformidad de la parte </w:t>
      </w:r>
      <w:r w:rsidRPr="001429FF">
        <w:rPr>
          <w:rFonts w:ascii="Palatino Linotype" w:eastAsia="Palatino Linotype" w:hAnsi="Palatino Linotype" w:cs="Palatino Linotype"/>
          <w:b/>
        </w:rPr>
        <w:t xml:space="preserve">Recurrente </w:t>
      </w:r>
      <w:r w:rsidRPr="001429FF">
        <w:rPr>
          <w:rFonts w:ascii="Palatino Linotype" w:eastAsia="Palatino Linotype" w:hAnsi="Palatino Linotype" w:cs="Palatino Linotype"/>
        </w:rPr>
        <w:t xml:space="preserve">devienen infundados, siendo procedente </w:t>
      </w:r>
      <w:r w:rsidRPr="001429FF">
        <w:rPr>
          <w:rFonts w:ascii="Palatino Linotype" w:eastAsia="Palatino Linotype" w:hAnsi="Palatino Linotype" w:cs="Palatino Linotype"/>
          <w:i/>
        </w:rPr>
        <w:t xml:space="preserve">Confirmar </w:t>
      </w:r>
      <w:r w:rsidRPr="001429FF">
        <w:rPr>
          <w:rFonts w:ascii="Palatino Linotype" w:eastAsia="Palatino Linotype" w:hAnsi="Palatino Linotype" w:cs="Palatino Linotype"/>
        </w:rPr>
        <w:t xml:space="preserve">la respuesta proporcionada por el </w:t>
      </w:r>
      <w:r w:rsidRPr="001429FF">
        <w:rPr>
          <w:rFonts w:ascii="Palatino Linotype" w:eastAsia="Palatino Linotype" w:hAnsi="Palatino Linotype" w:cs="Palatino Linotype"/>
          <w:b/>
        </w:rPr>
        <w:t xml:space="preserve">Sujeto Obligado </w:t>
      </w:r>
      <w:r w:rsidRPr="001429FF">
        <w:rPr>
          <w:rFonts w:ascii="Palatino Linotype" w:eastAsia="Palatino Linotype" w:hAnsi="Palatino Linotype" w:cs="Palatino Linotype"/>
        </w:rPr>
        <w:t>en términos del artículo 186, fracción II de la Ley de Transparencia y Acceso a la Información Pública del Estado de México y Municipios.</w:t>
      </w:r>
    </w:p>
    <w:p w14:paraId="0D1B05CB"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rPr>
        <w:lastRenderedPageBreak/>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0BA02F4" w14:textId="77777777" w:rsidR="00D10152" w:rsidRPr="001429FF" w:rsidRDefault="00785AE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429FF">
        <w:rPr>
          <w:rFonts w:ascii="Palatino Linotype" w:eastAsia="Palatino Linotype" w:hAnsi="Palatino Linotype" w:cs="Palatino Linotype"/>
          <w:b/>
        </w:rPr>
        <w:t>III. R E S U E L V E</w:t>
      </w:r>
    </w:p>
    <w:p w14:paraId="5B102C0C" w14:textId="6B51AD51" w:rsidR="00D10152" w:rsidRPr="001429FF" w:rsidRDefault="00785AE5">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1429FF">
        <w:rPr>
          <w:rFonts w:ascii="Palatino Linotype" w:eastAsia="Palatino Linotype" w:hAnsi="Palatino Linotype" w:cs="Palatino Linotype"/>
          <w:b/>
        </w:rPr>
        <w:t xml:space="preserve">Primero. </w:t>
      </w:r>
      <w:r w:rsidRPr="001429FF">
        <w:rPr>
          <w:rFonts w:ascii="Palatino Linotype" w:eastAsia="Palatino Linotype" w:hAnsi="Palatino Linotype" w:cs="Palatino Linotype"/>
        </w:rPr>
        <w:t xml:space="preserve">Son </w:t>
      </w:r>
      <w:r w:rsidRPr="001429FF">
        <w:rPr>
          <w:rFonts w:ascii="Palatino Linotype" w:eastAsia="Palatino Linotype" w:hAnsi="Palatino Linotype" w:cs="Palatino Linotype"/>
          <w:b/>
        </w:rPr>
        <w:t>infundadas</w:t>
      </w:r>
      <w:r w:rsidRPr="001429FF">
        <w:rPr>
          <w:rFonts w:ascii="Palatino Linotype" w:eastAsia="Palatino Linotype" w:hAnsi="Palatino Linotype" w:cs="Palatino Linotype"/>
        </w:rPr>
        <w:t xml:space="preserve"> las razones o motivos de inconformidad hechos valer por 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 xml:space="preserve"> en el recurso de revisión </w:t>
      </w:r>
      <w:r w:rsidRPr="001429FF">
        <w:rPr>
          <w:rFonts w:ascii="Palatino Linotype" w:eastAsia="Palatino Linotype" w:hAnsi="Palatino Linotype" w:cs="Palatino Linotype"/>
          <w:b/>
        </w:rPr>
        <w:t>045</w:t>
      </w:r>
      <w:r w:rsidR="00186329" w:rsidRPr="001429FF">
        <w:rPr>
          <w:rFonts w:ascii="Palatino Linotype" w:eastAsia="Palatino Linotype" w:hAnsi="Palatino Linotype" w:cs="Palatino Linotype"/>
          <w:b/>
        </w:rPr>
        <w:t>59</w:t>
      </w:r>
      <w:r w:rsidRPr="001429FF">
        <w:rPr>
          <w:rFonts w:ascii="Palatino Linotype" w:eastAsia="Palatino Linotype" w:hAnsi="Palatino Linotype" w:cs="Palatino Linotype"/>
          <w:b/>
        </w:rPr>
        <w:t>/INFOEM/IP/RR/2025</w:t>
      </w:r>
      <w:r w:rsidRPr="001429FF">
        <w:rPr>
          <w:rFonts w:ascii="Palatino Linotype" w:eastAsia="Palatino Linotype" w:hAnsi="Palatino Linotype" w:cs="Palatino Linotype"/>
        </w:rPr>
        <w:t xml:space="preserve">, por lo que, en términos de los argumentos de derecho señalados en el considerando </w:t>
      </w:r>
      <w:r w:rsidRPr="001429FF">
        <w:rPr>
          <w:rFonts w:ascii="Palatino Linotype" w:eastAsia="Palatino Linotype" w:hAnsi="Palatino Linotype" w:cs="Palatino Linotype"/>
          <w:b/>
        </w:rPr>
        <w:t>Cuarto</w:t>
      </w:r>
      <w:r w:rsidRPr="001429FF">
        <w:rPr>
          <w:rFonts w:ascii="Palatino Linotype" w:eastAsia="Palatino Linotype" w:hAnsi="Palatino Linotype" w:cs="Palatino Linotype"/>
        </w:rPr>
        <w:t>, se</w:t>
      </w:r>
      <w:r w:rsidRPr="001429FF">
        <w:rPr>
          <w:rFonts w:ascii="Palatino Linotype" w:eastAsia="Palatino Linotype" w:hAnsi="Palatino Linotype" w:cs="Palatino Linotype"/>
          <w:b/>
        </w:rPr>
        <w:t xml:space="preserve"> Confirma </w:t>
      </w:r>
      <w:r w:rsidRPr="001429FF">
        <w:rPr>
          <w:rFonts w:ascii="Palatino Linotype" w:eastAsia="Palatino Linotype" w:hAnsi="Palatino Linotype" w:cs="Palatino Linotype"/>
        </w:rPr>
        <w:t xml:space="preserve">la respuesta del </w:t>
      </w:r>
      <w:r w:rsidRPr="001429FF">
        <w:rPr>
          <w:rFonts w:ascii="Palatino Linotype" w:eastAsia="Palatino Linotype" w:hAnsi="Palatino Linotype" w:cs="Palatino Linotype"/>
          <w:b/>
        </w:rPr>
        <w:t>Sujeto Obligado</w:t>
      </w:r>
      <w:r w:rsidRPr="001429FF">
        <w:rPr>
          <w:rFonts w:ascii="Palatino Linotype" w:eastAsia="Palatino Linotype" w:hAnsi="Palatino Linotype" w:cs="Palatino Linotype"/>
        </w:rPr>
        <w:t>.</w:t>
      </w:r>
    </w:p>
    <w:p w14:paraId="1676A74C" w14:textId="77777777" w:rsidR="00D10152" w:rsidRPr="001429FF" w:rsidRDefault="00785AE5">
      <w:pPr>
        <w:spacing w:before="240" w:after="240" w:line="360" w:lineRule="auto"/>
        <w:jc w:val="both"/>
        <w:rPr>
          <w:rFonts w:ascii="Palatino Linotype" w:eastAsia="Palatino Linotype" w:hAnsi="Palatino Linotype" w:cs="Palatino Linotype"/>
        </w:rPr>
      </w:pPr>
      <w:bookmarkStart w:id="9" w:name="_heading=h.lnxbz9" w:colFirst="0" w:colLast="0"/>
      <w:bookmarkEnd w:id="9"/>
      <w:r w:rsidRPr="001429FF">
        <w:rPr>
          <w:rFonts w:ascii="Palatino Linotype" w:eastAsia="Palatino Linotype" w:hAnsi="Palatino Linotype" w:cs="Palatino Linotype"/>
          <w:b/>
        </w:rPr>
        <w:t xml:space="preserve">Segundo. Notifíquese, </w:t>
      </w:r>
      <w:r w:rsidRPr="001429FF">
        <w:rPr>
          <w:rFonts w:ascii="Palatino Linotype" w:eastAsia="Palatino Linotype" w:hAnsi="Palatino Linotype" w:cs="Palatino Linotype"/>
        </w:rPr>
        <w:t xml:space="preserve">vía </w:t>
      </w:r>
      <w:r w:rsidRPr="001429FF">
        <w:rPr>
          <w:rFonts w:ascii="Palatino Linotype" w:eastAsia="Palatino Linotype" w:hAnsi="Palatino Linotype" w:cs="Palatino Linotype"/>
          <w:b/>
        </w:rPr>
        <w:t xml:space="preserve">SAIMEX, </w:t>
      </w:r>
      <w:r w:rsidRPr="001429FF">
        <w:rPr>
          <w:rFonts w:ascii="Palatino Linotype" w:eastAsia="Palatino Linotype" w:hAnsi="Palatino Linotype" w:cs="Palatino Linotype"/>
        </w:rPr>
        <w:t xml:space="preserve">al Titular de la Unidad de Transparencia del </w:t>
      </w:r>
      <w:r w:rsidRPr="001429FF">
        <w:rPr>
          <w:rFonts w:ascii="Palatino Linotype" w:eastAsia="Palatino Linotype" w:hAnsi="Palatino Linotype" w:cs="Palatino Linotype"/>
          <w:b/>
        </w:rPr>
        <w:t>Sujeto Obligado</w:t>
      </w:r>
      <w:r w:rsidRPr="001429FF">
        <w:rPr>
          <w:rFonts w:ascii="Palatino Linotype" w:eastAsia="Palatino Linotype" w:hAnsi="Palatino Linotype" w:cs="Palatino Linotype"/>
        </w:rPr>
        <w:t xml:space="preserve"> para su conocimiento, la presente resolución.</w:t>
      </w:r>
    </w:p>
    <w:p w14:paraId="60FCC767" w14:textId="77777777" w:rsidR="00D10152" w:rsidRPr="001429FF" w:rsidRDefault="00785AE5">
      <w:pPr>
        <w:spacing w:before="240" w:after="240" w:line="360" w:lineRule="auto"/>
        <w:jc w:val="both"/>
        <w:rPr>
          <w:rFonts w:ascii="Palatino Linotype" w:eastAsia="Palatino Linotype" w:hAnsi="Palatino Linotype" w:cs="Palatino Linotype"/>
        </w:rPr>
      </w:pPr>
      <w:r w:rsidRPr="001429FF">
        <w:rPr>
          <w:rFonts w:ascii="Palatino Linotype" w:eastAsia="Palatino Linotype" w:hAnsi="Palatino Linotype" w:cs="Palatino Linotype"/>
          <w:b/>
        </w:rPr>
        <w:t xml:space="preserve">Tercero.  Notifíquese, </w:t>
      </w:r>
      <w:r w:rsidRPr="001429FF">
        <w:rPr>
          <w:rFonts w:ascii="Palatino Linotype" w:eastAsia="Palatino Linotype" w:hAnsi="Palatino Linotype" w:cs="Palatino Linotype"/>
        </w:rPr>
        <w:t xml:space="preserve">vía </w:t>
      </w:r>
      <w:r w:rsidRPr="001429FF">
        <w:rPr>
          <w:rFonts w:ascii="Palatino Linotype" w:eastAsia="Palatino Linotype" w:hAnsi="Palatino Linotype" w:cs="Palatino Linotype"/>
          <w:b/>
        </w:rPr>
        <w:t xml:space="preserve">SAIMEX, </w:t>
      </w:r>
      <w:r w:rsidRPr="001429FF">
        <w:rPr>
          <w:rFonts w:ascii="Palatino Linotype" w:eastAsia="Palatino Linotype" w:hAnsi="Palatino Linotype" w:cs="Palatino Linotype"/>
        </w:rPr>
        <w:t xml:space="preserve">a la parte </w:t>
      </w:r>
      <w:r w:rsidRPr="001429FF">
        <w:rPr>
          <w:rFonts w:ascii="Palatino Linotype" w:eastAsia="Palatino Linotype" w:hAnsi="Palatino Linotype" w:cs="Palatino Linotype"/>
          <w:b/>
        </w:rPr>
        <w:t>Recurrente</w:t>
      </w:r>
      <w:r w:rsidRPr="001429F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7AAE7B" w14:textId="77777777" w:rsidR="00D10152" w:rsidRPr="002D731E" w:rsidRDefault="00785AE5">
      <w:pPr>
        <w:tabs>
          <w:tab w:val="left" w:pos="8647"/>
        </w:tabs>
        <w:spacing w:before="240" w:after="240" w:line="360" w:lineRule="auto"/>
        <w:ind w:right="51"/>
        <w:jc w:val="both"/>
        <w:rPr>
          <w:rFonts w:ascii="Palatino Linotype" w:eastAsia="Palatino Linotype" w:hAnsi="Palatino Linotype" w:cs="Palatino Linotype"/>
        </w:rPr>
      </w:pPr>
      <w:r w:rsidRPr="001429F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1429FF">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VIGÉSIMA </w:t>
      </w:r>
      <w:r w:rsidR="0018648E" w:rsidRPr="001429FF">
        <w:rPr>
          <w:rFonts w:ascii="Palatino Linotype" w:eastAsia="Palatino Linotype" w:hAnsi="Palatino Linotype" w:cs="Palatino Linotype"/>
        </w:rPr>
        <w:t>SEXTA</w:t>
      </w:r>
      <w:r w:rsidRPr="001429FF">
        <w:rPr>
          <w:rFonts w:ascii="Palatino Linotype" w:eastAsia="Palatino Linotype" w:hAnsi="Palatino Linotype" w:cs="Palatino Linotype"/>
        </w:rPr>
        <w:t xml:space="preserve"> SESIÓN ORDINARIA CELEBRADA EL </w:t>
      </w:r>
      <w:r w:rsidR="0018648E" w:rsidRPr="001429FF">
        <w:rPr>
          <w:rFonts w:ascii="Palatino Linotype" w:eastAsia="Palatino Linotype" w:hAnsi="Palatino Linotype" w:cs="Palatino Linotype"/>
        </w:rPr>
        <w:t>DIESISÉIS</w:t>
      </w:r>
      <w:r w:rsidRPr="001429FF">
        <w:rPr>
          <w:rFonts w:ascii="Palatino Linotype" w:eastAsia="Palatino Linotype" w:hAnsi="Palatino Linotype" w:cs="Palatino Linotype"/>
        </w:rPr>
        <w:t xml:space="preserve"> DE JULIO DE DOS MIL VEINTICINCO, ANTE EL SECRETARIO TÉCNICO DEL PLENO ALEXIS TAPIA RAMÍREZ.</w:t>
      </w:r>
    </w:p>
    <w:p w14:paraId="69848C62" w14:textId="77777777" w:rsidR="00D10152" w:rsidRPr="002D731E" w:rsidRDefault="00D10152">
      <w:pPr>
        <w:spacing w:line="360" w:lineRule="auto"/>
        <w:jc w:val="both"/>
        <w:rPr>
          <w:rFonts w:ascii="Palatino Linotype" w:eastAsia="Palatino Linotype" w:hAnsi="Palatino Linotype" w:cs="Palatino Linotype"/>
        </w:rPr>
      </w:pPr>
    </w:p>
    <w:p w14:paraId="1D0A746E" w14:textId="77777777" w:rsidR="00D10152" w:rsidRPr="002D731E" w:rsidRDefault="00D10152">
      <w:pPr>
        <w:spacing w:line="360" w:lineRule="auto"/>
        <w:jc w:val="center"/>
        <w:rPr>
          <w:rFonts w:ascii="Palatino Linotype" w:eastAsia="Palatino Linotype" w:hAnsi="Palatino Linotype" w:cs="Palatino Linotype"/>
        </w:rPr>
      </w:pPr>
    </w:p>
    <w:p w14:paraId="352157DC" w14:textId="77777777" w:rsidR="00D10152" w:rsidRPr="002D731E" w:rsidRDefault="00D10152">
      <w:pPr>
        <w:spacing w:line="360" w:lineRule="auto"/>
        <w:jc w:val="both"/>
        <w:rPr>
          <w:rFonts w:ascii="Palatino Linotype" w:eastAsia="Palatino Linotype" w:hAnsi="Palatino Linotype" w:cs="Palatino Linotype"/>
        </w:rPr>
      </w:pPr>
    </w:p>
    <w:p w14:paraId="5B3459BA" w14:textId="77777777" w:rsidR="00D10152" w:rsidRPr="002D731E" w:rsidRDefault="00D10152">
      <w:pPr>
        <w:spacing w:line="360" w:lineRule="auto"/>
        <w:jc w:val="both"/>
        <w:rPr>
          <w:rFonts w:ascii="Palatino Linotype" w:eastAsia="Palatino Linotype" w:hAnsi="Palatino Linotype" w:cs="Palatino Linotype"/>
        </w:rPr>
      </w:pPr>
    </w:p>
    <w:p w14:paraId="0263275D" w14:textId="77777777" w:rsidR="00D10152" w:rsidRPr="002D731E" w:rsidRDefault="00D10152">
      <w:pPr>
        <w:spacing w:line="360" w:lineRule="auto"/>
        <w:jc w:val="both"/>
        <w:rPr>
          <w:rFonts w:ascii="Palatino Linotype" w:eastAsia="Palatino Linotype" w:hAnsi="Palatino Linotype" w:cs="Palatino Linotype"/>
        </w:rPr>
      </w:pPr>
    </w:p>
    <w:p w14:paraId="30E9D8C1" w14:textId="77777777" w:rsidR="00D10152" w:rsidRPr="002D731E" w:rsidRDefault="00D10152">
      <w:pPr>
        <w:spacing w:line="360" w:lineRule="auto"/>
        <w:jc w:val="both"/>
        <w:rPr>
          <w:rFonts w:ascii="Palatino Linotype" w:eastAsia="Palatino Linotype" w:hAnsi="Palatino Linotype" w:cs="Palatino Linotype"/>
        </w:rPr>
      </w:pPr>
    </w:p>
    <w:p w14:paraId="162D1FE9" w14:textId="77777777" w:rsidR="00D10152" w:rsidRPr="002D731E" w:rsidRDefault="00D10152">
      <w:pPr>
        <w:spacing w:line="360" w:lineRule="auto"/>
        <w:jc w:val="both"/>
        <w:rPr>
          <w:rFonts w:ascii="Palatino Linotype" w:eastAsia="Palatino Linotype" w:hAnsi="Palatino Linotype" w:cs="Palatino Linotype"/>
        </w:rPr>
      </w:pPr>
    </w:p>
    <w:p w14:paraId="5C2DF62C" w14:textId="77777777" w:rsidR="00D10152" w:rsidRPr="002D731E" w:rsidRDefault="00D10152">
      <w:pPr>
        <w:spacing w:line="360" w:lineRule="auto"/>
        <w:jc w:val="both"/>
        <w:rPr>
          <w:rFonts w:ascii="Palatino Linotype" w:eastAsia="Palatino Linotype" w:hAnsi="Palatino Linotype" w:cs="Palatino Linotype"/>
        </w:rPr>
      </w:pPr>
    </w:p>
    <w:p w14:paraId="6A49EF97" w14:textId="77777777" w:rsidR="00D10152" w:rsidRPr="002D731E" w:rsidRDefault="00D10152">
      <w:pPr>
        <w:spacing w:line="360" w:lineRule="auto"/>
        <w:jc w:val="both"/>
        <w:rPr>
          <w:rFonts w:ascii="Palatino Linotype" w:eastAsia="Palatino Linotype" w:hAnsi="Palatino Linotype" w:cs="Palatino Linotype"/>
        </w:rPr>
      </w:pPr>
    </w:p>
    <w:p w14:paraId="31796C7E" w14:textId="77777777" w:rsidR="00D10152" w:rsidRPr="002D731E" w:rsidRDefault="00D10152">
      <w:pPr>
        <w:spacing w:line="360" w:lineRule="auto"/>
        <w:jc w:val="both"/>
        <w:rPr>
          <w:rFonts w:ascii="Palatino Linotype" w:eastAsia="Palatino Linotype" w:hAnsi="Palatino Linotype" w:cs="Palatino Linotype"/>
        </w:rPr>
      </w:pPr>
    </w:p>
    <w:p w14:paraId="1A43E230" w14:textId="77777777" w:rsidR="00D10152" w:rsidRPr="002D731E" w:rsidRDefault="00D10152">
      <w:pPr>
        <w:spacing w:line="360" w:lineRule="auto"/>
        <w:jc w:val="both"/>
        <w:rPr>
          <w:rFonts w:ascii="Palatino Linotype" w:eastAsia="Palatino Linotype" w:hAnsi="Palatino Linotype" w:cs="Palatino Linotype"/>
        </w:rPr>
      </w:pPr>
    </w:p>
    <w:p w14:paraId="3948F8B2" w14:textId="77777777" w:rsidR="00D10152" w:rsidRPr="002D731E" w:rsidRDefault="00D10152">
      <w:pPr>
        <w:spacing w:line="360" w:lineRule="auto"/>
        <w:jc w:val="both"/>
        <w:rPr>
          <w:rFonts w:ascii="Palatino Linotype" w:eastAsia="Palatino Linotype" w:hAnsi="Palatino Linotype" w:cs="Palatino Linotype"/>
        </w:rPr>
      </w:pPr>
    </w:p>
    <w:p w14:paraId="3F79936A" w14:textId="77777777" w:rsidR="00D10152" w:rsidRPr="002D731E" w:rsidRDefault="00D10152">
      <w:pPr>
        <w:spacing w:line="360" w:lineRule="auto"/>
        <w:jc w:val="both"/>
        <w:rPr>
          <w:rFonts w:ascii="Palatino Linotype" w:eastAsia="Palatino Linotype" w:hAnsi="Palatino Linotype" w:cs="Palatino Linotype"/>
        </w:rPr>
      </w:pPr>
    </w:p>
    <w:p w14:paraId="36191FAD" w14:textId="77777777" w:rsidR="00D10152" w:rsidRPr="002D731E" w:rsidRDefault="00D10152">
      <w:pPr>
        <w:spacing w:line="360" w:lineRule="auto"/>
        <w:jc w:val="both"/>
        <w:rPr>
          <w:rFonts w:ascii="Palatino Linotype" w:eastAsia="Palatino Linotype" w:hAnsi="Palatino Linotype" w:cs="Palatino Linotype"/>
        </w:rPr>
      </w:pPr>
    </w:p>
    <w:p w14:paraId="7CE10556" w14:textId="77777777" w:rsidR="00D10152" w:rsidRPr="002D731E" w:rsidRDefault="00D10152">
      <w:pPr>
        <w:spacing w:line="360" w:lineRule="auto"/>
        <w:jc w:val="both"/>
        <w:rPr>
          <w:rFonts w:ascii="Palatino Linotype" w:eastAsia="Palatino Linotype" w:hAnsi="Palatino Linotype" w:cs="Palatino Linotype"/>
        </w:rPr>
      </w:pPr>
    </w:p>
    <w:p w14:paraId="5F96BE1C" w14:textId="77777777" w:rsidR="00D10152" w:rsidRPr="002D731E" w:rsidRDefault="00D10152">
      <w:pPr>
        <w:spacing w:line="360" w:lineRule="auto"/>
        <w:jc w:val="both"/>
        <w:rPr>
          <w:rFonts w:ascii="Palatino Linotype" w:eastAsia="Palatino Linotype" w:hAnsi="Palatino Linotype" w:cs="Palatino Linotype"/>
        </w:rPr>
      </w:pPr>
    </w:p>
    <w:p w14:paraId="35081A67" w14:textId="77777777" w:rsidR="00D10152" w:rsidRPr="002D731E" w:rsidRDefault="00D10152">
      <w:pPr>
        <w:spacing w:line="360" w:lineRule="auto"/>
        <w:jc w:val="both"/>
        <w:rPr>
          <w:rFonts w:ascii="Palatino Linotype" w:eastAsia="Palatino Linotype" w:hAnsi="Palatino Linotype" w:cs="Palatino Linotype"/>
        </w:rPr>
      </w:pPr>
    </w:p>
    <w:p w14:paraId="12E9C048" w14:textId="77777777" w:rsidR="00D10152" w:rsidRPr="002D731E" w:rsidRDefault="00D10152">
      <w:pPr>
        <w:spacing w:line="360" w:lineRule="auto"/>
        <w:jc w:val="both"/>
        <w:rPr>
          <w:rFonts w:ascii="Palatino Linotype" w:eastAsia="Palatino Linotype" w:hAnsi="Palatino Linotype" w:cs="Palatino Linotype"/>
        </w:rPr>
      </w:pPr>
    </w:p>
    <w:p w14:paraId="2C823BFC" w14:textId="77777777" w:rsidR="00D10152" w:rsidRPr="002D731E" w:rsidRDefault="00D10152">
      <w:pPr>
        <w:spacing w:line="360" w:lineRule="auto"/>
        <w:jc w:val="both"/>
        <w:rPr>
          <w:rFonts w:ascii="Palatino Linotype" w:eastAsia="Palatino Linotype" w:hAnsi="Palatino Linotype" w:cs="Palatino Linotype"/>
        </w:rPr>
      </w:pPr>
    </w:p>
    <w:p w14:paraId="1B44045F" w14:textId="77777777" w:rsidR="00D10152" w:rsidRPr="002D731E" w:rsidRDefault="00D10152">
      <w:pPr>
        <w:spacing w:line="360" w:lineRule="auto"/>
        <w:jc w:val="both"/>
        <w:rPr>
          <w:rFonts w:ascii="Palatino Linotype" w:eastAsia="Palatino Linotype" w:hAnsi="Palatino Linotype" w:cs="Palatino Linotype"/>
        </w:rPr>
      </w:pPr>
    </w:p>
    <w:sectPr w:rsidR="00D10152" w:rsidRPr="002D731E">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BC9E" w14:textId="77777777" w:rsidR="00AD0FCB" w:rsidRDefault="00AD0FCB">
      <w:r>
        <w:separator/>
      </w:r>
    </w:p>
  </w:endnote>
  <w:endnote w:type="continuationSeparator" w:id="0">
    <w:p w14:paraId="5D6BA115" w14:textId="77777777" w:rsidR="00AD0FCB" w:rsidRDefault="00AD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605" w14:textId="77777777" w:rsidR="00545318" w:rsidRDefault="0054531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29F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29F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7B340A6" w14:textId="77777777" w:rsidR="00545318" w:rsidRDefault="0054531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56B4" w14:textId="77777777" w:rsidR="00545318" w:rsidRDefault="0054531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429F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429F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92029CF" w14:textId="77777777" w:rsidR="00545318" w:rsidRDefault="0054531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5E54" w14:textId="77777777" w:rsidR="00AD0FCB" w:rsidRDefault="00AD0FCB">
      <w:r>
        <w:separator/>
      </w:r>
    </w:p>
  </w:footnote>
  <w:footnote w:type="continuationSeparator" w:id="0">
    <w:p w14:paraId="3B42B37B" w14:textId="77777777" w:rsidR="00AD0FCB" w:rsidRDefault="00AD0FCB">
      <w:r>
        <w:continuationSeparator/>
      </w:r>
    </w:p>
  </w:footnote>
  <w:footnote w:id="1">
    <w:p w14:paraId="7489D25E" w14:textId="77777777" w:rsidR="00186329" w:rsidRDefault="00186329" w:rsidP="0018632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10D0" w14:textId="77777777" w:rsidR="00545318" w:rsidRDefault="00545318">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545318" w14:paraId="12ED3AA9" w14:textId="77777777">
      <w:tc>
        <w:tcPr>
          <w:tcW w:w="2489" w:type="dxa"/>
          <w:shd w:val="clear" w:color="auto" w:fill="auto"/>
        </w:tcPr>
        <w:p w14:paraId="3466DFBE" w14:textId="77777777" w:rsidR="00545318" w:rsidRDefault="00545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9A2503E" w14:textId="77777777" w:rsidR="00545318" w:rsidRDefault="00545318" w:rsidP="001864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04559/INFOEM/IP/RR/2025</w:t>
          </w:r>
        </w:p>
      </w:tc>
    </w:tr>
    <w:tr w:rsidR="00545318" w14:paraId="1F693A74" w14:textId="77777777">
      <w:trPr>
        <w:trHeight w:val="228"/>
      </w:trPr>
      <w:tc>
        <w:tcPr>
          <w:tcW w:w="2489" w:type="dxa"/>
          <w:shd w:val="clear" w:color="auto" w:fill="auto"/>
          <w:vAlign w:val="center"/>
        </w:tcPr>
        <w:p w14:paraId="31F01A98" w14:textId="77777777" w:rsidR="00545318" w:rsidRDefault="00545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33911B5" w14:textId="77777777" w:rsidR="00545318" w:rsidRDefault="00545318">
          <w:pPr>
            <w:ind w:left="-45" w:right="176"/>
            <w:jc w:val="both"/>
            <w:rPr>
              <w:rFonts w:ascii="Palatino Linotype" w:eastAsia="Palatino Linotype" w:hAnsi="Palatino Linotype" w:cs="Palatino Linotype"/>
              <w:b/>
              <w:sz w:val="22"/>
              <w:szCs w:val="22"/>
            </w:rPr>
          </w:pPr>
          <w:r w:rsidRPr="0018648E">
            <w:rPr>
              <w:rFonts w:ascii="Palatino Linotype" w:eastAsia="Palatino Linotype" w:hAnsi="Palatino Linotype" w:cs="Palatino Linotype"/>
              <w:b/>
              <w:sz w:val="22"/>
              <w:szCs w:val="22"/>
            </w:rPr>
            <w:t>Ayuntamiento de Villa de Allende</w:t>
          </w:r>
        </w:p>
      </w:tc>
    </w:tr>
    <w:tr w:rsidR="00545318" w14:paraId="72A8C24D" w14:textId="77777777">
      <w:tc>
        <w:tcPr>
          <w:tcW w:w="2489" w:type="dxa"/>
          <w:shd w:val="clear" w:color="auto" w:fill="auto"/>
          <w:vAlign w:val="center"/>
        </w:tcPr>
        <w:p w14:paraId="22F4249F" w14:textId="77777777" w:rsidR="00545318" w:rsidRDefault="0054531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B2DAF3F" w14:textId="77777777" w:rsidR="00545318" w:rsidRDefault="0054531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545318" w:rsidRDefault="0054531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EAA8" w14:textId="77777777" w:rsidR="00545318" w:rsidRDefault="00545318">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545318" w14:paraId="658BA233" w14:textId="77777777">
      <w:tc>
        <w:tcPr>
          <w:tcW w:w="2489" w:type="dxa"/>
          <w:shd w:val="clear" w:color="auto" w:fill="auto"/>
        </w:tcPr>
        <w:p w14:paraId="3B662A4A" w14:textId="77777777" w:rsidR="00545318" w:rsidRDefault="00545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9712B01" w14:textId="77777777" w:rsidR="00545318" w:rsidRDefault="00545318" w:rsidP="001864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04559/INFOEM/IP/RR/2025</w:t>
          </w:r>
        </w:p>
      </w:tc>
    </w:tr>
    <w:tr w:rsidR="00545318" w14:paraId="12107FBB" w14:textId="77777777">
      <w:tc>
        <w:tcPr>
          <w:tcW w:w="2489" w:type="dxa"/>
          <w:shd w:val="clear" w:color="auto" w:fill="auto"/>
        </w:tcPr>
        <w:p w14:paraId="38DA5A64" w14:textId="77777777" w:rsidR="00545318" w:rsidRDefault="00545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BCA7C54" w14:textId="77777777" w:rsidR="00545318" w:rsidRDefault="00545318">
          <w:pPr>
            <w:ind w:right="175"/>
            <w:jc w:val="both"/>
            <w:rPr>
              <w:rFonts w:ascii="Palatino Linotype" w:eastAsia="Palatino Linotype" w:hAnsi="Palatino Linotype" w:cs="Palatino Linotype"/>
              <w:b/>
              <w:sz w:val="22"/>
              <w:szCs w:val="22"/>
            </w:rPr>
          </w:pPr>
        </w:p>
      </w:tc>
    </w:tr>
    <w:tr w:rsidR="00545318" w14:paraId="6911DA80" w14:textId="77777777">
      <w:trPr>
        <w:trHeight w:val="228"/>
      </w:trPr>
      <w:tc>
        <w:tcPr>
          <w:tcW w:w="2489" w:type="dxa"/>
          <w:shd w:val="clear" w:color="auto" w:fill="auto"/>
          <w:vAlign w:val="center"/>
        </w:tcPr>
        <w:p w14:paraId="1E00DAEA" w14:textId="77777777" w:rsidR="00545318" w:rsidRDefault="00545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1DAFC68" w14:textId="77777777" w:rsidR="00545318" w:rsidRDefault="00545318">
          <w:pPr>
            <w:ind w:left="-45" w:right="176"/>
            <w:jc w:val="both"/>
            <w:rPr>
              <w:rFonts w:ascii="Palatino Linotype" w:eastAsia="Palatino Linotype" w:hAnsi="Palatino Linotype" w:cs="Palatino Linotype"/>
              <w:b/>
              <w:sz w:val="22"/>
              <w:szCs w:val="22"/>
            </w:rPr>
          </w:pPr>
          <w:r w:rsidRPr="0018648E">
            <w:rPr>
              <w:rFonts w:ascii="Palatino Linotype" w:eastAsia="Palatino Linotype" w:hAnsi="Palatino Linotype" w:cs="Palatino Linotype"/>
              <w:b/>
              <w:sz w:val="22"/>
              <w:szCs w:val="22"/>
            </w:rPr>
            <w:t>Ayuntamiento de Villa de Allende</w:t>
          </w:r>
        </w:p>
      </w:tc>
    </w:tr>
    <w:tr w:rsidR="00545318" w14:paraId="1665E429" w14:textId="77777777">
      <w:tc>
        <w:tcPr>
          <w:tcW w:w="2489" w:type="dxa"/>
          <w:shd w:val="clear" w:color="auto" w:fill="auto"/>
          <w:vAlign w:val="center"/>
        </w:tcPr>
        <w:p w14:paraId="6CF84D98" w14:textId="77777777" w:rsidR="00545318" w:rsidRDefault="0054531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CC5AC0B" w14:textId="77777777" w:rsidR="00545318" w:rsidRDefault="0054531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545318" w:rsidRDefault="00545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52"/>
    <w:rsid w:val="0003341F"/>
    <w:rsid w:val="000367EE"/>
    <w:rsid w:val="00067B3B"/>
    <w:rsid w:val="000751EA"/>
    <w:rsid w:val="000E7BEB"/>
    <w:rsid w:val="001429FF"/>
    <w:rsid w:val="00186329"/>
    <w:rsid w:val="0018648E"/>
    <w:rsid w:val="002A0B10"/>
    <w:rsid w:val="002D731E"/>
    <w:rsid w:val="002E4605"/>
    <w:rsid w:val="003B6859"/>
    <w:rsid w:val="003E5B2D"/>
    <w:rsid w:val="00495886"/>
    <w:rsid w:val="00510968"/>
    <w:rsid w:val="00545318"/>
    <w:rsid w:val="0058476C"/>
    <w:rsid w:val="0066283B"/>
    <w:rsid w:val="007620DB"/>
    <w:rsid w:val="00785AE5"/>
    <w:rsid w:val="007C1F34"/>
    <w:rsid w:val="008642E8"/>
    <w:rsid w:val="009116F5"/>
    <w:rsid w:val="0091405A"/>
    <w:rsid w:val="009C6343"/>
    <w:rsid w:val="009C63C1"/>
    <w:rsid w:val="00A27E41"/>
    <w:rsid w:val="00A769A7"/>
    <w:rsid w:val="00AA7FBE"/>
    <w:rsid w:val="00AD0FCB"/>
    <w:rsid w:val="00BE36BC"/>
    <w:rsid w:val="00C5454F"/>
    <w:rsid w:val="00C75854"/>
    <w:rsid w:val="00CD2073"/>
    <w:rsid w:val="00D10152"/>
    <w:rsid w:val="00DB4FCB"/>
    <w:rsid w:val="00E036D0"/>
    <w:rsid w:val="00E30BA3"/>
    <w:rsid w:val="00E32A1E"/>
    <w:rsid w:val="00E3616C"/>
    <w:rsid w:val="00EF706F"/>
    <w:rsid w:val="00F62B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6425</Words>
  <Characters>35339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2025-07-17T20:46:00Z</cp:lastPrinted>
  <dcterms:created xsi:type="dcterms:W3CDTF">2025-08-11T16:48:00Z</dcterms:created>
  <dcterms:modified xsi:type="dcterms:W3CDTF">2025-08-11T16:48:00Z</dcterms:modified>
</cp:coreProperties>
</file>