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C30" w:rsidRDefault="00A87C30">
      <w:pPr>
        <w:widowControl w:val="0"/>
        <w:pBdr>
          <w:top w:val="nil"/>
          <w:left w:val="nil"/>
          <w:bottom w:val="nil"/>
          <w:right w:val="nil"/>
          <w:between w:val="nil"/>
        </w:pBdr>
        <w:spacing w:line="276" w:lineRule="auto"/>
      </w:pP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veintidós de enero de dos mil veinticinco.</w:t>
      </w:r>
    </w:p>
    <w:p w:rsidR="00A87C30" w:rsidRDefault="00A87C30">
      <w:pPr>
        <w:spacing w:line="360" w:lineRule="auto"/>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t>VISTO</w:t>
      </w:r>
      <w:r>
        <w:rPr>
          <w:rFonts w:ascii="Palatino Linotype" w:eastAsia="Palatino Linotype" w:hAnsi="Palatino Linotype" w:cs="Palatino Linotype"/>
          <w:color w:val="0D0D0D"/>
          <w:sz w:val="22"/>
          <w:szCs w:val="22"/>
        </w:rPr>
        <w:t xml:space="preserve"> el expediente conformado con motivo del Recurso de Revisión </w:t>
      </w:r>
      <w:r w:rsidRPr="002B0069">
        <w:rPr>
          <w:rFonts w:ascii="Palatino Linotype" w:eastAsia="Palatino Linotype" w:hAnsi="Palatino Linotype" w:cs="Palatino Linotype"/>
          <w:b/>
          <w:color w:val="0D0D0D"/>
          <w:sz w:val="22"/>
          <w:szCs w:val="22"/>
        </w:rPr>
        <w:t>07576/INFOEM/IP/RR/2024,</w:t>
      </w:r>
      <w:r>
        <w:rPr>
          <w:rFonts w:ascii="Palatino Linotype" w:eastAsia="Palatino Linotype" w:hAnsi="Palatino Linotype" w:cs="Palatino Linotype"/>
          <w:color w:val="0D0D0D"/>
          <w:sz w:val="22"/>
          <w:szCs w:val="22"/>
        </w:rPr>
        <w:t xml:space="preserve"> interpuesto por una persona Recurrente o Particular, en contra de la respuesta del Sujeto Obligado, </w:t>
      </w:r>
      <w:r w:rsidRPr="002B0069">
        <w:rPr>
          <w:rFonts w:ascii="Palatino Linotype" w:eastAsia="Palatino Linotype" w:hAnsi="Palatino Linotype" w:cs="Palatino Linotype"/>
          <w:b/>
          <w:sz w:val="22"/>
          <w:szCs w:val="22"/>
        </w:rPr>
        <w:t>Secretaría de Finanzas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color w:val="0D0D0D"/>
          <w:sz w:val="22"/>
          <w:szCs w:val="22"/>
        </w:rPr>
        <w:t>se emite la presente Resolución con base en los Antecedentes y C</w:t>
      </w:r>
      <w:r>
        <w:rPr>
          <w:rFonts w:ascii="Palatino Linotype" w:eastAsia="Palatino Linotype" w:hAnsi="Palatino Linotype" w:cs="Palatino Linotype"/>
          <w:sz w:val="22"/>
          <w:szCs w:val="22"/>
        </w:rPr>
        <w:t>onsiderandos que se exponen a continuación:</w:t>
      </w: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rsidR="00A87C30" w:rsidRDefault="008469FF">
      <w:pPr>
        <w:tabs>
          <w:tab w:val="center" w:pos="4522"/>
          <w:tab w:val="left" w:pos="7245"/>
        </w:tabs>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ANTECEDENTES</w:t>
      </w:r>
    </w:p>
    <w:p w:rsidR="00A87C30" w:rsidRDefault="00A87C30">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rsidR="00A87C30" w:rsidRDefault="008469FF">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bookmarkStart w:id="0" w:name="_heading=h.gjdgxs" w:colFirst="0" w:colLast="0"/>
      <w:bookmarkEnd w:id="0"/>
      <w:r>
        <w:rPr>
          <w:rFonts w:ascii="Palatino Linotype" w:eastAsia="Palatino Linotype" w:hAnsi="Palatino Linotype" w:cs="Palatino Linotype"/>
          <w:b/>
          <w:color w:val="000000"/>
          <w:sz w:val="22"/>
          <w:szCs w:val="22"/>
        </w:rPr>
        <w:t>I. Presentación de la solicitud de información</w:t>
      </w:r>
    </w:p>
    <w:p w:rsidR="00A87C30" w:rsidRDefault="00A87C30">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rsidR="00A87C30" w:rsidRDefault="008469FF">
      <w:pPr>
        <w:tabs>
          <w:tab w:val="left" w:pos="56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siete de noviembre de dos mil veinticuatro, el Particular presentó solicitud de acceso a la información pública, a través del Sistema de Acceso a la Información Mexiquense, en adelante   </w:t>
      </w:r>
      <w:proofErr w:type="gramStart"/>
      <w:r>
        <w:rPr>
          <w:rFonts w:ascii="Palatino Linotype" w:eastAsia="Palatino Linotype" w:hAnsi="Palatino Linotype" w:cs="Palatino Linotype"/>
          <w:sz w:val="22"/>
          <w:szCs w:val="22"/>
        </w:rPr>
        <w:t>el</w:t>
      </w:r>
      <w:proofErr w:type="gramEnd"/>
      <w:r>
        <w:rPr>
          <w:rFonts w:ascii="Palatino Linotype" w:eastAsia="Palatino Linotype" w:hAnsi="Palatino Linotype" w:cs="Palatino Linotype"/>
          <w:sz w:val="22"/>
          <w:szCs w:val="22"/>
        </w:rPr>
        <w:t xml:space="preserve"> SAIMEX, ante la Secretaría de Finanzas, misma que fue registrada con el número de folio 00845/SF/IP/2024, en la cual requirió: </w:t>
      </w:r>
    </w:p>
    <w:p w:rsidR="00A87C30" w:rsidRDefault="00A87C30">
      <w:pPr>
        <w:tabs>
          <w:tab w:val="left" w:pos="567"/>
        </w:tabs>
        <w:spacing w:line="360" w:lineRule="auto"/>
        <w:jc w:val="both"/>
        <w:rPr>
          <w:rFonts w:ascii="Palatino Linotype" w:eastAsia="Palatino Linotype" w:hAnsi="Palatino Linotype" w:cs="Palatino Linotype"/>
          <w:b/>
        </w:rPr>
      </w:pPr>
    </w:p>
    <w:p w:rsidR="00A87C30" w:rsidRDefault="008469FF">
      <w:pPr>
        <w:tabs>
          <w:tab w:val="left" w:pos="4667"/>
        </w:tabs>
        <w:spacing w:line="360" w:lineRule="auto"/>
        <w:ind w:left="567" w:right="567"/>
        <w:jc w:val="both"/>
        <w:rPr>
          <w:rFonts w:ascii="Palatino Linotype" w:eastAsia="Palatino Linotype" w:hAnsi="Palatino Linotype" w:cs="Palatino Linotype"/>
          <w:b/>
        </w:rPr>
      </w:pPr>
      <w:r>
        <w:rPr>
          <w:rFonts w:ascii="Palatino Linotype" w:eastAsia="Palatino Linotype" w:hAnsi="Palatino Linotype" w:cs="Palatino Linotype"/>
          <w:b/>
        </w:rPr>
        <w:t>DESCRIPCIÓN CLARA Y PRECISA DE LA INFORMACIÓN SOLICITADA</w:t>
      </w:r>
    </w:p>
    <w:p w:rsidR="00A87C30" w:rsidRDefault="008469FF">
      <w:pPr>
        <w:tabs>
          <w:tab w:val="left" w:pos="46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“SOLICITO CUALQUIER SOPORTE DOCUMENTAL DEL JEFE DE LA UIPPE DE LA SECRETARÍA DE FINANZAS DE LAS ACCIONES PARA LA RECOPILACIÓN, CONSERVACIÓN, INTERPRETACIÓN Y SISTEMATIZACIÓN DE LA INFORMACIÓN FINANCIERA, ECONÓMICA, PROGRAMÁTICA Y PRESUPUESTAL DEL MES DE NOVIEMBRE Y DICIEMBRE DE 2024.” (Sic).</w:t>
      </w:r>
    </w:p>
    <w:p w:rsidR="00A87C30" w:rsidRDefault="00A87C30">
      <w:pPr>
        <w:tabs>
          <w:tab w:val="left" w:pos="4667"/>
        </w:tabs>
        <w:spacing w:line="360" w:lineRule="auto"/>
        <w:ind w:left="567" w:right="567"/>
        <w:jc w:val="both"/>
        <w:rPr>
          <w:rFonts w:ascii="Palatino Linotype" w:eastAsia="Palatino Linotype" w:hAnsi="Palatino Linotype" w:cs="Palatino Linotype"/>
          <w:b/>
        </w:rPr>
      </w:pPr>
    </w:p>
    <w:p w:rsidR="00A87C30" w:rsidRDefault="008469FF">
      <w:pPr>
        <w:tabs>
          <w:tab w:val="left" w:pos="46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rPr>
        <w:t xml:space="preserve">MODALIDAD DE ENTREGA </w:t>
      </w:r>
      <w:r>
        <w:rPr>
          <w:rFonts w:ascii="Palatino Linotype" w:eastAsia="Palatino Linotype" w:hAnsi="Palatino Linotype" w:cs="Palatino Linotype"/>
          <w:i/>
        </w:rPr>
        <w:t>A través del SAIMEX</w:t>
      </w:r>
    </w:p>
    <w:p w:rsidR="00A87C30" w:rsidRDefault="00A87C30">
      <w:pPr>
        <w:tabs>
          <w:tab w:val="left" w:pos="1470"/>
        </w:tabs>
        <w:spacing w:line="360" w:lineRule="auto"/>
        <w:ind w:right="539"/>
        <w:jc w:val="both"/>
        <w:rPr>
          <w:rFonts w:ascii="Palatino Linotype" w:eastAsia="Palatino Linotype" w:hAnsi="Palatino Linotype" w:cs="Palatino Linotype"/>
          <w:b/>
          <w:sz w:val="22"/>
          <w:szCs w:val="22"/>
        </w:rPr>
      </w:pPr>
    </w:p>
    <w:p w:rsidR="00A87C30" w:rsidRDefault="008469FF">
      <w:pPr>
        <w:tabs>
          <w:tab w:val="left" w:pos="1470"/>
        </w:tabs>
        <w:spacing w:line="360" w:lineRule="auto"/>
        <w:ind w:right="53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 Respuesta del Sujeto Obligado</w:t>
      </w:r>
    </w:p>
    <w:p w:rsidR="00A87C30" w:rsidRDefault="00A87C30">
      <w:pPr>
        <w:tabs>
          <w:tab w:val="left" w:pos="1470"/>
        </w:tabs>
        <w:spacing w:line="360" w:lineRule="auto"/>
        <w:ind w:right="539"/>
        <w:jc w:val="both"/>
        <w:rPr>
          <w:rFonts w:ascii="Palatino Linotype" w:eastAsia="Palatino Linotype" w:hAnsi="Palatino Linotype" w:cs="Palatino Linotype"/>
          <w:b/>
          <w:sz w:val="22"/>
          <w:szCs w:val="22"/>
        </w:rPr>
      </w:pPr>
    </w:p>
    <w:p w:rsidR="00A87C30" w:rsidRDefault="008469FF">
      <w:pPr>
        <w:tabs>
          <w:tab w:val="left" w:pos="4667"/>
          <w:tab w:val="left" w:pos="8222"/>
        </w:tabs>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veintinueve de noviembre de dos mil veinticuatro, a través del SAIMEX, el Sujeto Obligado notificó al Particular la respuesta a su solicitud de acceso a la información, en la que señaló, lo siguiente:</w:t>
      </w:r>
    </w:p>
    <w:p w:rsidR="00A87C30" w:rsidRDefault="00A87C30">
      <w:pPr>
        <w:tabs>
          <w:tab w:val="left" w:pos="4667"/>
          <w:tab w:val="left" w:pos="8222"/>
        </w:tabs>
        <w:spacing w:line="360" w:lineRule="auto"/>
        <w:ind w:left="567" w:right="567"/>
        <w:jc w:val="both"/>
        <w:rPr>
          <w:rFonts w:ascii="Palatino Linotype" w:eastAsia="Palatino Linotype" w:hAnsi="Palatino Linotype" w:cs="Palatino Linotype"/>
          <w:i/>
          <w:sz w:val="22"/>
          <w:szCs w:val="22"/>
        </w:rPr>
      </w:pPr>
    </w:p>
    <w:p w:rsidR="00A87C30" w:rsidRDefault="008469FF">
      <w:pPr>
        <w:tabs>
          <w:tab w:val="left" w:pos="4667"/>
          <w:tab w:val="left" w:pos="8222"/>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rsidR="00A87C30" w:rsidRDefault="008469FF">
      <w:pPr>
        <w:tabs>
          <w:tab w:val="left" w:pos="4667"/>
          <w:tab w:val="left" w:pos="8222"/>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Sobre el particular, sírvase encontrar en archivo adjunto copia del oficio de notificación número 20700004S/UT-2467/2024, mediante el cual se detalla lo referente a su solicitud.</w:t>
      </w:r>
    </w:p>
    <w:p w:rsidR="00A87C30" w:rsidRDefault="008469FF">
      <w:pPr>
        <w:tabs>
          <w:tab w:val="left" w:pos="4667"/>
          <w:tab w:val="left" w:pos="8222"/>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rsidR="00A87C30" w:rsidRDefault="00A87C30">
      <w:pPr>
        <w:tabs>
          <w:tab w:val="left" w:pos="4667"/>
          <w:tab w:val="left" w:pos="8222"/>
        </w:tabs>
        <w:spacing w:line="360" w:lineRule="auto"/>
        <w:ind w:right="567"/>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Sujeto Obligado a su respuesta adjuntó los documentos que se describen a continuación:</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 Oficio sin número, de fecha catorce de noviembre de dos mil veinticuatro, signado por la servidora pública de la UIPPE, quien de manera general señaló, lo siguiente:</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le comunico que la información requerida por el solicitante puede ser consultada en el Manual de Normas y Políticas para el Gasto Público del Gobierno del Estado de México… “</w:t>
      </w:r>
    </w:p>
    <w:p w:rsidR="00A87C30" w:rsidRDefault="00A87C30">
      <w:pPr>
        <w:spacing w:line="360" w:lineRule="auto"/>
        <w:ind w:left="567" w:right="567"/>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II) Periódico Oficial “Gaceta del Gobierno”, de fecha treinta y uno de julio de dos mil veinticuatro, que contiene el Manual de Normas y Políticas para el Gasto Público del Gobierno del Estado de México.</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III) Oficio 20700004S/UT-2467/2024, del veintiocho de noviembre de dos mil veinticuatro, signado por el Jefe de la UIPPE y Titular de la Unidad de Transparencia, mediante el cual informó que remitía la respuesta proporcionada por la servidora pública habilitada de la UIPPE.</w:t>
      </w:r>
    </w:p>
    <w:p w:rsidR="00A87C30" w:rsidRDefault="00A87C30">
      <w:pPr>
        <w:spacing w:line="360" w:lineRule="auto"/>
        <w:jc w:val="both"/>
        <w:rPr>
          <w:rFonts w:ascii="Palatino Linotype" w:eastAsia="Palatino Linotype" w:hAnsi="Palatino Linotype" w:cs="Palatino Linotype"/>
          <w:b/>
          <w:sz w:val="22"/>
          <w:szCs w:val="22"/>
        </w:rPr>
      </w:pPr>
    </w:p>
    <w:p w:rsidR="00A87C30" w:rsidRDefault="008469FF">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III. Interposición del Recurso de Revisión</w:t>
      </w:r>
    </w:p>
    <w:p w:rsidR="00A87C30" w:rsidRDefault="00A87C30">
      <w:pPr>
        <w:spacing w:line="360" w:lineRule="auto"/>
        <w:jc w:val="both"/>
        <w:rPr>
          <w:rFonts w:ascii="Palatino Linotype" w:eastAsia="Palatino Linotype" w:hAnsi="Palatino Linotype" w:cs="Palatino Linotype"/>
          <w:b/>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diez de diciembre de dos mil veinticuatro, se recibió en este Instituto, a través del SAIMEX, el Recurso de Revisión interpuesto por la parte Recurrente en contra de la respuesta emitida por el Sujeto Obligado a la solicitud de información,</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en los términos siguientes:</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tabs>
          <w:tab w:val="left" w:pos="4667"/>
        </w:tabs>
        <w:spacing w:line="360" w:lineRule="auto"/>
        <w:ind w:left="567" w:right="567"/>
        <w:jc w:val="both"/>
        <w:rPr>
          <w:rFonts w:ascii="Palatino Linotype" w:eastAsia="Palatino Linotype" w:hAnsi="Palatino Linotype" w:cs="Palatino Linotype"/>
          <w:b/>
        </w:rPr>
      </w:pPr>
      <w:r>
        <w:rPr>
          <w:rFonts w:ascii="Palatino Linotype" w:eastAsia="Palatino Linotype" w:hAnsi="Palatino Linotype" w:cs="Palatino Linotype"/>
          <w:b/>
        </w:rPr>
        <w:t>ACTO IMPUGNADO</w:t>
      </w:r>
    </w:p>
    <w:p w:rsidR="00A87C30" w:rsidRDefault="008469F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“CON ESTA RESPUESTA ME QUEDA MAS QUE CLARO QUE EL “DIRECTOR DELA UIPPE MARIO REYES SANTOS NO SABE QUE SON LAS ACCIONES PARA LA RECOPILACIÓN, CONSERVACIÓN, INTERPRETACIÓN Y SISTEMATIZACIÓN DE LA INFORMACIÓN FINANCIERA, ECONÓMICA, PROGRAMÁTICA Y PRESUPUESTAL DEL MES DE NOVIEMBRE Y DICIEMBRE DE 2024, NO REQUIERO LA GACETA, REQUIERO CONOCER LAS ACCIONES (EL TRABAJO QUE EL REALÑIZA PARA LLEVAR A CABO DICHA ACTIVIDAD) O NO TIENE IDEA DE LO QUE SE ESTA PIDIENDO, QUEDA CLARO QUE ES ABOGADO Y NO SABE DEL TEMA FINANCIERO." (Sic).</w:t>
      </w:r>
    </w:p>
    <w:p w:rsidR="00A87C30" w:rsidRDefault="00A87C30">
      <w:pPr>
        <w:spacing w:line="360" w:lineRule="auto"/>
        <w:ind w:left="567" w:right="567"/>
        <w:jc w:val="both"/>
        <w:rPr>
          <w:rFonts w:ascii="Palatino Linotype" w:eastAsia="Palatino Linotype" w:hAnsi="Palatino Linotype" w:cs="Palatino Linotype"/>
          <w:i/>
        </w:rPr>
      </w:pPr>
    </w:p>
    <w:p w:rsidR="00A87C30" w:rsidRDefault="008469FF">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“RAZONES O MOTIVOS DE LA INCONFORMIDAD</w:t>
      </w:r>
    </w:p>
    <w:p w:rsidR="00A87C30" w:rsidRDefault="008469FF">
      <w:pPr>
        <w:spacing w:line="360" w:lineRule="auto"/>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i/>
        </w:rPr>
        <w:t>“PIENSAN QUE NEGANDO LA INFORMACIÒN AYUDAN A ESTA PERSONA, ALCONTRARIO NOS ESTAN DANDO MAS FUNDAMENTOS PARA ARMAR LA CARPETA CON TODAS SUS INEFICIENCIAS LABORALES.” (Sic).</w:t>
      </w:r>
    </w:p>
    <w:p w:rsidR="00A87C30" w:rsidRDefault="00A87C30">
      <w:pPr>
        <w:spacing w:line="360" w:lineRule="auto"/>
        <w:ind w:left="567" w:right="539"/>
        <w:jc w:val="both"/>
        <w:rPr>
          <w:rFonts w:ascii="Palatino Linotype" w:eastAsia="Palatino Linotype" w:hAnsi="Palatino Linotype" w:cs="Palatino Linotype"/>
          <w:sz w:val="22"/>
          <w:szCs w:val="22"/>
        </w:rPr>
      </w:pPr>
    </w:p>
    <w:p w:rsidR="00A87C30" w:rsidRDefault="008469FF">
      <w:pPr>
        <w:spacing w:line="360" w:lineRule="auto"/>
        <w:ind w:right="539"/>
        <w:jc w:val="both"/>
        <w:rPr>
          <w:rFonts w:ascii="Palatino Linotype" w:eastAsia="Palatino Linotype" w:hAnsi="Palatino Linotype" w:cs="Palatino Linotype"/>
          <w:i/>
        </w:rPr>
      </w:pPr>
      <w:r>
        <w:rPr>
          <w:rFonts w:ascii="Palatino Linotype" w:eastAsia="Palatino Linotype" w:hAnsi="Palatino Linotype" w:cs="Palatino Linotype"/>
          <w:b/>
          <w:sz w:val="22"/>
          <w:szCs w:val="22"/>
        </w:rPr>
        <w:t>IV. Trámite del Recurso de Revisión ante el Instituto</w:t>
      </w:r>
    </w:p>
    <w:p w:rsidR="00A87C30" w:rsidRDefault="00A87C30">
      <w:pPr>
        <w:spacing w:line="360" w:lineRule="auto"/>
        <w:jc w:val="both"/>
        <w:rPr>
          <w:rFonts w:ascii="Palatino Linotype" w:eastAsia="Palatino Linotype" w:hAnsi="Palatino Linotype" w:cs="Palatino Linotype"/>
          <w:b/>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 Turno del Medio de Impugnación. </w:t>
      </w:r>
      <w:r>
        <w:rPr>
          <w:rFonts w:ascii="Palatino Linotype" w:eastAsia="Palatino Linotype" w:hAnsi="Palatino Linotype" w:cs="Palatino Linotype"/>
          <w:sz w:val="22"/>
          <w:szCs w:val="22"/>
        </w:rPr>
        <w:t xml:space="preserve">El diez de diciembre de dos mil veinticuatro, el SAIMEX, asignó el número de expediente </w:t>
      </w:r>
      <w:r>
        <w:rPr>
          <w:rFonts w:ascii="Palatino Linotype" w:eastAsia="Palatino Linotype" w:hAnsi="Palatino Linotype" w:cs="Palatino Linotype"/>
          <w:b/>
          <w:sz w:val="22"/>
          <w:szCs w:val="22"/>
        </w:rPr>
        <w:t>07576/INFOEM/IP/RR/2024</w:t>
      </w:r>
      <w:r>
        <w:rPr>
          <w:rFonts w:ascii="Palatino Linotype" w:eastAsia="Palatino Linotype" w:hAnsi="Palatino Linotype" w:cs="Palatino Linotype"/>
          <w:sz w:val="22"/>
          <w:szCs w:val="22"/>
        </w:rPr>
        <w:t xml:space="preserve">,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 </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b) Admisión del Recurso de Revisión. </w:t>
      </w:r>
      <w:r>
        <w:rPr>
          <w:rFonts w:ascii="Palatino Linotype" w:eastAsia="Palatino Linotype" w:hAnsi="Palatino Linotype" w:cs="Palatino Linotype"/>
          <w:sz w:val="22"/>
          <w:szCs w:val="22"/>
        </w:rPr>
        <w:t>El trece de diciembre de dos mil veinticuatro, en términos del artículo 185, fracciones I y II de la Ley de Transparencia y Acceso a la Información Pública del Estado de México y Municipios, se notificó a través del SAIMEX, la admisión del Recurso de Revisión interpuesto por el Recurrente en contra de la respuesta del Sujeto Obligado; por lo cual, se les otorgó a las partes un plazo de siete días hábiles posteriores a la misma, para que manifestaran lo que a su derecho conviniera y formularan alegatos.</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c) Informe Justificado. </w:t>
      </w:r>
      <w:r>
        <w:rPr>
          <w:rFonts w:ascii="Palatino Linotype" w:eastAsia="Palatino Linotype" w:hAnsi="Palatino Linotype" w:cs="Palatino Linotype"/>
          <w:sz w:val="22"/>
          <w:szCs w:val="22"/>
        </w:rPr>
        <w:t>El doce de diciembre de dos mil veinticuatro, el Sujeto Obligado a través del SAIMEX, presentó en el apartado de Informe Justificado, dos archivos, a través de los cuales señaló lo siguiente:</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 Oficio sin número, de fecha dieciocho de diciembre de dos mil veinticuatro, signado por el Director de Información, el cual de manera general ratificó la respuesta de la servidora pública habilitada de la UIPPE.</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II) Oficio sin número, de fecha dieciocho de diciembre de dos mil veinticuatro, signado por la Servidora Pública Habilitada de la UIPPE, quien de manera general ratificó su respuesta.</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d) Vista de Informe Justificado. </w:t>
      </w:r>
      <w:r>
        <w:rPr>
          <w:rFonts w:ascii="Palatino Linotype" w:eastAsia="Palatino Linotype" w:hAnsi="Palatino Linotype" w:cs="Palatino Linotype"/>
          <w:sz w:val="22"/>
          <w:szCs w:val="22"/>
        </w:rPr>
        <w:t>El catorce de diciembre de dos mil veinticuatro, se notificó a través del SAIMEX, el acuerdo mediante el cual se puso a la vista del Particular el Informe Justificado, proveído por el cual se le otorgó a este último, un término de tres días hábiles contados a partir del día siguiente a la notificación, a fin de emitir las manifestaciones que conforme a sus intereses convinieran.</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obstante, lo anterior, transcurrido el término de ley, el Recurrente fue omiso en emitir pronunciamiento alguno que conviniera a sus intereses, respecto al alcance del Informe Justificado.</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d) Cierre de instrucción.</w:t>
      </w:r>
      <w:r>
        <w:rPr>
          <w:rFonts w:ascii="Palatino Linotype" w:eastAsia="Palatino Linotype" w:hAnsi="Palatino Linotype" w:cs="Palatino Linotype"/>
          <w:color w:val="000000"/>
          <w:sz w:val="22"/>
          <w:szCs w:val="22"/>
        </w:rPr>
        <w:t xml:space="preserve"> El veinte de enero de dos mil veinticinco,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mes y año, a través del SAIMEX.</w:t>
      </w:r>
    </w:p>
    <w:p w:rsidR="00A87C30" w:rsidRDefault="00A87C30">
      <w:pPr>
        <w:spacing w:line="360" w:lineRule="auto"/>
        <w:jc w:val="both"/>
        <w:rPr>
          <w:rFonts w:ascii="Palatino Linotype" w:eastAsia="Palatino Linotype" w:hAnsi="Palatino Linotype" w:cs="Palatino Linotype"/>
          <w:b/>
          <w:color w:val="000000"/>
          <w:sz w:val="22"/>
          <w:szCs w:val="22"/>
        </w:rPr>
      </w:pPr>
    </w:p>
    <w:p w:rsidR="00A87C30" w:rsidRDefault="008469F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razón de que fue debidamente sustanciado el expediente electrónico y no existe diligencia pendiente de desahogo, se emite la resolución que conforme a Derecho proceda, de acuerdo a los siguientes:</w:t>
      </w:r>
    </w:p>
    <w:p w:rsidR="00A87C30" w:rsidRDefault="00A87C30">
      <w:pPr>
        <w:spacing w:line="360" w:lineRule="auto"/>
        <w:jc w:val="center"/>
        <w:rPr>
          <w:rFonts w:ascii="Palatino Linotype" w:eastAsia="Palatino Linotype" w:hAnsi="Palatino Linotype" w:cs="Palatino Linotype"/>
          <w:b/>
          <w:sz w:val="22"/>
          <w:szCs w:val="22"/>
        </w:rPr>
      </w:pPr>
    </w:p>
    <w:p w:rsidR="00A87C30" w:rsidRDefault="008469FF">
      <w:pPr>
        <w:tabs>
          <w:tab w:val="left" w:pos="449"/>
          <w:tab w:val="center" w:pos="4522"/>
        </w:tabs>
        <w:spacing w:line="360"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b/>
      </w:r>
      <w:r>
        <w:rPr>
          <w:rFonts w:ascii="Palatino Linotype" w:eastAsia="Palatino Linotype" w:hAnsi="Palatino Linotype" w:cs="Palatino Linotype"/>
          <w:b/>
          <w:sz w:val="22"/>
          <w:szCs w:val="22"/>
        </w:rPr>
        <w:tab/>
        <w:t>CONSIDERANDOS</w:t>
      </w:r>
    </w:p>
    <w:p w:rsidR="00A87C30" w:rsidRDefault="008469FF">
      <w:pPr>
        <w:tabs>
          <w:tab w:val="left" w:pos="3778"/>
        </w:tabs>
        <w:spacing w:line="360"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ab/>
      </w:r>
    </w:p>
    <w:p w:rsidR="00A87C30" w:rsidRDefault="008469FF">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PRIMERO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Competencia</w:t>
      </w:r>
    </w:p>
    <w:p w:rsidR="00A87C30" w:rsidRDefault="00A87C30">
      <w:pPr>
        <w:spacing w:line="360" w:lineRule="auto"/>
        <w:jc w:val="both"/>
        <w:rPr>
          <w:rFonts w:ascii="Palatino Linotype" w:eastAsia="Palatino Linotype" w:hAnsi="Palatino Linotype" w:cs="Palatino Linotype"/>
          <w:b/>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sz w:val="22"/>
          <w:szCs w:val="22"/>
          <w:highlight w:val="white"/>
        </w:rPr>
        <w:t>SEGUNDO</w:t>
      </w:r>
      <w:r>
        <w:rPr>
          <w:rFonts w:ascii="Palatino Linotype" w:eastAsia="Palatino Linotype" w:hAnsi="Palatino Linotype" w:cs="Palatino Linotype"/>
          <w:sz w:val="22"/>
          <w:szCs w:val="22"/>
          <w:highlight w:val="white"/>
        </w:rPr>
        <w:t xml:space="preserve">. </w:t>
      </w:r>
      <w:r>
        <w:rPr>
          <w:rFonts w:ascii="Palatino Linotype" w:eastAsia="Palatino Linotype" w:hAnsi="Palatino Linotype" w:cs="Palatino Linotype"/>
          <w:b/>
          <w:color w:val="000000"/>
          <w:sz w:val="22"/>
          <w:szCs w:val="22"/>
        </w:rPr>
        <w:t>Causales de improcedencia y sobreseimiento</w:t>
      </w:r>
    </w:p>
    <w:p w:rsidR="00A87C30" w:rsidRDefault="00A87C30">
      <w:pPr>
        <w:spacing w:line="360" w:lineRule="auto"/>
        <w:jc w:val="both"/>
        <w:rPr>
          <w:rFonts w:ascii="Palatino Linotype" w:eastAsia="Palatino Linotype" w:hAnsi="Palatino Linotype" w:cs="Palatino Linotype"/>
          <w:sz w:val="22"/>
          <w:szCs w:val="22"/>
          <w:highlight w:val="white"/>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Este Instituto realiza el estudio oficioso de las causales de improcedencia, por tratarse de una cuestión de orden público y de estudio preferente (acorde con el Criterio orientador en la Tesis de Jurisprudencia “</w:t>
      </w:r>
      <w:r>
        <w:rPr>
          <w:rFonts w:ascii="Palatino Linotype" w:eastAsia="Palatino Linotype" w:hAnsi="Palatino Linotype" w:cs="Palatino Linotype"/>
          <w:b/>
          <w:sz w:val="22"/>
          <w:szCs w:val="22"/>
        </w:rPr>
        <w:t>IMPROCEDENCIA</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(Semanario Judicial de la Federación, Quinta Época, 1985, pág. 262),</w:t>
      </w:r>
      <w:r>
        <w:rPr>
          <w:rFonts w:ascii="Palatino Linotype" w:eastAsia="Palatino Linotype" w:hAnsi="Palatino Linotype" w:cs="Palatino Linotype"/>
          <w:sz w:val="22"/>
          <w:szCs w:val="22"/>
        </w:rPr>
        <w:t xml:space="preserve">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rsidR="00A87C30" w:rsidRDefault="00A87C30">
      <w:pPr>
        <w:spacing w:line="360" w:lineRule="auto"/>
        <w:jc w:val="both"/>
        <w:rPr>
          <w:rFonts w:ascii="Palatino Linotype" w:eastAsia="Palatino Linotype" w:hAnsi="Palatino Linotype" w:cs="Palatino Linotype"/>
          <w:b/>
          <w:sz w:val="22"/>
          <w:szCs w:val="22"/>
        </w:rPr>
      </w:pPr>
    </w:p>
    <w:p w:rsidR="00A87C30" w:rsidRDefault="008469FF">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Causales de sobreseimiento</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ser de previo y especial pronunciamiento, este Instituto analiza si se actualiza alguna causal de sobreseimiento.</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toda vez que no ha quedado por completo sin materia el Recurso de Revisión, se considera procedente entrar al fondo del presente asunto. </w:t>
      </w:r>
    </w:p>
    <w:p w:rsidR="00A87C30" w:rsidRDefault="00A87C30">
      <w:pPr>
        <w:spacing w:line="360" w:lineRule="auto"/>
        <w:jc w:val="both"/>
        <w:rPr>
          <w:rFonts w:ascii="Palatino Linotype" w:eastAsia="Palatino Linotype" w:hAnsi="Palatino Linotype" w:cs="Palatino Linotype"/>
          <w:b/>
          <w:sz w:val="22"/>
          <w:szCs w:val="22"/>
        </w:rPr>
      </w:pPr>
    </w:p>
    <w:p w:rsidR="00A87C30" w:rsidRDefault="008469FF">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TERCERO. Determinación de la Controversia</w:t>
      </w:r>
    </w:p>
    <w:p w:rsidR="00A87C30" w:rsidRDefault="00A87C30">
      <w:pPr>
        <w:spacing w:line="360" w:lineRule="auto"/>
        <w:jc w:val="both"/>
        <w:rPr>
          <w:rFonts w:ascii="Palatino Linotype" w:eastAsia="Palatino Linotype" w:hAnsi="Palatino Linotype" w:cs="Palatino Linotype"/>
          <w:b/>
          <w:sz w:val="22"/>
          <w:szCs w:val="22"/>
          <w:highlight w:val="white"/>
        </w:rPr>
      </w:pPr>
    </w:p>
    <w:p w:rsidR="00A87C30" w:rsidRDefault="008469FF">
      <w:pPr>
        <w:tabs>
          <w:tab w:val="left" w:pos="4962"/>
        </w:tabs>
        <w:spacing w:line="360" w:lineRule="auto"/>
        <w:jc w:val="both"/>
        <w:rPr>
          <w:rFonts w:ascii="Palatino Linotype" w:eastAsia="Palatino Linotype" w:hAnsi="Palatino Linotype" w:cs="Palatino Linotype"/>
          <w:sz w:val="22"/>
          <w:szCs w:val="22"/>
        </w:rPr>
      </w:pPr>
      <w:bookmarkStart w:id="1" w:name="_heading=h.30j0zll" w:colFirst="0" w:colLast="0"/>
      <w:bookmarkEnd w:id="1"/>
      <w:r>
        <w:rPr>
          <w:rFonts w:ascii="Palatino Linotype" w:eastAsia="Palatino Linotype" w:hAnsi="Palatino Linotype" w:cs="Palatino Linotype"/>
          <w:sz w:val="22"/>
          <w:szCs w:val="22"/>
        </w:rPr>
        <w:t>Una vez realizado el estudio de las constancias que obran en el expediente electrónico en el que se actúa, se advierte que la persona Solicitante requirió cualquier documento que dé cuenta de las acciones realizadas por el Jefe de la UIPPE, para la recopilación, conservación, interpretación y sistematización de la información financiera, económica, programática y presupuestal de los meses de noviembre y diciembre 2024.</w:t>
      </w:r>
    </w:p>
    <w:p w:rsidR="00A87C30" w:rsidRDefault="00A87C30">
      <w:pPr>
        <w:tabs>
          <w:tab w:val="left" w:pos="4962"/>
        </w:tabs>
        <w:spacing w:line="360" w:lineRule="auto"/>
        <w:jc w:val="both"/>
        <w:rPr>
          <w:rFonts w:ascii="Palatino Linotype" w:eastAsia="Palatino Linotype" w:hAnsi="Palatino Linotype" w:cs="Palatino Linotype"/>
          <w:sz w:val="22"/>
          <w:szCs w:val="22"/>
        </w:rPr>
      </w:pPr>
    </w:p>
    <w:p w:rsidR="00A87C30" w:rsidRDefault="008469FF">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atención a ello, la Secretaría de Finanzas, a través del Titular de la Unidad de Transparencia y Acceso a la Información Pública Municipal,</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proporcionó las respuestas emitidas por la Servidora Pública Habilitada de la UIPPE y el Jefe de Departamento de la UIPPE, quienes a su parecer proporcionaron la información que colmaba los requerimientos informativos del Particular. En consecuencia a lo anterior, el ahora Recurrente a través de la interposición del medio de defensa al rubro, se inconformó de que no se le entregó la información solicitada.</w:t>
      </w:r>
    </w:p>
    <w:p w:rsidR="00A87C30" w:rsidRDefault="00A87C30">
      <w:pPr>
        <w:tabs>
          <w:tab w:val="left" w:pos="4962"/>
        </w:tabs>
        <w:spacing w:line="360" w:lineRule="auto"/>
        <w:jc w:val="both"/>
        <w:rPr>
          <w:rFonts w:ascii="Palatino Linotype" w:eastAsia="Palatino Linotype" w:hAnsi="Palatino Linotype" w:cs="Palatino Linotype"/>
          <w:sz w:val="22"/>
          <w:szCs w:val="22"/>
        </w:rPr>
      </w:pPr>
    </w:p>
    <w:p w:rsidR="00A87C30" w:rsidRDefault="008469FF">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Posterior a ello, el Sujeto Obligado a través de la presentación del Informe Justificado ratificó las respuestas proporcionadas; mientras que el Recurrente, fue omiso en presentar manifestaciones o alegatos que en derecho correspondían.</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Lo anterior, se desprende de las documentales que obran en el expediente de referencia materia de la presente Resolución, consistentes en: la solicitud de acceso a la información con número de folio 00845/SF/IP/2024; la respuesta proporcionada por la Secretaría de Finanzas; el escrito </w:t>
      </w:r>
      <w:proofErr w:type="spellStart"/>
      <w:r>
        <w:rPr>
          <w:rFonts w:ascii="Palatino Linotype" w:eastAsia="Palatino Linotype" w:hAnsi="Palatino Linotype" w:cs="Palatino Linotype"/>
          <w:sz w:val="22"/>
          <w:szCs w:val="22"/>
        </w:rPr>
        <w:t>recursal</w:t>
      </w:r>
      <w:proofErr w:type="spellEnd"/>
      <w:r>
        <w:rPr>
          <w:rFonts w:ascii="Palatino Linotype" w:eastAsia="Palatino Linotype" w:hAnsi="Palatino Linotype" w:cs="Palatino Linotype"/>
          <w:sz w:val="22"/>
          <w:szCs w:val="22"/>
        </w:rPr>
        <w:t xml:space="preserve"> y el Informe Justificado; instrumentales que se toman en cuenta a efecto de resolver el presente medio de impugnación, conforme a lo dispuesto por el artículo 185, </w:t>
      </w:r>
      <w:r>
        <w:rPr>
          <w:rFonts w:ascii="Palatino Linotype" w:eastAsia="Palatino Linotype" w:hAnsi="Palatino Linotype" w:cs="Palatino Linotype"/>
          <w:sz w:val="22"/>
          <w:szCs w:val="22"/>
        </w:rPr>
        <w:lastRenderedPageBreak/>
        <w:t xml:space="preserve">fracción IV, de la Ley de Transparencia y Acceso a la Información Pública del Estado de México y Municipios.  </w:t>
      </w: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rsidR="00A87C30" w:rsidRDefault="008469FF">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Establecido lo anterior, lo consecuente es analizar el agravio manifestado por el ahora Recurrente, de conformidad con lo dispuesto en la fracción VI, del artículo 179 de la Ley de Transparencia y Acceso a la Información Pública del Estado de México y Municipios, que corresponde a la entrega de información que no corresponde con lo solicitado.</w:t>
      </w:r>
    </w:p>
    <w:p w:rsidR="00A87C30" w:rsidRDefault="00A87C30">
      <w:pPr>
        <w:tabs>
          <w:tab w:val="left" w:pos="4962"/>
        </w:tabs>
        <w:spacing w:line="360" w:lineRule="auto"/>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highlight w:val="white"/>
        </w:rPr>
        <w:t xml:space="preserve"> </w:t>
      </w:r>
      <w:r>
        <w:rPr>
          <w:rFonts w:ascii="Palatino Linotype" w:eastAsia="Palatino Linotype" w:hAnsi="Palatino Linotype" w:cs="Palatino Linotype"/>
          <w:b/>
          <w:sz w:val="22"/>
          <w:szCs w:val="22"/>
        </w:rPr>
        <w:t>CUARTO. Marco normativo aplicable en materia de transparencia y acceso a la información pública</w:t>
      </w:r>
    </w:p>
    <w:p w:rsidR="00A87C30" w:rsidRDefault="00A87C30">
      <w:pPr>
        <w:spacing w:line="360" w:lineRule="auto"/>
        <w:jc w:val="both"/>
        <w:rPr>
          <w:rFonts w:ascii="Palatino Linotype" w:eastAsia="Palatino Linotype" w:hAnsi="Palatino Linotype" w:cs="Palatino Linotype"/>
          <w:b/>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w:t>
      </w:r>
      <w:r>
        <w:rPr>
          <w:rFonts w:ascii="Palatino Linotype" w:eastAsia="Palatino Linotype" w:hAnsi="Palatino Linotype" w:cs="Palatino Linotype"/>
          <w:sz w:val="22"/>
          <w:szCs w:val="22"/>
        </w:rPr>
        <w:lastRenderedPageBreak/>
        <w:t>Plataforma Nacional de Transparencia, establecen los formatos para dar cumplimiento a las Obligaciones de Transparencia, así como los plazos de actualización.</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QUINTO. Estudio de Fondo</w:t>
      </w:r>
    </w:p>
    <w:p w:rsidR="00A87C30" w:rsidRDefault="00A87C30">
      <w:pPr>
        <w:spacing w:line="360" w:lineRule="auto"/>
        <w:jc w:val="both"/>
        <w:rPr>
          <w:rFonts w:ascii="Palatino Linotype" w:eastAsia="Palatino Linotype" w:hAnsi="Palatino Linotype" w:cs="Palatino Linotype"/>
          <w:color w:val="000000"/>
          <w:sz w:val="22"/>
          <w:szCs w:val="22"/>
        </w:rPr>
      </w:pPr>
    </w:p>
    <w:p w:rsidR="00A87C30" w:rsidRDefault="008469F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Una vez establecido lo anterior, se procede analizar el agravio hecho valer por el ahora Recurrente, referente a la negativa a la información solicitada por parte del Sujeto Obligado. </w:t>
      </w:r>
    </w:p>
    <w:p w:rsidR="00A87C30" w:rsidRDefault="00A87C30">
      <w:pPr>
        <w:spacing w:line="360" w:lineRule="auto"/>
        <w:ind w:right="-28"/>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Sobre el tema en estudio, la Ley Orgánica de la Administración Pública del Estado de México, específicamente en sus artículos 23, fracción III y 28, señalan que para el estudio, planeación y despacho de los asuntos, en los diversos ramos de la Administración Pública del Estado, auxiliarán al Titular del Ejecutivo diversas Dependencias, entre ellas, la Secretaría de Finanzas, encargada de la planeación, programación, </w:t>
      </w:r>
      <w:proofErr w:type="spellStart"/>
      <w:r>
        <w:rPr>
          <w:rFonts w:ascii="Palatino Linotype" w:eastAsia="Palatino Linotype" w:hAnsi="Palatino Linotype" w:cs="Palatino Linotype"/>
          <w:sz w:val="22"/>
          <w:szCs w:val="22"/>
        </w:rPr>
        <w:t>presupuestación</w:t>
      </w:r>
      <w:proofErr w:type="spellEnd"/>
      <w:r>
        <w:rPr>
          <w:rFonts w:ascii="Palatino Linotype" w:eastAsia="Palatino Linotype" w:hAnsi="Palatino Linotype" w:cs="Palatino Linotype"/>
          <w:sz w:val="22"/>
          <w:szCs w:val="22"/>
        </w:rPr>
        <w:t xml:space="preserve"> y evaluación de las actividades del Poder Ejecutivo, de la administración financiera y tributaria de la hacienda pública del Estado que requieran las dependencias del Poder Ejecutivo del Estado, en los ámbitos de su competencia.</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parte, el Manual General de Organización de la Secretaría de Finanzas, señala en su numeral 20700004000000S, que </w:t>
      </w:r>
      <w:r>
        <w:rPr>
          <w:rFonts w:ascii="Palatino Linotype" w:eastAsia="Palatino Linotype" w:hAnsi="Palatino Linotype" w:cs="Palatino Linotype"/>
          <w:b/>
          <w:sz w:val="22"/>
          <w:szCs w:val="22"/>
        </w:rPr>
        <w:t>la Unidad de Información, Planeación, Programación y Evaluación (UIPPE),</w:t>
      </w:r>
      <w:r>
        <w:rPr>
          <w:rFonts w:ascii="Palatino Linotype" w:eastAsia="Palatino Linotype" w:hAnsi="Palatino Linotype" w:cs="Palatino Linotype"/>
          <w:sz w:val="22"/>
          <w:szCs w:val="22"/>
        </w:rPr>
        <w:t xml:space="preserve"> tiene por objetivo coordinar, supervisar y ejecutar los procesos de planeación, programación y evaluación para garantizar la provisión oportuna y eficiente de información, así como analizar e interpretar la correspondiente en materia económica y financiera que sea requerida por la Secretaría de Finanzas para la toma de decisiones y facilitar el derecho de acceso a la información pública y la protección de los datos personales en cumplimiento de sus atribuciones. </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esta tesitura, el Manual en comento, señala que dentro de sus múltiples funciones se encuentra la de </w:t>
      </w:r>
      <w:r>
        <w:rPr>
          <w:rFonts w:ascii="Palatino Linotype" w:eastAsia="Palatino Linotype" w:hAnsi="Palatino Linotype" w:cs="Palatino Linotype"/>
          <w:b/>
          <w:sz w:val="22"/>
          <w:szCs w:val="22"/>
        </w:rPr>
        <w:t>coordinar las acciones para la recopilación, conservación, interpretación y sistematización de la información financiera, económica, programática y presupuestal</w:t>
      </w:r>
      <w:r>
        <w:rPr>
          <w:rFonts w:ascii="Palatino Linotype" w:eastAsia="Palatino Linotype" w:hAnsi="Palatino Linotype" w:cs="Palatino Linotype"/>
          <w:sz w:val="22"/>
          <w:szCs w:val="22"/>
        </w:rPr>
        <w:t xml:space="preserve">, así como la transparencia y protección de datos personales que requiera la Secretaría de Finanzas; </w:t>
      </w:r>
      <w:r>
        <w:rPr>
          <w:rFonts w:ascii="Palatino Linotype" w:eastAsia="Palatino Linotype" w:hAnsi="Palatino Linotype" w:cs="Palatino Linotype"/>
          <w:sz w:val="22"/>
          <w:szCs w:val="22"/>
        </w:rPr>
        <w:lastRenderedPageBreak/>
        <w:t xml:space="preserve">así mismo, a través de la Dirección de Información, recopila, conserva y sistematiza la información que requiere la Secretaría en materia de transparencia, acceso a la información pública y protección de datos personales. </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Precisada la competencia para poseer, generar y administrar la información solicitada, el Sujeto Obligado, a través de la UIPPE, en respuesta e Informe Justificado señaló que lo solicitado podía ser consultado en el Manual de Normas y Políticas para el Gasto Público del Gobierno del Estado de México, documento que fue proporcionado para consulta.</w:t>
      </w: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obstante lo anterior, el hoy Recurrente se inconformó y señaló que lo proporcionado no da cuenta de lo solicitado. En razón de ello, este Instituto consultó el documento remitido por el Sujeto Obligado, sin que de este se desprendan los documentos que den cuenta de las acciones realizadas por el Titular de la UIPPE; es decir, el documento remitido, tiene por objeto establecer las normas y políticas de aplicación general y obligatoria que los entes públicos deberán observar en el ejercicio, registro, control y evaluación del gasto público, más no así los documentos generados para dicho cumplimiento.</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se omite mencionar, que la Ley General de Contabilidad Gubernamental, señala en su artículo 4°, fracción XVIII, que la información financiera, es aquella información presupuestaria y contable expresada en unidades monetarias, sobre las transacciones que realiza un ente público y los eventos económicos identificables y cuantificables que lo afectan, la cual puede representarse por reportes, informes, estados y notas que expresan su situación financiera, los resultados de su operación y los cambios en su patrimonio. Por su parte, los artículos 44, 45 y 46, señalan lo siguiente:</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“Artículo 44.- Los estados financieros y la información emanada de la contabilidad deberán sujetarse a criterios de utilidad, confiabilidad, relevancia, comprensibilidad y de comparación, así como a otros atributos asociados a cada uno de ellos, como oportunidad, veracidad, representatividad, objetividad, suficiencia, posibilidad de predicción e importancia relativa, con el fin de alcanzar la modernización y armonización que la Ley determina. </w:t>
      </w:r>
    </w:p>
    <w:p w:rsidR="00A87C30" w:rsidRDefault="00A87C30">
      <w:pPr>
        <w:spacing w:line="360" w:lineRule="auto"/>
        <w:ind w:left="567" w:right="567"/>
        <w:jc w:val="both"/>
        <w:rPr>
          <w:rFonts w:ascii="Palatino Linotype" w:eastAsia="Palatino Linotype" w:hAnsi="Palatino Linotype" w:cs="Palatino Linotype"/>
          <w:i/>
        </w:rPr>
      </w:pPr>
    </w:p>
    <w:p w:rsidR="00A87C30" w:rsidRDefault="008469F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45.- Los entes públicos deberán expresar de manera destacada en sus estados financieros los esquemas de pasivos, incluyendo los que sean considerados deuda pública en términos de la normativa aplicable. </w:t>
      </w:r>
    </w:p>
    <w:p w:rsidR="00A87C30" w:rsidRDefault="00A87C30">
      <w:pPr>
        <w:spacing w:line="360" w:lineRule="auto"/>
        <w:ind w:left="567" w:right="567"/>
        <w:jc w:val="both"/>
        <w:rPr>
          <w:rFonts w:ascii="Palatino Linotype" w:eastAsia="Palatino Linotype" w:hAnsi="Palatino Linotype" w:cs="Palatino Linotype"/>
          <w:i/>
        </w:rPr>
      </w:pPr>
    </w:p>
    <w:p w:rsidR="00A87C30" w:rsidRDefault="008469F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46.- En lo relativo a la Federación, los sistemas contables de los poderes Ejecutivo, Legislativo y Judicial, las entidades de la Administración Pública Paraestatal y los órganos autónomos, permitirán en la medida que corresponda, la generación periódica de los estados y la información financiera que a continuación se señala: </w:t>
      </w:r>
    </w:p>
    <w:p w:rsidR="00A87C30" w:rsidRDefault="00A87C30">
      <w:pPr>
        <w:spacing w:line="360" w:lineRule="auto"/>
        <w:ind w:left="567" w:right="567"/>
        <w:jc w:val="both"/>
        <w:rPr>
          <w:rFonts w:ascii="Palatino Linotype" w:eastAsia="Palatino Linotype" w:hAnsi="Palatino Linotype" w:cs="Palatino Linotype"/>
          <w:i/>
        </w:rPr>
      </w:pPr>
    </w:p>
    <w:p w:rsidR="00A87C30" w:rsidRDefault="008469F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I</w:t>
      </w:r>
      <w:r>
        <w:rPr>
          <w:rFonts w:ascii="Palatino Linotype" w:eastAsia="Palatino Linotype" w:hAnsi="Palatino Linotype" w:cs="Palatino Linotype"/>
          <w:i/>
        </w:rPr>
        <w:t xml:space="preserve">. </w:t>
      </w:r>
      <w:r>
        <w:rPr>
          <w:rFonts w:ascii="Palatino Linotype" w:eastAsia="Palatino Linotype" w:hAnsi="Palatino Linotype" w:cs="Palatino Linotype"/>
          <w:b/>
          <w:i/>
        </w:rPr>
        <w:t>Información contable,</w:t>
      </w:r>
      <w:r>
        <w:rPr>
          <w:rFonts w:ascii="Palatino Linotype" w:eastAsia="Palatino Linotype" w:hAnsi="Palatino Linotype" w:cs="Palatino Linotype"/>
          <w:i/>
        </w:rPr>
        <w:t xml:space="preserve"> con la desagregación siguiente: </w:t>
      </w:r>
    </w:p>
    <w:p w:rsidR="00A87C30" w:rsidRDefault="008469F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a) Estado de actividades; </w:t>
      </w:r>
    </w:p>
    <w:p w:rsidR="00A87C30" w:rsidRDefault="008469F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b) Estado de situación financiera; </w:t>
      </w:r>
    </w:p>
    <w:p w:rsidR="00A87C30" w:rsidRDefault="008469F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c) Estado de variación en la hacienda pública; </w:t>
      </w:r>
    </w:p>
    <w:p w:rsidR="00A87C30" w:rsidRDefault="008469F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d) Estado de cambios en la situación financiera; </w:t>
      </w:r>
    </w:p>
    <w:p w:rsidR="00A87C30" w:rsidRDefault="008469F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e) Estado de flujos de efectivo; </w:t>
      </w:r>
    </w:p>
    <w:p w:rsidR="00A87C30" w:rsidRDefault="008469F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f) Informes sobre pasivos contingentes; </w:t>
      </w:r>
    </w:p>
    <w:p w:rsidR="00A87C30" w:rsidRDefault="008469F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g) Notas a los estados financieros; </w:t>
      </w:r>
    </w:p>
    <w:p w:rsidR="00A87C30" w:rsidRDefault="008469F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h) Estado analítico del activo, e </w:t>
      </w:r>
    </w:p>
    <w:p w:rsidR="00A87C30" w:rsidRDefault="008469F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i) Estado analítico de la deuda y otros pasivos, del cual se derivarán las clasificaciones siguientes: </w:t>
      </w:r>
    </w:p>
    <w:p w:rsidR="00A87C30" w:rsidRDefault="008469FF">
      <w:pPr>
        <w:numPr>
          <w:ilvl w:val="0"/>
          <w:numId w:val="1"/>
        </w:numPr>
        <w:pBdr>
          <w:top w:val="nil"/>
          <w:left w:val="nil"/>
          <w:bottom w:val="nil"/>
          <w:right w:val="nil"/>
          <w:between w:val="nil"/>
        </w:pBdr>
        <w:spacing w:line="360" w:lineRule="auto"/>
        <w:ind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Corto y largo plazo, así como por su origen en interna y externa; </w:t>
      </w:r>
    </w:p>
    <w:p w:rsidR="00A87C30" w:rsidRDefault="008469FF">
      <w:pPr>
        <w:numPr>
          <w:ilvl w:val="0"/>
          <w:numId w:val="1"/>
        </w:numPr>
        <w:pBdr>
          <w:top w:val="nil"/>
          <w:left w:val="nil"/>
          <w:bottom w:val="nil"/>
          <w:right w:val="nil"/>
          <w:between w:val="nil"/>
        </w:pBdr>
        <w:spacing w:line="360" w:lineRule="auto"/>
        <w:ind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Fuentes de financiamiento; </w:t>
      </w:r>
    </w:p>
    <w:p w:rsidR="00A87C30" w:rsidRDefault="008469FF">
      <w:pPr>
        <w:numPr>
          <w:ilvl w:val="0"/>
          <w:numId w:val="1"/>
        </w:numPr>
        <w:pBdr>
          <w:top w:val="nil"/>
          <w:left w:val="nil"/>
          <w:bottom w:val="nil"/>
          <w:right w:val="nil"/>
          <w:between w:val="nil"/>
        </w:pBdr>
        <w:spacing w:line="360" w:lineRule="auto"/>
        <w:ind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 xml:space="preserve">Por moneda de contratación, y </w:t>
      </w:r>
    </w:p>
    <w:p w:rsidR="00A87C30" w:rsidRDefault="008469FF">
      <w:pPr>
        <w:numPr>
          <w:ilvl w:val="0"/>
          <w:numId w:val="1"/>
        </w:numPr>
        <w:pBdr>
          <w:top w:val="nil"/>
          <w:left w:val="nil"/>
          <w:bottom w:val="nil"/>
          <w:right w:val="nil"/>
          <w:between w:val="nil"/>
        </w:pBdr>
        <w:spacing w:line="360" w:lineRule="auto"/>
        <w:ind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rPr>
        <w:t>Por país acreedor;</w:t>
      </w:r>
    </w:p>
    <w:p w:rsidR="00A87C30" w:rsidRDefault="00A87C30">
      <w:pPr>
        <w:spacing w:line="360" w:lineRule="auto"/>
        <w:ind w:left="567" w:right="567"/>
        <w:jc w:val="both"/>
        <w:rPr>
          <w:rFonts w:ascii="Palatino Linotype" w:eastAsia="Palatino Linotype" w:hAnsi="Palatino Linotype" w:cs="Palatino Linotype"/>
          <w:i/>
        </w:rPr>
      </w:pPr>
    </w:p>
    <w:p w:rsidR="00A87C30" w:rsidRDefault="008469F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II</w:t>
      </w:r>
      <w:r>
        <w:rPr>
          <w:rFonts w:ascii="Palatino Linotype" w:eastAsia="Palatino Linotype" w:hAnsi="Palatino Linotype" w:cs="Palatino Linotype"/>
          <w:i/>
        </w:rPr>
        <w:t xml:space="preserve">. </w:t>
      </w:r>
      <w:r>
        <w:rPr>
          <w:rFonts w:ascii="Palatino Linotype" w:eastAsia="Palatino Linotype" w:hAnsi="Palatino Linotype" w:cs="Palatino Linotype"/>
          <w:b/>
          <w:i/>
        </w:rPr>
        <w:t>Información presupuestaria</w:t>
      </w:r>
      <w:r>
        <w:rPr>
          <w:rFonts w:ascii="Palatino Linotype" w:eastAsia="Palatino Linotype" w:hAnsi="Palatino Linotype" w:cs="Palatino Linotype"/>
          <w:i/>
        </w:rPr>
        <w:t xml:space="preserve">, con la desagregación siguiente: </w:t>
      </w:r>
    </w:p>
    <w:p w:rsidR="00A87C30" w:rsidRDefault="008469F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a) Estado analítico de ingresos, del que se derivará la presentación en clasificación económica por fuente de financiamiento y concepto, incluyendo los ingresos excedentes generados; </w:t>
      </w:r>
    </w:p>
    <w:p w:rsidR="00A87C30" w:rsidRDefault="008469F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b) Estado analítico del ejercicio del presupuesto de egresos del que se derivarán las clasificaciones siguientes: </w:t>
      </w:r>
    </w:p>
    <w:p w:rsidR="00A87C30" w:rsidRDefault="008469F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1. Administrativa; Económica; Por objeto del gasto, y Funcional. </w:t>
      </w:r>
    </w:p>
    <w:p w:rsidR="00A87C30" w:rsidRDefault="008469F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2. El estado analítico del ejercicio del presupuesto de egresos deberá identificar los montos y adecuaciones presupuestarias y subejercicios por ramo y programa; </w:t>
      </w:r>
    </w:p>
    <w:p w:rsidR="00A87C30" w:rsidRDefault="00A87C30">
      <w:pPr>
        <w:spacing w:line="360" w:lineRule="auto"/>
        <w:ind w:left="567" w:right="567"/>
        <w:jc w:val="both"/>
        <w:rPr>
          <w:rFonts w:ascii="Palatino Linotype" w:eastAsia="Palatino Linotype" w:hAnsi="Palatino Linotype" w:cs="Palatino Linotype"/>
          <w:i/>
        </w:rPr>
      </w:pPr>
    </w:p>
    <w:p w:rsidR="00A87C30" w:rsidRDefault="008469F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c) Endeudamiento neto, financiamiento menos amortización, del que derivará la clasificación por su origen en interno y externo; </w:t>
      </w:r>
    </w:p>
    <w:p w:rsidR="00A87C30" w:rsidRDefault="008469F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d) Intereses de la deuda, y e) Un flujo de fondos que resuma todas las operaciones; </w:t>
      </w:r>
    </w:p>
    <w:p w:rsidR="00A87C30" w:rsidRDefault="00A87C30">
      <w:pPr>
        <w:spacing w:line="360" w:lineRule="auto"/>
        <w:ind w:left="567" w:right="567"/>
        <w:jc w:val="both"/>
        <w:rPr>
          <w:rFonts w:ascii="Palatino Linotype" w:eastAsia="Palatino Linotype" w:hAnsi="Palatino Linotype" w:cs="Palatino Linotype"/>
          <w:i/>
        </w:rPr>
      </w:pPr>
    </w:p>
    <w:p w:rsidR="00A87C30" w:rsidRDefault="008469F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III. Información programática,</w:t>
      </w:r>
      <w:r>
        <w:rPr>
          <w:rFonts w:ascii="Palatino Linotype" w:eastAsia="Palatino Linotype" w:hAnsi="Palatino Linotype" w:cs="Palatino Linotype"/>
          <w:i/>
        </w:rPr>
        <w:t xml:space="preserve"> con la desagregación siguiente: </w:t>
      </w:r>
    </w:p>
    <w:p w:rsidR="00A87C30" w:rsidRDefault="008469F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a) Gasto por categoría programática; </w:t>
      </w:r>
    </w:p>
    <w:p w:rsidR="00A87C30" w:rsidRDefault="008469F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b) Programas y proyectos de inversión, y </w:t>
      </w:r>
    </w:p>
    <w:p w:rsidR="00A87C30" w:rsidRDefault="008469F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c) Indicadores de resultados, y </w:t>
      </w:r>
    </w:p>
    <w:p w:rsidR="00A87C30" w:rsidRDefault="00A87C30">
      <w:pPr>
        <w:spacing w:line="360" w:lineRule="auto"/>
        <w:ind w:left="567" w:right="567"/>
        <w:jc w:val="both"/>
        <w:rPr>
          <w:rFonts w:ascii="Palatino Linotype" w:eastAsia="Palatino Linotype" w:hAnsi="Palatino Linotype" w:cs="Palatino Linotype"/>
          <w:i/>
        </w:rPr>
      </w:pPr>
    </w:p>
    <w:p w:rsidR="00A87C30" w:rsidRDefault="008469F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IV. La información complementaria para generar las cuentas nacionales y atender otros requerimientos provenientes de organismos internacionales de los que México es miembro. </w:t>
      </w:r>
    </w:p>
    <w:p w:rsidR="00A87C30" w:rsidRDefault="00A87C30">
      <w:pPr>
        <w:spacing w:line="360" w:lineRule="auto"/>
        <w:ind w:left="567" w:right="567"/>
        <w:jc w:val="both"/>
        <w:rPr>
          <w:rFonts w:ascii="Palatino Linotype" w:eastAsia="Palatino Linotype" w:hAnsi="Palatino Linotype" w:cs="Palatino Linotype"/>
          <w:i/>
        </w:rPr>
      </w:pPr>
    </w:p>
    <w:p w:rsidR="00A87C30" w:rsidRDefault="008469F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Los estados analíticos sobre deuda pública y otros pasivos, y el de patrimonio deberán considerar por concepto el saldo inicial del ejercicio, las entradas y salidas por transacciones, otros flujos económicos y el saldo final del ejercicio. </w:t>
      </w:r>
    </w:p>
    <w:p w:rsidR="00A87C30" w:rsidRDefault="00A87C30">
      <w:pPr>
        <w:spacing w:line="360" w:lineRule="auto"/>
        <w:ind w:left="567" w:right="567"/>
        <w:jc w:val="both"/>
        <w:rPr>
          <w:rFonts w:ascii="Palatino Linotype" w:eastAsia="Palatino Linotype" w:hAnsi="Palatino Linotype" w:cs="Palatino Linotype"/>
          <w:i/>
        </w:rPr>
      </w:pPr>
    </w:p>
    <w:p w:rsidR="00A87C30" w:rsidRDefault="008469F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En las cuentas públicas se reportarán los esquemas bursátiles y de coberturas financieras de los entes públicos. </w:t>
      </w:r>
    </w:p>
    <w:p w:rsidR="00A87C30" w:rsidRDefault="00A87C30">
      <w:pPr>
        <w:spacing w:line="360" w:lineRule="auto"/>
        <w:ind w:right="-93"/>
        <w:jc w:val="both"/>
        <w:rPr>
          <w:rFonts w:ascii="Palatino Linotype" w:eastAsia="Palatino Linotype" w:hAnsi="Palatino Linotype" w:cs="Palatino Linotype"/>
          <w:sz w:val="22"/>
          <w:szCs w:val="22"/>
        </w:rPr>
      </w:pPr>
    </w:p>
    <w:p w:rsidR="00A87C30" w:rsidRDefault="008469FF">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atención a lo anterior, se advierte que la información financiera es aquella información presupuestaria y contable expresada en unidades monetarias, sobre las transacciones que realiza un ente público, la razón y el motivo. Información que puede identificarse a través de diversos documentos, como reportes, informes, estados y notas que expresan su situación financiera, los resultados de su operación y los cambios en su patrimonio.</w:t>
      </w:r>
    </w:p>
    <w:p w:rsidR="00A87C30" w:rsidRDefault="00A87C30">
      <w:pPr>
        <w:spacing w:line="360" w:lineRule="auto"/>
        <w:ind w:right="-93"/>
        <w:jc w:val="both"/>
        <w:rPr>
          <w:rFonts w:ascii="Palatino Linotype" w:eastAsia="Palatino Linotype" w:hAnsi="Palatino Linotype" w:cs="Palatino Linotype"/>
          <w:sz w:val="22"/>
          <w:szCs w:val="22"/>
        </w:rPr>
      </w:pPr>
    </w:p>
    <w:p w:rsidR="00A87C30" w:rsidRDefault="008469FF">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Expuesto lo anterior, es importante precisar que el artículo 4°, párrafo segundo de la Ley de Transparencia y Acceso a la Información Pública del Estado de México y Municipios, </w:t>
      </w:r>
      <w:r>
        <w:rPr>
          <w:rFonts w:ascii="Palatino Linotype" w:eastAsia="Palatino Linotype" w:hAnsi="Palatino Linotype" w:cs="Palatino Linotype"/>
          <w:b/>
          <w:sz w:val="22"/>
          <w:szCs w:val="22"/>
        </w:rPr>
        <w:t>señala que toda la información</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generada, obtenida, adquirida, transformada, administrada o en posesión de los Sujetos Obligados es pública y accesible</w:t>
      </w:r>
      <w:r>
        <w:rPr>
          <w:rFonts w:ascii="Palatino Linotype" w:eastAsia="Palatino Linotype" w:hAnsi="Palatino Linotype" w:cs="Palatino Linotype"/>
          <w:sz w:val="22"/>
          <w:szCs w:val="22"/>
        </w:rPr>
        <w:t xml:space="preserv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A87C30" w:rsidRDefault="00A87C30">
      <w:pPr>
        <w:spacing w:line="360" w:lineRule="auto"/>
        <w:ind w:right="-93"/>
        <w:jc w:val="both"/>
        <w:rPr>
          <w:rFonts w:ascii="Palatino Linotype" w:eastAsia="Palatino Linotype" w:hAnsi="Palatino Linotype" w:cs="Palatino Linotype"/>
          <w:b/>
          <w:sz w:val="22"/>
          <w:szCs w:val="22"/>
        </w:rPr>
      </w:pPr>
    </w:p>
    <w:p w:rsidR="00A87C30" w:rsidRDefault="008469F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síntesis, el derecho de acceso a la información pública se satisface </w:t>
      </w:r>
      <w:r>
        <w:rPr>
          <w:rFonts w:ascii="Palatino Linotype" w:eastAsia="Palatino Linotype" w:hAnsi="Palatino Linotype" w:cs="Palatino Linotype"/>
          <w:sz w:val="22"/>
          <w:szCs w:val="22"/>
          <w:u w:val="single"/>
        </w:rPr>
        <w:t>en aquellos casos en que se entregue el soporte documental en que conste la información pública, sin la necesidad de elaborar documentos</w:t>
      </w:r>
      <w:r>
        <w:rPr>
          <w:rFonts w:ascii="Palatino Linotype" w:eastAsia="Palatino Linotype" w:hAnsi="Palatino Linotype" w:cs="Palatino Linotype"/>
          <w:b/>
          <w:sz w:val="22"/>
          <w:szCs w:val="22"/>
          <w:u w:val="single"/>
        </w:rPr>
        <w:t xml:space="preserve"> </w:t>
      </w:r>
      <w:r>
        <w:rPr>
          <w:rFonts w:ascii="Palatino Linotype" w:eastAsia="Palatino Linotype" w:hAnsi="Palatino Linotype" w:cs="Palatino Linotype"/>
          <w:b/>
          <w:i/>
          <w:sz w:val="22"/>
          <w:szCs w:val="22"/>
          <w:u w:val="single"/>
        </w:rPr>
        <w:t>ad hoc</w:t>
      </w:r>
      <w:r>
        <w:rPr>
          <w:rFonts w:ascii="Palatino Linotype" w:eastAsia="Palatino Linotype" w:hAnsi="Palatino Linotype" w:cs="Palatino Linotype"/>
          <w:b/>
          <w:sz w:val="22"/>
          <w:szCs w:val="22"/>
        </w:rPr>
        <w:t>;</w:t>
      </w:r>
      <w:r>
        <w:rPr>
          <w:rFonts w:ascii="Palatino Linotype" w:eastAsia="Palatino Linotype" w:hAnsi="Palatino Linotype" w:cs="Palatino Linotype"/>
          <w:sz w:val="22"/>
          <w:szCs w:val="22"/>
        </w:rPr>
        <w:t xml:space="preserve"> situación que cobra sustento en el artículo 160 de la Ley de Transparencia y Acceso a la Información Pública del Estado de México y Municipios, mismo que refiere que los sujetos obligados únicamente deberán otorgar acceso a los documentos que </w:t>
      </w:r>
      <w:r>
        <w:rPr>
          <w:rFonts w:ascii="Palatino Linotype" w:eastAsia="Palatino Linotype" w:hAnsi="Palatino Linotype" w:cs="Palatino Linotype"/>
          <w:sz w:val="22"/>
          <w:szCs w:val="22"/>
        </w:rPr>
        <w:lastRenderedPageBreak/>
        <w:t>se encuentren en sus archivos o que estén obligados a documentar de acuerdo con sus facultades, competencias o funciones.</w:t>
      </w:r>
    </w:p>
    <w:p w:rsidR="00A87C30" w:rsidRDefault="00A87C30">
      <w:pPr>
        <w:spacing w:line="360" w:lineRule="auto"/>
        <w:ind w:right="-28"/>
        <w:jc w:val="both"/>
        <w:rPr>
          <w:rFonts w:ascii="Palatino Linotype" w:eastAsia="Palatino Linotype" w:hAnsi="Palatino Linotype" w:cs="Palatino Linotype"/>
          <w:sz w:val="22"/>
          <w:szCs w:val="22"/>
        </w:rPr>
      </w:pPr>
    </w:p>
    <w:p w:rsidR="00A87C30" w:rsidRDefault="008469F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sentido, se advierte que la persona Solicitante requirió los documentos que dan cuenta del trabajo cotidiano del Titular de la UIPPE, que como se indicó son los documentos que genera de comunicación con otras áreas para atender los temas financieros, programáticos y presupuestales, no se deja de lado que no se solicitan los oficios de respuesta, pues lo que se busca transparentar es el cumplimiento de funciones de este servidor público. Por lo que hace a la temporalidad, se requirió la información de los meses de noviembre y diciembre; sin embargo, la solicitud se presentó el siete de noviembre de dos mil veinticuatro, por lo que, era imposible que el Sujeto Obligado entregara documentos que aún  no ha generado, pues como se indicó el ejercicio del derecho humano de acceso a la información sólo procede respecto de los documentos que obren en los archivos de los sujetos obligados.</w:t>
      </w:r>
    </w:p>
    <w:p w:rsidR="00A87C30" w:rsidRDefault="00A87C30">
      <w:pPr>
        <w:spacing w:line="360" w:lineRule="auto"/>
        <w:ind w:right="-28"/>
        <w:jc w:val="both"/>
        <w:rPr>
          <w:rFonts w:ascii="Palatino Linotype" w:eastAsia="Palatino Linotype" w:hAnsi="Palatino Linotype" w:cs="Palatino Linotype"/>
          <w:sz w:val="22"/>
          <w:szCs w:val="22"/>
        </w:rPr>
      </w:pPr>
    </w:p>
    <w:p w:rsidR="00A87C30" w:rsidRDefault="008469F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acuerdo con lo anterior,  le asiste la razón al Recurrente de manera parcial, en virtud de que lo entregado no corresponde con lo solicitado, pero sólo procede ordenar la entrega de los documentos que hayan sido generados del primero al siete de noviembre de dos mil veinticuatro, el resto de la temporalidad no es procedente ordenarla porque constituyen días que no habían transcurrido a la fecha de la solicitud y por ende la información no ha sido generada.</w:t>
      </w:r>
    </w:p>
    <w:p w:rsidR="00A87C30" w:rsidRDefault="00A87C30">
      <w:pPr>
        <w:spacing w:line="360" w:lineRule="auto"/>
        <w:ind w:right="-28"/>
        <w:jc w:val="both"/>
        <w:rPr>
          <w:rFonts w:ascii="Palatino Linotype" w:eastAsia="Palatino Linotype" w:hAnsi="Palatino Linotype" w:cs="Palatino Linotype"/>
          <w:b/>
          <w:sz w:val="22"/>
          <w:szCs w:val="22"/>
        </w:rPr>
      </w:pPr>
    </w:p>
    <w:p w:rsidR="00A87C30" w:rsidRDefault="008469F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razón de lo anterior, el Sujeto Obligado, previa búsqueda exhaustiva y razonable en los archivos físicos y electrónicos de la Unidad de Información, Planeación, Programación y Evaluación (UIPPE), deberá hacer entrega de la información requerida por el particular, a saber, los documentos que den cuenta de  las acciones realizadas por el Jefe de la UIPPE, para </w:t>
      </w:r>
      <w:r>
        <w:rPr>
          <w:rFonts w:ascii="Palatino Linotype" w:eastAsia="Palatino Linotype" w:hAnsi="Palatino Linotype" w:cs="Palatino Linotype"/>
          <w:sz w:val="22"/>
          <w:szCs w:val="22"/>
        </w:rPr>
        <w:lastRenderedPageBreak/>
        <w:t>la recopilación, conservación, interpretación y sistematización de la información financiera, económica, programática y presupuestal de los primeros siete días de noviembre de dos mil veinticuatro; sin embargo, para el caso de que por el periodo no haya generado la información, deberá hacerlo del conocimiento de la parte Recurrente, de manera clara y precisa, en términos del artículo 19, párrafo segundo, de la Ley de Transparencia y Acceso a la Información Pública del Estado de México y Municipios.</w:t>
      </w:r>
    </w:p>
    <w:p w:rsidR="00A87C30" w:rsidRDefault="00A87C30">
      <w:pPr>
        <w:spacing w:line="360" w:lineRule="auto"/>
        <w:ind w:right="-28"/>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No pasa desapercibido para este Instituto que los documentos que den cuenta de lo solicitado, pudieran contener datos o información clasificada;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rsidR="00A87C30" w:rsidRDefault="008469F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A87C30" w:rsidRDefault="00A87C30">
      <w:pPr>
        <w:spacing w:line="360" w:lineRule="auto"/>
        <w:ind w:right="-93"/>
        <w:jc w:val="both"/>
        <w:rPr>
          <w:rFonts w:ascii="Palatino Linotype" w:eastAsia="Palatino Linotype" w:hAnsi="Palatino Linotype" w:cs="Palatino Linotype"/>
          <w:b/>
          <w:sz w:val="22"/>
          <w:szCs w:val="22"/>
        </w:rPr>
      </w:pPr>
    </w:p>
    <w:p w:rsidR="00A87C30" w:rsidRDefault="008469FF">
      <w:pPr>
        <w:spacing w:line="360" w:lineRule="auto"/>
        <w:ind w:right="-9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SEXTO. Decisión </w:t>
      </w:r>
    </w:p>
    <w:p w:rsidR="00A87C30" w:rsidRDefault="00A87C30">
      <w:pPr>
        <w:spacing w:line="360" w:lineRule="auto"/>
        <w:jc w:val="both"/>
        <w:rPr>
          <w:rFonts w:ascii="Palatino Linotype" w:eastAsia="Palatino Linotype" w:hAnsi="Palatino Linotype" w:cs="Palatino Linotype"/>
          <w:b/>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fundamento en el artículo 186, fracción III, de la Ley de Transparencia y Acceso a la Información Pública del Estado de México y Municipios, este Instituto considera procedente </w:t>
      </w:r>
      <w:r>
        <w:rPr>
          <w:rFonts w:ascii="Palatino Linotype" w:eastAsia="Palatino Linotype" w:hAnsi="Palatino Linotype" w:cs="Palatino Linotype"/>
          <w:b/>
          <w:sz w:val="22"/>
          <w:szCs w:val="22"/>
        </w:rPr>
        <w:lastRenderedPageBreak/>
        <w:t xml:space="preserve">REVOCAR </w:t>
      </w:r>
      <w:r>
        <w:rPr>
          <w:rFonts w:ascii="Palatino Linotype" w:eastAsia="Palatino Linotype" w:hAnsi="Palatino Linotype" w:cs="Palatino Linotype"/>
          <w:sz w:val="22"/>
          <w:szCs w:val="22"/>
        </w:rPr>
        <w:t xml:space="preserve">la respuesta otorgada por la Secretaría de Finanzas a la solicitud de acceso a la información que nos ocupa. </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b/>
          <w:sz w:val="22"/>
          <w:szCs w:val="22"/>
          <w:u w:val="single"/>
        </w:rPr>
        <w:t>Términos de la Resolución para el Recurrente</w:t>
      </w:r>
    </w:p>
    <w:p w:rsidR="00A87C30" w:rsidRDefault="00A87C30">
      <w:pPr>
        <w:spacing w:line="360" w:lineRule="auto"/>
        <w:jc w:val="both"/>
        <w:rPr>
          <w:rFonts w:ascii="Palatino Linotype" w:eastAsia="Palatino Linotype" w:hAnsi="Palatino Linotype" w:cs="Palatino Linotype"/>
          <w:b/>
          <w:sz w:val="22"/>
          <w:szCs w:val="22"/>
          <w:u w:val="single"/>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Este Instituto Garante le concede la razón al Particular, pues el Sujeto Obligado no proporcionó los documentos que den cuenta de las acciones realizadas por el Jefe de la UIPPE, para la recopilación, conservación, interpretación y sistematización de la información financiera, económica, programática y presupuestal de los meses de noviembre y diciembre del ejercicio dos mil veinticuatro. En razón de ello, el Sujeto Obligado deberá hacer entrega de la información solicitada.</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labor del Instituto de Transparencia Acceso a la Información Pública y Protección de Datos Personales del Estado de México y Municipios es apoyar a la población para acceder a la información pública y garantizar la protección de sus datos personales.</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expuesto y fundado, este Pleno:</w:t>
      </w:r>
    </w:p>
    <w:p w:rsidR="00A87C30" w:rsidRDefault="00A87C30">
      <w:pPr>
        <w:spacing w:line="360" w:lineRule="auto"/>
        <w:rPr>
          <w:rFonts w:ascii="Palatino Linotype" w:eastAsia="Palatino Linotype" w:hAnsi="Palatino Linotype" w:cs="Palatino Linotype"/>
          <w:b/>
          <w:sz w:val="22"/>
          <w:szCs w:val="22"/>
        </w:rPr>
      </w:pPr>
    </w:p>
    <w:p w:rsidR="00A87C30" w:rsidRDefault="008469FF">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 E S U E L V E</w:t>
      </w:r>
    </w:p>
    <w:p w:rsidR="00A87C30" w:rsidRDefault="00A87C30">
      <w:pPr>
        <w:spacing w:line="360" w:lineRule="auto"/>
        <w:jc w:val="both"/>
        <w:rPr>
          <w:rFonts w:ascii="Palatino Linotype" w:eastAsia="Palatino Linotype" w:hAnsi="Palatino Linotype" w:cs="Palatino Linotype"/>
          <w:b/>
          <w:sz w:val="22"/>
          <w:szCs w:val="22"/>
        </w:rPr>
      </w:pPr>
    </w:p>
    <w:p w:rsidR="00A87C30" w:rsidRDefault="008469F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PRIMERO. </w:t>
      </w:r>
      <w:r>
        <w:rPr>
          <w:rFonts w:ascii="Palatino Linotype" w:eastAsia="Palatino Linotype" w:hAnsi="Palatino Linotype" w:cs="Palatino Linotype"/>
          <w:color w:val="000000"/>
          <w:sz w:val="22"/>
          <w:szCs w:val="22"/>
        </w:rPr>
        <w:t xml:space="preserve">Se </w:t>
      </w:r>
      <w:r>
        <w:rPr>
          <w:rFonts w:ascii="Palatino Linotype" w:eastAsia="Palatino Linotype" w:hAnsi="Palatino Linotype" w:cs="Palatino Linotype"/>
          <w:b/>
          <w:color w:val="000000"/>
          <w:sz w:val="22"/>
          <w:szCs w:val="22"/>
        </w:rPr>
        <w:t xml:space="preserve">REVOCA </w:t>
      </w:r>
      <w:r>
        <w:rPr>
          <w:rFonts w:ascii="Palatino Linotype" w:eastAsia="Palatino Linotype" w:hAnsi="Palatino Linotype" w:cs="Palatino Linotype"/>
          <w:color w:val="000000"/>
          <w:sz w:val="22"/>
          <w:szCs w:val="22"/>
        </w:rPr>
        <w:t xml:space="preserve">la respuesta entregada por la </w:t>
      </w:r>
      <w:r>
        <w:rPr>
          <w:rFonts w:ascii="Palatino Linotype" w:eastAsia="Palatino Linotype" w:hAnsi="Palatino Linotype" w:cs="Palatino Linotype"/>
          <w:b/>
          <w:color w:val="000000"/>
          <w:sz w:val="22"/>
          <w:szCs w:val="22"/>
        </w:rPr>
        <w:t>Secretaría de Finanzas</w:t>
      </w:r>
      <w:r>
        <w:rPr>
          <w:rFonts w:ascii="Palatino Linotype" w:eastAsia="Palatino Linotype" w:hAnsi="Palatino Linotype" w:cs="Palatino Linotype"/>
          <w:color w:val="000000"/>
          <w:sz w:val="22"/>
          <w:szCs w:val="22"/>
        </w:rPr>
        <w:t xml:space="preserve">, a la solicitud de información </w:t>
      </w:r>
      <w:r>
        <w:rPr>
          <w:rFonts w:ascii="Palatino Linotype" w:eastAsia="Palatino Linotype" w:hAnsi="Palatino Linotype" w:cs="Palatino Linotype"/>
          <w:b/>
          <w:color w:val="000000"/>
          <w:sz w:val="22"/>
          <w:szCs w:val="22"/>
        </w:rPr>
        <w:t xml:space="preserve">00845/SF/IP/2024, </w:t>
      </w:r>
      <w:r>
        <w:rPr>
          <w:rFonts w:ascii="Palatino Linotype" w:eastAsia="Palatino Linotype" w:hAnsi="Palatino Linotype" w:cs="Palatino Linotype"/>
          <w:color w:val="000000"/>
          <w:sz w:val="22"/>
          <w:szCs w:val="22"/>
        </w:rPr>
        <w:t>por resultar</w:t>
      </w:r>
      <w:r>
        <w:rPr>
          <w:rFonts w:ascii="Palatino Linotype" w:eastAsia="Palatino Linotype" w:hAnsi="Palatino Linotype" w:cs="Palatino Linotype"/>
          <w:b/>
          <w:color w:val="000000"/>
          <w:sz w:val="22"/>
          <w:szCs w:val="22"/>
        </w:rPr>
        <w:t xml:space="preserve"> fundadas</w:t>
      </w:r>
      <w:r>
        <w:rPr>
          <w:rFonts w:ascii="Palatino Linotype" w:eastAsia="Palatino Linotype" w:hAnsi="Palatino Linotype" w:cs="Palatino Linotype"/>
          <w:color w:val="000000"/>
          <w:sz w:val="22"/>
          <w:szCs w:val="22"/>
        </w:rPr>
        <w:t xml:space="preserve"> las razones o motivos de inconformidad hecho valer por el Recurrente en el Recurso de Revisión </w:t>
      </w:r>
      <w:r>
        <w:rPr>
          <w:rFonts w:ascii="Palatino Linotype" w:eastAsia="Palatino Linotype" w:hAnsi="Palatino Linotype" w:cs="Palatino Linotype"/>
          <w:b/>
          <w:color w:val="000000"/>
          <w:sz w:val="22"/>
          <w:szCs w:val="22"/>
        </w:rPr>
        <w:t xml:space="preserve">07576/INFOEM/IP/RR/2024 </w:t>
      </w:r>
      <w:r>
        <w:rPr>
          <w:rFonts w:ascii="Palatino Linotype" w:eastAsia="Palatino Linotype" w:hAnsi="Palatino Linotype" w:cs="Palatino Linotype"/>
          <w:color w:val="000000"/>
          <w:sz w:val="22"/>
          <w:szCs w:val="22"/>
        </w:rPr>
        <w:t>en términos de los Considerandos QUINTO y SEXTO</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de la presente Resolución    </w:t>
      </w:r>
    </w:p>
    <w:p w:rsidR="00A87C30" w:rsidRDefault="008469FF">
      <w:pPr>
        <w:pBdr>
          <w:top w:val="nil"/>
          <w:left w:val="nil"/>
          <w:bottom w:val="nil"/>
          <w:right w:val="nil"/>
          <w:between w:val="nil"/>
        </w:pBdr>
        <w:spacing w:line="360" w:lineRule="auto"/>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lastRenderedPageBreak/>
        <w:t xml:space="preserve"> </w:t>
      </w:r>
    </w:p>
    <w:p w:rsidR="00A87C30" w:rsidRDefault="008469F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2"/>
          <w:szCs w:val="22"/>
        </w:rPr>
        <w:t xml:space="preserve">SEGUNDO.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 xml:space="preserve">ORDENA </w:t>
      </w:r>
      <w:r>
        <w:rPr>
          <w:rFonts w:ascii="Palatino Linotype" w:eastAsia="Palatino Linotype" w:hAnsi="Palatino Linotype" w:cs="Palatino Linotype"/>
          <w:sz w:val="22"/>
          <w:szCs w:val="22"/>
        </w:rPr>
        <w:t xml:space="preserve">a la </w:t>
      </w:r>
      <w:r>
        <w:rPr>
          <w:rFonts w:ascii="Palatino Linotype" w:eastAsia="Palatino Linotype" w:hAnsi="Palatino Linotype" w:cs="Palatino Linotype"/>
          <w:b/>
          <w:sz w:val="22"/>
          <w:szCs w:val="22"/>
        </w:rPr>
        <w:t>Secretaría de Finanzas</w:t>
      </w:r>
      <w:r>
        <w:rPr>
          <w:rFonts w:ascii="Palatino Linotype" w:eastAsia="Palatino Linotype" w:hAnsi="Palatino Linotype" w:cs="Palatino Linotype"/>
          <w:sz w:val="22"/>
          <w:szCs w:val="22"/>
        </w:rPr>
        <w:t>, a efecto de que, a través del SAIMEX, entregue, en su caso en versión pública, el documento o documentos, donde consten las acciones realizadas por el Jefe de la UIPPE, para la recopilación, conservación, interpretación y sistematización de la información financiera, económica, programática y presupuestal del primero al siete de noviembre dos mil veinticuatro.</w:t>
      </w:r>
    </w:p>
    <w:p w:rsidR="00A87C30" w:rsidRDefault="00A87C30">
      <w:pPr>
        <w:spacing w:line="360" w:lineRule="auto"/>
        <w:ind w:right="-28"/>
        <w:jc w:val="both"/>
        <w:rPr>
          <w:rFonts w:ascii="Palatino Linotype" w:eastAsia="Palatino Linotype" w:hAnsi="Palatino Linotype" w:cs="Palatino Linotype"/>
          <w:sz w:val="22"/>
          <w:szCs w:val="22"/>
        </w:rPr>
      </w:pPr>
    </w:p>
    <w:p w:rsidR="00A87C30" w:rsidRDefault="008469FF">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ser necesario, junto con las versiones públicas que se entreguen, se deberá proporcionar el Acuerdo de Clasificación donde el Comité de Transparencia, funde y motive la eliminación de la información clasificada como confidencial, en términos de los artículos 49, fracción VIII, 143, fracción I y 149 de la Ley de Transparencia y Acceso a la Información Pública del Estado de México y Municipios.</w:t>
      </w:r>
    </w:p>
    <w:p w:rsidR="00A87C30" w:rsidRDefault="00A87C30">
      <w:pPr>
        <w:spacing w:line="360" w:lineRule="auto"/>
        <w:ind w:right="-28"/>
        <w:jc w:val="both"/>
        <w:rPr>
          <w:rFonts w:ascii="Palatino Linotype" w:eastAsia="Palatino Linotype" w:hAnsi="Palatino Linotype" w:cs="Palatino Linotype"/>
          <w:color w:val="000000"/>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el caso de que no haya generado la información que se ordena entregar dentro del periodo señalado, bastará con que lo haga del conocimiento del Particular de manera precisa y clara.</w:t>
      </w:r>
    </w:p>
    <w:p w:rsidR="00A87C30" w:rsidRDefault="00A87C30">
      <w:pPr>
        <w:spacing w:line="360" w:lineRule="auto"/>
        <w:ind w:right="-28"/>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TERCERO.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 xml:space="preserve">NOTIFÍQUESE POR SAIMEX </w:t>
      </w:r>
      <w:r>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A87C30" w:rsidRDefault="00A87C30">
      <w:pPr>
        <w:spacing w:line="360" w:lineRule="auto"/>
        <w:jc w:val="both"/>
        <w:rPr>
          <w:rFonts w:ascii="Palatino Linotype" w:eastAsia="Palatino Linotype" w:hAnsi="Palatino Linotype" w:cs="Palatino Linotype"/>
          <w:sz w:val="22"/>
          <w:szCs w:val="22"/>
        </w:rPr>
      </w:pPr>
    </w:p>
    <w:p w:rsidR="00A87C30" w:rsidRDefault="008469FF">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CUARTO.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NOTIFÍQUESE POR SAIMEX</w:t>
      </w:r>
      <w:r>
        <w:rPr>
          <w:rFonts w:ascii="Palatino Linotype" w:eastAsia="Palatino Linotype" w:hAnsi="Palatino Linotype" w:cs="Palatino Linotype"/>
          <w:color w:val="000000"/>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A87C30" w:rsidRDefault="008469F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w:t>
      </w:r>
    </w:p>
    <w:p w:rsidR="00A87C30" w:rsidRDefault="008469FF">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LO RESUELVE, POR </w:t>
      </w:r>
      <w:r w:rsidRPr="002B0069">
        <w:rPr>
          <w:rFonts w:ascii="Palatino Linotype" w:eastAsia="Palatino Linotype" w:hAnsi="Palatino Linotype" w:cs="Palatino Linotype"/>
          <w:b/>
          <w:sz w:val="22"/>
          <w:szCs w:val="22"/>
        </w:rPr>
        <w:t>UNANIMIDAD</w:t>
      </w:r>
      <w:r>
        <w:rPr>
          <w:rFonts w:ascii="Palatino Linotype" w:eastAsia="Palatino Linotype" w:hAnsi="Palatino Linotype" w:cs="Palatino Linotype"/>
          <w:sz w:val="22"/>
          <w:szCs w:val="22"/>
        </w:rPr>
        <w:t xml:space="preserve"> DE </w:t>
      </w:r>
      <w:bookmarkStart w:id="2" w:name="_GoBack"/>
      <w:bookmarkEnd w:id="2"/>
      <w:r>
        <w:rPr>
          <w:rFonts w:ascii="Palatino Linotype" w:eastAsia="Palatino Linotype" w:hAnsi="Palatino Linotype" w:cs="Palatino Linotype"/>
          <w:sz w:val="22"/>
          <w:szCs w:val="22"/>
        </w:rPr>
        <w:t>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VEINTIDÓS DE ENERO DE DOS MIL VEINTICINCO, ANTE EL SECRETARIO TÉCNICO DEL PLENO, ALEXIS TAPIA RAMÍREZ.</w:t>
      </w:r>
    </w:p>
    <w:p w:rsidR="00A87C30" w:rsidRDefault="00A87C30">
      <w:pPr>
        <w:spacing w:line="360" w:lineRule="auto"/>
        <w:ind w:right="-93"/>
        <w:jc w:val="both"/>
        <w:rPr>
          <w:rFonts w:ascii="Palatino Linotype" w:eastAsia="Palatino Linotype" w:hAnsi="Palatino Linotype" w:cs="Palatino Linotype"/>
          <w:sz w:val="22"/>
          <w:szCs w:val="22"/>
        </w:rPr>
      </w:pPr>
    </w:p>
    <w:p w:rsidR="00A87C30" w:rsidRDefault="00A87C30">
      <w:pPr>
        <w:spacing w:line="360" w:lineRule="auto"/>
        <w:ind w:right="-93"/>
        <w:jc w:val="both"/>
        <w:rPr>
          <w:rFonts w:ascii="Palatino Linotype" w:eastAsia="Palatino Linotype" w:hAnsi="Palatino Linotype" w:cs="Palatino Linotype"/>
          <w:sz w:val="22"/>
          <w:szCs w:val="22"/>
        </w:rPr>
      </w:pPr>
    </w:p>
    <w:p w:rsidR="00A87C30" w:rsidRDefault="00A87C30">
      <w:pPr>
        <w:spacing w:line="360" w:lineRule="auto"/>
        <w:ind w:right="-93"/>
        <w:jc w:val="both"/>
        <w:rPr>
          <w:rFonts w:ascii="Palatino Linotype" w:eastAsia="Palatino Linotype" w:hAnsi="Palatino Linotype" w:cs="Palatino Linotype"/>
          <w:sz w:val="22"/>
          <w:szCs w:val="22"/>
        </w:rPr>
      </w:pPr>
    </w:p>
    <w:p w:rsidR="00A87C30" w:rsidRDefault="00A87C30">
      <w:pPr>
        <w:spacing w:line="360" w:lineRule="auto"/>
        <w:ind w:right="-93"/>
        <w:jc w:val="both"/>
        <w:rPr>
          <w:rFonts w:ascii="Palatino Linotype" w:eastAsia="Palatino Linotype" w:hAnsi="Palatino Linotype" w:cs="Palatino Linotype"/>
          <w:sz w:val="22"/>
          <w:szCs w:val="22"/>
        </w:rPr>
      </w:pPr>
    </w:p>
    <w:p w:rsidR="00A87C30" w:rsidRDefault="00A87C30">
      <w:pPr>
        <w:spacing w:line="360" w:lineRule="auto"/>
        <w:ind w:right="-93"/>
        <w:jc w:val="both"/>
        <w:rPr>
          <w:rFonts w:ascii="Palatino Linotype" w:eastAsia="Palatino Linotype" w:hAnsi="Palatino Linotype" w:cs="Palatino Linotype"/>
          <w:sz w:val="22"/>
          <w:szCs w:val="22"/>
        </w:rPr>
      </w:pPr>
    </w:p>
    <w:p w:rsidR="00A87C30" w:rsidRDefault="00A87C30">
      <w:pPr>
        <w:spacing w:line="360" w:lineRule="auto"/>
        <w:ind w:right="-93"/>
        <w:jc w:val="both"/>
        <w:rPr>
          <w:rFonts w:ascii="Palatino Linotype" w:eastAsia="Palatino Linotype" w:hAnsi="Palatino Linotype" w:cs="Palatino Linotype"/>
          <w:sz w:val="22"/>
          <w:szCs w:val="22"/>
        </w:rPr>
      </w:pPr>
    </w:p>
    <w:p w:rsidR="00A87C30" w:rsidRDefault="00A87C30">
      <w:pPr>
        <w:tabs>
          <w:tab w:val="center" w:pos="4568"/>
        </w:tabs>
        <w:spacing w:line="360" w:lineRule="auto"/>
        <w:ind w:right="-93"/>
        <w:jc w:val="both"/>
        <w:rPr>
          <w:rFonts w:ascii="Palatino Linotype" w:eastAsia="Palatino Linotype" w:hAnsi="Palatino Linotype" w:cs="Palatino Linotype"/>
          <w:sz w:val="22"/>
          <w:szCs w:val="22"/>
        </w:rPr>
      </w:pPr>
    </w:p>
    <w:p w:rsidR="00A87C30" w:rsidRDefault="00A87C30">
      <w:pPr>
        <w:tabs>
          <w:tab w:val="center" w:pos="4568"/>
        </w:tabs>
        <w:spacing w:line="360" w:lineRule="auto"/>
        <w:ind w:right="-93"/>
        <w:jc w:val="both"/>
        <w:rPr>
          <w:rFonts w:ascii="Palatino Linotype" w:eastAsia="Palatino Linotype" w:hAnsi="Palatino Linotype" w:cs="Palatino Linotype"/>
          <w:sz w:val="22"/>
          <w:szCs w:val="22"/>
        </w:rPr>
      </w:pPr>
    </w:p>
    <w:p w:rsidR="00A87C30" w:rsidRDefault="00A87C30">
      <w:pPr>
        <w:tabs>
          <w:tab w:val="center" w:pos="4568"/>
        </w:tabs>
        <w:spacing w:line="360" w:lineRule="auto"/>
        <w:ind w:right="-93"/>
        <w:jc w:val="both"/>
        <w:rPr>
          <w:rFonts w:ascii="Palatino Linotype" w:eastAsia="Palatino Linotype" w:hAnsi="Palatino Linotype" w:cs="Palatino Linotype"/>
          <w:sz w:val="22"/>
          <w:szCs w:val="22"/>
        </w:rPr>
      </w:pPr>
    </w:p>
    <w:p w:rsidR="00A87C30" w:rsidRDefault="00A87C30">
      <w:pPr>
        <w:tabs>
          <w:tab w:val="center" w:pos="4568"/>
        </w:tabs>
        <w:spacing w:line="360" w:lineRule="auto"/>
        <w:ind w:right="-93"/>
        <w:jc w:val="both"/>
        <w:rPr>
          <w:rFonts w:ascii="Palatino Linotype" w:eastAsia="Palatino Linotype" w:hAnsi="Palatino Linotype" w:cs="Palatino Linotype"/>
          <w:sz w:val="22"/>
          <w:szCs w:val="22"/>
        </w:rPr>
      </w:pPr>
    </w:p>
    <w:p w:rsidR="00A87C30" w:rsidRDefault="00A87C30">
      <w:pPr>
        <w:tabs>
          <w:tab w:val="center" w:pos="4568"/>
        </w:tabs>
        <w:spacing w:line="360" w:lineRule="auto"/>
        <w:ind w:right="-93"/>
        <w:jc w:val="both"/>
        <w:rPr>
          <w:rFonts w:ascii="Palatino Linotype" w:eastAsia="Palatino Linotype" w:hAnsi="Palatino Linotype" w:cs="Palatino Linotype"/>
          <w:sz w:val="22"/>
          <w:szCs w:val="22"/>
        </w:rPr>
      </w:pPr>
    </w:p>
    <w:p w:rsidR="00A87C30" w:rsidRDefault="00A87C30">
      <w:pPr>
        <w:tabs>
          <w:tab w:val="center" w:pos="4568"/>
        </w:tabs>
        <w:spacing w:line="360" w:lineRule="auto"/>
        <w:ind w:right="-93"/>
        <w:jc w:val="both"/>
        <w:rPr>
          <w:rFonts w:ascii="Palatino Linotype" w:eastAsia="Palatino Linotype" w:hAnsi="Palatino Linotype" w:cs="Palatino Linotype"/>
          <w:sz w:val="22"/>
          <w:szCs w:val="22"/>
        </w:rPr>
      </w:pPr>
    </w:p>
    <w:p w:rsidR="00A87C30" w:rsidRDefault="00A87C30">
      <w:pPr>
        <w:tabs>
          <w:tab w:val="center" w:pos="4568"/>
        </w:tabs>
        <w:spacing w:line="360" w:lineRule="auto"/>
        <w:ind w:right="-93"/>
        <w:jc w:val="both"/>
        <w:rPr>
          <w:rFonts w:ascii="Palatino Linotype" w:eastAsia="Palatino Linotype" w:hAnsi="Palatino Linotype" w:cs="Palatino Linotype"/>
          <w:sz w:val="22"/>
          <w:szCs w:val="22"/>
        </w:rPr>
      </w:pPr>
    </w:p>
    <w:p w:rsidR="00A87C30" w:rsidRDefault="00A87C30">
      <w:pPr>
        <w:tabs>
          <w:tab w:val="center" w:pos="4568"/>
        </w:tabs>
        <w:spacing w:line="360" w:lineRule="auto"/>
        <w:ind w:right="-93"/>
        <w:jc w:val="both"/>
        <w:rPr>
          <w:rFonts w:ascii="Palatino Linotype" w:eastAsia="Palatino Linotype" w:hAnsi="Palatino Linotype" w:cs="Palatino Linotype"/>
          <w:sz w:val="22"/>
          <w:szCs w:val="22"/>
        </w:rPr>
      </w:pPr>
    </w:p>
    <w:p w:rsidR="00A87C30" w:rsidRDefault="00A87C30">
      <w:pPr>
        <w:tabs>
          <w:tab w:val="center" w:pos="4568"/>
        </w:tabs>
        <w:spacing w:line="360" w:lineRule="auto"/>
        <w:ind w:right="-93"/>
        <w:jc w:val="both"/>
        <w:rPr>
          <w:rFonts w:ascii="Palatino Linotype" w:eastAsia="Palatino Linotype" w:hAnsi="Palatino Linotype" w:cs="Palatino Linotype"/>
          <w:sz w:val="22"/>
          <w:szCs w:val="22"/>
        </w:rPr>
      </w:pPr>
    </w:p>
    <w:p w:rsidR="00A87C30" w:rsidRDefault="00A87C30">
      <w:pPr>
        <w:tabs>
          <w:tab w:val="center" w:pos="4568"/>
        </w:tabs>
        <w:spacing w:line="360" w:lineRule="auto"/>
        <w:ind w:right="-93"/>
        <w:jc w:val="both"/>
        <w:rPr>
          <w:rFonts w:ascii="Palatino Linotype" w:eastAsia="Palatino Linotype" w:hAnsi="Palatino Linotype" w:cs="Palatino Linotype"/>
          <w:sz w:val="22"/>
          <w:szCs w:val="22"/>
        </w:rPr>
      </w:pPr>
    </w:p>
    <w:p w:rsidR="00A87C30" w:rsidRDefault="00A87C30">
      <w:pPr>
        <w:tabs>
          <w:tab w:val="center" w:pos="4568"/>
        </w:tabs>
        <w:spacing w:line="360" w:lineRule="auto"/>
        <w:ind w:right="-93"/>
        <w:jc w:val="both"/>
        <w:rPr>
          <w:rFonts w:ascii="Palatino Linotype" w:eastAsia="Palatino Linotype" w:hAnsi="Palatino Linotype" w:cs="Palatino Linotype"/>
          <w:sz w:val="22"/>
          <w:szCs w:val="22"/>
        </w:rPr>
      </w:pPr>
    </w:p>
    <w:p w:rsidR="00A87C30" w:rsidRDefault="00A87C30">
      <w:pPr>
        <w:tabs>
          <w:tab w:val="center" w:pos="4568"/>
        </w:tabs>
        <w:spacing w:line="360" w:lineRule="auto"/>
        <w:ind w:right="-93"/>
        <w:jc w:val="both"/>
        <w:rPr>
          <w:rFonts w:ascii="Palatino Linotype" w:eastAsia="Palatino Linotype" w:hAnsi="Palatino Linotype" w:cs="Palatino Linotype"/>
          <w:sz w:val="22"/>
          <w:szCs w:val="22"/>
        </w:rPr>
      </w:pPr>
    </w:p>
    <w:p w:rsidR="00A87C30" w:rsidRDefault="00A87C30">
      <w:pPr>
        <w:tabs>
          <w:tab w:val="center" w:pos="4568"/>
        </w:tabs>
        <w:spacing w:line="360" w:lineRule="auto"/>
        <w:ind w:right="-93"/>
        <w:jc w:val="both"/>
        <w:rPr>
          <w:rFonts w:ascii="Palatino Linotype" w:eastAsia="Palatino Linotype" w:hAnsi="Palatino Linotype" w:cs="Palatino Linotype"/>
          <w:sz w:val="22"/>
          <w:szCs w:val="22"/>
        </w:rPr>
      </w:pPr>
    </w:p>
    <w:p w:rsidR="00A87C30" w:rsidRDefault="00A87C30">
      <w:pPr>
        <w:tabs>
          <w:tab w:val="center" w:pos="4568"/>
        </w:tabs>
        <w:spacing w:line="360" w:lineRule="auto"/>
        <w:ind w:right="-93"/>
        <w:jc w:val="both"/>
        <w:rPr>
          <w:rFonts w:ascii="Palatino Linotype" w:eastAsia="Palatino Linotype" w:hAnsi="Palatino Linotype" w:cs="Palatino Linotype"/>
          <w:sz w:val="22"/>
          <w:szCs w:val="22"/>
        </w:rPr>
      </w:pPr>
    </w:p>
    <w:p w:rsidR="00A87C30" w:rsidRDefault="00A87C30">
      <w:pPr>
        <w:tabs>
          <w:tab w:val="center" w:pos="4568"/>
        </w:tabs>
        <w:spacing w:line="360" w:lineRule="auto"/>
        <w:ind w:right="-93"/>
        <w:jc w:val="both"/>
        <w:rPr>
          <w:rFonts w:ascii="Palatino Linotype" w:eastAsia="Palatino Linotype" w:hAnsi="Palatino Linotype" w:cs="Palatino Linotype"/>
          <w:sz w:val="22"/>
          <w:szCs w:val="22"/>
        </w:rPr>
      </w:pPr>
    </w:p>
    <w:p w:rsidR="00A87C30" w:rsidRDefault="00A87C30">
      <w:pPr>
        <w:tabs>
          <w:tab w:val="center" w:pos="4568"/>
        </w:tabs>
        <w:spacing w:line="360" w:lineRule="auto"/>
        <w:ind w:right="-93"/>
        <w:jc w:val="both"/>
        <w:rPr>
          <w:rFonts w:ascii="Palatino Linotype" w:eastAsia="Palatino Linotype" w:hAnsi="Palatino Linotype" w:cs="Palatino Linotype"/>
          <w:sz w:val="22"/>
          <w:szCs w:val="22"/>
        </w:rPr>
      </w:pPr>
    </w:p>
    <w:p w:rsidR="00A87C30" w:rsidRDefault="00A87C30">
      <w:pPr>
        <w:tabs>
          <w:tab w:val="center" w:pos="4568"/>
        </w:tabs>
        <w:spacing w:line="360" w:lineRule="auto"/>
        <w:ind w:right="-93"/>
        <w:jc w:val="both"/>
        <w:rPr>
          <w:rFonts w:ascii="Palatino Linotype" w:eastAsia="Palatino Linotype" w:hAnsi="Palatino Linotype" w:cs="Palatino Linotype"/>
          <w:sz w:val="22"/>
          <w:szCs w:val="22"/>
        </w:rPr>
      </w:pPr>
    </w:p>
    <w:p w:rsidR="00A87C30" w:rsidRDefault="00A87C30">
      <w:pPr>
        <w:tabs>
          <w:tab w:val="center" w:pos="4568"/>
        </w:tabs>
        <w:spacing w:line="360" w:lineRule="auto"/>
        <w:ind w:right="-93"/>
        <w:jc w:val="both"/>
        <w:rPr>
          <w:rFonts w:ascii="Palatino Linotype" w:eastAsia="Palatino Linotype" w:hAnsi="Palatino Linotype" w:cs="Palatino Linotype"/>
          <w:sz w:val="22"/>
          <w:szCs w:val="22"/>
        </w:rPr>
      </w:pPr>
    </w:p>
    <w:sectPr w:rsidR="00A87C30">
      <w:headerReference w:type="default" r:id="rId8"/>
      <w:footerReference w:type="default" r:id="rId9"/>
      <w:headerReference w:type="first" r:id="rId10"/>
      <w:footerReference w:type="first" r:id="rId11"/>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B94" w:rsidRDefault="005F1B94">
      <w:r>
        <w:separator/>
      </w:r>
    </w:p>
  </w:endnote>
  <w:endnote w:type="continuationSeparator" w:id="0">
    <w:p w:rsidR="005F1B94" w:rsidRDefault="005F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C30" w:rsidRDefault="00A87C30">
    <w:pPr>
      <w:pBdr>
        <w:top w:val="nil"/>
        <w:left w:val="nil"/>
        <w:bottom w:val="nil"/>
        <w:right w:val="nil"/>
        <w:between w:val="nil"/>
      </w:pBdr>
      <w:tabs>
        <w:tab w:val="center" w:pos="4419"/>
        <w:tab w:val="right" w:pos="8838"/>
      </w:tabs>
      <w:jc w:val="right"/>
      <w:rPr>
        <w:color w:val="000000"/>
      </w:rPr>
    </w:pPr>
  </w:p>
  <w:p w:rsidR="00A87C30" w:rsidRDefault="008469FF">
    <w:pPr>
      <w:pBdr>
        <w:top w:val="nil"/>
        <w:left w:val="nil"/>
        <w:bottom w:val="nil"/>
        <w:right w:val="nil"/>
        <w:between w:val="nil"/>
      </w:pBdr>
      <w:tabs>
        <w:tab w:val="center" w:pos="4419"/>
        <w:tab w:val="right" w:pos="8838"/>
      </w:tabs>
      <w:jc w:val="right"/>
      <w:rPr>
        <w:color w:val="000000"/>
      </w:rPr>
    </w:pPr>
    <w:r>
      <w:rPr>
        <w:rFonts w:ascii="Palatino Linotype" w:eastAsia="Palatino Linotype" w:hAnsi="Palatino Linotype" w:cs="Palatino Linotype"/>
        <w:color w:val="000000"/>
      </w:rPr>
      <w:t xml:space="preserve">Página </w:t>
    </w:r>
    <w:r>
      <w:rPr>
        <w:rFonts w:ascii="Palatino Linotype" w:eastAsia="Palatino Linotype" w:hAnsi="Palatino Linotype" w:cs="Palatino Linotype"/>
        <w:b/>
        <w:color w:val="000000"/>
        <w:sz w:val="24"/>
        <w:szCs w:val="24"/>
      </w:rPr>
      <w:fldChar w:fldCharType="begin"/>
    </w:r>
    <w:r>
      <w:rPr>
        <w:rFonts w:ascii="Palatino Linotype" w:eastAsia="Palatino Linotype" w:hAnsi="Palatino Linotype" w:cs="Palatino Linotype"/>
        <w:b/>
        <w:color w:val="000000"/>
        <w:sz w:val="24"/>
        <w:szCs w:val="24"/>
      </w:rPr>
      <w:instrText>PAGE</w:instrText>
    </w:r>
    <w:r>
      <w:rPr>
        <w:rFonts w:ascii="Palatino Linotype" w:eastAsia="Palatino Linotype" w:hAnsi="Palatino Linotype" w:cs="Palatino Linotype"/>
        <w:b/>
        <w:color w:val="000000"/>
        <w:sz w:val="24"/>
        <w:szCs w:val="24"/>
      </w:rPr>
      <w:fldChar w:fldCharType="separate"/>
    </w:r>
    <w:r w:rsidR="007B3C54">
      <w:rPr>
        <w:rFonts w:ascii="Palatino Linotype" w:eastAsia="Palatino Linotype" w:hAnsi="Palatino Linotype" w:cs="Palatino Linotype"/>
        <w:b/>
        <w:noProof/>
        <w:color w:val="000000"/>
        <w:sz w:val="24"/>
        <w:szCs w:val="24"/>
      </w:rPr>
      <w:t>20</w:t>
    </w:r>
    <w:r>
      <w:rPr>
        <w:rFonts w:ascii="Palatino Linotype" w:eastAsia="Palatino Linotype" w:hAnsi="Palatino Linotype" w:cs="Palatino Linotype"/>
        <w:b/>
        <w:color w:val="000000"/>
        <w:sz w:val="24"/>
        <w:szCs w:val="24"/>
      </w:rPr>
      <w:fldChar w:fldCharType="end"/>
    </w:r>
    <w:r>
      <w:rPr>
        <w:rFonts w:ascii="Palatino Linotype" w:eastAsia="Palatino Linotype" w:hAnsi="Palatino Linotype" w:cs="Palatino Linotype"/>
        <w:color w:val="000000"/>
      </w:rPr>
      <w:t xml:space="preserve"> de </w:t>
    </w:r>
    <w:r>
      <w:rPr>
        <w:rFonts w:ascii="Palatino Linotype" w:eastAsia="Palatino Linotype" w:hAnsi="Palatino Linotype" w:cs="Palatino Linotype"/>
        <w:b/>
        <w:color w:val="000000"/>
        <w:sz w:val="24"/>
        <w:szCs w:val="24"/>
      </w:rPr>
      <w:fldChar w:fldCharType="begin"/>
    </w:r>
    <w:r>
      <w:rPr>
        <w:rFonts w:ascii="Palatino Linotype" w:eastAsia="Palatino Linotype" w:hAnsi="Palatino Linotype" w:cs="Palatino Linotype"/>
        <w:b/>
        <w:color w:val="000000"/>
        <w:sz w:val="24"/>
        <w:szCs w:val="24"/>
      </w:rPr>
      <w:instrText>NUMPAGES</w:instrText>
    </w:r>
    <w:r>
      <w:rPr>
        <w:rFonts w:ascii="Palatino Linotype" w:eastAsia="Palatino Linotype" w:hAnsi="Palatino Linotype" w:cs="Palatino Linotype"/>
        <w:b/>
        <w:color w:val="000000"/>
        <w:sz w:val="24"/>
        <w:szCs w:val="24"/>
      </w:rPr>
      <w:fldChar w:fldCharType="separate"/>
    </w:r>
    <w:r w:rsidR="007B3C54">
      <w:rPr>
        <w:rFonts w:ascii="Palatino Linotype" w:eastAsia="Palatino Linotype" w:hAnsi="Palatino Linotype" w:cs="Palatino Linotype"/>
        <w:b/>
        <w:noProof/>
        <w:color w:val="000000"/>
        <w:sz w:val="24"/>
        <w:szCs w:val="24"/>
      </w:rPr>
      <w:t>21</w:t>
    </w:r>
    <w:r>
      <w:rPr>
        <w:rFonts w:ascii="Palatino Linotype" w:eastAsia="Palatino Linotype" w:hAnsi="Palatino Linotype" w:cs="Palatino Linotype"/>
        <w:b/>
        <w:color w:val="000000"/>
        <w:sz w:val="24"/>
        <w:szCs w:val="24"/>
      </w:rPr>
      <w:fldChar w:fldCharType="end"/>
    </w:r>
  </w:p>
  <w:p w:rsidR="00A87C30" w:rsidRDefault="00A87C3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C30" w:rsidRDefault="008469F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B3C5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B3C54">
      <w:rPr>
        <w:b/>
        <w:noProof/>
        <w:color w:val="000000"/>
        <w:sz w:val="24"/>
        <w:szCs w:val="24"/>
      </w:rPr>
      <w:t>21</w:t>
    </w:r>
    <w:r>
      <w:rPr>
        <w:b/>
        <w:color w:val="000000"/>
        <w:sz w:val="24"/>
        <w:szCs w:val="24"/>
      </w:rPr>
      <w:fldChar w:fldCharType="end"/>
    </w:r>
  </w:p>
  <w:p w:rsidR="00A87C30" w:rsidRDefault="00A87C3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B94" w:rsidRDefault="005F1B94">
      <w:r>
        <w:separator/>
      </w:r>
    </w:p>
  </w:footnote>
  <w:footnote w:type="continuationSeparator" w:id="0">
    <w:p w:rsidR="005F1B94" w:rsidRDefault="005F1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C30" w:rsidRDefault="00A87C30">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bl>
    <w:tblPr>
      <w:tblStyle w:val="a"/>
      <w:tblW w:w="7229" w:type="dxa"/>
      <w:tblInd w:w="2552" w:type="dxa"/>
      <w:tblLayout w:type="fixed"/>
      <w:tblLook w:val="0400" w:firstRow="0" w:lastRow="0" w:firstColumn="0" w:lastColumn="0" w:noHBand="0" w:noVBand="1"/>
    </w:tblPr>
    <w:tblGrid>
      <w:gridCol w:w="283"/>
      <w:gridCol w:w="6946"/>
    </w:tblGrid>
    <w:tr w:rsidR="00A87C30">
      <w:trPr>
        <w:trHeight w:val="1435"/>
      </w:trPr>
      <w:tc>
        <w:tcPr>
          <w:tcW w:w="283" w:type="dxa"/>
          <w:shd w:val="clear" w:color="auto" w:fill="auto"/>
        </w:tcPr>
        <w:p w:rsidR="00A87C30" w:rsidRDefault="00A87C30">
          <w:pPr>
            <w:tabs>
              <w:tab w:val="right" w:pos="4273"/>
            </w:tabs>
            <w:rPr>
              <w:rFonts w:ascii="Garamond" w:eastAsia="Garamond" w:hAnsi="Garamond" w:cs="Garamond"/>
              <w:sz w:val="16"/>
              <w:szCs w:val="16"/>
            </w:rPr>
          </w:pPr>
        </w:p>
      </w:tc>
      <w:tc>
        <w:tcPr>
          <w:tcW w:w="6946" w:type="dxa"/>
          <w:shd w:val="clear" w:color="auto" w:fill="auto"/>
        </w:tcPr>
        <w:p w:rsidR="00A87C30" w:rsidRDefault="00A87C30"/>
        <w:tbl>
          <w:tblPr>
            <w:tblStyle w:val="a0"/>
            <w:tblW w:w="6984" w:type="dxa"/>
            <w:tblInd w:w="462" w:type="dxa"/>
            <w:tblBorders>
              <w:top w:val="nil"/>
              <w:left w:val="nil"/>
              <w:bottom w:val="nil"/>
              <w:right w:val="nil"/>
              <w:insideH w:val="nil"/>
              <w:insideV w:val="nil"/>
            </w:tblBorders>
            <w:tblLayout w:type="fixed"/>
            <w:tblLook w:val="0400" w:firstRow="0" w:lastRow="0" w:firstColumn="0" w:lastColumn="0" w:noHBand="0" w:noVBand="1"/>
          </w:tblPr>
          <w:tblGrid>
            <w:gridCol w:w="2722"/>
            <w:gridCol w:w="4262"/>
          </w:tblGrid>
          <w:tr w:rsidR="00A87C30">
            <w:trPr>
              <w:trHeight w:val="99"/>
            </w:trPr>
            <w:tc>
              <w:tcPr>
                <w:tcW w:w="2722" w:type="dxa"/>
              </w:tcPr>
              <w:p w:rsidR="00A87C30" w:rsidRDefault="00A87C30">
                <w:pPr>
                  <w:tabs>
                    <w:tab w:val="right" w:pos="8838"/>
                  </w:tabs>
                  <w:ind w:right="-105"/>
                  <w:rPr>
                    <w:rFonts w:ascii="Palatino Linotype" w:eastAsia="Palatino Linotype" w:hAnsi="Palatino Linotype" w:cs="Palatino Linotype"/>
                    <w:b/>
                    <w:sz w:val="22"/>
                    <w:szCs w:val="22"/>
                  </w:rPr>
                </w:pPr>
              </w:p>
              <w:p w:rsidR="00A87C30" w:rsidRDefault="008469F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62" w:type="dxa"/>
              </w:tcPr>
              <w:p w:rsidR="00A87C30" w:rsidRDefault="00A87C30">
                <w:pPr>
                  <w:tabs>
                    <w:tab w:val="right" w:pos="8838"/>
                  </w:tabs>
                  <w:ind w:left="-28" w:right="171"/>
                  <w:jc w:val="both"/>
                  <w:rPr>
                    <w:rFonts w:ascii="Palatino Linotype" w:eastAsia="Palatino Linotype" w:hAnsi="Palatino Linotype" w:cs="Palatino Linotype"/>
                    <w:sz w:val="22"/>
                    <w:szCs w:val="22"/>
                  </w:rPr>
                </w:pPr>
              </w:p>
              <w:p w:rsidR="00A87C30" w:rsidRDefault="008469FF">
                <w:pPr>
                  <w:tabs>
                    <w:tab w:val="right" w:pos="8838"/>
                  </w:tabs>
                  <w:ind w:left="-2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07576/INFOEM/IP/RR/2024</w:t>
                </w:r>
              </w:p>
            </w:tc>
          </w:tr>
          <w:tr w:rsidR="00A87C30">
            <w:trPr>
              <w:trHeight w:val="195"/>
            </w:trPr>
            <w:tc>
              <w:tcPr>
                <w:tcW w:w="2722" w:type="dxa"/>
              </w:tcPr>
              <w:p w:rsidR="00A87C30" w:rsidRDefault="008469F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62" w:type="dxa"/>
              </w:tcPr>
              <w:p w:rsidR="00A87C30" w:rsidRDefault="008469FF">
                <w:pPr>
                  <w:tabs>
                    <w:tab w:val="left" w:pos="2834"/>
                    <w:tab w:val="right" w:pos="8838"/>
                  </w:tabs>
                  <w:ind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Secretaría de Finanzas </w:t>
                </w:r>
              </w:p>
            </w:tc>
          </w:tr>
          <w:tr w:rsidR="00A87C30">
            <w:trPr>
              <w:trHeight w:val="404"/>
            </w:trPr>
            <w:tc>
              <w:tcPr>
                <w:tcW w:w="2722" w:type="dxa"/>
              </w:tcPr>
              <w:p w:rsidR="00A87C30" w:rsidRDefault="008469F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262" w:type="dxa"/>
              </w:tcPr>
              <w:p w:rsidR="00A87C30" w:rsidRDefault="008469FF">
                <w:pPr>
                  <w:tabs>
                    <w:tab w:val="right" w:pos="8838"/>
                  </w:tabs>
                  <w:ind w:left="-2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rsidR="00A87C30" w:rsidRDefault="00A87C30">
                <w:pPr>
                  <w:tabs>
                    <w:tab w:val="right" w:pos="8838"/>
                  </w:tabs>
                  <w:ind w:left="-28" w:right="171"/>
                  <w:jc w:val="both"/>
                  <w:rPr>
                    <w:rFonts w:ascii="Palatino Linotype" w:eastAsia="Palatino Linotype" w:hAnsi="Palatino Linotype" w:cs="Palatino Linotype"/>
                    <w:sz w:val="22"/>
                    <w:szCs w:val="22"/>
                  </w:rPr>
                </w:pPr>
              </w:p>
              <w:p w:rsidR="00A87C30" w:rsidRDefault="00A87C30">
                <w:pPr>
                  <w:tabs>
                    <w:tab w:val="right" w:pos="8838"/>
                  </w:tabs>
                  <w:ind w:left="-28" w:right="171"/>
                  <w:jc w:val="both"/>
                  <w:rPr>
                    <w:rFonts w:ascii="Palatino Linotype" w:eastAsia="Palatino Linotype" w:hAnsi="Palatino Linotype" w:cs="Palatino Linotype"/>
                    <w:b/>
                    <w:sz w:val="22"/>
                    <w:szCs w:val="22"/>
                  </w:rPr>
                </w:pPr>
              </w:p>
            </w:tc>
          </w:tr>
        </w:tbl>
        <w:p w:rsidR="00A87C30" w:rsidRDefault="00A87C30">
          <w:pPr>
            <w:tabs>
              <w:tab w:val="right" w:pos="8838"/>
            </w:tabs>
            <w:ind w:left="-28"/>
            <w:jc w:val="both"/>
            <w:rPr>
              <w:rFonts w:ascii="Arial" w:eastAsia="Arial" w:hAnsi="Arial" w:cs="Arial"/>
              <w:b/>
              <w:sz w:val="22"/>
              <w:szCs w:val="22"/>
            </w:rPr>
          </w:pPr>
        </w:p>
      </w:tc>
    </w:tr>
  </w:tbl>
  <w:p w:rsidR="00A87C30" w:rsidRDefault="008469FF">
    <w:pPr>
      <w:pBdr>
        <w:top w:val="nil"/>
        <w:left w:val="nil"/>
        <w:bottom w:val="nil"/>
        <w:right w:val="nil"/>
        <w:between w:val="nil"/>
      </w:pBdr>
      <w:tabs>
        <w:tab w:val="center" w:pos="4419"/>
        <w:tab w:val="right" w:pos="8838"/>
        <w:tab w:val="left" w:pos="1467"/>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page">
            <wp:align>left</wp:align>
          </wp:positionH>
          <wp:positionV relativeFrom="page">
            <wp:align>top</wp:align>
          </wp:positionV>
          <wp:extent cx="8426450" cy="10972800"/>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r>
      <w:rPr>
        <w:color w:val="000000"/>
        <w:sz w:val="14"/>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C30" w:rsidRDefault="00A87C30">
    <w:pPr>
      <w:widowControl w:val="0"/>
      <w:pBdr>
        <w:top w:val="nil"/>
        <w:left w:val="nil"/>
        <w:bottom w:val="nil"/>
        <w:right w:val="nil"/>
        <w:between w:val="nil"/>
      </w:pBdr>
      <w:spacing w:line="276" w:lineRule="auto"/>
      <w:rPr>
        <w:color w:val="000000"/>
        <w:sz w:val="14"/>
        <w:szCs w:val="14"/>
      </w:rPr>
    </w:pPr>
  </w:p>
  <w:tbl>
    <w:tblPr>
      <w:tblStyle w:val="a1"/>
      <w:tblW w:w="6657" w:type="dxa"/>
      <w:tblInd w:w="3119" w:type="dxa"/>
      <w:tblLayout w:type="fixed"/>
      <w:tblLook w:val="0400" w:firstRow="0" w:lastRow="0" w:firstColumn="0" w:lastColumn="0" w:noHBand="0" w:noVBand="1"/>
    </w:tblPr>
    <w:tblGrid>
      <w:gridCol w:w="6657"/>
    </w:tblGrid>
    <w:tr w:rsidR="00A87C30">
      <w:trPr>
        <w:trHeight w:val="1435"/>
      </w:trPr>
      <w:tc>
        <w:tcPr>
          <w:tcW w:w="6657" w:type="dxa"/>
          <w:shd w:val="clear" w:color="auto" w:fill="auto"/>
        </w:tcPr>
        <w:p w:rsidR="00A87C30" w:rsidRDefault="00A87C30">
          <w:pPr>
            <w:widowControl w:val="0"/>
            <w:pBdr>
              <w:top w:val="nil"/>
              <w:left w:val="nil"/>
              <w:bottom w:val="nil"/>
              <w:right w:val="nil"/>
              <w:between w:val="nil"/>
            </w:pBdr>
            <w:spacing w:line="276" w:lineRule="auto"/>
            <w:rPr>
              <w:color w:val="000000"/>
              <w:sz w:val="14"/>
              <w:szCs w:val="14"/>
            </w:rPr>
          </w:pPr>
        </w:p>
        <w:tbl>
          <w:tblPr>
            <w:tblStyle w:val="a2"/>
            <w:tblW w:w="598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56"/>
            <w:gridCol w:w="3425"/>
          </w:tblGrid>
          <w:tr w:rsidR="00A87C30">
            <w:trPr>
              <w:trHeight w:val="144"/>
            </w:trPr>
            <w:tc>
              <w:tcPr>
                <w:tcW w:w="2556" w:type="dxa"/>
              </w:tcPr>
              <w:p w:rsidR="00A87C30" w:rsidRDefault="008469FF">
                <w:pPr>
                  <w:tabs>
                    <w:tab w:val="right" w:pos="8838"/>
                  </w:tabs>
                  <w:ind w:left="-74" w:right="-105"/>
                  <w:rPr>
                    <w:rFonts w:ascii="Palatino Linotype" w:eastAsia="Palatino Linotype" w:hAnsi="Palatino Linotype" w:cs="Palatino Linotype"/>
                    <w:b/>
                    <w:sz w:val="22"/>
                    <w:szCs w:val="22"/>
                  </w:rPr>
                </w:pPr>
                <w:bookmarkStart w:id="3" w:name="_heading=h.1fob9te" w:colFirst="0" w:colLast="0"/>
                <w:bookmarkEnd w:id="3"/>
                <w:r>
                  <w:rPr>
                    <w:rFonts w:ascii="Palatino Linotype" w:eastAsia="Palatino Linotype" w:hAnsi="Palatino Linotype" w:cs="Palatino Linotype"/>
                    <w:b/>
                    <w:sz w:val="22"/>
                    <w:szCs w:val="22"/>
                  </w:rPr>
                  <w:t>Recurso de Revisión:</w:t>
                </w:r>
              </w:p>
            </w:tc>
            <w:tc>
              <w:tcPr>
                <w:tcW w:w="3425" w:type="dxa"/>
              </w:tcPr>
              <w:p w:rsidR="00A87C30" w:rsidRDefault="008469FF">
                <w:pPr>
                  <w:tabs>
                    <w:tab w:val="right" w:pos="8838"/>
                  </w:tabs>
                  <w:ind w:left="-106"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07576/INFOEM/IP/RR/2024</w:t>
                </w:r>
              </w:p>
            </w:tc>
          </w:tr>
          <w:tr w:rsidR="00A87C30">
            <w:trPr>
              <w:trHeight w:val="144"/>
            </w:trPr>
            <w:tc>
              <w:tcPr>
                <w:tcW w:w="2556" w:type="dxa"/>
              </w:tcPr>
              <w:p w:rsidR="00A87C30" w:rsidRDefault="008469FF">
                <w:pPr>
                  <w:tabs>
                    <w:tab w:val="right" w:pos="8838"/>
                  </w:tabs>
                  <w:ind w:left="-74" w:right="-105"/>
                  <w:rPr>
                    <w:rFonts w:ascii="Palatino Linotype" w:eastAsia="Palatino Linotype" w:hAnsi="Palatino Linotype" w:cs="Palatino Linotype"/>
                    <w:b/>
                    <w:sz w:val="22"/>
                    <w:szCs w:val="22"/>
                  </w:rPr>
                </w:pPr>
                <w:bookmarkStart w:id="4" w:name="_heading=h.3znysh7" w:colFirst="0" w:colLast="0"/>
                <w:bookmarkEnd w:id="4"/>
                <w:r>
                  <w:rPr>
                    <w:rFonts w:ascii="Palatino Linotype" w:eastAsia="Palatino Linotype" w:hAnsi="Palatino Linotype" w:cs="Palatino Linotype"/>
                    <w:b/>
                    <w:sz w:val="22"/>
                    <w:szCs w:val="22"/>
                  </w:rPr>
                  <w:t>Recurrente:</w:t>
                </w:r>
              </w:p>
            </w:tc>
            <w:tc>
              <w:tcPr>
                <w:tcW w:w="3425" w:type="dxa"/>
              </w:tcPr>
              <w:p w:rsidR="00A87C30" w:rsidRDefault="00A87C30">
                <w:pPr>
                  <w:tabs>
                    <w:tab w:val="left" w:pos="3122"/>
                    <w:tab w:val="right" w:pos="8838"/>
                  </w:tabs>
                  <w:ind w:left="-105" w:right="-105"/>
                  <w:jc w:val="both"/>
                  <w:rPr>
                    <w:rFonts w:ascii="Palatino Linotype" w:eastAsia="Palatino Linotype" w:hAnsi="Palatino Linotype" w:cs="Palatino Linotype"/>
                    <w:sz w:val="22"/>
                    <w:szCs w:val="22"/>
                  </w:rPr>
                </w:pPr>
              </w:p>
            </w:tc>
          </w:tr>
          <w:tr w:rsidR="00A87C30">
            <w:trPr>
              <w:trHeight w:val="283"/>
            </w:trPr>
            <w:tc>
              <w:tcPr>
                <w:tcW w:w="2556" w:type="dxa"/>
              </w:tcPr>
              <w:p w:rsidR="00A87C30" w:rsidRDefault="008469FF">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25" w:type="dxa"/>
              </w:tcPr>
              <w:p w:rsidR="00A87C30" w:rsidRDefault="008469FF">
                <w:pPr>
                  <w:tabs>
                    <w:tab w:val="left" w:pos="2834"/>
                    <w:tab w:val="right" w:pos="8838"/>
                  </w:tabs>
                  <w:ind w:left="-118"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Secretaría de Finanzas</w:t>
                </w:r>
              </w:p>
            </w:tc>
          </w:tr>
          <w:tr w:rsidR="00A87C30">
            <w:trPr>
              <w:trHeight w:val="283"/>
            </w:trPr>
            <w:tc>
              <w:tcPr>
                <w:tcW w:w="2556" w:type="dxa"/>
              </w:tcPr>
              <w:p w:rsidR="00A87C30" w:rsidRDefault="008469FF">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425" w:type="dxa"/>
              </w:tcPr>
              <w:p w:rsidR="00A87C30" w:rsidRDefault="008469FF">
                <w:pPr>
                  <w:tabs>
                    <w:tab w:val="right" w:pos="8838"/>
                  </w:tabs>
                  <w:ind w:left="-108"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A87C30" w:rsidRDefault="00A87C30">
          <w:pPr>
            <w:tabs>
              <w:tab w:val="right" w:pos="8838"/>
            </w:tabs>
            <w:ind w:left="-28"/>
            <w:jc w:val="both"/>
            <w:rPr>
              <w:rFonts w:ascii="Arial" w:eastAsia="Arial" w:hAnsi="Arial" w:cs="Arial"/>
              <w:b/>
              <w:sz w:val="22"/>
              <w:szCs w:val="22"/>
            </w:rPr>
          </w:pPr>
        </w:p>
      </w:tc>
    </w:tr>
  </w:tbl>
  <w:p w:rsidR="00A87C30" w:rsidRDefault="005F1B94">
    <w:pPr>
      <w:pBdr>
        <w:top w:val="nil"/>
        <w:left w:val="nil"/>
        <w:bottom w:val="nil"/>
        <w:right w:val="nil"/>
        <w:between w:val="nil"/>
      </w:pBdr>
      <w:tabs>
        <w:tab w:val="center" w:pos="4419"/>
        <w:tab w:val="right" w:pos="8838"/>
      </w:tabs>
      <w:rPr>
        <w:color w:val="000000"/>
        <w:sz w:val="22"/>
        <w:szCs w:val="22"/>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4.7pt;margin-top:-126.75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633617"/>
    <w:multiLevelType w:val="multilevel"/>
    <w:tmpl w:val="80CEE43E"/>
    <w:lvl w:ilvl="0">
      <w:start w:val="1"/>
      <w:numFmt w:val="decimal"/>
      <w:pStyle w:val="Listaconvietas2"/>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C30"/>
    <w:rsid w:val="002934BE"/>
    <w:rsid w:val="002B0069"/>
    <w:rsid w:val="005F1B94"/>
    <w:rsid w:val="007B3C54"/>
    <w:rsid w:val="008469FF"/>
    <w:rsid w:val="00A87C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C05170F-214D-4F75-BD65-E03F5661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633"/>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515FA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897BD9"/>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customStyle="1" w:styleId="xmsonormal">
    <w:name w:val="x_msonormal"/>
    <w:basedOn w:val="Normal"/>
    <w:rsid w:val="00DB69D1"/>
    <w:pPr>
      <w:spacing w:before="100" w:beforeAutospacing="1" w:after="100" w:afterAutospacing="1"/>
    </w:pPr>
    <w:rPr>
      <w:sz w:val="24"/>
      <w:szCs w:val="24"/>
      <w:lang w:eastAsia="es-MX"/>
    </w:rPr>
  </w:style>
  <w:style w:type="character" w:customStyle="1" w:styleId="Ttulo2Car">
    <w:name w:val="Título 2 Car"/>
    <w:basedOn w:val="Fuentedeprrafopredeter"/>
    <w:link w:val="Ttulo2"/>
    <w:uiPriority w:val="9"/>
    <w:semiHidden/>
    <w:rsid w:val="00515FAC"/>
    <w:rPr>
      <w:rFonts w:asciiTheme="majorHAnsi" w:eastAsiaTheme="majorEastAsia" w:hAnsiTheme="majorHAnsi" w:cstheme="majorBidi"/>
      <w:color w:val="2F5496" w:themeColor="accent1" w:themeShade="BF"/>
      <w:sz w:val="26"/>
      <w:szCs w:val="26"/>
      <w:lang w:eastAsia="es-ES"/>
    </w:rPr>
  </w:style>
  <w:style w:type="character" w:customStyle="1" w:styleId="Ttulo4Car">
    <w:name w:val="Título 4 Car"/>
    <w:basedOn w:val="Fuentedeprrafopredeter"/>
    <w:link w:val="Ttulo4"/>
    <w:uiPriority w:val="9"/>
    <w:semiHidden/>
    <w:rsid w:val="00897BD9"/>
    <w:rPr>
      <w:rFonts w:asciiTheme="majorHAnsi" w:eastAsiaTheme="majorEastAsia" w:hAnsiTheme="majorHAnsi" w:cstheme="majorBidi"/>
      <w:i/>
      <w:iCs/>
      <w:color w:val="2F5496" w:themeColor="accent1" w:themeShade="BF"/>
      <w:sz w:val="20"/>
      <w:szCs w:val="20"/>
      <w:lang w:eastAsia="es-ES"/>
    </w:rPr>
  </w:style>
  <w:style w:type="character" w:customStyle="1" w:styleId="normaltextrun">
    <w:name w:val="normaltextrun"/>
    <w:basedOn w:val="Fuentedeprrafopredeter"/>
    <w:rsid w:val="00053196"/>
  </w:style>
  <w:style w:type="character" w:customStyle="1" w:styleId="Mencinsinresolver1">
    <w:name w:val="Mención sin resolver1"/>
    <w:basedOn w:val="Fuentedeprrafopredeter"/>
    <w:uiPriority w:val="99"/>
    <w:semiHidden/>
    <w:unhideWhenUsed/>
    <w:rsid w:val="00C56A84"/>
    <w:rPr>
      <w:color w:val="605E5C"/>
      <w:shd w:val="clear" w:color="auto" w:fill="E1DFDD"/>
    </w:rPr>
  </w:style>
  <w:style w:type="character" w:customStyle="1" w:styleId="Mencinsinresolver2">
    <w:name w:val="Mención sin resolver2"/>
    <w:basedOn w:val="Fuentedeprrafopredeter"/>
    <w:uiPriority w:val="99"/>
    <w:semiHidden/>
    <w:unhideWhenUsed/>
    <w:rsid w:val="008D2EE9"/>
    <w:rPr>
      <w:color w:val="605E5C"/>
      <w:shd w:val="clear" w:color="auto" w:fill="E1DFDD"/>
    </w:rPr>
  </w:style>
  <w:style w:type="character" w:customStyle="1" w:styleId="eop">
    <w:name w:val="eop"/>
    <w:basedOn w:val="Fuentedeprrafopredeter"/>
    <w:rsid w:val="00135453"/>
  </w:style>
  <w:style w:type="paragraph" w:customStyle="1" w:styleId="paragraph">
    <w:name w:val="paragraph"/>
    <w:basedOn w:val="Normal"/>
    <w:rsid w:val="00135453"/>
    <w:pPr>
      <w:spacing w:before="100" w:beforeAutospacing="1" w:after="100" w:afterAutospacing="1"/>
    </w:pPr>
    <w:rPr>
      <w:sz w:val="24"/>
      <w:szCs w:val="24"/>
      <w:lang w:eastAsia="es-MX"/>
    </w:rPr>
  </w:style>
  <w:style w:type="character" w:customStyle="1" w:styleId="findhit">
    <w:name w:val="findhit"/>
    <w:basedOn w:val="Fuentedeprrafopredeter"/>
    <w:rsid w:val="00135453"/>
  </w:style>
  <w:style w:type="character" w:customStyle="1" w:styleId="titulorubrolgt">
    <w:name w:val="titulorubrolgt"/>
    <w:basedOn w:val="Fuentedeprrafopredeter"/>
    <w:rsid w:val="00024A96"/>
  </w:style>
  <w:style w:type="character" w:customStyle="1" w:styleId="ctr">
    <w:name w:val="ctr"/>
    <w:basedOn w:val="Fuentedeprrafopredeter"/>
    <w:rsid w:val="00024A96"/>
  </w:style>
  <w:style w:type="paragraph" w:styleId="Revisin">
    <w:name w:val="Revision"/>
    <w:hidden/>
    <w:uiPriority w:val="99"/>
    <w:semiHidden/>
    <w:rsid w:val="0058591C"/>
    <w:rPr>
      <w:lang w:eastAsia="es-ES"/>
    </w:rPr>
  </w:style>
  <w:style w:type="character" w:customStyle="1" w:styleId="Mencinsinresolver3">
    <w:name w:val="Mención sin resolver3"/>
    <w:basedOn w:val="Fuentedeprrafopredeter"/>
    <w:uiPriority w:val="99"/>
    <w:semiHidden/>
    <w:unhideWhenUsed/>
    <w:rsid w:val="00727A1C"/>
    <w:rPr>
      <w:color w:val="605E5C"/>
      <w:shd w:val="clear" w:color="auto" w:fill="E1DFDD"/>
    </w:rPr>
  </w:style>
  <w:style w:type="character" w:customStyle="1" w:styleId="Mencinsinresolver4">
    <w:name w:val="Mención sin resolver4"/>
    <w:basedOn w:val="Fuentedeprrafopredeter"/>
    <w:uiPriority w:val="99"/>
    <w:semiHidden/>
    <w:unhideWhenUsed/>
    <w:rsid w:val="003D7425"/>
    <w:rPr>
      <w:color w:val="605E5C"/>
      <w:shd w:val="clear" w:color="auto" w:fill="E1DFDD"/>
    </w:rPr>
  </w:style>
  <w:style w:type="character" w:customStyle="1" w:styleId="Mencinsinresolver5">
    <w:name w:val="Mención sin resolver5"/>
    <w:basedOn w:val="Fuentedeprrafopredeter"/>
    <w:uiPriority w:val="99"/>
    <w:semiHidden/>
    <w:unhideWhenUsed/>
    <w:rsid w:val="00BA593A"/>
    <w:rPr>
      <w:color w:val="605E5C"/>
      <w:shd w:val="clear" w:color="auto" w:fill="E1DFDD"/>
    </w:rPr>
  </w:style>
  <w:style w:type="character" w:customStyle="1" w:styleId="Mencinsinresolver6">
    <w:name w:val="Mención sin resolver6"/>
    <w:basedOn w:val="Fuentedeprrafopredeter"/>
    <w:uiPriority w:val="99"/>
    <w:semiHidden/>
    <w:unhideWhenUsed/>
    <w:rsid w:val="009F656D"/>
    <w:rPr>
      <w:color w:val="605E5C"/>
      <w:shd w:val="clear" w:color="auto" w:fill="E1DFDD"/>
    </w:rPr>
  </w:style>
  <w:style w:type="character" w:customStyle="1" w:styleId="Mencinsinresolver7">
    <w:name w:val="Mención sin resolver7"/>
    <w:basedOn w:val="Fuentedeprrafopredeter"/>
    <w:uiPriority w:val="99"/>
    <w:semiHidden/>
    <w:unhideWhenUsed/>
    <w:rsid w:val="00F7496F"/>
    <w:rPr>
      <w:color w:val="605E5C"/>
      <w:shd w:val="clear" w:color="auto" w:fill="E1DFDD"/>
    </w:rPr>
  </w:style>
  <w:style w:type="character" w:customStyle="1" w:styleId="Mencinsinresolver8">
    <w:name w:val="Mención sin resolver8"/>
    <w:basedOn w:val="Fuentedeprrafopredeter"/>
    <w:uiPriority w:val="99"/>
    <w:semiHidden/>
    <w:unhideWhenUsed/>
    <w:rsid w:val="00182252"/>
    <w:rPr>
      <w:color w:val="605E5C"/>
      <w:shd w:val="clear" w:color="auto" w:fill="E1DFDD"/>
    </w:rPr>
  </w:style>
  <w:style w:type="table" w:customStyle="1" w:styleId="Tablaconcuadrcula11">
    <w:name w:val="Tabla con cuadrícula11"/>
    <w:basedOn w:val="Tablanormal"/>
    <w:next w:val="Tablaconcuadrcula"/>
    <w:uiPriority w:val="59"/>
    <w:rsid w:val="004C0C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0whGt1r0Pz9AoskO+UfwdXw+wQ==">CgMxLjAyCGguZ2pkZ3hzMgloLjMwajB6bGwyCWguMWZvYjl0ZTIJaC4zem55c2g3OAByITFuMWtQbnBjNnRJX2lyX2Vlc0hya3VzdWJ4V0hOb09McQ==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4766</Words>
  <Characters>26219</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Ivette Razo De La Paz</dc:creator>
  <cp:lastModifiedBy>USUARIO</cp:lastModifiedBy>
  <cp:revision>3</cp:revision>
  <cp:lastPrinted>2025-01-24T00:22:00Z</cp:lastPrinted>
  <dcterms:created xsi:type="dcterms:W3CDTF">2025-01-24T00:22:00Z</dcterms:created>
  <dcterms:modified xsi:type="dcterms:W3CDTF">2025-01-24T00:29:00Z</dcterms:modified>
</cp:coreProperties>
</file>