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2ADB1E" w14:textId="77777777" w:rsidR="00CB7C2B" w:rsidRDefault="00CB7C2B" w:rsidP="00AE1806">
      <w:pPr>
        <w:pStyle w:val="TtuloTDC"/>
        <w:spacing w:before="0" w:line="360" w:lineRule="auto"/>
        <w:ind w:left="708" w:hanging="708"/>
        <w:contextualSpacing/>
        <w:rPr>
          <w:rFonts w:ascii="Palatino Linotype" w:eastAsia="Palatino Linotype" w:hAnsi="Palatino Linotype" w:cs="Palatino Linotype"/>
          <w:color w:val="000000" w:themeColor="text1"/>
          <w:sz w:val="22"/>
          <w:szCs w:val="22"/>
          <w:lang w:val="es-ES" w:eastAsia="es-ES"/>
        </w:rPr>
      </w:pPr>
      <w:bookmarkStart w:id="0" w:name="_Hlk196321724"/>
      <w:bookmarkEnd w:id="0"/>
    </w:p>
    <w:sdt>
      <w:sdtPr>
        <w:rPr>
          <w:rFonts w:ascii="Palatino Linotype" w:eastAsia="Palatino Linotype" w:hAnsi="Palatino Linotype" w:cs="Palatino Linotype"/>
          <w:color w:val="000000" w:themeColor="text1"/>
          <w:sz w:val="22"/>
          <w:szCs w:val="22"/>
          <w:lang w:val="es-ES" w:eastAsia="es-ES"/>
        </w:rPr>
        <w:id w:val="789625836"/>
        <w:docPartObj>
          <w:docPartGallery w:val="Table of Contents"/>
          <w:docPartUnique/>
        </w:docPartObj>
      </w:sdtPr>
      <w:sdtEndPr>
        <w:rPr>
          <w:rFonts w:eastAsia="Times New Roman" w:cs="Times New Roman"/>
          <w:b/>
          <w:bCs/>
          <w:color w:val="auto"/>
          <w:sz w:val="20"/>
          <w:szCs w:val="20"/>
        </w:rPr>
      </w:sdtEndPr>
      <w:sdtContent>
        <w:p w14:paraId="7724D4DA" w14:textId="3471FE32" w:rsidR="00CB7C2B" w:rsidRPr="00490E2E" w:rsidRDefault="00CB7C2B" w:rsidP="00AE1806">
          <w:pPr>
            <w:pStyle w:val="TtuloTDC"/>
            <w:spacing w:before="0" w:line="360" w:lineRule="auto"/>
            <w:contextualSpacing/>
            <w:jc w:val="center"/>
            <w:rPr>
              <w:rFonts w:ascii="Palatino Linotype" w:hAnsi="Palatino Linotype"/>
              <w:color w:val="auto"/>
              <w:sz w:val="22"/>
              <w:szCs w:val="22"/>
            </w:rPr>
          </w:pPr>
          <w:r w:rsidRPr="00490E2E">
            <w:rPr>
              <w:rFonts w:ascii="Palatino Linotype" w:hAnsi="Palatino Linotype"/>
              <w:color w:val="auto"/>
              <w:sz w:val="22"/>
              <w:szCs w:val="22"/>
              <w:lang w:val="es-ES"/>
            </w:rPr>
            <w:t xml:space="preserve">RESOLUCIÓN DEL RECURSO DE REVISIÓN </w:t>
          </w:r>
          <w:r w:rsidRPr="00490E2E">
            <w:rPr>
              <w:rFonts w:ascii="Palatino Linotype" w:hAnsi="Palatino Linotype"/>
              <w:color w:val="auto"/>
              <w:sz w:val="22"/>
              <w:szCs w:val="22"/>
            </w:rPr>
            <w:t>06821/INFOEM/IP/RR/2025</w:t>
          </w:r>
        </w:p>
        <w:p w14:paraId="5B06AFEC" w14:textId="77777777" w:rsidR="00CB7C2B" w:rsidRPr="00490E2E" w:rsidRDefault="00CB7C2B" w:rsidP="00AE1806">
          <w:pPr>
            <w:pStyle w:val="TtuloTDC"/>
            <w:spacing w:before="0" w:line="360" w:lineRule="auto"/>
            <w:contextualSpacing/>
            <w:rPr>
              <w:rFonts w:ascii="Palatino Linotype" w:hAnsi="Palatino Linotype"/>
              <w:color w:val="auto"/>
              <w:sz w:val="22"/>
              <w:szCs w:val="22"/>
            </w:rPr>
          </w:pPr>
        </w:p>
        <w:p w14:paraId="321F94F5" w14:textId="265F2F49" w:rsidR="005F6E78" w:rsidRPr="00490E2E" w:rsidRDefault="00CB7C2B">
          <w:pPr>
            <w:pStyle w:val="TDC1"/>
            <w:tabs>
              <w:tab w:val="right" w:leader="dot" w:pos="8828"/>
            </w:tabs>
            <w:rPr>
              <w:rFonts w:cstheme="minorBidi"/>
              <w:noProof/>
            </w:rPr>
          </w:pPr>
          <w:r w:rsidRPr="00490E2E">
            <w:rPr>
              <w:rFonts w:ascii="Palatino Linotype" w:eastAsia="Palatino Linotype" w:hAnsi="Palatino Linotype" w:cs="Palatino Linotype"/>
              <w:color w:val="000000" w:themeColor="text1"/>
            </w:rPr>
            <w:fldChar w:fldCharType="begin"/>
          </w:r>
          <w:r w:rsidRPr="00490E2E">
            <w:rPr>
              <w:rFonts w:ascii="Palatino Linotype" w:hAnsi="Palatino Linotype"/>
            </w:rPr>
            <w:instrText xml:space="preserve"> TOC \o "1-3" \h \z \u </w:instrText>
          </w:r>
          <w:r w:rsidRPr="00490E2E">
            <w:rPr>
              <w:rFonts w:ascii="Palatino Linotype" w:eastAsia="Palatino Linotype" w:hAnsi="Palatino Linotype" w:cs="Palatino Linotype"/>
              <w:color w:val="000000" w:themeColor="text1"/>
            </w:rPr>
            <w:fldChar w:fldCharType="separate"/>
          </w:r>
          <w:hyperlink w:anchor="_Toc205479210" w:history="1">
            <w:r w:rsidR="005F6E78" w:rsidRPr="00490E2E">
              <w:rPr>
                <w:rStyle w:val="Hipervnculo"/>
                <w:rFonts w:ascii="Palatino Linotype" w:hAnsi="Palatino Linotype"/>
                <w:bCs/>
                <w:noProof/>
              </w:rPr>
              <w:t>A N T E C E D E N T E S</w:t>
            </w:r>
            <w:r w:rsidR="005F6E78" w:rsidRPr="00490E2E">
              <w:rPr>
                <w:noProof/>
                <w:webHidden/>
              </w:rPr>
              <w:tab/>
            </w:r>
            <w:r w:rsidR="005F6E78" w:rsidRPr="00490E2E">
              <w:rPr>
                <w:noProof/>
                <w:webHidden/>
              </w:rPr>
              <w:fldChar w:fldCharType="begin"/>
            </w:r>
            <w:r w:rsidR="005F6E78" w:rsidRPr="00490E2E">
              <w:rPr>
                <w:noProof/>
                <w:webHidden/>
              </w:rPr>
              <w:instrText xml:space="preserve"> PAGEREF _Toc205479210 \h </w:instrText>
            </w:r>
            <w:r w:rsidR="005F6E78" w:rsidRPr="00490E2E">
              <w:rPr>
                <w:noProof/>
                <w:webHidden/>
              </w:rPr>
            </w:r>
            <w:r w:rsidR="005F6E78" w:rsidRPr="00490E2E">
              <w:rPr>
                <w:noProof/>
                <w:webHidden/>
              </w:rPr>
              <w:fldChar w:fldCharType="separate"/>
            </w:r>
            <w:r w:rsidR="006E70A2">
              <w:rPr>
                <w:noProof/>
                <w:webHidden/>
              </w:rPr>
              <w:t>2</w:t>
            </w:r>
            <w:r w:rsidR="005F6E78" w:rsidRPr="00490E2E">
              <w:rPr>
                <w:noProof/>
                <w:webHidden/>
              </w:rPr>
              <w:fldChar w:fldCharType="end"/>
            </w:r>
          </w:hyperlink>
        </w:p>
        <w:p w14:paraId="00A25AC4" w14:textId="6E4FF073" w:rsidR="005F6E78" w:rsidRPr="00490E2E" w:rsidRDefault="005F6E78">
          <w:pPr>
            <w:pStyle w:val="TDC2"/>
            <w:rPr>
              <w:rFonts w:cstheme="minorBidi"/>
              <w:noProof/>
            </w:rPr>
          </w:pPr>
          <w:hyperlink w:anchor="_Toc205479211" w:history="1">
            <w:r w:rsidRPr="00490E2E">
              <w:rPr>
                <w:rStyle w:val="Hipervnculo"/>
                <w:rFonts w:ascii="Palatino Linotype" w:hAnsi="Palatino Linotype"/>
                <w:bCs/>
                <w:noProof/>
              </w:rPr>
              <w:t>I. Presentación de la solicitud de información</w:t>
            </w:r>
            <w:r w:rsidRPr="00490E2E">
              <w:rPr>
                <w:noProof/>
                <w:webHidden/>
              </w:rPr>
              <w:tab/>
            </w:r>
            <w:r w:rsidRPr="00490E2E">
              <w:rPr>
                <w:noProof/>
                <w:webHidden/>
              </w:rPr>
              <w:fldChar w:fldCharType="begin"/>
            </w:r>
            <w:r w:rsidRPr="00490E2E">
              <w:rPr>
                <w:noProof/>
                <w:webHidden/>
              </w:rPr>
              <w:instrText xml:space="preserve"> PAGEREF _Toc205479211 \h </w:instrText>
            </w:r>
            <w:r w:rsidRPr="00490E2E">
              <w:rPr>
                <w:noProof/>
                <w:webHidden/>
              </w:rPr>
            </w:r>
            <w:r w:rsidRPr="00490E2E">
              <w:rPr>
                <w:noProof/>
                <w:webHidden/>
              </w:rPr>
              <w:fldChar w:fldCharType="separate"/>
            </w:r>
            <w:r w:rsidR="006E70A2">
              <w:rPr>
                <w:noProof/>
                <w:webHidden/>
              </w:rPr>
              <w:t>2</w:t>
            </w:r>
            <w:r w:rsidRPr="00490E2E">
              <w:rPr>
                <w:noProof/>
                <w:webHidden/>
              </w:rPr>
              <w:fldChar w:fldCharType="end"/>
            </w:r>
          </w:hyperlink>
        </w:p>
        <w:p w14:paraId="6F80C9EC" w14:textId="21EEF900" w:rsidR="005F6E78" w:rsidRPr="00490E2E" w:rsidRDefault="005F6E78">
          <w:pPr>
            <w:pStyle w:val="TDC2"/>
            <w:rPr>
              <w:rFonts w:cstheme="minorBidi"/>
              <w:noProof/>
            </w:rPr>
          </w:pPr>
          <w:hyperlink w:anchor="_Toc205479212" w:history="1">
            <w:r w:rsidRPr="00490E2E">
              <w:rPr>
                <w:rStyle w:val="Hipervnculo"/>
                <w:rFonts w:ascii="Palatino Linotype" w:hAnsi="Palatino Linotype"/>
                <w:noProof/>
              </w:rPr>
              <w:t xml:space="preserve">II. </w:t>
            </w:r>
            <w:r w:rsidRPr="00490E2E">
              <w:rPr>
                <w:rStyle w:val="Hipervnculo"/>
                <w:rFonts w:ascii="Palatino Linotype" w:hAnsi="Palatino Linotype"/>
                <w:bCs/>
                <w:noProof/>
              </w:rPr>
              <w:t>Respuesta del Sujeto Obligado</w:t>
            </w:r>
            <w:r w:rsidRPr="00490E2E">
              <w:rPr>
                <w:noProof/>
                <w:webHidden/>
              </w:rPr>
              <w:tab/>
            </w:r>
            <w:r w:rsidRPr="00490E2E">
              <w:rPr>
                <w:noProof/>
                <w:webHidden/>
              </w:rPr>
              <w:fldChar w:fldCharType="begin"/>
            </w:r>
            <w:r w:rsidRPr="00490E2E">
              <w:rPr>
                <w:noProof/>
                <w:webHidden/>
              </w:rPr>
              <w:instrText xml:space="preserve"> PAGEREF _Toc205479212 \h </w:instrText>
            </w:r>
            <w:r w:rsidRPr="00490E2E">
              <w:rPr>
                <w:noProof/>
                <w:webHidden/>
              </w:rPr>
            </w:r>
            <w:r w:rsidRPr="00490E2E">
              <w:rPr>
                <w:noProof/>
                <w:webHidden/>
              </w:rPr>
              <w:fldChar w:fldCharType="separate"/>
            </w:r>
            <w:r w:rsidR="006E70A2">
              <w:rPr>
                <w:noProof/>
                <w:webHidden/>
              </w:rPr>
              <w:t>3</w:t>
            </w:r>
            <w:r w:rsidRPr="00490E2E">
              <w:rPr>
                <w:noProof/>
                <w:webHidden/>
              </w:rPr>
              <w:fldChar w:fldCharType="end"/>
            </w:r>
          </w:hyperlink>
        </w:p>
        <w:p w14:paraId="3ACF4FD5" w14:textId="2D8AA20D" w:rsidR="005F6E78" w:rsidRPr="00490E2E" w:rsidRDefault="005F6E78">
          <w:pPr>
            <w:pStyle w:val="TDC2"/>
            <w:rPr>
              <w:rFonts w:cstheme="minorBidi"/>
              <w:noProof/>
            </w:rPr>
          </w:pPr>
          <w:hyperlink w:anchor="_Toc205479213" w:history="1">
            <w:r w:rsidRPr="00490E2E">
              <w:rPr>
                <w:rStyle w:val="Hipervnculo"/>
                <w:rFonts w:ascii="Palatino Linotype" w:hAnsi="Palatino Linotype"/>
                <w:bCs/>
                <w:noProof/>
              </w:rPr>
              <w:t>III. Interposición del Recurso de Revisión</w:t>
            </w:r>
            <w:r w:rsidRPr="00490E2E">
              <w:rPr>
                <w:noProof/>
                <w:webHidden/>
              </w:rPr>
              <w:tab/>
            </w:r>
            <w:r w:rsidRPr="00490E2E">
              <w:rPr>
                <w:noProof/>
                <w:webHidden/>
              </w:rPr>
              <w:fldChar w:fldCharType="begin"/>
            </w:r>
            <w:r w:rsidRPr="00490E2E">
              <w:rPr>
                <w:noProof/>
                <w:webHidden/>
              </w:rPr>
              <w:instrText xml:space="preserve"> PAGEREF _Toc205479213 \h </w:instrText>
            </w:r>
            <w:r w:rsidRPr="00490E2E">
              <w:rPr>
                <w:noProof/>
                <w:webHidden/>
              </w:rPr>
            </w:r>
            <w:r w:rsidRPr="00490E2E">
              <w:rPr>
                <w:noProof/>
                <w:webHidden/>
              </w:rPr>
              <w:fldChar w:fldCharType="separate"/>
            </w:r>
            <w:r w:rsidR="006E70A2">
              <w:rPr>
                <w:noProof/>
                <w:webHidden/>
              </w:rPr>
              <w:t>4</w:t>
            </w:r>
            <w:r w:rsidRPr="00490E2E">
              <w:rPr>
                <w:noProof/>
                <w:webHidden/>
              </w:rPr>
              <w:fldChar w:fldCharType="end"/>
            </w:r>
          </w:hyperlink>
        </w:p>
        <w:p w14:paraId="3E366F60" w14:textId="181BB812" w:rsidR="005F6E78" w:rsidRPr="00490E2E" w:rsidRDefault="005F6E78">
          <w:pPr>
            <w:pStyle w:val="TDC2"/>
            <w:rPr>
              <w:rFonts w:cstheme="minorBidi"/>
              <w:noProof/>
            </w:rPr>
          </w:pPr>
          <w:hyperlink w:anchor="_Toc205479214" w:history="1">
            <w:r w:rsidRPr="00490E2E">
              <w:rPr>
                <w:rStyle w:val="Hipervnculo"/>
                <w:rFonts w:ascii="Palatino Linotype" w:hAnsi="Palatino Linotype"/>
                <w:bCs/>
                <w:noProof/>
              </w:rPr>
              <w:t xml:space="preserve">V. </w:t>
            </w:r>
            <w:r w:rsidRPr="00490E2E">
              <w:rPr>
                <w:rStyle w:val="Hipervnculo"/>
                <w:rFonts w:ascii="Palatino Linotype" w:eastAsia="Batang" w:hAnsi="Palatino Linotype"/>
                <w:bCs/>
                <w:noProof/>
              </w:rPr>
              <w:t xml:space="preserve">Trámite del </w:t>
            </w:r>
            <w:r w:rsidRPr="00490E2E">
              <w:rPr>
                <w:rStyle w:val="Hipervnculo"/>
                <w:rFonts w:ascii="Palatino Linotype" w:hAnsi="Palatino Linotype"/>
                <w:bCs/>
                <w:noProof/>
              </w:rPr>
              <w:t xml:space="preserve">Recurso de Revisión </w:t>
            </w:r>
            <w:r w:rsidRPr="00490E2E">
              <w:rPr>
                <w:rStyle w:val="Hipervnculo"/>
                <w:rFonts w:ascii="Palatino Linotype" w:eastAsia="Batang" w:hAnsi="Palatino Linotype"/>
                <w:bCs/>
                <w:noProof/>
              </w:rPr>
              <w:t>ante este Instituto</w:t>
            </w:r>
            <w:r w:rsidRPr="00490E2E">
              <w:rPr>
                <w:noProof/>
                <w:webHidden/>
              </w:rPr>
              <w:tab/>
            </w:r>
            <w:r w:rsidRPr="00490E2E">
              <w:rPr>
                <w:noProof/>
                <w:webHidden/>
              </w:rPr>
              <w:fldChar w:fldCharType="begin"/>
            </w:r>
            <w:r w:rsidRPr="00490E2E">
              <w:rPr>
                <w:noProof/>
                <w:webHidden/>
              </w:rPr>
              <w:instrText xml:space="preserve"> PAGEREF _Toc205479214 \h </w:instrText>
            </w:r>
            <w:r w:rsidRPr="00490E2E">
              <w:rPr>
                <w:noProof/>
                <w:webHidden/>
              </w:rPr>
            </w:r>
            <w:r w:rsidRPr="00490E2E">
              <w:rPr>
                <w:noProof/>
                <w:webHidden/>
              </w:rPr>
              <w:fldChar w:fldCharType="separate"/>
            </w:r>
            <w:r w:rsidR="006E70A2">
              <w:rPr>
                <w:noProof/>
                <w:webHidden/>
              </w:rPr>
              <w:t>4</w:t>
            </w:r>
            <w:r w:rsidRPr="00490E2E">
              <w:rPr>
                <w:noProof/>
                <w:webHidden/>
              </w:rPr>
              <w:fldChar w:fldCharType="end"/>
            </w:r>
          </w:hyperlink>
        </w:p>
        <w:p w14:paraId="495B9D47" w14:textId="652893D7" w:rsidR="005F6E78" w:rsidRPr="00490E2E" w:rsidRDefault="005F6E78">
          <w:pPr>
            <w:pStyle w:val="TDC1"/>
            <w:tabs>
              <w:tab w:val="right" w:leader="dot" w:pos="8828"/>
            </w:tabs>
            <w:rPr>
              <w:rFonts w:cstheme="minorBidi"/>
              <w:noProof/>
            </w:rPr>
          </w:pPr>
          <w:hyperlink w:anchor="_Toc205479215" w:history="1">
            <w:r w:rsidRPr="00490E2E">
              <w:rPr>
                <w:rStyle w:val="Hipervnculo"/>
                <w:rFonts w:ascii="Palatino Linotype" w:hAnsi="Palatino Linotype"/>
                <w:bCs/>
                <w:noProof/>
              </w:rPr>
              <w:t>C O N S I D E R A N D O S</w:t>
            </w:r>
            <w:r w:rsidRPr="00490E2E">
              <w:rPr>
                <w:noProof/>
                <w:webHidden/>
              </w:rPr>
              <w:tab/>
            </w:r>
            <w:r w:rsidRPr="00490E2E">
              <w:rPr>
                <w:noProof/>
                <w:webHidden/>
              </w:rPr>
              <w:fldChar w:fldCharType="begin"/>
            </w:r>
            <w:r w:rsidRPr="00490E2E">
              <w:rPr>
                <w:noProof/>
                <w:webHidden/>
              </w:rPr>
              <w:instrText xml:space="preserve"> PAGEREF _Toc205479215 \h </w:instrText>
            </w:r>
            <w:r w:rsidRPr="00490E2E">
              <w:rPr>
                <w:noProof/>
                <w:webHidden/>
              </w:rPr>
            </w:r>
            <w:r w:rsidRPr="00490E2E">
              <w:rPr>
                <w:noProof/>
                <w:webHidden/>
              </w:rPr>
              <w:fldChar w:fldCharType="separate"/>
            </w:r>
            <w:r w:rsidR="006E70A2">
              <w:rPr>
                <w:noProof/>
                <w:webHidden/>
              </w:rPr>
              <w:t>6</w:t>
            </w:r>
            <w:r w:rsidRPr="00490E2E">
              <w:rPr>
                <w:noProof/>
                <w:webHidden/>
              </w:rPr>
              <w:fldChar w:fldCharType="end"/>
            </w:r>
          </w:hyperlink>
        </w:p>
        <w:p w14:paraId="5AAD79BE" w14:textId="3AE2DD4B" w:rsidR="005F6E78" w:rsidRPr="00490E2E" w:rsidRDefault="005F6E78">
          <w:pPr>
            <w:pStyle w:val="TDC2"/>
            <w:rPr>
              <w:rFonts w:cstheme="minorBidi"/>
              <w:noProof/>
            </w:rPr>
          </w:pPr>
          <w:hyperlink w:anchor="_Toc205479216" w:history="1">
            <w:r w:rsidRPr="00490E2E">
              <w:rPr>
                <w:rStyle w:val="Hipervnculo"/>
                <w:rFonts w:ascii="Palatino Linotype" w:hAnsi="Palatino Linotype"/>
                <w:bCs/>
                <w:noProof/>
              </w:rPr>
              <w:t>PRIMERO. Competencia</w:t>
            </w:r>
            <w:r w:rsidRPr="00490E2E">
              <w:rPr>
                <w:noProof/>
                <w:webHidden/>
              </w:rPr>
              <w:tab/>
            </w:r>
            <w:r w:rsidRPr="00490E2E">
              <w:rPr>
                <w:noProof/>
                <w:webHidden/>
              </w:rPr>
              <w:fldChar w:fldCharType="begin"/>
            </w:r>
            <w:r w:rsidRPr="00490E2E">
              <w:rPr>
                <w:noProof/>
                <w:webHidden/>
              </w:rPr>
              <w:instrText xml:space="preserve"> PAGEREF _Toc205479216 \h </w:instrText>
            </w:r>
            <w:r w:rsidRPr="00490E2E">
              <w:rPr>
                <w:noProof/>
                <w:webHidden/>
              </w:rPr>
            </w:r>
            <w:r w:rsidRPr="00490E2E">
              <w:rPr>
                <w:noProof/>
                <w:webHidden/>
              </w:rPr>
              <w:fldChar w:fldCharType="separate"/>
            </w:r>
            <w:r w:rsidR="006E70A2">
              <w:rPr>
                <w:noProof/>
                <w:webHidden/>
              </w:rPr>
              <w:t>6</w:t>
            </w:r>
            <w:r w:rsidRPr="00490E2E">
              <w:rPr>
                <w:noProof/>
                <w:webHidden/>
              </w:rPr>
              <w:fldChar w:fldCharType="end"/>
            </w:r>
          </w:hyperlink>
        </w:p>
        <w:p w14:paraId="4C245CC4" w14:textId="1F5E21E1" w:rsidR="005F6E78" w:rsidRPr="00490E2E" w:rsidRDefault="005F6E78">
          <w:pPr>
            <w:pStyle w:val="TDC2"/>
            <w:rPr>
              <w:rFonts w:cstheme="minorBidi"/>
              <w:noProof/>
            </w:rPr>
          </w:pPr>
          <w:hyperlink w:anchor="_Toc205479217" w:history="1">
            <w:r w:rsidRPr="00490E2E">
              <w:rPr>
                <w:rStyle w:val="Hipervnculo"/>
                <w:rFonts w:ascii="Palatino Linotype" w:eastAsia="Calibri" w:hAnsi="Palatino Linotype"/>
                <w:bCs/>
                <w:noProof/>
                <w:lang w:val="es-ES"/>
              </w:rPr>
              <w:t xml:space="preserve">SEGUNDO. </w:t>
            </w:r>
            <w:r w:rsidRPr="00490E2E">
              <w:rPr>
                <w:rStyle w:val="Hipervnculo"/>
                <w:rFonts w:ascii="Palatino Linotype" w:hAnsi="Palatino Linotype"/>
                <w:bCs/>
                <w:noProof/>
                <w:lang w:val="es-ES"/>
              </w:rPr>
              <w:t>Causales de improcedencia y sobreseimiento</w:t>
            </w:r>
            <w:r w:rsidRPr="00490E2E">
              <w:rPr>
                <w:noProof/>
                <w:webHidden/>
              </w:rPr>
              <w:tab/>
            </w:r>
            <w:r w:rsidRPr="00490E2E">
              <w:rPr>
                <w:noProof/>
                <w:webHidden/>
              </w:rPr>
              <w:fldChar w:fldCharType="begin"/>
            </w:r>
            <w:r w:rsidRPr="00490E2E">
              <w:rPr>
                <w:noProof/>
                <w:webHidden/>
              </w:rPr>
              <w:instrText xml:space="preserve"> PAGEREF _Toc205479217 \h </w:instrText>
            </w:r>
            <w:r w:rsidRPr="00490E2E">
              <w:rPr>
                <w:noProof/>
                <w:webHidden/>
              </w:rPr>
            </w:r>
            <w:r w:rsidRPr="00490E2E">
              <w:rPr>
                <w:noProof/>
                <w:webHidden/>
              </w:rPr>
              <w:fldChar w:fldCharType="separate"/>
            </w:r>
            <w:r w:rsidR="006E70A2">
              <w:rPr>
                <w:noProof/>
                <w:webHidden/>
              </w:rPr>
              <w:t>6</w:t>
            </w:r>
            <w:r w:rsidRPr="00490E2E">
              <w:rPr>
                <w:noProof/>
                <w:webHidden/>
              </w:rPr>
              <w:fldChar w:fldCharType="end"/>
            </w:r>
          </w:hyperlink>
        </w:p>
        <w:p w14:paraId="2A07B6E0" w14:textId="1D7A9342" w:rsidR="005F6E78" w:rsidRPr="00490E2E" w:rsidRDefault="005F6E78">
          <w:pPr>
            <w:pStyle w:val="TDC2"/>
            <w:rPr>
              <w:rFonts w:cstheme="minorBidi"/>
              <w:noProof/>
            </w:rPr>
          </w:pPr>
          <w:hyperlink w:anchor="_Toc205479218" w:history="1">
            <w:r w:rsidRPr="00490E2E">
              <w:rPr>
                <w:rStyle w:val="Hipervnculo"/>
                <w:rFonts w:ascii="Palatino Linotype" w:eastAsia="Calibri" w:hAnsi="Palatino Linotype"/>
                <w:bCs/>
                <w:noProof/>
                <w:lang w:val="es-ES" w:eastAsia="es-ES_tradnl"/>
              </w:rPr>
              <w:t>TERCERO. Determinación de la Controversia</w:t>
            </w:r>
            <w:r w:rsidRPr="00490E2E">
              <w:rPr>
                <w:noProof/>
                <w:webHidden/>
              </w:rPr>
              <w:tab/>
            </w:r>
            <w:r w:rsidRPr="00490E2E">
              <w:rPr>
                <w:noProof/>
                <w:webHidden/>
              </w:rPr>
              <w:fldChar w:fldCharType="begin"/>
            </w:r>
            <w:r w:rsidRPr="00490E2E">
              <w:rPr>
                <w:noProof/>
                <w:webHidden/>
              </w:rPr>
              <w:instrText xml:space="preserve"> PAGEREF _Toc205479218 \h </w:instrText>
            </w:r>
            <w:r w:rsidRPr="00490E2E">
              <w:rPr>
                <w:noProof/>
                <w:webHidden/>
              </w:rPr>
            </w:r>
            <w:r w:rsidRPr="00490E2E">
              <w:rPr>
                <w:noProof/>
                <w:webHidden/>
              </w:rPr>
              <w:fldChar w:fldCharType="separate"/>
            </w:r>
            <w:r w:rsidR="006E70A2">
              <w:rPr>
                <w:noProof/>
                <w:webHidden/>
              </w:rPr>
              <w:t>7</w:t>
            </w:r>
            <w:r w:rsidRPr="00490E2E">
              <w:rPr>
                <w:noProof/>
                <w:webHidden/>
              </w:rPr>
              <w:fldChar w:fldCharType="end"/>
            </w:r>
          </w:hyperlink>
        </w:p>
        <w:p w14:paraId="04FF89E4" w14:textId="1F6FE392" w:rsidR="005F6E78" w:rsidRPr="00490E2E" w:rsidRDefault="005F6E78">
          <w:pPr>
            <w:pStyle w:val="TDC2"/>
            <w:rPr>
              <w:rFonts w:cstheme="minorBidi"/>
              <w:noProof/>
            </w:rPr>
          </w:pPr>
          <w:hyperlink w:anchor="_Toc205479219" w:history="1">
            <w:r w:rsidRPr="00490E2E">
              <w:rPr>
                <w:rStyle w:val="Hipervnculo"/>
                <w:rFonts w:ascii="Palatino Linotype" w:hAnsi="Palatino Linotype"/>
                <w:bCs/>
                <w:noProof/>
                <w:lang w:val="es-ES"/>
              </w:rPr>
              <w:t>QUINTO. Estudio de Fondo</w:t>
            </w:r>
            <w:r w:rsidRPr="00490E2E">
              <w:rPr>
                <w:noProof/>
                <w:webHidden/>
              </w:rPr>
              <w:tab/>
            </w:r>
            <w:r w:rsidRPr="00490E2E">
              <w:rPr>
                <w:noProof/>
                <w:webHidden/>
              </w:rPr>
              <w:fldChar w:fldCharType="begin"/>
            </w:r>
            <w:r w:rsidRPr="00490E2E">
              <w:rPr>
                <w:noProof/>
                <w:webHidden/>
              </w:rPr>
              <w:instrText xml:space="preserve"> PAGEREF _Toc205479219 \h </w:instrText>
            </w:r>
            <w:r w:rsidRPr="00490E2E">
              <w:rPr>
                <w:noProof/>
                <w:webHidden/>
              </w:rPr>
            </w:r>
            <w:r w:rsidRPr="00490E2E">
              <w:rPr>
                <w:noProof/>
                <w:webHidden/>
              </w:rPr>
              <w:fldChar w:fldCharType="separate"/>
            </w:r>
            <w:r w:rsidR="006E70A2">
              <w:rPr>
                <w:noProof/>
                <w:webHidden/>
              </w:rPr>
              <w:t>11</w:t>
            </w:r>
            <w:r w:rsidRPr="00490E2E">
              <w:rPr>
                <w:noProof/>
                <w:webHidden/>
              </w:rPr>
              <w:fldChar w:fldCharType="end"/>
            </w:r>
          </w:hyperlink>
        </w:p>
        <w:p w14:paraId="5A59B37D" w14:textId="4209CDBF" w:rsidR="005F6E78" w:rsidRPr="00490E2E" w:rsidRDefault="005F6E78">
          <w:pPr>
            <w:pStyle w:val="TDC2"/>
            <w:rPr>
              <w:rFonts w:cstheme="minorBidi"/>
              <w:noProof/>
            </w:rPr>
          </w:pPr>
          <w:hyperlink w:anchor="_Toc205479220" w:history="1">
            <w:r w:rsidRPr="00490E2E">
              <w:rPr>
                <w:rStyle w:val="Hipervnculo"/>
                <w:rFonts w:ascii="Palatino Linotype" w:hAnsi="Palatino Linotype"/>
                <w:bCs/>
                <w:noProof/>
              </w:rPr>
              <w:t>SEXTO. Decisión</w:t>
            </w:r>
            <w:r w:rsidRPr="00490E2E">
              <w:rPr>
                <w:noProof/>
                <w:webHidden/>
              </w:rPr>
              <w:tab/>
            </w:r>
            <w:r w:rsidRPr="00490E2E">
              <w:rPr>
                <w:noProof/>
                <w:webHidden/>
              </w:rPr>
              <w:fldChar w:fldCharType="begin"/>
            </w:r>
            <w:r w:rsidRPr="00490E2E">
              <w:rPr>
                <w:noProof/>
                <w:webHidden/>
              </w:rPr>
              <w:instrText xml:space="preserve"> PAGEREF _Toc205479220 \h </w:instrText>
            </w:r>
            <w:r w:rsidRPr="00490E2E">
              <w:rPr>
                <w:noProof/>
                <w:webHidden/>
              </w:rPr>
            </w:r>
            <w:r w:rsidRPr="00490E2E">
              <w:rPr>
                <w:noProof/>
                <w:webHidden/>
              </w:rPr>
              <w:fldChar w:fldCharType="separate"/>
            </w:r>
            <w:r w:rsidR="006E70A2">
              <w:rPr>
                <w:noProof/>
                <w:webHidden/>
              </w:rPr>
              <w:t>31</w:t>
            </w:r>
            <w:r w:rsidRPr="00490E2E">
              <w:rPr>
                <w:noProof/>
                <w:webHidden/>
              </w:rPr>
              <w:fldChar w:fldCharType="end"/>
            </w:r>
          </w:hyperlink>
        </w:p>
        <w:p w14:paraId="3E479D13" w14:textId="27E5A6BD" w:rsidR="005F6E78" w:rsidRPr="00490E2E" w:rsidRDefault="005F6E78">
          <w:pPr>
            <w:pStyle w:val="TDC1"/>
            <w:tabs>
              <w:tab w:val="right" w:leader="dot" w:pos="8828"/>
            </w:tabs>
            <w:rPr>
              <w:rFonts w:cstheme="minorBidi"/>
              <w:noProof/>
            </w:rPr>
          </w:pPr>
          <w:hyperlink w:anchor="_Toc205479221" w:history="1">
            <w:r w:rsidRPr="00490E2E">
              <w:rPr>
                <w:rStyle w:val="Hipervnculo"/>
                <w:rFonts w:ascii="Palatino Linotype" w:eastAsia="Calibri" w:hAnsi="Palatino Linotype"/>
                <w:bCs/>
                <w:noProof/>
              </w:rPr>
              <w:t>R E S U E L V E</w:t>
            </w:r>
            <w:r w:rsidRPr="00490E2E">
              <w:rPr>
                <w:noProof/>
                <w:webHidden/>
              </w:rPr>
              <w:tab/>
            </w:r>
            <w:r w:rsidRPr="00490E2E">
              <w:rPr>
                <w:noProof/>
                <w:webHidden/>
              </w:rPr>
              <w:fldChar w:fldCharType="begin"/>
            </w:r>
            <w:r w:rsidRPr="00490E2E">
              <w:rPr>
                <w:noProof/>
                <w:webHidden/>
              </w:rPr>
              <w:instrText xml:space="preserve"> PAGEREF _Toc205479221 \h </w:instrText>
            </w:r>
            <w:r w:rsidRPr="00490E2E">
              <w:rPr>
                <w:noProof/>
                <w:webHidden/>
              </w:rPr>
            </w:r>
            <w:r w:rsidRPr="00490E2E">
              <w:rPr>
                <w:noProof/>
                <w:webHidden/>
              </w:rPr>
              <w:fldChar w:fldCharType="separate"/>
            </w:r>
            <w:r w:rsidR="006E70A2">
              <w:rPr>
                <w:noProof/>
                <w:webHidden/>
              </w:rPr>
              <w:t>32</w:t>
            </w:r>
            <w:r w:rsidRPr="00490E2E">
              <w:rPr>
                <w:noProof/>
                <w:webHidden/>
              </w:rPr>
              <w:fldChar w:fldCharType="end"/>
            </w:r>
          </w:hyperlink>
        </w:p>
        <w:p w14:paraId="2E82CF48" w14:textId="1CE8D276" w:rsidR="00CB7C2B" w:rsidRPr="00490E2E" w:rsidRDefault="00CB7C2B" w:rsidP="00AE1806">
          <w:pPr>
            <w:spacing w:line="360" w:lineRule="auto"/>
            <w:contextualSpacing/>
            <w:jc w:val="both"/>
            <w:rPr>
              <w:rFonts w:ascii="Palatino Linotype" w:hAnsi="Palatino Linotype" w:cs="Tahoma"/>
              <w:bCs/>
              <w:sz w:val="22"/>
              <w:szCs w:val="22"/>
            </w:rPr>
          </w:pPr>
          <w:r w:rsidRPr="00490E2E">
            <w:rPr>
              <w:rFonts w:ascii="Palatino Linotype" w:hAnsi="Palatino Linotype"/>
              <w:sz w:val="22"/>
              <w:szCs w:val="22"/>
              <w:lang w:val="es-ES"/>
            </w:rPr>
            <w:fldChar w:fldCharType="end"/>
          </w:r>
        </w:p>
      </w:sdtContent>
    </w:sdt>
    <w:p w14:paraId="6B56D7D1" w14:textId="77777777" w:rsidR="00CB7C2B" w:rsidRPr="00490E2E" w:rsidRDefault="00CB7C2B" w:rsidP="00AE1806">
      <w:pPr>
        <w:spacing w:line="360" w:lineRule="auto"/>
        <w:contextualSpacing/>
        <w:rPr>
          <w:rFonts w:ascii="Palatino Linotype" w:hAnsi="Palatino Linotype" w:cs="Tahoma"/>
          <w:bCs/>
          <w:sz w:val="22"/>
          <w:szCs w:val="22"/>
        </w:rPr>
      </w:pPr>
      <w:r w:rsidRPr="00490E2E">
        <w:rPr>
          <w:rFonts w:ascii="Palatino Linotype" w:hAnsi="Palatino Linotype" w:cs="Tahoma"/>
          <w:bCs/>
          <w:sz w:val="22"/>
          <w:szCs w:val="22"/>
        </w:rPr>
        <w:br w:type="page"/>
      </w:r>
    </w:p>
    <w:p w14:paraId="7DA264E2" w14:textId="77777777" w:rsidR="00CB7C2B" w:rsidRPr="00490E2E" w:rsidRDefault="00CB7C2B" w:rsidP="00AE1806">
      <w:pPr>
        <w:spacing w:line="360" w:lineRule="auto"/>
        <w:contextualSpacing/>
        <w:jc w:val="both"/>
        <w:rPr>
          <w:rFonts w:ascii="Palatino Linotype" w:hAnsi="Palatino Linotype" w:cs="Tahoma"/>
          <w:bCs/>
          <w:sz w:val="22"/>
          <w:szCs w:val="22"/>
        </w:rPr>
      </w:pPr>
    </w:p>
    <w:p w14:paraId="5A052AF6" w14:textId="77777777" w:rsidR="00CB7C2B" w:rsidRPr="00490E2E" w:rsidRDefault="00CB7C2B" w:rsidP="00AE1806">
      <w:pPr>
        <w:spacing w:line="360" w:lineRule="auto"/>
        <w:contextualSpacing/>
        <w:jc w:val="both"/>
        <w:rPr>
          <w:rFonts w:ascii="Palatino Linotype" w:hAnsi="Palatino Linotype" w:cs="Tahoma"/>
          <w:bCs/>
          <w:sz w:val="22"/>
          <w:szCs w:val="22"/>
        </w:rPr>
      </w:pPr>
      <w:r w:rsidRPr="00490E2E">
        <w:rPr>
          <w:rFonts w:ascii="Palatino Linotype" w:hAnsi="Palatino Linotype" w:cs="Tahoma"/>
          <w:bCs/>
          <w:sz w:val="22"/>
          <w:szCs w:val="22"/>
        </w:rPr>
        <w:t>Resolución del Pleno del Instituto de Transparencia, Acceso a la Información Pública y Protección de Datos Personales del Estado de México y Municipios, con domicilio en Metepec, Estado de México, del seis de agosto de dos mil veinticinco.</w:t>
      </w:r>
    </w:p>
    <w:p w14:paraId="134DF8C2" w14:textId="77777777" w:rsidR="00CB7C2B" w:rsidRPr="00490E2E" w:rsidRDefault="00CB7C2B" w:rsidP="00AE1806">
      <w:pPr>
        <w:spacing w:line="360" w:lineRule="auto"/>
        <w:contextualSpacing/>
        <w:rPr>
          <w:rFonts w:ascii="Palatino Linotype" w:hAnsi="Palatino Linotype" w:cs="Tahoma"/>
          <w:bCs/>
          <w:sz w:val="22"/>
          <w:szCs w:val="22"/>
        </w:rPr>
      </w:pPr>
    </w:p>
    <w:p w14:paraId="314CF8B4" w14:textId="606856D3" w:rsidR="00CB7C2B" w:rsidRPr="00490E2E" w:rsidRDefault="00CB7C2B" w:rsidP="00AE1806">
      <w:pPr>
        <w:spacing w:line="360" w:lineRule="auto"/>
        <w:contextualSpacing/>
        <w:jc w:val="both"/>
        <w:rPr>
          <w:rFonts w:ascii="Palatino Linotype" w:hAnsi="Palatino Linotype" w:cs="Tahoma"/>
          <w:bCs/>
          <w:sz w:val="22"/>
          <w:szCs w:val="22"/>
        </w:rPr>
      </w:pPr>
      <w:r w:rsidRPr="00490E2E">
        <w:rPr>
          <w:rFonts w:ascii="Palatino Linotype" w:hAnsi="Palatino Linotype" w:cs="Tahoma"/>
          <w:b/>
          <w:bCs/>
          <w:color w:val="0D0D0D" w:themeColor="text1" w:themeTint="F2"/>
          <w:sz w:val="22"/>
          <w:szCs w:val="22"/>
        </w:rPr>
        <w:t xml:space="preserve">VISTO </w:t>
      </w:r>
      <w:r w:rsidRPr="00490E2E">
        <w:rPr>
          <w:rFonts w:ascii="Palatino Linotype" w:hAnsi="Palatino Linotype" w:cs="Tahoma"/>
          <w:bCs/>
          <w:color w:val="0D0D0D" w:themeColor="text1" w:themeTint="F2"/>
          <w:sz w:val="22"/>
          <w:szCs w:val="22"/>
        </w:rPr>
        <w:t xml:space="preserve">el expediente conformado con motivo del Recurso de Revisión </w:t>
      </w:r>
      <w:r w:rsidRPr="00D910F0">
        <w:rPr>
          <w:rFonts w:ascii="Palatino Linotype" w:eastAsia="Batang" w:hAnsi="Palatino Linotype" w:cs="Tahoma"/>
          <w:b/>
          <w:sz w:val="22"/>
          <w:szCs w:val="22"/>
          <w:lang w:val="es-ES_tradnl"/>
        </w:rPr>
        <w:t>06821/INFOEM/IP/RR/2025</w:t>
      </w:r>
      <w:r w:rsidRPr="00490E2E">
        <w:rPr>
          <w:rFonts w:ascii="Palatino Linotype" w:eastAsia="Batang" w:hAnsi="Palatino Linotype" w:cs="Tahoma"/>
          <w:bCs/>
          <w:sz w:val="22"/>
          <w:szCs w:val="22"/>
          <w:lang w:val="es-ES_tradnl"/>
        </w:rPr>
        <w:t xml:space="preserve">, </w:t>
      </w:r>
      <w:r w:rsidRPr="00490E2E">
        <w:rPr>
          <w:rFonts w:ascii="Palatino Linotype" w:hAnsi="Palatino Linotype" w:cs="Tahoma"/>
          <w:bCs/>
          <w:color w:val="0D0D0D" w:themeColor="text1" w:themeTint="F2"/>
          <w:sz w:val="22"/>
          <w:szCs w:val="22"/>
        </w:rPr>
        <w:t xml:space="preserve">interpuesto por </w:t>
      </w:r>
      <w:r w:rsidR="009B681B" w:rsidRPr="009B681B">
        <w:rPr>
          <w:rFonts w:ascii="Palatino Linotype" w:eastAsia="Calibri" w:hAnsi="Palatino Linotype" w:cs="Tahoma"/>
          <w:bCs/>
          <w:sz w:val="22"/>
          <w:szCs w:val="22"/>
          <w:highlight w:val="black"/>
          <w:lang w:eastAsia="en-US"/>
        </w:rPr>
        <w:t>XXXXXXXXXXXXXXXXXXXXXXX</w:t>
      </w:r>
      <w:r w:rsidR="009B681B">
        <w:rPr>
          <w:rFonts w:ascii="Palatino Linotype" w:eastAsia="Calibri" w:hAnsi="Palatino Linotype" w:cs="Tahoma"/>
          <w:bCs/>
          <w:sz w:val="22"/>
          <w:szCs w:val="22"/>
          <w:lang w:eastAsia="en-US"/>
        </w:rPr>
        <w:t xml:space="preserve"> </w:t>
      </w:r>
      <w:r w:rsidRPr="00490E2E">
        <w:rPr>
          <w:rFonts w:ascii="Palatino Linotype" w:eastAsia="Calibri" w:hAnsi="Palatino Linotype" w:cs="Tahoma"/>
          <w:bCs/>
          <w:sz w:val="22"/>
          <w:szCs w:val="22"/>
          <w:lang w:eastAsia="en-US"/>
        </w:rPr>
        <w:t>en lo sucesivo</w:t>
      </w:r>
      <w:r w:rsidRPr="00490E2E">
        <w:rPr>
          <w:rFonts w:ascii="Palatino Linotype" w:hAnsi="Palatino Linotype" w:cs="Tahoma"/>
          <w:bCs/>
          <w:color w:val="0D0D0D" w:themeColor="text1" w:themeTint="F2"/>
          <w:sz w:val="22"/>
          <w:szCs w:val="22"/>
        </w:rPr>
        <w:t xml:space="preserve"> </w:t>
      </w:r>
      <w:r w:rsidRPr="00490E2E">
        <w:rPr>
          <w:rFonts w:ascii="Palatino Linotype" w:eastAsia="Calibri" w:hAnsi="Palatino Linotype" w:cs="Tahoma"/>
          <w:bCs/>
          <w:sz w:val="22"/>
          <w:szCs w:val="22"/>
          <w:lang w:eastAsia="en-US"/>
        </w:rPr>
        <w:t xml:space="preserve">el </w:t>
      </w:r>
      <w:r w:rsidRPr="00490E2E">
        <w:rPr>
          <w:rFonts w:ascii="Palatino Linotype" w:hAnsi="Palatino Linotype" w:cs="Tahoma"/>
          <w:bCs/>
          <w:color w:val="0D0D0D" w:themeColor="text1" w:themeTint="F2"/>
          <w:sz w:val="22"/>
          <w:szCs w:val="22"/>
        </w:rPr>
        <w:t xml:space="preserve">Recurrente o Particular, en contra de la respuesta del Sujeto Obligado, </w:t>
      </w:r>
      <w:r w:rsidRPr="00D910F0">
        <w:rPr>
          <w:rFonts w:ascii="Palatino Linotype" w:hAnsi="Palatino Linotype" w:cs="Tahoma"/>
          <w:b/>
          <w:color w:val="0D0D0D" w:themeColor="text1" w:themeTint="F2"/>
          <w:sz w:val="22"/>
          <w:szCs w:val="22"/>
        </w:rPr>
        <w:t xml:space="preserve">Poder Legislativo, </w:t>
      </w:r>
      <w:r w:rsidRPr="00490E2E">
        <w:rPr>
          <w:rFonts w:ascii="Palatino Linotype" w:hAnsi="Palatino Linotype" w:cs="Tahoma"/>
          <w:bCs/>
          <w:color w:val="0D0D0D" w:themeColor="text1" w:themeTint="F2"/>
          <w:sz w:val="22"/>
          <w:szCs w:val="22"/>
        </w:rPr>
        <w:t xml:space="preserve">a la solicitud de acceso a la información pública </w:t>
      </w:r>
      <w:r w:rsidRPr="00490E2E">
        <w:rPr>
          <w:rFonts w:ascii="Palatino Linotype" w:hAnsi="Palatino Linotype"/>
          <w:sz w:val="22"/>
          <w:szCs w:val="22"/>
        </w:rPr>
        <w:t>00313/PLEGISLA/IP/2025</w:t>
      </w:r>
      <w:r w:rsidRPr="00490E2E">
        <w:rPr>
          <w:rFonts w:ascii="Palatino Linotype" w:hAnsi="Palatino Linotype" w:cs="Tahoma"/>
          <w:bCs/>
          <w:color w:val="0D0D0D" w:themeColor="text1" w:themeTint="F2"/>
          <w:sz w:val="22"/>
          <w:szCs w:val="22"/>
        </w:rPr>
        <w:t>, se emite la presente Resolución, con base en los Antecedentes y C</w:t>
      </w:r>
      <w:r w:rsidRPr="00490E2E">
        <w:rPr>
          <w:rFonts w:ascii="Palatino Linotype" w:hAnsi="Palatino Linotype" w:cs="Tahoma"/>
          <w:bCs/>
          <w:sz w:val="22"/>
          <w:szCs w:val="22"/>
        </w:rPr>
        <w:t>onsiderandos que a continuación se exponen:</w:t>
      </w:r>
    </w:p>
    <w:p w14:paraId="70EDDD24" w14:textId="77777777" w:rsidR="00CB7C2B" w:rsidRPr="00490E2E" w:rsidRDefault="00CB7C2B" w:rsidP="00AE1806">
      <w:pPr>
        <w:spacing w:line="360" w:lineRule="auto"/>
        <w:contextualSpacing/>
        <w:jc w:val="both"/>
        <w:rPr>
          <w:rFonts w:ascii="Palatino Linotype" w:hAnsi="Palatino Linotype" w:cs="Tahoma"/>
          <w:bCs/>
          <w:sz w:val="22"/>
          <w:szCs w:val="22"/>
        </w:rPr>
      </w:pPr>
    </w:p>
    <w:p w14:paraId="7049A06B" w14:textId="77777777" w:rsidR="00CB7C2B" w:rsidRPr="00490E2E" w:rsidRDefault="00CB7C2B" w:rsidP="00AE1806">
      <w:pPr>
        <w:pStyle w:val="Ttulo1"/>
        <w:spacing w:before="0" w:after="0" w:line="360" w:lineRule="auto"/>
        <w:contextualSpacing/>
        <w:jc w:val="center"/>
        <w:rPr>
          <w:rFonts w:ascii="Palatino Linotype" w:hAnsi="Palatino Linotype"/>
          <w:b/>
          <w:bCs/>
          <w:color w:val="auto"/>
          <w:sz w:val="22"/>
          <w:szCs w:val="22"/>
        </w:rPr>
      </w:pPr>
      <w:bookmarkStart w:id="1" w:name="_Toc205479210"/>
      <w:r w:rsidRPr="00490E2E">
        <w:rPr>
          <w:rFonts w:ascii="Palatino Linotype" w:hAnsi="Palatino Linotype"/>
          <w:b/>
          <w:bCs/>
          <w:color w:val="auto"/>
          <w:sz w:val="22"/>
          <w:szCs w:val="22"/>
        </w:rPr>
        <w:t>A N T E C E D E N T E S</w:t>
      </w:r>
      <w:bookmarkEnd w:id="1"/>
    </w:p>
    <w:p w14:paraId="539C09E7" w14:textId="77777777" w:rsidR="00CB7C2B" w:rsidRPr="00490E2E" w:rsidRDefault="00CB7C2B" w:rsidP="00AE1806">
      <w:pPr>
        <w:spacing w:line="360" w:lineRule="auto"/>
        <w:contextualSpacing/>
      </w:pPr>
    </w:p>
    <w:p w14:paraId="2434C573" w14:textId="77777777" w:rsidR="00CB7C2B" w:rsidRPr="00490E2E" w:rsidRDefault="00CB7C2B" w:rsidP="00AE1806">
      <w:pPr>
        <w:pStyle w:val="Ttulo2"/>
        <w:spacing w:before="0" w:after="0" w:line="360" w:lineRule="auto"/>
        <w:contextualSpacing/>
        <w:rPr>
          <w:rFonts w:ascii="Palatino Linotype" w:hAnsi="Palatino Linotype"/>
          <w:b/>
          <w:bCs/>
          <w:color w:val="auto"/>
          <w:sz w:val="22"/>
          <w:szCs w:val="22"/>
        </w:rPr>
      </w:pPr>
      <w:bookmarkStart w:id="2" w:name="_Toc205479211"/>
      <w:r w:rsidRPr="00490E2E">
        <w:rPr>
          <w:rFonts w:ascii="Palatino Linotype" w:hAnsi="Palatino Linotype"/>
          <w:b/>
          <w:bCs/>
          <w:color w:val="auto"/>
          <w:sz w:val="22"/>
          <w:szCs w:val="22"/>
        </w:rPr>
        <w:t>I. Presentación de la solicitud de información</w:t>
      </w:r>
      <w:bookmarkEnd w:id="2"/>
    </w:p>
    <w:p w14:paraId="1787A126" w14:textId="77777777" w:rsidR="00CB7C2B" w:rsidRPr="00490E2E" w:rsidRDefault="00CB7C2B" w:rsidP="00AE1806">
      <w:pPr>
        <w:pStyle w:val="Prrafodelista"/>
        <w:tabs>
          <w:tab w:val="left" w:pos="567"/>
        </w:tabs>
        <w:spacing w:line="360" w:lineRule="auto"/>
        <w:ind w:left="0"/>
        <w:jc w:val="both"/>
        <w:rPr>
          <w:rFonts w:ascii="Palatino Linotype" w:hAnsi="Palatino Linotype" w:cs="Tahoma"/>
          <w:szCs w:val="22"/>
        </w:rPr>
      </w:pPr>
    </w:p>
    <w:p w14:paraId="493DF683" w14:textId="0C8F42BA" w:rsidR="00CB7C2B" w:rsidRPr="00490E2E" w:rsidRDefault="00CB7C2B" w:rsidP="00AE1806">
      <w:pPr>
        <w:pStyle w:val="Prrafodelista"/>
        <w:tabs>
          <w:tab w:val="left" w:pos="567"/>
        </w:tabs>
        <w:spacing w:line="360" w:lineRule="auto"/>
        <w:ind w:left="0"/>
        <w:jc w:val="both"/>
        <w:rPr>
          <w:rFonts w:ascii="Palatino Linotype" w:hAnsi="Palatino Linotype" w:cs="Tahoma"/>
          <w:sz w:val="22"/>
          <w:szCs w:val="22"/>
        </w:rPr>
      </w:pPr>
      <w:r w:rsidRPr="00490E2E">
        <w:rPr>
          <w:rFonts w:ascii="Palatino Linotype" w:hAnsi="Palatino Linotype" w:cs="Tahoma"/>
          <w:sz w:val="22"/>
          <w:szCs w:val="22"/>
        </w:rPr>
        <w:t xml:space="preserve">Con fecha veinte de mayo de dos mil veinticinco, el Particular presentó una solicitud de acceso a la información pública, a través del Sistema de Acceso a la Información Mexiquense, en lo sucesivo </w:t>
      </w:r>
      <w:r w:rsidRPr="00490E2E">
        <w:rPr>
          <w:rFonts w:ascii="Palatino Linotype" w:hAnsi="Palatino Linotype" w:cs="Tahoma"/>
          <w:sz w:val="22"/>
          <w:szCs w:val="22"/>
          <w:lang w:val="es-ES"/>
        </w:rPr>
        <w:t>el SAIMEX</w:t>
      </w:r>
      <w:r w:rsidRPr="00490E2E">
        <w:rPr>
          <w:rFonts w:ascii="Palatino Linotype" w:hAnsi="Palatino Linotype" w:cs="Tahoma"/>
          <w:sz w:val="22"/>
          <w:szCs w:val="22"/>
        </w:rPr>
        <w:t>, ante el Poder Legislativo,</w:t>
      </w:r>
      <w:r w:rsidRPr="00490E2E">
        <w:rPr>
          <w:rFonts w:ascii="Palatino Linotype" w:hAnsi="Palatino Linotype" w:cs="Tahoma"/>
          <w:sz w:val="22"/>
          <w:szCs w:val="22"/>
          <w:lang w:val="es-ES"/>
        </w:rPr>
        <w:t xml:space="preserve"> </w:t>
      </w:r>
      <w:r w:rsidRPr="00490E2E">
        <w:rPr>
          <w:rFonts w:ascii="Palatino Linotype" w:hAnsi="Palatino Linotype" w:cs="Tahoma"/>
          <w:sz w:val="22"/>
          <w:szCs w:val="22"/>
        </w:rPr>
        <w:t>mediante la cual requirió lo siguiente:</w:t>
      </w:r>
    </w:p>
    <w:p w14:paraId="6926D2E8" w14:textId="77777777" w:rsidR="00CB7C2B" w:rsidRPr="00490E2E" w:rsidRDefault="00CB7C2B" w:rsidP="00AE1806">
      <w:pPr>
        <w:pStyle w:val="Prrafodelista"/>
        <w:tabs>
          <w:tab w:val="left" w:pos="567"/>
        </w:tabs>
        <w:spacing w:line="360" w:lineRule="auto"/>
        <w:ind w:left="0"/>
        <w:jc w:val="both"/>
        <w:rPr>
          <w:rFonts w:ascii="Palatino Linotype" w:hAnsi="Palatino Linotype" w:cs="Tahoma"/>
          <w:b/>
          <w:szCs w:val="22"/>
        </w:rPr>
      </w:pPr>
    </w:p>
    <w:p w14:paraId="11760DE3" w14:textId="77777777" w:rsidR="00CB7C2B" w:rsidRPr="00490E2E" w:rsidRDefault="00CB7C2B" w:rsidP="00AE1806">
      <w:pPr>
        <w:tabs>
          <w:tab w:val="left" w:pos="4667"/>
        </w:tabs>
        <w:spacing w:line="360" w:lineRule="auto"/>
        <w:ind w:left="567" w:right="567"/>
        <w:contextualSpacing/>
        <w:jc w:val="both"/>
        <w:rPr>
          <w:rFonts w:ascii="Palatino Linotype" w:hAnsi="Palatino Linotype" w:cs="Tahoma"/>
          <w:b/>
          <w:bCs/>
          <w:i/>
        </w:rPr>
      </w:pPr>
      <w:r w:rsidRPr="00490E2E">
        <w:rPr>
          <w:rFonts w:ascii="Palatino Linotype" w:hAnsi="Palatino Linotype" w:cs="Tahoma"/>
          <w:b/>
          <w:bCs/>
          <w:i/>
        </w:rPr>
        <w:t>“DESCRIPCIÓN CLARA Y PRECISA DE LA INFORMACIÓN SOLICITADA</w:t>
      </w:r>
    </w:p>
    <w:p w14:paraId="78FF7DC0" w14:textId="17754812" w:rsidR="00CB7C2B" w:rsidRPr="00490E2E" w:rsidRDefault="00CB7C2B" w:rsidP="00AE1806">
      <w:pPr>
        <w:spacing w:line="360" w:lineRule="auto"/>
        <w:ind w:left="567" w:right="567"/>
        <w:contextualSpacing/>
        <w:jc w:val="both"/>
        <w:rPr>
          <w:rFonts w:ascii="Palatino Linotype" w:hAnsi="Palatino Linotype" w:cs="Tahoma"/>
          <w:bCs/>
          <w:i/>
        </w:rPr>
      </w:pPr>
      <w:r w:rsidRPr="00490E2E">
        <w:rPr>
          <w:rFonts w:ascii="Palatino Linotype" w:hAnsi="Palatino Linotype"/>
          <w:i/>
          <w:lang w:eastAsia="es-MX"/>
        </w:rPr>
        <w:t xml:space="preserve">Solicito recibos de </w:t>
      </w:r>
      <w:proofErr w:type="spellStart"/>
      <w:r w:rsidRPr="00490E2E">
        <w:rPr>
          <w:rFonts w:ascii="Palatino Linotype" w:hAnsi="Palatino Linotype"/>
          <w:i/>
          <w:lang w:eastAsia="es-MX"/>
        </w:rPr>
        <w:t>nomina</w:t>
      </w:r>
      <w:proofErr w:type="spellEnd"/>
      <w:r w:rsidRPr="00490E2E">
        <w:rPr>
          <w:rFonts w:ascii="Palatino Linotype" w:hAnsi="Palatino Linotype"/>
          <w:i/>
          <w:lang w:eastAsia="es-MX"/>
        </w:rPr>
        <w:t xml:space="preserve"> de </w:t>
      </w:r>
      <w:proofErr w:type="spellStart"/>
      <w:r w:rsidRPr="00490E2E">
        <w:rPr>
          <w:rFonts w:ascii="Palatino Linotype" w:hAnsi="Palatino Linotype"/>
          <w:i/>
          <w:lang w:eastAsia="es-MX"/>
        </w:rPr>
        <w:t>Victor</w:t>
      </w:r>
      <w:proofErr w:type="spellEnd"/>
      <w:r w:rsidRPr="00490E2E">
        <w:rPr>
          <w:rFonts w:ascii="Palatino Linotype" w:hAnsi="Palatino Linotype"/>
          <w:i/>
          <w:lang w:eastAsia="es-MX"/>
        </w:rPr>
        <w:t xml:space="preserve"> Hugo Montiel Chavero, así como la descripción de sus funciones que desempeña en el equipo de la Diputada Petista Sofia </w:t>
      </w:r>
      <w:proofErr w:type="spellStart"/>
      <w:r w:rsidRPr="00490E2E">
        <w:rPr>
          <w:rFonts w:ascii="Palatino Linotype" w:hAnsi="Palatino Linotype"/>
          <w:i/>
          <w:lang w:eastAsia="es-MX"/>
        </w:rPr>
        <w:t>Martinez</w:t>
      </w:r>
      <w:proofErr w:type="spellEnd"/>
      <w:r w:rsidRPr="00490E2E">
        <w:rPr>
          <w:rFonts w:ascii="Palatino Linotype" w:hAnsi="Palatino Linotype"/>
          <w:i/>
          <w:lang w:eastAsia="es-MX"/>
        </w:rPr>
        <w:t xml:space="preserve"> Molina.</w:t>
      </w:r>
      <w:r w:rsidRPr="00490E2E">
        <w:rPr>
          <w:rFonts w:ascii="Palatino Linotype" w:hAnsi="Palatino Linotype" w:cs="Tahoma"/>
          <w:bCs/>
          <w:i/>
        </w:rPr>
        <w:t xml:space="preserve">”  </w:t>
      </w:r>
    </w:p>
    <w:p w14:paraId="7C88291B" w14:textId="77777777" w:rsidR="00CB7C2B" w:rsidRPr="00490E2E" w:rsidRDefault="00CB7C2B" w:rsidP="00AE1806">
      <w:pPr>
        <w:spacing w:line="360" w:lineRule="auto"/>
        <w:ind w:left="567" w:right="567"/>
        <w:contextualSpacing/>
        <w:jc w:val="both"/>
        <w:rPr>
          <w:rFonts w:ascii="Palatino Linotype" w:hAnsi="Palatino Linotype"/>
          <w:i/>
          <w:lang w:eastAsia="es-MX"/>
        </w:rPr>
      </w:pPr>
      <w:r w:rsidRPr="00490E2E">
        <w:rPr>
          <w:rFonts w:ascii="Palatino Linotype" w:hAnsi="Palatino Linotype" w:cs="Tahoma"/>
          <w:bCs/>
          <w:i/>
        </w:rPr>
        <w:t>(Sic).</w:t>
      </w:r>
    </w:p>
    <w:p w14:paraId="0E9DE27A" w14:textId="77777777" w:rsidR="00CB7C2B" w:rsidRPr="00490E2E" w:rsidRDefault="00CB7C2B" w:rsidP="00AE1806">
      <w:pPr>
        <w:pStyle w:val="Prrafodelista"/>
        <w:tabs>
          <w:tab w:val="left" w:pos="567"/>
        </w:tabs>
        <w:spacing w:line="360" w:lineRule="auto"/>
        <w:ind w:left="567" w:right="567"/>
        <w:jc w:val="both"/>
        <w:rPr>
          <w:rFonts w:ascii="Palatino Linotype" w:hAnsi="Palatino Linotype"/>
          <w:b/>
          <w:bCs/>
          <w:i/>
          <w:color w:val="000000" w:themeColor="text1"/>
        </w:rPr>
      </w:pPr>
      <w:r w:rsidRPr="00490E2E">
        <w:rPr>
          <w:rFonts w:ascii="Palatino Linotype" w:hAnsi="Palatino Linotype"/>
          <w:b/>
          <w:bCs/>
          <w:i/>
          <w:color w:val="000000" w:themeColor="text1"/>
        </w:rPr>
        <w:tab/>
      </w:r>
    </w:p>
    <w:p w14:paraId="5A062AED" w14:textId="77777777" w:rsidR="00CB7C2B" w:rsidRPr="00490E2E" w:rsidRDefault="00CB7C2B" w:rsidP="00AE1806">
      <w:pPr>
        <w:tabs>
          <w:tab w:val="left" w:pos="4667"/>
          <w:tab w:val="left" w:pos="4962"/>
        </w:tabs>
        <w:spacing w:line="360" w:lineRule="auto"/>
        <w:ind w:left="567" w:right="567"/>
        <w:contextualSpacing/>
        <w:jc w:val="both"/>
        <w:rPr>
          <w:rFonts w:ascii="Palatino Linotype" w:hAnsi="Palatino Linotype" w:cs="Tahoma"/>
          <w:bCs/>
          <w:i/>
        </w:rPr>
      </w:pPr>
      <w:r w:rsidRPr="00490E2E">
        <w:rPr>
          <w:rFonts w:ascii="Palatino Linotype" w:hAnsi="Palatino Linotype" w:cs="Tahoma"/>
          <w:b/>
          <w:bCs/>
          <w:i/>
        </w:rPr>
        <w:t xml:space="preserve">Modalidad de Entrega: </w:t>
      </w:r>
      <w:r w:rsidRPr="00490E2E">
        <w:rPr>
          <w:rFonts w:ascii="Palatino Linotype" w:hAnsi="Palatino Linotype" w:cs="Tahoma"/>
          <w:bCs/>
          <w:i/>
        </w:rPr>
        <w:t>A través de SAIMEX.</w:t>
      </w:r>
      <w:bookmarkStart w:id="3" w:name="_Toc198171640"/>
      <w:bookmarkStart w:id="4" w:name="_Toc199249980"/>
    </w:p>
    <w:p w14:paraId="39A9A050" w14:textId="77777777" w:rsidR="00CB7C2B" w:rsidRPr="00490E2E" w:rsidRDefault="00CB7C2B" w:rsidP="00AE1806">
      <w:pPr>
        <w:pStyle w:val="Ttulo2"/>
        <w:spacing w:before="0" w:after="0" w:line="360" w:lineRule="auto"/>
        <w:contextualSpacing/>
        <w:rPr>
          <w:rFonts w:ascii="Palatino Linotype" w:hAnsi="Palatino Linotype"/>
          <w:b/>
          <w:bCs/>
          <w:color w:val="auto"/>
          <w:sz w:val="22"/>
          <w:szCs w:val="22"/>
        </w:rPr>
      </w:pPr>
      <w:bookmarkStart w:id="5" w:name="_Toc205479212"/>
      <w:r w:rsidRPr="00490E2E">
        <w:rPr>
          <w:rFonts w:ascii="Palatino Linotype" w:hAnsi="Palatino Linotype"/>
          <w:b/>
          <w:color w:val="auto"/>
          <w:sz w:val="22"/>
          <w:szCs w:val="22"/>
        </w:rPr>
        <w:lastRenderedPageBreak/>
        <w:t xml:space="preserve">II. </w:t>
      </w:r>
      <w:bookmarkEnd w:id="3"/>
      <w:bookmarkEnd w:id="4"/>
      <w:r w:rsidRPr="00490E2E">
        <w:rPr>
          <w:rFonts w:ascii="Palatino Linotype" w:hAnsi="Palatino Linotype"/>
          <w:b/>
          <w:bCs/>
          <w:color w:val="auto"/>
          <w:sz w:val="22"/>
          <w:szCs w:val="22"/>
        </w:rPr>
        <w:t>Respuesta del Sujeto Obligado</w:t>
      </w:r>
      <w:bookmarkEnd w:id="5"/>
    </w:p>
    <w:p w14:paraId="3B77EB37" w14:textId="77777777" w:rsidR="00CB7C2B" w:rsidRPr="00490E2E" w:rsidRDefault="00CB7C2B" w:rsidP="00AE1806">
      <w:pPr>
        <w:autoSpaceDE w:val="0"/>
        <w:autoSpaceDN w:val="0"/>
        <w:adjustRightInd w:val="0"/>
        <w:spacing w:line="360" w:lineRule="auto"/>
        <w:contextualSpacing/>
        <w:jc w:val="both"/>
        <w:rPr>
          <w:rFonts w:ascii="Palatino Linotype" w:hAnsi="Palatino Linotype" w:cs="Tahoma"/>
          <w:bCs/>
          <w:sz w:val="22"/>
          <w:szCs w:val="22"/>
        </w:rPr>
      </w:pPr>
    </w:p>
    <w:p w14:paraId="28B3C3B2" w14:textId="77777777" w:rsidR="00CB7C2B" w:rsidRPr="00490E2E" w:rsidRDefault="00CB7C2B" w:rsidP="00AE1806">
      <w:pPr>
        <w:autoSpaceDE w:val="0"/>
        <w:autoSpaceDN w:val="0"/>
        <w:adjustRightInd w:val="0"/>
        <w:spacing w:line="360" w:lineRule="auto"/>
        <w:contextualSpacing/>
        <w:jc w:val="both"/>
        <w:rPr>
          <w:rFonts w:ascii="Palatino Linotype" w:hAnsi="Palatino Linotype" w:cs="Tahoma"/>
          <w:sz w:val="22"/>
          <w:szCs w:val="22"/>
        </w:rPr>
      </w:pPr>
      <w:r w:rsidRPr="00490E2E">
        <w:rPr>
          <w:rFonts w:ascii="Palatino Linotype" w:hAnsi="Palatino Linotype" w:cs="Tahoma"/>
          <w:bCs/>
          <w:sz w:val="22"/>
          <w:szCs w:val="22"/>
        </w:rPr>
        <w:t xml:space="preserve">Con fecha </w:t>
      </w:r>
      <w:r w:rsidRPr="00490E2E">
        <w:rPr>
          <w:rFonts w:ascii="Palatino Linotype" w:hAnsi="Palatino Linotype" w:cs="Tahoma"/>
          <w:sz w:val="22"/>
          <w:szCs w:val="24"/>
        </w:rPr>
        <w:t xml:space="preserve">diez de junio </w:t>
      </w:r>
      <w:r w:rsidRPr="00490E2E">
        <w:rPr>
          <w:rFonts w:ascii="Palatino Linotype" w:hAnsi="Palatino Linotype" w:cs="Tahoma"/>
          <w:bCs/>
          <w:sz w:val="22"/>
          <w:szCs w:val="22"/>
        </w:rPr>
        <w:t>de dos mil veinticinco, el</w:t>
      </w:r>
      <w:r w:rsidRPr="00490E2E">
        <w:rPr>
          <w:rFonts w:ascii="Palatino Linotype" w:hAnsi="Palatino Linotype" w:cs="Tahoma"/>
          <w:b/>
          <w:sz w:val="22"/>
          <w:szCs w:val="22"/>
        </w:rPr>
        <w:t xml:space="preserve"> </w:t>
      </w:r>
      <w:r w:rsidRPr="00490E2E">
        <w:rPr>
          <w:rFonts w:ascii="Palatino Linotype" w:hAnsi="Palatino Linotype" w:cs="Tahoma"/>
          <w:sz w:val="22"/>
          <w:szCs w:val="22"/>
        </w:rPr>
        <w:t xml:space="preserve">Sujeto Obligado dio respuesta a la solicitud de acceso a la información a través del SAIMEX, a través de la digitalización de los documentos siguientes: </w:t>
      </w:r>
    </w:p>
    <w:p w14:paraId="7D50287E" w14:textId="77777777" w:rsidR="00CB7C2B" w:rsidRPr="00490E2E" w:rsidRDefault="00CB7C2B" w:rsidP="00AE1806">
      <w:pPr>
        <w:autoSpaceDE w:val="0"/>
        <w:autoSpaceDN w:val="0"/>
        <w:adjustRightInd w:val="0"/>
        <w:spacing w:line="360" w:lineRule="auto"/>
        <w:contextualSpacing/>
        <w:jc w:val="both"/>
        <w:rPr>
          <w:rFonts w:ascii="Palatino Linotype" w:hAnsi="Palatino Linotype" w:cs="Tahoma"/>
          <w:sz w:val="22"/>
          <w:szCs w:val="22"/>
        </w:rPr>
      </w:pPr>
    </w:p>
    <w:p w14:paraId="028761C5" w14:textId="0E75321C" w:rsidR="00CB7C2B" w:rsidRPr="00490E2E" w:rsidRDefault="00CB7C2B" w:rsidP="00AE1806">
      <w:pPr>
        <w:autoSpaceDE w:val="0"/>
        <w:autoSpaceDN w:val="0"/>
        <w:adjustRightInd w:val="0"/>
        <w:spacing w:line="360" w:lineRule="auto"/>
        <w:contextualSpacing/>
        <w:jc w:val="both"/>
        <w:rPr>
          <w:rFonts w:ascii="Palatino Linotype" w:hAnsi="Palatino Linotype" w:cs="Tahoma"/>
          <w:sz w:val="22"/>
          <w:szCs w:val="22"/>
        </w:rPr>
      </w:pPr>
      <w:r w:rsidRPr="00490E2E">
        <w:rPr>
          <w:rFonts w:ascii="Palatino Linotype" w:hAnsi="Palatino Linotype" w:cs="Tahoma"/>
          <w:sz w:val="22"/>
          <w:szCs w:val="22"/>
        </w:rPr>
        <w:t xml:space="preserve">i) Oficio número UIPL/0922/2025, de fecha de su presentación, suscrito por el Titular de la Unidad de Transparencia, dirigido al Solicitante, a través del cual manifiesta y expone que adjunta la respuesta proporcionada por la servidora pública habilitada de </w:t>
      </w:r>
      <w:r w:rsidR="00CA102A" w:rsidRPr="00490E2E">
        <w:rPr>
          <w:rFonts w:ascii="Palatino Linotype" w:hAnsi="Palatino Linotype" w:cs="Tahoma"/>
          <w:sz w:val="22"/>
          <w:szCs w:val="22"/>
        </w:rPr>
        <w:t>l</w:t>
      </w:r>
      <w:r w:rsidRPr="00490E2E">
        <w:rPr>
          <w:rFonts w:ascii="Palatino Linotype" w:hAnsi="Palatino Linotype" w:cs="Tahoma"/>
          <w:sz w:val="22"/>
          <w:szCs w:val="22"/>
        </w:rPr>
        <w:t xml:space="preserve">a Secretaría de Administración y Finanzas. </w:t>
      </w:r>
    </w:p>
    <w:p w14:paraId="6357180C" w14:textId="77777777" w:rsidR="00CB7C2B" w:rsidRPr="00490E2E" w:rsidRDefault="00CB7C2B" w:rsidP="00AE1806">
      <w:pPr>
        <w:autoSpaceDE w:val="0"/>
        <w:autoSpaceDN w:val="0"/>
        <w:adjustRightInd w:val="0"/>
        <w:spacing w:line="360" w:lineRule="auto"/>
        <w:contextualSpacing/>
        <w:jc w:val="both"/>
        <w:rPr>
          <w:rFonts w:ascii="Palatino Linotype" w:hAnsi="Palatino Linotype" w:cs="Tahoma"/>
          <w:sz w:val="22"/>
          <w:szCs w:val="22"/>
        </w:rPr>
      </w:pPr>
    </w:p>
    <w:p w14:paraId="0D97503F" w14:textId="66A4203B" w:rsidR="00CB7C2B" w:rsidRPr="00490E2E" w:rsidRDefault="00CB7C2B" w:rsidP="00AE1806">
      <w:pPr>
        <w:autoSpaceDE w:val="0"/>
        <w:autoSpaceDN w:val="0"/>
        <w:adjustRightInd w:val="0"/>
        <w:spacing w:line="360" w:lineRule="auto"/>
        <w:contextualSpacing/>
        <w:jc w:val="both"/>
        <w:rPr>
          <w:rFonts w:ascii="Palatino Linotype" w:hAnsi="Palatino Linotype" w:cs="Tahoma"/>
          <w:sz w:val="22"/>
          <w:szCs w:val="22"/>
        </w:rPr>
      </w:pPr>
      <w:proofErr w:type="spellStart"/>
      <w:r w:rsidRPr="00490E2E">
        <w:rPr>
          <w:rFonts w:ascii="Palatino Linotype" w:hAnsi="Palatino Linotype" w:cs="Tahoma"/>
          <w:sz w:val="22"/>
          <w:szCs w:val="22"/>
        </w:rPr>
        <w:t>ii</w:t>
      </w:r>
      <w:proofErr w:type="spellEnd"/>
      <w:r w:rsidRPr="00490E2E">
        <w:rPr>
          <w:rFonts w:ascii="Palatino Linotype" w:hAnsi="Palatino Linotype" w:cs="Tahoma"/>
          <w:sz w:val="22"/>
          <w:szCs w:val="22"/>
        </w:rPr>
        <w:t>) Oficio sin número, de fecha de su presentación, suscrito por la servidora pública habilitada de la Secretaría de Administración y Finanzas, dirigido al Titular de la Unidad de Transparencia, a través del cual manifiesta y expone lo siguiente:</w:t>
      </w:r>
    </w:p>
    <w:p w14:paraId="4D6B1436" w14:textId="77777777" w:rsidR="00CB7C2B" w:rsidRPr="00490E2E" w:rsidRDefault="00CB7C2B" w:rsidP="00AE1806">
      <w:pPr>
        <w:autoSpaceDE w:val="0"/>
        <w:autoSpaceDN w:val="0"/>
        <w:adjustRightInd w:val="0"/>
        <w:spacing w:line="360" w:lineRule="auto"/>
        <w:contextualSpacing/>
        <w:jc w:val="both"/>
        <w:rPr>
          <w:rFonts w:ascii="Palatino Linotype" w:hAnsi="Palatino Linotype" w:cs="Tahoma"/>
          <w:sz w:val="22"/>
          <w:szCs w:val="22"/>
        </w:rPr>
      </w:pPr>
    </w:p>
    <w:p w14:paraId="11B862C4" w14:textId="76C5B38E" w:rsidR="00CB7C2B" w:rsidRPr="00490E2E" w:rsidRDefault="00CB7C2B" w:rsidP="00AE1806">
      <w:pPr>
        <w:autoSpaceDE w:val="0"/>
        <w:autoSpaceDN w:val="0"/>
        <w:adjustRightInd w:val="0"/>
        <w:spacing w:line="360" w:lineRule="auto"/>
        <w:ind w:left="567" w:right="567"/>
        <w:contextualSpacing/>
        <w:jc w:val="both"/>
        <w:rPr>
          <w:rFonts w:ascii="Palatino Linotype" w:hAnsi="Palatino Linotype" w:cs="Tahoma"/>
          <w:i/>
          <w:iCs/>
        </w:rPr>
      </w:pPr>
      <w:r w:rsidRPr="00490E2E">
        <w:rPr>
          <w:rFonts w:ascii="Palatino Linotype" w:hAnsi="Palatino Linotype" w:cs="Tahoma"/>
          <w:i/>
          <w:iCs/>
        </w:rPr>
        <w:t>“…Conforme a la fecha de recepción de la presente y derivado y derivado de la búsqueda exhaustiva y razonable realizadas en los archivos que obran en esta dependencia; se informa que la persona servidora pública Víctor Hugo Montiel Chavero desempeña el cargo de asesor, cuyas funciones es auxiliar a la diputada en el cumplimiento de su labor conforme a las facultades y obligaciones de la Legislatura, establecidas en el artículo 61 de la Constitución Política del Estado Libre y Soberano de México; así como las atribuciones señaladas en la Ley Orgánica del Poder Legislativo del Estado Libre y Soberano de México y lo ordenado en el Reglamento del Poder Legislativo del Estado Libre y Soberano de México; así mismo, se remite versión pública del recibo de nómina correspondiente a la primera quincena de mayo 2025…”</w:t>
      </w:r>
    </w:p>
    <w:p w14:paraId="54ED251B" w14:textId="00EE47FF" w:rsidR="00CB7C2B" w:rsidRPr="00490E2E" w:rsidRDefault="00CB7C2B" w:rsidP="00AE1806">
      <w:pPr>
        <w:autoSpaceDE w:val="0"/>
        <w:autoSpaceDN w:val="0"/>
        <w:adjustRightInd w:val="0"/>
        <w:spacing w:line="360" w:lineRule="auto"/>
        <w:contextualSpacing/>
        <w:jc w:val="both"/>
        <w:rPr>
          <w:rFonts w:ascii="Palatino Linotype" w:hAnsi="Palatino Linotype" w:cs="Tahoma"/>
          <w:sz w:val="22"/>
          <w:szCs w:val="22"/>
        </w:rPr>
      </w:pPr>
    </w:p>
    <w:p w14:paraId="1B0D4C58" w14:textId="4BA8FDC3" w:rsidR="00CA102A" w:rsidRPr="00490E2E" w:rsidRDefault="00CB7C2B" w:rsidP="00AE1806">
      <w:pPr>
        <w:autoSpaceDE w:val="0"/>
        <w:autoSpaceDN w:val="0"/>
        <w:adjustRightInd w:val="0"/>
        <w:spacing w:line="360" w:lineRule="auto"/>
        <w:contextualSpacing/>
        <w:jc w:val="both"/>
        <w:rPr>
          <w:rFonts w:ascii="Palatino Linotype" w:hAnsi="Palatino Linotype" w:cs="Tahoma"/>
          <w:sz w:val="22"/>
          <w:szCs w:val="22"/>
        </w:rPr>
      </w:pPr>
      <w:proofErr w:type="spellStart"/>
      <w:r w:rsidRPr="00490E2E">
        <w:rPr>
          <w:rFonts w:ascii="Palatino Linotype" w:hAnsi="Palatino Linotype" w:cs="Tahoma"/>
          <w:sz w:val="22"/>
          <w:szCs w:val="22"/>
        </w:rPr>
        <w:t>iii</w:t>
      </w:r>
      <w:proofErr w:type="spellEnd"/>
      <w:r w:rsidRPr="00490E2E">
        <w:rPr>
          <w:rFonts w:ascii="Palatino Linotype" w:hAnsi="Palatino Linotype" w:cs="Tahoma"/>
          <w:sz w:val="22"/>
          <w:szCs w:val="22"/>
        </w:rPr>
        <w:t xml:space="preserve">) Acuerdo de la </w:t>
      </w:r>
      <w:r w:rsidR="00CA102A" w:rsidRPr="00490E2E">
        <w:rPr>
          <w:rFonts w:ascii="Palatino Linotype" w:hAnsi="Palatino Linotype" w:cs="Tahoma"/>
          <w:sz w:val="22"/>
          <w:szCs w:val="22"/>
        </w:rPr>
        <w:t>Décima Sexta Sesión Extraordinaria del Comité de Transparencia por el que se aprueba la clasificación de la información confidencial contenida en los recibos de pago del servidor público Víctor Hugo Montiel Chavero.</w:t>
      </w:r>
    </w:p>
    <w:p w14:paraId="251A5951" w14:textId="77777777" w:rsidR="00CA102A" w:rsidRPr="00490E2E" w:rsidRDefault="00CA102A" w:rsidP="00AE1806">
      <w:pPr>
        <w:autoSpaceDE w:val="0"/>
        <w:autoSpaceDN w:val="0"/>
        <w:adjustRightInd w:val="0"/>
        <w:spacing w:line="360" w:lineRule="auto"/>
        <w:contextualSpacing/>
        <w:jc w:val="both"/>
        <w:rPr>
          <w:rFonts w:ascii="Palatino Linotype" w:hAnsi="Palatino Linotype" w:cs="Tahoma"/>
          <w:sz w:val="22"/>
          <w:szCs w:val="22"/>
        </w:rPr>
      </w:pPr>
    </w:p>
    <w:p w14:paraId="1EBE6C4E" w14:textId="2804BDF9" w:rsidR="00CB7C2B" w:rsidRPr="00490E2E" w:rsidRDefault="00CA102A" w:rsidP="00AE1806">
      <w:pPr>
        <w:autoSpaceDE w:val="0"/>
        <w:autoSpaceDN w:val="0"/>
        <w:adjustRightInd w:val="0"/>
        <w:spacing w:line="360" w:lineRule="auto"/>
        <w:contextualSpacing/>
        <w:jc w:val="both"/>
        <w:rPr>
          <w:rFonts w:ascii="Palatino Linotype" w:hAnsi="Palatino Linotype" w:cs="Tahoma"/>
          <w:sz w:val="22"/>
          <w:szCs w:val="22"/>
        </w:rPr>
      </w:pPr>
      <w:proofErr w:type="spellStart"/>
      <w:r w:rsidRPr="00490E2E">
        <w:rPr>
          <w:rFonts w:ascii="Palatino Linotype" w:hAnsi="Palatino Linotype" w:cs="Tahoma"/>
          <w:sz w:val="22"/>
          <w:szCs w:val="22"/>
        </w:rPr>
        <w:t>iv</w:t>
      </w:r>
      <w:proofErr w:type="spellEnd"/>
      <w:r w:rsidRPr="00490E2E">
        <w:rPr>
          <w:rFonts w:ascii="Palatino Linotype" w:hAnsi="Palatino Linotype" w:cs="Tahoma"/>
          <w:sz w:val="22"/>
          <w:szCs w:val="22"/>
        </w:rPr>
        <w:t>) Leyenda de clasificación de información confidencial de los comprobantes de pago del servidor público Víctor Hugo Montiel Chavero.</w:t>
      </w:r>
    </w:p>
    <w:p w14:paraId="0B853102" w14:textId="77777777" w:rsidR="00CB7C2B" w:rsidRPr="00490E2E" w:rsidRDefault="00CB7C2B" w:rsidP="00AE1806">
      <w:pPr>
        <w:tabs>
          <w:tab w:val="left" w:pos="4667"/>
        </w:tabs>
        <w:spacing w:line="360" w:lineRule="auto"/>
        <w:contextualSpacing/>
        <w:jc w:val="both"/>
        <w:rPr>
          <w:rFonts w:ascii="Palatino Linotype" w:hAnsi="Palatino Linotype" w:cs="Tahoma"/>
          <w:bCs/>
          <w:sz w:val="22"/>
          <w:szCs w:val="22"/>
        </w:rPr>
      </w:pPr>
    </w:p>
    <w:p w14:paraId="0FB5D1C7" w14:textId="77777777" w:rsidR="00CB7C2B" w:rsidRPr="00490E2E" w:rsidRDefault="00CB7C2B" w:rsidP="00AE1806">
      <w:pPr>
        <w:pStyle w:val="Ttulo2"/>
        <w:spacing w:before="0" w:after="0" w:line="360" w:lineRule="auto"/>
        <w:contextualSpacing/>
        <w:rPr>
          <w:rFonts w:ascii="Palatino Linotype" w:hAnsi="Palatino Linotype"/>
          <w:b/>
          <w:bCs/>
          <w:color w:val="auto"/>
          <w:sz w:val="22"/>
          <w:szCs w:val="22"/>
        </w:rPr>
      </w:pPr>
      <w:bookmarkStart w:id="6" w:name="_Toc205479213"/>
      <w:r w:rsidRPr="00490E2E">
        <w:rPr>
          <w:rFonts w:ascii="Palatino Linotype" w:hAnsi="Palatino Linotype"/>
          <w:b/>
          <w:bCs/>
          <w:color w:val="auto"/>
          <w:sz w:val="22"/>
          <w:szCs w:val="22"/>
        </w:rPr>
        <w:t>III. Interposición del Recurso de Revisión</w:t>
      </w:r>
      <w:bookmarkEnd w:id="6"/>
    </w:p>
    <w:p w14:paraId="4D3D6DAC" w14:textId="77777777" w:rsidR="00CB7C2B" w:rsidRPr="00490E2E" w:rsidRDefault="00CB7C2B" w:rsidP="00AE1806">
      <w:pPr>
        <w:autoSpaceDE w:val="0"/>
        <w:autoSpaceDN w:val="0"/>
        <w:adjustRightInd w:val="0"/>
        <w:spacing w:line="360" w:lineRule="auto"/>
        <w:contextualSpacing/>
        <w:jc w:val="both"/>
        <w:rPr>
          <w:rFonts w:ascii="Palatino Linotype" w:hAnsi="Palatino Linotype" w:cs="Tahoma"/>
          <w:sz w:val="22"/>
          <w:szCs w:val="22"/>
        </w:rPr>
      </w:pPr>
    </w:p>
    <w:p w14:paraId="48A54A08" w14:textId="7A2CD5F0" w:rsidR="00CB7C2B" w:rsidRPr="00490E2E" w:rsidRDefault="00CB7C2B" w:rsidP="00AE1806">
      <w:pPr>
        <w:autoSpaceDE w:val="0"/>
        <w:autoSpaceDN w:val="0"/>
        <w:adjustRightInd w:val="0"/>
        <w:spacing w:line="360" w:lineRule="auto"/>
        <w:contextualSpacing/>
        <w:jc w:val="both"/>
        <w:rPr>
          <w:rFonts w:ascii="Palatino Linotype" w:hAnsi="Palatino Linotype" w:cs="Tahoma"/>
          <w:b/>
          <w:bCs/>
          <w:sz w:val="22"/>
          <w:szCs w:val="22"/>
          <w:lang w:val="es-ES"/>
        </w:rPr>
      </w:pPr>
      <w:r w:rsidRPr="00490E2E">
        <w:rPr>
          <w:rFonts w:ascii="Palatino Linotype" w:hAnsi="Palatino Linotype" w:cs="Tahoma"/>
          <w:sz w:val="22"/>
          <w:szCs w:val="22"/>
        </w:rPr>
        <w:t xml:space="preserve">Con fecha </w:t>
      </w:r>
      <w:r w:rsidR="00CA102A" w:rsidRPr="00490E2E">
        <w:rPr>
          <w:rFonts w:ascii="Palatino Linotype" w:hAnsi="Palatino Linotype" w:cs="Tahoma"/>
          <w:sz w:val="22"/>
          <w:szCs w:val="22"/>
        </w:rPr>
        <w:t xml:space="preserve">once de junio </w:t>
      </w:r>
      <w:r w:rsidRPr="00490E2E">
        <w:rPr>
          <w:rFonts w:ascii="Palatino Linotype" w:hAnsi="Palatino Linotype" w:cs="Tahoma"/>
          <w:sz w:val="22"/>
          <w:szCs w:val="22"/>
        </w:rPr>
        <w:t xml:space="preserve">de dos mil veinticinco, se recibió en este </w:t>
      </w:r>
      <w:r w:rsidRPr="00490E2E">
        <w:rPr>
          <w:rFonts w:ascii="Palatino Linotype" w:eastAsia="Calibri" w:hAnsi="Palatino Linotype" w:cs="Tahoma"/>
          <w:sz w:val="22"/>
          <w:szCs w:val="22"/>
          <w:lang w:eastAsia="en-US"/>
        </w:rPr>
        <w:t xml:space="preserve">Instituto, a través del </w:t>
      </w:r>
      <w:r w:rsidRPr="00490E2E">
        <w:rPr>
          <w:rFonts w:ascii="Palatino Linotype" w:hAnsi="Palatino Linotype" w:cs="Tahoma"/>
          <w:sz w:val="22"/>
          <w:szCs w:val="22"/>
          <w:lang w:val="es-ES"/>
        </w:rPr>
        <w:t>SAIMEX</w:t>
      </w:r>
      <w:r w:rsidRPr="00490E2E">
        <w:rPr>
          <w:rFonts w:ascii="Palatino Linotype" w:hAnsi="Palatino Linotype" w:cs="Tahoma"/>
          <w:sz w:val="22"/>
          <w:szCs w:val="22"/>
        </w:rPr>
        <w:t xml:space="preserve">, el Recurso de Revisión interpuesto por la parte Recurrente, en contra de la respuesta del </w:t>
      </w:r>
      <w:r w:rsidR="00CA102A" w:rsidRPr="00490E2E">
        <w:rPr>
          <w:rFonts w:ascii="Palatino Linotype" w:hAnsi="Palatino Linotype" w:cs="Tahoma"/>
          <w:sz w:val="22"/>
          <w:szCs w:val="22"/>
        </w:rPr>
        <w:t>Poder Legislativo</w:t>
      </w:r>
      <w:r w:rsidRPr="00490E2E">
        <w:rPr>
          <w:rFonts w:ascii="Palatino Linotype" w:hAnsi="Palatino Linotype" w:cs="Tahoma"/>
          <w:sz w:val="22"/>
          <w:szCs w:val="22"/>
        </w:rPr>
        <w:t>, en los siguientes términos</w:t>
      </w:r>
      <w:r w:rsidRPr="00490E2E">
        <w:rPr>
          <w:rFonts w:ascii="Palatino Linotype" w:hAnsi="Palatino Linotype" w:cs="Tahoma"/>
          <w:sz w:val="22"/>
          <w:szCs w:val="22"/>
          <w:lang w:val="es-ES"/>
        </w:rPr>
        <w:t>:</w:t>
      </w:r>
    </w:p>
    <w:p w14:paraId="0815F9FD" w14:textId="77777777" w:rsidR="00CB7C2B" w:rsidRPr="00490E2E" w:rsidRDefault="00CB7C2B" w:rsidP="00AE1806">
      <w:pPr>
        <w:autoSpaceDE w:val="0"/>
        <w:autoSpaceDN w:val="0"/>
        <w:adjustRightInd w:val="0"/>
        <w:spacing w:line="360" w:lineRule="auto"/>
        <w:ind w:left="567" w:right="567"/>
        <w:contextualSpacing/>
        <w:jc w:val="both"/>
        <w:rPr>
          <w:rFonts w:ascii="Palatino Linotype" w:hAnsi="Palatino Linotype" w:cs="Tahoma"/>
          <w:i/>
          <w:iCs/>
        </w:rPr>
      </w:pPr>
    </w:p>
    <w:p w14:paraId="4E2413A9" w14:textId="77777777" w:rsidR="00CB7C2B" w:rsidRPr="00490E2E" w:rsidRDefault="00CB7C2B" w:rsidP="00AE1806">
      <w:pPr>
        <w:autoSpaceDE w:val="0"/>
        <w:autoSpaceDN w:val="0"/>
        <w:adjustRightInd w:val="0"/>
        <w:spacing w:line="360" w:lineRule="auto"/>
        <w:ind w:left="567" w:right="567"/>
        <w:contextualSpacing/>
        <w:jc w:val="both"/>
        <w:rPr>
          <w:rFonts w:ascii="Palatino Linotype" w:hAnsi="Palatino Linotype" w:cs="Tahoma"/>
          <w:bCs/>
          <w:i/>
          <w:iCs/>
        </w:rPr>
      </w:pPr>
      <w:r w:rsidRPr="00490E2E">
        <w:rPr>
          <w:rFonts w:ascii="Palatino Linotype" w:hAnsi="Palatino Linotype" w:cs="Tahoma"/>
          <w:b/>
          <w:bCs/>
          <w:i/>
          <w:iCs/>
        </w:rPr>
        <w:t>ACTO IMPUGNADO</w:t>
      </w:r>
    </w:p>
    <w:p w14:paraId="49551F3A" w14:textId="022A6FDE" w:rsidR="00CA102A" w:rsidRPr="00490E2E" w:rsidRDefault="00CB7C2B" w:rsidP="00AE1806">
      <w:pPr>
        <w:spacing w:line="360" w:lineRule="auto"/>
        <w:ind w:left="567" w:right="567"/>
        <w:contextualSpacing/>
        <w:jc w:val="both"/>
        <w:rPr>
          <w:rFonts w:ascii="Palatino Linotype" w:hAnsi="Palatino Linotype" w:cs="Tahoma"/>
          <w:i/>
          <w:iCs/>
        </w:rPr>
      </w:pPr>
      <w:r w:rsidRPr="00490E2E">
        <w:rPr>
          <w:rFonts w:ascii="Palatino Linotype" w:hAnsi="Palatino Linotype"/>
          <w:i/>
          <w:iCs/>
          <w:lang w:eastAsia="es-MX"/>
        </w:rPr>
        <w:t>“</w:t>
      </w:r>
      <w:r w:rsidR="00CA102A" w:rsidRPr="00490E2E">
        <w:rPr>
          <w:rFonts w:ascii="Palatino Linotype" w:hAnsi="Palatino Linotype"/>
          <w:i/>
          <w:iCs/>
          <w:lang w:eastAsia="es-MX"/>
        </w:rPr>
        <w:t xml:space="preserve">No se entrega recibo de </w:t>
      </w:r>
      <w:proofErr w:type="spellStart"/>
      <w:r w:rsidR="00CA102A" w:rsidRPr="00490E2E">
        <w:rPr>
          <w:rFonts w:ascii="Palatino Linotype" w:hAnsi="Palatino Linotype"/>
          <w:i/>
          <w:iCs/>
          <w:lang w:eastAsia="es-MX"/>
        </w:rPr>
        <w:t>nomina</w:t>
      </w:r>
      <w:proofErr w:type="spellEnd"/>
      <w:r w:rsidR="00CA102A" w:rsidRPr="00490E2E">
        <w:rPr>
          <w:rFonts w:ascii="Palatino Linotype" w:hAnsi="Palatino Linotype"/>
          <w:i/>
          <w:iCs/>
          <w:lang w:eastAsia="es-MX"/>
        </w:rPr>
        <w:t xml:space="preserve"> del Servidor </w:t>
      </w:r>
      <w:proofErr w:type="spellStart"/>
      <w:r w:rsidR="00CA102A" w:rsidRPr="00490E2E">
        <w:rPr>
          <w:rFonts w:ascii="Palatino Linotype" w:hAnsi="Palatino Linotype"/>
          <w:i/>
          <w:iCs/>
          <w:lang w:eastAsia="es-MX"/>
        </w:rPr>
        <w:t>Publico</w:t>
      </w:r>
      <w:proofErr w:type="spellEnd"/>
      <w:r w:rsidR="00CA102A" w:rsidRPr="00490E2E">
        <w:rPr>
          <w:rFonts w:ascii="Palatino Linotype" w:hAnsi="Palatino Linotype"/>
          <w:i/>
          <w:iCs/>
          <w:lang w:eastAsia="es-MX"/>
        </w:rPr>
        <w:t xml:space="preserve"> </w:t>
      </w:r>
      <w:proofErr w:type="spellStart"/>
      <w:r w:rsidR="00CA102A" w:rsidRPr="00490E2E">
        <w:rPr>
          <w:rFonts w:ascii="Palatino Linotype" w:hAnsi="Palatino Linotype"/>
          <w:i/>
          <w:iCs/>
          <w:lang w:eastAsia="es-MX"/>
        </w:rPr>
        <w:t>Victor</w:t>
      </w:r>
      <w:proofErr w:type="spellEnd"/>
      <w:r w:rsidR="00CA102A" w:rsidRPr="00490E2E">
        <w:rPr>
          <w:rFonts w:ascii="Palatino Linotype" w:hAnsi="Palatino Linotype"/>
          <w:i/>
          <w:iCs/>
          <w:lang w:eastAsia="es-MX"/>
        </w:rPr>
        <w:t xml:space="preserve"> Hugo Montiel Chavero</w:t>
      </w:r>
      <w:r w:rsidRPr="00490E2E">
        <w:rPr>
          <w:rFonts w:ascii="Palatino Linotype" w:hAnsi="Palatino Linotype"/>
          <w:i/>
          <w:iCs/>
          <w:color w:val="000000"/>
        </w:rPr>
        <w:t>.</w:t>
      </w:r>
      <w:r w:rsidRPr="00490E2E">
        <w:rPr>
          <w:rFonts w:ascii="Palatino Linotype" w:hAnsi="Palatino Linotype" w:cs="Tahoma"/>
          <w:i/>
          <w:iCs/>
        </w:rPr>
        <w:t xml:space="preserve">” </w:t>
      </w:r>
      <w:r w:rsidR="00CA102A" w:rsidRPr="00490E2E">
        <w:rPr>
          <w:rFonts w:ascii="Palatino Linotype" w:hAnsi="Palatino Linotype"/>
          <w:i/>
          <w:iCs/>
          <w:lang w:eastAsia="es-MX"/>
        </w:rPr>
        <w:t>(Sic)</w:t>
      </w:r>
    </w:p>
    <w:p w14:paraId="4B441BBF" w14:textId="77777777" w:rsidR="00CB7C2B" w:rsidRPr="00490E2E" w:rsidRDefault="00CB7C2B" w:rsidP="00AE1806">
      <w:pPr>
        <w:autoSpaceDE w:val="0"/>
        <w:autoSpaceDN w:val="0"/>
        <w:adjustRightInd w:val="0"/>
        <w:spacing w:line="360" w:lineRule="auto"/>
        <w:ind w:left="567" w:right="567"/>
        <w:contextualSpacing/>
        <w:jc w:val="both"/>
        <w:rPr>
          <w:rFonts w:ascii="Palatino Linotype" w:hAnsi="Palatino Linotype" w:cs="Tahoma"/>
          <w:i/>
          <w:iCs/>
        </w:rPr>
      </w:pPr>
    </w:p>
    <w:p w14:paraId="0EE942FC" w14:textId="77777777" w:rsidR="00CB7C2B" w:rsidRPr="00490E2E" w:rsidRDefault="00CB7C2B" w:rsidP="00AE1806">
      <w:pPr>
        <w:autoSpaceDE w:val="0"/>
        <w:autoSpaceDN w:val="0"/>
        <w:adjustRightInd w:val="0"/>
        <w:spacing w:line="360" w:lineRule="auto"/>
        <w:ind w:left="567" w:right="567"/>
        <w:contextualSpacing/>
        <w:jc w:val="both"/>
        <w:rPr>
          <w:rFonts w:ascii="Palatino Linotype" w:hAnsi="Palatino Linotype" w:cs="Tahoma"/>
          <w:b/>
          <w:i/>
          <w:iCs/>
        </w:rPr>
      </w:pPr>
      <w:r w:rsidRPr="00490E2E">
        <w:rPr>
          <w:rFonts w:ascii="Palatino Linotype" w:hAnsi="Palatino Linotype" w:cs="Tahoma"/>
          <w:b/>
          <w:i/>
          <w:iCs/>
        </w:rPr>
        <w:t>RAZONES O MOTIVOS DE LA INCONFORMIDAD</w:t>
      </w:r>
    </w:p>
    <w:p w14:paraId="00CB4BA3" w14:textId="31123672" w:rsidR="00CA102A" w:rsidRPr="00490E2E" w:rsidRDefault="00CB7C2B" w:rsidP="00AE1806">
      <w:pPr>
        <w:spacing w:line="360" w:lineRule="auto"/>
        <w:ind w:left="567" w:right="567"/>
        <w:contextualSpacing/>
        <w:jc w:val="both"/>
        <w:rPr>
          <w:rFonts w:ascii="Palatino Linotype" w:hAnsi="Palatino Linotype" w:cs="Tahoma"/>
          <w:i/>
          <w:iCs/>
        </w:rPr>
      </w:pPr>
      <w:r w:rsidRPr="00490E2E">
        <w:rPr>
          <w:rFonts w:ascii="Palatino Linotype" w:hAnsi="Palatino Linotype"/>
          <w:i/>
          <w:iCs/>
          <w:color w:val="000000"/>
        </w:rPr>
        <w:t>“</w:t>
      </w:r>
      <w:r w:rsidR="00CA102A" w:rsidRPr="00490E2E">
        <w:rPr>
          <w:rFonts w:ascii="Palatino Linotype" w:hAnsi="Palatino Linotype"/>
          <w:i/>
          <w:iCs/>
          <w:lang w:eastAsia="es-MX"/>
        </w:rPr>
        <w:t xml:space="preserve">La información solicitada se considera pública, considerando </w:t>
      </w:r>
      <w:proofErr w:type="spellStart"/>
      <w:r w:rsidR="00CA102A" w:rsidRPr="00490E2E">
        <w:rPr>
          <w:rFonts w:ascii="Palatino Linotype" w:hAnsi="Palatino Linotype"/>
          <w:i/>
          <w:iCs/>
          <w:lang w:eastAsia="es-MX"/>
        </w:rPr>
        <w:t>ademas</w:t>
      </w:r>
      <w:proofErr w:type="spellEnd"/>
      <w:r w:rsidR="00CA102A" w:rsidRPr="00490E2E">
        <w:rPr>
          <w:rFonts w:ascii="Palatino Linotype" w:hAnsi="Palatino Linotype"/>
          <w:i/>
          <w:iCs/>
          <w:lang w:eastAsia="es-MX"/>
        </w:rPr>
        <w:t xml:space="preserve"> que </w:t>
      </w:r>
      <w:proofErr w:type="spellStart"/>
      <w:r w:rsidR="00CA102A" w:rsidRPr="00490E2E">
        <w:rPr>
          <w:rFonts w:ascii="Palatino Linotype" w:hAnsi="Palatino Linotype"/>
          <w:i/>
          <w:iCs/>
          <w:lang w:eastAsia="es-MX"/>
        </w:rPr>
        <w:t>Victor</w:t>
      </w:r>
      <w:proofErr w:type="spellEnd"/>
      <w:r w:rsidR="00CA102A" w:rsidRPr="00490E2E">
        <w:rPr>
          <w:rFonts w:ascii="Palatino Linotype" w:hAnsi="Palatino Linotype"/>
          <w:i/>
          <w:iCs/>
          <w:lang w:eastAsia="es-MX"/>
        </w:rPr>
        <w:t xml:space="preserve"> Hugo Montiel Chavero </w:t>
      </w:r>
      <w:proofErr w:type="spellStart"/>
      <w:r w:rsidR="00CA102A" w:rsidRPr="00490E2E">
        <w:rPr>
          <w:rFonts w:ascii="Palatino Linotype" w:hAnsi="Palatino Linotype"/>
          <w:i/>
          <w:iCs/>
          <w:lang w:eastAsia="es-MX"/>
        </w:rPr>
        <w:t>esta</w:t>
      </w:r>
      <w:proofErr w:type="spellEnd"/>
      <w:r w:rsidR="00CA102A" w:rsidRPr="00490E2E">
        <w:rPr>
          <w:rFonts w:ascii="Palatino Linotype" w:hAnsi="Palatino Linotype"/>
          <w:i/>
          <w:iCs/>
          <w:lang w:eastAsia="es-MX"/>
        </w:rPr>
        <w:t xml:space="preserve"> recibiendo una percepción </w:t>
      </w:r>
      <w:proofErr w:type="spellStart"/>
      <w:r w:rsidR="00CA102A" w:rsidRPr="00490E2E">
        <w:rPr>
          <w:rFonts w:ascii="Palatino Linotype" w:hAnsi="Palatino Linotype"/>
          <w:i/>
          <w:iCs/>
          <w:lang w:eastAsia="es-MX"/>
        </w:rPr>
        <w:t>economica</w:t>
      </w:r>
      <w:proofErr w:type="spellEnd"/>
      <w:r w:rsidR="00CA102A" w:rsidRPr="00490E2E">
        <w:rPr>
          <w:rFonts w:ascii="Palatino Linotype" w:hAnsi="Palatino Linotype"/>
          <w:i/>
          <w:iCs/>
          <w:lang w:eastAsia="es-MX"/>
        </w:rPr>
        <w:t xml:space="preserve"> que proviene del erario público</w:t>
      </w:r>
      <w:r w:rsidRPr="00490E2E">
        <w:rPr>
          <w:rFonts w:ascii="Palatino Linotype" w:hAnsi="Palatino Linotype"/>
          <w:i/>
          <w:iCs/>
          <w:lang w:eastAsia="es-MX"/>
        </w:rPr>
        <w:t>.</w:t>
      </w:r>
      <w:r w:rsidRPr="00490E2E">
        <w:rPr>
          <w:rFonts w:ascii="Palatino Linotype" w:hAnsi="Palatino Linotype" w:cs="Tahoma"/>
          <w:i/>
          <w:iCs/>
        </w:rPr>
        <w:t xml:space="preserve">”  </w:t>
      </w:r>
      <w:r w:rsidR="00CA102A" w:rsidRPr="00490E2E">
        <w:rPr>
          <w:rFonts w:ascii="Palatino Linotype" w:hAnsi="Palatino Linotype"/>
          <w:i/>
          <w:iCs/>
          <w:color w:val="000000"/>
        </w:rPr>
        <w:t>(Sic)</w:t>
      </w:r>
    </w:p>
    <w:p w14:paraId="23562012" w14:textId="77777777" w:rsidR="00CB7C2B" w:rsidRPr="00490E2E" w:rsidRDefault="00CB7C2B" w:rsidP="00AE1806">
      <w:pPr>
        <w:spacing w:line="360" w:lineRule="auto"/>
        <w:ind w:left="567" w:right="567"/>
        <w:contextualSpacing/>
        <w:jc w:val="both"/>
        <w:rPr>
          <w:rFonts w:ascii="Palatino Linotype" w:hAnsi="Palatino Linotype" w:cs="Tahoma"/>
          <w:i/>
          <w:iCs/>
        </w:rPr>
      </w:pPr>
    </w:p>
    <w:p w14:paraId="3A19068A" w14:textId="77777777" w:rsidR="00CB7C2B" w:rsidRPr="00490E2E" w:rsidRDefault="00CB7C2B" w:rsidP="00AE1806">
      <w:pPr>
        <w:pStyle w:val="Ttulo2"/>
        <w:spacing w:before="0" w:after="0" w:line="360" w:lineRule="auto"/>
        <w:contextualSpacing/>
        <w:rPr>
          <w:rFonts w:ascii="Palatino Linotype" w:eastAsia="Batang" w:hAnsi="Palatino Linotype"/>
          <w:b/>
          <w:bCs/>
          <w:color w:val="auto"/>
          <w:sz w:val="22"/>
          <w:szCs w:val="22"/>
        </w:rPr>
      </w:pPr>
      <w:bookmarkStart w:id="7" w:name="_Toc205479214"/>
      <w:r w:rsidRPr="00490E2E">
        <w:rPr>
          <w:rFonts w:ascii="Palatino Linotype" w:hAnsi="Palatino Linotype"/>
          <w:b/>
          <w:bCs/>
          <w:color w:val="auto"/>
          <w:sz w:val="22"/>
          <w:szCs w:val="22"/>
        </w:rPr>
        <w:t xml:space="preserve">V. </w:t>
      </w:r>
      <w:r w:rsidRPr="00490E2E">
        <w:rPr>
          <w:rFonts w:ascii="Palatino Linotype" w:eastAsia="Batang" w:hAnsi="Palatino Linotype"/>
          <w:b/>
          <w:bCs/>
          <w:color w:val="auto"/>
          <w:sz w:val="22"/>
          <w:szCs w:val="22"/>
        </w:rPr>
        <w:t xml:space="preserve">Trámite del </w:t>
      </w:r>
      <w:r w:rsidRPr="00490E2E">
        <w:rPr>
          <w:rFonts w:ascii="Palatino Linotype" w:hAnsi="Palatino Linotype"/>
          <w:b/>
          <w:bCs/>
          <w:color w:val="auto"/>
          <w:sz w:val="22"/>
          <w:szCs w:val="22"/>
        </w:rPr>
        <w:t xml:space="preserve">Recurso de Revisión </w:t>
      </w:r>
      <w:r w:rsidRPr="00490E2E">
        <w:rPr>
          <w:rFonts w:ascii="Palatino Linotype" w:eastAsia="Batang" w:hAnsi="Palatino Linotype"/>
          <w:b/>
          <w:bCs/>
          <w:color w:val="auto"/>
          <w:sz w:val="22"/>
          <w:szCs w:val="22"/>
        </w:rPr>
        <w:t>ante este Instituto</w:t>
      </w:r>
      <w:bookmarkEnd w:id="7"/>
    </w:p>
    <w:p w14:paraId="6D1CB838" w14:textId="77777777" w:rsidR="00CB7C2B" w:rsidRPr="00490E2E" w:rsidRDefault="00CB7C2B" w:rsidP="00AE1806">
      <w:pPr>
        <w:spacing w:line="360" w:lineRule="auto"/>
        <w:contextualSpacing/>
        <w:jc w:val="both"/>
        <w:rPr>
          <w:rFonts w:ascii="Palatino Linotype" w:eastAsia="Batang" w:hAnsi="Palatino Linotype" w:cs="Tahoma"/>
          <w:b/>
          <w:bCs/>
          <w:sz w:val="22"/>
          <w:szCs w:val="22"/>
        </w:rPr>
      </w:pPr>
    </w:p>
    <w:p w14:paraId="01D41F41" w14:textId="7D11646C" w:rsidR="00CB7C2B" w:rsidRPr="00490E2E" w:rsidRDefault="00CB7C2B" w:rsidP="00AE1806">
      <w:pPr>
        <w:spacing w:line="360" w:lineRule="auto"/>
        <w:contextualSpacing/>
        <w:jc w:val="both"/>
        <w:rPr>
          <w:rFonts w:ascii="Palatino Linotype" w:eastAsia="Batang" w:hAnsi="Palatino Linotype" w:cs="Tahoma"/>
          <w:bCs/>
          <w:sz w:val="22"/>
          <w:szCs w:val="22"/>
        </w:rPr>
      </w:pPr>
      <w:r w:rsidRPr="00490E2E">
        <w:rPr>
          <w:rFonts w:ascii="Palatino Linotype" w:hAnsi="Palatino Linotype"/>
          <w:b/>
          <w:bCs/>
          <w:sz w:val="22"/>
          <w:szCs w:val="22"/>
        </w:rPr>
        <w:t xml:space="preserve">a) Turno del Recurso de Revisión. </w:t>
      </w:r>
      <w:r w:rsidRPr="00490E2E">
        <w:rPr>
          <w:rFonts w:ascii="Palatino Linotype" w:eastAsia="Batang" w:hAnsi="Palatino Linotype" w:cs="Tahoma"/>
          <w:bCs/>
          <w:sz w:val="22"/>
          <w:szCs w:val="22"/>
          <w:lang w:val="es-ES_tradnl"/>
        </w:rPr>
        <w:t xml:space="preserve">El </w:t>
      </w:r>
      <w:r w:rsidR="00CA102A" w:rsidRPr="00490E2E">
        <w:rPr>
          <w:rFonts w:ascii="Palatino Linotype" w:eastAsia="Batang" w:hAnsi="Palatino Linotype" w:cs="Tahoma"/>
          <w:bCs/>
          <w:sz w:val="22"/>
          <w:szCs w:val="22"/>
          <w:lang w:val="es-ES_tradnl"/>
        </w:rPr>
        <w:t xml:space="preserve">once de junio </w:t>
      </w:r>
      <w:r w:rsidRPr="00490E2E">
        <w:rPr>
          <w:rFonts w:ascii="Palatino Linotype" w:hAnsi="Palatino Linotype" w:cs="Tahoma"/>
          <w:sz w:val="22"/>
          <w:szCs w:val="22"/>
        </w:rPr>
        <w:t>de dos mil veinticinco</w:t>
      </w:r>
      <w:r w:rsidRPr="00490E2E">
        <w:rPr>
          <w:rFonts w:ascii="Palatino Linotype" w:eastAsia="Batang" w:hAnsi="Palatino Linotype" w:cs="Tahoma"/>
          <w:bCs/>
          <w:sz w:val="22"/>
          <w:szCs w:val="22"/>
          <w:lang w:val="es-ES_tradnl"/>
        </w:rPr>
        <w:t xml:space="preserve">, el SAIMEX, asignó el número de expediente </w:t>
      </w:r>
      <w:r w:rsidRPr="00490E2E">
        <w:rPr>
          <w:rFonts w:ascii="Palatino Linotype" w:eastAsia="Batang" w:hAnsi="Palatino Linotype" w:cs="Tahoma"/>
          <w:b/>
          <w:sz w:val="22"/>
          <w:szCs w:val="22"/>
          <w:lang w:val="es-ES_tradnl"/>
        </w:rPr>
        <w:t>06</w:t>
      </w:r>
      <w:r w:rsidR="00CA102A" w:rsidRPr="00490E2E">
        <w:rPr>
          <w:rFonts w:ascii="Palatino Linotype" w:eastAsia="Batang" w:hAnsi="Palatino Linotype" w:cs="Tahoma"/>
          <w:b/>
          <w:sz w:val="22"/>
          <w:szCs w:val="22"/>
          <w:lang w:val="es-ES_tradnl"/>
        </w:rPr>
        <w:t>8</w:t>
      </w:r>
      <w:r w:rsidRPr="00490E2E">
        <w:rPr>
          <w:rFonts w:ascii="Palatino Linotype" w:eastAsia="Batang" w:hAnsi="Palatino Linotype" w:cs="Tahoma"/>
          <w:b/>
          <w:sz w:val="22"/>
          <w:szCs w:val="22"/>
          <w:lang w:val="es-ES_tradnl"/>
        </w:rPr>
        <w:t>21/INFOEM/IP/RR/2025</w:t>
      </w:r>
      <w:r w:rsidRPr="00490E2E">
        <w:rPr>
          <w:rFonts w:ascii="Palatino Linotype" w:eastAsia="Batang" w:hAnsi="Palatino Linotype" w:cs="Tahoma"/>
          <w:bCs/>
          <w:sz w:val="22"/>
          <w:szCs w:val="22"/>
          <w:lang w:val="es-ES_tradnl"/>
        </w:rPr>
        <w:t xml:space="preserve"> al medio de impugnación que nos ocupa, con base en el sistema aprobado por el Pleno de este Organismo Garante y lo turnó al Comisionado </w:t>
      </w:r>
      <w:r w:rsidRPr="00490E2E">
        <w:rPr>
          <w:rFonts w:ascii="Palatino Linotype" w:eastAsia="Batang" w:hAnsi="Palatino Linotype" w:cs="Tahoma"/>
          <w:b/>
          <w:sz w:val="22"/>
          <w:szCs w:val="22"/>
          <w:lang w:val="es-ES_tradnl"/>
        </w:rPr>
        <w:t>Luis Gustavo Parra Noriega</w:t>
      </w:r>
      <w:r w:rsidRPr="00490E2E">
        <w:rPr>
          <w:rFonts w:ascii="Palatino Linotype" w:eastAsia="Batang" w:hAnsi="Palatino Linotype" w:cs="Tahoma"/>
          <w:bCs/>
          <w:sz w:val="22"/>
          <w:szCs w:val="22"/>
          <w:lang w:val="es-ES_tradnl"/>
        </w:rPr>
        <w:t>, para los efectos del artículo 185, fracción I, de la Ley de Transparencia y Acceso a la Información Pública del Estado de México y Municipios.</w:t>
      </w:r>
    </w:p>
    <w:p w14:paraId="41BFAB19" w14:textId="77777777" w:rsidR="00CB7C2B" w:rsidRPr="00490E2E" w:rsidRDefault="00CB7C2B" w:rsidP="00AE1806">
      <w:pPr>
        <w:spacing w:line="360" w:lineRule="auto"/>
        <w:contextualSpacing/>
        <w:jc w:val="both"/>
        <w:rPr>
          <w:rFonts w:ascii="Palatino Linotype" w:eastAsia="Batang" w:hAnsi="Palatino Linotype" w:cs="Tahoma"/>
          <w:b/>
          <w:bCs/>
          <w:sz w:val="22"/>
          <w:szCs w:val="22"/>
        </w:rPr>
      </w:pPr>
    </w:p>
    <w:p w14:paraId="7113B78C" w14:textId="222322D3" w:rsidR="00CB7C2B" w:rsidRPr="00490E2E" w:rsidRDefault="00CB7C2B" w:rsidP="00AE1806">
      <w:pPr>
        <w:spacing w:line="360" w:lineRule="auto"/>
        <w:contextualSpacing/>
        <w:jc w:val="both"/>
        <w:rPr>
          <w:rFonts w:ascii="Palatino Linotype" w:eastAsia="Batang" w:hAnsi="Palatino Linotype" w:cs="Tahoma"/>
          <w:bCs/>
          <w:sz w:val="22"/>
          <w:szCs w:val="22"/>
          <w:lang w:val="es-ES_tradnl"/>
        </w:rPr>
      </w:pPr>
      <w:r w:rsidRPr="00490E2E">
        <w:rPr>
          <w:rFonts w:ascii="Palatino Linotype" w:eastAsia="Batang" w:hAnsi="Palatino Linotype" w:cs="Tahoma"/>
          <w:b/>
          <w:bCs/>
          <w:sz w:val="22"/>
          <w:szCs w:val="22"/>
        </w:rPr>
        <w:t xml:space="preserve">b) Admisión del </w:t>
      </w:r>
      <w:r w:rsidRPr="00490E2E">
        <w:rPr>
          <w:rFonts w:ascii="Palatino Linotype" w:hAnsi="Palatino Linotype" w:cs="Tahoma"/>
          <w:b/>
          <w:sz w:val="22"/>
          <w:szCs w:val="22"/>
        </w:rPr>
        <w:t>Recurso de Revisión</w:t>
      </w:r>
      <w:r w:rsidRPr="00490E2E">
        <w:rPr>
          <w:rFonts w:ascii="Palatino Linotype" w:eastAsia="Batang" w:hAnsi="Palatino Linotype" w:cs="Tahoma"/>
          <w:b/>
          <w:bCs/>
          <w:sz w:val="22"/>
          <w:szCs w:val="22"/>
          <w:lang w:val="es-ES_tradnl"/>
        </w:rPr>
        <w:t xml:space="preserve">. </w:t>
      </w:r>
      <w:r w:rsidRPr="00490E2E">
        <w:rPr>
          <w:rFonts w:ascii="Palatino Linotype" w:eastAsia="Batang" w:hAnsi="Palatino Linotype" w:cs="Tahoma"/>
          <w:bCs/>
          <w:sz w:val="22"/>
          <w:szCs w:val="22"/>
          <w:lang w:val="es-ES_tradnl"/>
        </w:rPr>
        <w:t xml:space="preserve">El </w:t>
      </w:r>
      <w:r w:rsidR="00CA102A" w:rsidRPr="00490E2E">
        <w:rPr>
          <w:rFonts w:ascii="Palatino Linotype" w:eastAsia="Batang" w:hAnsi="Palatino Linotype" w:cs="Tahoma"/>
          <w:bCs/>
          <w:sz w:val="22"/>
          <w:szCs w:val="22"/>
          <w:lang w:val="es-ES_tradnl"/>
        </w:rPr>
        <w:t>dieciséis</w:t>
      </w:r>
      <w:r w:rsidRPr="00490E2E">
        <w:rPr>
          <w:rFonts w:ascii="Palatino Linotype" w:eastAsia="Batang" w:hAnsi="Palatino Linotype" w:cs="Tahoma"/>
          <w:bCs/>
          <w:sz w:val="22"/>
          <w:szCs w:val="22"/>
          <w:lang w:val="es-ES_tradnl"/>
        </w:rPr>
        <w:t xml:space="preserve"> de junio de dos mil veinticinco, se acordó la admisión del Recurso de Revisión, interpuesto por la Recurrente, en contra del Sujeto </w:t>
      </w:r>
      <w:r w:rsidRPr="00490E2E">
        <w:rPr>
          <w:rFonts w:ascii="Palatino Linotype" w:eastAsia="Batang" w:hAnsi="Palatino Linotype" w:cs="Tahoma"/>
          <w:bCs/>
          <w:sz w:val="22"/>
          <w:szCs w:val="22"/>
          <w:lang w:val="es-ES_tradnl"/>
        </w:rPr>
        <w:lastRenderedPageBreak/>
        <w:t>Obligado, en términos del artículo 185, fracciones I y II, de la Ley de Transparencia y Acceso a la Información Pública del Estado de México y Municipios, el cual fue notificado a las partes el mismo día, a través del SAIMEX, en el que se les otorgó un plazo de siete días hábiles posteriores a la misma, para que manifestaran lo que a su derecho conviniera y formularan alegatos.</w:t>
      </w:r>
    </w:p>
    <w:p w14:paraId="1C75620F" w14:textId="77777777" w:rsidR="00CB7C2B" w:rsidRPr="00490E2E" w:rsidRDefault="00CB7C2B" w:rsidP="00AE1806">
      <w:pPr>
        <w:spacing w:line="360" w:lineRule="auto"/>
        <w:contextualSpacing/>
        <w:jc w:val="both"/>
        <w:rPr>
          <w:rFonts w:ascii="Palatino Linotype" w:eastAsia="Batang" w:hAnsi="Palatino Linotype" w:cs="Tahoma"/>
          <w:bCs/>
          <w:sz w:val="22"/>
          <w:szCs w:val="22"/>
          <w:lang w:val="es-ES_tradnl"/>
        </w:rPr>
      </w:pPr>
    </w:p>
    <w:p w14:paraId="5822D1D7" w14:textId="194B6ADF" w:rsidR="00CA102A" w:rsidRPr="00490E2E" w:rsidRDefault="00CB7C2B" w:rsidP="00AE1806">
      <w:pPr>
        <w:spacing w:line="360" w:lineRule="auto"/>
        <w:contextualSpacing/>
        <w:jc w:val="both"/>
        <w:rPr>
          <w:rFonts w:ascii="Palatino Linotype" w:hAnsi="Palatino Linotype" w:cs="Tahoma"/>
          <w:sz w:val="22"/>
          <w:szCs w:val="22"/>
          <w:lang w:val="es-ES_tradnl"/>
        </w:rPr>
      </w:pPr>
      <w:r w:rsidRPr="00490E2E">
        <w:rPr>
          <w:rFonts w:ascii="Palatino Linotype" w:hAnsi="Palatino Linotype"/>
          <w:b/>
          <w:sz w:val="22"/>
          <w:szCs w:val="22"/>
        </w:rPr>
        <w:t>c) Informe Justificado</w:t>
      </w:r>
      <w:r w:rsidR="00CA102A" w:rsidRPr="00490E2E">
        <w:rPr>
          <w:rFonts w:ascii="Palatino Linotype" w:hAnsi="Palatino Linotype"/>
          <w:b/>
          <w:sz w:val="22"/>
          <w:szCs w:val="22"/>
        </w:rPr>
        <w:t>.</w:t>
      </w:r>
      <w:r w:rsidRPr="00490E2E">
        <w:rPr>
          <w:rFonts w:ascii="Palatino Linotype" w:hAnsi="Palatino Linotype"/>
          <w:b/>
          <w:sz w:val="22"/>
          <w:szCs w:val="22"/>
        </w:rPr>
        <w:t xml:space="preserve"> </w:t>
      </w:r>
      <w:r w:rsidRPr="00490E2E">
        <w:rPr>
          <w:rFonts w:ascii="Palatino Linotype" w:hAnsi="Palatino Linotype" w:cs="Tahoma"/>
          <w:iCs/>
          <w:sz w:val="22"/>
          <w:szCs w:val="22"/>
          <w:lang w:val="es-ES"/>
        </w:rPr>
        <w:t xml:space="preserve">El </w:t>
      </w:r>
      <w:r w:rsidR="00CA102A" w:rsidRPr="00490E2E">
        <w:rPr>
          <w:rFonts w:ascii="Palatino Linotype" w:hAnsi="Palatino Linotype" w:cs="Tahoma"/>
          <w:iCs/>
          <w:sz w:val="22"/>
          <w:szCs w:val="22"/>
          <w:lang w:val="es-ES"/>
        </w:rPr>
        <w:t xml:space="preserve">veinticinco </w:t>
      </w:r>
      <w:r w:rsidRPr="00490E2E">
        <w:rPr>
          <w:rFonts w:ascii="Palatino Linotype" w:hAnsi="Palatino Linotype" w:cs="Tahoma"/>
          <w:iCs/>
          <w:sz w:val="22"/>
          <w:szCs w:val="22"/>
          <w:lang w:val="es-ES"/>
        </w:rPr>
        <w:t>de junio de dos mil veinticinco</w:t>
      </w:r>
      <w:r w:rsidRPr="00490E2E">
        <w:rPr>
          <w:rFonts w:ascii="Palatino Linotype" w:hAnsi="Palatino Linotype" w:cs="Tahoma"/>
          <w:sz w:val="22"/>
          <w:szCs w:val="22"/>
          <w:lang w:val="es-ES_tradnl"/>
        </w:rPr>
        <w:t>, se recibió, a través del Sistema de Acceso a la Información Mexiquense (SAIMEX), el Informe Justificado, a través de la digitalización de</w:t>
      </w:r>
      <w:r w:rsidR="00CA102A" w:rsidRPr="00490E2E">
        <w:rPr>
          <w:rFonts w:ascii="Palatino Linotype" w:hAnsi="Palatino Linotype" w:cs="Tahoma"/>
          <w:sz w:val="22"/>
          <w:szCs w:val="22"/>
          <w:lang w:val="es-ES_tradnl"/>
        </w:rPr>
        <w:t xml:space="preserve"> </w:t>
      </w:r>
      <w:r w:rsidRPr="00490E2E">
        <w:rPr>
          <w:rFonts w:ascii="Palatino Linotype" w:hAnsi="Palatino Linotype" w:cs="Tahoma"/>
          <w:sz w:val="22"/>
          <w:szCs w:val="22"/>
          <w:lang w:val="es-ES_tradnl"/>
        </w:rPr>
        <w:t>l</w:t>
      </w:r>
      <w:r w:rsidR="00CA102A" w:rsidRPr="00490E2E">
        <w:rPr>
          <w:rFonts w:ascii="Palatino Linotype" w:hAnsi="Palatino Linotype" w:cs="Tahoma"/>
          <w:sz w:val="22"/>
          <w:szCs w:val="22"/>
          <w:lang w:val="es-ES_tradnl"/>
        </w:rPr>
        <w:t>os documentos siguientes:</w:t>
      </w:r>
      <w:r w:rsidRPr="00490E2E">
        <w:rPr>
          <w:rFonts w:ascii="Palatino Linotype" w:hAnsi="Palatino Linotype" w:cs="Tahoma"/>
          <w:sz w:val="22"/>
          <w:szCs w:val="22"/>
          <w:lang w:val="es-ES_tradnl"/>
        </w:rPr>
        <w:t xml:space="preserve"> </w:t>
      </w:r>
    </w:p>
    <w:p w14:paraId="01A25CA0" w14:textId="77777777" w:rsidR="00CA102A" w:rsidRPr="00490E2E" w:rsidRDefault="00CA102A" w:rsidP="00AE1806">
      <w:pPr>
        <w:spacing w:line="360" w:lineRule="auto"/>
        <w:contextualSpacing/>
        <w:jc w:val="both"/>
        <w:rPr>
          <w:rFonts w:ascii="Palatino Linotype" w:hAnsi="Palatino Linotype" w:cs="Tahoma"/>
          <w:sz w:val="22"/>
          <w:szCs w:val="22"/>
          <w:lang w:val="es-ES_tradnl"/>
        </w:rPr>
      </w:pPr>
    </w:p>
    <w:p w14:paraId="5E3F9803" w14:textId="2CFABC50" w:rsidR="00CB7C2B" w:rsidRPr="00490E2E" w:rsidRDefault="00CA102A" w:rsidP="00AE1806">
      <w:pPr>
        <w:spacing w:line="360" w:lineRule="auto"/>
        <w:contextualSpacing/>
        <w:jc w:val="both"/>
        <w:rPr>
          <w:rFonts w:ascii="Palatino Linotype" w:hAnsi="Palatino Linotype" w:cs="Tahoma"/>
          <w:sz w:val="22"/>
          <w:szCs w:val="22"/>
        </w:rPr>
      </w:pPr>
      <w:r w:rsidRPr="00490E2E">
        <w:rPr>
          <w:rFonts w:ascii="Palatino Linotype" w:hAnsi="Palatino Linotype" w:cs="Tahoma"/>
          <w:sz w:val="22"/>
          <w:szCs w:val="22"/>
          <w:lang w:val="es-ES_tradnl"/>
        </w:rPr>
        <w:t>i) O</w:t>
      </w:r>
      <w:proofErr w:type="spellStart"/>
      <w:r w:rsidR="00CB7C2B" w:rsidRPr="00490E2E">
        <w:rPr>
          <w:rFonts w:ascii="Palatino Linotype" w:hAnsi="Palatino Linotype" w:cs="Tahoma"/>
          <w:sz w:val="22"/>
          <w:szCs w:val="22"/>
        </w:rPr>
        <w:t>ficio</w:t>
      </w:r>
      <w:proofErr w:type="spellEnd"/>
      <w:r w:rsidRPr="00490E2E">
        <w:rPr>
          <w:rFonts w:ascii="Palatino Linotype" w:hAnsi="Palatino Linotype" w:cs="Tahoma"/>
          <w:sz w:val="22"/>
          <w:szCs w:val="22"/>
        </w:rPr>
        <w:t xml:space="preserve"> </w:t>
      </w:r>
      <w:r w:rsidR="00CB7C2B" w:rsidRPr="00490E2E">
        <w:rPr>
          <w:rFonts w:ascii="Palatino Linotype" w:hAnsi="Palatino Linotype" w:cs="Tahoma"/>
          <w:sz w:val="22"/>
          <w:szCs w:val="22"/>
        </w:rPr>
        <w:t xml:space="preserve">número </w:t>
      </w:r>
      <w:r w:rsidRPr="00490E2E">
        <w:rPr>
          <w:rFonts w:ascii="Palatino Linotype" w:hAnsi="Palatino Linotype" w:cs="Tahoma"/>
          <w:sz w:val="22"/>
          <w:szCs w:val="22"/>
        </w:rPr>
        <w:t>UIPL</w:t>
      </w:r>
      <w:r w:rsidR="00CB7C2B" w:rsidRPr="00490E2E">
        <w:rPr>
          <w:rFonts w:ascii="Palatino Linotype" w:hAnsi="Palatino Linotype" w:cs="Tahoma"/>
          <w:sz w:val="22"/>
          <w:szCs w:val="22"/>
        </w:rPr>
        <w:t>/</w:t>
      </w:r>
      <w:r w:rsidRPr="00490E2E">
        <w:rPr>
          <w:rFonts w:ascii="Palatino Linotype" w:hAnsi="Palatino Linotype" w:cs="Tahoma"/>
          <w:sz w:val="22"/>
          <w:szCs w:val="22"/>
        </w:rPr>
        <w:t>1086</w:t>
      </w:r>
      <w:r w:rsidR="00CB7C2B" w:rsidRPr="00490E2E">
        <w:rPr>
          <w:rFonts w:ascii="Palatino Linotype" w:hAnsi="Palatino Linotype" w:cs="Tahoma"/>
          <w:sz w:val="22"/>
          <w:szCs w:val="22"/>
        </w:rPr>
        <w:t xml:space="preserve">/2025, </w:t>
      </w:r>
      <w:r w:rsidRPr="00490E2E">
        <w:rPr>
          <w:rFonts w:ascii="Palatino Linotype" w:hAnsi="Palatino Linotype" w:cs="Tahoma"/>
          <w:sz w:val="22"/>
          <w:szCs w:val="22"/>
        </w:rPr>
        <w:t xml:space="preserve">de fecha de su presentación, </w:t>
      </w:r>
      <w:r w:rsidR="00CB7C2B" w:rsidRPr="00490E2E">
        <w:rPr>
          <w:rFonts w:ascii="Palatino Linotype" w:hAnsi="Palatino Linotype" w:cs="Tahoma"/>
          <w:sz w:val="22"/>
          <w:szCs w:val="22"/>
        </w:rPr>
        <w:t xml:space="preserve">suscrito por </w:t>
      </w:r>
      <w:r w:rsidRPr="00490E2E">
        <w:rPr>
          <w:rFonts w:ascii="Palatino Linotype" w:hAnsi="Palatino Linotype" w:cs="Tahoma"/>
          <w:sz w:val="22"/>
          <w:szCs w:val="22"/>
        </w:rPr>
        <w:t>e</w:t>
      </w:r>
      <w:r w:rsidR="00CB7C2B" w:rsidRPr="00490E2E">
        <w:rPr>
          <w:rFonts w:ascii="Palatino Linotype" w:hAnsi="Palatino Linotype" w:cs="Tahoma"/>
          <w:sz w:val="22"/>
          <w:szCs w:val="22"/>
        </w:rPr>
        <w:t xml:space="preserve">l Titular de la Unidad de Transparencia, dirigido al Comisionado Ponente, a través del cual </w:t>
      </w:r>
      <w:r w:rsidRPr="00490E2E">
        <w:rPr>
          <w:rFonts w:ascii="Palatino Linotype" w:hAnsi="Palatino Linotype" w:cs="Tahoma"/>
          <w:sz w:val="22"/>
          <w:szCs w:val="22"/>
        </w:rPr>
        <w:t>esencialmente señala que remite el comprobante de pago del servidor público Víctor Hugo Montiel Chavero.</w:t>
      </w:r>
    </w:p>
    <w:p w14:paraId="119E1970" w14:textId="77777777" w:rsidR="00CA102A" w:rsidRPr="00490E2E" w:rsidRDefault="00CA102A" w:rsidP="00AE1806">
      <w:pPr>
        <w:spacing w:line="360" w:lineRule="auto"/>
        <w:contextualSpacing/>
      </w:pPr>
    </w:p>
    <w:p w14:paraId="53B9F410" w14:textId="324A68CD" w:rsidR="00CA102A" w:rsidRPr="00490E2E" w:rsidRDefault="00CA102A" w:rsidP="00AE1806">
      <w:pPr>
        <w:spacing w:line="360" w:lineRule="auto"/>
        <w:contextualSpacing/>
      </w:pPr>
      <w:proofErr w:type="spellStart"/>
      <w:r w:rsidRPr="00490E2E">
        <w:t>ii</w:t>
      </w:r>
      <w:proofErr w:type="spellEnd"/>
      <w:r w:rsidRPr="00490E2E">
        <w:t xml:space="preserve">) </w:t>
      </w:r>
      <w:r w:rsidRPr="00490E2E">
        <w:rPr>
          <w:rFonts w:ascii="Palatino Linotype" w:hAnsi="Palatino Linotype" w:cs="Tahoma"/>
          <w:sz w:val="22"/>
          <w:szCs w:val="22"/>
        </w:rPr>
        <w:t>Comprobante de pago del servidor público Víctor Hugo Montiel Chavero.</w:t>
      </w:r>
    </w:p>
    <w:p w14:paraId="48B79EA1" w14:textId="77777777" w:rsidR="00CB7C2B" w:rsidRPr="00490E2E" w:rsidRDefault="00CB7C2B" w:rsidP="00AE1806">
      <w:pPr>
        <w:autoSpaceDE w:val="0"/>
        <w:autoSpaceDN w:val="0"/>
        <w:adjustRightInd w:val="0"/>
        <w:spacing w:line="360" w:lineRule="auto"/>
        <w:contextualSpacing/>
        <w:jc w:val="both"/>
        <w:rPr>
          <w:rFonts w:ascii="Palatino Linotype" w:hAnsi="Palatino Linotype" w:cs="Tahoma"/>
          <w:b/>
          <w:sz w:val="22"/>
          <w:szCs w:val="22"/>
        </w:rPr>
      </w:pPr>
    </w:p>
    <w:p w14:paraId="450639CC" w14:textId="3991E002" w:rsidR="00CB7C2B" w:rsidRPr="00490E2E" w:rsidRDefault="005F6E78" w:rsidP="00AE1806">
      <w:pPr>
        <w:spacing w:line="360" w:lineRule="auto"/>
        <w:contextualSpacing/>
        <w:jc w:val="both"/>
        <w:rPr>
          <w:rFonts w:ascii="Palatino Linotype" w:hAnsi="Palatino Linotype" w:cs="Tahoma"/>
          <w:b/>
          <w:bCs/>
          <w:sz w:val="22"/>
          <w:szCs w:val="22"/>
        </w:rPr>
      </w:pPr>
      <w:r w:rsidRPr="00490E2E">
        <w:rPr>
          <w:rFonts w:ascii="Palatino Linotype" w:hAnsi="Palatino Linotype" w:cs="Tahoma"/>
          <w:b/>
          <w:bCs/>
          <w:sz w:val="22"/>
          <w:szCs w:val="22"/>
        </w:rPr>
        <w:t>d</w:t>
      </w:r>
      <w:r w:rsidR="00CB7C2B" w:rsidRPr="00490E2E">
        <w:rPr>
          <w:rFonts w:ascii="Palatino Linotype" w:hAnsi="Palatino Linotype" w:cs="Tahoma"/>
          <w:b/>
          <w:bCs/>
          <w:sz w:val="22"/>
          <w:szCs w:val="22"/>
        </w:rPr>
        <w:t xml:space="preserve">) </w:t>
      </w:r>
      <w:bookmarkStart w:id="8" w:name="_Hlk145410441"/>
      <w:r w:rsidR="00CB7C2B" w:rsidRPr="00490E2E">
        <w:rPr>
          <w:rFonts w:ascii="Palatino Linotype" w:hAnsi="Palatino Linotype" w:cs="Tahoma"/>
          <w:b/>
          <w:bCs/>
          <w:sz w:val="22"/>
          <w:szCs w:val="22"/>
        </w:rPr>
        <w:t>Cierre de instrucción.</w:t>
      </w:r>
      <w:r w:rsidR="00CB7C2B" w:rsidRPr="00490E2E">
        <w:rPr>
          <w:rFonts w:ascii="Palatino Linotype" w:hAnsi="Palatino Linotype" w:cs="Tahoma"/>
          <w:bCs/>
          <w:sz w:val="22"/>
          <w:szCs w:val="22"/>
        </w:rPr>
        <w:t xml:space="preserve"> El cinco de agosto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CB7C2B" w:rsidRPr="00490E2E">
        <w:rPr>
          <w:rFonts w:ascii="Palatino Linotype" w:hAnsi="Palatino Linotype" w:cs="Tahoma"/>
          <w:bCs/>
          <w:sz w:val="22"/>
          <w:szCs w:val="22"/>
          <w:lang w:val="es-ES"/>
        </w:rPr>
        <w:t>acto que fue notificado a las partes, mediante el SAIMEX, el mismo día.</w:t>
      </w:r>
    </w:p>
    <w:bookmarkEnd w:id="8"/>
    <w:p w14:paraId="1AE426A5" w14:textId="77777777" w:rsidR="00CB7C2B" w:rsidRPr="00490E2E" w:rsidRDefault="00CB7C2B" w:rsidP="00AE1806">
      <w:pPr>
        <w:autoSpaceDE w:val="0"/>
        <w:autoSpaceDN w:val="0"/>
        <w:adjustRightInd w:val="0"/>
        <w:spacing w:line="360" w:lineRule="auto"/>
        <w:contextualSpacing/>
        <w:jc w:val="both"/>
        <w:rPr>
          <w:rFonts w:ascii="Palatino Linotype" w:hAnsi="Palatino Linotype" w:cs="Tahoma"/>
          <w:b/>
          <w:sz w:val="22"/>
          <w:szCs w:val="22"/>
          <w:lang w:val="es-ES"/>
        </w:rPr>
      </w:pPr>
    </w:p>
    <w:p w14:paraId="3DAB521F" w14:textId="77777777" w:rsidR="00CB7C2B" w:rsidRPr="00490E2E" w:rsidRDefault="00CB7C2B" w:rsidP="00AE1806">
      <w:pPr>
        <w:spacing w:line="360" w:lineRule="auto"/>
        <w:contextualSpacing/>
        <w:jc w:val="both"/>
        <w:rPr>
          <w:rFonts w:ascii="Palatino Linotype" w:hAnsi="Palatino Linotype" w:cs="Tahoma"/>
          <w:color w:val="000000"/>
          <w:sz w:val="22"/>
          <w:szCs w:val="22"/>
        </w:rPr>
      </w:pPr>
      <w:r w:rsidRPr="00490E2E">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707A425B" w14:textId="77777777" w:rsidR="00CB7C2B" w:rsidRPr="00490E2E" w:rsidRDefault="00CB7C2B" w:rsidP="00AE1806">
      <w:pPr>
        <w:spacing w:line="360" w:lineRule="auto"/>
        <w:contextualSpacing/>
        <w:jc w:val="both"/>
        <w:rPr>
          <w:rFonts w:ascii="Palatino Linotype" w:hAnsi="Palatino Linotype" w:cs="Tahoma"/>
          <w:color w:val="000000"/>
          <w:sz w:val="22"/>
          <w:szCs w:val="22"/>
        </w:rPr>
      </w:pPr>
    </w:p>
    <w:p w14:paraId="1D5087C2" w14:textId="77777777" w:rsidR="00CB7C2B" w:rsidRPr="00490E2E" w:rsidRDefault="00CB7C2B" w:rsidP="00AE1806">
      <w:pPr>
        <w:pStyle w:val="Ttulo1"/>
        <w:spacing w:before="0" w:after="0" w:line="360" w:lineRule="auto"/>
        <w:contextualSpacing/>
        <w:jc w:val="center"/>
        <w:rPr>
          <w:rFonts w:ascii="Palatino Linotype" w:hAnsi="Palatino Linotype"/>
          <w:b/>
          <w:bCs/>
          <w:color w:val="auto"/>
          <w:sz w:val="22"/>
          <w:szCs w:val="22"/>
        </w:rPr>
      </w:pPr>
      <w:bookmarkStart w:id="9" w:name="_Toc205479215"/>
      <w:r w:rsidRPr="00490E2E">
        <w:rPr>
          <w:rFonts w:ascii="Palatino Linotype" w:hAnsi="Palatino Linotype"/>
          <w:b/>
          <w:bCs/>
          <w:color w:val="auto"/>
          <w:sz w:val="22"/>
          <w:szCs w:val="22"/>
        </w:rPr>
        <w:t>C O N S I D E R A N D O S</w:t>
      </w:r>
      <w:bookmarkEnd w:id="9"/>
    </w:p>
    <w:p w14:paraId="3574EA21" w14:textId="77777777" w:rsidR="00CB7C2B" w:rsidRPr="00490E2E" w:rsidRDefault="00CB7C2B" w:rsidP="00AE1806">
      <w:pPr>
        <w:spacing w:line="360" w:lineRule="auto"/>
        <w:contextualSpacing/>
      </w:pPr>
    </w:p>
    <w:p w14:paraId="6146C6DB" w14:textId="77777777" w:rsidR="00CB7C2B" w:rsidRPr="00490E2E" w:rsidRDefault="00CB7C2B" w:rsidP="00AE1806">
      <w:pPr>
        <w:pStyle w:val="Ttulo2"/>
        <w:spacing w:before="0" w:after="0" w:line="360" w:lineRule="auto"/>
        <w:contextualSpacing/>
        <w:rPr>
          <w:rFonts w:ascii="Palatino Linotype" w:hAnsi="Palatino Linotype"/>
          <w:b/>
          <w:bCs/>
          <w:color w:val="auto"/>
          <w:sz w:val="22"/>
          <w:szCs w:val="22"/>
        </w:rPr>
      </w:pPr>
      <w:bookmarkStart w:id="10" w:name="_Toc205479216"/>
      <w:r w:rsidRPr="00490E2E">
        <w:rPr>
          <w:rFonts w:ascii="Palatino Linotype" w:hAnsi="Palatino Linotype"/>
          <w:b/>
          <w:bCs/>
          <w:color w:val="auto"/>
          <w:sz w:val="22"/>
          <w:szCs w:val="22"/>
        </w:rPr>
        <w:t>PRIMERO. Competencia</w:t>
      </w:r>
      <w:bookmarkEnd w:id="10"/>
    </w:p>
    <w:p w14:paraId="385C300D" w14:textId="77777777" w:rsidR="005F6E78" w:rsidRPr="00490E2E" w:rsidRDefault="005F6E78" w:rsidP="00AE1806">
      <w:pPr>
        <w:spacing w:line="360" w:lineRule="auto"/>
        <w:contextualSpacing/>
        <w:rPr>
          <w:rFonts w:eastAsia="Batang"/>
        </w:rPr>
      </w:pPr>
    </w:p>
    <w:p w14:paraId="7347BBB6" w14:textId="722CB658" w:rsidR="00CB7C2B" w:rsidRPr="00490E2E" w:rsidRDefault="005F6E78" w:rsidP="005F6E78">
      <w:pPr>
        <w:autoSpaceDE w:val="0"/>
        <w:autoSpaceDN w:val="0"/>
        <w:adjustRightInd w:val="0"/>
        <w:spacing w:line="360" w:lineRule="auto"/>
        <w:contextualSpacing/>
        <w:jc w:val="both"/>
        <w:rPr>
          <w:rFonts w:ascii="Palatino Linotype" w:hAnsi="Palatino Linotype" w:cs="Tahoma"/>
          <w:sz w:val="22"/>
          <w:szCs w:val="22"/>
          <w:lang w:val="es-ES"/>
        </w:rPr>
      </w:pPr>
      <w:r w:rsidRPr="00490E2E">
        <w:rPr>
          <w:rFonts w:ascii="Palatino Linotype" w:hAnsi="Palatino Linotype" w:cs="Tahoma"/>
          <w:sz w:val="22"/>
          <w:szCs w:val="22"/>
          <w:lang w:val="es-ES"/>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4046776" w14:textId="77777777" w:rsidR="00CB7C2B" w:rsidRPr="00490E2E" w:rsidRDefault="00CB7C2B" w:rsidP="00AE1806">
      <w:pPr>
        <w:spacing w:line="360" w:lineRule="auto"/>
        <w:contextualSpacing/>
        <w:jc w:val="both"/>
        <w:rPr>
          <w:rFonts w:ascii="Palatino Linotype" w:eastAsia="Calibri" w:hAnsi="Palatino Linotype" w:cs="Tahoma"/>
          <w:bCs/>
          <w:color w:val="000000"/>
          <w:sz w:val="22"/>
          <w:szCs w:val="22"/>
          <w:lang w:eastAsia="es-ES_tradnl"/>
        </w:rPr>
      </w:pPr>
    </w:p>
    <w:p w14:paraId="5801E41F" w14:textId="77777777" w:rsidR="00CB7C2B" w:rsidRPr="00490E2E" w:rsidRDefault="00CB7C2B" w:rsidP="00AE1806">
      <w:pPr>
        <w:pStyle w:val="Ttulo2"/>
        <w:spacing w:before="0" w:after="0" w:line="360" w:lineRule="auto"/>
        <w:contextualSpacing/>
        <w:rPr>
          <w:rFonts w:ascii="Palatino Linotype" w:hAnsi="Palatino Linotype"/>
          <w:b/>
          <w:bCs/>
          <w:color w:val="auto"/>
          <w:sz w:val="22"/>
          <w:szCs w:val="22"/>
          <w:lang w:val="es-ES"/>
        </w:rPr>
      </w:pPr>
      <w:bookmarkStart w:id="11" w:name="_Toc205479217"/>
      <w:r w:rsidRPr="00490E2E">
        <w:rPr>
          <w:rFonts w:ascii="Palatino Linotype" w:eastAsia="Calibri" w:hAnsi="Palatino Linotype"/>
          <w:b/>
          <w:bCs/>
          <w:color w:val="auto"/>
          <w:sz w:val="22"/>
          <w:szCs w:val="22"/>
          <w:lang w:val="es-ES" w:eastAsia="es-MX"/>
        </w:rPr>
        <w:t xml:space="preserve">SEGUNDO. </w:t>
      </w:r>
      <w:r w:rsidRPr="00490E2E">
        <w:rPr>
          <w:rFonts w:ascii="Palatino Linotype" w:hAnsi="Palatino Linotype"/>
          <w:b/>
          <w:bCs/>
          <w:color w:val="auto"/>
          <w:sz w:val="22"/>
          <w:szCs w:val="22"/>
          <w:lang w:val="es-ES"/>
        </w:rPr>
        <w:t>Causales de improcedencia y sobreseimiento</w:t>
      </w:r>
      <w:bookmarkEnd w:id="11"/>
    </w:p>
    <w:p w14:paraId="5B995353" w14:textId="77777777" w:rsidR="00CB7C2B" w:rsidRPr="00490E2E" w:rsidRDefault="00CB7C2B" w:rsidP="00AE1806">
      <w:pPr>
        <w:autoSpaceDE w:val="0"/>
        <w:autoSpaceDN w:val="0"/>
        <w:adjustRightInd w:val="0"/>
        <w:spacing w:line="360" w:lineRule="auto"/>
        <w:contextualSpacing/>
        <w:jc w:val="both"/>
        <w:rPr>
          <w:rFonts w:ascii="Palatino Linotype" w:hAnsi="Palatino Linotype" w:cs="Tahoma"/>
          <w:b/>
          <w:sz w:val="22"/>
          <w:szCs w:val="22"/>
          <w:lang w:val="es-ES"/>
        </w:rPr>
      </w:pPr>
    </w:p>
    <w:p w14:paraId="241E7DBB" w14:textId="77777777" w:rsidR="00CB7C2B" w:rsidRPr="00490E2E" w:rsidRDefault="00CB7C2B" w:rsidP="00AE1806">
      <w:pPr>
        <w:autoSpaceDE w:val="0"/>
        <w:autoSpaceDN w:val="0"/>
        <w:adjustRightInd w:val="0"/>
        <w:spacing w:line="360" w:lineRule="auto"/>
        <w:contextualSpacing/>
        <w:jc w:val="both"/>
        <w:rPr>
          <w:rFonts w:ascii="Palatino Linotype" w:hAnsi="Palatino Linotype" w:cs="Tahoma"/>
          <w:sz w:val="22"/>
          <w:szCs w:val="22"/>
          <w:lang w:val="es-ES"/>
        </w:rPr>
      </w:pPr>
      <w:r w:rsidRPr="00490E2E">
        <w:rPr>
          <w:rFonts w:ascii="Palatino Linotype" w:hAnsi="Palatino Linotype" w:cs="Tahoma"/>
          <w:sz w:val="22"/>
          <w:szCs w:val="22"/>
          <w:lang w:val="es-ES"/>
        </w:rPr>
        <w:t xml:space="preserve">De las constancias que forma parte del Recurso de Revisión que se analiza, se advierte que previo al estudio del fondo de la </w:t>
      </w:r>
      <w:r w:rsidRPr="00490E2E">
        <w:rPr>
          <w:rFonts w:ascii="Palatino Linotype" w:hAnsi="Palatino Linotype" w:cs="Tahoma"/>
          <w:i/>
          <w:sz w:val="22"/>
          <w:szCs w:val="22"/>
          <w:lang w:val="es-ES"/>
        </w:rPr>
        <w:t>litis</w:t>
      </w:r>
      <w:r w:rsidRPr="00490E2E">
        <w:rPr>
          <w:rFonts w:ascii="Palatino Linotype" w:hAnsi="Palatino Linotype" w:cs="Tahoma"/>
          <w:sz w:val="22"/>
          <w:szCs w:val="22"/>
          <w:lang w:val="es-ES"/>
        </w:rPr>
        <w:t>, es necesario estudiar las causales de improcedencia y sobreseimiento que se adviertan, para determinar lo que en Derecho proceda.</w:t>
      </w:r>
    </w:p>
    <w:p w14:paraId="40CA3BF6" w14:textId="77777777" w:rsidR="00CB7C2B" w:rsidRPr="00490E2E" w:rsidRDefault="00CB7C2B" w:rsidP="00AE1806">
      <w:pPr>
        <w:spacing w:line="360" w:lineRule="auto"/>
        <w:contextualSpacing/>
        <w:jc w:val="both"/>
        <w:rPr>
          <w:rFonts w:ascii="Palatino Linotype" w:eastAsia="Calibri" w:hAnsi="Palatino Linotype" w:cs="Tahoma"/>
          <w:b/>
          <w:color w:val="000000"/>
          <w:sz w:val="22"/>
          <w:szCs w:val="22"/>
          <w:lang w:val="es-ES" w:eastAsia="es-MX"/>
        </w:rPr>
      </w:pPr>
    </w:p>
    <w:p w14:paraId="296B1BB8" w14:textId="77777777" w:rsidR="00CB7C2B" w:rsidRPr="00490E2E" w:rsidRDefault="00CB7C2B" w:rsidP="00AE1806">
      <w:pPr>
        <w:spacing w:line="360" w:lineRule="auto"/>
        <w:contextualSpacing/>
        <w:jc w:val="both"/>
        <w:rPr>
          <w:rFonts w:ascii="Palatino Linotype" w:hAnsi="Palatino Linotype" w:cs="Tahoma"/>
          <w:b/>
          <w:bCs/>
          <w:sz w:val="22"/>
          <w:szCs w:val="22"/>
          <w:lang w:val="es-ES"/>
        </w:rPr>
      </w:pPr>
      <w:r w:rsidRPr="00490E2E">
        <w:rPr>
          <w:rFonts w:ascii="Palatino Linotype" w:hAnsi="Palatino Linotype" w:cs="Tahoma"/>
          <w:b/>
          <w:bCs/>
          <w:sz w:val="22"/>
          <w:szCs w:val="22"/>
          <w:lang w:val="es-ES"/>
        </w:rPr>
        <w:t>Causales de improcedencia</w:t>
      </w:r>
    </w:p>
    <w:p w14:paraId="0D132309" w14:textId="77777777" w:rsidR="00CB7C2B" w:rsidRPr="00490E2E" w:rsidRDefault="00CB7C2B" w:rsidP="00AE1806">
      <w:pPr>
        <w:spacing w:line="360" w:lineRule="auto"/>
        <w:contextualSpacing/>
        <w:jc w:val="both"/>
        <w:rPr>
          <w:rFonts w:ascii="Palatino Linotype" w:hAnsi="Palatino Linotype" w:cs="Tahoma"/>
          <w:sz w:val="22"/>
          <w:szCs w:val="22"/>
          <w:lang w:val="es-ES"/>
        </w:rPr>
      </w:pPr>
    </w:p>
    <w:p w14:paraId="3233C4CC" w14:textId="77777777" w:rsidR="00CB7C2B" w:rsidRPr="00490E2E" w:rsidRDefault="00CB7C2B" w:rsidP="00AE1806">
      <w:pPr>
        <w:spacing w:line="360" w:lineRule="auto"/>
        <w:contextualSpacing/>
        <w:jc w:val="both"/>
        <w:rPr>
          <w:rFonts w:ascii="Palatino Linotype" w:hAnsi="Palatino Linotype" w:cs="Tahoma"/>
          <w:sz w:val="22"/>
          <w:szCs w:val="22"/>
          <w:lang w:val="es-ES"/>
        </w:rPr>
      </w:pPr>
      <w:r w:rsidRPr="00490E2E">
        <w:rPr>
          <w:rFonts w:ascii="Palatino Linotype" w:hAnsi="Palatino Linotype" w:cs="Tahoma"/>
          <w:sz w:val="22"/>
          <w:szCs w:val="22"/>
          <w:lang w:val="es-ES"/>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w:t>
      </w:r>
      <w:r w:rsidRPr="00490E2E">
        <w:rPr>
          <w:rFonts w:ascii="Palatino Linotype" w:hAnsi="Palatino Linotype" w:cs="Tahoma"/>
          <w:sz w:val="22"/>
          <w:szCs w:val="22"/>
          <w:lang w:val="es-ES"/>
        </w:rPr>
        <w:lastRenderedPageBreak/>
        <w:t>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7118640" w14:textId="77777777" w:rsidR="00CB7C2B" w:rsidRPr="00490E2E" w:rsidRDefault="00CB7C2B" w:rsidP="00AE1806">
      <w:pPr>
        <w:spacing w:line="360" w:lineRule="auto"/>
        <w:contextualSpacing/>
        <w:jc w:val="both"/>
        <w:rPr>
          <w:rFonts w:ascii="Palatino Linotype" w:hAnsi="Palatino Linotype" w:cs="Tahoma"/>
          <w:sz w:val="22"/>
          <w:szCs w:val="22"/>
          <w:lang w:val="es-ES"/>
        </w:rPr>
      </w:pPr>
    </w:p>
    <w:p w14:paraId="46580B4F" w14:textId="77777777" w:rsidR="00CB7C2B" w:rsidRPr="00490E2E" w:rsidRDefault="00CB7C2B" w:rsidP="00AE1806">
      <w:pPr>
        <w:spacing w:line="360" w:lineRule="auto"/>
        <w:contextualSpacing/>
        <w:jc w:val="both"/>
        <w:rPr>
          <w:rFonts w:ascii="Palatino Linotype" w:hAnsi="Palatino Linotype" w:cs="Tahoma"/>
          <w:sz w:val="22"/>
          <w:szCs w:val="22"/>
          <w:lang w:val="es-ES"/>
        </w:rPr>
      </w:pPr>
      <w:r w:rsidRPr="00490E2E">
        <w:rPr>
          <w:rFonts w:ascii="Palatino Linotype" w:hAnsi="Palatino Linotype" w:cs="Tahoma"/>
          <w:sz w:val="22"/>
          <w:szCs w:val="22"/>
          <w:lang w:val="es-ES"/>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3AB6A92C" w14:textId="77777777" w:rsidR="00CB7C2B" w:rsidRPr="00490E2E" w:rsidRDefault="00CB7C2B" w:rsidP="00AE1806">
      <w:pPr>
        <w:spacing w:line="360" w:lineRule="auto"/>
        <w:contextualSpacing/>
        <w:jc w:val="both"/>
        <w:rPr>
          <w:rFonts w:ascii="Palatino Linotype" w:hAnsi="Palatino Linotype" w:cs="Tahoma"/>
          <w:sz w:val="22"/>
          <w:szCs w:val="22"/>
          <w:lang w:val="es-ES"/>
        </w:rPr>
      </w:pPr>
    </w:p>
    <w:p w14:paraId="0C84BDCD" w14:textId="68DD51C3" w:rsidR="00CB7C2B" w:rsidRPr="00490E2E" w:rsidRDefault="00CB7C2B" w:rsidP="00AE1806">
      <w:pPr>
        <w:spacing w:line="360" w:lineRule="auto"/>
        <w:contextualSpacing/>
        <w:jc w:val="both"/>
        <w:rPr>
          <w:rFonts w:ascii="Palatino Linotype" w:hAnsi="Palatino Linotype" w:cs="Tahoma"/>
          <w:sz w:val="22"/>
          <w:szCs w:val="22"/>
          <w:lang w:val="es-ES"/>
        </w:rPr>
      </w:pPr>
      <w:r w:rsidRPr="00490E2E">
        <w:rPr>
          <w:rFonts w:ascii="Palatino Linotype" w:hAnsi="Palatino Linotype" w:cs="Tahoma"/>
          <w:sz w:val="22"/>
          <w:szCs w:val="22"/>
          <w:lang w:val="es-ES"/>
        </w:rPr>
        <w:t xml:space="preserve">Asimismo, se actualiza la causal de procedencia del Recurso de Revisión establecida en el artículo 179, fracción </w:t>
      </w:r>
      <w:r w:rsidR="00CA102A" w:rsidRPr="00490E2E">
        <w:rPr>
          <w:rFonts w:ascii="Palatino Linotype" w:hAnsi="Palatino Linotype" w:cs="Tahoma"/>
          <w:sz w:val="22"/>
          <w:szCs w:val="22"/>
          <w:lang w:val="es-ES"/>
        </w:rPr>
        <w:t>V</w:t>
      </w:r>
      <w:r w:rsidRPr="00490E2E">
        <w:rPr>
          <w:rFonts w:ascii="Palatino Linotype" w:hAnsi="Palatino Linotype" w:cs="Tahoma"/>
          <w:sz w:val="22"/>
          <w:szCs w:val="22"/>
          <w:lang w:val="es-ES"/>
        </w:rPr>
        <w:t>, de la Ley de Transparencia y Acceso a la Información Pública del Estado de México y Municipios, referente a la negativa de información</w:t>
      </w:r>
      <w:r w:rsidR="00CA102A" w:rsidRPr="00490E2E">
        <w:rPr>
          <w:rFonts w:ascii="Palatino Linotype" w:hAnsi="Palatino Linotype" w:cs="Tahoma"/>
          <w:sz w:val="22"/>
          <w:szCs w:val="22"/>
          <w:lang w:val="es-ES"/>
        </w:rPr>
        <w:t xml:space="preserve"> incompleta</w:t>
      </w:r>
      <w:r w:rsidRPr="00490E2E">
        <w:rPr>
          <w:rFonts w:ascii="Palatino Linotype" w:hAnsi="Palatino Linotype" w:cs="Tahoma"/>
          <w:sz w:val="22"/>
          <w:szCs w:val="22"/>
          <w:lang w:val="es-ES"/>
        </w:rPr>
        <w:t>.</w:t>
      </w:r>
      <w:bookmarkStart w:id="12" w:name="_Toc199369390"/>
    </w:p>
    <w:p w14:paraId="5B721985" w14:textId="77777777" w:rsidR="00CB7C2B" w:rsidRPr="00490E2E" w:rsidRDefault="00CB7C2B" w:rsidP="00AE1806">
      <w:pPr>
        <w:spacing w:line="360" w:lineRule="auto"/>
        <w:contextualSpacing/>
        <w:jc w:val="both"/>
        <w:rPr>
          <w:rFonts w:ascii="Palatino Linotype" w:hAnsi="Palatino Linotype" w:cs="Tahoma"/>
          <w:sz w:val="22"/>
          <w:szCs w:val="22"/>
          <w:lang w:val="es-ES"/>
        </w:rPr>
      </w:pPr>
    </w:p>
    <w:p w14:paraId="4349D80F" w14:textId="77777777" w:rsidR="00CB7C2B" w:rsidRPr="00490E2E" w:rsidRDefault="00CB7C2B" w:rsidP="00AE1806">
      <w:pPr>
        <w:pStyle w:val="Ttulo2"/>
        <w:spacing w:before="0" w:after="0" w:line="360" w:lineRule="auto"/>
        <w:contextualSpacing/>
        <w:rPr>
          <w:rFonts w:ascii="Palatino Linotype" w:eastAsia="Calibri" w:hAnsi="Palatino Linotype"/>
          <w:b/>
          <w:bCs/>
          <w:color w:val="auto"/>
          <w:sz w:val="22"/>
          <w:szCs w:val="22"/>
          <w:lang w:val="es-ES" w:eastAsia="es-ES_tradnl"/>
        </w:rPr>
      </w:pPr>
      <w:bookmarkStart w:id="13" w:name="_Toc205479218"/>
      <w:r w:rsidRPr="00490E2E">
        <w:rPr>
          <w:rFonts w:ascii="Palatino Linotype" w:eastAsia="Calibri" w:hAnsi="Palatino Linotype"/>
          <w:b/>
          <w:bCs/>
          <w:color w:val="auto"/>
          <w:sz w:val="22"/>
          <w:szCs w:val="22"/>
          <w:lang w:val="es-ES" w:eastAsia="es-ES_tradnl"/>
        </w:rPr>
        <w:t>TERCERO. Determinación de la Controversia</w:t>
      </w:r>
      <w:bookmarkEnd w:id="12"/>
      <w:bookmarkEnd w:id="13"/>
    </w:p>
    <w:p w14:paraId="02F2A200" w14:textId="77777777" w:rsidR="00CB7C2B" w:rsidRPr="00490E2E" w:rsidRDefault="00CB7C2B" w:rsidP="00AE1806">
      <w:pPr>
        <w:spacing w:line="360" w:lineRule="auto"/>
        <w:contextualSpacing/>
        <w:jc w:val="both"/>
        <w:rPr>
          <w:rFonts w:ascii="Palatino Linotype" w:hAnsi="Palatino Linotype" w:cs="Tahoma"/>
          <w:sz w:val="22"/>
          <w:szCs w:val="22"/>
          <w:lang w:val="es-ES"/>
        </w:rPr>
      </w:pPr>
    </w:p>
    <w:p w14:paraId="313D98B7" w14:textId="655FCDFA" w:rsidR="00CB7C2B" w:rsidRPr="00490E2E" w:rsidRDefault="00CB7C2B" w:rsidP="00AE1806">
      <w:pPr>
        <w:spacing w:line="360" w:lineRule="auto"/>
        <w:contextualSpacing/>
        <w:jc w:val="both"/>
        <w:rPr>
          <w:rFonts w:ascii="Palatino Linotype" w:hAnsi="Palatino Linotype" w:cs="Tahoma"/>
          <w:sz w:val="22"/>
          <w:szCs w:val="22"/>
        </w:rPr>
      </w:pPr>
      <w:r w:rsidRPr="00490E2E">
        <w:rPr>
          <w:rFonts w:ascii="Palatino Linotype" w:hAnsi="Palatino Linotype" w:cs="Tahoma"/>
          <w:sz w:val="22"/>
          <w:szCs w:val="22"/>
        </w:rPr>
        <w:t>Con el objetivo de ilustrar la controversia planteada, resulta conveniente precisar, que una vez realizado el estudio de las constancias que integran el expediente en el que se actúa, se desprende que el Particular requirió</w:t>
      </w:r>
      <w:r w:rsidR="00CA102A" w:rsidRPr="00490E2E">
        <w:rPr>
          <w:rFonts w:ascii="Palatino Linotype" w:hAnsi="Palatino Linotype" w:cs="Tahoma"/>
          <w:sz w:val="22"/>
          <w:szCs w:val="22"/>
        </w:rPr>
        <w:t xml:space="preserve"> respecto del servidor público Víctor Hugo Montiel Chavero, al veinte de mayo de dos mil veinticinco, los documentos que dieran cuenta de lo siguiente:</w:t>
      </w:r>
    </w:p>
    <w:p w14:paraId="3E70156E" w14:textId="77777777" w:rsidR="00CA102A" w:rsidRPr="00490E2E" w:rsidRDefault="00CA102A" w:rsidP="00AE1806">
      <w:pPr>
        <w:spacing w:line="360" w:lineRule="auto"/>
        <w:contextualSpacing/>
        <w:jc w:val="both"/>
        <w:rPr>
          <w:rFonts w:ascii="Palatino Linotype" w:hAnsi="Palatino Linotype" w:cs="Tahoma"/>
          <w:sz w:val="22"/>
          <w:szCs w:val="22"/>
        </w:rPr>
      </w:pPr>
    </w:p>
    <w:p w14:paraId="417CB66D" w14:textId="0C262C3D" w:rsidR="00CA102A" w:rsidRPr="00490E2E" w:rsidRDefault="00CA102A" w:rsidP="00AE1806">
      <w:pPr>
        <w:pStyle w:val="Prrafodelista"/>
        <w:numPr>
          <w:ilvl w:val="0"/>
          <w:numId w:val="14"/>
        </w:numPr>
        <w:spacing w:line="360" w:lineRule="auto"/>
        <w:jc w:val="both"/>
        <w:rPr>
          <w:rFonts w:ascii="Palatino Linotype" w:hAnsi="Palatino Linotype" w:cs="Tahoma"/>
          <w:sz w:val="22"/>
          <w:szCs w:val="22"/>
        </w:rPr>
      </w:pPr>
      <w:r w:rsidRPr="00490E2E">
        <w:rPr>
          <w:rFonts w:ascii="Palatino Linotype" w:hAnsi="Palatino Linotype" w:cs="Tahoma"/>
          <w:sz w:val="22"/>
          <w:szCs w:val="22"/>
        </w:rPr>
        <w:t>Funciones; y</w:t>
      </w:r>
    </w:p>
    <w:p w14:paraId="3FE83E0E" w14:textId="4889CE8C" w:rsidR="00CA102A" w:rsidRPr="00490E2E" w:rsidRDefault="00CA102A" w:rsidP="00AE1806">
      <w:pPr>
        <w:pStyle w:val="Prrafodelista"/>
        <w:numPr>
          <w:ilvl w:val="0"/>
          <w:numId w:val="14"/>
        </w:numPr>
        <w:spacing w:line="360" w:lineRule="auto"/>
        <w:jc w:val="both"/>
        <w:rPr>
          <w:rFonts w:ascii="Palatino Linotype" w:hAnsi="Palatino Linotype" w:cs="Tahoma"/>
          <w:sz w:val="22"/>
          <w:szCs w:val="22"/>
        </w:rPr>
      </w:pPr>
      <w:r w:rsidRPr="00490E2E">
        <w:rPr>
          <w:rFonts w:ascii="Palatino Linotype" w:hAnsi="Palatino Linotype" w:cs="Tahoma"/>
          <w:sz w:val="22"/>
          <w:szCs w:val="22"/>
        </w:rPr>
        <w:lastRenderedPageBreak/>
        <w:t>Recibo de Nómina.</w:t>
      </w:r>
    </w:p>
    <w:p w14:paraId="23187F99" w14:textId="77777777" w:rsidR="00CB7C2B" w:rsidRPr="00490E2E" w:rsidRDefault="00CB7C2B" w:rsidP="00AE1806">
      <w:pPr>
        <w:spacing w:line="360" w:lineRule="auto"/>
        <w:contextualSpacing/>
        <w:jc w:val="both"/>
        <w:rPr>
          <w:rFonts w:ascii="Palatino Linotype" w:hAnsi="Palatino Linotype"/>
          <w:color w:val="000000"/>
          <w:sz w:val="22"/>
          <w:szCs w:val="22"/>
          <w:lang w:eastAsia="es-ES_tradnl"/>
        </w:rPr>
      </w:pPr>
    </w:p>
    <w:p w14:paraId="615884CD" w14:textId="77777777" w:rsidR="00CA102A" w:rsidRPr="00490E2E" w:rsidRDefault="00CB7C2B" w:rsidP="00AE1806">
      <w:pPr>
        <w:spacing w:line="360" w:lineRule="auto"/>
        <w:contextualSpacing/>
        <w:jc w:val="both"/>
        <w:rPr>
          <w:rFonts w:ascii="Palatino Linotype" w:hAnsi="Palatino Linotype"/>
          <w:color w:val="0D0D0D"/>
          <w:sz w:val="22"/>
          <w:szCs w:val="22"/>
        </w:rPr>
      </w:pPr>
      <w:r w:rsidRPr="00490E2E">
        <w:rPr>
          <w:rFonts w:ascii="Palatino Linotype" w:hAnsi="Palatino Linotype"/>
          <w:color w:val="000000"/>
          <w:sz w:val="22"/>
          <w:szCs w:val="22"/>
        </w:rPr>
        <w:t>En respuesta, el Sujeto Obligado, a través del Titular de la Unidad e Transparencia</w:t>
      </w:r>
      <w:r w:rsidR="00CA102A" w:rsidRPr="00490E2E">
        <w:rPr>
          <w:rFonts w:ascii="Palatino Linotype" w:hAnsi="Palatino Linotype"/>
          <w:color w:val="000000"/>
          <w:sz w:val="22"/>
          <w:szCs w:val="22"/>
        </w:rPr>
        <w:t xml:space="preserve"> informó que el servidor público solicitado desempeñaba el cargo de asesor, encargado de auxiliar de la diputada referida en el cumplimiento de sus facultades y obligaciones</w:t>
      </w:r>
      <w:r w:rsidR="00CA102A" w:rsidRPr="00490E2E">
        <w:rPr>
          <w:rFonts w:ascii="Palatino Linotype" w:hAnsi="Palatino Linotype" w:cs="Tahoma"/>
          <w:sz w:val="22"/>
          <w:szCs w:val="22"/>
        </w:rPr>
        <w:t>, además proporcionó el acuerdo del comité de transparencia que sustentaba la clasificación del recibo de nómina correspondiente a la primera quincena de mayo;</w:t>
      </w:r>
      <w:r w:rsidRPr="00490E2E">
        <w:rPr>
          <w:rFonts w:ascii="Palatino Linotype" w:hAnsi="Palatino Linotype"/>
          <w:sz w:val="22"/>
          <w:szCs w:val="22"/>
        </w:rPr>
        <w:t xml:space="preserve"> </w:t>
      </w:r>
      <w:r w:rsidRPr="00490E2E">
        <w:rPr>
          <w:rFonts w:ascii="Palatino Linotype" w:hAnsi="Palatino Linotype" w:cs="Tahoma"/>
          <w:sz w:val="22"/>
          <w:szCs w:val="22"/>
          <w:lang w:val="es-ES"/>
        </w:rPr>
        <w:t xml:space="preserve">ante dicha circunstancia, el Particular se inconformó de la </w:t>
      </w:r>
      <w:r w:rsidR="00CA102A" w:rsidRPr="00490E2E">
        <w:rPr>
          <w:rFonts w:ascii="Palatino Linotype" w:hAnsi="Palatino Linotype" w:cs="Tahoma"/>
          <w:sz w:val="22"/>
          <w:szCs w:val="22"/>
          <w:lang w:val="es-ES"/>
        </w:rPr>
        <w:t xml:space="preserve">entrega de </w:t>
      </w:r>
      <w:r w:rsidRPr="00490E2E">
        <w:rPr>
          <w:rFonts w:ascii="Palatino Linotype" w:hAnsi="Palatino Linotype" w:cs="Tahoma"/>
          <w:sz w:val="22"/>
          <w:szCs w:val="22"/>
          <w:lang w:val="es-ES"/>
        </w:rPr>
        <w:t>información</w:t>
      </w:r>
      <w:r w:rsidR="00CA102A" w:rsidRPr="00490E2E">
        <w:rPr>
          <w:rFonts w:ascii="Palatino Linotype" w:hAnsi="Palatino Linotype" w:cs="Tahoma"/>
          <w:sz w:val="22"/>
          <w:szCs w:val="22"/>
          <w:lang w:val="es-ES"/>
        </w:rPr>
        <w:t xml:space="preserve"> incompleta</w:t>
      </w:r>
      <w:r w:rsidRPr="00490E2E">
        <w:rPr>
          <w:rFonts w:ascii="Palatino Linotype" w:hAnsi="Palatino Linotype" w:cs="Tahoma"/>
          <w:sz w:val="22"/>
          <w:szCs w:val="22"/>
          <w:lang w:val="es-ES"/>
        </w:rPr>
        <w:t xml:space="preserve">, al </w:t>
      </w:r>
      <w:r w:rsidR="00CA102A" w:rsidRPr="00490E2E">
        <w:rPr>
          <w:rFonts w:ascii="Palatino Linotype" w:hAnsi="Palatino Linotype" w:cs="Tahoma"/>
          <w:sz w:val="22"/>
          <w:szCs w:val="22"/>
          <w:lang w:val="es-ES"/>
        </w:rPr>
        <w:t>precisar que no le habían proporcionado el recibo de nómina del servidor público requerido</w:t>
      </w:r>
      <w:r w:rsidRPr="00490E2E">
        <w:rPr>
          <w:rFonts w:ascii="Palatino Linotype" w:hAnsi="Palatino Linotype" w:cs="Tahoma"/>
          <w:sz w:val="22"/>
          <w:szCs w:val="22"/>
          <w:lang w:val="es-ES"/>
        </w:rPr>
        <w:t xml:space="preserve">, lo cual </w:t>
      </w:r>
      <w:r w:rsidRPr="00490E2E">
        <w:rPr>
          <w:rFonts w:ascii="Palatino Linotype" w:eastAsia="Calibri" w:hAnsi="Palatino Linotype" w:cs="Tahoma"/>
          <w:sz w:val="22"/>
          <w:szCs w:val="22"/>
        </w:rPr>
        <w:t xml:space="preserve">actualiza la causal de procedencia prevista en la fracción </w:t>
      </w:r>
      <w:r w:rsidR="00CA102A" w:rsidRPr="00490E2E">
        <w:rPr>
          <w:rFonts w:ascii="Palatino Linotype" w:eastAsia="Calibri" w:hAnsi="Palatino Linotype" w:cs="Tahoma"/>
          <w:sz w:val="22"/>
          <w:szCs w:val="22"/>
        </w:rPr>
        <w:t>V</w:t>
      </w:r>
      <w:r w:rsidRPr="00490E2E">
        <w:rPr>
          <w:rFonts w:ascii="Palatino Linotype" w:eastAsia="Calibri" w:hAnsi="Palatino Linotype" w:cs="Tahoma"/>
          <w:sz w:val="22"/>
          <w:szCs w:val="22"/>
        </w:rPr>
        <w:t>, del artículo 179 de la Ley de Transparencia y Acceso a la Información Pública del Estado de México y Municipios</w:t>
      </w:r>
      <w:r w:rsidRPr="00490E2E">
        <w:rPr>
          <w:rFonts w:ascii="Palatino Linotype" w:hAnsi="Palatino Linotype"/>
          <w:color w:val="0D0D0D"/>
          <w:sz w:val="22"/>
          <w:szCs w:val="22"/>
        </w:rPr>
        <w:t xml:space="preserve">. </w:t>
      </w:r>
    </w:p>
    <w:p w14:paraId="1DC50B21" w14:textId="77777777" w:rsidR="00421355" w:rsidRPr="00490E2E" w:rsidRDefault="00421355" w:rsidP="00AE1806">
      <w:pPr>
        <w:spacing w:line="360" w:lineRule="auto"/>
        <w:contextualSpacing/>
        <w:jc w:val="both"/>
        <w:rPr>
          <w:rFonts w:ascii="Palatino Linotype" w:hAnsi="Palatino Linotype"/>
          <w:color w:val="0D0D0D"/>
          <w:sz w:val="22"/>
          <w:szCs w:val="22"/>
        </w:rPr>
      </w:pPr>
    </w:p>
    <w:p w14:paraId="3444FB81" w14:textId="02417838" w:rsidR="00421355" w:rsidRPr="00490E2E" w:rsidRDefault="00421355" w:rsidP="00AE1806">
      <w:pPr>
        <w:spacing w:line="360" w:lineRule="auto"/>
        <w:contextualSpacing/>
        <w:jc w:val="both"/>
        <w:rPr>
          <w:rFonts w:ascii="Palatino Linotype" w:hAnsi="Palatino Linotype"/>
          <w:color w:val="0D0D0D"/>
          <w:sz w:val="22"/>
          <w:szCs w:val="22"/>
        </w:rPr>
      </w:pPr>
      <w:r w:rsidRPr="00490E2E">
        <w:rPr>
          <w:rFonts w:ascii="Palatino Linotype" w:hAnsi="Palatino Linotype"/>
          <w:color w:val="0D0D0D"/>
          <w:sz w:val="22"/>
          <w:szCs w:val="22"/>
        </w:rPr>
        <w:t xml:space="preserve">Conforme a lo anterior, el Particular no se inconformó de las funciones del servidor público solicitado señaladas en respuesta; sino de que no le proporcionaron el recibo de nómina requerido. Así, de conformidad con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w:t>
      </w:r>
      <w:r w:rsidRPr="00490E2E">
        <w:rPr>
          <w:rFonts w:ascii="Palatino Linotype" w:hAnsi="Palatino Linotype"/>
          <w:b/>
          <w:bCs/>
          <w:color w:val="0D0D0D"/>
          <w:sz w:val="22"/>
          <w:szCs w:val="22"/>
        </w:rPr>
        <w:t>los actos que se hayan consentido tácitamente,</w:t>
      </w:r>
      <w:r w:rsidRPr="00490E2E">
        <w:rPr>
          <w:rFonts w:ascii="Palatino Linotype" w:hAnsi="Palatino Linotype"/>
          <w:color w:val="0D0D0D"/>
          <w:sz w:val="22"/>
          <w:szCs w:val="22"/>
        </w:rPr>
        <w:t xml:space="preserve"> entendiéndose por estos cuando el agravio no se haya promovido en el plazo señalado para el efecto.</w:t>
      </w:r>
    </w:p>
    <w:p w14:paraId="55715622" w14:textId="77777777" w:rsidR="00421355" w:rsidRPr="00490E2E" w:rsidRDefault="00421355" w:rsidP="00AE1806">
      <w:pPr>
        <w:spacing w:line="360" w:lineRule="auto"/>
        <w:contextualSpacing/>
        <w:jc w:val="both"/>
        <w:rPr>
          <w:rFonts w:ascii="Palatino Linotype" w:hAnsi="Palatino Linotype"/>
          <w:bCs/>
          <w:iCs/>
          <w:color w:val="0D0D0D"/>
          <w:sz w:val="22"/>
          <w:szCs w:val="22"/>
        </w:rPr>
      </w:pPr>
    </w:p>
    <w:p w14:paraId="7802411F" w14:textId="77777777" w:rsidR="00421355" w:rsidRPr="00490E2E" w:rsidRDefault="00421355" w:rsidP="00AE1806">
      <w:pPr>
        <w:spacing w:line="360" w:lineRule="auto"/>
        <w:contextualSpacing/>
        <w:jc w:val="both"/>
        <w:rPr>
          <w:rFonts w:ascii="Palatino Linotype" w:hAnsi="Palatino Linotype"/>
          <w:color w:val="0D0D0D"/>
          <w:sz w:val="22"/>
          <w:szCs w:val="22"/>
        </w:rPr>
      </w:pPr>
      <w:r w:rsidRPr="00490E2E">
        <w:rPr>
          <w:rFonts w:ascii="Palatino Linotype" w:hAnsi="Palatino Linotype"/>
          <w:color w:val="0D0D0D"/>
          <w:sz w:val="22"/>
          <w:szCs w:val="22"/>
        </w:rPr>
        <w:t xml:space="preserve">De la misma manera resulta aplicable el criterio sostenido por el Poder Judicial de la Federación de rubro </w:t>
      </w:r>
      <w:r w:rsidRPr="00490E2E">
        <w:rPr>
          <w:rFonts w:ascii="Palatino Linotype" w:hAnsi="Palatino Linotype"/>
          <w:b/>
          <w:bCs/>
          <w:color w:val="0D0D0D"/>
          <w:sz w:val="22"/>
          <w:szCs w:val="22"/>
        </w:rPr>
        <w:t>ACTOS CONSENTIDOS TÁCITAMENTE</w:t>
      </w:r>
      <w:r w:rsidRPr="00490E2E">
        <w:rPr>
          <w:rFonts w:ascii="Palatino Linotype" w:hAnsi="Palatino Linotype"/>
          <w:color w:val="0D0D0D"/>
          <w:sz w:val="22"/>
          <w:szCs w:val="22"/>
        </w:rPr>
        <w:t xml:space="preserve">,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w:t>
      </w:r>
      <w:r w:rsidRPr="00490E2E">
        <w:rPr>
          <w:rFonts w:ascii="Palatino Linotype" w:hAnsi="Palatino Linotype"/>
          <w:color w:val="0D0D0D"/>
          <w:sz w:val="22"/>
          <w:szCs w:val="22"/>
        </w:rPr>
        <w:lastRenderedPageBreak/>
        <w:t>la vía y plazos establecidos en la Ley, se presume que el Particular está conforme con los mismos.</w:t>
      </w:r>
    </w:p>
    <w:p w14:paraId="09893C40" w14:textId="77777777" w:rsidR="00421355" w:rsidRPr="00490E2E" w:rsidRDefault="00421355" w:rsidP="00AE1806">
      <w:pPr>
        <w:spacing w:line="360" w:lineRule="auto"/>
        <w:contextualSpacing/>
        <w:jc w:val="both"/>
        <w:rPr>
          <w:rFonts w:ascii="Palatino Linotype" w:hAnsi="Palatino Linotype"/>
          <w:color w:val="0D0D0D"/>
          <w:sz w:val="22"/>
          <w:szCs w:val="22"/>
        </w:rPr>
      </w:pPr>
      <w:r w:rsidRPr="00490E2E">
        <w:rPr>
          <w:rFonts w:ascii="Palatino Linotype" w:hAnsi="Palatino Linotype"/>
          <w:color w:val="0D0D0D"/>
          <w:sz w:val="22"/>
          <w:szCs w:val="22"/>
        </w:rPr>
        <w:t xml:space="preserve"> </w:t>
      </w:r>
    </w:p>
    <w:p w14:paraId="70D90BA2" w14:textId="77777777" w:rsidR="00421355" w:rsidRPr="00490E2E" w:rsidRDefault="00421355" w:rsidP="00AE1806">
      <w:pPr>
        <w:spacing w:line="360" w:lineRule="auto"/>
        <w:contextualSpacing/>
        <w:jc w:val="both"/>
        <w:rPr>
          <w:rFonts w:ascii="Palatino Linotype" w:hAnsi="Palatino Linotype"/>
          <w:color w:val="0D0D0D"/>
          <w:sz w:val="22"/>
          <w:szCs w:val="22"/>
        </w:rPr>
      </w:pPr>
      <w:r w:rsidRPr="00490E2E">
        <w:rPr>
          <w:rFonts w:ascii="Palatino Linotype" w:hAnsi="Palatino Linotype"/>
          <w:color w:val="0D0D0D"/>
          <w:sz w:val="22"/>
          <w:szCs w:val="22"/>
        </w:rPr>
        <w:t xml:space="preserve">Conforme a lo previo,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w:t>
      </w:r>
    </w:p>
    <w:p w14:paraId="51A04262" w14:textId="77777777" w:rsidR="00421355" w:rsidRPr="00490E2E" w:rsidRDefault="00421355" w:rsidP="00AE1806">
      <w:pPr>
        <w:spacing w:line="360" w:lineRule="auto"/>
        <w:contextualSpacing/>
        <w:jc w:val="both"/>
        <w:rPr>
          <w:rFonts w:ascii="Palatino Linotype" w:hAnsi="Palatino Linotype"/>
          <w:color w:val="0D0D0D"/>
          <w:sz w:val="22"/>
          <w:szCs w:val="22"/>
        </w:rPr>
      </w:pPr>
    </w:p>
    <w:p w14:paraId="1F585E32" w14:textId="3F26D023" w:rsidR="00421355" w:rsidRPr="00490E2E" w:rsidRDefault="00421355" w:rsidP="00AE1806">
      <w:pPr>
        <w:spacing w:line="360" w:lineRule="auto"/>
        <w:contextualSpacing/>
        <w:jc w:val="both"/>
        <w:rPr>
          <w:rFonts w:ascii="Palatino Linotype" w:hAnsi="Palatino Linotype"/>
          <w:color w:val="0D0D0D"/>
          <w:sz w:val="22"/>
          <w:szCs w:val="22"/>
        </w:rPr>
      </w:pPr>
      <w:r w:rsidRPr="00490E2E">
        <w:rPr>
          <w:rFonts w:ascii="Palatino Linotype" w:hAnsi="Palatino Linotype"/>
          <w:bCs/>
          <w:color w:val="0D0D0D"/>
          <w:sz w:val="22"/>
          <w:szCs w:val="22"/>
        </w:rPr>
        <w:t>Asimismo, resulta relevante traer a colación como criterio orientador, el Criterio de Interpretación, con clave de control SO/001/2020, de la Segunda Época, emitido por el Instituto Nacional de Transparencia, Acceso a la Información y Protección de Datos Personales</w:t>
      </w:r>
      <w:r w:rsidR="00AE1806" w:rsidRPr="00490E2E">
        <w:rPr>
          <w:rFonts w:ascii="Palatino Linotype" w:hAnsi="Palatino Linotype"/>
          <w:bCs/>
          <w:color w:val="0D0D0D"/>
          <w:sz w:val="22"/>
          <w:szCs w:val="22"/>
        </w:rPr>
        <w:t xml:space="preserve"> el cual establece que</w:t>
      </w:r>
      <w:r w:rsidRPr="00490E2E">
        <w:rPr>
          <w:rFonts w:ascii="Palatino Linotype" w:hAnsi="Palatino Linotype"/>
          <w:color w:val="0D0D0D"/>
          <w:sz w:val="22"/>
          <w:szCs w:val="22"/>
        </w:rPr>
        <w:t xml:space="preserve"> es improcedente entrar al análisis de las partes de la respuesta del Sujeto Obligado que no fueron impugnadas por la Recurrente; por lo que, en el presente caso, se tiene por consentida las funciones del servidor público solicitado, y únicamente se entrará al análisis de los recibos de nómina requeridos.</w:t>
      </w:r>
    </w:p>
    <w:p w14:paraId="39832F15" w14:textId="77777777" w:rsidR="00CA102A" w:rsidRPr="00490E2E" w:rsidRDefault="00CA102A" w:rsidP="00AE1806">
      <w:pPr>
        <w:spacing w:line="360" w:lineRule="auto"/>
        <w:contextualSpacing/>
        <w:jc w:val="both"/>
        <w:rPr>
          <w:rFonts w:ascii="Palatino Linotype" w:hAnsi="Palatino Linotype"/>
          <w:color w:val="0D0D0D"/>
          <w:sz w:val="22"/>
          <w:szCs w:val="22"/>
        </w:rPr>
      </w:pPr>
    </w:p>
    <w:p w14:paraId="7DE3D643" w14:textId="2B785307" w:rsidR="00CB7C2B" w:rsidRPr="00490E2E" w:rsidRDefault="00CB7C2B" w:rsidP="00AE1806">
      <w:pPr>
        <w:spacing w:line="360" w:lineRule="auto"/>
        <w:contextualSpacing/>
        <w:jc w:val="both"/>
        <w:rPr>
          <w:rFonts w:ascii="Palatino Linotype" w:hAnsi="Palatino Linotype" w:cs="Tahoma"/>
          <w:sz w:val="22"/>
          <w:szCs w:val="22"/>
        </w:rPr>
      </w:pPr>
      <w:r w:rsidRPr="00490E2E">
        <w:rPr>
          <w:rFonts w:ascii="Palatino Linotype" w:eastAsia="Calibri" w:hAnsi="Palatino Linotype" w:cs="Tahoma"/>
          <w:sz w:val="22"/>
          <w:szCs w:val="22"/>
        </w:rPr>
        <w:t xml:space="preserve">Así, las cosas, una vez admitido y notificado el Recurso de Revisión a las partes, el Sujeto Obligado </w:t>
      </w:r>
      <w:r w:rsidR="00CA102A" w:rsidRPr="00490E2E">
        <w:rPr>
          <w:rFonts w:ascii="Palatino Linotype" w:eastAsia="Calibri" w:hAnsi="Palatino Linotype" w:cs="Tahoma"/>
          <w:sz w:val="22"/>
          <w:szCs w:val="22"/>
        </w:rPr>
        <w:t>remitió un documento que contenía las percepciones y deducciones del servidor público solicitado de la primera quincena de mayo de dos mil veinticinco, en versión pública</w:t>
      </w:r>
      <w:r w:rsidRPr="00490E2E">
        <w:rPr>
          <w:rFonts w:ascii="Palatino Linotype" w:hAnsi="Palatino Linotype" w:cs="Tahoma"/>
          <w:sz w:val="22"/>
          <w:szCs w:val="22"/>
        </w:rPr>
        <w:t>.</w:t>
      </w:r>
    </w:p>
    <w:p w14:paraId="289FC5B2" w14:textId="77777777" w:rsidR="00CB7C2B" w:rsidRPr="00490E2E" w:rsidRDefault="00CB7C2B" w:rsidP="00AE1806">
      <w:pPr>
        <w:spacing w:line="360" w:lineRule="auto"/>
        <w:contextualSpacing/>
        <w:jc w:val="both"/>
        <w:rPr>
          <w:rFonts w:ascii="Palatino Linotype" w:eastAsia="Calibri" w:hAnsi="Palatino Linotype" w:cs="Tahoma"/>
          <w:iCs/>
          <w:sz w:val="22"/>
          <w:szCs w:val="22"/>
          <w:lang w:val="es-ES" w:eastAsia="es-ES_tradnl"/>
        </w:rPr>
      </w:pPr>
    </w:p>
    <w:p w14:paraId="1371A170" w14:textId="77777777" w:rsidR="00CA102A" w:rsidRPr="00490E2E" w:rsidRDefault="00CB7C2B" w:rsidP="00AE1806">
      <w:pPr>
        <w:spacing w:line="360" w:lineRule="auto"/>
        <w:contextualSpacing/>
        <w:jc w:val="both"/>
        <w:rPr>
          <w:rFonts w:ascii="Palatino Linotype" w:eastAsia="Calibri" w:hAnsi="Palatino Linotype" w:cs="Tahoma"/>
          <w:b/>
          <w:bCs/>
          <w:sz w:val="22"/>
          <w:szCs w:val="22"/>
        </w:rPr>
      </w:pPr>
      <w:r w:rsidRPr="00490E2E">
        <w:rPr>
          <w:rFonts w:ascii="Palatino Linotype" w:eastAsia="Calibri" w:hAnsi="Palatino Linotype" w:cs="Tahoma"/>
          <w:iCs/>
          <w:sz w:val="22"/>
          <w:szCs w:val="22"/>
          <w:lang w:val="es-ES" w:eastAsia="es-ES_tradnl"/>
        </w:rPr>
        <w:t>Lo anterior, se desprende de las documentales que obran en el expediente de referencia, materia de la presente resolución, consistentes en la solicitud de acceso a la información, la respuesta,</w:t>
      </w:r>
      <w:r w:rsidRPr="00490E2E">
        <w:rPr>
          <w:rFonts w:ascii="Palatino Linotype" w:eastAsia="Calibri" w:hAnsi="Palatino Linotype" w:cs="Tahoma"/>
          <w:iCs/>
          <w:sz w:val="22"/>
          <w:szCs w:val="22"/>
          <w:lang w:eastAsia="es-ES_tradnl"/>
        </w:rPr>
        <w:t xml:space="preserve"> el escrito </w:t>
      </w:r>
      <w:proofErr w:type="spellStart"/>
      <w:r w:rsidRPr="00490E2E">
        <w:rPr>
          <w:rFonts w:ascii="Palatino Linotype" w:eastAsia="Calibri" w:hAnsi="Palatino Linotype" w:cs="Tahoma"/>
          <w:iCs/>
          <w:sz w:val="22"/>
          <w:szCs w:val="22"/>
          <w:lang w:eastAsia="es-ES_tradnl"/>
        </w:rPr>
        <w:t>recursal</w:t>
      </w:r>
      <w:proofErr w:type="spellEnd"/>
      <w:r w:rsidRPr="00490E2E">
        <w:rPr>
          <w:rFonts w:ascii="Palatino Linotype" w:eastAsia="Calibri" w:hAnsi="Palatino Linotype" w:cs="Tahoma"/>
          <w:iCs/>
          <w:sz w:val="22"/>
          <w:szCs w:val="22"/>
          <w:lang w:eastAsia="es-ES_tradnl"/>
        </w:rPr>
        <w:t xml:space="preserve">, y el informe justificado </w:t>
      </w:r>
      <w:r w:rsidRPr="00490E2E">
        <w:rPr>
          <w:rFonts w:ascii="Palatino Linotype" w:eastAsia="Calibri" w:hAnsi="Palatino Linotype" w:cs="Tahoma"/>
          <w:bCs/>
          <w:sz w:val="22"/>
          <w:szCs w:val="22"/>
        </w:rPr>
        <w:t xml:space="preserve">instrumentales que se toman en cuenta a efecto de resolver el presente medio de impugnación, conforme a lo dispuesto por el artículo 185, fracción IV, de la Ley de Transparencia y Acceso a la Información Pública del </w:t>
      </w:r>
      <w:r w:rsidRPr="00490E2E">
        <w:rPr>
          <w:rFonts w:ascii="Palatino Linotype" w:eastAsia="Calibri" w:hAnsi="Palatino Linotype" w:cs="Tahoma"/>
          <w:bCs/>
          <w:sz w:val="22"/>
          <w:szCs w:val="22"/>
        </w:rPr>
        <w:lastRenderedPageBreak/>
        <w:t xml:space="preserve">Estado de México y Municipios. </w:t>
      </w:r>
      <w:r w:rsidRPr="00490E2E">
        <w:rPr>
          <w:rFonts w:ascii="Palatino Linotype" w:eastAsia="Calibri" w:hAnsi="Palatino Linotype" w:cs="Tahoma"/>
          <w:b/>
          <w:bCs/>
          <w:sz w:val="22"/>
          <w:szCs w:val="22"/>
        </w:rPr>
        <w:t>Cabe señalar que el Particular fue omiso en realizar manifestaciones o alegatos.</w:t>
      </w:r>
      <w:bookmarkStart w:id="14" w:name="_Toc199369391"/>
    </w:p>
    <w:p w14:paraId="1FE3284A" w14:textId="77777777" w:rsidR="00CA102A" w:rsidRPr="00490E2E" w:rsidRDefault="00CA102A" w:rsidP="00AE1806">
      <w:pPr>
        <w:spacing w:line="360" w:lineRule="auto"/>
        <w:contextualSpacing/>
        <w:jc w:val="both"/>
        <w:rPr>
          <w:rFonts w:ascii="Palatino Linotype" w:eastAsia="Calibri" w:hAnsi="Palatino Linotype" w:cs="Tahoma"/>
          <w:b/>
          <w:bCs/>
          <w:sz w:val="22"/>
          <w:szCs w:val="22"/>
        </w:rPr>
      </w:pPr>
    </w:p>
    <w:p w14:paraId="357C4080" w14:textId="094B114B" w:rsidR="00CB7C2B" w:rsidRPr="00490E2E" w:rsidRDefault="00CB7C2B" w:rsidP="00AE1806">
      <w:pPr>
        <w:spacing w:line="360" w:lineRule="auto"/>
        <w:contextualSpacing/>
        <w:jc w:val="both"/>
        <w:rPr>
          <w:rFonts w:ascii="Palatino Linotype" w:eastAsia="Calibri" w:hAnsi="Palatino Linotype" w:cs="Tahoma"/>
          <w:b/>
          <w:bCs/>
          <w:sz w:val="22"/>
          <w:szCs w:val="22"/>
        </w:rPr>
      </w:pPr>
      <w:r w:rsidRPr="00490E2E">
        <w:rPr>
          <w:rFonts w:ascii="Palatino Linotype" w:hAnsi="Palatino Linotype"/>
          <w:b/>
          <w:bCs/>
          <w:sz w:val="22"/>
          <w:szCs w:val="22"/>
          <w:lang w:val="es-ES"/>
        </w:rPr>
        <w:t xml:space="preserve">CUARTO. </w:t>
      </w:r>
      <w:r w:rsidRPr="00490E2E">
        <w:rPr>
          <w:rFonts w:ascii="Palatino Linotype" w:hAnsi="Palatino Linotype"/>
          <w:b/>
          <w:bCs/>
          <w:sz w:val="22"/>
          <w:szCs w:val="22"/>
        </w:rPr>
        <w:t>Marco normativo aplicable en materia de transparencia y acceso a la información pública</w:t>
      </w:r>
      <w:bookmarkEnd w:id="14"/>
    </w:p>
    <w:p w14:paraId="7AC34D5B" w14:textId="77777777" w:rsidR="00CB7C2B" w:rsidRPr="00490E2E" w:rsidRDefault="00CB7C2B" w:rsidP="00AE1806">
      <w:pPr>
        <w:widowControl w:val="0"/>
        <w:spacing w:line="360" w:lineRule="auto"/>
        <w:contextualSpacing/>
        <w:jc w:val="both"/>
        <w:rPr>
          <w:rFonts w:ascii="Palatino Linotype" w:hAnsi="Palatino Linotype" w:cs="Tahoma"/>
          <w:sz w:val="22"/>
          <w:szCs w:val="22"/>
          <w:lang w:eastAsia="es-MX"/>
        </w:rPr>
      </w:pPr>
    </w:p>
    <w:p w14:paraId="317B9A9D" w14:textId="77777777" w:rsidR="00CB7C2B" w:rsidRPr="00490E2E" w:rsidRDefault="00CB7C2B" w:rsidP="00AE1806">
      <w:pPr>
        <w:widowControl w:val="0"/>
        <w:spacing w:line="360" w:lineRule="auto"/>
        <w:contextualSpacing/>
        <w:jc w:val="both"/>
        <w:rPr>
          <w:rFonts w:ascii="Palatino Linotype" w:hAnsi="Palatino Linotype" w:cs="Tahoma"/>
          <w:sz w:val="22"/>
          <w:szCs w:val="22"/>
          <w:lang w:eastAsia="es-MX"/>
        </w:rPr>
      </w:pPr>
      <w:r w:rsidRPr="00490E2E">
        <w:rPr>
          <w:rFonts w:ascii="Palatino Linotype" w:hAnsi="Palatino Linotype" w:cs="Tahoma"/>
          <w:sz w:val="22"/>
          <w:szCs w:val="22"/>
          <w:lang w:eastAsia="es-MX"/>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DE74AEE" w14:textId="77777777" w:rsidR="00CB7C2B" w:rsidRPr="00490E2E" w:rsidRDefault="00CB7C2B" w:rsidP="00AE1806">
      <w:pPr>
        <w:widowControl w:val="0"/>
        <w:spacing w:line="360" w:lineRule="auto"/>
        <w:contextualSpacing/>
        <w:jc w:val="both"/>
        <w:rPr>
          <w:rFonts w:ascii="Palatino Linotype" w:hAnsi="Palatino Linotype" w:cs="Tahoma"/>
          <w:sz w:val="22"/>
          <w:szCs w:val="22"/>
          <w:lang w:eastAsia="es-MX"/>
        </w:rPr>
      </w:pPr>
    </w:p>
    <w:p w14:paraId="5D327AC1" w14:textId="77777777" w:rsidR="00CB7C2B" w:rsidRPr="00490E2E" w:rsidRDefault="00CB7C2B" w:rsidP="00AE1806">
      <w:pPr>
        <w:spacing w:line="360" w:lineRule="auto"/>
        <w:contextualSpacing/>
        <w:jc w:val="both"/>
        <w:rPr>
          <w:rFonts w:ascii="Palatino Linotype" w:hAnsi="Palatino Linotype" w:cs="Tahoma"/>
          <w:sz w:val="22"/>
          <w:szCs w:val="22"/>
          <w:lang w:eastAsia="es-MX"/>
        </w:rPr>
      </w:pPr>
      <w:r w:rsidRPr="00490E2E">
        <w:rPr>
          <w:rFonts w:ascii="Palatino Linotype" w:hAnsi="Palatino Linotype" w:cs="Tahoma"/>
          <w:sz w:val="22"/>
          <w:szCs w:val="22"/>
          <w:lang w:eastAsia="es-MX"/>
        </w:rPr>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49C2656" w14:textId="77777777" w:rsidR="00CB7C2B" w:rsidRPr="00490E2E" w:rsidRDefault="00CB7C2B" w:rsidP="00AE1806">
      <w:pPr>
        <w:widowControl w:val="0"/>
        <w:spacing w:line="360" w:lineRule="auto"/>
        <w:contextualSpacing/>
        <w:jc w:val="both"/>
        <w:rPr>
          <w:rFonts w:ascii="Palatino Linotype" w:hAnsi="Palatino Linotype" w:cs="Tahoma"/>
          <w:sz w:val="22"/>
          <w:szCs w:val="22"/>
          <w:lang w:eastAsia="es-MX"/>
        </w:rPr>
      </w:pPr>
    </w:p>
    <w:p w14:paraId="2577A47C" w14:textId="77777777" w:rsidR="00CB7C2B" w:rsidRPr="00490E2E" w:rsidRDefault="00CB7C2B" w:rsidP="00AE1806">
      <w:pPr>
        <w:widowControl w:val="0"/>
        <w:spacing w:line="360" w:lineRule="auto"/>
        <w:contextualSpacing/>
        <w:jc w:val="both"/>
        <w:rPr>
          <w:rFonts w:ascii="Palatino Linotype" w:hAnsi="Palatino Linotype" w:cs="Tahoma"/>
          <w:sz w:val="22"/>
          <w:szCs w:val="22"/>
          <w:lang w:eastAsia="es-MX"/>
        </w:rPr>
      </w:pPr>
      <w:r w:rsidRPr="00490E2E">
        <w:rPr>
          <w:rFonts w:ascii="Palatino Linotype" w:hAnsi="Palatino Linotype" w:cs="Tahoma"/>
          <w:sz w:val="22"/>
          <w:szCs w:val="22"/>
          <w:lang w:eastAsia="es-MX"/>
        </w:rPr>
        <w:t>Por su parte, la Ley de Transparencia y Acceso a la Información Pública del Estado de México y Municipios (Reglamentaria del artículo 5° de la Constitución Local), establece lo siguiente:</w:t>
      </w:r>
    </w:p>
    <w:p w14:paraId="79EDEA9B" w14:textId="77777777" w:rsidR="00CB7C2B" w:rsidRPr="00490E2E" w:rsidRDefault="00CB7C2B" w:rsidP="00AE1806">
      <w:pPr>
        <w:widowControl w:val="0"/>
        <w:spacing w:line="360" w:lineRule="auto"/>
        <w:contextualSpacing/>
        <w:jc w:val="both"/>
        <w:rPr>
          <w:rFonts w:ascii="Palatino Linotype" w:hAnsi="Palatino Linotype" w:cs="Tahoma"/>
          <w:sz w:val="22"/>
          <w:szCs w:val="22"/>
          <w:lang w:eastAsia="es-MX"/>
        </w:rPr>
      </w:pPr>
    </w:p>
    <w:p w14:paraId="374E3A0A" w14:textId="77777777" w:rsidR="00CB7C2B" w:rsidRPr="00490E2E" w:rsidRDefault="00CB7C2B" w:rsidP="00AE1806">
      <w:pPr>
        <w:widowControl w:val="0"/>
        <w:spacing w:line="360" w:lineRule="auto"/>
        <w:contextualSpacing/>
        <w:jc w:val="both"/>
        <w:rPr>
          <w:rFonts w:ascii="Palatino Linotype" w:hAnsi="Palatino Linotype" w:cs="Tahoma"/>
          <w:sz w:val="22"/>
          <w:szCs w:val="22"/>
          <w:lang w:eastAsia="es-MX"/>
        </w:rPr>
      </w:pPr>
      <w:r w:rsidRPr="00490E2E">
        <w:rPr>
          <w:rFonts w:ascii="Palatino Linotype" w:hAnsi="Palatino Linotype" w:cs="Tahoma"/>
          <w:sz w:val="22"/>
          <w:szCs w:val="22"/>
          <w:lang w:eastAsia="es-MX"/>
        </w:rPr>
        <w:t>El artículo 12, que, quienes generen, recopilen, administren, manejen, procesen, archiven o conserven información pública serán responsables de la misma.</w:t>
      </w:r>
    </w:p>
    <w:p w14:paraId="4F1563AE" w14:textId="77777777" w:rsidR="00CB7C2B" w:rsidRPr="00490E2E" w:rsidRDefault="00CB7C2B" w:rsidP="00AE1806">
      <w:pPr>
        <w:widowControl w:val="0"/>
        <w:spacing w:line="360" w:lineRule="auto"/>
        <w:contextualSpacing/>
        <w:jc w:val="both"/>
        <w:rPr>
          <w:rFonts w:ascii="Palatino Linotype" w:hAnsi="Palatino Linotype" w:cs="Tahoma"/>
          <w:sz w:val="22"/>
          <w:szCs w:val="22"/>
          <w:lang w:eastAsia="es-MX"/>
        </w:rPr>
      </w:pPr>
    </w:p>
    <w:p w14:paraId="029DE015" w14:textId="77777777" w:rsidR="00CB7C2B" w:rsidRPr="00490E2E" w:rsidRDefault="00CB7C2B" w:rsidP="00AE1806">
      <w:pPr>
        <w:widowControl w:val="0"/>
        <w:spacing w:line="360" w:lineRule="auto"/>
        <w:contextualSpacing/>
        <w:jc w:val="both"/>
        <w:rPr>
          <w:rFonts w:ascii="Palatino Linotype" w:hAnsi="Palatino Linotype" w:cs="Tahoma"/>
          <w:sz w:val="22"/>
          <w:szCs w:val="22"/>
          <w:lang w:eastAsia="es-MX"/>
        </w:rPr>
      </w:pPr>
      <w:r w:rsidRPr="00490E2E">
        <w:rPr>
          <w:rFonts w:ascii="Palatino Linotype" w:hAnsi="Palatino Linotype" w:cs="Tahoma"/>
          <w:sz w:val="22"/>
          <w:szCs w:val="22"/>
          <w:lang w:eastAsia="es-MX"/>
        </w:rPr>
        <w:t>El artículo 18, que, los Sujetos Obligados deberán documentar todo acto que derive del ejercicio de sus facultades, competencias o funciones, considerando desde su origen la eventual publicidad y reutilización de la información que generen.</w:t>
      </w:r>
    </w:p>
    <w:p w14:paraId="7DAA3F3F" w14:textId="77777777" w:rsidR="00CB7C2B" w:rsidRPr="00490E2E" w:rsidRDefault="00CB7C2B" w:rsidP="00AE1806">
      <w:pPr>
        <w:widowControl w:val="0"/>
        <w:spacing w:line="360" w:lineRule="auto"/>
        <w:contextualSpacing/>
        <w:jc w:val="both"/>
        <w:rPr>
          <w:rFonts w:ascii="Palatino Linotype" w:hAnsi="Palatino Linotype" w:cs="Tahoma"/>
          <w:sz w:val="22"/>
          <w:szCs w:val="22"/>
          <w:lang w:eastAsia="es-MX"/>
        </w:rPr>
      </w:pPr>
    </w:p>
    <w:p w14:paraId="074947E2" w14:textId="77777777" w:rsidR="00CB7C2B" w:rsidRPr="00490E2E" w:rsidRDefault="00CB7C2B" w:rsidP="00AE1806">
      <w:pPr>
        <w:widowControl w:val="0"/>
        <w:spacing w:line="360" w:lineRule="auto"/>
        <w:contextualSpacing/>
        <w:jc w:val="both"/>
        <w:rPr>
          <w:rFonts w:ascii="Palatino Linotype" w:hAnsi="Palatino Linotype" w:cs="Tahoma"/>
          <w:sz w:val="22"/>
          <w:szCs w:val="22"/>
          <w:lang w:eastAsia="es-MX"/>
        </w:rPr>
      </w:pPr>
      <w:r w:rsidRPr="00490E2E">
        <w:rPr>
          <w:rFonts w:ascii="Palatino Linotype" w:hAnsi="Palatino Linotype" w:cs="Tahoma"/>
          <w:sz w:val="22"/>
          <w:szCs w:val="22"/>
          <w:lang w:eastAsia="es-MX"/>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1575430" w14:textId="77777777" w:rsidR="00CB7C2B" w:rsidRPr="00490E2E" w:rsidRDefault="00CB7C2B" w:rsidP="00AE1806">
      <w:pPr>
        <w:widowControl w:val="0"/>
        <w:spacing w:line="360" w:lineRule="auto"/>
        <w:contextualSpacing/>
        <w:jc w:val="both"/>
        <w:rPr>
          <w:rFonts w:ascii="Palatino Linotype" w:hAnsi="Palatino Linotype" w:cs="Tahoma"/>
          <w:sz w:val="22"/>
          <w:szCs w:val="22"/>
          <w:lang w:eastAsia="es-MX"/>
        </w:rPr>
      </w:pPr>
    </w:p>
    <w:p w14:paraId="2E4579EC" w14:textId="77777777" w:rsidR="00CB7C2B" w:rsidRPr="00490E2E" w:rsidRDefault="00CB7C2B" w:rsidP="00AE1806">
      <w:pPr>
        <w:pStyle w:val="Ttulo2"/>
        <w:spacing w:before="0" w:after="0" w:line="360" w:lineRule="auto"/>
        <w:contextualSpacing/>
        <w:rPr>
          <w:rFonts w:ascii="Palatino Linotype" w:hAnsi="Palatino Linotype"/>
          <w:b/>
          <w:bCs/>
          <w:color w:val="auto"/>
          <w:sz w:val="22"/>
          <w:szCs w:val="22"/>
          <w:lang w:val="es-ES"/>
        </w:rPr>
      </w:pPr>
      <w:bookmarkStart w:id="15" w:name="_Toc199369392"/>
      <w:bookmarkStart w:id="16" w:name="_Toc205479219"/>
      <w:r w:rsidRPr="00490E2E">
        <w:rPr>
          <w:rFonts w:ascii="Palatino Linotype" w:hAnsi="Palatino Linotype"/>
          <w:b/>
          <w:bCs/>
          <w:color w:val="auto"/>
          <w:sz w:val="22"/>
          <w:szCs w:val="22"/>
          <w:lang w:val="es-ES"/>
        </w:rPr>
        <w:t>QUINTO. Estudio de Fondo</w:t>
      </w:r>
      <w:bookmarkEnd w:id="15"/>
      <w:bookmarkEnd w:id="16"/>
    </w:p>
    <w:p w14:paraId="3A632D53" w14:textId="77777777" w:rsidR="00CB7C2B" w:rsidRPr="00490E2E" w:rsidRDefault="00CB7C2B" w:rsidP="00AE1806">
      <w:pPr>
        <w:spacing w:line="360" w:lineRule="auto"/>
        <w:contextualSpacing/>
        <w:jc w:val="both"/>
        <w:rPr>
          <w:rFonts w:ascii="Palatino Linotype" w:hAnsi="Palatino Linotype" w:cs="Tahoma"/>
          <w:b/>
          <w:sz w:val="22"/>
          <w:szCs w:val="22"/>
          <w:lang w:val="es-ES"/>
        </w:rPr>
      </w:pPr>
    </w:p>
    <w:p w14:paraId="09CE93C9" w14:textId="5366CF98" w:rsidR="00CB7C2B" w:rsidRPr="00490E2E" w:rsidRDefault="00CB7C2B" w:rsidP="00AE1806">
      <w:pPr>
        <w:widowControl w:val="0"/>
        <w:spacing w:line="360" w:lineRule="auto"/>
        <w:contextualSpacing/>
        <w:jc w:val="both"/>
        <w:rPr>
          <w:rFonts w:ascii="Palatino Linotype" w:hAnsi="Palatino Linotype" w:cs="Tahoma"/>
          <w:sz w:val="22"/>
          <w:szCs w:val="22"/>
        </w:rPr>
      </w:pPr>
      <w:r w:rsidRPr="00490E2E">
        <w:rPr>
          <w:rFonts w:ascii="Palatino Linotype" w:hAnsi="Palatino Linotype" w:cs="Tahoma"/>
          <w:bCs/>
          <w:iCs/>
          <w:sz w:val="22"/>
          <w:szCs w:val="22"/>
        </w:rPr>
        <w:t xml:space="preserve">Expuestas las posturas de las partes, se procede a realizar el análisis del agravio hecho valer por la ahora Recurrente, concerniente a la </w:t>
      </w:r>
      <w:r w:rsidR="00CA102A" w:rsidRPr="00490E2E">
        <w:rPr>
          <w:rFonts w:ascii="Palatino Linotype" w:hAnsi="Palatino Linotype" w:cs="Tahoma"/>
          <w:bCs/>
          <w:iCs/>
          <w:sz w:val="22"/>
          <w:szCs w:val="22"/>
        </w:rPr>
        <w:t xml:space="preserve">entrega de </w:t>
      </w:r>
      <w:r w:rsidRPr="00490E2E">
        <w:rPr>
          <w:rFonts w:ascii="Palatino Linotype" w:hAnsi="Palatino Linotype" w:cs="Tahoma"/>
          <w:bCs/>
          <w:iCs/>
          <w:sz w:val="22"/>
          <w:szCs w:val="22"/>
        </w:rPr>
        <w:t>información</w:t>
      </w:r>
      <w:r w:rsidR="00CA102A" w:rsidRPr="00490E2E">
        <w:rPr>
          <w:rFonts w:ascii="Palatino Linotype" w:hAnsi="Palatino Linotype" w:cs="Tahoma"/>
          <w:bCs/>
          <w:iCs/>
          <w:sz w:val="22"/>
          <w:szCs w:val="22"/>
        </w:rPr>
        <w:t xml:space="preserve"> incompleta</w:t>
      </w:r>
      <w:r w:rsidRPr="00490E2E">
        <w:rPr>
          <w:rFonts w:ascii="Palatino Linotype" w:hAnsi="Palatino Linotype" w:cs="Tahoma"/>
          <w:bCs/>
          <w:iCs/>
          <w:sz w:val="22"/>
          <w:szCs w:val="22"/>
        </w:rPr>
        <w:t xml:space="preserve">, por lo que, en principio es necesario contextualizar la solicitud de información relacionada con </w:t>
      </w:r>
      <w:r w:rsidR="00CA102A" w:rsidRPr="00490E2E">
        <w:rPr>
          <w:rFonts w:ascii="Palatino Linotype" w:hAnsi="Palatino Linotype" w:cs="Tahoma"/>
          <w:bCs/>
          <w:iCs/>
          <w:sz w:val="22"/>
          <w:szCs w:val="22"/>
        </w:rPr>
        <w:t>los recibos de nómina del servidor público solicitado</w:t>
      </w:r>
      <w:r w:rsidRPr="00490E2E">
        <w:rPr>
          <w:rFonts w:ascii="Palatino Linotype" w:hAnsi="Palatino Linotype" w:cs="Tahoma"/>
          <w:sz w:val="22"/>
          <w:szCs w:val="22"/>
        </w:rPr>
        <w:t>.</w:t>
      </w:r>
    </w:p>
    <w:p w14:paraId="55083633" w14:textId="77777777" w:rsidR="00CB7C2B" w:rsidRPr="00490E2E" w:rsidRDefault="00CB7C2B" w:rsidP="00AE1806">
      <w:pPr>
        <w:spacing w:line="360" w:lineRule="auto"/>
        <w:ind w:right="-28"/>
        <w:contextualSpacing/>
        <w:jc w:val="both"/>
        <w:rPr>
          <w:rFonts w:ascii="Palatino Linotype" w:eastAsia="Palatino Linotype" w:hAnsi="Palatino Linotype" w:cs="Palatino Linotype"/>
          <w:sz w:val="22"/>
          <w:szCs w:val="22"/>
        </w:rPr>
      </w:pPr>
    </w:p>
    <w:p w14:paraId="1873D947" w14:textId="77777777" w:rsidR="00CA102A" w:rsidRPr="00490E2E" w:rsidRDefault="00CA102A" w:rsidP="00AE1806">
      <w:pPr>
        <w:spacing w:line="360" w:lineRule="auto"/>
        <w:ind w:right="-28"/>
        <w:contextualSpacing/>
        <w:jc w:val="both"/>
        <w:rPr>
          <w:rFonts w:ascii="Palatino Linotype" w:eastAsiaTheme="minorHAnsi" w:hAnsi="Palatino Linotype" w:cstheme="minorBidi"/>
          <w:bCs/>
          <w:color w:val="000000" w:themeColor="text1"/>
          <w:sz w:val="22"/>
          <w:szCs w:val="22"/>
          <w:lang w:eastAsia="en-US"/>
        </w:rPr>
      </w:pPr>
      <w:r w:rsidRPr="00490E2E">
        <w:rPr>
          <w:rFonts w:ascii="Palatino Linotype" w:hAnsi="Palatino Linotype" w:cs="Tahoma"/>
          <w:sz w:val="22"/>
          <w:szCs w:val="22"/>
        </w:rPr>
        <w:t xml:space="preserve">En principio, respecto a los recibos de nómina, </w:t>
      </w:r>
      <w:r w:rsidRPr="00490E2E">
        <w:rPr>
          <w:rFonts w:ascii="Palatino Linotype" w:eastAsiaTheme="minorHAnsi" w:hAnsi="Palatino Linotype" w:cstheme="minorBidi"/>
          <w:bCs/>
          <w:color w:val="000000" w:themeColor="text1"/>
          <w:sz w:val="22"/>
          <w:szCs w:val="22"/>
          <w:lang w:val="es-ES" w:eastAsia="en-US"/>
        </w:rPr>
        <w:t>es necesario</w:t>
      </w:r>
      <w:r w:rsidRPr="00490E2E">
        <w:rPr>
          <w:rFonts w:ascii="Palatino Linotype" w:eastAsiaTheme="minorHAnsi" w:hAnsi="Palatino Linotype" w:cstheme="minorBidi"/>
          <w:bCs/>
          <w:color w:val="000000" w:themeColor="text1"/>
          <w:sz w:val="22"/>
          <w:szCs w:val="22"/>
          <w:lang w:eastAsia="en-US"/>
        </w:rPr>
        <w:t xml:space="preserve"> traer a colación, el artículo 147 de la Constitución Política del Estado Libre y Soberano de México, que establece que los trabajadores al servicio del Estado, recibirán una remuneración adecuada e irrenunciable por el desempeño de su empleo, cargo o comisión, que será determinada en el presupuesto de egresos que corresponda. </w:t>
      </w:r>
    </w:p>
    <w:p w14:paraId="2F632A79" w14:textId="77777777" w:rsidR="00CA102A" w:rsidRPr="00490E2E" w:rsidRDefault="00CA102A" w:rsidP="00AE1806">
      <w:pPr>
        <w:spacing w:line="360" w:lineRule="auto"/>
        <w:contextualSpacing/>
        <w:jc w:val="both"/>
        <w:rPr>
          <w:rFonts w:ascii="Palatino Linotype" w:eastAsia="Calibri" w:hAnsi="Palatino Linotype"/>
          <w:color w:val="000000"/>
          <w:sz w:val="22"/>
          <w:szCs w:val="22"/>
          <w:lang w:eastAsia="en-US"/>
        </w:rPr>
      </w:pPr>
    </w:p>
    <w:p w14:paraId="0A6127D8" w14:textId="77777777" w:rsidR="00CA102A" w:rsidRPr="00490E2E" w:rsidRDefault="00CA102A" w:rsidP="00AE1806">
      <w:pPr>
        <w:spacing w:line="360" w:lineRule="auto"/>
        <w:contextualSpacing/>
        <w:jc w:val="both"/>
        <w:rPr>
          <w:rFonts w:ascii="Palatino Linotype" w:eastAsia="Calibri" w:hAnsi="Palatino Linotype"/>
          <w:bCs/>
          <w:color w:val="000000"/>
          <w:sz w:val="22"/>
          <w:szCs w:val="22"/>
          <w:lang w:eastAsia="en-US"/>
        </w:rPr>
      </w:pPr>
      <w:r w:rsidRPr="00490E2E">
        <w:rPr>
          <w:rFonts w:ascii="Palatino Linotype" w:eastAsia="Calibri" w:hAnsi="Palatino Linotype"/>
          <w:bCs/>
          <w:color w:val="000000"/>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4C4252AC" w14:textId="77777777" w:rsidR="00CA102A" w:rsidRPr="00490E2E" w:rsidRDefault="00CA102A" w:rsidP="00AE1806">
      <w:pPr>
        <w:spacing w:line="360" w:lineRule="auto"/>
        <w:contextualSpacing/>
        <w:jc w:val="both"/>
        <w:rPr>
          <w:rFonts w:ascii="Palatino Linotype" w:eastAsia="Calibri" w:hAnsi="Palatino Linotype"/>
          <w:bCs/>
          <w:color w:val="000000"/>
          <w:sz w:val="22"/>
          <w:szCs w:val="22"/>
          <w:lang w:eastAsia="en-US"/>
        </w:rPr>
      </w:pPr>
    </w:p>
    <w:p w14:paraId="276A7C15" w14:textId="77777777" w:rsidR="00CA102A" w:rsidRPr="00490E2E" w:rsidRDefault="00CA102A" w:rsidP="00AE1806">
      <w:pPr>
        <w:spacing w:line="360" w:lineRule="auto"/>
        <w:contextualSpacing/>
        <w:jc w:val="both"/>
        <w:rPr>
          <w:rFonts w:ascii="Palatino Linotype" w:eastAsia="Calibri" w:hAnsi="Palatino Linotype"/>
          <w:bCs/>
          <w:color w:val="000000"/>
          <w:sz w:val="22"/>
          <w:szCs w:val="22"/>
          <w:lang w:eastAsia="en-US"/>
        </w:rPr>
      </w:pPr>
      <w:r w:rsidRPr="00490E2E">
        <w:rPr>
          <w:rFonts w:ascii="Palatino Linotype" w:eastAsia="Calibri" w:hAnsi="Palatino Linotype"/>
          <w:bCs/>
          <w:color w:val="000000"/>
          <w:sz w:val="22"/>
          <w:szCs w:val="22"/>
          <w:lang w:eastAsia="en-US"/>
        </w:rPr>
        <w:t xml:space="preserve">Da la misma manera, el Glosario de Términos, del Manual para la Planeación, Programación y Presupuesto de Egresos Municipal para el ejercicio fiscal dos mil veinticinco, establece que </w:t>
      </w:r>
      <w:r w:rsidRPr="00490E2E">
        <w:rPr>
          <w:rFonts w:ascii="Palatino Linotype" w:eastAsia="Calibri" w:hAnsi="Palatino Linotype"/>
          <w:bCs/>
          <w:color w:val="000000"/>
          <w:sz w:val="22"/>
          <w:szCs w:val="22"/>
          <w:lang w:eastAsia="en-US"/>
        </w:rPr>
        <w:lastRenderedPageBreak/>
        <w:t>la remuneración es la percepción de un trabajador o retribución monetaria que se da en pago por su servicio o actividad desarrollada.</w:t>
      </w:r>
    </w:p>
    <w:p w14:paraId="3B27052D" w14:textId="77777777" w:rsidR="00CA102A" w:rsidRPr="00490E2E" w:rsidRDefault="00CA102A" w:rsidP="00AE1806">
      <w:pPr>
        <w:spacing w:line="360" w:lineRule="auto"/>
        <w:contextualSpacing/>
        <w:jc w:val="both"/>
        <w:rPr>
          <w:rFonts w:ascii="Palatino Linotype" w:eastAsia="Calibri" w:hAnsi="Palatino Linotype"/>
          <w:bCs/>
          <w:color w:val="000000"/>
          <w:sz w:val="22"/>
          <w:szCs w:val="22"/>
          <w:lang w:eastAsia="en-US"/>
        </w:rPr>
      </w:pPr>
    </w:p>
    <w:p w14:paraId="62FE5721" w14:textId="2A36E9CA" w:rsidR="00CA102A" w:rsidRPr="00490E2E" w:rsidRDefault="00CA102A" w:rsidP="00AE1806">
      <w:pPr>
        <w:spacing w:line="360" w:lineRule="auto"/>
        <w:contextualSpacing/>
        <w:jc w:val="both"/>
        <w:rPr>
          <w:rFonts w:ascii="Palatino Linotype" w:eastAsia="Calibri" w:hAnsi="Palatino Linotype"/>
          <w:b/>
          <w:bCs/>
          <w:iCs/>
          <w:color w:val="000000"/>
          <w:sz w:val="22"/>
          <w:szCs w:val="22"/>
          <w:lang w:val="es-ES" w:eastAsia="en-US"/>
        </w:rPr>
      </w:pPr>
      <w:r w:rsidRPr="00490E2E">
        <w:rPr>
          <w:rFonts w:ascii="Palatino Linotype" w:eastAsia="Calibri" w:hAnsi="Palatino Linotype"/>
          <w:bCs/>
          <w:iCs/>
          <w:color w:val="000000"/>
          <w:sz w:val="22"/>
          <w:szCs w:val="22"/>
          <w:lang w:val="es-ES" w:eastAsia="en-US"/>
        </w:rPr>
        <w:t xml:space="preserve">En ese contexto, 92, fracción VIII, de la Ley de Transparencia y Acceso a la Información Pública del Estado de México y Municipios, establece que los Sujetos Obligados deberán poner a disposición del público de manera permanente y actualizada, </w:t>
      </w:r>
      <w:r w:rsidRPr="00490E2E">
        <w:rPr>
          <w:rFonts w:ascii="Palatino Linotype" w:eastAsia="Calibri" w:hAnsi="Palatino Linotype"/>
          <w:b/>
          <w:bCs/>
          <w:iCs/>
          <w:color w:val="000000"/>
          <w:sz w:val="22"/>
          <w:szCs w:val="22"/>
          <w:lang w:val="es-ES" w:eastAsia="en-US"/>
        </w:rPr>
        <w:t>las remuneraciones brutas y netas de todos los servidores públicos, que incluya todas las percepciones, entre las cuales, se encuentran los sueldos, prestaciones, gratificaciones, primas, comisiones, dietas, bonos, estímulos, ingresos, entre otros.</w:t>
      </w:r>
    </w:p>
    <w:p w14:paraId="52616747" w14:textId="77777777" w:rsidR="00CA102A" w:rsidRPr="00490E2E" w:rsidRDefault="00CA102A" w:rsidP="00AE1806">
      <w:pPr>
        <w:spacing w:line="360" w:lineRule="auto"/>
        <w:contextualSpacing/>
        <w:jc w:val="both"/>
        <w:rPr>
          <w:rFonts w:ascii="Palatino Linotype" w:eastAsia="Calibri" w:hAnsi="Palatino Linotype"/>
          <w:b/>
          <w:bCs/>
          <w:iCs/>
          <w:color w:val="000000"/>
          <w:sz w:val="22"/>
          <w:szCs w:val="22"/>
          <w:lang w:val="es-ES" w:eastAsia="en-US"/>
        </w:rPr>
      </w:pPr>
    </w:p>
    <w:p w14:paraId="7DC3E3E8" w14:textId="77777777" w:rsidR="00CA102A" w:rsidRPr="00490E2E" w:rsidRDefault="00CA102A" w:rsidP="00AE1806">
      <w:pPr>
        <w:spacing w:line="360" w:lineRule="auto"/>
        <w:contextualSpacing/>
        <w:jc w:val="both"/>
        <w:rPr>
          <w:rFonts w:ascii="Palatino Linotype" w:eastAsia="Calibri" w:hAnsi="Palatino Linotype"/>
          <w:b/>
          <w:bCs/>
          <w:iCs/>
          <w:color w:val="000000"/>
          <w:sz w:val="22"/>
          <w:szCs w:val="22"/>
          <w:lang w:val="es-ES" w:eastAsia="en-US"/>
        </w:rPr>
      </w:pPr>
      <w:r w:rsidRPr="00490E2E">
        <w:rPr>
          <w:rFonts w:ascii="Palatino Linotype" w:eastAsia="Calibri" w:hAnsi="Palatino Linotype"/>
          <w:bCs/>
          <w:iCs/>
          <w:color w:val="000000"/>
          <w:sz w:val="22"/>
          <w:szCs w:val="22"/>
          <w:lang w:val="es-ES" w:eastAsia="en-US"/>
        </w:rPr>
        <w:t xml:space="preserve">Además, el Clasificador por objeto del gasto, del </w:t>
      </w:r>
      <w:r w:rsidRPr="00490E2E">
        <w:rPr>
          <w:rFonts w:ascii="Palatino Linotype" w:eastAsia="Calibri" w:hAnsi="Palatino Linotype"/>
          <w:bCs/>
          <w:color w:val="000000"/>
          <w:sz w:val="22"/>
          <w:szCs w:val="22"/>
          <w:lang w:eastAsia="en-US"/>
        </w:rPr>
        <w:t>Manual para la Planeación, Programación y Presupuesto de Egresos Municipal para el ejercicio fiscal dos mil veinticinco</w:t>
      </w:r>
      <w:r w:rsidRPr="00490E2E">
        <w:rPr>
          <w:rFonts w:ascii="Palatino Linotype" w:eastAsia="Calibri" w:hAnsi="Palatino Linotype"/>
          <w:bCs/>
          <w:iCs/>
          <w:color w:val="000000"/>
          <w:sz w:val="22"/>
          <w:szCs w:val="22"/>
          <w:lang w:val="es-ES" w:eastAsia="en-US"/>
        </w:rPr>
        <w:t xml:space="preserve">, establecen que los Presupuestos de Egresos Municipales, se tendrán que generar, conforme al “Clasificador por Objeto del Gasto”, el cual se conforma de diversos capítulos, entre los cuales, se encuentra el </w:t>
      </w:r>
      <w:r w:rsidRPr="00490E2E">
        <w:rPr>
          <w:rFonts w:ascii="Palatino Linotype" w:eastAsia="Calibri" w:hAnsi="Palatino Linotype"/>
          <w:b/>
          <w:bCs/>
          <w:iCs/>
          <w:color w:val="000000"/>
          <w:sz w:val="22"/>
          <w:szCs w:val="22"/>
          <w:lang w:val="es-ES" w:eastAsia="en-US"/>
        </w:rPr>
        <w:t>1000 Servicios Personales</w:t>
      </w:r>
      <w:r w:rsidRPr="00490E2E">
        <w:rPr>
          <w:rFonts w:ascii="Palatino Linotype" w:eastAsia="Calibri" w:hAnsi="Palatino Linotype"/>
          <w:bCs/>
          <w:iCs/>
          <w:color w:val="000000"/>
          <w:sz w:val="22"/>
          <w:szCs w:val="22"/>
          <w:lang w:val="es-ES" w:eastAsia="en-US"/>
        </w:rPr>
        <w:t>,</w:t>
      </w:r>
      <w:r w:rsidRPr="00490E2E">
        <w:rPr>
          <w:rFonts w:ascii="Palatino Linotype" w:eastAsia="Calibri" w:hAnsi="Palatino Linotype"/>
          <w:b/>
          <w:bCs/>
          <w:iCs/>
          <w:color w:val="000000"/>
          <w:sz w:val="22"/>
          <w:szCs w:val="22"/>
          <w:lang w:val="es-ES" w:eastAsia="en-US"/>
        </w:rPr>
        <w:t xml:space="preserve"> que agrupa las remuneraciones del personal al servicio de los entes públicos, tales como el sueldo, salarios, dietas, honorarios, prestaciones, obligaciones laborales, gratificaciones, entre otras.</w:t>
      </w:r>
    </w:p>
    <w:p w14:paraId="5F0B48AB" w14:textId="77777777" w:rsidR="00CA102A" w:rsidRPr="00490E2E" w:rsidRDefault="00CA102A" w:rsidP="00AE1806">
      <w:pPr>
        <w:spacing w:line="360" w:lineRule="auto"/>
        <w:ind w:right="-93"/>
        <w:contextualSpacing/>
        <w:jc w:val="both"/>
        <w:rPr>
          <w:rFonts w:ascii="Palatino Linotype" w:eastAsia="Calibri" w:hAnsi="Palatino Linotype" w:cs="Tahoma"/>
          <w:b/>
          <w:bCs/>
          <w:color w:val="000000"/>
          <w:sz w:val="22"/>
          <w:szCs w:val="22"/>
          <w:lang w:eastAsia="en-US"/>
        </w:rPr>
      </w:pPr>
    </w:p>
    <w:p w14:paraId="4EEFBF08" w14:textId="77777777" w:rsidR="00CA102A" w:rsidRPr="00490E2E" w:rsidRDefault="00CA102A" w:rsidP="00AE1806">
      <w:pPr>
        <w:spacing w:line="360" w:lineRule="auto"/>
        <w:contextualSpacing/>
        <w:jc w:val="both"/>
        <w:rPr>
          <w:rFonts w:ascii="Palatino Linotype" w:eastAsia="Calibri" w:hAnsi="Palatino Linotype"/>
          <w:bCs/>
          <w:sz w:val="22"/>
          <w:szCs w:val="22"/>
        </w:rPr>
      </w:pPr>
      <w:r w:rsidRPr="00490E2E">
        <w:rPr>
          <w:rFonts w:ascii="Palatino Linotype" w:eastAsia="Calibri" w:hAnsi="Palatino Linotype"/>
          <w:bCs/>
          <w:sz w:val="22"/>
          <w:szCs w:val="22"/>
        </w:rPr>
        <w:t xml:space="preserve">Ahora bien, respecto al documento solicitado, la Ley del Trabajo de los Servidores Públicos del Estado y Municipios, en su artículo 220 K, fracciones II y IV, establece los documentos que tiene la obligación de conservar el Sujeto Obligado, entre los que se encuentra los </w:t>
      </w:r>
      <w:r w:rsidRPr="00490E2E">
        <w:rPr>
          <w:rFonts w:ascii="Palatino Linotype" w:eastAsia="Calibri" w:hAnsi="Palatino Linotype"/>
          <w:b/>
          <w:bCs/>
          <w:sz w:val="22"/>
          <w:szCs w:val="22"/>
        </w:rPr>
        <w:t>recibos de pago de salarios o las</w:t>
      </w:r>
      <w:r w:rsidRPr="00490E2E">
        <w:rPr>
          <w:rFonts w:ascii="Palatino Linotype" w:eastAsia="Calibri" w:hAnsi="Palatino Linotype"/>
          <w:bCs/>
          <w:sz w:val="22"/>
          <w:szCs w:val="22"/>
        </w:rPr>
        <w:t xml:space="preserve"> </w:t>
      </w:r>
      <w:r w:rsidRPr="00490E2E">
        <w:rPr>
          <w:rFonts w:ascii="Palatino Linotype" w:eastAsia="Calibri" w:hAnsi="Palatino Linotype"/>
          <w:b/>
          <w:bCs/>
          <w:sz w:val="22"/>
          <w:szCs w:val="22"/>
        </w:rPr>
        <w:t xml:space="preserve">constancias documentales del pago de sueldos, </w:t>
      </w:r>
      <w:r w:rsidRPr="00490E2E">
        <w:rPr>
          <w:rFonts w:ascii="Palatino Linotype" w:eastAsia="Calibri" w:hAnsi="Palatino Linotype"/>
          <w:bCs/>
          <w:sz w:val="22"/>
          <w:szCs w:val="22"/>
        </w:rPr>
        <w:t>cuando sea por depósito o mediante información electrónica; así como los recibos o constancias de depósito o del medio de información magnética o electrónica que sean utilizadas para el pago de salarios, prima vacacional, aguinaldo y demás prestaciones.</w:t>
      </w:r>
    </w:p>
    <w:p w14:paraId="5E8079DC" w14:textId="77777777" w:rsidR="00CA102A" w:rsidRPr="00490E2E" w:rsidRDefault="00CA102A" w:rsidP="00AE1806">
      <w:pPr>
        <w:spacing w:line="360" w:lineRule="auto"/>
        <w:contextualSpacing/>
        <w:jc w:val="both"/>
        <w:rPr>
          <w:rFonts w:ascii="Palatino Linotype" w:eastAsia="Calibri" w:hAnsi="Palatino Linotype"/>
          <w:bCs/>
          <w:sz w:val="22"/>
          <w:szCs w:val="22"/>
        </w:rPr>
      </w:pPr>
    </w:p>
    <w:p w14:paraId="01CFD29B" w14:textId="77777777" w:rsidR="00CA102A" w:rsidRPr="00490E2E" w:rsidRDefault="00CA102A" w:rsidP="00AE1806">
      <w:pPr>
        <w:spacing w:line="360" w:lineRule="auto"/>
        <w:contextualSpacing/>
        <w:jc w:val="both"/>
        <w:rPr>
          <w:rFonts w:ascii="Palatino Linotype" w:eastAsia="Calibri" w:hAnsi="Palatino Linotype"/>
          <w:bCs/>
          <w:sz w:val="22"/>
          <w:szCs w:val="22"/>
        </w:rPr>
      </w:pPr>
      <w:r w:rsidRPr="00490E2E">
        <w:rPr>
          <w:rFonts w:ascii="Palatino Linotype" w:eastAsia="Calibri" w:hAnsi="Palatino Linotype"/>
          <w:bCs/>
          <w:sz w:val="22"/>
          <w:szCs w:val="22"/>
        </w:rPr>
        <w:lastRenderedPageBreak/>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1CCF2415" w14:textId="77777777" w:rsidR="00CA102A" w:rsidRPr="00490E2E" w:rsidRDefault="00CA102A" w:rsidP="00AE1806">
      <w:pPr>
        <w:spacing w:line="360" w:lineRule="auto"/>
        <w:contextualSpacing/>
        <w:jc w:val="both"/>
        <w:rPr>
          <w:rFonts w:ascii="Palatino Linotype" w:eastAsia="Calibri" w:hAnsi="Palatino Linotype"/>
          <w:bCs/>
          <w:sz w:val="22"/>
          <w:szCs w:val="22"/>
        </w:rPr>
      </w:pPr>
    </w:p>
    <w:p w14:paraId="51A7EDB5" w14:textId="77777777" w:rsidR="00CA102A" w:rsidRPr="00490E2E" w:rsidRDefault="00CA102A" w:rsidP="00AE1806">
      <w:pPr>
        <w:spacing w:line="360" w:lineRule="auto"/>
        <w:ind w:left="567" w:right="567"/>
        <w:contextualSpacing/>
        <w:jc w:val="both"/>
        <w:rPr>
          <w:rFonts w:ascii="Palatino Linotype" w:eastAsia="Calibri" w:hAnsi="Palatino Linotype"/>
          <w:bCs/>
          <w:i/>
          <w:iCs/>
          <w:lang w:val="es-ES"/>
        </w:rPr>
      </w:pPr>
      <w:r w:rsidRPr="00490E2E">
        <w:rPr>
          <w:rFonts w:ascii="Palatino Linotype" w:eastAsia="Calibri" w:hAnsi="Palatino Linotype"/>
          <w:b/>
          <w:bCs/>
          <w:i/>
          <w:iCs/>
          <w:lang w:val="es-ES"/>
        </w:rPr>
        <w:t>“RECIBOS DE PAGO</w:t>
      </w:r>
      <w:r w:rsidRPr="00490E2E">
        <w:rPr>
          <w:rFonts w:ascii="Palatino Linotype" w:eastAsia="Calibri" w:hAnsi="Palatino Linotype"/>
          <w:bCs/>
          <w:i/>
          <w:iCs/>
          <w:lang w:val="es-ES"/>
        </w:rPr>
        <w:t xml:space="preserve"> </w:t>
      </w:r>
      <w:r w:rsidRPr="00490E2E">
        <w:rPr>
          <w:rFonts w:ascii="Palatino Linotype" w:eastAsia="Calibri" w:hAnsi="Palatino Linotype"/>
          <w:b/>
          <w:bCs/>
          <w:i/>
          <w:iCs/>
          <w:lang w:val="es-ES"/>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sidRPr="00490E2E">
        <w:rPr>
          <w:rFonts w:ascii="Palatino Linotype" w:eastAsia="Calibri" w:hAnsi="Palatino Linotype"/>
          <w:bCs/>
          <w:i/>
          <w:iCs/>
          <w:lang w:val="es-ES"/>
        </w:rPr>
        <w:t>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32570C73" w14:textId="77777777" w:rsidR="00CA102A" w:rsidRPr="00490E2E" w:rsidRDefault="00CA102A" w:rsidP="00AE1806">
      <w:pPr>
        <w:spacing w:line="360" w:lineRule="auto"/>
        <w:contextualSpacing/>
        <w:jc w:val="both"/>
        <w:rPr>
          <w:rFonts w:ascii="Palatino Linotype" w:eastAsia="Calibri" w:hAnsi="Palatino Linotype"/>
          <w:bCs/>
          <w:sz w:val="22"/>
          <w:szCs w:val="22"/>
          <w:lang w:val="es-ES"/>
        </w:rPr>
      </w:pPr>
    </w:p>
    <w:p w14:paraId="50856D7F" w14:textId="77777777" w:rsidR="00CA102A" w:rsidRPr="00490E2E" w:rsidRDefault="00CA102A" w:rsidP="00AE1806">
      <w:pPr>
        <w:spacing w:line="360" w:lineRule="auto"/>
        <w:contextualSpacing/>
        <w:jc w:val="both"/>
        <w:rPr>
          <w:rFonts w:ascii="Palatino Linotype" w:hAnsi="Palatino Linotype" w:cs="Tahoma"/>
          <w:bCs/>
          <w:iCs/>
          <w:sz w:val="22"/>
          <w:szCs w:val="22"/>
          <w:lang w:val="es-ES"/>
        </w:rPr>
      </w:pPr>
      <w:r w:rsidRPr="00490E2E">
        <w:rPr>
          <w:rFonts w:ascii="Palatino Linotype" w:eastAsia="Calibri" w:hAnsi="Palatino Linotype"/>
          <w:bCs/>
          <w:sz w:val="22"/>
          <w:szCs w:val="22"/>
          <w:lang w:val="es-ES"/>
        </w:rPr>
        <w:t xml:space="preserve">De la tesis transcrita, se desprende que </w:t>
      </w:r>
      <w:r w:rsidRPr="00490E2E">
        <w:rPr>
          <w:rFonts w:ascii="Palatino Linotype" w:eastAsia="Calibri" w:hAnsi="Palatino Linotype"/>
          <w:b/>
          <w:bCs/>
          <w:sz w:val="22"/>
          <w:szCs w:val="22"/>
          <w:lang w:val="es-ES"/>
        </w:rPr>
        <w:t>en materia burocrática</w:t>
      </w:r>
      <w:r w:rsidRPr="00490E2E">
        <w:rPr>
          <w:rFonts w:ascii="Palatino Linotype" w:eastAsia="Calibri" w:hAnsi="Palatino Linotype"/>
          <w:bCs/>
          <w:sz w:val="22"/>
          <w:szCs w:val="22"/>
          <w:lang w:val="es-ES"/>
        </w:rPr>
        <w:t xml:space="preserve"> </w:t>
      </w:r>
      <w:r w:rsidRPr="00490E2E">
        <w:rPr>
          <w:rFonts w:ascii="Palatino Linotype" w:eastAsia="Calibri" w:hAnsi="Palatino Linotype"/>
          <w:b/>
          <w:bCs/>
          <w:sz w:val="22"/>
          <w:szCs w:val="22"/>
          <w:lang w:val="es-ES"/>
        </w:rPr>
        <w:t>los recibos de pago acreditan los conceptos y montos que en ellos se insertan</w:t>
      </w:r>
      <w:r w:rsidRPr="00490E2E">
        <w:rPr>
          <w:rFonts w:ascii="Palatino Linotype" w:eastAsia="Calibri" w:hAnsi="Palatino Linotype"/>
          <w:bCs/>
          <w:sz w:val="22"/>
          <w:szCs w:val="22"/>
          <w:lang w:val="es-ES"/>
        </w:rPr>
        <w:t xml:space="preserve">, y constituyen prueba para demostrar las percepciones y montos que reciben los servidores públicos. </w:t>
      </w:r>
    </w:p>
    <w:p w14:paraId="29C6732F" w14:textId="77777777" w:rsidR="00CA102A" w:rsidRPr="00490E2E" w:rsidRDefault="00CA102A" w:rsidP="00AE1806">
      <w:pPr>
        <w:spacing w:line="360" w:lineRule="auto"/>
        <w:contextualSpacing/>
        <w:jc w:val="both"/>
        <w:rPr>
          <w:rFonts w:ascii="Palatino Linotype" w:eastAsia="Calibri" w:hAnsi="Palatino Linotype"/>
          <w:bCs/>
          <w:sz w:val="22"/>
          <w:szCs w:val="22"/>
          <w:lang w:val="es-ES"/>
        </w:rPr>
      </w:pPr>
    </w:p>
    <w:p w14:paraId="3D3DA7F1" w14:textId="77777777" w:rsidR="00CA102A" w:rsidRPr="00490E2E" w:rsidRDefault="00CA102A" w:rsidP="00AE1806">
      <w:pPr>
        <w:spacing w:line="360" w:lineRule="auto"/>
        <w:contextualSpacing/>
        <w:jc w:val="both"/>
        <w:rPr>
          <w:rFonts w:ascii="Palatino Linotype" w:eastAsia="Calibri" w:hAnsi="Palatino Linotype" w:cs="Tahoma"/>
          <w:bCs/>
          <w:sz w:val="22"/>
          <w:szCs w:val="22"/>
          <w:lang w:eastAsia="es-MX"/>
        </w:rPr>
      </w:pPr>
      <w:r w:rsidRPr="00490E2E">
        <w:rPr>
          <w:rFonts w:ascii="Palatino Linotype" w:eastAsia="Calibri" w:hAnsi="Palatino Linotype" w:cs="Tahoma"/>
          <w:bCs/>
          <w:sz w:val="22"/>
          <w:szCs w:val="22"/>
          <w:lang w:eastAsia="es-MX"/>
        </w:rPr>
        <w:t xml:space="preserve">Además, la Resolución Miscelánea Fiscal del ejercicio fiscal dos mil veinticinco, y la página oficial del Servicio de Administración Tributaria, precisan que un Comprobante Fiscal Digital por Internet por concepto de nómina y otras retenciones, es también conocido como </w:t>
      </w:r>
      <w:r w:rsidRPr="00490E2E">
        <w:rPr>
          <w:rFonts w:ascii="Palatino Linotype" w:eastAsia="Calibri" w:hAnsi="Palatino Linotype" w:cs="Tahoma"/>
          <w:bCs/>
          <w:sz w:val="22"/>
          <w:szCs w:val="22"/>
          <w:lang w:eastAsia="es-MX"/>
        </w:rPr>
        <w:lastRenderedPageBreak/>
        <w:t>Recibo de Nómina, mismo que se podrá expedir antes de la realización de los pagos correspondientes o dentro del plazo señalado en función al número de sus trabajadores, posteriores a la realización efectiva de dichos pagos, conforme a lo siguiente:</w:t>
      </w:r>
    </w:p>
    <w:p w14:paraId="0160A88A" w14:textId="77777777" w:rsidR="00CA102A" w:rsidRPr="00490E2E" w:rsidRDefault="00CA102A" w:rsidP="00AE1806">
      <w:pPr>
        <w:spacing w:line="360" w:lineRule="auto"/>
        <w:contextualSpacing/>
        <w:jc w:val="both"/>
        <w:rPr>
          <w:rFonts w:ascii="Palatino Linotype" w:eastAsia="Calibri" w:hAnsi="Palatino Linotype" w:cs="Tahoma"/>
          <w:bCs/>
          <w:sz w:val="22"/>
          <w:szCs w:val="22"/>
          <w:lang w:eastAsia="es-MX"/>
        </w:rPr>
      </w:pPr>
    </w:p>
    <w:p w14:paraId="742E5D64" w14:textId="77777777" w:rsidR="00CA102A" w:rsidRPr="00490E2E" w:rsidRDefault="00CA102A" w:rsidP="00AE1806">
      <w:pPr>
        <w:spacing w:line="360" w:lineRule="auto"/>
        <w:contextualSpacing/>
        <w:jc w:val="center"/>
        <w:rPr>
          <w:rFonts w:ascii="Palatino Linotype" w:eastAsia="Calibri" w:hAnsi="Palatino Linotype" w:cs="Tahoma"/>
          <w:bCs/>
          <w:sz w:val="22"/>
          <w:szCs w:val="22"/>
          <w:lang w:eastAsia="es-MX"/>
        </w:rPr>
      </w:pPr>
      <w:r w:rsidRPr="00490E2E">
        <w:rPr>
          <w:rFonts w:ascii="Palatino Linotype" w:eastAsia="Calibri" w:hAnsi="Palatino Linotype" w:cs="Tahoma"/>
          <w:noProof/>
          <w:sz w:val="22"/>
          <w:szCs w:val="22"/>
          <w:lang w:eastAsia="es-MX"/>
        </w:rPr>
        <w:drawing>
          <wp:inline distT="0" distB="0" distL="0" distR="0" wp14:anchorId="546F46F6" wp14:editId="4C02401B">
            <wp:extent cx="4895850" cy="1495425"/>
            <wp:effectExtent l="0" t="0" r="0" b="952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5850" cy="1495425"/>
                    </a:xfrm>
                    <a:prstGeom prst="rect">
                      <a:avLst/>
                    </a:prstGeom>
                    <a:noFill/>
                    <a:ln>
                      <a:noFill/>
                    </a:ln>
                  </pic:spPr>
                </pic:pic>
              </a:graphicData>
            </a:graphic>
          </wp:inline>
        </w:drawing>
      </w:r>
    </w:p>
    <w:p w14:paraId="22FE2036" w14:textId="77777777" w:rsidR="00CA102A" w:rsidRPr="00490E2E" w:rsidRDefault="00CA102A" w:rsidP="00AE1806">
      <w:pPr>
        <w:spacing w:line="360" w:lineRule="auto"/>
        <w:contextualSpacing/>
        <w:jc w:val="both"/>
        <w:rPr>
          <w:rFonts w:ascii="Palatino Linotype" w:eastAsia="Calibri" w:hAnsi="Palatino Linotype" w:cs="Tahoma"/>
          <w:bCs/>
          <w:sz w:val="22"/>
          <w:szCs w:val="22"/>
          <w:lang w:eastAsia="es-MX"/>
        </w:rPr>
      </w:pPr>
    </w:p>
    <w:p w14:paraId="31C1CC6D" w14:textId="53774E27" w:rsidR="00CA102A" w:rsidRPr="00490E2E" w:rsidRDefault="00CA102A" w:rsidP="00AE1806">
      <w:pPr>
        <w:spacing w:line="360" w:lineRule="auto"/>
        <w:contextualSpacing/>
        <w:jc w:val="both"/>
        <w:rPr>
          <w:rFonts w:ascii="Palatino Linotype" w:eastAsia="Calibri" w:hAnsi="Palatino Linotype" w:cs="Tahoma"/>
          <w:bCs/>
          <w:sz w:val="22"/>
          <w:szCs w:val="22"/>
          <w:lang w:eastAsia="es-MX"/>
        </w:rPr>
      </w:pPr>
      <w:r w:rsidRPr="00490E2E">
        <w:rPr>
          <w:rFonts w:ascii="Palatino Linotype" w:eastAsia="Calibri" w:hAnsi="Palatino Linotype" w:cs="Tahoma"/>
          <w:bCs/>
          <w:sz w:val="22"/>
          <w:szCs w:val="22"/>
          <w:lang w:eastAsia="es-MX"/>
        </w:rPr>
        <w:t>Asimismo, precisa que se considerará como fecha de expedición y entrega de tales comprobantes fiscales la fecha en que efectivamente se realizó el pago de dichas remuneraciones.</w:t>
      </w:r>
    </w:p>
    <w:p w14:paraId="06276105" w14:textId="77777777" w:rsidR="00CA102A" w:rsidRPr="00490E2E" w:rsidRDefault="00CA102A" w:rsidP="00AE1806">
      <w:pPr>
        <w:spacing w:line="360" w:lineRule="auto"/>
        <w:contextualSpacing/>
        <w:jc w:val="both"/>
        <w:rPr>
          <w:rFonts w:ascii="Palatino Linotype" w:eastAsia="Calibri" w:hAnsi="Palatino Linotype" w:cs="Tahoma"/>
          <w:bCs/>
          <w:sz w:val="22"/>
          <w:szCs w:val="22"/>
          <w:lang w:eastAsia="es-MX"/>
        </w:rPr>
      </w:pPr>
    </w:p>
    <w:p w14:paraId="3BF90179" w14:textId="0AB29E9D" w:rsidR="00CA102A" w:rsidRPr="00490E2E" w:rsidRDefault="00CA102A" w:rsidP="00AE1806">
      <w:pPr>
        <w:spacing w:line="360" w:lineRule="auto"/>
        <w:contextualSpacing/>
        <w:jc w:val="both"/>
        <w:rPr>
          <w:rFonts w:ascii="Palatino Linotype" w:eastAsia="Calibri" w:hAnsi="Palatino Linotype" w:cs="Tahoma"/>
          <w:bCs/>
          <w:sz w:val="22"/>
          <w:szCs w:val="22"/>
          <w:lang w:eastAsia="es-MX"/>
        </w:rPr>
      </w:pPr>
      <w:r w:rsidRPr="00490E2E">
        <w:rPr>
          <w:rFonts w:ascii="Palatino Linotype" w:eastAsia="Calibri" w:hAnsi="Palatino Linotype" w:cs="Tahoma"/>
          <w:bCs/>
          <w:sz w:val="22"/>
          <w:szCs w:val="22"/>
          <w:lang w:eastAsia="es-MX"/>
        </w:rPr>
        <w:t xml:space="preserve">Ahora bien, respecto del servidor público solicitado, se localizó en el portal de información del Sujeto Obligado específicamente en la fracción VIII A “remuneraciones” visible en el siguiente enlace </w:t>
      </w:r>
      <w:hyperlink r:id="rId9" w:anchor="/info-fraccion/11/83/28" w:history="1">
        <w:r w:rsidRPr="00490E2E">
          <w:rPr>
            <w:rStyle w:val="Hipervnculo"/>
            <w:rFonts w:ascii="Palatino Linotype" w:eastAsia="Calibri" w:hAnsi="Palatino Linotype" w:cs="Tahoma"/>
            <w:bCs/>
            <w:sz w:val="22"/>
            <w:szCs w:val="22"/>
            <w:lang w:eastAsia="es-MX"/>
          </w:rPr>
          <w:t>https://ipomex.org.mx/ipomex/#/info-fraccion/11/83/28</w:t>
        </w:r>
      </w:hyperlink>
      <w:r w:rsidRPr="00490E2E">
        <w:rPr>
          <w:rFonts w:ascii="Palatino Linotype" w:eastAsia="Calibri" w:hAnsi="Palatino Linotype" w:cs="Tahoma"/>
          <w:bCs/>
          <w:sz w:val="22"/>
          <w:szCs w:val="22"/>
          <w:lang w:eastAsia="es-MX"/>
        </w:rPr>
        <w:t>, (</w:t>
      </w:r>
      <w:r w:rsidR="00421355" w:rsidRPr="00490E2E">
        <w:rPr>
          <w:rFonts w:ascii="Palatino Linotype" w:eastAsia="Calibri" w:hAnsi="Palatino Linotype" w:cs="Tahoma"/>
          <w:bCs/>
          <w:sz w:val="22"/>
          <w:szCs w:val="22"/>
          <w:lang w:eastAsia="es-MX"/>
        </w:rPr>
        <w:t>c</w:t>
      </w:r>
      <w:r w:rsidRPr="00490E2E">
        <w:rPr>
          <w:rFonts w:ascii="Palatino Linotype" w:eastAsia="Calibri" w:hAnsi="Palatino Linotype" w:cs="Tahoma"/>
          <w:bCs/>
          <w:sz w:val="22"/>
          <w:szCs w:val="22"/>
          <w:lang w:eastAsia="es-MX"/>
        </w:rPr>
        <w:t xml:space="preserve">onsultado el diecisiete de julio de dos mil veinticinco), en el cual se localizó que el servidor público Víctor Hugo Montiel Chavero se desempeña con el cargo de “Asesor” de la legislatura, situación que se logró advertir conforme a lo siguiente: </w:t>
      </w:r>
    </w:p>
    <w:p w14:paraId="39BF74DB" w14:textId="77777777" w:rsidR="00CA102A" w:rsidRPr="00490E2E" w:rsidRDefault="00CA102A" w:rsidP="00AE1806">
      <w:pPr>
        <w:spacing w:line="360" w:lineRule="auto"/>
        <w:contextualSpacing/>
        <w:jc w:val="both"/>
        <w:rPr>
          <w:rFonts w:ascii="Palatino Linotype" w:eastAsia="Calibri" w:hAnsi="Palatino Linotype" w:cs="Tahoma"/>
          <w:bCs/>
          <w:sz w:val="22"/>
          <w:szCs w:val="22"/>
          <w:lang w:eastAsia="es-MX"/>
        </w:rPr>
      </w:pPr>
    </w:p>
    <w:p w14:paraId="3627784F" w14:textId="59A39672" w:rsidR="00CA102A" w:rsidRPr="00490E2E" w:rsidRDefault="00CA102A" w:rsidP="00AE1806">
      <w:pPr>
        <w:spacing w:line="360" w:lineRule="auto"/>
        <w:contextualSpacing/>
        <w:jc w:val="center"/>
        <w:rPr>
          <w:rFonts w:ascii="Palatino Linotype" w:eastAsia="Calibri" w:hAnsi="Palatino Linotype" w:cs="Tahoma"/>
          <w:bCs/>
          <w:sz w:val="22"/>
          <w:szCs w:val="22"/>
          <w:lang w:eastAsia="es-MX"/>
        </w:rPr>
      </w:pPr>
      <w:r w:rsidRPr="00490E2E">
        <w:rPr>
          <w:rFonts w:ascii="Palatino Linotype" w:eastAsia="Calibri" w:hAnsi="Palatino Linotype" w:cs="Tahoma"/>
          <w:bCs/>
          <w:noProof/>
          <w:sz w:val="22"/>
          <w:szCs w:val="22"/>
          <w:lang w:eastAsia="es-MX"/>
        </w:rPr>
        <w:drawing>
          <wp:inline distT="0" distB="0" distL="0" distR="0" wp14:anchorId="4372A80A" wp14:editId="54C7E99C">
            <wp:extent cx="4681855" cy="353695"/>
            <wp:effectExtent l="0" t="0" r="4445" b="8255"/>
            <wp:docPr id="15440507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1855" cy="353695"/>
                    </a:xfrm>
                    <a:prstGeom prst="rect">
                      <a:avLst/>
                    </a:prstGeom>
                    <a:noFill/>
                  </pic:spPr>
                </pic:pic>
              </a:graphicData>
            </a:graphic>
          </wp:inline>
        </w:drawing>
      </w:r>
    </w:p>
    <w:p w14:paraId="72CC43CB" w14:textId="77777777" w:rsidR="00CA102A" w:rsidRPr="00490E2E" w:rsidRDefault="00CA102A" w:rsidP="00AE1806">
      <w:pPr>
        <w:spacing w:line="360" w:lineRule="auto"/>
        <w:contextualSpacing/>
        <w:jc w:val="both"/>
        <w:rPr>
          <w:rFonts w:ascii="Palatino Linotype" w:eastAsia="Calibri" w:hAnsi="Palatino Linotype"/>
          <w:bCs/>
          <w:sz w:val="22"/>
          <w:szCs w:val="22"/>
        </w:rPr>
      </w:pPr>
    </w:p>
    <w:p w14:paraId="753A8A45" w14:textId="77777777" w:rsidR="00AE1806" w:rsidRPr="00490E2E" w:rsidRDefault="00AE1806" w:rsidP="00AE1806">
      <w:pPr>
        <w:spacing w:line="360" w:lineRule="auto"/>
        <w:jc w:val="both"/>
        <w:rPr>
          <w:rFonts w:ascii="Palatino Linotype" w:eastAsia="Palatino Linotype" w:hAnsi="Palatino Linotype" w:cs="Palatino Linotype"/>
          <w:b/>
          <w:color w:val="000000"/>
          <w:sz w:val="22"/>
          <w:szCs w:val="22"/>
          <w:lang w:eastAsia="es-MX"/>
        </w:rPr>
      </w:pPr>
      <w:r w:rsidRPr="00490E2E">
        <w:rPr>
          <w:rFonts w:ascii="Palatino Linotype" w:eastAsia="Palatino Linotype" w:hAnsi="Palatino Linotype" w:cs="Palatino Linotype"/>
          <w:color w:val="000000"/>
          <w:sz w:val="22"/>
          <w:szCs w:val="22"/>
          <w:lang w:eastAsia="es-MX"/>
        </w:rPr>
        <w:t xml:space="preserve">No pasa desapercibido mencionar que, del análisis a la solicitud de información, se advierte que, el particular no señaló temporalidad de la cual requería obtener la información solicitada, por lo que, es necesario traer a colación el Criterio Reiterado 04/2024 emitido por </w:t>
      </w:r>
      <w:r w:rsidRPr="00490E2E">
        <w:rPr>
          <w:rFonts w:ascii="Palatino Linotype" w:eastAsia="Palatino Linotype" w:hAnsi="Palatino Linotype" w:cs="Palatino Linotype"/>
          <w:color w:val="000000"/>
          <w:sz w:val="22"/>
          <w:szCs w:val="22"/>
          <w:lang w:eastAsia="es-MX"/>
        </w:rPr>
        <w:lastRenderedPageBreak/>
        <w:t xml:space="preserve">este Organismo Garante, el cual señala que cuando el particular no refiera el periodo respecto del cual requiere la información o no se adviertan elementos que permitan identificarlo, se </w:t>
      </w:r>
      <w:r w:rsidRPr="00490E2E">
        <w:rPr>
          <w:rFonts w:ascii="Palatino Linotype" w:eastAsia="Palatino Linotype" w:hAnsi="Palatino Linotype" w:cs="Palatino Linotype"/>
          <w:b/>
          <w:color w:val="000000"/>
          <w:sz w:val="22"/>
          <w:szCs w:val="22"/>
          <w:lang w:eastAsia="es-MX"/>
        </w:rPr>
        <w:t>deberá hacer entrega de la información relativa a las últimas dos quincenas pagadas.</w:t>
      </w:r>
    </w:p>
    <w:p w14:paraId="7E359A61" w14:textId="77777777" w:rsidR="00AE1806" w:rsidRPr="00490E2E" w:rsidRDefault="00AE1806" w:rsidP="00AE1806">
      <w:pPr>
        <w:spacing w:line="360" w:lineRule="auto"/>
        <w:contextualSpacing/>
        <w:jc w:val="both"/>
        <w:rPr>
          <w:rFonts w:ascii="Palatino Linotype" w:eastAsia="Calibri" w:hAnsi="Palatino Linotype"/>
          <w:bCs/>
          <w:sz w:val="22"/>
          <w:szCs w:val="22"/>
        </w:rPr>
      </w:pPr>
    </w:p>
    <w:p w14:paraId="2151A68E" w14:textId="60F93FF5" w:rsidR="00CA102A" w:rsidRPr="00490E2E" w:rsidRDefault="00CA102A" w:rsidP="00AE1806">
      <w:pPr>
        <w:spacing w:line="360" w:lineRule="auto"/>
        <w:contextualSpacing/>
        <w:jc w:val="both"/>
        <w:rPr>
          <w:rFonts w:ascii="Palatino Linotype" w:hAnsi="Palatino Linotype" w:cs="Tahoma"/>
          <w:sz w:val="22"/>
          <w:szCs w:val="22"/>
        </w:rPr>
      </w:pPr>
      <w:r w:rsidRPr="00490E2E">
        <w:rPr>
          <w:rFonts w:ascii="Palatino Linotype" w:eastAsia="Calibri" w:hAnsi="Palatino Linotype"/>
          <w:bCs/>
          <w:sz w:val="22"/>
          <w:szCs w:val="22"/>
        </w:rPr>
        <w:t xml:space="preserve">Conforme a lo anterior, se logra vislumbrar que la pretensión de la parte Recurrente es obtener los recibos de nómina de la segunda quincena de abril y primera de mayo de dos mil veinticinco, del servidor público </w:t>
      </w:r>
      <w:r w:rsidRPr="00490E2E">
        <w:rPr>
          <w:rFonts w:ascii="Palatino Linotype" w:hAnsi="Palatino Linotype" w:cs="Tahoma"/>
          <w:sz w:val="22"/>
          <w:szCs w:val="22"/>
        </w:rPr>
        <w:t>Víctor Hugo Montiel Chavero.</w:t>
      </w:r>
    </w:p>
    <w:p w14:paraId="4B5C3C94" w14:textId="77777777" w:rsidR="00AE1806" w:rsidRPr="00490E2E" w:rsidRDefault="00AE1806" w:rsidP="00AE1806">
      <w:pPr>
        <w:spacing w:line="360" w:lineRule="auto"/>
        <w:contextualSpacing/>
        <w:jc w:val="both"/>
        <w:rPr>
          <w:rFonts w:ascii="Palatino Linotype" w:eastAsia="Calibri" w:hAnsi="Palatino Linotype"/>
          <w:bCs/>
          <w:sz w:val="22"/>
          <w:szCs w:val="22"/>
        </w:rPr>
      </w:pPr>
    </w:p>
    <w:p w14:paraId="2B4AC8A2" w14:textId="1EACFF7F" w:rsidR="00421355" w:rsidRPr="00490E2E" w:rsidRDefault="00421355" w:rsidP="00AE1806">
      <w:pPr>
        <w:spacing w:line="360" w:lineRule="auto"/>
        <w:contextualSpacing/>
        <w:jc w:val="both"/>
        <w:rPr>
          <w:rFonts w:ascii="Palatino Linotype" w:hAnsi="Palatino Linotype" w:cs="Tahoma"/>
          <w:bCs/>
          <w:iCs/>
          <w:sz w:val="22"/>
          <w:szCs w:val="22"/>
          <w:lang w:val="es-ES"/>
        </w:rPr>
      </w:pPr>
      <w:r w:rsidRPr="00490E2E">
        <w:rPr>
          <w:rFonts w:ascii="Palatino Linotype" w:eastAsia="Calibri" w:hAnsi="Palatino Linotype" w:cs="Tahoma"/>
          <w:sz w:val="22"/>
          <w:szCs w:val="22"/>
        </w:rPr>
        <w:t xml:space="preserve">Establecida dicha circunstancia, se procede al análisis de la respuesta entregada, por lo que, de las constancias que obran en el expediente </w:t>
      </w:r>
      <w:r w:rsidRPr="00490E2E">
        <w:rPr>
          <w:rFonts w:ascii="Palatino Linotype" w:hAnsi="Palatino Linotype" w:cs="Tahoma"/>
          <w:bCs/>
          <w:iCs/>
          <w:sz w:val="22"/>
          <w:szCs w:val="22"/>
        </w:rPr>
        <w:t xml:space="preserve">se logra vislumbrar que el Ente Recurrido turno la solicitud de información, </w:t>
      </w:r>
      <w:r w:rsidRPr="00490E2E">
        <w:rPr>
          <w:rFonts w:ascii="Palatino Linotype" w:hAnsi="Palatino Linotype" w:cs="Tahoma"/>
          <w:iCs/>
          <w:sz w:val="22"/>
          <w:szCs w:val="22"/>
          <w:lang w:val="es-ES"/>
        </w:rPr>
        <w:t>a la Secretaria de Administración y Finanzas</w:t>
      </w:r>
      <w:r w:rsidRPr="00490E2E">
        <w:rPr>
          <w:rFonts w:ascii="Palatino Linotype" w:hAnsi="Palatino Linotype" w:cs="Tahoma"/>
          <w:bCs/>
          <w:iCs/>
          <w:sz w:val="22"/>
          <w:szCs w:val="22"/>
        </w:rPr>
        <w:t xml:space="preserve">, por lo que, es necesario hacer referencia al </w:t>
      </w:r>
      <w:r w:rsidRPr="00490E2E">
        <w:rPr>
          <w:rFonts w:ascii="Palatino Linotype" w:hAnsi="Palatino Linotype" w:cs="Tahoma"/>
          <w:b/>
          <w:iCs/>
          <w:sz w:val="22"/>
          <w:szCs w:val="22"/>
        </w:rPr>
        <w:t xml:space="preserve">procedimiento de búsqueda </w:t>
      </w:r>
      <w:r w:rsidRPr="00490E2E">
        <w:rPr>
          <w:rFonts w:ascii="Palatino Linotype" w:hAnsi="Palatino Linotype" w:cs="Tahoma"/>
          <w:b/>
          <w:iCs/>
          <w:sz w:val="22"/>
          <w:szCs w:val="22"/>
          <w:lang w:val="es-ES"/>
        </w:rPr>
        <w:t>que deben de seguir los Sujetos Obligados para localizar la información</w:t>
      </w:r>
      <w:r w:rsidRPr="00490E2E">
        <w:rPr>
          <w:rFonts w:ascii="Palatino Linotype" w:hAnsi="Palatino Linotype" w:cs="Tahoma"/>
          <w:bCs/>
          <w:iCs/>
          <w:sz w:val="22"/>
          <w:szCs w:val="22"/>
          <w:lang w:val="es-ES"/>
        </w:rPr>
        <w:t>, el cual se encuentra previsto en los artículos 160 y 162 de la Ley de Transparencia y Acceso a la Información Pública del Estado de México y Municipios</w:t>
      </w:r>
      <w:r w:rsidR="00AE1806" w:rsidRPr="00490E2E">
        <w:rPr>
          <w:rFonts w:ascii="Palatino Linotype" w:hAnsi="Palatino Linotype" w:cs="Tahoma"/>
          <w:bCs/>
          <w:iCs/>
          <w:sz w:val="22"/>
          <w:szCs w:val="22"/>
          <w:lang w:val="es-ES"/>
        </w:rPr>
        <w:t xml:space="preserve"> el cual precisa que las</w:t>
      </w:r>
      <w:r w:rsidRPr="00490E2E">
        <w:rPr>
          <w:rFonts w:ascii="Palatino Linotype" w:hAnsi="Palatino Linotype" w:cs="Tahoma"/>
          <w:bCs/>
          <w:iCs/>
          <w:sz w:val="22"/>
          <w:szCs w:val="22"/>
          <w:lang w:val="es-ES"/>
        </w:rPr>
        <w:t xml:space="preserve">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r w:rsidR="00AE1806" w:rsidRPr="00490E2E">
        <w:rPr>
          <w:rFonts w:ascii="Palatino Linotype" w:hAnsi="Palatino Linotype" w:cs="Tahoma"/>
          <w:bCs/>
          <w:iCs/>
          <w:sz w:val="22"/>
          <w:szCs w:val="22"/>
          <w:lang w:val="es-ES"/>
        </w:rPr>
        <w:t>.</w:t>
      </w:r>
    </w:p>
    <w:p w14:paraId="6EFFBAFA" w14:textId="77777777" w:rsidR="00421355" w:rsidRPr="00490E2E" w:rsidRDefault="00421355" w:rsidP="00AE1806">
      <w:pPr>
        <w:spacing w:line="360" w:lineRule="auto"/>
        <w:contextualSpacing/>
        <w:jc w:val="both"/>
        <w:rPr>
          <w:rFonts w:ascii="Palatino Linotype" w:hAnsi="Palatino Linotype" w:cs="Tahoma"/>
          <w:b/>
          <w:bCs/>
          <w:iCs/>
          <w:sz w:val="22"/>
          <w:szCs w:val="22"/>
        </w:rPr>
      </w:pPr>
    </w:p>
    <w:p w14:paraId="63B4F7A3" w14:textId="77777777" w:rsidR="00421355" w:rsidRPr="00490E2E" w:rsidRDefault="00421355" w:rsidP="00AE1806">
      <w:pPr>
        <w:spacing w:line="360" w:lineRule="auto"/>
        <w:contextualSpacing/>
        <w:jc w:val="both"/>
        <w:rPr>
          <w:rFonts w:ascii="Palatino Linotype" w:hAnsi="Palatino Linotype" w:cs="Tahoma"/>
          <w:bCs/>
          <w:iCs/>
          <w:sz w:val="22"/>
          <w:szCs w:val="22"/>
        </w:rPr>
      </w:pPr>
      <w:r w:rsidRPr="00490E2E">
        <w:rPr>
          <w:rFonts w:ascii="Palatino Linotype" w:hAnsi="Palatino Linotype" w:cs="Tahoma"/>
          <w:bCs/>
          <w:iCs/>
          <w:sz w:val="22"/>
          <w:szCs w:val="22"/>
        </w:rPr>
        <w:t xml:space="preserve">Así, con la finalidad de determinar si el Sujeto Obligado cumplió con el procedimiento de búsqueda previamente establecido, es necesario traer a colación el artículo 94 fracción IV, de la Ley Orgánica del Poder Legislativo, en relación con el Manual General de Organización de la Secretaría de Administración y Finanzas, los cuales establecen que para el ejercicio de sus funciones, la legislatura contará con diversas dependencias, entre las que se localiza la Secretaría de Administración y Finanzas quien tiene como objetivo coordinar </w:t>
      </w:r>
      <w:r w:rsidRPr="00490E2E">
        <w:rPr>
          <w:rFonts w:ascii="Palatino Linotype" w:hAnsi="Palatino Linotype" w:cs="Tahoma"/>
          <w:bCs/>
          <w:iCs/>
          <w:sz w:val="22"/>
          <w:szCs w:val="22"/>
        </w:rPr>
        <w:lastRenderedPageBreak/>
        <w:t>y dirigir los procesos de planeación, organización y control de los recursos humanos, materiales, tecnológicos y financieros para coadyuvar en el desempeño de las funciones del poder legislativo, además para el ejercicio de sus atribuciones contará con diversas unidades administrativas entre otras la Dirección de Administración y Desarrollo de Personal quien se encargará de diversas funciones entre otras, integrar, dirigir y controlar los procesos de alta y pago de nómina de los servidores públicos.</w:t>
      </w:r>
    </w:p>
    <w:p w14:paraId="308D1AEE" w14:textId="77777777" w:rsidR="00421355" w:rsidRPr="00490E2E" w:rsidRDefault="00421355" w:rsidP="00AE1806">
      <w:pPr>
        <w:spacing w:line="360" w:lineRule="auto"/>
        <w:contextualSpacing/>
        <w:jc w:val="both"/>
        <w:rPr>
          <w:rFonts w:ascii="Palatino Linotype" w:hAnsi="Palatino Linotype" w:cs="Tahoma"/>
          <w:color w:val="000000"/>
          <w:sz w:val="22"/>
          <w:szCs w:val="22"/>
        </w:rPr>
      </w:pPr>
    </w:p>
    <w:p w14:paraId="304EF9D3" w14:textId="6AD9940A" w:rsidR="00421355" w:rsidRPr="00490E2E" w:rsidRDefault="00421355" w:rsidP="00AE1806">
      <w:pPr>
        <w:spacing w:line="360" w:lineRule="auto"/>
        <w:contextualSpacing/>
        <w:jc w:val="both"/>
        <w:rPr>
          <w:rFonts w:ascii="Palatino Linotype" w:eastAsia="Calibri" w:hAnsi="Palatino Linotype" w:cs="Tahoma"/>
          <w:sz w:val="22"/>
          <w:szCs w:val="22"/>
        </w:rPr>
      </w:pPr>
      <w:r w:rsidRPr="00490E2E">
        <w:rPr>
          <w:rFonts w:ascii="Palatino Linotype" w:eastAsia="Calibri" w:hAnsi="Palatino Linotype" w:cs="Tahoma"/>
          <w:sz w:val="22"/>
          <w:szCs w:val="22"/>
        </w:rPr>
        <w:t>De tal circunstancia, se considera que el Sujeto Obligado turno la solicitud de información al área con competencia, para conocer de lo peticionado, a saber, la Secretaría de Administración y Finanzas, a través de la Dirección de Administración y Desarrollo de Personal, encargada del pago de sueldos y salarios a los servidores público</w:t>
      </w:r>
      <w:r w:rsidR="00317C63" w:rsidRPr="00490E2E">
        <w:rPr>
          <w:rFonts w:ascii="Palatino Linotype" w:eastAsia="Calibri" w:hAnsi="Palatino Linotype" w:cs="Tahoma"/>
          <w:sz w:val="22"/>
          <w:szCs w:val="22"/>
        </w:rPr>
        <w:t>s</w:t>
      </w:r>
      <w:r w:rsidRPr="00490E2E">
        <w:rPr>
          <w:rFonts w:ascii="Palatino Linotype" w:eastAsia="Calibri" w:hAnsi="Palatino Linotype" w:cs="Tahoma"/>
          <w:sz w:val="22"/>
          <w:szCs w:val="22"/>
        </w:rPr>
        <w:t xml:space="preserve">, por lo que, se considera que atendió lo establecido en el artículo 162 de la Ley de </w:t>
      </w:r>
      <w:r w:rsidR="00317C63" w:rsidRPr="00490E2E">
        <w:rPr>
          <w:rFonts w:ascii="Palatino Linotype" w:eastAsia="Calibri" w:hAnsi="Palatino Linotype" w:cs="Tahoma"/>
          <w:sz w:val="22"/>
          <w:szCs w:val="22"/>
        </w:rPr>
        <w:t>la materia.</w:t>
      </w:r>
    </w:p>
    <w:p w14:paraId="06731C60" w14:textId="77777777" w:rsidR="00317C63" w:rsidRPr="00490E2E" w:rsidRDefault="00317C63" w:rsidP="00AE1806">
      <w:pPr>
        <w:spacing w:line="360" w:lineRule="auto"/>
        <w:contextualSpacing/>
        <w:jc w:val="both"/>
        <w:rPr>
          <w:rFonts w:ascii="Palatino Linotype" w:eastAsia="Calibri" w:hAnsi="Palatino Linotype" w:cs="Tahoma"/>
          <w:sz w:val="22"/>
          <w:szCs w:val="22"/>
        </w:rPr>
      </w:pPr>
    </w:p>
    <w:p w14:paraId="1E61FAE8" w14:textId="32C9A588" w:rsidR="00CB7C2B" w:rsidRPr="00490E2E" w:rsidRDefault="00317C63" w:rsidP="00AE1806">
      <w:pPr>
        <w:spacing w:line="360" w:lineRule="auto"/>
        <w:contextualSpacing/>
        <w:jc w:val="both"/>
        <w:rPr>
          <w:rFonts w:ascii="Palatino Linotype" w:eastAsia="Calibri" w:hAnsi="Palatino Linotype" w:cs="Tahoma"/>
          <w:sz w:val="22"/>
          <w:szCs w:val="22"/>
        </w:rPr>
      </w:pPr>
      <w:r w:rsidRPr="00490E2E">
        <w:rPr>
          <w:rFonts w:ascii="Palatino Linotype" w:eastAsia="Calibri" w:hAnsi="Palatino Linotype" w:cs="Tahoma"/>
          <w:sz w:val="22"/>
          <w:szCs w:val="22"/>
        </w:rPr>
        <w:t xml:space="preserve">Ahora bien, en respuesta dicha área proporcionó entre otras cosas el acuerdo que sustentaba los comprobantes de pago del servidor público requerido, sin embargo, omitió la entrega de los documentos solicitados; </w:t>
      </w:r>
      <w:r w:rsidR="00AE1806" w:rsidRPr="00490E2E">
        <w:rPr>
          <w:rFonts w:ascii="Palatino Linotype" w:hAnsi="Palatino Linotype"/>
          <w:bCs/>
          <w:iCs/>
          <w:sz w:val="22"/>
          <w:szCs w:val="22"/>
        </w:rPr>
        <w:t>s</w:t>
      </w:r>
      <w:r w:rsidR="00CB7C2B" w:rsidRPr="00490E2E">
        <w:rPr>
          <w:rFonts w:ascii="Palatino Linotype" w:hAnsi="Palatino Linotype"/>
          <w:bCs/>
          <w:iCs/>
          <w:sz w:val="22"/>
          <w:szCs w:val="22"/>
        </w:rPr>
        <w:t xml:space="preserve">obre el tema el artículo 1.8, fracción IX, del Código Administrativo del Estado de México, establece que para que un acto administrativo tenga validez, deberá guardar congruencia con lo solicitado. </w:t>
      </w:r>
    </w:p>
    <w:p w14:paraId="2FE358D2" w14:textId="77777777" w:rsidR="00CB7C2B" w:rsidRPr="00490E2E" w:rsidRDefault="00CB7C2B" w:rsidP="00AE1806">
      <w:pPr>
        <w:spacing w:line="360" w:lineRule="auto"/>
        <w:contextualSpacing/>
        <w:jc w:val="both"/>
        <w:rPr>
          <w:rFonts w:ascii="Palatino Linotype" w:hAnsi="Palatino Linotype"/>
          <w:bCs/>
          <w:iCs/>
          <w:sz w:val="22"/>
          <w:szCs w:val="22"/>
        </w:rPr>
      </w:pPr>
    </w:p>
    <w:p w14:paraId="3FD34628" w14:textId="77777777" w:rsidR="00CB7C2B" w:rsidRPr="00490E2E" w:rsidRDefault="00CB7C2B" w:rsidP="00AE1806">
      <w:pPr>
        <w:spacing w:line="360" w:lineRule="auto"/>
        <w:contextualSpacing/>
        <w:jc w:val="both"/>
        <w:rPr>
          <w:rFonts w:ascii="Palatino Linotype" w:hAnsi="Palatino Linotype"/>
          <w:bCs/>
          <w:iCs/>
          <w:sz w:val="22"/>
          <w:szCs w:val="22"/>
        </w:rPr>
      </w:pPr>
      <w:r w:rsidRPr="00490E2E">
        <w:rPr>
          <w:rFonts w:ascii="Palatino Linotype" w:hAnsi="Palatino Linotype"/>
          <w:bCs/>
          <w:iCs/>
          <w:sz w:val="22"/>
          <w:szCs w:val="22"/>
        </w:rPr>
        <w:t xml:space="preserve">Además, resulta necesario traer por analogía, el Criterio de Interpretación, con clave de control SO/002/2017, de la Segunda Época, emitido por el Instituto Nacional de Transparencia, Acceso a la Información y Protección de Datos Personales, del cual se desprende que todo acto administrativo debe apegarse al </w:t>
      </w:r>
      <w:r w:rsidRPr="00490E2E">
        <w:rPr>
          <w:rFonts w:ascii="Palatino Linotype" w:hAnsi="Palatino Linotype"/>
          <w:b/>
          <w:bCs/>
          <w:iCs/>
          <w:sz w:val="22"/>
          <w:szCs w:val="22"/>
        </w:rPr>
        <w:t>Principio de Congruencia</w:t>
      </w:r>
      <w:r w:rsidRPr="00490E2E">
        <w:rPr>
          <w:rFonts w:ascii="Palatino Linotype" w:hAnsi="Palatino Linotype"/>
          <w:bCs/>
          <w:iCs/>
          <w:sz w:val="22"/>
          <w:szCs w:val="22"/>
        </w:rPr>
        <w:t>, el cual implica que exista concordancia entre el requerimiento formulado y la respuesta entregada.</w:t>
      </w:r>
    </w:p>
    <w:p w14:paraId="27374C84" w14:textId="77777777" w:rsidR="00CB7C2B" w:rsidRPr="00490E2E" w:rsidRDefault="00CB7C2B" w:rsidP="00AE1806">
      <w:pPr>
        <w:spacing w:line="360" w:lineRule="auto"/>
        <w:contextualSpacing/>
        <w:jc w:val="both"/>
        <w:rPr>
          <w:rFonts w:ascii="Palatino Linotype" w:eastAsia="Palatino Linotype" w:hAnsi="Palatino Linotype" w:cs="Palatino Linotype"/>
          <w:sz w:val="22"/>
          <w:szCs w:val="22"/>
        </w:rPr>
      </w:pPr>
    </w:p>
    <w:p w14:paraId="52835FDA" w14:textId="2481C07D" w:rsidR="00317C63" w:rsidRPr="00490E2E" w:rsidRDefault="00CB7C2B" w:rsidP="00AE1806">
      <w:pPr>
        <w:spacing w:line="360" w:lineRule="auto"/>
        <w:ind w:right="-28"/>
        <w:contextualSpacing/>
        <w:jc w:val="both"/>
        <w:rPr>
          <w:rFonts w:ascii="Palatino Linotype" w:eastAsia="Calibri" w:hAnsi="Palatino Linotype" w:cs="Tahoma"/>
          <w:bCs/>
          <w:color w:val="000000"/>
          <w:sz w:val="22"/>
          <w:szCs w:val="22"/>
          <w:lang w:val="es-ES"/>
        </w:rPr>
      </w:pPr>
      <w:r w:rsidRPr="00490E2E">
        <w:rPr>
          <w:rFonts w:ascii="Palatino Linotype" w:eastAsia="Calibri" w:hAnsi="Palatino Linotype" w:cs="Tahoma"/>
          <w:bCs/>
          <w:color w:val="000000"/>
          <w:sz w:val="22"/>
          <w:szCs w:val="22"/>
          <w:lang w:val="es-ES"/>
        </w:rPr>
        <w:t xml:space="preserve">Como se logra observar, </w:t>
      </w:r>
      <w:r w:rsidR="00317C63" w:rsidRPr="00490E2E">
        <w:rPr>
          <w:rFonts w:ascii="Palatino Linotype" w:eastAsia="Calibri" w:hAnsi="Palatino Linotype" w:cs="Tahoma"/>
          <w:bCs/>
          <w:color w:val="000000"/>
          <w:sz w:val="22"/>
          <w:szCs w:val="22"/>
          <w:lang w:val="es-ES"/>
        </w:rPr>
        <w:t xml:space="preserve">el Sujeto Obligado si bien, proporcionó el acuerdo que sustentaba la versión pública de los comprobantes de pago del servidor público solicitado, lo cierto es </w:t>
      </w:r>
      <w:r w:rsidR="00317C63" w:rsidRPr="00490E2E">
        <w:rPr>
          <w:rFonts w:ascii="Palatino Linotype" w:eastAsia="Calibri" w:hAnsi="Palatino Linotype" w:cs="Tahoma"/>
          <w:bCs/>
          <w:color w:val="000000"/>
          <w:sz w:val="22"/>
          <w:szCs w:val="22"/>
          <w:lang w:val="es-ES"/>
        </w:rPr>
        <w:lastRenderedPageBreak/>
        <w:t>que omitió su entrega, no obstante, durante la sustanciación del Medio de Impugnación, proporcionó el comprobante de pago de la primera quincena de mayo de dos mil veinticinco, situación que se logra advertir conforme a lo siguiente:</w:t>
      </w:r>
    </w:p>
    <w:p w14:paraId="1C667C78" w14:textId="77777777" w:rsidR="00317C63" w:rsidRPr="00490E2E" w:rsidRDefault="00317C63" w:rsidP="00AE1806">
      <w:pPr>
        <w:spacing w:line="360" w:lineRule="auto"/>
        <w:ind w:right="-28"/>
        <w:contextualSpacing/>
        <w:jc w:val="both"/>
        <w:rPr>
          <w:rFonts w:ascii="Palatino Linotype" w:eastAsia="Calibri" w:hAnsi="Palatino Linotype" w:cs="Tahoma"/>
          <w:bCs/>
          <w:color w:val="000000"/>
          <w:sz w:val="22"/>
          <w:szCs w:val="22"/>
          <w:lang w:val="es-ES"/>
        </w:rPr>
      </w:pPr>
    </w:p>
    <w:p w14:paraId="580B83EA" w14:textId="4E48E011" w:rsidR="00317C63" w:rsidRPr="00490E2E" w:rsidRDefault="00317C63" w:rsidP="00AE1806">
      <w:pPr>
        <w:spacing w:line="360" w:lineRule="auto"/>
        <w:ind w:right="-28"/>
        <w:contextualSpacing/>
        <w:jc w:val="center"/>
        <w:rPr>
          <w:rFonts w:ascii="Palatino Linotype" w:eastAsia="Calibri" w:hAnsi="Palatino Linotype" w:cs="Tahoma"/>
          <w:bCs/>
          <w:color w:val="000000"/>
          <w:sz w:val="22"/>
          <w:szCs w:val="22"/>
          <w:lang w:val="es-ES"/>
        </w:rPr>
      </w:pPr>
      <w:r w:rsidRPr="00490E2E">
        <w:rPr>
          <w:rFonts w:ascii="Palatino Linotype" w:eastAsia="Calibri" w:hAnsi="Palatino Linotype" w:cs="Tahoma"/>
          <w:bCs/>
          <w:noProof/>
          <w:color w:val="000000"/>
          <w:sz w:val="22"/>
          <w:szCs w:val="22"/>
          <w:lang w:eastAsia="es-MX"/>
        </w:rPr>
        <w:drawing>
          <wp:inline distT="0" distB="0" distL="0" distR="0" wp14:anchorId="55C683A6" wp14:editId="065ED388">
            <wp:extent cx="4505325" cy="1713230"/>
            <wp:effectExtent l="0" t="0" r="9525" b="1270"/>
            <wp:docPr id="163959769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5325" cy="1713230"/>
                    </a:xfrm>
                    <a:prstGeom prst="rect">
                      <a:avLst/>
                    </a:prstGeom>
                    <a:noFill/>
                  </pic:spPr>
                </pic:pic>
              </a:graphicData>
            </a:graphic>
          </wp:inline>
        </w:drawing>
      </w:r>
    </w:p>
    <w:p w14:paraId="7967ED17" w14:textId="77777777" w:rsidR="00317C63" w:rsidRPr="00490E2E" w:rsidRDefault="00317C63" w:rsidP="00AE1806">
      <w:pPr>
        <w:spacing w:line="360" w:lineRule="auto"/>
        <w:ind w:right="-28"/>
        <w:contextualSpacing/>
        <w:jc w:val="both"/>
        <w:rPr>
          <w:rFonts w:ascii="Palatino Linotype" w:eastAsia="Calibri" w:hAnsi="Palatino Linotype" w:cs="Tahoma"/>
          <w:bCs/>
          <w:color w:val="000000"/>
          <w:sz w:val="22"/>
          <w:szCs w:val="22"/>
          <w:lang w:val="es-ES"/>
        </w:rPr>
      </w:pPr>
    </w:p>
    <w:p w14:paraId="630899AA" w14:textId="6F5780B7" w:rsidR="00317C63" w:rsidRPr="00490E2E" w:rsidRDefault="00317C63" w:rsidP="00AE1806">
      <w:pPr>
        <w:spacing w:line="360" w:lineRule="auto"/>
        <w:ind w:right="-28"/>
        <w:contextualSpacing/>
        <w:jc w:val="both"/>
        <w:rPr>
          <w:rFonts w:ascii="Palatino Linotype" w:eastAsia="Calibri" w:hAnsi="Palatino Linotype" w:cs="Tahoma"/>
          <w:bCs/>
          <w:color w:val="000000"/>
          <w:sz w:val="22"/>
          <w:szCs w:val="22"/>
          <w:lang w:val="es-ES"/>
        </w:rPr>
      </w:pPr>
      <w:r w:rsidRPr="00490E2E">
        <w:rPr>
          <w:rFonts w:ascii="Palatino Linotype" w:eastAsia="Calibri" w:hAnsi="Palatino Linotype" w:cs="Tahoma"/>
          <w:bCs/>
          <w:color w:val="000000"/>
          <w:sz w:val="22"/>
          <w:szCs w:val="22"/>
          <w:lang w:val="es-ES"/>
        </w:rPr>
        <w:t>Así, de la revisión del documento remitido mediante informe justificado si bien, contiene diversa información relacionada con las percepciones y deducciones correspondientes, las cuales guardan relación con lo peticionado, lo cierto es que dicho documento no puede ser validado en virtud de que no se tiene la certeza del tipo de deducciones</w:t>
      </w:r>
      <w:r w:rsidR="008E3F7C" w:rsidRPr="00490E2E">
        <w:rPr>
          <w:rFonts w:ascii="Palatino Linotype" w:eastAsia="Calibri" w:hAnsi="Palatino Linotype" w:cs="Tahoma"/>
          <w:bCs/>
          <w:color w:val="000000"/>
          <w:sz w:val="22"/>
          <w:szCs w:val="22"/>
          <w:lang w:val="es-ES"/>
        </w:rPr>
        <w:t xml:space="preserve"> realizadas</w:t>
      </w:r>
      <w:r w:rsidRPr="00490E2E">
        <w:rPr>
          <w:rFonts w:ascii="Palatino Linotype" w:eastAsia="Calibri" w:hAnsi="Palatino Linotype" w:cs="Tahoma"/>
          <w:bCs/>
          <w:color w:val="000000"/>
          <w:sz w:val="22"/>
          <w:szCs w:val="22"/>
          <w:lang w:val="es-ES"/>
        </w:rPr>
        <w:t xml:space="preserve">, sumado a que no cuenta con todos los elementos de los comprobantes fiscales por internet </w:t>
      </w:r>
      <w:r w:rsidR="005E758C" w:rsidRPr="00490E2E">
        <w:rPr>
          <w:rFonts w:ascii="Palatino Linotype" w:eastAsia="Calibri" w:hAnsi="Palatino Linotype" w:cs="Tahoma"/>
          <w:bCs/>
          <w:color w:val="000000"/>
          <w:sz w:val="22"/>
          <w:szCs w:val="22"/>
          <w:lang w:val="es-ES"/>
        </w:rPr>
        <w:t xml:space="preserve">o </w:t>
      </w:r>
      <w:r w:rsidRPr="00490E2E">
        <w:rPr>
          <w:rFonts w:ascii="Palatino Linotype" w:eastAsia="Calibri" w:hAnsi="Palatino Linotype" w:cs="Tahoma"/>
          <w:bCs/>
          <w:color w:val="000000"/>
          <w:sz w:val="22"/>
          <w:szCs w:val="22"/>
          <w:lang w:val="es-ES"/>
        </w:rPr>
        <w:t>recibos de nómina</w:t>
      </w:r>
      <w:r w:rsidR="00032A57" w:rsidRPr="00490E2E">
        <w:rPr>
          <w:rFonts w:ascii="Palatino Linotype" w:eastAsia="Calibri" w:hAnsi="Palatino Linotype" w:cs="Tahoma"/>
          <w:bCs/>
          <w:color w:val="000000"/>
          <w:sz w:val="22"/>
          <w:szCs w:val="22"/>
          <w:lang w:val="es-ES"/>
        </w:rPr>
        <w:t xml:space="preserve"> como lo es entre otros datos las firmas </w:t>
      </w:r>
      <w:r w:rsidR="005E758C" w:rsidRPr="00490E2E">
        <w:rPr>
          <w:rFonts w:ascii="Palatino Linotype" w:eastAsia="Calibri" w:hAnsi="Palatino Linotype" w:cs="Tahoma"/>
          <w:bCs/>
          <w:color w:val="000000"/>
          <w:sz w:val="22"/>
          <w:szCs w:val="22"/>
          <w:lang w:val="es-ES"/>
        </w:rPr>
        <w:t>y sellos digitales</w:t>
      </w:r>
      <w:r w:rsidR="00032A57" w:rsidRPr="00490E2E">
        <w:rPr>
          <w:rFonts w:ascii="Palatino Linotype" w:eastAsia="Calibri" w:hAnsi="Palatino Linotype" w:cs="Tahoma"/>
          <w:bCs/>
          <w:color w:val="000000"/>
          <w:sz w:val="22"/>
          <w:szCs w:val="22"/>
          <w:lang w:val="es-ES"/>
        </w:rPr>
        <w:t>, código bidimensional entre otr</w:t>
      </w:r>
      <w:r w:rsidR="005E758C" w:rsidRPr="00490E2E">
        <w:rPr>
          <w:rFonts w:ascii="Palatino Linotype" w:eastAsia="Calibri" w:hAnsi="Palatino Linotype" w:cs="Tahoma"/>
          <w:bCs/>
          <w:color w:val="000000"/>
          <w:sz w:val="22"/>
          <w:szCs w:val="22"/>
          <w:lang w:val="es-ES"/>
        </w:rPr>
        <w:t>o</w:t>
      </w:r>
      <w:r w:rsidR="00032A57" w:rsidRPr="00490E2E">
        <w:rPr>
          <w:rFonts w:ascii="Palatino Linotype" w:eastAsia="Calibri" w:hAnsi="Palatino Linotype" w:cs="Tahoma"/>
          <w:bCs/>
          <w:color w:val="000000"/>
          <w:sz w:val="22"/>
          <w:szCs w:val="22"/>
          <w:lang w:val="es-ES"/>
        </w:rPr>
        <w:t>s.</w:t>
      </w:r>
    </w:p>
    <w:p w14:paraId="46E47730" w14:textId="77777777" w:rsidR="00032A57" w:rsidRPr="00490E2E" w:rsidRDefault="00032A57" w:rsidP="00AE1806">
      <w:pPr>
        <w:spacing w:line="360" w:lineRule="auto"/>
        <w:ind w:right="-28"/>
        <w:contextualSpacing/>
        <w:jc w:val="both"/>
        <w:rPr>
          <w:rFonts w:ascii="Palatino Linotype" w:eastAsia="Calibri" w:hAnsi="Palatino Linotype" w:cs="Tahoma"/>
          <w:bCs/>
          <w:color w:val="000000"/>
          <w:sz w:val="22"/>
          <w:szCs w:val="22"/>
          <w:lang w:val="es-ES"/>
        </w:rPr>
      </w:pPr>
    </w:p>
    <w:p w14:paraId="0A37F838" w14:textId="6FB57A62" w:rsidR="00032A57" w:rsidRPr="00490E2E" w:rsidRDefault="00032A57" w:rsidP="00AE1806">
      <w:pPr>
        <w:spacing w:line="360" w:lineRule="auto"/>
        <w:ind w:right="-28"/>
        <w:contextualSpacing/>
        <w:jc w:val="both"/>
        <w:rPr>
          <w:rFonts w:ascii="Palatino Linotype" w:hAnsi="Palatino Linotype" w:cs="Tahoma"/>
          <w:color w:val="0D0D0D" w:themeColor="text1" w:themeTint="F2"/>
          <w:sz w:val="22"/>
          <w:szCs w:val="22"/>
        </w:rPr>
      </w:pPr>
      <w:r w:rsidRPr="00490E2E">
        <w:rPr>
          <w:rFonts w:ascii="Palatino Linotype" w:eastAsia="Calibri" w:hAnsi="Palatino Linotype" w:cs="Tahoma"/>
          <w:bCs/>
          <w:color w:val="000000"/>
          <w:sz w:val="22"/>
          <w:szCs w:val="22"/>
          <w:lang w:val="es-ES"/>
        </w:rPr>
        <w:t>Lo anterior toma sustento con base en l</w:t>
      </w:r>
      <w:r w:rsidR="005E758C" w:rsidRPr="00490E2E">
        <w:rPr>
          <w:rFonts w:ascii="Palatino Linotype" w:eastAsia="Calibri" w:hAnsi="Palatino Linotype" w:cs="Tahoma"/>
          <w:bCs/>
          <w:color w:val="000000"/>
          <w:sz w:val="22"/>
          <w:szCs w:val="22"/>
          <w:lang w:val="es-ES"/>
        </w:rPr>
        <w:t>os</w:t>
      </w:r>
      <w:r w:rsidRPr="00490E2E">
        <w:rPr>
          <w:rFonts w:ascii="Palatino Linotype" w:eastAsia="Calibri" w:hAnsi="Palatino Linotype" w:cs="Tahoma"/>
          <w:bCs/>
          <w:color w:val="000000"/>
          <w:sz w:val="22"/>
          <w:szCs w:val="22"/>
          <w:lang w:val="es-ES"/>
        </w:rPr>
        <w:t xml:space="preserve"> </w:t>
      </w:r>
      <w:r w:rsidR="005E758C" w:rsidRPr="00490E2E">
        <w:rPr>
          <w:rFonts w:ascii="Palatino Linotype" w:eastAsia="Calibri" w:hAnsi="Palatino Linotype" w:cs="Tahoma"/>
          <w:bCs/>
          <w:color w:val="000000"/>
          <w:sz w:val="22"/>
          <w:szCs w:val="22"/>
          <w:lang w:val="es-ES"/>
        </w:rPr>
        <w:t xml:space="preserve">Comprobantes de Percepciones y Deducciones remitidos </w:t>
      </w:r>
      <w:r w:rsidRPr="00490E2E">
        <w:rPr>
          <w:rFonts w:ascii="Palatino Linotype" w:eastAsia="Calibri" w:hAnsi="Palatino Linotype" w:cs="Tahoma"/>
          <w:bCs/>
          <w:color w:val="000000"/>
          <w:sz w:val="22"/>
          <w:szCs w:val="22"/>
          <w:lang w:val="es-ES"/>
        </w:rPr>
        <w:t>por el Ente Recurrido</w:t>
      </w:r>
      <w:r w:rsidR="005E758C" w:rsidRPr="00490E2E">
        <w:rPr>
          <w:rFonts w:ascii="Palatino Linotype" w:eastAsia="Calibri" w:hAnsi="Palatino Linotype" w:cs="Tahoma"/>
          <w:bCs/>
          <w:color w:val="000000"/>
          <w:sz w:val="22"/>
          <w:szCs w:val="22"/>
          <w:lang w:val="es-ES"/>
        </w:rPr>
        <w:t xml:space="preserve"> </w:t>
      </w:r>
      <w:r w:rsidRPr="00490E2E">
        <w:rPr>
          <w:rFonts w:ascii="Palatino Linotype" w:eastAsia="Calibri" w:hAnsi="Palatino Linotype" w:cs="Tahoma"/>
          <w:bCs/>
          <w:color w:val="000000"/>
          <w:sz w:val="22"/>
          <w:szCs w:val="22"/>
          <w:lang w:val="es-ES"/>
        </w:rPr>
        <w:t xml:space="preserve">en cumplimiento a la resolución </w:t>
      </w:r>
      <w:r w:rsidR="005E758C" w:rsidRPr="00490E2E">
        <w:rPr>
          <w:rFonts w:ascii="Palatino Linotype" w:eastAsia="Calibri" w:hAnsi="Palatino Linotype" w:cs="Tahoma"/>
          <w:bCs/>
          <w:color w:val="000000"/>
          <w:sz w:val="22"/>
          <w:szCs w:val="22"/>
          <w:lang w:val="es-ES"/>
        </w:rPr>
        <w:t>d</w:t>
      </w:r>
      <w:r w:rsidRPr="00490E2E">
        <w:rPr>
          <w:rFonts w:ascii="Palatino Linotype" w:eastAsia="Calibri" w:hAnsi="Palatino Linotype" w:cs="Tahoma"/>
          <w:bCs/>
          <w:color w:val="000000"/>
          <w:sz w:val="22"/>
          <w:szCs w:val="22"/>
          <w:lang w:val="es-ES"/>
        </w:rPr>
        <w:t xml:space="preserve">el recurso de revisión </w:t>
      </w:r>
      <w:r w:rsidRPr="00490E2E">
        <w:rPr>
          <w:rFonts w:ascii="Palatino Linotype" w:hAnsi="Palatino Linotype" w:cs="Tahoma"/>
          <w:color w:val="0D0D0D" w:themeColor="text1" w:themeTint="F2"/>
          <w:sz w:val="22"/>
          <w:szCs w:val="22"/>
        </w:rPr>
        <w:t>04261/INFOEM/IP/RR/2023, en el cual se ordenaron entre otras cosas el comprobante fiscal por internet por concepto de nómina de diversos servidores públicos como se puede advertir conforme a la siguiente imagen para mayor referencia:</w:t>
      </w:r>
    </w:p>
    <w:p w14:paraId="286985C8" w14:textId="77777777" w:rsidR="00032A57" w:rsidRPr="00490E2E" w:rsidRDefault="00032A57" w:rsidP="00AE1806">
      <w:pPr>
        <w:spacing w:line="360" w:lineRule="auto"/>
        <w:ind w:right="-28"/>
        <w:contextualSpacing/>
        <w:jc w:val="both"/>
        <w:rPr>
          <w:rFonts w:ascii="Palatino Linotype" w:hAnsi="Palatino Linotype" w:cs="Tahoma"/>
          <w:color w:val="0D0D0D" w:themeColor="text1" w:themeTint="F2"/>
          <w:sz w:val="22"/>
          <w:szCs w:val="22"/>
        </w:rPr>
      </w:pPr>
    </w:p>
    <w:p w14:paraId="26C7709B" w14:textId="3E07F4AC" w:rsidR="005E758C" w:rsidRPr="00490E2E" w:rsidRDefault="00032A57" w:rsidP="00AE1806">
      <w:pPr>
        <w:spacing w:line="360" w:lineRule="auto"/>
        <w:ind w:right="-28"/>
        <w:contextualSpacing/>
        <w:jc w:val="center"/>
        <w:rPr>
          <w:rFonts w:ascii="Palatino Linotype" w:eastAsia="Calibri" w:hAnsi="Palatino Linotype" w:cs="Tahoma"/>
          <w:bCs/>
          <w:color w:val="000000"/>
          <w:sz w:val="22"/>
          <w:szCs w:val="22"/>
          <w:lang w:val="es-ES"/>
        </w:rPr>
      </w:pPr>
      <w:r w:rsidRPr="00490E2E">
        <w:rPr>
          <w:rFonts w:ascii="Palatino Linotype" w:eastAsia="Calibri" w:hAnsi="Palatino Linotype" w:cs="Tahoma"/>
          <w:bCs/>
          <w:noProof/>
          <w:color w:val="000000"/>
          <w:sz w:val="22"/>
          <w:szCs w:val="22"/>
          <w:lang w:eastAsia="es-MX"/>
        </w:rPr>
        <w:lastRenderedPageBreak/>
        <w:drawing>
          <wp:inline distT="0" distB="0" distL="0" distR="0" wp14:anchorId="5C218E00" wp14:editId="666D0355">
            <wp:extent cx="5629620" cy="2795398"/>
            <wp:effectExtent l="0" t="0" r="9525" b="5080"/>
            <wp:docPr id="77563976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5301" cy="2798219"/>
                    </a:xfrm>
                    <a:prstGeom prst="rect">
                      <a:avLst/>
                    </a:prstGeom>
                    <a:noFill/>
                  </pic:spPr>
                </pic:pic>
              </a:graphicData>
            </a:graphic>
          </wp:inline>
        </w:drawing>
      </w:r>
    </w:p>
    <w:p w14:paraId="6D64213B" w14:textId="0DD843A0" w:rsidR="00317C63" w:rsidRPr="00490E2E" w:rsidRDefault="005E758C" w:rsidP="00AE1806">
      <w:pPr>
        <w:spacing w:line="360" w:lineRule="auto"/>
        <w:ind w:right="-28"/>
        <w:contextualSpacing/>
        <w:jc w:val="center"/>
        <w:rPr>
          <w:rFonts w:ascii="Palatino Linotype" w:eastAsia="Calibri" w:hAnsi="Palatino Linotype" w:cs="Tahoma"/>
          <w:bCs/>
          <w:color w:val="000000"/>
          <w:sz w:val="22"/>
          <w:szCs w:val="22"/>
          <w:lang w:val="es-ES"/>
        </w:rPr>
      </w:pPr>
      <w:r w:rsidRPr="00490E2E">
        <w:rPr>
          <w:rFonts w:ascii="Palatino Linotype" w:eastAsia="Calibri" w:hAnsi="Palatino Linotype" w:cs="Tahoma"/>
          <w:bCs/>
          <w:noProof/>
          <w:color w:val="000000"/>
          <w:sz w:val="22"/>
          <w:szCs w:val="22"/>
          <w:lang w:eastAsia="es-MX"/>
        </w:rPr>
        <w:drawing>
          <wp:inline distT="0" distB="0" distL="0" distR="0" wp14:anchorId="6F1345A2" wp14:editId="76F2071E">
            <wp:extent cx="5486056" cy="2333712"/>
            <wp:effectExtent l="0" t="0" r="635" b="0"/>
            <wp:docPr id="15602806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4284" r="5198"/>
                    <a:stretch>
                      <a:fillRect/>
                    </a:stretch>
                  </pic:blipFill>
                  <pic:spPr bwMode="auto">
                    <a:xfrm>
                      <a:off x="0" y="0"/>
                      <a:ext cx="5505724" cy="2342079"/>
                    </a:xfrm>
                    <a:prstGeom prst="rect">
                      <a:avLst/>
                    </a:prstGeom>
                    <a:noFill/>
                    <a:ln>
                      <a:noFill/>
                    </a:ln>
                    <a:extLst>
                      <a:ext uri="{53640926-AAD7-44D8-BBD7-CCE9431645EC}">
                        <a14:shadowObscured xmlns:a14="http://schemas.microsoft.com/office/drawing/2010/main"/>
                      </a:ext>
                    </a:extLst>
                  </pic:spPr>
                </pic:pic>
              </a:graphicData>
            </a:graphic>
          </wp:inline>
        </w:drawing>
      </w:r>
    </w:p>
    <w:p w14:paraId="481BDDCD" w14:textId="77777777" w:rsidR="00032A57" w:rsidRPr="00490E2E" w:rsidRDefault="00032A57" w:rsidP="00AE1806">
      <w:pPr>
        <w:spacing w:line="360" w:lineRule="auto"/>
        <w:ind w:right="-28"/>
        <w:contextualSpacing/>
        <w:jc w:val="both"/>
        <w:rPr>
          <w:rFonts w:ascii="Palatino Linotype" w:eastAsia="Calibri" w:hAnsi="Palatino Linotype" w:cs="Tahoma"/>
          <w:bCs/>
          <w:color w:val="000000"/>
          <w:sz w:val="22"/>
          <w:szCs w:val="22"/>
        </w:rPr>
      </w:pPr>
      <w:r w:rsidRPr="00490E2E">
        <w:rPr>
          <w:rFonts w:ascii="Palatino Linotype" w:eastAsia="Calibri" w:hAnsi="Palatino Linotype" w:cs="Tahoma"/>
          <w:bCs/>
          <w:color w:val="000000"/>
          <w:sz w:val="22"/>
          <w:szCs w:val="22"/>
        </w:rPr>
        <w:t>Lo anterior se trae a colación como hecho notorio con fundamento en el artículo 36 del Código de Procedimientos Administrativos del Estado de México, de aplicación supletoria a la Ley de Transparencia y Acceso a la Información Pública del Estado de México y Municipios, que precisa que la autoridad debe invocarlos, aunque no sean alegados por las partes. Asimismo, en la Jurisprudencia número 2a./J. 103/2007, de la Segunda Sala, publicada en la página 285 de la Gaceta del Semanario Judicial de la Federación, Novena Época, Tomo XXV, junio de 2007, se establece que los órganos jurisdiccionales pueden invocar como hechos notorios las resoluciones que hayan emitido.</w:t>
      </w:r>
    </w:p>
    <w:p w14:paraId="2427C472" w14:textId="77777777" w:rsidR="00032A57" w:rsidRPr="00490E2E" w:rsidRDefault="00032A57" w:rsidP="00AE1806">
      <w:pPr>
        <w:spacing w:line="360" w:lineRule="auto"/>
        <w:ind w:right="-28"/>
        <w:contextualSpacing/>
        <w:jc w:val="both"/>
        <w:rPr>
          <w:rFonts w:ascii="Palatino Linotype" w:eastAsia="Calibri" w:hAnsi="Palatino Linotype" w:cs="Tahoma"/>
          <w:bCs/>
          <w:color w:val="000000"/>
          <w:sz w:val="22"/>
          <w:szCs w:val="22"/>
          <w:lang w:val="es-ES"/>
        </w:rPr>
      </w:pPr>
    </w:p>
    <w:p w14:paraId="0F7F3195" w14:textId="27A6CFEE" w:rsidR="00CB7C2B" w:rsidRPr="00490E2E" w:rsidRDefault="00032A57" w:rsidP="00AE1806">
      <w:pPr>
        <w:spacing w:line="360" w:lineRule="auto"/>
        <w:ind w:right="-28"/>
        <w:contextualSpacing/>
        <w:jc w:val="both"/>
        <w:rPr>
          <w:rFonts w:ascii="Palatino Linotype" w:eastAsia="Calibri" w:hAnsi="Palatino Linotype" w:cs="Tahoma"/>
          <w:bCs/>
          <w:color w:val="000000"/>
          <w:sz w:val="22"/>
          <w:szCs w:val="22"/>
          <w:lang w:val="es-ES"/>
        </w:rPr>
      </w:pPr>
      <w:r w:rsidRPr="00490E2E">
        <w:rPr>
          <w:rFonts w:ascii="Palatino Linotype" w:eastAsia="Calibri" w:hAnsi="Palatino Linotype" w:cs="Tahoma"/>
          <w:bCs/>
          <w:color w:val="000000"/>
          <w:sz w:val="22"/>
          <w:szCs w:val="22"/>
          <w:lang w:val="es-ES"/>
        </w:rPr>
        <w:t xml:space="preserve">De esta forma, se logra colegir que si bien, el documento remitido a través del informe justificado contenía las percepciones y deducciones del servidor público solicitado, lo cierto es que no puede validarse en virtud de que carece de </w:t>
      </w:r>
      <w:r w:rsidR="006F0244" w:rsidRPr="00490E2E">
        <w:rPr>
          <w:rFonts w:ascii="Palatino Linotype" w:eastAsia="Calibri" w:hAnsi="Palatino Linotype" w:cs="Tahoma"/>
          <w:bCs/>
          <w:color w:val="000000"/>
          <w:sz w:val="22"/>
          <w:szCs w:val="22"/>
          <w:lang w:val="es-ES"/>
        </w:rPr>
        <w:t xml:space="preserve">diversos </w:t>
      </w:r>
      <w:r w:rsidRPr="00490E2E">
        <w:rPr>
          <w:rFonts w:ascii="Palatino Linotype" w:eastAsia="Calibri" w:hAnsi="Palatino Linotype" w:cs="Tahoma"/>
          <w:bCs/>
          <w:color w:val="000000"/>
          <w:sz w:val="22"/>
          <w:szCs w:val="22"/>
          <w:lang w:val="es-ES"/>
        </w:rPr>
        <w:t xml:space="preserve">elementos </w:t>
      </w:r>
      <w:r w:rsidR="006F0244" w:rsidRPr="00490E2E">
        <w:rPr>
          <w:rFonts w:ascii="Palatino Linotype" w:eastAsia="Calibri" w:hAnsi="Palatino Linotype" w:cs="Tahoma"/>
          <w:bCs/>
          <w:color w:val="000000"/>
          <w:sz w:val="22"/>
          <w:szCs w:val="22"/>
          <w:lang w:val="es-ES"/>
        </w:rPr>
        <w:t xml:space="preserve">contenidos </w:t>
      </w:r>
      <w:r w:rsidRPr="00490E2E">
        <w:rPr>
          <w:rFonts w:ascii="Palatino Linotype" w:eastAsia="Calibri" w:hAnsi="Palatino Linotype" w:cs="Tahoma"/>
          <w:bCs/>
          <w:color w:val="000000"/>
          <w:sz w:val="22"/>
          <w:szCs w:val="22"/>
          <w:lang w:val="es-ES"/>
        </w:rPr>
        <w:t xml:space="preserve">en los Comprobantes </w:t>
      </w:r>
      <w:r w:rsidR="006F0244" w:rsidRPr="00490E2E">
        <w:rPr>
          <w:rFonts w:ascii="Palatino Linotype" w:eastAsia="Calibri" w:hAnsi="Palatino Linotype" w:cs="Tahoma"/>
          <w:bCs/>
          <w:color w:val="000000"/>
          <w:sz w:val="22"/>
          <w:szCs w:val="22"/>
          <w:lang w:val="es-ES"/>
        </w:rPr>
        <w:t>de Percepciones y Deducciones que administra</w:t>
      </w:r>
      <w:r w:rsidRPr="00490E2E">
        <w:rPr>
          <w:rFonts w:ascii="Palatino Linotype" w:eastAsia="Calibri" w:hAnsi="Palatino Linotype" w:cs="Tahoma"/>
          <w:bCs/>
          <w:color w:val="000000"/>
          <w:sz w:val="22"/>
          <w:szCs w:val="22"/>
          <w:lang w:val="es-ES"/>
        </w:rPr>
        <w:t>, sumado a que el acuerdo de clasificación remitido en respuesta no contiene la clasificación detallada</w:t>
      </w:r>
      <w:r w:rsidR="008E3F7C" w:rsidRPr="00490E2E">
        <w:rPr>
          <w:rFonts w:ascii="Palatino Linotype" w:eastAsia="Calibri" w:hAnsi="Palatino Linotype" w:cs="Tahoma"/>
          <w:bCs/>
          <w:color w:val="000000"/>
          <w:sz w:val="22"/>
          <w:szCs w:val="22"/>
          <w:lang w:val="es-ES"/>
        </w:rPr>
        <w:t xml:space="preserve"> de las deducciones correspondientes, las cuales en su caso no actualizan causales de clasificación como se lograron observar en los </w:t>
      </w:r>
      <w:r w:rsidR="006F0244" w:rsidRPr="00490E2E">
        <w:rPr>
          <w:rFonts w:ascii="Palatino Linotype" w:eastAsia="Calibri" w:hAnsi="Palatino Linotype" w:cs="Tahoma"/>
          <w:bCs/>
          <w:color w:val="000000"/>
          <w:sz w:val="22"/>
          <w:szCs w:val="22"/>
          <w:lang w:val="es-ES"/>
        </w:rPr>
        <w:t xml:space="preserve">comprobantes </w:t>
      </w:r>
      <w:r w:rsidR="008E3F7C" w:rsidRPr="00490E2E">
        <w:rPr>
          <w:rFonts w:ascii="Palatino Linotype" w:eastAsia="Calibri" w:hAnsi="Palatino Linotype" w:cs="Tahoma"/>
          <w:bCs/>
          <w:color w:val="000000"/>
          <w:sz w:val="22"/>
          <w:szCs w:val="22"/>
          <w:lang w:val="es-ES"/>
        </w:rPr>
        <w:t xml:space="preserve">proporcionados en cumplimiento a la resolución del recurso de revisión señalada, </w:t>
      </w:r>
      <w:r w:rsidRPr="00490E2E">
        <w:rPr>
          <w:rFonts w:ascii="Palatino Linotype" w:eastAsia="Calibri" w:hAnsi="Palatino Linotype" w:cs="Tahoma"/>
          <w:bCs/>
          <w:color w:val="000000"/>
          <w:sz w:val="22"/>
          <w:szCs w:val="22"/>
          <w:lang w:val="es-ES"/>
        </w:rPr>
        <w:t>por lo que deberá proporcionar los documentos que den cuenta de lo peticionado por al ahora Recurrente</w:t>
      </w:r>
      <w:r w:rsidR="00CB7C2B" w:rsidRPr="00490E2E">
        <w:rPr>
          <w:rFonts w:ascii="Palatino Linotype" w:hAnsi="Palatino Linotype" w:cs="Tahoma"/>
          <w:iCs/>
          <w:sz w:val="22"/>
          <w:szCs w:val="22"/>
        </w:rPr>
        <w:t xml:space="preserve">, lo cual da como resultado que el agravio resulte </w:t>
      </w:r>
      <w:r w:rsidR="00CB7C2B" w:rsidRPr="00490E2E">
        <w:rPr>
          <w:rFonts w:ascii="Palatino Linotype" w:hAnsi="Palatino Linotype" w:cs="Tahoma"/>
          <w:b/>
          <w:bCs/>
          <w:iCs/>
          <w:sz w:val="22"/>
          <w:szCs w:val="22"/>
        </w:rPr>
        <w:t>FUNDADO</w:t>
      </w:r>
      <w:r w:rsidR="00CB7C2B" w:rsidRPr="00490E2E">
        <w:rPr>
          <w:rFonts w:ascii="Palatino Linotype" w:hAnsi="Palatino Linotype" w:cs="Tahoma"/>
          <w:iCs/>
          <w:sz w:val="22"/>
          <w:szCs w:val="22"/>
        </w:rPr>
        <w:t xml:space="preserve">. </w:t>
      </w:r>
    </w:p>
    <w:p w14:paraId="1D9DDB80" w14:textId="77777777" w:rsidR="00CB7C2B" w:rsidRPr="00490E2E" w:rsidRDefault="00CB7C2B" w:rsidP="00AE1806">
      <w:pPr>
        <w:spacing w:line="360" w:lineRule="auto"/>
        <w:contextualSpacing/>
        <w:jc w:val="both"/>
        <w:rPr>
          <w:rFonts w:ascii="Palatino Linotype" w:hAnsi="Palatino Linotype"/>
          <w:bCs/>
          <w:iCs/>
          <w:sz w:val="22"/>
          <w:szCs w:val="22"/>
        </w:rPr>
      </w:pPr>
    </w:p>
    <w:p w14:paraId="4BFA8415" w14:textId="22A7EB9E" w:rsidR="00CB7C2B" w:rsidRPr="00490E2E" w:rsidRDefault="00CB7C2B" w:rsidP="00AE1806">
      <w:pPr>
        <w:spacing w:line="360" w:lineRule="auto"/>
        <w:contextualSpacing/>
        <w:jc w:val="both"/>
        <w:rPr>
          <w:rFonts w:ascii="Palatino Linotype" w:hAnsi="Palatino Linotype" w:cs="Tahoma"/>
          <w:sz w:val="22"/>
          <w:szCs w:val="22"/>
        </w:rPr>
      </w:pPr>
      <w:r w:rsidRPr="00490E2E">
        <w:rPr>
          <w:rFonts w:ascii="Palatino Linotype" w:hAnsi="Palatino Linotype"/>
          <w:bCs/>
          <w:iCs/>
          <w:sz w:val="22"/>
          <w:szCs w:val="22"/>
        </w:rPr>
        <w:t>Conforme a lo expuesto, este Organismo Garante</w:t>
      </w:r>
      <w:r w:rsidR="002509F6" w:rsidRPr="00490E2E">
        <w:rPr>
          <w:rFonts w:ascii="Palatino Linotype" w:hAnsi="Palatino Linotype"/>
          <w:bCs/>
          <w:iCs/>
          <w:sz w:val="22"/>
          <w:szCs w:val="22"/>
        </w:rPr>
        <w:t xml:space="preserve"> </w:t>
      </w:r>
      <w:r w:rsidRPr="00490E2E">
        <w:rPr>
          <w:rFonts w:ascii="Palatino Linotype" w:hAnsi="Palatino Linotype"/>
          <w:bCs/>
          <w:iCs/>
          <w:sz w:val="22"/>
          <w:szCs w:val="22"/>
        </w:rPr>
        <w:t>considera</w:t>
      </w:r>
      <w:r w:rsidR="001A1BF5" w:rsidRPr="00490E2E">
        <w:rPr>
          <w:rFonts w:ascii="Palatino Linotype" w:hAnsi="Palatino Linotype"/>
          <w:bCs/>
          <w:iCs/>
          <w:sz w:val="22"/>
          <w:szCs w:val="22"/>
        </w:rPr>
        <w:t xml:space="preserve">, </w:t>
      </w:r>
      <w:r w:rsidR="00AE1806" w:rsidRPr="00490E2E">
        <w:rPr>
          <w:rFonts w:ascii="Palatino Linotype" w:hAnsi="Palatino Linotype"/>
          <w:bCs/>
          <w:iCs/>
          <w:sz w:val="22"/>
          <w:szCs w:val="22"/>
        </w:rPr>
        <w:t>que,</w:t>
      </w:r>
      <w:r w:rsidRPr="00490E2E">
        <w:rPr>
          <w:rFonts w:ascii="Palatino Linotype" w:hAnsi="Palatino Linotype"/>
          <w:bCs/>
          <w:iCs/>
          <w:sz w:val="22"/>
          <w:szCs w:val="22"/>
        </w:rPr>
        <w:t xml:space="preserve"> para atender el requerimiento de información, el Sujeto Obligado, a través de las unidades administrativas competentes, deberán realizar una búsqueda exhaustiva y razonable en sus archivos con el fin de proporcionar los documentos que den cuenta de </w:t>
      </w:r>
      <w:r w:rsidRPr="00490E2E">
        <w:rPr>
          <w:rFonts w:ascii="Palatino Linotype" w:hAnsi="Palatino Linotype" w:cs="Tahoma"/>
          <w:sz w:val="22"/>
          <w:szCs w:val="22"/>
        </w:rPr>
        <w:t>l</w:t>
      </w:r>
      <w:r w:rsidR="008E3F7C" w:rsidRPr="00490E2E">
        <w:rPr>
          <w:rFonts w:ascii="Palatino Linotype" w:hAnsi="Palatino Linotype" w:cs="Tahoma"/>
          <w:sz w:val="22"/>
          <w:szCs w:val="22"/>
        </w:rPr>
        <w:t>o</w:t>
      </w:r>
      <w:r w:rsidRPr="00490E2E">
        <w:rPr>
          <w:rFonts w:ascii="Palatino Linotype" w:hAnsi="Palatino Linotype" w:cs="Tahoma"/>
          <w:sz w:val="22"/>
          <w:szCs w:val="22"/>
        </w:rPr>
        <w:t>s</w:t>
      </w:r>
      <w:r w:rsidR="008E3F7C" w:rsidRPr="00490E2E">
        <w:rPr>
          <w:rFonts w:ascii="Palatino Linotype" w:hAnsi="Palatino Linotype" w:cs="Tahoma"/>
          <w:sz w:val="22"/>
          <w:szCs w:val="22"/>
        </w:rPr>
        <w:t xml:space="preserve"> Comprobantes </w:t>
      </w:r>
      <w:r w:rsidR="006F0244" w:rsidRPr="00490E2E">
        <w:rPr>
          <w:rFonts w:ascii="Palatino Linotype" w:hAnsi="Palatino Linotype" w:cs="Tahoma"/>
          <w:sz w:val="22"/>
          <w:szCs w:val="22"/>
        </w:rPr>
        <w:t xml:space="preserve">de Percepciones y Deducciones </w:t>
      </w:r>
      <w:r w:rsidR="008E3F7C" w:rsidRPr="00490E2E">
        <w:rPr>
          <w:rFonts w:ascii="Palatino Linotype" w:hAnsi="Palatino Linotype" w:cs="Tahoma"/>
          <w:sz w:val="22"/>
          <w:szCs w:val="22"/>
        </w:rPr>
        <w:t>por concepto de nómina del servidor público solicitado, de la segunda quincena de abril y primera de mayo de dos mil veinticinco</w:t>
      </w:r>
      <w:r w:rsidRPr="00490E2E">
        <w:rPr>
          <w:rFonts w:ascii="Palatino Linotype" w:hAnsi="Palatino Linotype" w:cs="Tahoma"/>
          <w:sz w:val="22"/>
          <w:szCs w:val="22"/>
        </w:rPr>
        <w:t>.</w:t>
      </w:r>
    </w:p>
    <w:p w14:paraId="64A9F783" w14:textId="77777777" w:rsidR="00CB7C2B" w:rsidRPr="00490E2E" w:rsidRDefault="00CB7C2B" w:rsidP="00AE1806">
      <w:pPr>
        <w:spacing w:line="360" w:lineRule="auto"/>
        <w:contextualSpacing/>
        <w:jc w:val="both"/>
        <w:rPr>
          <w:rFonts w:ascii="Palatino Linotype" w:hAnsi="Palatino Linotype" w:cs="Tahoma"/>
          <w:sz w:val="22"/>
          <w:szCs w:val="22"/>
        </w:rPr>
      </w:pPr>
    </w:p>
    <w:p w14:paraId="67894D48" w14:textId="77777777" w:rsidR="00CB7C2B" w:rsidRPr="00490E2E" w:rsidRDefault="00CB7C2B" w:rsidP="00AE1806">
      <w:pPr>
        <w:spacing w:line="360" w:lineRule="auto"/>
        <w:contextualSpacing/>
        <w:jc w:val="both"/>
        <w:rPr>
          <w:rFonts w:ascii="Palatino Linotype" w:hAnsi="Palatino Linotype"/>
          <w:bCs/>
          <w:iCs/>
          <w:sz w:val="22"/>
          <w:szCs w:val="22"/>
        </w:rPr>
      </w:pPr>
      <w:r w:rsidRPr="00490E2E">
        <w:rPr>
          <w:rFonts w:ascii="Palatino Linotype" w:hAnsi="Palatino Linotype"/>
          <w:bCs/>
          <w:iCs/>
          <w:sz w:val="22"/>
          <w:szCs w:val="22"/>
        </w:rPr>
        <w:t>Por lo que, en el presente caso, deberá entregar la expresión documental que dé cuenta de lo peticionado;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1966A431" w14:textId="77777777" w:rsidR="00CB7C2B" w:rsidRPr="00490E2E" w:rsidRDefault="00CB7C2B" w:rsidP="00AE1806">
      <w:pPr>
        <w:spacing w:line="360" w:lineRule="auto"/>
        <w:contextualSpacing/>
        <w:jc w:val="both"/>
        <w:rPr>
          <w:rFonts w:ascii="Palatino Linotype" w:hAnsi="Palatino Linotype"/>
          <w:bCs/>
          <w:iCs/>
          <w:sz w:val="22"/>
          <w:szCs w:val="22"/>
        </w:rPr>
      </w:pPr>
      <w:r w:rsidRPr="00490E2E">
        <w:rPr>
          <w:rFonts w:ascii="Palatino Linotype" w:hAnsi="Palatino Linotype"/>
          <w:bCs/>
          <w:iCs/>
          <w:sz w:val="22"/>
          <w:szCs w:val="22"/>
        </w:rPr>
        <w:t xml:space="preserve"> </w:t>
      </w:r>
    </w:p>
    <w:p w14:paraId="11B5A7E5" w14:textId="77777777" w:rsidR="00CB7C2B" w:rsidRPr="00490E2E" w:rsidRDefault="00CB7C2B" w:rsidP="00AE1806">
      <w:pPr>
        <w:spacing w:line="360" w:lineRule="auto"/>
        <w:contextualSpacing/>
        <w:jc w:val="both"/>
        <w:rPr>
          <w:rFonts w:ascii="Palatino Linotype" w:hAnsi="Palatino Linotype"/>
          <w:bCs/>
          <w:iCs/>
          <w:sz w:val="22"/>
          <w:szCs w:val="22"/>
        </w:rPr>
      </w:pPr>
      <w:r w:rsidRPr="00490E2E">
        <w:rPr>
          <w:rFonts w:ascii="Palatino Linotype" w:hAnsi="Palatino Linotype"/>
          <w:bCs/>
          <w:iCs/>
          <w:sz w:val="22"/>
          <w:szCs w:val="22"/>
        </w:rPr>
        <w:lastRenderedPageBreak/>
        <w:t xml:space="preserve">De esta manera, el derecho de acceso a la información pública se satisface en aquellos casos en que se entregue el soporte documental en el que conste la información solicitada, sin necesidad de elaborar documentos </w:t>
      </w:r>
      <w:r w:rsidRPr="00490E2E">
        <w:rPr>
          <w:rFonts w:ascii="Palatino Linotype" w:hAnsi="Palatino Linotype"/>
          <w:bCs/>
          <w:i/>
          <w:iCs/>
          <w:sz w:val="22"/>
          <w:szCs w:val="22"/>
        </w:rPr>
        <w:t>ad hoc</w:t>
      </w:r>
      <w:r w:rsidRPr="00490E2E">
        <w:rPr>
          <w:rFonts w:ascii="Palatino Linotype" w:hAnsi="Palatino Linotype"/>
          <w:bCs/>
          <w:iCs/>
          <w:sz w:val="22"/>
          <w:szCs w:val="22"/>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00F6C999" w14:textId="77777777" w:rsidR="00CB7C2B" w:rsidRPr="00490E2E" w:rsidRDefault="00CB7C2B" w:rsidP="00AE1806">
      <w:pPr>
        <w:spacing w:line="360" w:lineRule="auto"/>
        <w:contextualSpacing/>
        <w:jc w:val="both"/>
        <w:rPr>
          <w:rFonts w:ascii="Palatino Linotype" w:hAnsi="Palatino Linotype"/>
          <w:bCs/>
          <w:iCs/>
          <w:sz w:val="22"/>
          <w:szCs w:val="22"/>
        </w:rPr>
      </w:pPr>
      <w:r w:rsidRPr="00490E2E">
        <w:rPr>
          <w:rFonts w:ascii="Palatino Linotype" w:hAnsi="Palatino Linotype"/>
          <w:bCs/>
          <w:iCs/>
          <w:sz w:val="22"/>
          <w:szCs w:val="22"/>
        </w:rPr>
        <w:t xml:space="preserve"> </w:t>
      </w:r>
    </w:p>
    <w:p w14:paraId="16A0980D" w14:textId="6EAEF11A" w:rsidR="00CB7C2B" w:rsidRPr="00490E2E" w:rsidRDefault="00CB7C2B" w:rsidP="00AE1806">
      <w:pPr>
        <w:spacing w:line="360" w:lineRule="auto"/>
        <w:contextualSpacing/>
        <w:jc w:val="both"/>
        <w:rPr>
          <w:rFonts w:ascii="Palatino Linotype" w:hAnsi="Palatino Linotype"/>
          <w:bCs/>
          <w:iCs/>
          <w:sz w:val="22"/>
          <w:szCs w:val="22"/>
        </w:rPr>
      </w:pPr>
      <w:r w:rsidRPr="00490E2E">
        <w:rPr>
          <w:rFonts w:ascii="Palatino Linotype" w:hAnsi="Palatino Linotype"/>
          <w:bCs/>
          <w:iCs/>
          <w:sz w:val="22"/>
          <w:szCs w:val="22"/>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los documentos donde consten l</w:t>
      </w:r>
      <w:r w:rsidR="008E3F7C" w:rsidRPr="00490E2E">
        <w:rPr>
          <w:rFonts w:ascii="Palatino Linotype" w:hAnsi="Palatino Linotype"/>
          <w:bCs/>
          <w:iCs/>
          <w:sz w:val="22"/>
          <w:szCs w:val="22"/>
        </w:rPr>
        <w:t>os</w:t>
      </w:r>
      <w:r w:rsidRPr="00490E2E">
        <w:rPr>
          <w:rFonts w:ascii="Palatino Linotype" w:hAnsi="Palatino Linotype"/>
          <w:bCs/>
          <w:iCs/>
          <w:sz w:val="22"/>
          <w:szCs w:val="22"/>
        </w:rPr>
        <w:t xml:space="preserve"> </w:t>
      </w:r>
      <w:r w:rsidR="006F0244" w:rsidRPr="00490E2E">
        <w:rPr>
          <w:rFonts w:ascii="Palatino Linotype" w:hAnsi="Palatino Linotype" w:cs="Tahoma"/>
          <w:sz w:val="22"/>
          <w:szCs w:val="22"/>
        </w:rPr>
        <w:t>Comprobantes de Percepciones y Deducciones por concepto de nómina</w:t>
      </w:r>
      <w:r w:rsidR="006F0244" w:rsidRPr="00490E2E">
        <w:rPr>
          <w:rFonts w:ascii="Palatino Linotype" w:hAnsi="Palatino Linotype"/>
          <w:bCs/>
          <w:iCs/>
          <w:sz w:val="22"/>
          <w:szCs w:val="22"/>
        </w:rPr>
        <w:t xml:space="preserve"> </w:t>
      </w:r>
      <w:r w:rsidR="002509F6" w:rsidRPr="00490E2E">
        <w:rPr>
          <w:rFonts w:ascii="Palatino Linotype" w:hAnsi="Palatino Linotype"/>
          <w:bCs/>
          <w:iCs/>
          <w:sz w:val="22"/>
          <w:szCs w:val="22"/>
        </w:rPr>
        <w:t>solicitados</w:t>
      </w:r>
      <w:r w:rsidRPr="00490E2E">
        <w:rPr>
          <w:rFonts w:ascii="Palatino Linotype" w:hAnsi="Palatino Linotype"/>
          <w:bCs/>
          <w:iCs/>
          <w:sz w:val="22"/>
          <w:szCs w:val="22"/>
        </w:rPr>
        <w:t>.</w:t>
      </w:r>
    </w:p>
    <w:p w14:paraId="69ED3709" w14:textId="77777777" w:rsidR="00CB7C2B" w:rsidRPr="00490E2E" w:rsidRDefault="00CB7C2B" w:rsidP="00AE1806">
      <w:pPr>
        <w:spacing w:line="360" w:lineRule="auto"/>
        <w:contextualSpacing/>
        <w:jc w:val="both"/>
        <w:rPr>
          <w:rFonts w:ascii="Palatino Linotype" w:hAnsi="Palatino Linotype"/>
          <w:bCs/>
          <w:iCs/>
          <w:sz w:val="22"/>
          <w:szCs w:val="22"/>
        </w:rPr>
      </w:pPr>
    </w:p>
    <w:p w14:paraId="42663157" w14:textId="03F5F851" w:rsidR="002509F6" w:rsidRPr="00490E2E" w:rsidRDefault="002509F6" w:rsidP="00AE1806">
      <w:pPr>
        <w:spacing w:line="360" w:lineRule="auto"/>
        <w:contextualSpacing/>
        <w:jc w:val="both"/>
        <w:rPr>
          <w:rFonts w:ascii="Palatino Linotype" w:hAnsi="Palatino Linotype"/>
          <w:bCs/>
          <w:iCs/>
          <w:sz w:val="22"/>
          <w:szCs w:val="22"/>
        </w:rPr>
      </w:pPr>
      <w:r w:rsidRPr="00490E2E">
        <w:rPr>
          <w:rFonts w:ascii="Palatino Linotype" w:hAnsi="Palatino Linotype"/>
          <w:bCs/>
          <w:iCs/>
          <w:sz w:val="22"/>
          <w:szCs w:val="22"/>
        </w:rPr>
        <w:t xml:space="preserve">No pasa desapercibido que </w:t>
      </w:r>
      <w:r w:rsidR="00CB7C2B" w:rsidRPr="00490E2E">
        <w:rPr>
          <w:rFonts w:ascii="Palatino Linotype" w:hAnsi="Palatino Linotype"/>
          <w:bCs/>
          <w:iCs/>
          <w:sz w:val="22"/>
          <w:szCs w:val="22"/>
        </w:rPr>
        <w:t>documentos solicitados, podrían contener diversa información de carácter confidencial,</w:t>
      </w:r>
      <w:r w:rsidRPr="00490E2E">
        <w:rPr>
          <w:rFonts w:ascii="Palatino Linotype" w:hAnsi="Palatino Linotype"/>
          <w:bCs/>
          <w:iCs/>
          <w:sz w:val="22"/>
          <w:szCs w:val="22"/>
        </w:rPr>
        <w:t xml:space="preserve"> la cual se considera necesario analizar conforme a lo siguiente</w:t>
      </w:r>
    </w:p>
    <w:p w14:paraId="37B42B61" w14:textId="77777777" w:rsidR="002509F6" w:rsidRPr="00490E2E" w:rsidRDefault="002509F6" w:rsidP="00AE1806">
      <w:pPr>
        <w:spacing w:line="360" w:lineRule="auto"/>
        <w:contextualSpacing/>
        <w:jc w:val="both"/>
        <w:rPr>
          <w:rFonts w:ascii="Palatino Linotype" w:hAnsi="Palatino Linotype"/>
          <w:bCs/>
          <w:iCs/>
          <w:sz w:val="22"/>
          <w:szCs w:val="22"/>
        </w:rPr>
      </w:pPr>
    </w:p>
    <w:p w14:paraId="15F0F604" w14:textId="77777777" w:rsidR="002509F6" w:rsidRPr="00490E2E" w:rsidRDefault="002509F6" w:rsidP="00AE1806">
      <w:pPr>
        <w:numPr>
          <w:ilvl w:val="0"/>
          <w:numId w:val="17"/>
        </w:numPr>
        <w:autoSpaceDE w:val="0"/>
        <w:autoSpaceDN w:val="0"/>
        <w:adjustRightInd w:val="0"/>
        <w:spacing w:line="360" w:lineRule="auto"/>
        <w:contextualSpacing/>
        <w:jc w:val="both"/>
        <w:rPr>
          <w:rFonts w:ascii="Palatino Linotype" w:hAnsi="Palatino Linotype" w:cs="Adelle Sans Devanagari"/>
          <w:bCs/>
          <w:color w:val="000000" w:themeColor="text1"/>
          <w:sz w:val="22"/>
          <w:szCs w:val="22"/>
          <w:lang w:val="es-ES"/>
        </w:rPr>
      </w:pPr>
      <w:r w:rsidRPr="00490E2E">
        <w:rPr>
          <w:rFonts w:ascii="Palatino Linotype" w:hAnsi="Palatino Linotype" w:cs="Adelle Sans Devanagari"/>
          <w:bCs/>
          <w:color w:val="000000" w:themeColor="text1"/>
          <w:sz w:val="22"/>
          <w:szCs w:val="22"/>
          <w:lang w:val="es-ES"/>
        </w:rPr>
        <w:t>Clave Única de Registro de Población;</w:t>
      </w:r>
    </w:p>
    <w:p w14:paraId="581ABFC2" w14:textId="77777777" w:rsidR="002509F6" w:rsidRPr="00490E2E" w:rsidRDefault="002509F6" w:rsidP="00AE1806">
      <w:pPr>
        <w:numPr>
          <w:ilvl w:val="0"/>
          <w:numId w:val="17"/>
        </w:numPr>
        <w:autoSpaceDE w:val="0"/>
        <w:autoSpaceDN w:val="0"/>
        <w:adjustRightInd w:val="0"/>
        <w:spacing w:line="360" w:lineRule="auto"/>
        <w:contextualSpacing/>
        <w:jc w:val="both"/>
        <w:rPr>
          <w:rFonts w:ascii="Palatino Linotype" w:hAnsi="Palatino Linotype" w:cs="Adelle Sans Devanagari"/>
          <w:bCs/>
          <w:iCs/>
          <w:color w:val="000000" w:themeColor="text1"/>
          <w:sz w:val="22"/>
          <w:szCs w:val="26"/>
        </w:rPr>
      </w:pPr>
      <w:r w:rsidRPr="00490E2E">
        <w:rPr>
          <w:rFonts w:ascii="Palatino Linotype" w:hAnsi="Palatino Linotype" w:cs="Adelle Sans Devanagari"/>
          <w:bCs/>
          <w:iCs/>
          <w:color w:val="000000" w:themeColor="text1"/>
          <w:sz w:val="22"/>
          <w:szCs w:val="26"/>
        </w:rPr>
        <w:t>Registro Federal de Contribuyentes;</w:t>
      </w:r>
    </w:p>
    <w:p w14:paraId="153B5A2F" w14:textId="77777777" w:rsidR="002509F6" w:rsidRPr="00490E2E" w:rsidRDefault="002509F6" w:rsidP="00AE1806">
      <w:pPr>
        <w:numPr>
          <w:ilvl w:val="0"/>
          <w:numId w:val="17"/>
        </w:numPr>
        <w:autoSpaceDE w:val="0"/>
        <w:autoSpaceDN w:val="0"/>
        <w:adjustRightInd w:val="0"/>
        <w:spacing w:line="360" w:lineRule="auto"/>
        <w:contextualSpacing/>
        <w:jc w:val="both"/>
        <w:rPr>
          <w:rFonts w:ascii="Palatino Linotype" w:hAnsi="Palatino Linotype" w:cs="Adelle Sans Devanagari"/>
          <w:bCs/>
          <w:color w:val="000000" w:themeColor="text1"/>
          <w:sz w:val="22"/>
          <w:szCs w:val="22"/>
          <w:lang w:val="es-ES"/>
        </w:rPr>
      </w:pPr>
      <w:r w:rsidRPr="00490E2E">
        <w:rPr>
          <w:rFonts w:ascii="Palatino Linotype" w:hAnsi="Palatino Linotype" w:cs="Adelle Sans Devanagari"/>
          <w:bCs/>
          <w:color w:val="000000" w:themeColor="text1"/>
          <w:sz w:val="22"/>
          <w:szCs w:val="22"/>
          <w:lang w:val="es-ES"/>
        </w:rPr>
        <w:t>Código bidimensional o QR;</w:t>
      </w:r>
    </w:p>
    <w:p w14:paraId="20FF7559" w14:textId="77777777" w:rsidR="002509F6" w:rsidRPr="00490E2E" w:rsidRDefault="002509F6" w:rsidP="00AE1806">
      <w:pPr>
        <w:numPr>
          <w:ilvl w:val="0"/>
          <w:numId w:val="17"/>
        </w:numPr>
        <w:autoSpaceDE w:val="0"/>
        <w:autoSpaceDN w:val="0"/>
        <w:adjustRightInd w:val="0"/>
        <w:spacing w:line="360" w:lineRule="auto"/>
        <w:contextualSpacing/>
        <w:jc w:val="both"/>
        <w:rPr>
          <w:rFonts w:ascii="Palatino Linotype" w:hAnsi="Palatino Linotype" w:cs="Adelle Sans Devanagari"/>
          <w:bCs/>
          <w:color w:val="000000" w:themeColor="text1"/>
          <w:sz w:val="22"/>
          <w:szCs w:val="22"/>
          <w:lang w:val="es-ES"/>
        </w:rPr>
      </w:pPr>
      <w:r w:rsidRPr="00490E2E">
        <w:rPr>
          <w:rFonts w:ascii="Palatino Linotype" w:hAnsi="Palatino Linotype" w:cs="Adelle Sans Devanagari"/>
          <w:bCs/>
          <w:color w:val="000000" w:themeColor="text1"/>
          <w:sz w:val="22"/>
          <w:szCs w:val="22"/>
          <w:lang w:val="es-ES"/>
        </w:rPr>
        <w:t>Número de seguridad social del Instituto de Seguridad Social del Estado de México y Municipios;</w:t>
      </w:r>
    </w:p>
    <w:p w14:paraId="03459A9F" w14:textId="77777777" w:rsidR="002509F6" w:rsidRPr="00490E2E" w:rsidRDefault="002509F6" w:rsidP="00AE1806">
      <w:pPr>
        <w:numPr>
          <w:ilvl w:val="0"/>
          <w:numId w:val="17"/>
        </w:numPr>
        <w:autoSpaceDE w:val="0"/>
        <w:autoSpaceDN w:val="0"/>
        <w:adjustRightInd w:val="0"/>
        <w:spacing w:line="360" w:lineRule="auto"/>
        <w:contextualSpacing/>
        <w:jc w:val="both"/>
        <w:rPr>
          <w:rFonts w:ascii="Palatino Linotype" w:hAnsi="Palatino Linotype" w:cs="Adelle Sans Devanagari"/>
          <w:bCs/>
          <w:color w:val="000000" w:themeColor="text1"/>
          <w:sz w:val="22"/>
          <w:szCs w:val="22"/>
          <w:lang w:val="es-ES"/>
        </w:rPr>
      </w:pPr>
      <w:r w:rsidRPr="00490E2E">
        <w:rPr>
          <w:rFonts w:ascii="Palatino Linotype" w:hAnsi="Palatino Linotype" w:cs="Adelle Sans Devanagari"/>
          <w:bCs/>
          <w:color w:val="000000" w:themeColor="text1"/>
          <w:sz w:val="22"/>
          <w:szCs w:val="22"/>
          <w:lang w:val="es-ES"/>
        </w:rPr>
        <w:t>Deducciones personales;</w:t>
      </w:r>
    </w:p>
    <w:p w14:paraId="20497D96" w14:textId="77777777" w:rsidR="002509F6" w:rsidRPr="00490E2E" w:rsidRDefault="002509F6" w:rsidP="00AE1806">
      <w:pPr>
        <w:numPr>
          <w:ilvl w:val="0"/>
          <w:numId w:val="17"/>
        </w:numPr>
        <w:autoSpaceDE w:val="0"/>
        <w:autoSpaceDN w:val="0"/>
        <w:adjustRightInd w:val="0"/>
        <w:spacing w:line="360" w:lineRule="auto"/>
        <w:contextualSpacing/>
        <w:jc w:val="both"/>
        <w:rPr>
          <w:rFonts w:ascii="Palatino Linotype" w:hAnsi="Palatino Linotype" w:cs="Adelle Sans Devanagari"/>
          <w:bCs/>
          <w:color w:val="000000" w:themeColor="text1"/>
          <w:sz w:val="22"/>
          <w:szCs w:val="22"/>
          <w:lang w:val="es-ES"/>
        </w:rPr>
      </w:pPr>
      <w:r w:rsidRPr="00490E2E">
        <w:rPr>
          <w:rFonts w:ascii="Palatino Linotype" w:hAnsi="Palatino Linotype" w:cs="Adelle Sans Devanagari"/>
          <w:bCs/>
          <w:color w:val="000000" w:themeColor="text1"/>
          <w:sz w:val="22"/>
          <w:szCs w:val="22"/>
          <w:lang w:val="es-ES"/>
        </w:rPr>
        <w:t>Sellos digitales del emisor y del Servicio de Administración Tributaria y cadena original del complemento de certificación digital del órgano previamente señalado;</w:t>
      </w:r>
    </w:p>
    <w:p w14:paraId="3E63A355" w14:textId="77777777" w:rsidR="002509F6" w:rsidRPr="00490E2E" w:rsidRDefault="002509F6" w:rsidP="00AE1806">
      <w:pPr>
        <w:autoSpaceDE w:val="0"/>
        <w:autoSpaceDN w:val="0"/>
        <w:adjustRightInd w:val="0"/>
        <w:spacing w:line="360" w:lineRule="auto"/>
        <w:contextualSpacing/>
        <w:jc w:val="both"/>
        <w:rPr>
          <w:rFonts w:ascii="Palatino Linotype" w:hAnsi="Palatino Linotype" w:cs="Adelle Sans Devanagari"/>
          <w:bCs/>
          <w:color w:val="000000" w:themeColor="text1"/>
          <w:lang w:val="es-ES"/>
        </w:rPr>
      </w:pPr>
    </w:p>
    <w:p w14:paraId="0F7DDB6F" w14:textId="77777777" w:rsidR="002509F6" w:rsidRPr="00490E2E" w:rsidRDefault="002509F6" w:rsidP="00AE1806">
      <w:pPr>
        <w:spacing w:line="360" w:lineRule="auto"/>
        <w:contextualSpacing/>
        <w:jc w:val="both"/>
        <w:rPr>
          <w:rFonts w:ascii="Palatino Linotype" w:hAnsi="Palatino Linotype" w:cs="Adelle Sans Devanagari"/>
          <w:bCs/>
          <w:iCs/>
          <w:color w:val="000000" w:themeColor="text1"/>
          <w:sz w:val="22"/>
          <w:szCs w:val="22"/>
          <w:lang w:eastAsia="es-MX"/>
        </w:rPr>
      </w:pPr>
      <w:r w:rsidRPr="00490E2E">
        <w:rPr>
          <w:rFonts w:ascii="Palatino Linotype" w:hAnsi="Palatino Linotype" w:cs="Adelle Sans Devanagari"/>
          <w:bCs/>
          <w:color w:val="000000" w:themeColor="text1"/>
          <w:lang w:val="es-ES"/>
        </w:rPr>
        <w:t>Al respecto, resulta procedente analizar si dichos datos son públicos o privados; para lo cual</w:t>
      </w:r>
      <w:r w:rsidRPr="00490E2E">
        <w:rPr>
          <w:rFonts w:ascii="Palatino Linotype" w:hAnsi="Palatino Linotype" w:cs="Adelle Sans Devanagari"/>
          <w:bCs/>
          <w:iCs/>
          <w:color w:val="000000" w:themeColor="text1"/>
          <w:lang w:eastAsia="es-MX"/>
        </w:rPr>
        <w:t xml:space="preserve">, el artículo 143, fracción I, de la Ley de la materia, establece que la información privada y los datos </w:t>
      </w:r>
      <w:r w:rsidRPr="00490E2E">
        <w:rPr>
          <w:rFonts w:ascii="Palatino Linotype" w:hAnsi="Palatino Linotype" w:cs="Adelle Sans Devanagari"/>
          <w:bCs/>
          <w:iCs/>
          <w:color w:val="000000" w:themeColor="text1"/>
          <w:sz w:val="22"/>
          <w:szCs w:val="22"/>
          <w:lang w:eastAsia="es-MX"/>
        </w:rPr>
        <w:lastRenderedPageBreak/>
        <w:t>personales, concernientes a una persona física o jurídica colectiva identificada o identificable son confidenciales.</w:t>
      </w:r>
    </w:p>
    <w:p w14:paraId="6A57E5D9" w14:textId="77777777" w:rsidR="002509F6" w:rsidRPr="00490E2E" w:rsidRDefault="002509F6" w:rsidP="00AE1806">
      <w:pPr>
        <w:spacing w:line="360" w:lineRule="auto"/>
        <w:contextualSpacing/>
        <w:jc w:val="both"/>
        <w:rPr>
          <w:rFonts w:ascii="Palatino Linotype" w:hAnsi="Palatino Linotype" w:cs="Adelle Sans Devanagari"/>
          <w:bCs/>
          <w:iCs/>
          <w:color w:val="000000" w:themeColor="text1"/>
          <w:sz w:val="22"/>
          <w:szCs w:val="22"/>
          <w:lang w:eastAsia="es-MX"/>
        </w:rPr>
      </w:pPr>
    </w:p>
    <w:p w14:paraId="49199C55" w14:textId="77777777" w:rsidR="002509F6" w:rsidRPr="00490E2E" w:rsidRDefault="002509F6" w:rsidP="00AE1806">
      <w:pPr>
        <w:spacing w:line="360" w:lineRule="auto"/>
        <w:contextualSpacing/>
        <w:jc w:val="both"/>
        <w:rPr>
          <w:rFonts w:ascii="Palatino Linotype" w:hAnsi="Palatino Linotype" w:cs="Adelle Sans Devanagari"/>
          <w:bCs/>
          <w:iCs/>
          <w:color w:val="000000" w:themeColor="text1"/>
          <w:sz w:val="22"/>
          <w:szCs w:val="22"/>
          <w:lang w:eastAsia="es-MX"/>
        </w:rPr>
      </w:pPr>
      <w:r w:rsidRPr="00490E2E">
        <w:rPr>
          <w:rFonts w:ascii="Palatino Linotype" w:hAnsi="Palatino Linotype" w:cs="Adelle Sans Devanagari"/>
          <w:bCs/>
          <w:iCs/>
          <w:color w:val="000000" w:themeColor="text1"/>
          <w:sz w:val="22"/>
          <w:szCs w:val="22"/>
          <w:lang w:eastAsia="es-MX"/>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490E2E">
        <w:rPr>
          <w:rFonts w:ascii="Palatino Linotype" w:hAnsi="Palatino Linotype" w:cs="Adelle Sans Devanagari"/>
          <w:bCs/>
          <w:iCs/>
          <w:color w:val="000000" w:themeColor="text1"/>
          <w:sz w:val="22"/>
          <w:szCs w:val="22"/>
          <w:lang w:eastAsia="es-MX"/>
        </w:rPr>
        <w:t>ii</w:t>
      </w:r>
      <w:proofErr w:type="spellEnd"/>
      <w:r w:rsidRPr="00490E2E">
        <w:rPr>
          <w:rFonts w:ascii="Palatino Linotype" w:hAnsi="Palatino Linotype" w:cs="Adelle Sans Devanagari"/>
          <w:bCs/>
          <w:iCs/>
          <w:color w:val="000000" w:themeColor="text1"/>
          <w:sz w:val="22"/>
          <w:szCs w:val="22"/>
          <w:lang w:eastAsia="es-MX"/>
        </w:rPr>
        <w:t xml:space="preserve">) por ley tenga el carácter de pública, </w:t>
      </w:r>
      <w:proofErr w:type="spellStart"/>
      <w:r w:rsidRPr="00490E2E">
        <w:rPr>
          <w:rFonts w:ascii="Palatino Linotype" w:hAnsi="Palatino Linotype" w:cs="Adelle Sans Devanagari"/>
          <w:bCs/>
          <w:iCs/>
          <w:color w:val="000000" w:themeColor="text1"/>
          <w:sz w:val="22"/>
          <w:szCs w:val="22"/>
          <w:lang w:eastAsia="es-MX"/>
        </w:rPr>
        <w:t>iii</w:t>
      </w:r>
      <w:proofErr w:type="spellEnd"/>
      <w:r w:rsidRPr="00490E2E">
        <w:rPr>
          <w:rFonts w:ascii="Palatino Linotype" w:hAnsi="Palatino Linotype" w:cs="Adelle Sans Devanagari"/>
          <w:bCs/>
          <w:iCs/>
          <w:color w:val="000000" w:themeColor="text1"/>
          <w:sz w:val="22"/>
          <w:szCs w:val="22"/>
          <w:lang w:eastAsia="es-MX"/>
        </w:rPr>
        <w:t xml:space="preserve">) exista una orden judicial, </w:t>
      </w:r>
      <w:proofErr w:type="spellStart"/>
      <w:r w:rsidRPr="00490E2E">
        <w:rPr>
          <w:rFonts w:ascii="Palatino Linotype" w:hAnsi="Palatino Linotype" w:cs="Adelle Sans Devanagari"/>
          <w:bCs/>
          <w:iCs/>
          <w:color w:val="000000" w:themeColor="text1"/>
          <w:sz w:val="22"/>
          <w:szCs w:val="22"/>
          <w:lang w:eastAsia="es-MX"/>
        </w:rPr>
        <w:t>iv</w:t>
      </w:r>
      <w:proofErr w:type="spellEnd"/>
      <w:r w:rsidRPr="00490E2E">
        <w:rPr>
          <w:rFonts w:ascii="Palatino Linotype" w:hAnsi="Palatino Linotype" w:cs="Adelle Sans Devanagari"/>
          <w:bCs/>
          <w:iCs/>
          <w:color w:val="000000" w:themeColor="text1"/>
          <w:sz w:val="22"/>
          <w:szCs w:val="22"/>
          <w:lang w:eastAsia="es-MX"/>
        </w:rPr>
        <w:t>) por razones de seguridad nacional y salubridad general o v) para proteger los derechos de terceros o cuando se transmita entre sujetos obligados en términos de los tratados y los acuerdos interinstitucionales.</w:t>
      </w:r>
    </w:p>
    <w:p w14:paraId="768F554C" w14:textId="77777777" w:rsidR="002509F6" w:rsidRPr="00490E2E" w:rsidRDefault="002509F6" w:rsidP="00AE1806">
      <w:pPr>
        <w:spacing w:line="360" w:lineRule="auto"/>
        <w:contextualSpacing/>
        <w:jc w:val="both"/>
        <w:rPr>
          <w:rFonts w:ascii="Palatino Linotype" w:hAnsi="Palatino Linotype" w:cs="Adelle Sans Devanagari"/>
          <w:bCs/>
          <w:iCs/>
          <w:color w:val="000000" w:themeColor="text1"/>
          <w:sz w:val="22"/>
          <w:szCs w:val="22"/>
          <w:lang w:eastAsia="es-MX"/>
        </w:rPr>
      </w:pPr>
    </w:p>
    <w:p w14:paraId="73C83E71" w14:textId="77777777" w:rsidR="002509F6" w:rsidRPr="00490E2E" w:rsidRDefault="002509F6" w:rsidP="00AE1806">
      <w:pPr>
        <w:spacing w:line="360" w:lineRule="auto"/>
        <w:contextualSpacing/>
        <w:jc w:val="both"/>
        <w:rPr>
          <w:rFonts w:ascii="Palatino Linotype" w:hAnsi="Palatino Linotype" w:cs="Adelle Sans Devanagari"/>
          <w:bCs/>
          <w:iCs/>
          <w:color w:val="000000" w:themeColor="text1"/>
          <w:sz w:val="22"/>
          <w:szCs w:val="22"/>
          <w:lang w:eastAsia="es-MX"/>
        </w:rPr>
      </w:pPr>
      <w:r w:rsidRPr="00490E2E">
        <w:rPr>
          <w:rFonts w:ascii="Palatino Linotype" w:hAnsi="Palatino Linotype" w:cs="Adelle Sans Devanagari"/>
          <w:bCs/>
          <w:iCs/>
          <w:color w:val="000000" w:themeColor="text1"/>
          <w:sz w:val="22"/>
          <w:szCs w:val="22"/>
          <w:lang w:eastAsia="es-MX"/>
        </w:rPr>
        <w:t>En términos de lo expuesto, la documentación y aquellos datos que se consideren confidenciales, serán una limitante del derecho de acceso a la información, siempre y cuando:</w:t>
      </w:r>
    </w:p>
    <w:p w14:paraId="64105C60" w14:textId="77777777" w:rsidR="002509F6" w:rsidRPr="00490E2E" w:rsidRDefault="002509F6" w:rsidP="00AE1806">
      <w:pPr>
        <w:spacing w:line="360" w:lineRule="auto"/>
        <w:contextualSpacing/>
        <w:jc w:val="both"/>
        <w:rPr>
          <w:rFonts w:ascii="Palatino Linotype" w:hAnsi="Palatino Linotype" w:cs="Adelle Sans Devanagari"/>
          <w:bCs/>
          <w:iCs/>
          <w:color w:val="000000" w:themeColor="text1"/>
          <w:sz w:val="22"/>
          <w:szCs w:val="22"/>
          <w:lang w:eastAsia="es-MX"/>
        </w:rPr>
      </w:pPr>
    </w:p>
    <w:p w14:paraId="62B4BB4B" w14:textId="77777777" w:rsidR="002509F6" w:rsidRPr="00490E2E" w:rsidRDefault="002509F6" w:rsidP="00AE1806">
      <w:pPr>
        <w:numPr>
          <w:ilvl w:val="0"/>
          <w:numId w:val="18"/>
        </w:numPr>
        <w:spacing w:line="360" w:lineRule="auto"/>
        <w:contextualSpacing/>
        <w:jc w:val="both"/>
        <w:rPr>
          <w:rFonts w:ascii="Palatino Linotype" w:hAnsi="Palatino Linotype" w:cs="Adelle Sans Devanagari"/>
          <w:bCs/>
          <w:iCs/>
          <w:color w:val="000000" w:themeColor="text1"/>
          <w:sz w:val="22"/>
          <w:szCs w:val="22"/>
          <w:lang w:eastAsia="es-MX"/>
        </w:rPr>
      </w:pPr>
      <w:r w:rsidRPr="00490E2E">
        <w:rPr>
          <w:rFonts w:ascii="Palatino Linotype" w:hAnsi="Palatino Linotype" w:cs="Adelle Sans Devanagari"/>
          <w:bCs/>
          <w:iCs/>
          <w:color w:val="000000" w:themeColor="text1"/>
          <w:sz w:val="22"/>
          <w:szCs w:val="22"/>
          <w:lang w:eastAsia="es-MX"/>
        </w:rPr>
        <w:t xml:space="preserve">Se trate de datos personales o información privada; esto es, información concerniente a una persona física o jurídico colectiva y que esta sea identificada o identificable. </w:t>
      </w:r>
    </w:p>
    <w:p w14:paraId="4A822614" w14:textId="77777777" w:rsidR="002509F6" w:rsidRPr="00490E2E" w:rsidRDefault="002509F6" w:rsidP="00AE1806">
      <w:pPr>
        <w:spacing w:line="360" w:lineRule="auto"/>
        <w:ind w:left="720"/>
        <w:contextualSpacing/>
        <w:jc w:val="both"/>
        <w:rPr>
          <w:rFonts w:ascii="Palatino Linotype" w:hAnsi="Palatino Linotype" w:cs="Adelle Sans Devanagari"/>
          <w:bCs/>
          <w:iCs/>
          <w:color w:val="000000" w:themeColor="text1"/>
          <w:sz w:val="22"/>
          <w:szCs w:val="22"/>
          <w:lang w:eastAsia="es-MX"/>
        </w:rPr>
      </w:pPr>
    </w:p>
    <w:p w14:paraId="7DFBB470" w14:textId="77777777" w:rsidR="002509F6" w:rsidRPr="00490E2E" w:rsidRDefault="002509F6" w:rsidP="00AE1806">
      <w:pPr>
        <w:numPr>
          <w:ilvl w:val="0"/>
          <w:numId w:val="18"/>
        </w:numPr>
        <w:spacing w:line="360" w:lineRule="auto"/>
        <w:contextualSpacing/>
        <w:jc w:val="both"/>
        <w:rPr>
          <w:rFonts w:ascii="Palatino Linotype" w:hAnsi="Palatino Linotype" w:cs="Adelle Sans Devanagari"/>
          <w:bCs/>
          <w:iCs/>
          <w:color w:val="000000" w:themeColor="text1"/>
          <w:sz w:val="22"/>
          <w:szCs w:val="22"/>
          <w:lang w:eastAsia="es-MX"/>
        </w:rPr>
      </w:pPr>
      <w:r w:rsidRPr="00490E2E">
        <w:rPr>
          <w:rFonts w:ascii="Palatino Linotype" w:hAnsi="Palatino Linotype" w:cs="Adelle Sans Devanagari"/>
          <w:bCs/>
          <w:iCs/>
          <w:color w:val="000000" w:themeColor="text1"/>
          <w:sz w:val="22"/>
          <w:szCs w:val="22"/>
          <w:lang w:eastAsia="es-MX"/>
        </w:rPr>
        <w:t xml:space="preserve">Para la difusión de los datos, se requiera el consentimiento del titular. </w:t>
      </w:r>
    </w:p>
    <w:p w14:paraId="3C463176" w14:textId="77777777" w:rsidR="002509F6" w:rsidRPr="00490E2E" w:rsidRDefault="002509F6" w:rsidP="00AE1806">
      <w:pPr>
        <w:spacing w:line="360" w:lineRule="auto"/>
        <w:contextualSpacing/>
        <w:jc w:val="both"/>
        <w:rPr>
          <w:rFonts w:ascii="Palatino Linotype" w:hAnsi="Palatino Linotype" w:cs="Adelle Sans Devanagari"/>
          <w:bCs/>
          <w:iCs/>
          <w:color w:val="000000" w:themeColor="text1"/>
          <w:sz w:val="22"/>
          <w:szCs w:val="22"/>
          <w:lang w:eastAsia="es-MX"/>
        </w:rPr>
      </w:pPr>
    </w:p>
    <w:p w14:paraId="6BE4509C" w14:textId="77777777" w:rsidR="002509F6" w:rsidRPr="00490E2E" w:rsidRDefault="002509F6" w:rsidP="00AE1806">
      <w:pPr>
        <w:spacing w:line="360" w:lineRule="auto"/>
        <w:contextualSpacing/>
        <w:jc w:val="both"/>
        <w:rPr>
          <w:rFonts w:ascii="Palatino Linotype" w:hAnsi="Palatino Linotype" w:cs="Adelle Sans Devanagari"/>
          <w:bCs/>
          <w:iCs/>
          <w:color w:val="000000" w:themeColor="text1"/>
          <w:sz w:val="22"/>
          <w:szCs w:val="22"/>
          <w:lang w:eastAsia="es-MX"/>
        </w:rPr>
      </w:pPr>
      <w:r w:rsidRPr="00490E2E">
        <w:rPr>
          <w:rFonts w:ascii="Palatino Linotype" w:hAnsi="Palatino Linotype" w:cs="Adelle Sans Devanagari"/>
          <w:bCs/>
          <w:iCs/>
          <w:color w:val="000000" w:themeColor="text1"/>
          <w:sz w:val="22"/>
          <w:szCs w:val="22"/>
          <w:lang w:eastAsia="es-MX"/>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w:t>
      </w:r>
      <w:r w:rsidRPr="00490E2E">
        <w:rPr>
          <w:rFonts w:ascii="Palatino Linotype" w:hAnsi="Palatino Linotype" w:cs="Adelle Sans Devanagari"/>
          <w:bCs/>
          <w:iCs/>
          <w:color w:val="000000" w:themeColor="text1"/>
          <w:sz w:val="22"/>
          <w:szCs w:val="22"/>
          <w:lang w:eastAsia="es-MX"/>
        </w:rPr>
        <w:lastRenderedPageBreak/>
        <w:t>o identificable (cuando su identidad pueda determinarse directa o indirectamente a través de cualquier documento informativo físico o electrónico), establecida en cualquier formato o modalidad. Bajo ese contexto, se analizarán si los datos mencionados de manera enunciativa son confidenciales o públicos.</w:t>
      </w:r>
    </w:p>
    <w:p w14:paraId="30F55B39" w14:textId="77777777" w:rsidR="002509F6" w:rsidRPr="00490E2E" w:rsidRDefault="002509F6" w:rsidP="00AE1806">
      <w:pPr>
        <w:spacing w:line="360" w:lineRule="auto"/>
        <w:contextualSpacing/>
        <w:jc w:val="both"/>
        <w:rPr>
          <w:rFonts w:ascii="Palatino Linotype" w:hAnsi="Palatino Linotype" w:cs="Adelle Sans Devanagari"/>
          <w:bCs/>
          <w:iCs/>
          <w:color w:val="000000" w:themeColor="text1"/>
          <w:sz w:val="22"/>
          <w:szCs w:val="22"/>
          <w:lang w:eastAsia="es-MX"/>
        </w:rPr>
      </w:pPr>
    </w:p>
    <w:p w14:paraId="4FB95892" w14:textId="77777777" w:rsidR="002509F6" w:rsidRPr="00490E2E" w:rsidRDefault="002509F6" w:rsidP="00AE1806">
      <w:pPr>
        <w:numPr>
          <w:ilvl w:val="0"/>
          <w:numId w:val="19"/>
        </w:numPr>
        <w:spacing w:line="360" w:lineRule="auto"/>
        <w:contextualSpacing/>
        <w:jc w:val="both"/>
        <w:rPr>
          <w:rFonts w:ascii="Palatino Linotype" w:hAnsi="Palatino Linotype" w:cs="Adelle Sans Devanagari"/>
          <w:b/>
          <w:color w:val="000000"/>
          <w:sz w:val="22"/>
          <w:szCs w:val="22"/>
          <w:lang w:val="es-ES"/>
        </w:rPr>
      </w:pPr>
      <w:r w:rsidRPr="00490E2E">
        <w:rPr>
          <w:rFonts w:ascii="Palatino Linotype" w:hAnsi="Palatino Linotype" w:cs="Adelle Sans Devanagari"/>
          <w:b/>
          <w:color w:val="000000"/>
          <w:sz w:val="22"/>
          <w:szCs w:val="22"/>
          <w:lang w:val="es-ES"/>
        </w:rPr>
        <w:t>Clave Única de Registro de Población (CURP)</w:t>
      </w:r>
    </w:p>
    <w:p w14:paraId="1487C217" w14:textId="77777777" w:rsidR="002509F6" w:rsidRPr="00490E2E" w:rsidRDefault="002509F6" w:rsidP="00AE1806">
      <w:pPr>
        <w:tabs>
          <w:tab w:val="left" w:pos="4962"/>
        </w:tabs>
        <w:spacing w:line="360" w:lineRule="auto"/>
        <w:contextualSpacing/>
        <w:jc w:val="both"/>
        <w:rPr>
          <w:rFonts w:ascii="Palatino Linotype" w:hAnsi="Palatino Linotype" w:cs="Adelle Sans Devanagari"/>
          <w:bCs/>
          <w:color w:val="000000"/>
          <w:sz w:val="22"/>
          <w:szCs w:val="22"/>
          <w:lang w:val="es-ES"/>
        </w:rPr>
      </w:pPr>
    </w:p>
    <w:p w14:paraId="372DB928" w14:textId="77777777" w:rsidR="002509F6" w:rsidRPr="00490E2E" w:rsidRDefault="002509F6" w:rsidP="00AE1806">
      <w:pPr>
        <w:tabs>
          <w:tab w:val="left" w:pos="4962"/>
        </w:tabs>
        <w:spacing w:line="360" w:lineRule="auto"/>
        <w:contextualSpacing/>
        <w:jc w:val="both"/>
        <w:rPr>
          <w:rFonts w:ascii="Palatino Linotype" w:hAnsi="Palatino Linotype" w:cs="Adelle Sans Devanagari"/>
          <w:bCs/>
          <w:color w:val="000000"/>
          <w:sz w:val="22"/>
          <w:szCs w:val="22"/>
          <w:lang w:val="es-ES"/>
        </w:rPr>
      </w:pPr>
      <w:r w:rsidRPr="00490E2E">
        <w:rPr>
          <w:rFonts w:ascii="Palatino Linotype" w:hAnsi="Palatino Linotype" w:cs="Adelle Sans Devanagari"/>
          <w:bCs/>
          <w:color w:val="000000"/>
          <w:sz w:val="22"/>
          <w:szCs w:val="22"/>
          <w:lang w:val="es-E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70251456" w14:textId="77777777" w:rsidR="002509F6" w:rsidRPr="00490E2E" w:rsidRDefault="002509F6" w:rsidP="00AE1806">
      <w:pPr>
        <w:tabs>
          <w:tab w:val="left" w:pos="4962"/>
        </w:tabs>
        <w:spacing w:line="360" w:lineRule="auto"/>
        <w:contextualSpacing/>
        <w:jc w:val="both"/>
        <w:rPr>
          <w:rFonts w:ascii="Palatino Linotype" w:hAnsi="Palatino Linotype" w:cs="Adelle Sans Devanagari"/>
          <w:bCs/>
          <w:color w:val="000000"/>
          <w:sz w:val="22"/>
          <w:szCs w:val="22"/>
          <w:lang w:val="es-ES"/>
        </w:rPr>
      </w:pPr>
    </w:p>
    <w:p w14:paraId="598A1B28" w14:textId="77777777" w:rsidR="002509F6" w:rsidRPr="00490E2E" w:rsidRDefault="002509F6" w:rsidP="00AE1806">
      <w:pPr>
        <w:tabs>
          <w:tab w:val="left" w:pos="4962"/>
        </w:tabs>
        <w:spacing w:line="360" w:lineRule="auto"/>
        <w:contextualSpacing/>
        <w:jc w:val="both"/>
        <w:rPr>
          <w:rFonts w:ascii="Palatino Linotype" w:hAnsi="Palatino Linotype" w:cs="Adelle Sans Devanagari"/>
          <w:bCs/>
          <w:color w:val="000000"/>
          <w:sz w:val="22"/>
          <w:szCs w:val="22"/>
          <w:lang w:val="es-ES"/>
        </w:rPr>
      </w:pPr>
      <w:r w:rsidRPr="00490E2E">
        <w:rPr>
          <w:rFonts w:ascii="Palatino Linotype" w:hAnsi="Palatino Linotype" w:cs="Adelle Sans Devanagari"/>
          <w:bCs/>
          <w:color w:val="000000"/>
          <w:sz w:val="22"/>
          <w:szCs w:val="22"/>
          <w:lang w:val="es-E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240A75F" w14:textId="77777777" w:rsidR="002509F6" w:rsidRPr="00490E2E" w:rsidRDefault="002509F6" w:rsidP="00AE1806">
      <w:pPr>
        <w:tabs>
          <w:tab w:val="left" w:pos="4962"/>
        </w:tabs>
        <w:spacing w:line="360" w:lineRule="auto"/>
        <w:contextualSpacing/>
        <w:jc w:val="both"/>
        <w:rPr>
          <w:rFonts w:ascii="Palatino Linotype" w:hAnsi="Palatino Linotype" w:cs="Adelle Sans Devanagari"/>
          <w:bCs/>
          <w:color w:val="000000"/>
          <w:sz w:val="22"/>
          <w:szCs w:val="22"/>
          <w:lang w:val="es-ES"/>
        </w:rPr>
      </w:pPr>
    </w:p>
    <w:p w14:paraId="2561B92F" w14:textId="77777777" w:rsidR="002509F6" w:rsidRPr="00490E2E" w:rsidRDefault="002509F6" w:rsidP="00AE1806">
      <w:pPr>
        <w:tabs>
          <w:tab w:val="left" w:pos="4962"/>
        </w:tabs>
        <w:spacing w:line="360" w:lineRule="auto"/>
        <w:contextualSpacing/>
        <w:jc w:val="both"/>
        <w:rPr>
          <w:rFonts w:ascii="Palatino Linotype" w:hAnsi="Palatino Linotype" w:cs="Adelle Sans Devanagari"/>
          <w:bCs/>
          <w:color w:val="000000"/>
          <w:sz w:val="22"/>
          <w:szCs w:val="22"/>
          <w:lang w:val="es-ES"/>
        </w:rPr>
      </w:pPr>
      <w:r w:rsidRPr="00490E2E">
        <w:rPr>
          <w:rFonts w:ascii="Palatino Linotype" w:hAnsi="Palatino Linotype" w:cs="Adelle Sans Devanagari"/>
          <w:bCs/>
          <w:color w:val="000000"/>
          <w:sz w:val="22"/>
          <w:szCs w:val="22"/>
          <w:lang w:val="es-ES"/>
        </w:rPr>
        <w:t>En ese orden de ideas, la Secretaría de Gobernación en las direcciones https://consultas.curp.gob.mx/CurpSP/html/informacionecurpPS.html y https://www.gob.mx/segob/renapo/acciones-y-programas/clave-unica-de-registro-de-</w:t>
      </w:r>
    </w:p>
    <w:p w14:paraId="310A1977" w14:textId="77777777" w:rsidR="002509F6" w:rsidRPr="00490E2E" w:rsidRDefault="002509F6" w:rsidP="00AE1806">
      <w:pPr>
        <w:tabs>
          <w:tab w:val="left" w:pos="4962"/>
        </w:tabs>
        <w:spacing w:line="360" w:lineRule="auto"/>
        <w:contextualSpacing/>
        <w:jc w:val="both"/>
        <w:rPr>
          <w:rFonts w:ascii="Palatino Linotype" w:hAnsi="Palatino Linotype" w:cs="Adelle Sans Devanagari"/>
          <w:bCs/>
          <w:color w:val="000000"/>
          <w:sz w:val="22"/>
          <w:szCs w:val="22"/>
          <w:lang w:val="es-ES"/>
        </w:rPr>
      </w:pPr>
      <w:r w:rsidRPr="00490E2E">
        <w:rPr>
          <w:rFonts w:ascii="Palatino Linotype" w:hAnsi="Palatino Linotype" w:cs="Adelle Sans Devanagari"/>
          <w:bCs/>
          <w:color w:val="000000"/>
          <w:sz w:val="22"/>
          <w:szCs w:val="22"/>
          <w:lang w:val="es-ES"/>
        </w:rPr>
        <w:t xml:space="preserve">poblacion-curp-142226 (consultadas el diecisiete de mayo de dos mil veintitrés),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490E2E">
        <w:rPr>
          <w:rFonts w:ascii="Palatino Linotype" w:hAnsi="Palatino Linotype" w:cs="Adelle Sans Devanagari"/>
          <w:b/>
          <w:color w:val="000000"/>
          <w:sz w:val="22"/>
          <w:szCs w:val="22"/>
          <w:lang w:val="es-ES"/>
        </w:rPr>
        <w:t xml:space="preserve">se generan a partir de los datos contenidos en el documento probatorio de la </w:t>
      </w:r>
      <w:r w:rsidRPr="00490E2E">
        <w:rPr>
          <w:rFonts w:ascii="Palatino Linotype" w:hAnsi="Palatino Linotype" w:cs="Adelle Sans Devanagari"/>
          <w:b/>
          <w:color w:val="000000"/>
          <w:sz w:val="22"/>
          <w:szCs w:val="22"/>
          <w:lang w:val="es-ES"/>
        </w:rPr>
        <w:lastRenderedPageBreak/>
        <w:t>identidad del interesado</w:t>
      </w:r>
      <w:r w:rsidRPr="00490E2E">
        <w:rPr>
          <w:rFonts w:ascii="Palatino Linotype" w:hAnsi="Palatino Linotype" w:cs="Adelle Sans Devanagari"/>
          <w:bCs/>
          <w:color w:val="000000"/>
          <w:sz w:val="22"/>
          <w:szCs w:val="22"/>
          <w:lang w:val="es-ES"/>
        </w:rPr>
        <w:t xml:space="preserve"> (acta de nacimiento, carta de naturalización o documento migratorio) de la siguiente forma:</w:t>
      </w:r>
    </w:p>
    <w:p w14:paraId="6B7FB874" w14:textId="77777777" w:rsidR="002509F6" w:rsidRPr="00490E2E" w:rsidRDefault="002509F6" w:rsidP="00AE1806">
      <w:pPr>
        <w:tabs>
          <w:tab w:val="left" w:pos="4962"/>
        </w:tabs>
        <w:spacing w:line="360" w:lineRule="auto"/>
        <w:contextualSpacing/>
        <w:jc w:val="both"/>
        <w:rPr>
          <w:rFonts w:ascii="Palatino Linotype" w:hAnsi="Palatino Linotype" w:cs="Adelle Sans Devanagari"/>
          <w:bCs/>
          <w:color w:val="000000"/>
          <w:sz w:val="22"/>
          <w:szCs w:val="22"/>
          <w:lang w:val="es-ES"/>
        </w:rPr>
      </w:pPr>
    </w:p>
    <w:p w14:paraId="1DD42C42" w14:textId="77777777" w:rsidR="002509F6" w:rsidRPr="00490E2E" w:rsidRDefault="002509F6" w:rsidP="00AE1806">
      <w:pPr>
        <w:numPr>
          <w:ilvl w:val="0"/>
          <w:numId w:val="20"/>
        </w:numPr>
        <w:tabs>
          <w:tab w:val="left" w:pos="4962"/>
        </w:tabs>
        <w:spacing w:line="360" w:lineRule="auto"/>
        <w:contextualSpacing/>
        <w:jc w:val="both"/>
        <w:rPr>
          <w:rFonts w:ascii="Palatino Linotype" w:hAnsi="Palatino Linotype" w:cs="Adelle Sans Devanagari"/>
          <w:bCs/>
          <w:color w:val="000000"/>
          <w:sz w:val="22"/>
          <w:szCs w:val="22"/>
          <w:lang w:val="es-ES"/>
        </w:rPr>
      </w:pPr>
      <w:r w:rsidRPr="00490E2E">
        <w:rPr>
          <w:rFonts w:ascii="Palatino Linotype" w:hAnsi="Palatino Linotype" w:cs="Adelle Sans Devanagari"/>
          <w:bCs/>
          <w:color w:val="000000"/>
          <w:sz w:val="22"/>
          <w:szCs w:val="22"/>
          <w:lang w:val="es-ES"/>
        </w:rPr>
        <w:t>El primero y segundo apellidos, así como al nombre de pila;</w:t>
      </w:r>
    </w:p>
    <w:p w14:paraId="6FB2AC07" w14:textId="77777777" w:rsidR="002509F6" w:rsidRPr="00490E2E" w:rsidRDefault="002509F6" w:rsidP="00AE1806">
      <w:pPr>
        <w:numPr>
          <w:ilvl w:val="0"/>
          <w:numId w:val="20"/>
        </w:numPr>
        <w:tabs>
          <w:tab w:val="left" w:pos="4962"/>
        </w:tabs>
        <w:spacing w:line="360" w:lineRule="auto"/>
        <w:contextualSpacing/>
        <w:jc w:val="both"/>
        <w:rPr>
          <w:rFonts w:ascii="Palatino Linotype" w:hAnsi="Palatino Linotype" w:cs="Adelle Sans Devanagari"/>
          <w:bCs/>
          <w:color w:val="000000"/>
          <w:sz w:val="22"/>
          <w:szCs w:val="22"/>
          <w:lang w:val="es-ES"/>
        </w:rPr>
      </w:pPr>
      <w:r w:rsidRPr="00490E2E">
        <w:rPr>
          <w:rFonts w:ascii="Palatino Linotype" w:hAnsi="Palatino Linotype" w:cs="Adelle Sans Devanagari"/>
          <w:bCs/>
          <w:color w:val="000000"/>
          <w:sz w:val="22"/>
          <w:szCs w:val="22"/>
          <w:lang w:val="es-ES"/>
        </w:rPr>
        <w:t>La fecha de nacimiento;</w:t>
      </w:r>
    </w:p>
    <w:p w14:paraId="347E7065" w14:textId="77777777" w:rsidR="002509F6" w:rsidRPr="00490E2E" w:rsidRDefault="002509F6" w:rsidP="00AE1806">
      <w:pPr>
        <w:numPr>
          <w:ilvl w:val="0"/>
          <w:numId w:val="20"/>
        </w:numPr>
        <w:tabs>
          <w:tab w:val="left" w:pos="4962"/>
        </w:tabs>
        <w:spacing w:line="360" w:lineRule="auto"/>
        <w:contextualSpacing/>
        <w:jc w:val="both"/>
        <w:rPr>
          <w:rFonts w:ascii="Palatino Linotype" w:hAnsi="Palatino Linotype" w:cs="Adelle Sans Devanagari"/>
          <w:bCs/>
          <w:color w:val="000000"/>
          <w:sz w:val="22"/>
          <w:szCs w:val="22"/>
          <w:lang w:val="es-ES"/>
        </w:rPr>
      </w:pPr>
      <w:r w:rsidRPr="00490E2E">
        <w:rPr>
          <w:rFonts w:ascii="Palatino Linotype" w:hAnsi="Palatino Linotype" w:cs="Adelle Sans Devanagari"/>
          <w:bCs/>
          <w:color w:val="000000"/>
          <w:sz w:val="22"/>
          <w:szCs w:val="22"/>
          <w:lang w:val="es-ES"/>
        </w:rPr>
        <w:t>El sexo, y</w:t>
      </w:r>
    </w:p>
    <w:p w14:paraId="71AAA33D" w14:textId="77777777" w:rsidR="002509F6" w:rsidRPr="00490E2E" w:rsidRDefault="002509F6" w:rsidP="00AE1806">
      <w:pPr>
        <w:numPr>
          <w:ilvl w:val="0"/>
          <w:numId w:val="20"/>
        </w:numPr>
        <w:tabs>
          <w:tab w:val="left" w:pos="4962"/>
        </w:tabs>
        <w:spacing w:line="360" w:lineRule="auto"/>
        <w:contextualSpacing/>
        <w:jc w:val="both"/>
        <w:rPr>
          <w:rFonts w:ascii="Palatino Linotype" w:hAnsi="Palatino Linotype" w:cs="Adelle Sans Devanagari"/>
          <w:bCs/>
          <w:color w:val="000000"/>
          <w:sz w:val="22"/>
          <w:szCs w:val="22"/>
          <w:lang w:val="es-ES"/>
        </w:rPr>
      </w:pPr>
      <w:r w:rsidRPr="00490E2E">
        <w:rPr>
          <w:rFonts w:ascii="Palatino Linotype" w:hAnsi="Palatino Linotype" w:cs="Adelle Sans Devanagari"/>
          <w:bCs/>
          <w:color w:val="000000"/>
          <w:sz w:val="22"/>
          <w:szCs w:val="22"/>
          <w:lang w:val="es-ES"/>
        </w:rPr>
        <w:t>La entidad federativa de nacimiento.</w:t>
      </w:r>
    </w:p>
    <w:p w14:paraId="3A453F1D" w14:textId="77777777" w:rsidR="002509F6" w:rsidRPr="00490E2E" w:rsidRDefault="002509F6" w:rsidP="00AE1806">
      <w:pPr>
        <w:tabs>
          <w:tab w:val="left" w:pos="4962"/>
        </w:tabs>
        <w:spacing w:line="360" w:lineRule="auto"/>
        <w:contextualSpacing/>
        <w:jc w:val="both"/>
        <w:rPr>
          <w:rFonts w:ascii="Palatino Linotype" w:hAnsi="Palatino Linotype" w:cs="Adelle Sans Devanagari"/>
          <w:bCs/>
          <w:color w:val="000000"/>
          <w:sz w:val="22"/>
          <w:szCs w:val="22"/>
          <w:lang w:val="es-ES"/>
        </w:rPr>
      </w:pPr>
    </w:p>
    <w:p w14:paraId="0D93215E" w14:textId="77777777" w:rsidR="002509F6" w:rsidRPr="00490E2E" w:rsidRDefault="002509F6" w:rsidP="00AE1806">
      <w:pPr>
        <w:tabs>
          <w:tab w:val="left" w:pos="4962"/>
        </w:tabs>
        <w:spacing w:line="360" w:lineRule="auto"/>
        <w:contextualSpacing/>
        <w:jc w:val="both"/>
        <w:rPr>
          <w:rFonts w:ascii="Palatino Linotype" w:hAnsi="Palatino Linotype" w:cs="Adelle Sans Devanagari"/>
          <w:bCs/>
          <w:color w:val="000000"/>
          <w:sz w:val="22"/>
          <w:szCs w:val="22"/>
          <w:lang w:val="es-ES"/>
        </w:rPr>
      </w:pPr>
      <w:r w:rsidRPr="00490E2E">
        <w:rPr>
          <w:rFonts w:ascii="Palatino Linotype" w:hAnsi="Palatino Linotype" w:cs="Adelle Sans Devanagari"/>
          <w:bCs/>
          <w:color w:val="000000"/>
          <w:sz w:val="22"/>
          <w:szCs w:val="22"/>
          <w:lang w:val="es-ES"/>
        </w:rPr>
        <w:t>Los dos últimos elementos de la Clave Única de Registro de Población evitan la duplicidad de la Clave y garantizan su correcta integración.</w:t>
      </w:r>
    </w:p>
    <w:p w14:paraId="6073C0DA" w14:textId="77777777" w:rsidR="002509F6" w:rsidRPr="00490E2E" w:rsidRDefault="002509F6" w:rsidP="00AE1806">
      <w:pPr>
        <w:tabs>
          <w:tab w:val="left" w:pos="4962"/>
        </w:tabs>
        <w:spacing w:line="360" w:lineRule="auto"/>
        <w:contextualSpacing/>
        <w:jc w:val="both"/>
        <w:rPr>
          <w:rFonts w:ascii="Palatino Linotype" w:hAnsi="Palatino Linotype" w:cs="Adelle Sans Devanagari"/>
          <w:bCs/>
          <w:color w:val="000000"/>
          <w:sz w:val="22"/>
          <w:szCs w:val="22"/>
          <w:lang w:val="es-ES"/>
        </w:rPr>
      </w:pPr>
    </w:p>
    <w:p w14:paraId="53BA63C1" w14:textId="77777777" w:rsidR="002509F6" w:rsidRPr="00490E2E" w:rsidRDefault="002509F6" w:rsidP="00AE1806">
      <w:pPr>
        <w:tabs>
          <w:tab w:val="left" w:pos="4962"/>
        </w:tabs>
        <w:spacing w:line="360" w:lineRule="auto"/>
        <w:contextualSpacing/>
        <w:jc w:val="both"/>
        <w:rPr>
          <w:rFonts w:ascii="Palatino Linotype" w:hAnsi="Palatino Linotype" w:cs="Adelle Sans Devanagari"/>
          <w:bCs/>
          <w:color w:val="000000"/>
          <w:sz w:val="22"/>
          <w:szCs w:val="22"/>
          <w:lang w:val="es-ES"/>
        </w:rPr>
      </w:pPr>
      <w:r w:rsidRPr="00490E2E">
        <w:rPr>
          <w:rFonts w:ascii="Palatino Linotype" w:hAnsi="Palatino Linotype" w:cs="Adelle Sans Devanagari"/>
          <w:bCs/>
          <w:color w:val="000000"/>
          <w:sz w:val="22"/>
          <w:szCs w:val="22"/>
          <w:lang w:val="es-E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3091C6EB" w14:textId="77777777" w:rsidR="002509F6" w:rsidRPr="00490E2E" w:rsidRDefault="002509F6" w:rsidP="00AE1806">
      <w:pPr>
        <w:tabs>
          <w:tab w:val="left" w:pos="4962"/>
        </w:tabs>
        <w:spacing w:line="360" w:lineRule="auto"/>
        <w:contextualSpacing/>
        <w:jc w:val="both"/>
        <w:rPr>
          <w:rFonts w:ascii="Palatino Linotype" w:hAnsi="Palatino Linotype" w:cs="Adelle Sans Devanagari"/>
          <w:bCs/>
          <w:color w:val="000000"/>
          <w:sz w:val="22"/>
          <w:szCs w:val="22"/>
          <w:lang w:val="es-ES"/>
        </w:rPr>
      </w:pPr>
    </w:p>
    <w:p w14:paraId="6388FD1C" w14:textId="77777777" w:rsidR="002509F6" w:rsidRPr="00490E2E" w:rsidRDefault="002509F6" w:rsidP="00AE1806">
      <w:pPr>
        <w:spacing w:line="360" w:lineRule="auto"/>
        <w:contextualSpacing/>
        <w:jc w:val="both"/>
        <w:rPr>
          <w:rFonts w:ascii="Palatino Linotype" w:hAnsi="Palatino Linotype" w:cs="Adelle Sans Devanagari"/>
          <w:bCs/>
          <w:iCs/>
          <w:color w:val="000000" w:themeColor="text1"/>
          <w:sz w:val="22"/>
          <w:szCs w:val="22"/>
          <w:lang w:eastAsia="es-MX"/>
        </w:rPr>
      </w:pPr>
      <w:r w:rsidRPr="00490E2E">
        <w:rPr>
          <w:rFonts w:ascii="Palatino Linotype" w:hAnsi="Palatino Linotype" w:cs="Adelle Sans Devanagari"/>
          <w:bCs/>
          <w:iCs/>
          <w:color w:val="000000" w:themeColor="text1"/>
          <w:sz w:val="22"/>
          <w:szCs w:val="22"/>
          <w:lang w:eastAsia="es-MX"/>
        </w:rPr>
        <w:t xml:space="preserve">Situación que se robustece, con el </w:t>
      </w:r>
      <w:r w:rsidRPr="00490E2E">
        <w:rPr>
          <w:rFonts w:ascii="Palatino Linotype" w:eastAsia="Calibri" w:hAnsi="Palatino Linotype" w:cs="Adelle Sans Devanagari"/>
          <w:bCs/>
          <w:iCs/>
          <w:color w:val="000000" w:themeColor="text1"/>
          <w:sz w:val="22"/>
          <w:szCs w:val="22"/>
          <w:lang w:val="es-ES"/>
        </w:rPr>
        <w:t xml:space="preserve">Criterio de Interpretación, de la Segunda Época, con número de registro </w:t>
      </w:r>
      <w:r w:rsidRPr="00490E2E">
        <w:rPr>
          <w:rFonts w:ascii="Palatino Linotype" w:eastAsia="Calibri" w:hAnsi="Palatino Linotype" w:cs="Adelle Sans Devanagari"/>
          <w:bCs/>
          <w:iCs/>
          <w:color w:val="000000" w:themeColor="text1"/>
          <w:sz w:val="22"/>
          <w:szCs w:val="22"/>
        </w:rPr>
        <w:t>SO/018/2017</w:t>
      </w:r>
      <w:r w:rsidRPr="00490E2E">
        <w:rPr>
          <w:rFonts w:ascii="Palatino Linotype" w:hAnsi="Palatino Linotype" w:cs="Adelle Sans Devanagari"/>
          <w:bCs/>
          <w:iCs/>
          <w:color w:val="000000" w:themeColor="text1"/>
          <w:sz w:val="22"/>
          <w:szCs w:val="22"/>
          <w:lang w:eastAsia="es-MX"/>
        </w:rPr>
        <w:t>, emitido por el Instituto Nacional de Transparencia, Acceso a la Información y Protección de Datos Personales, que establece lo siguiente:</w:t>
      </w:r>
    </w:p>
    <w:p w14:paraId="19630FEA" w14:textId="77777777" w:rsidR="002509F6" w:rsidRPr="00490E2E" w:rsidRDefault="002509F6" w:rsidP="00AE1806">
      <w:pPr>
        <w:spacing w:line="360" w:lineRule="auto"/>
        <w:contextualSpacing/>
        <w:jc w:val="both"/>
        <w:rPr>
          <w:rFonts w:ascii="Palatino Linotype" w:hAnsi="Palatino Linotype" w:cs="Adelle Sans Devanagari"/>
          <w:bCs/>
          <w:iCs/>
          <w:color w:val="000000" w:themeColor="text1"/>
          <w:sz w:val="22"/>
          <w:szCs w:val="22"/>
          <w:lang w:eastAsia="es-MX"/>
        </w:rPr>
      </w:pPr>
    </w:p>
    <w:p w14:paraId="08663756" w14:textId="77777777" w:rsidR="002509F6" w:rsidRPr="00490E2E" w:rsidRDefault="002509F6" w:rsidP="00AE1806">
      <w:pPr>
        <w:spacing w:line="360" w:lineRule="auto"/>
        <w:ind w:left="567" w:right="567"/>
        <w:contextualSpacing/>
        <w:jc w:val="both"/>
        <w:rPr>
          <w:rFonts w:ascii="Palatino Linotype" w:hAnsi="Palatino Linotype" w:cs="Adelle Sans Devanagari"/>
          <w:bCs/>
          <w:i/>
          <w:iCs/>
          <w:color w:val="000000" w:themeColor="text1"/>
          <w:lang w:eastAsia="es-MX"/>
        </w:rPr>
      </w:pPr>
      <w:r w:rsidRPr="00490E2E">
        <w:rPr>
          <w:rFonts w:ascii="Palatino Linotype" w:hAnsi="Palatino Linotype" w:cs="Adelle Sans Devanagari"/>
          <w:b/>
          <w:bCs/>
          <w:i/>
          <w:iCs/>
          <w:color w:val="000000" w:themeColor="text1"/>
          <w:lang w:eastAsia="es-MX"/>
        </w:rPr>
        <w:t xml:space="preserve">“Clave Única de Registro de Población (CURP). </w:t>
      </w:r>
      <w:r w:rsidRPr="00490E2E">
        <w:rPr>
          <w:rFonts w:ascii="Palatino Linotype" w:hAnsi="Palatino Linotype" w:cs="Adelle Sans Devanagari"/>
          <w:bCs/>
          <w:i/>
          <w:iCs/>
          <w:color w:val="000000" w:themeColor="text1"/>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465A1FA" w14:textId="77777777" w:rsidR="002509F6" w:rsidRPr="00490E2E" w:rsidRDefault="002509F6" w:rsidP="00AE1806">
      <w:pPr>
        <w:spacing w:line="360" w:lineRule="auto"/>
        <w:contextualSpacing/>
        <w:jc w:val="both"/>
        <w:rPr>
          <w:rFonts w:ascii="Palatino Linotype" w:hAnsi="Palatino Linotype" w:cs="Adelle Sans Devanagari"/>
          <w:bCs/>
          <w:i/>
          <w:iCs/>
          <w:color w:val="000000" w:themeColor="text1"/>
          <w:sz w:val="22"/>
          <w:szCs w:val="22"/>
          <w:lang w:eastAsia="es-MX"/>
        </w:rPr>
      </w:pPr>
    </w:p>
    <w:p w14:paraId="5A03D573" w14:textId="77777777" w:rsidR="002509F6" w:rsidRPr="00490E2E" w:rsidRDefault="002509F6" w:rsidP="00AE1806">
      <w:pPr>
        <w:spacing w:line="360" w:lineRule="auto"/>
        <w:contextualSpacing/>
        <w:jc w:val="both"/>
        <w:rPr>
          <w:rFonts w:ascii="Palatino Linotype" w:hAnsi="Palatino Linotype" w:cs="Adelle Sans Devanagari"/>
          <w:bCs/>
          <w:iCs/>
          <w:color w:val="000000" w:themeColor="text1"/>
          <w:sz w:val="22"/>
          <w:szCs w:val="22"/>
          <w:lang w:eastAsia="es-MX"/>
        </w:rPr>
      </w:pPr>
      <w:r w:rsidRPr="00490E2E">
        <w:rPr>
          <w:rFonts w:ascii="Palatino Linotype" w:hAnsi="Palatino Linotype" w:cs="Adelle Sans Devanagari"/>
          <w:bCs/>
          <w:iCs/>
          <w:color w:val="000000" w:themeColor="text1"/>
          <w:sz w:val="22"/>
          <w:szCs w:val="22"/>
          <w:lang w:eastAsia="es-MX"/>
        </w:rPr>
        <w:t xml:space="preserve">De acuerdo con lo anterior, resulta procedente la clasificación de </w:t>
      </w:r>
      <w:r w:rsidRPr="00490E2E">
        <w:rPr>
          <w:rFonts w:ascii="Palatino Linotype" w:hAnsi="Palatino Linotype" w:cs="Adelle Sans Devanagari"/>
          <w:b/>
          <w:bCs/>
          <w:iCs/>
          <w:color w:val="000000" w:themeColor="text1"/>
          <w:sz w:val="22"/>
          <w:szCs w:val="22"/>
          <w:lang w:eastAsia="es-MX"/>
        </w:rPr>
        <w:t>la Clave Única de Registro de Población</w:t>
      </w:r>
      <w:r w:rsidRPr="00490E2E">
        <w:rPr>
          <w:rFonts w:ascii="Palatino Linotype" w:hAnsi="Palatino Linotype" w:cs="Adelle Sans Devanagari"/>
          <w:bCs/>
          <w:iCs/>
          <w:color w:val="000000" w:themeColor="text1"/>
          <w:sz w:val="22"/>
          <w:szCs w:val="22"/>
          <w:lang w:eastAsia="es-MX"/>
        </w:rPr>
        <w:t xml:space="preserve">, por tratarse de un dato personal confidencial, en términos del artículo 143, fracción I, de la Ley de Transparencia y Acceso a la Información Pública del Estado de México y Municipios. </w:t>
      </w:r>
    </w:p>
    <w:p w14:paraId="6020909D" w14:textId="77777777" w:rsidR="002509F6" w:rsidRPr="00490E2E" w:rsidRDefault="002509F6" w:rsidP="00AE1806">
      <w:pPr>
        <w:tabs>
          <w:tab w:val="left" w:pos="4962"/>
        </w:tabs>
        <w:spacing w:line="360" w:lineRule="auto"/>
        <w:contextualSpacing/>
        <w:jc w:val="both"/>
        <w:rPr>
          <w:rFonts w:ascii="Palatino Linotype" w:hAnsi="Palatino Linotype" w:cs="Adelle Sans Devanagari"/>
          <w:bCs/>
          <w:color w:val="000000"/>
          <w:sz w:val="22"/>
          <w:szCs w:val="22"/>
          <w:lang w:val="es-ES"/>
        </w:rPr>
      </w:pPr>
    </w:p>
    <w:p w14:paraId="5C58D031" w14:textId="77777777" w:rsidR="002509F6" w:rsidRPr="00490E2E" w:rsidRDefault="002509F6" w:rsidP="00AE1806">
      <w:pPr>
        <w:numPr>
          <w:ilvl w:val="0"/>
          <w:numId w:val="19"/>
        </w:numPr>
        <w:spacing w:line="360" w:lineRule="auto"/>
        <w:contextualSpacing/>
        <w:jc w:val="both"/>
        <w:rPr>
          <w:rFonts w:ascii="Palatino Linotype" w:hAnsi="Palatino Linotype" w:cs="Adelle Sans Devanagari"/>
          <w:b/>
          <w:bCs/>
          <w:iCs/>
          <w:color w:val="000000" w:themeColor="text1"/>
          <w:sz w:val="22"/>
          <w:szCs w:val="22"/>
          <w:lang w:val="es-ES_tradnl" w:eastAsia="es-MX"/>
        </w:rPr>
      </w:pPr>
      <w:r w:rsidRPr="00490E2E">
        <w:rPr>
          <w:rFonts w:ascii="Palatino Linotype" w:hAnsi="Palatino Linotype" w:cs="Adelle Sans Devanagari"/>
          <w:b/>
          <w:bCs/>
          <w:iCs/>
          <w:color w:val="000000" w:themeColor="text1"/>
          <w:sz w:val="22"/>
          <w:szCs w:val="22"/>
          <w:lang w:val="es-ES_tradnl" w:eastAsia="es-MX"/>
        </w:rPr>
        <w:t>Registro Federal de Contribuyentes (RFC)</w:t>
      </w:r>
    </w:p>
    <w:p w14:paraId="5637DCFD" w14:textId="77777777" w:rsidR="002509F6" w:rsidRPr="00490E2E" w:rsidRDefault="002509F6" w:rsidP="00AE1806">
      <w:pPr>
        <w:spacing w:line="360" w:lineRule="auto"/>
        <w:contextualSpacing/>
        <w:jc w:val="both"/>
        <w:rPr>
          <w:rFonts w:ascii="Palatino Linotype" w:hAnsi="Palatino Linotype" w:cs="Adelle Sans Devanagari"/>
          <w:bCs/>
          <w:iCs/>
          <w:color w:val="000000" w:themeColor="text1"/>
          <w:sz w:val="22"/>
          <w:szCs w:val="22"/>
          <w:lang w:eastAsia="es-MX"/>
        </w:rPr>
      </w:pPr>
    </w:p>
    <w:p w14:paraId="3825B30C" w14:textId="77777777" w:rsidR="002509F6" w:rsidRPr="00490E2E" w:rsidRDefault="002509F6" w:rsidP="00AE1806">
      <w:pPr>
        <w:spacing w:line="360" w:lineRule="auto"/>
        <w:contextualSpacing/>
        <w:jc w:val="both"/>
        <w:rPr>
          <w:rFonts w:ascii="Palatino Linotype" w:hAnsi="Palatino Linotype" w:cs="Adelle Sans Devanagari"/>
          <w:bCs/>
          <w:iCs/>
          <w:color w:val="000000" w:themeColor="text1"/>
          <w:sz w:val="22"/>
          <w:szCs w:val="22"/>
          <w:lang w:eastAsia="es-MX"/>
        </w:rPr>
      </w:pPr>
      <w:r w:rsidRPr="00490E2E">
        <w:rPr>
          <w:rFonts w:ascii="Palatino Linotype" w:hAnsi="Palatino Linotype" w:cs="Adelle Sans Devanagari"/>
          <w:bCs/>
          <w:iCs/>
          <w:color w:val="000000" w:themeColor="text1"/>
          <w:sz w:val="22"/>
          <w:szCs w:val="22"/>
          <w:lang w:eastAsia="es-MX"/>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1952A4BC" w14:textId="77777777" w:rsidR="002509F6" w:rsidRPr="00490E2E" w:rsidRDefault="002509F6" w:rsidP="00AE1806">
      <w:pPr>
        <w:spacing w:line="360" w:lineRule="auto"/>
        <w:contextualSpacing/>
        <w:jc w:val="both"/>
        <w:rPr>
          <w:rFonts w:ascii="Palatino Linotype" w:hAnsi="Palatino Linotype" w:cs="Adelle Sans Devanagari"/>
          <w:bCs/>
          <w:iCs/>
          <w:color w:val="000000" w:themeColor="text1"/>
          <w:sz w:val="22"/>
          <w:szCs w:val="22"/>
          <w:lang w:eastAsia="es-MX"/>
        </w:rPr>
      </w:pPr>
    </w:p>
    <w:p w14:paraId="12867DD1" w14:textId="77777777" w:rsidR="002509F6" w:rsidRPr="00490E2E" w:rsidRDefault="002509F6" w:rsidP="00AE1806">
      <w:pPr>
        <w:spacing w:line="360" w:lineRule="auto"/>
        <w:contextualSpacing/>
        <w:jc w:val="both"/>
        <w:rPr>
          <w:rFonts w:ascii="Palatino Linotype" w:hAnsi="Palatino Linotype" w:cs="Adelle Sans Devanagari"/>
          <w:bCs/>
          <w:iCs/>
          <w:color w:val="000000" w:themeColor="text1"/>
          <w:sz w:val="22"/>
          <w:szCs w:val="22"/>
          <w:lang w:eastAsia="es-MX"/>
        </w:rPr>
      </w:pPr>
      <w:r w:rsidRPr="00490E2E">
        <w:rPr>
          <w:rFonts w:ascii="Palatino Linotype" w:hAnsi="Palatino Linotype" w:cs="Adelle Sans Devanagari"/>
          <w:bCs/>
          <w:iCs/>
          <w:color w:val="000000" w:themeColor="text1"/>
          <w:sz w:val="22"/>
          <w:szCs w:val="22"/>
          <w:lang w:eastAsia="es-MX"/>
        </w:rPr>
        <w:t xml:space="preserve">De acuerdo a lo establecido en el artículo en comento, esta clave se compone de trece caracteres alfanuméricos, con datos obtenidos de los apellidos, nombre(s), fecha de nacimiento del titular, más una </w:t>
      </w:r>
      <w:proofErr w:type="spellStart"/>
      <w:r w:rsidRPr="00490E2E">
        <w:rPr>
          <w:rFonts w:ascii="Palatino Linotype" w:hAnsi="Palatino Linotype" w:cs="Adelle Sans Devanagari"/>
          <w:bCs/>
          <w:iCs/>
          <w:color w:val="000000" w:themeColor="text1"/>
          <w:sz w:val="22"/>
          <w:szCs w:val="22"/>
          <w:lang w:eastAsia="es-MX"/>
        </w:rPr>
        <w:t>homoclave</w:t>
      </w:r>
      <w:proofErr w:type="spellEnd"/>
      <w:r w:rsidRPr="00490E2E">
        <w:rPr>
          <w:rFonts w:ascii="Palatino Linotype" w:hAnsi="Palatino Linotype" w:cs="Adelle Sans Devanagari"/>
          <w:bCs/>
          <w:iCs/>
          <w:color w:val="000000" w:themeColor="text1"/>
          <w:sz w:val="22"/>
          <w:szCs w:val="22"/>
          <w:lang w:eastAsia="es-MX"/>
        </w:rPr>
        <w:t xml:space="preserve"> que establece el sistema automático del Servicio de Administración Tributaria.</w:t>
      </w:r>
    </w:p>
    <w:p w14:paraId="4C957345" w14:textId="77777777" w:rsidR="002509F6" w:rsidRPr="00490E2E" w:rsidRDefault="002509F6" w:rsidP="00AE1806">
      <w:pPr>
        <w:spacing w:line="360" w:lineRule="auto"/>
        <w:contextualSpacing/>
        <w:jc w:val="both"/>
        <w:rPr>
          <w:rFonts w:ascii="Palatino Linotype" w:hAnsi="Palatino Linotype" w:cs="Adelle Sans Devanagari"/>
          <w:bCs/>
          <w:iCs/>
          <w:color w:val="000000" w:themeColor="text1"/>
          <w:sz w:val="22"/>
          <w:szCs w:val="22"/>
          <w:lang w:eastAsia="es-MX"/>
        </w:rPr>
      </w:pPr>
    </w:p>
    <w:p w14:paraId="1C740EB0" w14:textId="77777777" w:rsidR="002509F6" w:rsidRPr="00490E2E" w:rsidRDefault="002509F6" w:rsidP="00AE1806">
      <w:pPr>
        <w:spacing w:line="360" w:lineRule="auto"/>
        <w:contextualSpacing/>
        <w:jc w:val="both"/>
        <w:rPr>
          <w:rFonts w:ascii="Palatino Linotype" w:hAnsi="Palatino Linotype" w:cs="Adelle Sans Devanagari"/>
          <w:bCs/>
          <w:iCs/>
          <w:color w:val="000000" w:themeColor="text1"/>
          <w:sz w:val="22"/>
          <w:szCs w:val="22"/>
          <w:lang w:eastAsia="es-MX"/>
        </w:rPr>
      </w:pPr>
      <w:r w:rsidRPr="00490E2E">
        <w:rPr>
          <w:rFonts w:ascii="Palatino Linotype" w:hAnsi="Palatino Linotype" w:cs="Adelle Sans Devanagari"/>
          <w:bCs/>
          <w:iCs/>
          <w:color w:val="000000" w:themeColor="text1"/>
          <w:sz w:val="22"/>
          <w:szCs w:val="22"/>
          <w:lang w:eastAsia="es-MX"/>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B6429A4" w14:textId="77777777" w:rsidR="002509F6" w:rsidRPr="00490E2E" w:rsidRDefault="002509F6" w:rsidP="00AE1806">
      <w:pPr>
        <w:spacing w:line="360" w:lineRule="auto"/>
        <w:contextualSpacing/>
        <w:jc w:val="both"/>
        <w:rPr>
          <w:rFonts w:ascii="Palatino Linotype" w:hAnsi="Palatino Linotype" w:cs="Adelle Sans Devanagari"/>
          <w:bCs/>
          <w:iCs/>
          <w:color w:val="000000" w:themeColor="text1"/>
          <w:sz w:val="22"/>
          <w:szCs w:val="22"/>
          <w:lang w:eastAsia="es-MX"/>
        </w:rPr>
      </w:pPr>
    </w:p>
    <w:p w14:paraId="3C9E38CB" w14:textId="77777777" w:rsidR="002509F6" w:rsidRPr="00490E2E" w:rsidRDefault="002509F6" w:rsidP="00AE1806">
      <w:pPr>
        <w:spacing w:line="360" w:lineRule="auto"/>
        <w:contextualSpacing/>
        <w:jc w:val="both"/>
        <w:rPr>
          <w:rFonts w:ascii="Palatino Linotype" w:hAnsi="Palatino Linotype" w:cs="Adelle Sans Devanagari"/>
          <w:bCs/>
          <w:iCs/>
          <w:color w:val="000000" w:themeColor="text1"/>
          <w:sz w:val="22"/>
          <w:szCs w:val="22"/>
          <w:lang w:eastAsia="es-MX"/>
        </w:rPr>
      </w:pPr>
      <w:r w:rsidRPr="00490E2E">
        <w:rPr>
          <w:rFonts w:ascii="Palatino Linotype" w:hAnsi="Palatino Linotype" w:cs="Adelle Sans Devanagari"/>
          <w:bCs/>
          <w:iCs/>
          <w:color w:val="000000" w:themeColor="text1"/>
          <w:sz w:val="22"/>
          <w:szCs w:val="22"/>
          <w:lang w:eastAsia="es-MX"/>
        </w:rPr>
        <w:lastRenderedPageBreak/>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1CF590C6" w14:textId="77777777" w:rsidR="002509F6" w:rsidRPr="00490E2E" w:rsidRDefault="002509F6" w:rsidP="00AE1806">
      <w:pPr>
        <w:spacing w:line="360" w:lineRule="auto"/>
        <w:contextualSpacing/>
        <w:jc w:val="both"/>
        <w:rPr>
          <w:rFonts w:ascii="Palatino Linotype" w:hAnsi="Palatino Linotype" w:cs="Adelle Sans Devanagari"/>
          <w:bCs/>
          <w:iCs/>
          <w:color w:val="000000" w:themeColor="text1"/>
          <w:sz w:val="22"/>
          <w:szCs w:val="22"/>
          <w:lang w:eastAsia="es-MX"/>
        </w:rPr>
      </w:pPr>
    </w:p>
    <w:p w14:paraId="13BFCB48" w14:textId="77777777" w:rsidR="002509F6" w:rsidRPr="00490E2E" w:rsidRDefault="002509F6" w:rsidP="00AE1806">
      <w:pPr>
        <w:spacing w:line="360" w:lineRule="auto"/>
        <w:contextualSpacing/>
        <w:jc w:val="both"/>
        <w:rPr>
          <w:rFonts w:ascii="Palatino Linotype" w:hAnsi="Palatino Linotype" w:cs="Adelle Sans Devanagari"/>
          <w:bCs/>
          <w:iCs/>
          <w:color w:val="000000" w:themeColor="text1"/>
          <w:sz w:val="22"/>
          <w:szCs w:val="22"/>
          <w:lang w:eastAsia="es-MX"/>
        </w:rPr>
      </w:pPr>
      <w:r w:rsidRPr="00490E2E">
        <w:rPr>
          <w:rFonts w:ascii="Palatino Linotype" w:hAnsi="Palatino Linotype" w:cs="Adelle Sans Devanagari"/>
          <w:bCs/>
          <w:iCs/>
          <w:color w:val="000000" w:themeColor="text1"/>
          <w:sz w:val="22"/>
          <w:szCs w:val="22"/>
          <w:lang w:eastAsia="es-MX"/>
        </w:rPr>
        <w:t xml:space="preserve">Lo anterior, resulta congruente con el </w:t>
      </w:r>
      <w:r w:rsidRPr="00490E2E">
        <w:rPr>
          <w:rFonts w:ascii="Palatino Linotype" w:eastAsia="Calibri" w:hAnsi="Palatino Linotype" w:cs="Adelle Sans Devanagari"/>
          <w:bCs/>
          <w:iCs/>
          <w:color w:val="000000" w:themeColor="text1"/>
          <w:sz w:val="22"/>
          <w:szCs w:val="22"/>
          <w:lang w:val="es-ES"/>
        </w:rPr>
        <w:t xml:space="preserve">Criterio de Interpretación, de la Segunda Época, con número de registro </w:t>
      </w:r>
      <w:r w:rsidRPr="00490E2E">
        <w:rPr>
          <w:rFonts w:ascii="Palatino Linotype" w:eastAsia="Calibri" w:hAnsi="Palatino Linotype" w:cs="Adelle Sans Devanagari"/>
          <w:bCs/>
          <w:iCs/>
          <w:color w:val="000000" w:themeColor="text1"/>
          <w:sz w:val="22"/>
          <w:szCs w:val="22"/>
        </w:rPr>
        <w:t xml:space="preserve">SO/019/2017, </w:t>
      </w:r>
      <w:r w:rsidRPr="00490E2E">
        <w:rPr>
          <w:rFonts w:ascii="Palatino Linotype" w:hAnsi="Palatino Linotype" w:cs="Adelle Sans Devanagari"/>
          <w:bCs/>
          <w:iCs/>
          <w:color w:val="000000" w:themeColor="text1"/>
          <w:sz w:val="22"/>
          <w:szCs w:val="22"/>
          <w:lang w:eastAsia="es-MX"/>
        </w:rPr>
        <w:t>emitido por el Instituto Nacional de Transparencia, Acceso a la Información y Protección de Datos Personales, en el cual se señala lo siguiente:</w:t>
      </w:r>
    </w:p>
    <w:p w14:paraId="3FE64A58" w14:textId="77777777" w:rsidR="002509F6" w:rsidRPr="00490E2E" w:rsidRDefault="002509F6" w:rsidP="00AE1806">
      <w:pPr>
        <w:spacing w:line="360" w:lineRule="auto"/>
        <w:contextualSpacing/>
        <w:jc w:val="both"/>
        <w:rPr>
          <w:rFonts w:ascii="Palatino Linotype" w:hAnsi="Palatino Linotype" w:cs="Adelle Sans Devanagari"/>
          <w:bCs/>
          <w:iCs/>
          <w:color w:val="000000" w:themeColor="text1"/>
          <w:sz w:val="22"/>
          <w:szCs w:val="22"/>
          <w:lang w:eastAsia="es-MX"/>
        </w:rPr>
      </w:pPr>
    </w:p>
    <w:p w14:paraId="00BEECDC" w14:textId="77777777" w:rsidR="002509F6" w:rsidRPr="00490E2E" w:rsidRDefault="002509F6" w:rsidP="00AE1806">
      <w:pPr>
        <w:spacing w:line="360" w:lineRule="auto"/>
        <w:ind w:left="567" w:right="567"/>
        <w:contextualSpacing/>
        <w:jc w:val="both"/>
        <w:rPr>
          <w:rFonts w:ascii="Palatino Linotype" w:hAnsi="Palatino Linotype" w:cs="Adelle Sans Devanagari"/>
          <w:bCs/>
          <w:i/>
          <w:iCs/>
          <w:color w:val="000000" w:themeColor="text1"/>
          <w:lang w:eastAsia="es-MX"/>
        </w:rPr>
      </w:pPr>
      <w:r w:rsidRPr="00490E2E">
        <w:rPr>
          <w:rFonts w:ascii="Palatino Linotype" w:hAnsi="Palatino Linotype" w:cs="Adelle Sans Devanagari"/>
          <w:b/>
          <w:bCs/>
          <w:i/>
          <w:iCs/>
          <w:color w:val="000000" w:themeColor="text1"/>
          <w:lang w:eastAsia="es-MX"/>
        </w:rPr>
        <w:t>“Registro Federal de Contribuyentes (RFC) de personas físicas.</w:t>
      </w:r>
      <w:r w:rsidRPr="00490E2E">
        <w:rPr>
          <w:rFonts w:ascii="Palatino Linotype" w:hAnsi="Palatino Linotype" w:cs="Adelle Sans Devanagari"/>
          <w:bCs/>
          <w:i/>
          <w:iCs/>
          <w:color w:val="000000" w:themeColor="text1"/>
          <w:lang w:eastAsia="es-MX"/>
        </w:rPr>
        <w:t xml:space="preserve"> El RFC es una clave de carácter fiscal, única e irrepetible, que permite identificar al titular, su edad y fecha de nacimiento, por lo que es un dato personal de carácter confidencial.”</w:t>
      </w:r>
    </w:p>
    <w:p w14:paraId="37917410" w14:textId="77777777" w:rsidR="002509F6" w:rsidRPr="00490E2E" w:rsidRDefault="002509F6" w:rsidP="00AE1806">
      <w:pPr>
        <w:spacing w:line="360" w:lineRule="auto"/>
        <w:contextualSpacing/>
        <w:jc w:val="both"/>
        <w:rPr>
          <w:rFonts w:ascii="Palatino Linotype" w:hAnsi="Palatino Linotype" w:cs="Adelle Sans Devanagari"/>
          <w:bCs/>
          <w:iCs/>
          <w:color w:val="000000" w:themeColor="text1"/>
          <w:sz w:val="22"/>
          <w:szCs w:val="22"/>
          <w:lang w:eastAsia="es-MX"/>
        </w:rPr>
      </w:pPr>
    </w:p>
    <w:p w14:paraId="621E4FDF" w14:textId="77777777" w:rsidR="002509F6" w:rsidRPr="00490E2E" w:rsidRDefault="002509F6" w:rsidP="00AE1806">
      <w:pPr>
        <w:spacing w:line="360" w:lineRule="auto"/>
        <w:contextualSpacing/>
        <w:jc w:val="both"/>
        <w:rPr>
          <w:rFonts w:ascii="Palatino Linotype" w:hAnsi="Palatino Linotype" w:cs="Adelle Sans Devanagari"/>
          <w:bCs/>
          <w:iCs/>
          <w:color w:val="000000" w:themeColor="text1"/>
          <w:sz w:val="22"/>
          <w:szCs w:val="22"/>
          <w:lang w:eastAsia="es-MX"/>
        </w:rPr>
      </w:pPr>
      <w:r w:rsidRPr="00490E2E">
        <w:rPr>
          <w:rFonts w:ascii="Palatino Linotype" w:hAnsi="Palatino Linotype" w:cs="Adelle Sans Devanagari"/>
          <w:bCs/>
          <w:iCs/>
          <w:color w:val="000000" w:themeColor="text1"/>
          <w:sz w:val="22"/>
          <w:szCs w:val="22"/>
          <w:lang w:eastAsia="es-MX"/>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r w:rsidRPr="00490E2E">
        <w:rPr>
          <w:rFonts w:ascii="Palatino Linotype" w:hAnsi="Palatino Linotype" w:cs="Adelle Sans Devanagari"/>
          <w:b/>
          <w:iCs/>
          <w:color w:val="000000" w:themeColor="text1"/>
          <w:sz w:val="22"/>
          <w:szCs w:val="22"/>
          <w:lang w:eastAsia="es-MX"/>
        </w:rPr>
        <w:t xml:space="preserve"> </w:t>
      </w:r>
    </w:p>
    <w:p w14:paraId="3FEAFCF2" w14:textId="77777777" w:rsidR="002509F6" w:rsidRPr="00490E2E" w:rsidRDefault="002509F6" w:rsidP="00AE1806">
      <w:pPr>
        <w:spacing w:line="360" w:lineRule="auto"/>
        <w:contextualSpacing/>
        <w:jc w:val="both"/>
        <w:rPr>
          <w:rFonts w:ascii="Palatino Linotype" w:hAnsi="Palatino Linotype" w:cs="Adelle Sans Devanagari"/>
          <w:bCs/>
          <w:iCs/>
          <w:color w:val="000000" w:themeColor="text1"/>
          <w:sz w:val="22"/>
          <w:szCs w:val="22"/>
          <w:lang w:eastAsia="es-MX"/>
        </w:rPr>
      </w:pPr>
    </w:p>
    <w:p w14:paraId="34F6AF13" w14:textId="77777777" w:rsidR="002509F6" w:rsidRPr="00490E2E" w:rsidRDefault="002509F6" w:rsidP="00AE1806">
      <w:pPr>
        <w:numPr>
          <w:ilvl w:val="0"/>
          <w:numId w:val="16"/>
        </w:numPr>
        <w:spacing w:line="360" w:lineRule="auto"/>
        <w:contextualSpacing/>
        <w:jc w:val="both"/>
        <w:rPr>
          <w:rFonts w:ascii="Palatino Linotype" w:eastAsia="Calibri" w:hAnsi="Palatino Linotype" w:cs="Adelle Sans Devanagari"/>
          <w:b/>
          <w:bCs/>
          <w:iCs/>
          <w:color w:val="000000" w:themeColor="text1"/>
          <w:sz w:val="22"/>
          <w:szCs w:val="22"/>
        </w:rPr>
      </w:pPr>
      <w:r w:rsidRPr="00490E2E">
        <w:rPr>
          <w:rFonts w:ascii="Palatino Linotype" w:eastAsia="Calibri" w:hAnsi="Palatino Linotype" w:cs="Adelle Sans Devanagari"/>
          <w:b/>
          <w:bCs/>
          <w:iCs/>
          <w:color w:val="000000" w:themeColor="text1"/>
          <w:sz w:val="22"/>
          <w:szCs w:val="22"/>
        </w:rPr>
        <w:t xml:space="preserve">Código bidimensional o </w:t>
      </w:r>
      <w:proofErr w:type="spellStart"/>
      <w:r w:rsidRPr="00490E2E">
        <w:rPr>
          <w:rFonts w:ascii="Palatino Linotype" w:eastAsia="Calibri" w:hAnsi="Palatino Linotype" w:cs="Adelle Sans Devanagari"/>
          <w:b/>
          <w:bCs/>
          <w:iCs/>
          <w:color w:val="000000" w:themeColor="text1"/>
          <w:sz w:val="22"/>
          <w:szCs w:val="22"/>
        </w:rPr>
        <w:t>Qr</w:t>
      </w:r>
      <w:proofErr w:type="spellEnd"/>
    </w:p>
    <w:p w14:paraId="76A7399A" w14:textId="77777777" w:rsidR="002509F6" w:rsidRPr="00490E2E" w:rsidRDefault="002509F6" w:rsidP="00AE1806">
      <w:pPr>
        <w:spacing w:line="360" w:lineRule="auto"/>
        <w:contextualSpacing/>
        <w:jc w:val="both"/>
        <w:rPr>
          <w:rFonts w:ascii="Palatino Linotype" w:eastAsia="Calibri" w:hAnsi="Palatino Linotype" w:cs="Adelle Sans Devanagari"/>
          <w:b/>
          <w:bCs/>
          <w:iCs/>
          <w:color w:val="000000" w:themeColor="text1"/>
          <w:sz w:val="22"/>
          <w:szCs w:val="22"/>
        </w:rPr>
      </w:pPr>
    </w:p>
    <w:p w14:paraId="0859B0A6" w14:textId="77777777" w:rsidR="002509F6" w:rsidRPr="00490E2E" w:rsidRDefault="002509F6" w:rsidP="00AE1806">
      <w:pPr>
        <w:spacing w:line="360" w:lineRule="auto"/>
        <w:contextualSpacing/>
        <w:jc w:val="both"/>
        <w:rPr>
          <w:rFonts w:ascii="Palatino Linotype" w:eastAsia="Calibri" w:hAnsi="Palatino Linotype" w:cs="Adelle Sans Devanagari"/>
          <w:bCs/>
          <w:color w:val="000000" w:themeColor="text1"/>
          <w:sz w:val="22"/>
          <w:szCs w:val="22"/>
        </w:rPr>
      </w:pPr>
      <w:r w:rsidRPr="00490E2E">
        <w:rPr>
          <w:rFonts w:ascii="Palatino Linotype" w:eastAsia="Calibri" w:hAnsi="Palatino Linotype" w:cs="Adelle Sans Devanagari"/>
          <w:bCs/>
          <w:color w:val="000000" w:themeColor="text1"/>
          <w:sz w:val="22"/>
          <w:szCs w:val="22"/>
        </w:rPr>
        <w:t xml:space="preserve">En principio, resulta necesario señalar que los comprobantes fiscales digitales por Internet, deben de incluir un código bidimensional conforme al formato </w:t>
      </w:r>
      <w:r w:rsidRPr="00490E2E">
        <w:rPr>
          <w:rFonts w:ascii="Palatino Linotype" w:eastAsia="Calibri" w:hAnsi="Palatino Linotype" w:cs="Adelle Sans Devanagari"/>
          <w:bCs/>
          <w:i/>
          <w:color w:val="000000" w:themeColor="text1"/>
          <w:sz w:val="22"/>
          <w:szCs w:val="22"/>
        </w:rPr>
        <w:t xml:space="preserve">QR </w:t>
      </w:r>
      <w:proofErr w:type="spellStart"/>
      <w:r w:rsidRPr="00490E2E">
        <w:rPr>
          <w:rFonts w:ascii="Palatino Linotype" w:eastAsia="Calibri" w:hAnsi="Palatino Linotype" w:cs="Adelle Sans Devanagari"/>
          <w:bCs/>
          <w:i/>
          <w:color w:val="000000" w:themeColor="text1"/>
          <w:sz w:val="22"/>
          <w:szCs w:val="22"/>
        </w:rPr>
        <w:t>Code</w:t>
      </w:r>
      <w:proofErr w:type="spellEnd"/>
      <w:r w:rsidRPr="00490E2E">
        <w:rPr>
          <w:rFonts w:ascii="Palatino Linotype" w:eastAsia="Calibri" w:hAnsi="Palatino Linotype" w:cs="Adelle Sans Devanagari"/>
          <w:bCs/>
          <w:i/>
          <w:color w:val="000000" w:themeColor="text1"/>
          <w:sz w:val="22"/>
          <w:szCs w:val="22"/>
        </w:rPr>
        <w:t xml:space="preserve"> (Quick Response </w:t>
      </w:r>
      <w:proofErr w:type="spellStart"/>
      <w:r w:rsidRPr="00490E2E">
        <w:rPr>
          <w:rFonts w:ascii="Palatino Linotype" w:eastAsia="Calibri" w:hAnsi="Palatino Linotype" w:cs="Adelle Sans Devanagari"/>
          <w:bCs/>
          <w:i/>
          <w:color w:val="000000" w:themeColor="text1"/>
          <w:sz w:val="22"/>
          <w:szCs w:val="22"/>
        </w:rPr>
        <w:t>Code</w:t>
      </w:r>
      <w:proofErr w:type="spellEnd"/>
      <w:r w:rsidRPr="00490E2E">
        <w:rPr>
          <w:rFonts w:ascii="Palatino Linotype" w:eastAsia="Calibri" w:hAnsi="Palatino Linotype" w:cs="Adelle Sans Devanagari"/>
          <w:bCs/>
          <w:i/>
          <w:color w:val="000000" w:themeColor="text1"/>
          <w:sz w:val="22"/>
          <w:szCs w:val="22"/>
        </w:rPr>
        <w:t>)</w:t>
      </w:r>
      <w:r w:rsidRPr="00490E2E">
        <w:rPr>
          <w:rFonts w:ascii="Palatino Linotype" w:eastAsia="Calibri" w:hAnsi="Palatino Linotype" w:cs="Adelle Sans Devanagari"/>
          <w:bCs/>
          <w:color w:val="000000" w:themeColor="text1"/>
          <w:sz w:val="22"/>
          <w:szCs w:val="22"/>
        </w:rPr>
        <w:t xml:space="preserve">, el cual contiene el Registro Federal de Contribuyentes del receptor, del emisor, o de ambos; lo anterior, conforme al Anexo 20 de la Segunda Resolución de modificación a la </w:t>
      </w:r>
      <w:r w:rsidRPr="00490E2E">
        <w:rPr>
          <w:rFonts w:ascii="Palatino Linotype" w:eastAsia="Calibri" w:hAnsi="Palatino Linotype" w:cs="Adelle Sans Devanagari"/>
          <w:bCs/>
          <w:color w:val="000000" w:themeColor="text1"/>
          <w:sz w:val="22"/>
          <w:szCs w:val="22"/>
        </w:rPr>
        <w:lastRenderedPageBreak/>
        <w:t xml:space="preserve">Resolución Miscelánea Fiscal para el 2017, localizada en la página electrónica  </w:t>
      </w:r>
      <w:hyperlink r:id="rId14" w:history="1">
        <w:r w:rsidRPr="00490E2E">
          <w:rPr>
            <w:rFonts w:ascii="Palatino Linotype" w:eastAsia="Calibri" w:hAnsi="Palatino Linotype" w:cs="Adelle Sans Devanagari"/>
            <w:bCs/>
            <w:color w:val="0563C1"/>
            <w:sz w:val="22"/>
            <w:szCs w:val="22"/>
            <w:u w:val="single"/>
          </w:rPr>
          <w:t>http://dof.gob.mx/nota_detalle.php?codigo=5492254&amp;fecha=28/07/2017</w:t>
        </w:r>
      </w:hyperlink>
      <w:r w:rsidRPr="00490E2E">
        <w:rPr>
          <w:rFonts w:ascii="Palatino Linotype" w:eastAsia="Calibri" w:hAnsi="Palatino Linotype" w:cs="Adelle Sans Devanagari"/>
          <w:bCs/>
          <w:color w:val="000000" w:themeColor="text1"/>
          <w:sz w:val="22"/>
          <w:szCs w:val="22"/>
        </w:rPr>
        <w:t>. Incluso con la captura de dicho código, a través de la aplicación móvil del Servicio de Administración Tributaria, permite el acceso al Registro Federal de Contribuyentes, como del Sujeto Obligado, como de los servidores públicos.</w:t>
      </w:r>
    </w:p>
    <w:p w14:paraId="73DA92C3" w14:textId="77777777" w:rsidR="002509F6" w:rsidRPr="00490E2E" w:rsidRDefault="002509F6" w:rsidP="00AE1806">
      <w:pPr>
        <w:spacing w:line="360" w:lineRule="auto"/>
        <w:contextualSpacing/>
        <w:jc w:val="both"/>
        <w:rPr>
          <w:rFonts w:ascii="Palatino Linotype" w:eastAsia="Calibri" w:hAnsi="Palatino Linotype" w:cs="Adelle Sans Devanagari"/>
          <w:bCs/>
          <w:color w:val="000000" w:themeColor="text1"/>
          <w:sz w:val="22"/>
          <w:szCs w:val="22"/>
        </w:rPr>
      </w:pPr>
    </w:p>
    <w:p w14:paraId="233D4777" w14:textId="77777777" w:rsidR="002509F6" w:rsidRPr="00490E2E" w:rsidRDefault="002509F6" w:rsidP="00AE1806">
      <w:pPr>
        <w:spacing w:line="360" w:lineRule="auto"/>
        <w:contextualSpacing/>
        <w:jc w:val="both"/>
        <w:rPr>
          <w:rFonts w:ascii="Palatino Linotype" w:eastAsia="Calibri" w:hAnsi="Palatino Linotype" w:cs="Adelle Sans Devanagari"/>
          <w:bCs/>
          <w:color w:val="000000" w:themeColor="text1"/>
          <w:sz w:val="22"/>
          <w:szCs w:val="22"/>
        </w:rPr>
      </w:pPr>
      <w:r w:rsidRPr="00490E2E">
        <w:rPr>
          <w:rFonts w:ascii="Palatino Linotype" w:eastAsia="Calibri" w:hAnsi="Palatino Linotype" w:cs="Adelle Sans Devanagari"/>
          <w:bCs/>
          <w:color w:val="000000" w:themeColor="text1"/>
          <w:sz w:val="22"/>
          <w:szCs w:val="22"/>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00EB6731" w14:textId="77777777" w:rsidR="002509F6" w:rsidRPr="00490E2E" w:rsidRDefault="002509F6" w:rsidP="00AE1806">
      <w:pPr>
        <w:spacing w:line="360" w:lineRule="auto"/>
        <w:contextualSpacing/>
        <w:jc w:val="both"/>
        <w:rPr>
          <w:rFonts w:ascii="Palatino Linotype" w:eastAsia="Calibri" w:hAnsi="Palatino Linotype" w:cs="Adelle Sans Devanagari"/>
          <w:bCs/>
          <w:color w:val="000000" w:themeColor="text1"/>
          <w:sz w:val="22"/>
          <w:szCs w:val="22"/>
        </w:rPr>
      </w:pPr>
    </w:p>
    <w:p w14:paraId="61E276CD" w14:textId="77777777" w:rsidR="002509F6" w:rsidRPr="00490E2E" w:rsidRDefault="002509F6" w:rsidP="00AE1806">
      <w:pPr>
        <w:numPr>
          <w:ilvl w:val="0"/>
          <w:numId w:val="16"/>
        </w:numPr>
        <w:spacing w:line="360" w:lineRule="auto"/>
        <w:contextualSpacing/>
        <w:jc w:val="both"/>
        <w:rPr>
          <w:rFonts w:ascii="Palatino Linotype" w:hAnsi="Palatino Linotype" w:cs="Adelle Sans Devanagari"/>
          <w:b/>
          <w:bCs/>
          <w:iCs/>
          <w:color w:val="000000" w:themeColor="text1"/>
          <w:sz w:val="22"/>
          <w:szCs w:val="22"/>
          <w:lang w:eastAsia="es-MX"/>
        </w:rPr>
      </w:pPr>
      <w:r w:rsidRPr="00490E2E">
        <w:rPr>
          <w:rFonts w:ascii="Palatino Linotype" w:hAnsi="Palatino Linotype" w:cs="Adelle Sans Devanagari"/>
          <w:b/>
          <w:bCs/>
          <w:iCs/>
          <w:color w:val="000000" w:themeColor="text1"/>
          <w:sz w:val="22"/>
          <w:szCs w:val="22"/>
          <w:lang w:eastAsia="es-MX"/>
        </w:rPr>
        <w:t>Número de seguridad social del Instituto de Seguridad Social del Estado de México y Municipios.</w:t>
      </w:r>
    </w:p>
    <w:p w14:paraId="47F4728F" w14:textId="77777777" w:rsidR="002509F6" w:rsidRPr="00490E2E" w:rsidRDefault="002509F6" w:rsidP="00AE1806">
      <w:pPr>
        <w:spacing w:line="360" w:lineRule="auto"/>
        <w:contextualSpacing/>
        <w:jc w:val="both"/>
        <w:rPr>
          <w:rFonts w:ascii="Palatino Linotype" w:hAnsi="Palatino Linotype" w:cs="Adelle Sans Devanagari"/>
          <w:b/>
          <w:bCs/>
          <w:iCs/>
          <w:color w:val="000000" w:themeColor="text1"/>
          <w:sz w:val="22"/>
          <w:szCs w:val="22"/>
          <w:lang w:eastAsia="es-MX"/>
        </w:rPr>
      </w:pPr>
    </w:p>
    <w:p w14:paraId="07DBC653" w14:textId="77777777" w:rsidR="002509F6" w:rsidRPr="00490E2E" w:rsidRDefault="002509F6" w:rsidP="00AE1806">
      <w:pPr>
        <w:spacing w:line="360" w:lineRule="auto"/>
        <w:contextualSpacing/>
        <w:jc w:val="both"/>
        <w:rPr>
          <w:rFonts w:ascii="Palatino Linotype" w:hAnsi="Palatino Linotype" w:cs="Adelle Sans Devanagari"/>
          <w:bCs/>
          <w:iCs/>
          <w:color w:val="000000" w:themeColor="text1"/>
          <w:sz w:val="22"/>
          <w:szCs w:val="22"/>
          <w:lang w:eastAsia="es-MX"/>
        </w:rPr>
      </w:pPr>
      <w:r w:rsidRPr="00490E2E">
        <w:rPr>
          <w:rFonts w:ascii="Palatino Linotype" w:hAnsi="Palatino Linotype" w:cs="Adelle Sans Devanagari"/>
          <w:bCs/>
          <w:iCs/>
          <w:color w:val="000000" w:themeColor="text1"/>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554009F" w14:textId="77777777" w:rsidR="002509F6" w:rsidRPr="00490E2E" w:rsidRDefault="002509F6" w:rsidP="00AE1806">
      <w:pPr>
        <w:spacing w:line="360" w:lineRule="auto"/>
        <w:contextualSpacing/>
        <w:jc w:val="both"/>
        <w:rPr>
          <w:rFonts w:ascii="Palatino Linotype" w:hAnsi="Palatino Linotype" w:cs="Adelle Sans Devanagari"/>
          <w:bCs/>
          <w:iCs/>
          <w:color w:val="000000" w:themeColor="text1"/>
          <w:sz w:val="22"/>
          <w:szCs w:val="22"/>
          <w:lang w:eastAsia="es-MX"/>
        </w:rPr>
      </w:pPr>
    </w:p>
    <w:p w14:paraId="52A89C84" w14:textId="77777777" w:rsidR="002509F6" w:rsidRPr="00490E2E" w:rsidRDefault="002509F6" w:rsidP="00AE1806">
      <w:pPr>
        <w:spacing w:line="360" w:lineRule="auto"/>
        <w:contextualSpacing/>
        <w:jc w:val="both"/>
        <w:rPr>
          <w:rFonts w:ascii="Palatino Linotype" w:hAnsi="Palatino Linotype" w:cs="Adelle Sans Devanagari"/>
          <w:bCs/>
          <w:iCs/>
          <w:color w:val="000000" w:themeColor="text1"/>
          <w:sz w:val="22"/>
          <w:szCs w:val="22"/>
          <w:lang w:eastAsia="es-MX"/>
        </w:rPr>
      </w:pPr>
      <w:r w:rsidRPr="00490E2E">
        <w:rPr>
          <w:rFonts w:ascii="Palatino Linotype" w:hAnsi="Palatino Linotype" w:cs="Adelle Sans Devanagari"/>
          <w:bCs/>
          <w:iCs/>
          <w:color w:val="000000" w:themeColor="text1"/>
          <w:sz w:val="22"/>
          <w:szCs w:val="22"/>
          <w:lang w:eastAsia="es-MX"/>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w:t>
      </w:r>
      <w:r w:rsidRPr="00490E2E">
        <w:rPr>
          <w:rFonts w:ascii="Palatino Linotype" w:hAnsi="Palatino Linotype" w:cs="Adelle Sans Devanagari"/>
          <w:bCs/>
          <w:iCs/>
          <w:color w:val="000000" w:themeColor="text1"/>
          <w:sz w:val="22"/>
          <w:szCs w:val="22"/>
          <w:lang w:eastAsia="es-MX"/>
        </w:rPr>
        <w:lastRenderedPageBreak/>
        <w:t xml:space="preserve">esta credencial se consignan diversos datos personales </w:t>
      </w:r>
      <w:r w:rsidRPr="00490E2E">
        <w:rPr>
          <w:rFonts w:ascii="Palatino Linotype" w:hAnsi="Palatino Linotype" w:cs="Adelle Sans Devanagari"/>
          <w:b/>
          <w:bCs/>
          <w:iCs/>
          <w:color w:val="000000" w:themeColor="text1"/>
          <w:sz w:val="22"/>
          <w:szCs w:val="22"/>
          <w:lang w:eastAsia="es-MX"/>
        </w:rPr>
        <w:t>y se le asigna una clave para hacer identificable al trabajador con el objetivo de poder proporcionar los servicios que brinda el Instituto de Seguridad Social del Estado de México y Municipios.</w:t>
      </w:r>
    </w:p>
    <w:p w14:paraId="29895C1B" w14:textId="77777777" w:rsidR="002509F6" w:rsidRPr="00490E2E" w:rsidRDefault="002509F6" w:rsidP="00AE1806">
      <w:pPr>
        <w:spacing w:line="360" w:lineRule="auto"/>
        <w:contextualSpacing/>
        <w:jc w:val="both"/>
        <w:rPr>
          <w:rFonts w:ascii="Palatino Linotype" w:hAnsi="Palatino Linotype" w:cs="Adelle Sans Devanagari"/>
          <w:bCs/>
          <w:iCs/>
          <w:color w:val="000000" w:themeColor="text1"/>
          <w:sz w:val="22"/>
          <w:szCs w:val="22"/>
          <w:lang w:eastAsia="es-MX"/>
        </w:rPr>
      </w:pPr>
    </w:p>
    <w:p w14:paraId="159F3DB8" w14:textId="77777777" w:rsidR="002509F6" w:rsidRPr="00490E2E" w:rsidRDefault="002509F6" w:rsidP="00AE1806">
      <w:pPr>
        <w:spacing w:line="360" w:lineRule="auto"/>
        <w:contextualSpacing/>
        <w:jc w:val="both"/>
        <w:rPr>
          <w:rFonts w:ascii="Palatino Linotype" w:hAnsi="Palatino Linotype" w:cs="Adelle Sans Devanagari"/>
          <w:bCs/>
          <w:iCs/>
          <w:color w:val="000000" w:themeColor="text1"/>
          <w:sz w:val="22"/>
          <w:szCs w:val="22"/>
          <w:lang w:eastAsia="es-MX"/>
        </w:rPr>
      </w:pPr>
      <w:r w:rsidRPr="00490E2E">
        <w:rPr>
          <w:rFonts w:ascii="Palatino Linotype" w:hAnsi="Palatino Linotype" w:cs="Adelle Sans Devanagari"/>
          <w:bCs/>
          <w:iCs/>
          <w:color w:val="000000" w:themeColor="text1"/>
          <w:sz w:val="22"/>
          <w:szCs w:val="22"/>
          <w:lang w:eastAsia="es-MX"/>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190F8161" w14:textId="77777777" w:rsidR="002509F6" w:rsidRPr="00490E2E" w:rsidRDefault="002509F6" w:rsidP="00AE1806">
      <w:pPr>
        <w:spacing w:line="360" w:lineRule="auto"/>
        <w:contextualSpacing/>
        <w:jc w:val="both"/>
        <w:rPr>
          <w:rFonts w:ascii="Palatino Linotype" w:hAnsi="Palatino Linotype" w:cs="Adelle Sans Devanagari"/>
          <w:bCs/>
          <w:iCs/>
          <w:color w:val="000000" w:themeColor="text1"/>
          <w:sz w:val="22"/>
          <w:szCs w:val="22"/>
          <w:lang w:eastAsia="es-MX"/>
        </w:rPr>
      </w:pPr>
    </w:p>
    <w:p w14:paraId="02E32F4C" w14:textId="77777777" w:rsidR="002509F6" w:rsidRPr="00490E2E" w:rsidRDefault="002509F6" w:rsidP="00AE1806">
      <w:pPr>
        <w:spacing w:line="360" w:lineRule="auto"/>
        <w:contextualSpacing/>
        <w:jc w:val="both"/>
        <w:rPr>
          <w:rFonts w:ascii="Palatino Linotype" w:hAnsi="Palatino Linotype" w:cs="Adelle Sans Devanagari"/>
          <w:b/>
          <w:iCs/>
          <w:color w:val="000000" w:themeColor="text1"/>
          <w:sz w:val="22"/>
          <w:szCs w:val="22"/>
          <w:lang w:eastAsia="es-MX"/>
        </w:rPr>
      </w:pPr>
      <w:r w:rsidRPr="00490E2E">
        <w:rPr>
          <w:rFonts w:ascii="Palatino Linotype" w:hAnsi="Palatino Linotype" w:cs="Adelle Sans Devanagari"/>
          <w:bCs/>
          <w:iCs/>
          <w:color w:val="000000" w:themeColor="text1"/>
          <w:sz w:val="22"/>
          <w:szCs w:val="22"/>
          <w:lang w:eastAsia="es-MX"/>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609A2DE8" w14:textId="77777777" w:rsidR="002509F6" w:rsidRPr="00490E2E" w:rsidRDefault="002509F6" w:rsidP="00AE1806">
      <w:pPr>
        <w:spacing w:line="360" w:lineRule="auto"/>
        <w:contextualSpacing/>
        <w:jc w:val="both"/>
        <w:rPr>
          <w:rFonts w:ascii="Palatino Linotype" w:eastAsia="Calibri" w:hAnsi="Palatino Linotype" w:cs="Adelle Sans Devanagari"/>
          <w:b/>
          <w:bCs/>
          <w:color w:val="000000" w:themeColor="text1"/>
          <w:sz w:val="22"/>
          <w:szCs w:val="22"/>
        </w:rPr>
      </w:pPr>
    </w:p>
    <w:p w14:paraId="15DFF913" w14:textId="77777777" w:rsidR="002509F6" w:rsidRPr="00490E2E" w:rsidRDefault="002509F6" w:rsidP="00AE1806">
      <w:pPr>
        <w:numPr>
          <w:ilvl w:val="0"/>
          <w:numId w:val="21"/>
        </w:numPr>
        <w:spacing w:line="360" w:lineRule="auto"/>
        <w:contextualSpacing/>
        <w:jc w:val="both"/>
        <w:rPr>
          <w:rFonts w:ascii="Palatino Linotype" w:eastAsia="Calibri" w:hAnsi="Palatino Linotype" w:cs="Adelle Sans Devanagari"/>
          <w:b/>
          <w:bCs/>
          <w:color w:val="000000" w:themeColor="text1"/>
          <w:sz w:val="22"/>
          <w:szCs w:val="22"/>
        </w:rPr>
      </w:pPr>
      <w:r w:rsidRPr="00490E2E">
        <w:rPr>
          <w:rFonts w:ascii="Palatino Linotype" w:eastAsia="Calibri" w:hAnsi="Palatino Linotype" w:cs="Adelle Sans Devanagari"/>
          <w:b/>
          <w:bCs/>
          <w:color w:val="000000" w:themeColor="text1"/>
          <w:sz w:val="22"/>
          <w:szCs w:val="22"/>
        </w:rPr>
        <w:t>Descuentos personales</w:t>
      </w:r>
    </w:p>
    <w:p w14:paraId="4C630593" w14:textId="77777777" w:rsidR="002509F6" w:rsidRPr="00490E2E" w:rsidRDefault="002509F6" w:rsidP="00AE1806">
      <w:pPr>
        <w:spacing w:line="360" w:lineRule="auto"/>
        <w:contextualSpacing/>
        <w:jc w:val="both"/>
        <w:rPr>
          <w:rFonts w:ascii="Palatino Linotype" w:eastAsia="Calibri" w:hAnsi="Palatino Linotype" w:cs="Adelle Sans Devanagari"/>
          <w:b/>
          <w:bCs/>
          <w:color w:val="000000" w:themeColor="text1"/>
          <w:sz w:val="22"/>
          <w:szCs w:val="22"/>
        </w:rPr>
      </w:pPr>
    </w:p>
    <w:p w14:paraId="0DD9B0AC" w14:textId="77777777" w:rsidR="002509F6" w:rsidRPr="00490E2E" w:rsidRDefault="002509F6" w:rsidP="00AE1806">
      <w:pPr>
        <w:spacing w:line="360" w:lineRule="auto"/>
        <w:contextualSpacing/>
        <w:jc w:val="both"/>
        <w:rPr>
          <w:rFonts w:ascii="Palatino Linotype" w:eastAsia="Calibri" w:hAnsi="Palatino Linotype" w:cs="Adelle Sans Devanagari"/>
          <w:color w:val="000000" w:themeColor="text1"/>
          <w:sz w:val="22"/>
          <w:szCs w:val="22"/>
        </w:rPr>
      </w:pPr>
      <w:r w:rsidRPr="00490E2E">
        <w:rPr>
          <w:rFonts w:ascii="Palatino Linotype" w:eastAsia="Calibri" w:hAnsi="Palatino Linotype" w:cs="Adelle Sans Devanagari"/>
          <w:color w:val="000000" w:themeColor="text1"/>
          <w:sz w:val="22"/>
          <w:szCs w:val="22"/>
        </w:rPr>
        <w:t>Es necesario precisar que existen deducciones que se generan con motivo de una decisión libre y voluntaria de los servidores públicos, como son: créditos personales, cuotas sindicales, los fondos de resistencia, de mutualidad y de ahorro del Sindicato Único de Trabajadores de los Poderes, Municipios e Institución Descentralizadas del Estado de México, seguro de vida, accidentes y enfermedades.</w:t>
      </w:r>
    </w:p>
    <w:p w14:paraId="735B68E9" w14:textId="77777777" w:rsidR="002509F6" w:rsidRPr="00490E2E" w:rsidRDefault="002509F6" w:rsidP="00AE1806">
      <w:pPr>
        <w:spacing w:line="360" w:lineRule="auto"/>
        <w:contextualSpacing/>
        <w:jc w:val="both"/>
        <w:rPr>
          <w:rFonts w:ascii="Palatino Linotype" w:eastAsia="Calibri" w:hAnsi="Palatino Linotype" w:cs="Adelle Sans Devanagari"/>
          <w:color w:val="000000" w:themeColor="text1"/>
          <w:sz w:val="22"/>
          <w:szCs w:val="22"/>
        </w:rPr>
      </w:pPr>
    </w:p>
    <w:p w14:paraId="14D495DA" w14:textId="77777777" w:rsidR="002509F6" w:rsidRPr="00490E2E" w:rsidRDefault="002509F6" w:rsidP="00AE1806">
      <w:pPr>
        <w:spacing w:line="360" w:lineRule="auto"/>
        <w:contextualSpacing/>
        <w:jc w:val="both"/>
        <w:rPr>
          <w:rFonts w:ascii="Palatino Linotype" w:eastAsia="Calibri" w:hAnsi="Palatino Linotype" w:cs="Adelle Sans Devanagari"/>
          <w:color w:val="000000" w:themeColor="text1"/>
          <w:sz w:val="22"/>
          <w:szCs w:val="22"/>
        </w:rPr>
      </w:pPr>
      <w:r w:rsidRPr="00490E2E">
        <w:rPr>
          <w:rFonts w:ascii="Palatino Linotype" w:eastAsia="Calibri" w:hAnsi="Palatino Linotype" w:cs="Adelle Sans Devanagari"/>
          <w:color w:val="000000" w:themeColor="text1"/>
          <w:sz w:val="22"/>
          <w:szCs w:val="22"/>
        </w:rPr>
        <w:lastRenderedPageBreak/>
        <w:t>Asimismo, hay otras que se generan con motivo de una sentencia judicial, como es la pensión alimenticia que periódicamente se retira de la cuenta de un empleado, a efecto de que sea entregado a un tercero.  </w:t>
      </w:r>
    </w:p>
    <w:p w14:paraId="3A85928E" w14:textId="77777777" w:rsidR="002509F6" w:rsidRPr="00490E2E" w:rsidRDefault="002509F6" w:rsidP="00AE1806">
      <w:pPr>
        <w:spacing w:line="360" w:lineRule="auto"/>
        <w:contextualSpacing/>
        <w:jc w:val="both"/>
        <w:rPr>
          <w:rFonts w:ascii="Palatino Linotype" w:eastAsia="Calibri" w:hAnsi="Palatino Linotype" w:cs="Adelle Sans Devanagari"/>
          <w:color w:val="000000" w:themeColor="text1"/>
          <w:sz w:val="22"/>
          <w:szCs w:val="22"/>
        </w:rPr>
      </w:pPr>
    </w:p>
    <w:p w14:paraId="31541A91" w14:textId="77777777" w:rsidR="002509F6" w:rsidRPr="00490E2E" w:rsidRDefault="002509F6" w:rsidP="00AE1806">
      <w:pPr>
        <w:spacing w:line="360" w:lineRule="auto"/>
        <w:contextualSpacing/>
        <w:jc w:val="both"/>
        <w:rPr>
          <w:rFonts w:ascii="Palatino Linotype" w:eastAsia="Calibri" w:hAnsi="Palatino Linotype" w:cs="Adelle Sans Devanagari"/>
          <w:color w:val="000000" w:themeColor="text1"/>
          <w:sz w:val="22"/>
          <w:szCs w:val="22"/>
        </w:rPr>
      </w:pPr>
      <w:r w:rsidRPr="00490E2E">
        <w:rPr>
          <w:rFonts w:ascii="Palatino Linotype" w:eastAsia="Calibri" w:hAnsi="Palatino Linotype" w:cs="Adelle Sans Devanagari"/>
          <w:color w:val="000000" w:themeColor="text1"/>
          <w:sz w:val="22"/>
          <w:szCs w:val="22"/>
        </w:rPr>
        <w:t>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028C035F" w14:textId="77777777" w:rsidR="002509F6" w:rsidRPr="00490E2E" w:rsidRDefault="002509F6" w:rsidP="00AE1806">
      <w:pPr>
        <w:spacing w:line="360" w:lineRule="auto"/>
        <w:contextualSpacing/>
        <w:jc w:val="both"/>
        <w:rPr>
          <w:rFonts w:ascii="Palatino Linotype" w:eastAsia="Calibri" w:hAnsi="Palatino Linotype" w:cs="Adelle Sans Devanagari"/>
          <w:color w:val="000000" w:themeColor="text1"/>
          <w:sz w:val="22"/>
          <w:szCs w:val="22"/>
        </w:rPr>
      </w:pPr>
    </w:p>
    <w:p w14:paraId="506A0D0E" w14:textId="77777777" w:rsidR="002509F6" w:rsidRPr="00490E2E" w:rsidRDefault="002509F6" w:rsidP="00AE1806">
      <w:pPr>
        <w:spacing w:line="360" w:lineRule="auto"/>
        <w:contextualSpacing/>
        <w:jc w:val="both"/>
        <w:rPr>
          <w:rFonts w:ascii="Palatino Linotype" w:eastAsia="Calibri" w:hAnsi="Palatino Linotype" w:cs="Adelle Sans Devanagari"/>
          <w:b/>
          <w:bCs/>
          <w:color w:val="000000" w:themeColor="text1"/>
          <w:sz w:val="22"/>
          <w:szCs w:val="22"/>
        </w:rPr>
      </w:pPr>
      <w:r w:rsidRPr="00490E2E">
        <w:rPr>
          <w:rFonts w:ascii="Palatino Linotype" w:eastAsia="Calibri" w:hAnsi="Palatino Linotype" w:cs="Adelle Sans Devanagari"/>
          <w:color w:val="000000" w:themeColor="text1"/>
          <w:sz w:val="22"/>
          <w:szCs w:val="22"/>
        </w:rPr>
        <w:t>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Cabe precisar que, tanto en respuesta, como Informe Justificado, el Sujeto Obligado dejó visible las cuotas sindicales y los fondos de resistencia, de mutualidad y de ahorro del Sindicato Único de Trabajadores de los Poderes, Municipios e Institución Descentralizadas del Estado de México.</w:t>
      </w:r>
    </w:p>
    <w:p w14:paraId="0F83BF1D" w14:textId="77777777" w:rsidR="002509F6" w:rsidRPr="00490E2E" w:rsidRDefault="002509F6" w:rsidP="00AE1806">
      <w:pPr>
        <w:spacing w:line="360" w:lineRule="auto"/>
        <w:contextualSpacing/>
        <w:jc w:val="both"/>
        <w:rPr>
          <w:rFonts w:ascii="Palatino Linotype" w:eastAsia="Calibri" w:hAnsi="Palatino Linotype" w:cs="Adelle Sans Devanagari"/>
          <w:b/>
          <w:bCs/>
          <w:color w:val="000000" w:themeColor="text1"/>
          <w:sz w:val="22"/>
          <w:szCs w:val="22"/>
        </w:rPr>
      </w:pPr>
    </w:p>
    <w:p w14:paraId="4C476AAA" w14:textId="77777777" w:rsidR="002509F6" w:rsidRPr="00490E2E" w:rsidRDefault="002509F6" w:rsidP="00AE1806">
      <w:pPr>
        <w:numPr>
          <w:ilvl w:val="0"/>
          <w:numId w:val="16"/>
        </w:numPr>
        <w:spacing w:line="360" w:lineRule="auto"/>
        <w:contextualSpacing/>
        <w:jc w:val="both"/>
        <w:rPr>
          <w:rFonts w:ascii="Palatino Linotype" w:hAnsi="Palatino Linotype" w:cs="Adelle Sans Devanagari"/>
          <w:bCs/>
          <w:color w:val="000000" w:themeColor="text1"/>
          <w:sz w:val="22"/>
          <w:szCs w:val="22"/>
        </w:rPr>
      </w:pPr>
      <w:r w:rsidRPr="00490E2E">
        <w:rPr>
          <w:rFonts w:ascii="Palatino Linotype" w:hAnsi="Palatino Linotype" w:cs="Adelle Sans Devanagari"/>
          <w:b/>
          <w:bCs/>
          <w:color w:val="000000" w:themeColor="text1"/>
          <w:sz w:val="22"/>
          <w:szCs w:val="22"/>
        </w:rPr>
        <w:t>Sellos digitales del emisor y del Servicio de Administración Tributaria y cadena original del complemento de certificación digital del órgano previamente señalado</w:t>
      </w:r>
    </w:p>
    <w:p w14:paraId="6AD3DF43" w14:textId="77777777" w:rsidR="002509F6" w:rsidRPr="00490E2E" w:rsidRDefault="002509F6" w:rsidP="00AE1806">
      <w:pPr>
        <w:spacing w:line="360" w:lineRule="auto"/>
        <w:ind w:left="720"/>
        <w:contextualSpacing/>
        <w:jc w:val="both"/>
        <w:rPr>
          <w:rFonts w:ascii="Palatino Linotype" w:hAnsi="Palatino Linotype" w:cs="Adelle Sans Devanagari"/>
          <w:bCs/>
          <w:color w:val="000000" w:themeColor="text1"/>
          <w:sz w:val="22"/>
          <w:szCs w:val="22"/>
        </w:rPr>
      </w:pPr>
    </w:p>
    <w:p w14:paraId="5D28EF92" w14:textId="77777777" w:rsidR="002509F6" w:rsidRPr="00490E2E" w:rsidRDefault="002509F6" w:rsidP="00AE1806">
      <w:pPr>
        <w:spacing w:line="360" w:lineRule="auto"/>
        <w:contextualSpacing/>
        <w:jc w:val="both"/>
        <w:rPr>
          <w:rFonts w:ascii="Palatino Linotype" w:hAnsi="Palatino Linotype" w:cs="Adelle Sans Devanagari"/>
          <w:bCs/>
          <w:color w:val="000000" w:themeColor="text1"/>
          <w:sz w:val="22"/>
          <w:szCs w:val="22"/>
          <w:lang w:val="es-ES"/>
        </w:rPr>
      </w:pPr>
      <w:r w:rsidRPr="00490E2E">
        <w:rPr>
          <w:rFonts w:ascii="Palatino Linotype" w:hAnsi="Palatino Linotype" w:cs="Adelle Sans Devanagari"/>
          <w:bCs/>
          <w:color w:val="000000" w:themeColor="text1"/>
          <w:sz w:val="22"/>
          <w:szCs w:val="22"/>
          <w:lang w:val="es-ES"/>
        </w:rPr>
        <w:t xml:space="preserve">Cuando, de la secuencia de números y letras, no se advierta un Registro Federal de Contribuyentes o una Clave Única de Registro de Población, que pueda hacer identificable al titular del dato personal, no puede tenerse como dato personal y por ende información </w:t>
      </w:r>
      <w:r w:rsidRPr="00490E2E">
        <w:rPr>
          <w:rFonts w:ascii="Palatino Linotype" w:hAnsi="Palatino Linotype" w:cs="Adelle Sans Devanagari"/>
          <w:bCs/>
          <w:color w:val="000000" w:themeColor="text1"/>
          <w:sz w:val="22"/>
          <w:szCs w:val="22"/>
          <w:lang w:val="es-ES"/>
        </w:rPr>
        <w:lastRenderedPageBreak/>
        <w:t>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067B92FA" w14:textId="77777777" w:rsidR="002509F6" w:rsidRPr="00490E2E" w:rsidRDefault="002509F6" w:rsidP="00AE1806">
      <w:pPr>
        <w:spacing w:line="360" w:lineRule="auto"/>
        <w:contextualSpacing/>
        <w:jc w:val="both"/>
        <w:rPr>
          <w:rFonts w:ascii="Palatino Linotype" w:hAnsi="Palatino Linotype" w:cs="Adelle Sans Devanagari"/>
          <w:bCs/>
          <w:color w:val="000000" w:themeColor="text1"/>
          <w:sz w:val="22"/>
          <w:szCs w:val="22"/>
          <w:lang w:val="es-ES"/>
        </w:rPr>
      </w:pPr>
      <w:r w:rsidRPr="00490E2E">
        <w:rPr>
          <w:rFonts w:ascii="Palatino Linotype" w:hAnsi="Palatino Linotype" w:cs="Adelle Sans Devanagari"/>
          <w:bCs/>
          <w:color w:val="000000" w:themeColor="text1"/>
          <w:sz w:val="22"/>
          <w:szCs w:val="22"/>
          <w:lang w:val="es-ES"/>
        </w:rPr>
        <w:t> </w:t>
      </w:r>
    </w:p>
    <w:p w14:paraId="4DC2399E" w14:textId="77777777" w:rsidR="002509F6" w:rsidRPr="00490E2E" w:rsidRDefault="002509F6" w:rsidP="00AE1806">
      <w:pPr>
        <w:spacing w:line="360" w:lineRule="auto"/>
        <w:contextualSpacing/>
        <w:jc w:val="both"/>
        <w:rPr>
          <w:rFonts w:ascii="Palatino Linotype" w:hAnsi="Palatino Linotype" w:cs="Adelle Sans Devanagari"/>
          <w:bCs/>
          <w:color w:val="000000" w:themeColor="text1"/>
          <w:sz w:val="22"/>
          <w:szCs w:val="22"/>
          <w:lang w:val="es-ES"/>
        </w:rPr>
      </w:pPr>
      <w:r w:rsidRPr="00490E2E">
        <w:rPr>
          <w:rFonts w:ascii="Palatino Linotype" w:hAnsi="Palatino Linotype" w:cs="Adelle Sans Devanagari"/>
          <w:color w:val="000000" w:themeColor="text1"/>
          <w:sz w:val="22"/>
          <w:szCs w:val="22"/>
          <w:lang w:val="es-ES"/>
        </w:rPr>
        <w:t>Las cadenas originales y sellos que se agregan a las facturas</w:t>
      </w:r>
      <w:r w:rsidRPr="00490E2E">
        <w:rPr>
          <w:rFonts w:ascii="Palatino Linotype" w:hAnsi="Palatino Linotype" w:cs="Adelle Sans Devanagari"/>
          <w:b/>
          <w:bCs/>
          <w:color w:val="000000" w:themeColor="text1"/>
          <w:sz w:val="22"/>
          <w:szCs w:val="22"/>
          <w:lang w:val="es-ES"/>
        </w:rPr>
        <w:t>,</w:t>
      </w:r>
      <w:r w:rsidRPr="00490E2E">
        <w:rPr>
          <w:rFonts w:ascii="Palatino Linotype" w:hAnsi="Palatino Linotype" w:cs="Adelle Sans Devanagari"/>
          <w:bCs/>
          <w:color w:val="000000" w:themeColor="text1"/>
          <w:sz w:val="22"/>
          <w:szCs w:val="22"/>
          <w:lang w:val="es-ES"/>
        </w:rPr>
        <w:t xml:space="preserve"> tienen una secuencia de generación, determinados con base en el ANEXO 20 de la Segunda Resolución de modificaciones a la Resolución Miscelánea Fiscal para dos mil veintitrés, publicada en el Diario Oficial de la Federación el dieciocho de julio de dos mil diecisiete, que precisa los datos de los que se componen los elementos de seguridad y se puntualiza que dicha información está encriptada.</w:t>
      </w:r>
    </w:p>
    <w:p w14:paraId="2F29301A" w14:textId="77777777" w:rsidR="002509F6" w:rsidRPr="00490E2E" w:rsidRDefault="002509F6" w:rsidP="00AE1806">
      <w:pPr>
        <w:spacing w:line="360" w:lineRule="auto"/>
        <w:contextualSpacing/>
        <w:jc w:val="both"/>
        <w:rPr>
          <w:rFonts w:ascii="Palatino Linotype" w:hAnsi="Palatino Linotype" w:cs="Adelle Sans Devanagari"/>
          <w:bCs/>
          <w:color w:val="000000" w:themeColor="text1"/>
          <w:sz w:val="22"/>
          <w:szCs w:val="22"/>
          <w:lang w:val="es-ES"/>
        </w:rPr>
      </w:pPr>
      <w:r w:rsidRPr="00490E2E">
        <w:rPr>
          <w:rFonts w:ascii="Palatino Linotype" w:hAnsi="Palatino Linotype" w:cs="Adelle Sans Devanagari"/>
          <w:bCs/>
          <w:color w:val="000000" w:themeColor="text1"/>
          <w:sz w:val="22"/>
          <w:szCs w:val="22"/>
          <w:lang w:val="es-ES"/>
        </w:rPr>
        <w:t> </w:t>
      </w:r>
    </w:p>
    <w:p w14:paraId="5A2716C8" w14:textId="77777777" w:rsidR="002509F6" w:rsidRPr="00490E2E" w:rsidRDefault="002509F6" w:rsidP="00AE1806">
      <w:pPr>
        <w:spacing w:line="360" w:lineRule="auto"/>
        <w:ind w:left="567" w:right="539"/>
        <w:contextualSpacing/>
        <w:jc w:val="both"/>
        <w:rPr>
          <w:rFonts w:ascii="Palatino Linotype" w:eastAsia="Calibri" w:hAnsi="Palatino Linotype" w:cs="Adelle Sans Devanagari"/>
          <w:bCs/>
          <w:i/>
          <w:color w:val="000000" w:themeColor="text1"/>
          <w:lang w:val="es-ES"/>
        </w:rPr>
      </w:pPr>
      <w:r w:rsidRPr="00490E2E">
        <w:rPr>
          <w:rFonts w:ascii="Palatino Linotype" w:eastAsia="Calibri" w:hAnsi="Palatino Linotype" w:cs="Adelle Sans Devanagari"/>
          <w:bCs/>
          <w:i/>
          <w:color w:val="000000" w:themeColor="text1"/>
          <w:lang w:val="es-ES"/>
        </w:rPr>
        <w:t>“…</w:t>
      </w:r>
    </w:p>
    <w:p w14:paraId="28A1DF7C" w14:textId="77777777" w:rsidR="002509F6" w:rsidRPr="00490E2E" w:rsidRDefault="002509F6" w:rsidP="00AE1806">
      <w:pPr>
        <w:spacing w:line="360" w:lineRule="auto"/>
        <w:ind w:left="567" w:right="539"/>
        <w:contextualSpacing/>
        <w:jc w:val="both"/>
        <w:rPr>
          <w:rFonts w:ascii="Palatino Linotype" w:eastAsia="Calibri" w:hAnsi="Palatino Linotype" w:cs="Adelle Sans Devanagari"/>
          <w:bCs/>
          <w:i/>
          <w:color w:val="000000" w:themeColor="text1"/>
          <w:lang w:val="es-ES"/>
        </w:rPr>
      </w:pPr>
      <w:r w:rsidRPr="00490E2E">
        <w:rPr>
          <w:rFonts w:ascii="Palatino Linotype" w:eastAsia="Calibri" w:hAnsi="Palatino Linotype" w:cs="Adelle Sans Devanagari"/>
          <w:bCs/>
          <w:i/>
          <w:color w:val="000000" w:themeColor="text1"/>
          <w:lang w:val="es-ES"/>
        </w:rPr>
        <w:t>Elementos utilizados en la generación de Sellos Digitales:</w:t>
      </w:r>
    </w:p>
    <w:p w14:paraId="65074FF1" w14:textId="77777777" w:rsidR="002509F6" w:rsidRPr="00490E2E" w:rsidRDefault="002509F6" w:rsidP="00AE1806">
      <w:pPr>
        <w:spacing w:line="360" w:lineRule="auto"/>
        <w:ind w:left="567" w:right="539"/>
        <w:contextualSpacing/>
        <w:jc w:val="both"/>
        <w:rPr>
          <w:rFonts w:ascii="Palatino Linotype" w:eastAsia="Calibri" w:hAnsi="Palatino Linotype" w:cs="Adelle Sans Devanagari"/>
          <w:bCs/>
          <w:i/>
          <w:color w:val="000000" w:themeColor="text1"/>
          <w:lang w:val="es-ES"/>
        </w:rPr>
      </w:pPr>
      <w:r w:rsidRPr="00490E2E">
        <w:rPr>
          <w:rFonts w:ascii="Palatino Linotype" w:eastAsia="Calibri" w:hAnsi="Palatino Linotype" w:cs="Adelle Sans Devanagari"/>
          <w:bCs/>
          <w:i/>
          <w:color w:val="000000" w:themeColor="text1"/>
          <w:lang w:val="es-ES"/>
        </w:rPr>
        <w:t>•</w:t>
      </w:r>
      <w:r w:rsidRPr="00490E2E">
        <w:rPr>
          <w:rFonts w:ascii="Palatino Linotype" w:eastAsia="Calibri" w:hAnsi="Palatino Linotype" w:cs="Adelle Sans Devanagari"/>
          <w:bCs/>
          <w:i/>
          <w:color w:val="000000" w:themeColor="text1"/>
          <w:lang w:val="es-ES"/>
        </w:rPr>
        <w:tab/>
        <w:t>Cadena Original, el elemento a sellar, en este caso de un comprobante fiscal digital a través de Internet.</w:t>
      </w:r>
    </w:p>
    <w:p w14:paraId="6492BDB8" w14:textId="77777777" w:rsidR="002509F6" w:rsidRPr="00490E2E" w:rsidRDefault="002509F6" w:rsidP="00AE1806">
      <w:pPr>
        <w:spacing w:line="360" w:lineRule="auto"/>
        <w:ind w:left="567" w:right="539"/>
        <w:contextualSpacing/>
        <w:jc w:val="both"/>
        <w:rPr>
          <w:rFonts w:ascii="Palatino Linotype" w:eastAsia="Calibri" w:hAnsi="Palatino Linotype" w:cs="Adelle Sans Devanagari"/>
          <w:bCs/>
          <w:i/>
          <w:color w:val="000000" w:themeColor="text1"/>
          <w:lang w:val="es-ES"/>
        </w:rPr>
      </w:pPr>
      <w:r w:rsidRPr="00490E2E">
        <w:rPr>
          <w:rFonts w:ascii="Palatino Linotype" w:eastAsia="Calibri" w:hAnsi="Palatino Linotype" w:cs="Adelle Sans Devanagari"/>
          <w:bCs/>
          <w:i/>
          <w:color w:val="000000" w:themeColor="text1"/>
          <w:lang w:val="es-ES"/>
        </w:rPr>
        <w:t>•</w:t>
      </w:r>
      <w:r w:rsidRPr="00490E2E">
        <w:rPr>
          <w:rFonts w:ascii="Palatino Linotype" w:eastAsia="Calibri" w:hAnsi="Palatino Linotype" w:cs="Adelle Sans Devanagari"/>
          <w:bCs/>
          <w:i/>
          <w:color w:val="000000" w:themeColor="text1"/>
          <w:lang w:val="es-ES"/>
        </w:rPr>
        <w:tab/>
        <w:t>Certificado de Sello Digital y su correspondiente clave privada.</w:t>
      </w:r>
    </w:p>
    <w:p w14:paraId="6C852EA2" w14:textId="77777777" w:rsidR="002509F6" w:rsidRPr="00490E2E" w:rsidRDefault="002509F6" w:rsidP="00AE1806">
      <w:pPr>
        <w:spacing w:line="360" w:lineRule="auto"/>
        <w:ind w:left="567" w:right="539"/>
        <w:contextualSpacing/>
        <w:jc w:val="both"/>
        <w:rPr>
          <w:rFonts w:ascii="Palatino Linotype" w:eastAsia="Calibri" w:hAnsi="Palatino Linotype" w:cs="Adelle Sans Devanagari"/>
          <w:bCs/>
          <w:i/>
          <w:color w:val="000000" w:themeColor="text1"/>
          <w:lang w:val="es-ES"/>
        </w:rPr>
      </w:pPr>
      <w:r w:rsidRPr="00490E2E">
        <w:rPr>
          <w:rFonts w:ascii="Palatino Linotype" w:eastAsia="Calibri" w:hAnsi="Palatino Linotype" w:cs="Adelle Sans Devanagari"/>
          <w:bCs/>
          <w:i/>
          <w:color w:val="000000" w:themeColor="text1"/>
          <w:lang w:val="es-ES"/>
        </w:rPr>
        <w:t>•</w:t>
      </w:r>
      <w:r w:rsidRPr="00490E2E">
        <w:rPr>
          <w:rFonts w:ascii="Palatino Linotype" w:eastAsia="Calibri" w:hAnsi="Palatino Linotype" w:cs="Adelle Sans Devanagari"/>
          <w:bCs/>
          <w:i/>
          <w:color w:val="000000" w:themeColor="text1"/>
          <w:lang w:val="es-ES"/>
        </w:rPr>
        <w:tab/>
        <w:t>Algoritmos de criptografía de clave pública para firma electrónica avanzada.</w:t>
      </w:r>
    </w:p>
    <w:p w14:paraId="4C5AE12E" w14:textId="77777777" w:rsidR="002509F6" w:rsidRPr="00490E2E" w:rsidRDefault="002509F6" w:rsidP="00AE1806">
      <w:pPr>
        <w:spacing w:line="360" w:lineRule="auto"/>
        <w:ind w:left="567" w:right="539"/>
        <w:contextualSpacing/>
        <w:jc w:val="both"/>
        <w:rPr>
          <w:rFonts w:ascii="Palatino Linotype" w:eastAsia="Calibri" w:hAnsi="Palatino Linotype" w:cs="Adelle Sans Devanagari"/>
          <w:bCs/>
          <w:i/>
          <w:color w:val="000000" w:themeColor="text1"/>
          <w:lang w:val="es-ES"/>
        </w:rPr>
      </w:pPr>
      <w:r w:rsidRPr="00490E2E">
        <w:rPr>
          <w:rFonts w:ascii="Palatino Linotype" w:eastAsia="Calibri" w:hAnsi="Palatino Linotype" w:cs="Adelle Sans Devanagari"/>
          <w:bCs/>
          <w:i/>
          <w:color w:val="000000" w:themeColor="text1"/>
          <w:lang w:val="es-ES"/>
        </w:rPr>
        <w:t>•</w:t>
      </w:r>
      <w:r w:rsidRPr="00490E2E">
        <w:rPr>
          <w:rFonts w:ascii="Palatino Linotype" w:eastAsia="Calibri" w:hAnsi="Palatino Linotype" w:cs="Adelle Sans Devanagari"/>
          <w:bCs/>
          <w:i/>
          <w:color w:val="000000" w:themeColor="text1"/>
          <w:lang w:val="es-ES"/>
        </w:rPr>
        <w:tab/>
        <w:t>Especificaciones de conversión de la firma electrónica avanzada a Base 64.</w:t>
      </w:r>
    </w:p>
    <w:p w14:paraId="557D83F1" w14:textId="77777777" w:rsidR="002509F6" w:rsidRPr="00490E2E" w:rsidRDefault="002509F6" w:rsidP="00AE1806">
      <w:pPr>
        <w:spacing w:line="360" w:lineRule="auto"/>
        <w:ind w:left="567" w:right="539"/>
        <w:contextualSpacing/>
        <w:jc w:val="both"/>
        <w:rPr>
          <w:rFonts w:ascii="Palatino Linotype" w:eastAsia="Calibri" w:hAnsi="Palatino Linotype" w:cs="Adelle Sans Devanagari"/>
          <w:bCs/>
          <w:i/>
          <w:color w:val="000000" w:themeColor="text1"/>
          <w:lang w:val="es-ES"/>
        </w:rPr>
      </w:pPr>
      <w:r w:rsidRPr="00490E2E">
        <w:rPr>
          <w:rFonts w:ascii="Palatino Linotype" w:eastAsia="Calibri" w:hAnsi="Palatino Linotype" w:cs="Adelle Sans Devanagari"/>
          <w:bCs/>
          <w:i/>
          <w:color w:val="000000" w:themeColor="text1"/>
          <w:lang w:val="es-ES"/>
        </w:rPr>
        <w:t>Para la generación de sellos digitales se utiliza criptografía de clave pública aplicada a una cadena original.</w:t>
      </w:r>
    </w:p>
    <w:p w14:paraId="4B3B9369" w14:textId="77777777" w:rsidR="002509F6" w:rsidRPr="00490E2E" w:rsidRDefault="002509F6" w:rsidP="00AE1806">
      <w:pPr>
        <w:spacing w:line="360" w:lineRule="auto"/>
        <w:ind w:left="567" w:right="539"/>
        <w:contextualSpacing/>
        <w:jc w:val="both"/>
        <w:rPr>
          <w:rFonts w:ascii="Palatino Linotype" w:eastAsia="Calibri" w:hAnsi="Palatino Linotype" w:cs="Adelle Sans Devanagari"/>
          <w:bCs/>
          <w:i/>
          <w:color w:val="000000" w:themeColor="text1"/>
          <w:lang w:val="es-ES"/>
        </w:rPr>
      </w:pPr>
      <w:r w:rsidRPr="00490E2E">
        <w:rPr>
          <w:rFonts w:ascii="Palatino Linotype" w:eastAsia="Calibri" w:hAnsi="Palatino Linotype" w:cs="Adelle Sans Devanagari"/>
          <w:bCs/>
          <w:i/>
          <w:color w:val="000000" w:themeColor="text1"/>
          <w:lang w:val="es-ES"/>
        </w:rPr>
        <w:t>Criptografía de la Clave Pública</w:t>
      </w:r>
    </w:p>
    <w:p w14:paraId="4792FB56" w14:textId="77777777" w:rsidR="002509F6" w:rsidRPr="00490E2E" w:rsidRDefault="002509F6" w:rsidP="00AE1806">
      <w:pPr>
        <w:spacing w:line="360" w:lineRule="auto"/>
        <w:ind w:left="567" w:right="539"/>
        <w:contextualSpacing/>
        <w:jc w:val="both"/>
        <w:rPr>
          <w:rFonts w:ascii="Palatino Linotype" w:eastAsia="Calibri" w:hAnsi="Palatino Linotype" w:cs="Adelle Sans Devanagari"/>
          <w:bCs/>
          <w:i/>
          <w:color w:val="000000" w:themeColor="text1"/>
          <w:lang w:val="es-ES"/>
        </w:rPr>
      </w:pPr>
      <w:r w:rsidRPr="00490E2E">
        <w:rPr>
          <w:rFonts w:ascii="Palatino Linotype" w:eastAsia="Calibri" w:hAnsi="Palatino Linotype" w:cs="Adelle Sans Devanagari"/>
          <w:bCs/>
          <w:i/>
          <w:color w:val="000000" w:themeColor="text1"/>
          <w:lang w:val="es-ES"/>
        </w:rPr>
        <w:t xml:space="preserve">La criptografía de Clave Pública se basa en la generación de una pareja de números muy grandes relacionados íntimamente entre sí, de tal manera que una operación de </w:t>
      </w:r>
      <w:proofErr w:type="spellStart"/>
      <w:r w:rsidRPr="00490E2E">
        <w:rPr>
          <w:rFonts w:ascii="Palatino Linotype" w:eastAsia="Calibri" w:hAnsi="Palatino Linotype" w:cs="Adelle Sans Devanagari"/>
          <w:bCs/>
          <w:i/>
          <w:color w:val="000000" w:themeColor="text1"/>
          <w:lang w:val="es-ES"/>
        </w:rPr>
        <w:t>encripción</w:t>
      </w:r>
      <w:proofErr w:type="spellEnd"/>
      <w:r w:rsidRPr="00490E2E">
        <w:rPr>
          <w:rFonts w:ascii="Palatino Linotype" w:eastAsia="Calibri" w:hAnsi="Palatino Linotype" w:cs="Adelle Sans Devanagari"/>
          <w:bCs/>
          <w:i/>
          <w:color w:val="000000" w:themeColor="text1"/>
          <w:lang w:val="es-ES"/>
        </w:rPr>
        <w:t xml:space="preserve"> sobre un </w:t>
      </w:r>
      <w:r w:rsidRPr="00490E2E">
        <w:rPr>
          <w:rFonts w:ascii="Palatino Linotype" w:eastAsia="Calibri" w:hAnsi="Palatino Linotype" w:cs="Adelle Sans Devanagari"/>
          <w:bCs/>
          <w:i/>
          <w:color w:val="000000" w:themeColor="text1"/>
          <w:lang w:val="es-ES"/>
        </w:rPr>
        <w:lastRenderedPageBreak/>
        <w:t xml:space="preserve">mensaje tomando como clave de </w:t>
      </w:r>
      <w:proofErr w:type="spellStart"/>
      <w:r w:rsidRPr="00490E2E">
        <w:rPr>
          <w:rFonts w:ascii="Palatino Linotype" w:eastAsia="Calibri" w:hAnsi="Palatino Linotype" w:cs="Adelle Sans Devanagari"/>
          <w:bCs/>
          <w:i/>
          <w:color w:val="000000" w:themeColor="text1"/>
          <w:lang w:val="es-ES"/>
        </w:rPr>
        <w:t>encripción</w:t>
      </w:r>
      <w:proofErr w:type="spellEnd"/>
      <w:r w:rsidRPr="00490E2E">
        <w:rPr>
          <w:rFonts w:ascii="Palatino Linotype" w:eastAsia="Calibri" w:hAnsi="Palatino Linotype" w:cs="Adelle Sans Devanagari"/>
          <w:bCs/>
          <w:i/>
          <w:color w:val="000000" w:themeColor="text1"/>
          <w:lang w:val="es-ES"/>
        </w:rPr>
        <w:t xml:space="preserve"> a uno de los dos números, produce un mensaje alterado en su significado que solo puede ser devuelto a su estado original mediante la operación de </w:t>
      </w:r>
      <w:proofErr w:type="spellStart"/>
      <w:r w:rsidRPr="00490E2E">
        <w:rPr>
          <w:rFonts w:ascii="Palatino Linotype" w:eastAsia="Calibri" w:hAnsi="Palatino Linotype" w:cs="Adelle Sans Devanagari"/>
          <w:bCs/>
          <w:i/>
          <w:color w:val="000000" w:themeColor="text1"/>
          <w:lang w:val="es-ES"/>
        </w:rPr>
        <w:t>desencripción</w:t>
      </w:r>
      <w:proofErr w:type="spellEnd"/>
      <w:r w:rsidRPr="00490E2E">
        <w:rPr>
          <w:rFonts w:ascii="Palatino Linotype" w:eastAsia="Calibri" w:hAnsi="Palatino Linotype" w:cs="Adelle Sans Devanagari"/>
          <w:bCs/>
          <w:i/>
          <w:color w:val="000000" w:themeColor="text1"/>
          <w:lang w:val="es-ES"/>
        </w:rPr>
        <w:t xml:space="preserve"> correspondiente tomando como clave de </w:t>
      </w:r>
      <w:proofErr w:type="spellStart"/>
      <w:r w:rsidRPr="00490E2E">
        <w:rPr>
          <w:rFonts w:ascii="Palatino Linotype" w:eastAsia="Calibri" w:hAnsi="Palatino Linotype" w:cs="Adelle Sans Devanagari"/>
          <w:bCs/>
          <w:i/>
          <w:color w:val="000000" w:themeColor="text1"/>
          <w:lang w:val="es-ES"/>
        </w:rPr>
        <w:t>desencripción</w:t>
      </w:r>
      <w:proofErr w:type="spellEnd"/>
      <w:r w:rsidRPr="00490E2E">
        <w:rPr>
          <w:rFonts w:ascii="Palatino Linotype" w:eastAsia="Calibri" w:hAnsi="Palatino Linotype" w:cs="Adelle Sans Devanagari"/>
          <w:bCs/>
          <w:i/>
          <w:color w:val="000000" w:themeColor="text1"/>
          <w:lang w:val="es-ES"/>
        </w:rPr>
        <w:t xml:space="preserve"> al otro número de la pareja.</w:t>
      </w:r>
    </w:p>
    <w:p w14:paraId="3EFA2124" w14:textId="2F0E7B90" w:rsidR="002509F6" w:rsidRPr="00490E2E" w:rsidRDefault="002509F6" w:rsidP="00AE1806">
      <w:pPr>
        <w:spacing w:line="360" w:lineRule="auto"/>
        <w:ind w:left="567" w:right="539"/>
        <w:contextualSpacing/>
        <w:jc w:val="both"/>
        <w:rPr>
          <w:rFonts w:ascii="Palatino Linotype" w:eastAsia="Calibri" w:hAnsi="Palatino Linotype" w:cs="Adelle Sans Devanagari"/>
          <w:bCs/>
          <w:i/>
          <w:color w:val="000000" w:themeColor="text1"/>
          <w:lang w:val="es-ES"/>
        </w:rPr>
      </w:pPr>
      <w:r w:rsidRPr="00490E2E">
        <w:rPr>
          <w:rFonts w:ascii="Palatino Linotype" w:eastAsia="Calibri" w:hAnsi="Palatino Linotype" w:cs="Adelle Sans Devanagari"/>
          <w:bCs/>
          <w:i/>
          <w:color w:val="000000" w:themeColor="text1"/>
          <w:lang w:val="es-ES"/>
        </w:rPr>
        <w:t>…”</w:t>
      </w:r>
    </w:p>
    <w:p w14:paraId="789AEF6B" w14:textId="77777777" w:rsidR="002509F6" w:rsidRPr="00490E2E" w:rsidRDefault="002509F6" w:rsidP="00AE1806">
      <w:pPr>
        <w:spacing w:line="360" w:lineRule="auto"/>
        <w:ind w:left="567" w:right="539"/>
        <w:contextualSpacing/>
        <w:jc w:val="both"/>
        <w:rPr>
          <w:rFonts w:ascii="Palatino Linotype" w:eastAsia="Calibri" w:hAnsi="Palatino Linotype" w:cs="Adelle Sans Devanagari"/>
          <w:bCs/>
          <w:i/>
          <w:color w:val="000000" w:themeColor="text1"/>
          <w:sz w:val="22"/>
          <w:szCs w:val="22"/>
          <w:lang w:val="es-ES"/>
        </w:rPr>
      </w:pPr>
    </w:p>
    <w:p w14:paraId="1CD62823" w14:textId="77777777" w:rsidR="002509F6" w:rsidRPr="00490E2E" w:rsidRDefault="002509F6" w:rsidP="00AE1806">
      <w:pPr>
        <w:spacing w:line="360" w:lineRule="auto"/>
        <w:contextualSpacing/>
        <w:jc w:val="both"/>
        <w:rPr>
          <w:rFonts w:ascii="Palatino Linotype" w:hAnsi="Palatino Linotype" w:cs="Adelle Sans Devanagari"/>
          <w:bCs/>
          <w:color w:val="000000" w:themeColor="text1"/>
          <w:sz w:val="22"/>
          <w:szCs w:val="22"/>
          <w:lang w:val="es-ES"/>
        </w:rPr>
      </w:pPr>
      <w:r w:rsidRPr="00490E2E">
        <w:rPr>
          <w:rFonts w:ascii="Palatino Linotype" w:hAnsi="Palatino Linotype" w:cs="Adelle Sans Devanagari"/>
          <w:bCs/>
          <w:color w:val="000000" w:themeColor="text1"/>
          <w:sz w:val="22"/>
          <w:szCs w:val="22"/>
          <w:lang w:val="es-ES"/>
        </w:rPr>
        <w:t>Es decir, por sí solos las cadenas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5ECE9A2F" w14:textId="77777777" w:rsidR="002509F6" w:rsidRPr="00490E2E" w:rsidRDefault="002509F6" w:rsidP="00AE1806">
      <w:pPr>
        <w:tabs>
          <w:tab w:val="left" w:pos="4962"/>
        </w:tabs>
        <w:spacing w:line="360" w:lineRule="auto"/>
        <w:contextualSpacing/>
        <w:jc w:val="both"/>
        <w:rPr>
          <w:rFonts w:ascii="Palatino Linotype" w:eastAsia="Calibri" w:hAnsi="Palatino Linotype" w:cs="Adelle Sans Devanagari"/>
          <w:bCs/>
          <w:iCs/>
          <w:color w:val="000000"/>
          <w:sz w:val="22"/>
          <w:szCs w:val="22"/>
        </w:rPr>
      </w:pPr>
    </w:p>
    <w:p w14:paraId="36FDE440" w14:textId="77777777" w:rsidR="002509F6" w:rsidRPr="00490E2E" w:rsidRDefault="002509F6" w:rsidP="00AE1806">
      <w:pPr>
        <w:spacing w:line="360" w:lineRule="auto"/>
        <w:contextualSpacing/>
        <w:jc w:val="both"/>
        <w:rPr>
          <w:rFonts w:ascii="Palatino Linotype" w:hAnsi="Palatino Linotype" w:cs="Adelle Sans Devanagari"/>
          <w:color w:val="000000" w:themeColor="text1"/>
          <w:sz w:val="22"/>
          <w:szCs w:val="22"/>
          <w:lang w:val="es-ES"/>
        </w:rPr>
      </w:pPr>
      <w:r w:rsidRPr="00490E2E">
        <w:rPr>
          <w:rFonts w:ascii="Palatino Linotype" w:eastAsia="Calibri" w:hAnsi="Palatino Linotype" w:cs="Adelle Sans Devanagari"/>
          <w:bCs/>
          <w:iCs/>
          <w:color w:val="000000"/>
          <w:sz w:val="22"/>
          <w:szCs w:val="22"/>
        </w:rPr>
        <w:t>Cabe señalar que, en algunos casos, las</w:t>
      </w:r>
      <w:r w:rsidRPr="00490E2E">
        <w:rPr>
          <w:rFonts w:ascii="Palatino Linotype" w:hAnsi="Palatino Linotype" w:cs="Adelle Sans Devanagari"/>
          <w:color w:val="000000" w:themeColor="text1"/>
          <w:sz w:val="22"/>
          <w:szCs w:val="22"/>
          <w:lang w:val="es-ES"/>
        </w:rPr>
        <w:t xml:space="preserve"> cadenas originales y sellos digitales</w:t>
      </w:r>
      <w:r w:rsidRPr="00490E2E">
        <w:rPr>
          <w:rFonts w:ascii="Palatino Linotype" w:hAnsi="Palatino Linotype" w:cs="Adelle Sans Devanagari"/>
          <w:bCs/>
          <w:color w:val="000000" w:themeColor="text1"/>
          <w:sz w:val="22"/>
          <w:szCs w:val="22"/>
          <w:lang w:val="es-ES"/>
        </w:rPr>
        <w:t xml:space="preserve">, se pueden conformar de datos confidenciales, tales como el Registro Federal de Contribuyentes o la Clave Única de Registro de Población; por lo que, en su caso actualizarían </w:t>
      </w:r>
      <w:r w:rsidRPr="00490E2E">
        <w:rPr>
          <w:rFonts w:ascii="Palatino Linotype" w:hAnsi="Palatino Linotype" w:cs="Adelle Sans Devanagari"/>
          <w:color w:val="000000" w:themeColor="text1"/>
          <w:sz w:val="22"/>
          <w:szCs w:val="22"/>
          <w:lang w:val="es-ES"/>
        </w:rPr>
        <w:t>actualiza la clasificación, en términos del artículo 143, fracción I, de la Ley de la materia.</w:t>
      </w:r>
    </w:p>
    <w:p w14:paraId="452A49A9" w14:textId="77777777" w:rsidR="002509F6" w:rsidRPr="00490E2E" w:rsidRDefault="002509F6" w:rsidP="00AE1806">
      <w:pPr>
        <w:spacing w:line="360" w:lineRule="auto"/>
        <w:contextualSpacing/>
        <w:jc w:val="both"/>
        <w:rPr>
          <w:rFonts w:ascii="Palatino Linotype" w:hAnsi="Palatino Linotype" w:cs="Tahoma"/>
          <w:b/>
          <w:sz w:val="22"/>
          <w:szCs w:val="22"/>
          <w:lang w:eastAsia="es-MX"/>
        </w:rPr>
      </w:pPr>
    </w:p>
    <w:p w14:paraId="0258AD24" w14:textId="77777777" w:rsidR="002509F6" w:rsidRPr="00490E2E" w:rsidRDefault="002509F6" w:rsidP="00AE1806">
      <w:pPr>
        <w:autoSpaceDE w:val="0"/>
        <w:autoSpaceDN w:val="0"/>
        <w:spacing w:line="360" w:lineRule="auto"/>
        <w:contextualSpacing/>
        <w:jc w:val="both"/>
        <w:rPr>
          <w:rFonts w:ascii="Palatino Linotype" w:hAnsi="Palatino Linotype" w:cs="Tahoma"/>
          <w:sz w:val="22"/>
          <w:szCs w:val="22"/>
          <w:lang w:eastAsia="es-MX"/>
        </w:rPr>
      </w:pPr>
      <w:r w:rsidRPr="00490E2E">
        <w:rPr>
          <w:rFonts w:ascii="Palatino Linotype" w:hAnsi="Palatino Linotype" w:cs="Tahoma"/>
          <w:sz w:val="22"/>
          <w:szCs w:val="22"/>
          <w:lang w:eastAsia="es-MX"/>
        </w:rPr>
        <w:t xml:space="preserve">Conforme lo anterior, el Sujeto Obligado deberá clasificar la Calve Única de Registro de Población, el Registro Federal de Contribuyentes, el número de seguridad social y las deducciones personales, los cuales se precisan de manera enunciativa, más no limitativa, en términos del artículo 143, fracción I de la Ley de la materia;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051EA96D" w14:textId="55A00C9A" w:rsidR="002509F6" w:rsidRPr="00490E2E" w:rsidRDefault="002509F6" w:rsidP="00AE1806">
      <w:pPr>
        <w:autoSpaceDE w:val="0"/>
        <w:autoSpaceDN w:val="0"/>
        <w:spacing w:line="360" w:lineRule="auto"/>
        <w:contextualSpacing/>
        <w:jc w:val="both"/>
        <w:rPr>
          <w:rFonts w:ascii="Palatino Linotype" w:hAnsi="Palatino Linotype" w:cs="Tahoma"/>
          <w:sz w:val="22"/>
          <w:szCs w:val="22"/>
          <w:lang w:eastAsia="es-MX"/>
        </w:rPr>
      </w:pPr>
      <w:r w:rsidRPr="00490E2E">
        <w:rPr>
          <w:rFonts w:ascii="Palatino Linotype" w:hAnsi="Palatino Linotype" w:cs="Tahoma"/>
          <w:sz w:val="22"/>
          <w:szCs w:val="22"/>
          <w:lang w:eastAsia="es-MX"/>
        </w:rPr>
        <w:lastRenderedPageBreak/>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4056CFD2" w14:textId="77777777" w:rsidR="00CB7C2B" w:rsidRPr="00490E2E" w:rsidRDefault="00CB7C2B" w:rsidP="00AE1806">
      <w:pPr>
        <w:spacing w:line="360" w:lineRule="auto"/>
        <w:contextualSpacing/>
        <w:jc w:val="both"/>
        <w:rPr>
          <w:rFonts w:ascii="Palatino Linotype" w:hAnsi="Palatino Linotype"/>
          <w:bCs/>
          <w:iCs/>
          <w:sz w:val="22"/>
          <w:szCs w:val="22"/>
        </w:rPr>
      </w:pPr>
    </w:p>
    <w:p w14:paraId="5D6F7085" w14:textId="77777777" w:rsidR="00CB7C2B" w:rsidRPr="00490E2E" w:rsidRDefault="00CB7C2B" w:rsidP="00AE1806">
      <w:pPr>
        <w:pStyle w:val="Ttulo2"/>
        <w:spacing w:before="0" w:after="0" w:line="360" w:lineRule="auto"/>
        <w:contextualSpacing/>
        <w:rPr>
          <w:rFonts w:ascii="Palatino Linotype" w:hAnsi="Palatino Linotype"/>
          <w:b/>
          <w:bCs/>
          <w:color w:val="auto"/>
          <w:sz w:val="22"/>
          <w:szCs w:val="22"/>
        </w:rPr>
      </w:pPr>
      <w:bookmarkStart w:id="17" w:name="_Toc205479220"/>
      <w:r w:rsidRPr="00490E2E">
        <w:rPr>
          <w:rFonts w:ascii="Palatino Linotype" w:hAnsi="Palatino Linotype"/>
          <w:b/>
          <w:bCs/>
          <w:color w:val="auto"/>
          <w:sz w:val="22"/>
          <w:szCs w:val="22"/>
        </w:rPr>
        <w:t>SEXTO. Decisión</w:t>
      </w:r>
      <w:bookmarkEnd w:id="17"/>
    </w:p>
    <w:p w14:paraId="173C983A" w14:textId="77777777" w:rsidR="00CB7C2B" w:rsidRPr="00490E2E" w:rsidRDefault="00CB7C2B" w:rsidP="00AE1806">
      <w:pPr>
        <w:spacing w:line="360" w:lineRule="auto"/>
        <w:contextualSpacing/>
        <w:jc w:val="both"/>
        <w:rPr>
          <w:rFonts w:ascii="Palatino Linotype" w:eastAsia="Palatino Linotype" w:hAnsi="Palatino Linotype" w:cs="Palatino Linotype"/>
          <w:sz w:val="22"/>
          <w:szCs w:val="22"/>
        </w:rPr>
      </w:pPr>
    </w:p>
    <w:p w14:paraId="0AA8B0DB" w14:textId="6EEBB5FC" w:rsidR="00CB7C2B" w:rsidRPr="00490E2E" w:rsidRDefault="00CB7C2B" w:rsidP="00AE1806">
      <w:pPr>
        <w:tabs>
          <w:tab w:val="left" w:pos="4962"/>
        </w:tabs>
        <w:spacing w:line="360" w:lineRule="auto"/>
        <w:contextualSpacing/>
        <w:jc w:val="both"/>
        <w:rPr>
          <w:rFonts w:ascii="Palatino Linotype" w:hAnsi="Palatino Linotype" w:cs="Tahoma"/>
          <w:sz w:val="22"/>
          <w:szCs w:val="22"/>
        </w:rPr>
      </w:pPr>
      <w:r w:rsidRPr="00490E2E">
        <w:rPr>
          <w:rFonts w:ascii="Palatino Linotype" w:hAnsi="Palatino Linotype" w:cs="Arial"/>
          <w:sz w:val="22"/>
          <w:szCs w:val="22"/>
        </w:rPr>
        <w:t>C</w:t>
      </w:r>
      <w:r w:rsidRPr="00490E2E">
        <w:rPr>
          <w:rFonts w:ascii="Palatino Linotype" w:hAnsi="Palatino Linotype" w:cs="Tahoma"/>
          <w:sz w:val="22"/>
          <w:szCs w:val="22"/>
        </w:rPr>
        <w:t xml:space="preserve">on fundamento en el artículo 186, fracción III, de la Ley de Transparencia y Acceso a la Información Pública del Estado de México y Municipios, este Instituto considera procedente </w:t>
      </w:r>
      <w:r w:rsidR="002509F6" w:rsidRPr="00490E2E">
        <w:rPr>
          <w:rFonts w:ascii="Palatino Linotype" w:hAnsi="Palatino Linotype" w:cs="Tahoma"/>
          <w:b/>
          <w:sz w:val="22"/>
          <w:szCs w:val="22"/>
        </w:rPr>
        <w:t>MODIFI</w:t>
      </w:r>
      <w:r w:rsidRPr="00490E2E">
        <w:rPr>
          <w:rFonts w:ascii="Palatino Linotype" w:hAnsi="Palatino Linotype" w:cs="Tahoma"/>
          <w:b/>
          <w:sz w:val="22"/>
          <w:szCs w:val="22"/>
        </w:rPr>
        <w:t>CAR</w:t>
      </w:r>
      <w:r w:rsidRPr="00490E2E">
        <w:rPr>
          <w:rFonts w:ascii="Palatino Linotype" w:hAnsi="Palatino Linotype" w:cs="Tahoma"/>
          <w:sz w:val="22"/>
          <w:szCs w:val="22"/>
        </w:rPr>
        <w:t xml:space="preserve"> la respuesta otorgada a la solicitud de información </w:t>
      </w:r>
      <w:r w:rsidR="002509F6" w:rsidRPr="00490E2E">
        <w:rPr>
          <w:rFonts w:ascii="Palatino Linotype" w:hAnsi="Palatino Linotype"/>
          <w:sz w:val="22"/>
          <w:szCs w:val="22"/>
        </w:rPr>
        <w:t>00313/PLEGISLA/IP/2025</w:t>
      </w:r>
      <w:r w:rsidRPr="00490E2E">
        <w:rPr>
          <w:rFonts w:ascii="Palatino Linotype" w:hAnsi="Palatino Linotype" w:cs="Tahoma"/>
          <w:bCs/>
          <w:sz w:val="22"/>
          <w:szCs w:val="22"/>
        </w:rPr>
        <w:t>, a efecto de que,</w:t>
      </w:r>
      <w:r w:rsidRPr="00490E2E">
        <w:rPr>
          <w:rFonts w:ascii="Palatino Linotype" w:hAnsi="Palatino Linotype" w:cs="Tahoma"/>
          <w:sz w:val="22"/>
          <w:szCs w:val="22"/>
        </w:rPr>
        <w:t xml:space="preserve"> proporcione en su caso en versión pública la información </w:t>
      </w:r>
      <w:r w:rsidR="002509F6" w:rsidRPr="00490E2E">
        <w:rPr>
          <w:rFonts w:ascii="Palatino Linotype" w:hAnsi="Palatino Linotype" w:cs="Tahoma"/>
          <w:sz w:val="22"/>
          <w:szCs w:val="22"/>
        </w:rPr>
        <w:t>faltante</w:t>
      </w:r>
      <w:r w:rsidRPr="00490E2E">
        <w:rPr>
          <w:rFonts w:ascii="Palatino Linotype" w:hAnsi="Palatino Linotype" w:cs="Tahoma"/>
          <w:sz w:val="22"/>
          <w:szCs w:val="22"/>
        </w:rPr>
        <w:t>.</w:t>
      </w:r>
    </w:p>
    <w:p w14:paraId="0495757D" w14:textId="77777777" w:rsidR="00CB7C2B" w:rsidRPr="00490E2E" w:rsidRDefault="00CB7C2B" w:rsidP="00AE1806">
      <w:pPr>
        <w:autoSpaceDE w:val="0"/>
        <w:autoSpaceDN w:val="0"/>
        <w:adjustRightInd w:val="0"/>
        <w:spacing w:line="360" w:lineRule="auto"/>
        <w:contextualSpacing/>
        <w:jc w:val="both"/>
        <w:rPr>
          <w:rFonts w:ascii="Palatino Linotype" w:eastAsia="Calibri" w:hAnsi="Palatino Linotype" w:cs="Tahoma"/>
          <w:b/>
          <w:bCs/>
          <w:iCs/>
          <w:sz w:val="22"/>
          <w:szCs w:val="22"/>
          <w:lang w:val="es-ES" w:eastAsia="en-US"/>
        </w:rPr>
      </w:pPr>
    </w:p>
    <w:p w14:paraId="74C8EB2A" w14:textId="77777777" w:rsidR="00CB7C2B" w:rsidRPr="00490E2E" w:rsidRDefault="00CB7C2B" w:rsidP="00AE1806">
      <w:pPr>
        <w:spacing w:line="360" w:lineRule="auto"/>
        <w:contextualSpacing/>
        <w:jc w:val="both"/>
        <w:rPr>
          <w:rFonts w:ascii="Palatino Linotype" w:hAnsi="Palatino Linotype"/>
          <w:b/>
          <w:color w:val="000000"/>
          <w:sz w:val="22"/>
          <w:szCs w:val="22"/>
        </w:rPr>
      </w:pPr>
      <w:bookmarkStart w:id="18" w:name="_Toc199369393"/>
      <w:r w:rsidRPr="00490E2E">
        <w:rPr>
          <w:rFonts w:ascii="Palatino Linotype" w:hAnsi="Palatino Linotype"/>
          <w:b/>
          <w:color w:val="000000"/>
          <w:sz w:val="22"/>
          <w:szCs w:val="22"/>
        </w:rPr>
        <w:t>Términos de la Resolución para el Recurrente</w:t>
      </w:r>
    </w:p>
    <w:p w14:paraId="5AF29148" w14:textId="77777777" w:rsidR="00CB7C2B" w:rsidRPr="00490E2E" w:rsidRDefault="00CB7C2B" w:rsidP="00AE1806">
      <w:pPr>
        <w:spacing w:line="360" w:lineRule="auto"/>
        <w:contextualSpacing/>
        <w:jc w:val="both"/>
        <w:rPr>
          <w:rFonts w:ascii="Palatino Linotype" w:hAnsi="Palatino Linotype"/>
          <w:b/>
          <w:color w:val="FF0000"/>
          <w:sz w:val="22"/>
          <w:szCs w:val="22"/>
        </w:rPr>
      </w:pPr>
    </w:p>
    <w:p w14:paraId="0F745928" w14:textId="1274CD0F" w:rsidR="001A1BF5" w:rsidRPr="00490E2E" w:rsidRDefault="00CB7C2B" w:rsidP="00AE1806">
      <w:pPr>
        <w:spacing w:line="360" w:lineRule="auto"/>
        <w:contextualSpacing/>
        <w:jc w:val="both"/>
        <w:rPr>
          <w:rFonts w:ascii="Palatino Linotype" w:hAnsi="Palatino Linotype"/>
          <w:color w:val="000000"/>
          <w:sz w:val="22"/>
          <w:szCs w:val="22"/>
        </w:rPr>
      </w:pPr>
      <w:r w:rsidRPr="00490E2E">
        <w:rPr>
          <w:rFonts w:ascii="Palatino Linotype" w:hAnsi="Palatino Linotype"/>
          <w:color w:val="000000"/>
          <w:sz w:val="22"/>
          <w:szCs w:val="22"/>
        </w:rPr>
        <w:t xml:space="preserve">Se le hace del conocimiento al Particular, que, en el presente caso, se le concede la razón, pues </w:t>
      </w:r>
      <w:r w:rsidR="002509F6" w:rsidRPr="00490E2E">
        <w:rPr>
          <w:rFonts w:ascii="Palatino Linotype" w:hAnsi="Palatino Linotype"/>
          <w:color w:val="000000"/>
          <w:sz w:val="22"/>
          <w:szCs w:val="22"/>
        </w:rPr>
        <w:t xml:space="preserve">si bien </w:t>
      </w:r>
      <w:r w:rsidRPr="00490E2E">
        <w:rPr>
          <w:rFonts w:ascii="Palatino Linotype" w:hAnsi="Palatino Linotype"/>
          <w:color w:val="000000"/>
          <w:sz w:val="22"/>
          <w:szCs w:val="22"/>
        </w:rPr>
        <w:t xml:space="preserve">el </w:t>
      </w:r>
      <w:r w:rsidR="002509F6" w:rsidRPr="00490E2E">
        <w:rPr>
          <w:rFonts w:ascii="Palatino Linotype" w:hAnsi="Palatino Linotype"/>
          <w:color w:val="000000"/>
          <w:sz w:val="22"/>
          <w:szCs w:val="22"/>
        </w:rPr>
        <w:t>Sujeto Obligado durante la sustanciación del medio de impugnación proporcionó</w:t>
      </w:r>
      <w:r w:rsidR="001A1BF5" w:rsidRPr="00490E2E">
        <w:rPr>
          <w:rFonts w:ascii="Palatino Linotype" w:hAnsi="Palatino Linotype"/>
          <w:color w:val="000000"/>
          <w:sz w:val="22"/>
          <w:szCs w:val="22"/>
        </w:rPr>
        <w:t xml:space="preserve"> un documento que contenía las precepciones y deducciones, lo cierto es que no corresponde con el documento idóneo para dar cumplimiento a la solicitud, por lo que deberá proporcionar los </w:t>
      </w:r>
      <w:r w:rsidR="006F0244" w:rsidRPr="00490E2E">
        <w:rPr>
          <w:rFonts w:ascii="Palatino Linotype" w:hAnsi="Palatino Linotype" w:cs="Tahoma"/>
          <w:sz w:val="22"/>
          <w:szCs w:val="22"/>
        </w:rPr>
        <w:t>Comprobantes de Percepciones y Deducciones por concepto de nómina</w:t>
      </w:r>
      <w:r w:rsidR="006F0244" w:rsidRPr="00490E2E">
        <w:rPr>
          <w:rFonts w:ascii="Palatino Linotype" w:hAnsi="Palatino Linotype"/>
          <w:color w:val="000000"/>
          <w:sz w:val="22"/>
          <w:szCs w:val="22"/>
        </w:rPr>
        <w:t xml:space="preserve"> </w:t>
      </w:r>
      <w:r w:rsidR="002509F6" w:rsidRPr="00490E2E">
        <w:rPr>
          <w:rFonts w:ascii="Palatino Linotype" w:hAnsi="Palatino Linotype"/>
          <w:color w:val="000000"/>
          <w:sz w:val="22"/>
          <w:szCs w:val="22"/>
        </w:rPr>
        <w:t>del servidor público requerido</w:t>
      </w:r>
      <w:r w:rsidRPr="00490E2E">
        <w:rPr>
          <w:rFonts w:ascii="Palatino Linotype" w:hAnsi="Palatino Linotype"/>
          <w:color w:val="000000"/>
          <w:sz w:val="22"/>
          <w:szCs w:val="22"/>
        </w:rPr>
        <w:t xml:space="preserve">. </w:t>
      </w:r>
    </w:p>
    <w:p w14:paraId="29F8DF5F" w14:textId="77777777" w:rsidR="001A1BF5" w:rsidRPr="00490E2E" w:rsidRDefault="001A1BF5" w:rsidP="00AE1806">
      <w:pPr>
        <w:spacing w:line="360" w:lineRule="auto"/>
        <w:contextualSpacing/>
        <w:jc w:val="both"/>
        <w:rPr>
          <w:rFonts w:ascii="Palatino Linotype" w:hAnsi="Palatino Linotype"/>
          <w:color w:val="000000"/>
          <w:sz w:val="22"/>
          <w:szCs w:val="22"/>
        </w:rPr>
      </w:pPr>
    </w:p>
    <w:p w14:paraId="26BC6E12" w14:textId="7D8D1F5B" w:rsidR="00CB7C2B" w:rsidRPr="00490E2E" w:rsidRDefault="00CB7C2B" w:rsidP="00AE1806">
      <w:pPr>
        <w:spacing w:line="360" w:lineRule="auto"/>
        <w:contextualSpacing/>
        <w:jc w:val="both"/>
        <w:rPr>
          <w:rFonts w:ascii="Palatino Linotype" w:hAnsi="Palatino Linotype"/>
          <w:color w:val="000000"/>
          <w:sz w:val="22"/>
          <w:szCs w:val="22"/>
        </w:rPr>
      </w:pPr>
      <w:r w:rsidRPr="00490E2E">
        <w:rPr>
          <w:rFonts w:ascii="Palatino Linotype" w:hAnsi="Palatino Linotype"/>
          <w:color w:val="000000"/>
          <w:sz w:val="22"/>
          <w:szCs w:val="22"/>
        </w:rPr>
        <w:t>La labor del Instituto, es apoyar a la población para acceder a la información pública y garantizar la protección de los datos personales.</w:t>
      </w:r>
    </w:p>
    <w:p w14:paraId="25D76622" w14:textId="77777777" w:rsidR="00CB7C2B" w:rsidRPr="00490E2E" w:rsidRDefault="00CB7C2B" w:rsidP="00AE1806">
      <w:pPr>
        <w:spacing w:line="360" w:lineRule="auto"/>
        <w:contextualSpacing/>
        <w:jc w:val="both"/>
        <w:rPr>
          <w:rFonts w:ascii="Palatino Linotype" w:hAnsi="Palatino Linotype"/>
          <w:color w:val="000000"/>
          <w:sz w:val="22"/>
          <w:szCs w:val="22"/>
        </w:rPr>
      </w:pPr>
    </w:p>
    <w:p w14:paraId="5375E5AA" w14:textId="77777777" w:rsidR="00CB7C2B" w:rsidRPr="00490E2E" w:rsidRDefault="00CB7C2B" w:rsidP="00AE1806">
      <w:pPr>
        <w:spacing w:line="360" w:lineRule="auto"/>
        <w:ind w:right="-93"/>
        <w:contextualSpacing/>
        <w:jc w:val="both"/>
        <w:rPr>
          <w:rFonts w:ascii="Palatino Linotype" w:hAnsi="Palatino Linotype"/>
          <w:color w:val="000000"/>
          <w:sz w:val="22"/>
          <w:szCs w:val="22"/>
        </w:rPr>
      </w:pPr>
      <w:r w:rsidRPr="00490E2E">
        <w:rPr>
          <w:rFonts w:ascii="Palatino Linotype" w:hAnsi="Palatino Linotype"/>
          <w:color w:val="000000"/>
          <w:sz w:val="22"/>
          <w:szCs w:val="22"/>
        </w:rPr>
        <w:t>Por lo expuesto y fundado, este Pleno:</w:t>
      </w:r>
    </w:p>
    <w:p w14:paraId="6F260FB4" w14:textId="77777777" w:rsidR="00AE1806" w:rsidRPr="00490E2E" w:rsidRDefault="00AE1806" w:rsidP="00AE1806">
      <w:pPr>
        <w:spacing w:line="360" w:lineRule="auto"/>
        <w:ind w:right="-93"/>
        <w:contextualSpacing/>
        <w:jc w:val="both"/>
        <w:rPr>
          <w:rFonts w:ascii="Palatino Linotype" w:hAnsi="Palatino Linotype"/>
          <w:color w:val="000000"/>
          <w:sz w:val="22"/>
          <w:szCs w:val="22"/>
        </w:rPr>
      </w:pPr>
    </w:p>
    <w:p w14:paraId="6CF89740" w14:textId="77777777" w:rsidR="00CB7C2B" w:rsidRPr="00490E2E" w:rsidRDefault="00CB7C2B" w:rsidP="00AE1806">
      <w:pPr>
        <w:pStyle w:val="Ttulo1"/>
        <w:spacing w:before="0" w:after="0" w:line="360" w:lineRule="auto"/>
        <w:contextualSpacing/>
        <w:jc w:val="center"/>
        <w:rPr>
          <w:rFonts w:ascii="Palatino Linotype" w:eastAsia="Calibri" w:hAnsi="Palatino Linotype"/>
          <w:b/>
          <w:bCs/>
          <w:color w:val="auto"/>
          <w:sz w:val="22"/>
          <w:szCs w:val="22"/>
        </w:rPr>
      </w:pPr>
      <w:bookmarkStart w:id="19" w:name="_Toc205479221"/>
      <w:r w:rsidRPr="00490E2E">
        <w:rPr>
          <w:rFonts w:ascii="Palatino Linotype" w:eastAsia="Calibri" w:hAnsi="Palatino Linotype"/>
          <w:b/>
          <w:bCs/>
          <w:color w:val="auto"/>
          <w:sz w:val="22"/>
          <w:szCs w:val="22"/>
        </w:rPr>
        <w:lastRenderedPageBreak/>
        <w:t>R E S U E L V E</w:t>
      </w:r>
      <w:bookmarkEnd w:id="18"/>
      <w:bookmarkEnd w:id="19"/>
    </w:p>
    <w:p w14:paraId="17CF730E" w14:textId="77777777" w:rsidR="00CB7C2B" w:rsidRPr="00490E2E" w:rsidRDefault="00CB7C2B" w:rsidP="00AE1806">
      <w:pPr>
        <w:spacing w:line="360" w:lineRule="auto"/>
        <w:ind w:right="-28"/>
        <w:contextualSpacing/>
        <w:jc w:val="both"/>
        <w:rPr>
          <w:rFonts w:ascii="Palatino Linotype" w:hAnsi="Palatino Linotype" w:cs="Tahoma"/>
          <w:b/>
          <w:bCs/>
          <w:sz w:val="22"/>
          <w:szCs w:val="22"/>
        </w:rPr>
      </w:pPr>
    </w:p>
    <w:p w14:paraId="0C7D9CDB" w14:textId="2256C83D" w:rsidR="00CB7C2B" w:rsidRPr="00490E2E" w:rsidRDefault="00CB7C2B" w:rsidP="00AE1806">
      <w:pPr>
        <w:widowControl w:val="0"/>
        <w:spacing w:line="360" w:lineRule="auto"/>
        <w:contextualSpacing/>
        <w:jc w:val="both"/>
        <w:rPr>
          <w:rFonts w:ascii="Palatino Linotype" w:eastAsia="Calibri" w:hAnsi="Palatino Linotype"/>
          <w:b/>
          <w:bCs/>
          <w:sz w:val="22"/>
          <w:szCs w:val="22"/>
        </w:rPr>
      </w:pPr>
      <w:r w:rsidRPr="00490E2E">
        <w:rPr>
          <w:rFonts w:ascii="Palatino Linotype" w:eastAsia="Calibri" w:hAnsi="Palatino Linotype"/>
          <w:b/>
          <w:bCs/>
          <w:sz w:val="22"/>
          <w:szCs w:val="22"/>
        </w:rPr>
        <w:t xml:space="preserve">PRIMERO. </w:t>
      </w:r>
      <w:r w:rsidRPr="00490E2E">
        <w:rPr>
          <w:rFonts w:ascii="Palatino Linotype" w:eastAsia="Calibri" w:hAnsi="Palatino Linotype"/>
          <w:sz w:val="22"/>
          <w:szCs w:val="22"/>
        </w:rPr>
        <w:t xml:space="preserve">Se </w:t>
      </w:r>
      <w:r w:rsidR="001A1BF5" w:rsidRPr="00490E2E">
        <w:rPr>
          <w:rFonts w:ascii="Palatino Linotype" w:eastAsia="Calibri" w:hAnsi="Palatino Linotype"/>
          <w:b/>
          <w:bCs/>
          <w:sz w:val="22"/>
          <w:szCs w:val="22"/>
        </w:rPr>
        <w:t>MODIFI</w:t>
      </w:r>
      <w:r w:rsidRPr="00490E2E">
        <w:rPr>
          <w:rFonts w:ascii="Palatino Linotype" w:eastAsia="Calibri" w:hAnsi="Palatino Linotype"/>
          <w:b/>
          <w:bCs/>
          <w:sz w:val="22"/>
          <w:szCs w:val="22"/>
        </w:rPr>
        <w:t xml:space="preserve">CA </w:t>
      </w:r>
      <w:r w:rsidRPr="00490E2E">
        <w:rPr>
          <w:rFonts w:ascii="Palatino Linotype" w:eastAsia="Calibri" w:hAnsi="Palatino Linotype"/>
          <w:sz w:val="22"/>
          <w:szCs w:val="22"/>
        </w:rPr>
        <w:t>la</w:t>
      </w:r>
      <w:r w:rsidRPr="00490E2E">
        <w:rPr>
          <w:rFonts w:ascii="Palatino Linotype" w:eastAsia="Calibri" w:hAnsi="Palatino Linotype"/>
          <w:b/>
          <w:bCs/>
          <w:sz w:val="22"/>
          <w:szCs w:val="22"/>
        </w:rPr>
        <w:t xml:space="preserve"> </w:t>
      </w:r>
      <w:r w:rsidRPr="00490E2E">
        <w:rPr>
          <w:rFonts w:ascii="Palatino Linotype" w:eastAsia="Calibri" w:hAnsi="Palatino Linotype"/>
          <w:sz w:val="22"/>
          <w:szCs w:val="22"/>
        </w:rPr>
        <w:t xml:space="preserve">respuesta entregada por el </w:t>
      </w:r>
      <w:r w:rsidR="005F6E78" w:rsidRPr="00490E2E">
        <w:rPr>
          <w:rFonts w:ascii="Palatino Linotype" w:eastAsia="Calibri" w:hAnsi="Palatino Linotype"/>
          <w:sz w:val="22"/>
          <w:szCs w:val="22"/>
        </w:rPr>
        <w:t xml:space="preserve">Poder Legislativo </w:t>
      </w:r>
      <w:r w:rsidRPr="00490E2E">
        <w:rPr>
          <w:rFonts w:ascii="Palatino Linotype" w:eastAsia="Calibri" w:hAnsi="Palatino Linotype"/>
          <w:sz w:val="22"/>
          <w:szCs w:val="22"/>
        </w:rPr>
        <w:t xml:space="preserve">a la solicitud de información </w:t>
      </w:r>
      <w:r w:rsidR="001A1BF5" w:rsidRPr="00490E2E">
        <w:rPr>
          <w:rFonts w:ascii="Palatino Linotype" w:hAnsi="Palatino Linotype"/>
          <w:sz w:val="22"/>
          <w:szCs w:val="22"/>
        </w:rPr>
        <w:t xml:space="preserve">00313/PLEGISLA/IP/2025 </w:t>
      </w:r>
      <w:r w:rsidRPr="00490E2E">
        <w:rPr>
          <w:rFonts w:ascii="Palatino Linotype" w:eastAsia="Calibri" w:hAnsi="Palatino Linotype"/>
          <w:sz w:val="22"/>
          <w:szCs w:val="22"/>
        </w:rPr>
        <w:t xml:space="preserve">por resultar </w:t>
      </w:r>
      <w:r w:rsidRPr="00490E2E">
        <w:rPr>
          <w:rFonts w:ascii="Palatino Linotype" w:eastAsia="Calibri" w:hAnsi="Palatino Linotype"/>
          <w:b/>
          <w:bCs/>
          <w:caps/>
          <w:sz w:val="22"/>
          <w:szCs w:val="22"/>
        </w:rPr>
        <w:t>fundadas</w:t>
      </w:r>
      <w:r w:rsidRPr="00490E2E">
        <w:rPr>
          <w:rFonts w:ascii="Palatino Linotype" w:eastAsia="Calibri" w:hAnsi="Palatino Linotype"/>
          <w:sz w:val="22"/>
          <w:szCs w:val="22"/>
        </w:rPr>
        <w:t xml:space="preserve"> las razones o motivos de inconformidad hechos valer por el Recurrente, en términos de los considerandos QUINTO y SEXTO de la presente Resolución.</w:t>
      </w:r>
    </w:p>
    <w:p w14:paraId="49F73CF3" w14:textId="77777777" w:rsidR="00CB7C2B" w:rsidRPr="00490E2E" w:rsidRDefault="00CB7C2B" w:rsidP="00AE1806">
      <w:pPr>
        <w:widowControl w:val="0"/>
        <w:spacing w:line="360" w:lineRule="auto"/>
        <w:contextualSpacing/>
        <w:jc w:val="both"/>
        <w:rPr>
          <w:rFonts w:ascii="Palatino Linotype" w:eastAsia="Calibri" w:hAnsi="Palatino Linotype"/>
          <w:sz w:val="22"/>
          <w:szCs w:val="22"/>
        </w:rPr>
      </w:pPr>
    </w:p>
    <w:p w14:paraId="2CEA0361" w14:textId="55E58BF6" w:rsidR="00CB7C2B" w:rsidRPr="00490E2E" w:rsidRDefault="00CB7C2B" w:rsidP="00AE1806">
      <w:pPr>
        <w:spacing w:line="360" w:lineRule="auto"/>
        <w:contextualSpacing/>
        <w:jc w:val="both"/>
        <w:rPr>
          <w:rFonts w:ascii="Palatino Linotype" w:eastAsia="Calibri" w:hAnsi="Palatino Linotype" w:cs="Tahoma"/>
          <w:sz w:val="22"/>
          <w:szCs w:val="22"/>
        </w:rPr>
      </w:pPr>
      <w:r w:rsidRPr="00490E2E">
        <w:rPr>
          <w:rFonts w:ascii="Palatino Linotype" w:hAnsi="Palatino Linotype"/>
          <w:b/>
          <w:sz w:val="22"/>
          <w:szCs w:val="22"/>
        </w:rPr>
        <w:t xml:space="preserve">SEGUNDO. </w:t>
      </w:r>
      <w:r w:rsidRPr="00490E2E">
        <w:rPr>
          <w:rFonts w:ascii="Palatino Linotype" w:hAnsi="Palatino Linotype"/>
          <w:sz w:val="22"/>
          <w:szCs w:val="22"/>
        </w:rPr>
        <w:t xml:space="preserve">Se </w:t>
      </w:r>
      <w:r w:rsidRPr="00490E2E">
        <w:rPr>
          <w:rFonts w:ascii="Palatino Linotype" w:hAnsi="Palatino Linotype"/>
          <w:b/>
          <w:sz w:val="22"/>
          <w:szCs w:val="22"/>
        </w:rPr>
        <w:t>ORDENA</w:t>
      </w:r>
      <w:r w:rsidRPr="00490E2E">
        <w:rPr>
          <w:rFonts w:ascii="Palatino Linotype" w:hAnsi="Palatino Linotype"/>
          <w:sz w:val="22"/>
          <w:szCs w:val="22"/>
        </w:rPr>
        <w:t xml:space="preserve"> al Ente Recurrido</w:t>
      </w:r>
      <w:r w:rsidRPr="00490E2E">
        <w:rPr>
          <w:rFonts w:ascii="Palatino Linotype" w:hAnsi="Palatino Linotype"/>
          <w:b/>
          <w:sz w:val="22"/>
          <w:szCs w:val="22"/>
        </w:rPr>
        <w:t xml:space="preserve">, </w:t>
      </w:r>
      <w:r w:rsidRPr="00490E2E">
        <w:rPr>
          <w:rFonts w:ascii="Palatino Linotype" w:hAnsi="Palatino Linotype" w:cs="Tahoma"/>
          <w:sz w:val="22"/>
          <w:szCs w:val="22"/>
        </w:rPr>
        <w:t xml:space="preserve">a efecto de que </w:t>
      </w:r>
      <w:r w:rsidRPr="00490E2E">
        <w:rPr>
          <w:rFonts w:ascii="Palatino Linotype" w:eastAsia="Calibri" w:hAnsi="Palatino Linotype" w:cs="Tahoma"/>
          <w:sz w:val="22"/>
          <w:szCs w:val="22"/>
          <w:lang w:eastAsia="es-MX"/>
        </w:rPr>
        <w:t>entregue</w:t>
      </w:r>
      <w:r w:rsidRPr="00490E2E">
        <w:rPr>
          <w:rFonts w:ascii="Palatino Linotype" w:eastAsia="Calibri" w:hAnsi="Palatino Linotype" w:cs="Tahoma"/>
          <w:sz w:val="22"/>
          <w:szCs w:val="22"/>
        </w:rPr>
        <w:t>, a través del SAIMEX, previa búsqueda exhaustiva y razonable</w:t>
      </w:r>
      <w:r w:rsidR="00AE1806" w:rsidRPr="00490E2E">
        <w:rPr>
          <w:rFonts w:ascii="Palatino Linotype" w:eastAsia="Calibri" w:hAnsi="Palatino Linotype" w:cs="Tahoma"/>
          <w:sz w:val="22"/>
          <w:szCs w:val="22"/>
        </w:rPr>
        <w:t xml:space="preserve"> en las unidades administrativas competentes, </w:t>
      </w:r>
      <w:r w:rsidRPr="00490E2E">
        <w:rPr>
          <w:rFonts w:ascii="Palatino Linotype" w:eastAsia="Calibri" w:hAnsi="Palatino Linotype" w:cs="Tahoma"/>
          <w:sz w:val="22"/>
          <w:szCs w:val="22"/>
        </w:rPr>
        <w:t>en versión pública</w:t>
      </w:r>
      <w:r w:rsidR="001A1BF5" w:rsidRPr="00490E2E">
        <w:rPr>
          <w:rFonts w:ascii="Palatino Linotype" w:eastAsia="Calibri" w:hAnsi="Palatino Linotype" w:cs="Tahoma"/>
          <w:sz w:val="22"/>
          <w:szCs w:val="22"/>
        </w:rPr>
        <w:t>, lo siguiente:</w:t>
      </w:r>
    </w:p>
    <w:p w14:paraId="2D297305" w14:textId="77777777" w:rsidR="001A1BF5" w:rsidRPr="00490E2E" w:rsidRDefault="001A1BF5" w:rsidP="00AE1806">
      <w:pPr>
        <w:spacing w:line="360" w:lineRule="auto"/>
        <w:contextualSpacing/>
        <w:jc w:val="both"/>
        <w:rPr>
          <w:rFonts w:ascii="Palatino Linotype" w:eastAsia="Calibri" w:hAnsi="Palatino Linotype" w:cs="Tahoma"/>
          <w:sz w:val="22"/>
          <w:szCs w:val="22"/>
        </w:rPr>
      </w:pPr>
    </w:p>
    <w:p w14:paraId="5080FBBA" w14:textId="178F45F6" w:rsidR="001A1BF5" w:rsidRPr="00490E2E" w:rsidRDefault="001A1BF5" w:rsidP="00AE1806">
      <w:pPr>
        <w:pStyle w:val="Prrafodelista"/>
        <w:numPr>
          <w:ilvl w:val="0"/>
          <w:numId w:val="22"/>
        </w:numPr>
        <w:spacing w:line="360" w:lineRule="auto"/>
        <w:jc w:val="both"/>
        <w:rPr>
          <w:rFonts w:ascii="Palatino Linotype" w:eastAsia="Calibri" w:hAnsi="Palatino Linotype" w:cs="Tahoma"/>
          <w:sz w:val="22"/>
          <w:szCs w:val="22"/>
        </w:rPr>
      </w:pPr>
      <w:r w:rsidRPr="00490E2E">
        <w:rPr>
          <w:rFonts w:ascii="Palatino Linotype" w:eastAsia="Calibri" w:hAnsi="Palatino Linotype" w:cs="Tahoma"/>
          <w:sz w:val="22"/>
          <w:szCs w:val="22"/>
        </w:rPr>
        <w:t xml:space="preserve">Los </w:t>
      </w:r>
      <w:r w:rsidR="006F0244" w:rsidRPr="00490E2E">
        <w:rPr>
          <w:rFonts w:ascii="Palatino Linotype" w:hAnsi="Palatino Linotype" w:cs="Tahoma"/>
          <w:sz w:val="22"/>
          <w:szCs w:val="22"/>
        </w:rPr>
        <w:t>Comprobantes de Percepciones y Deducciones</w:t>
      </w:r>
      <w:r w:rsidR="00AE1806" w:rsidRPr="00490E2E">
        <w:rPr>
          <w:rFonts w:ascii="Palatino Linotype" w:hAnsi="Palatino Linotype" w:cs="Tahoma"/>
          <w:sz w:val="22"/>
          <w:szCs w:val="22"/>
        </w:rPr>
        <w:t xml:space="preserve"> o los Comprobantes Fiscales Digitales por Internet,</w:t>
      </w:r>
      <w:r w:rsidR="006F0244" w:rsidRPr="00490E2E">
        <w:rPr>
          <w:rFonts w:ascii="Palatino Linotype" w:hAnsi="Palatino Linotype" w:cs="Tahoma"/>
          <w:sz w:val="22"/>
          <w:szCs w:val="22"/>
        </w:rPr>
        <w:t xml:space="preserve"> por concepto de nómina</w:t>
      </w:r>
      <w:r w:rsidRPr="00490E2E">
        <w:rPr>
          <w:rFonts w:ascii="Palatino Linotype" w:eastAsia="Calibri" w:hAnsi="Palatino Linotype" w:cs="Tahoma"/>
          <w:sz w:val="22"/>
          <w:szCs w:val="22"/>
        </w:rPr>
        <w:t xml:space="preserve"> de la segunda quincena de abril, y primera quincena de mayo de dos mil veinticinco</w:t>
      </w:r>
      <w:r w:rsidR="007154F4" w:rsidRPr="00490E2E">
        <w:rPr>
          <w:rFonts w:ascii="Palatino Linotype" w:eastAsia="Calibri" w:hAnsi="Palatino Linotype" w:cs="Tahoma"/>
          <w:sz w:val="22"/>
          <w:szCs w:val="22"/>
        </w:rPr>
        <w:t>,</w:t>
      </w:r>
      <w:r w:rsidR="00AE1806" w:rsidRPr="00490E2E">
        <w:rPr>
          <w:rFonts w:ascii="Palatino Linotype" w:eastAsia="Calibri" w:hAnsi="Palatino Linotype" w:cs="Tahoma"/>
          <w:sz w:val="22"/>
          <w:szCs w:val="22"/>
        </w:rPr>
        <w:t xml:space="preserve"> del servidor público</w:t>
      </w:r>
      <w:r w:rsidRPr="00490E2E">
        <w:rPr>
          <w:rFonts w:ascii="Palatino Linotype" w:eastAsia="Calibri" w:hAnsi="Palatino Linotype" w:cs="Tahoma"/>
          <w:sz w:val="22"/>
          <w:szCs w:val="22"/>
        </w:rPr>
        <w:t xml:space="preserve"> </w:t>
      </w:r>
      <w:r w:rsidR="00AE1806" w:rsidRPr="00490E2E">
        <w:rPr>
          <w:rFonts w:ascii="Palatino Linotype" w:eastAsia="Calibri" w:hAnsi="Palatino Linotype" w:cs="Tahoma"/>
          <w:sz w:val="22"/>
          <w:szCs w:val="22"/>
        </w:rPr>
        <w:t>referido en el Considerando QUINTO</w:t>
      </w:r>
      <w:r w:rsidR="007154F4" w:rsidRPr="00490E2E">
        <w:rPr>
          <w:rFonts w:ascii="Palatino Linotype" w:eastAsia="Calibri" w:hAnsi="Palatino Linotype" w:cs="Tahoma"/>
          <w:sz w:val="22"/>
          <w:szCs w:val="22"/>
        </w:rPr>
        <w:t>.</w:t>
      </w:r>
    </w:p>
    <w:p w14:paraId="2890768F" w14:textId="77777777" w:rsidR="00CB7C2B" w:rsidRPr="00490E2E" w:rsidRDefault="00CB7C2B" w:rsidP="00AE1806">
      <w:pPr>
        <w:spacing w:line="360" w:lineRule="auto"/>
        <w:contextualSpacing/>
        <w:jc w:val="both"/>
        <w:rPr>
          <w:rFonts w:ascii="Palatino Linotype" w:hAnsi="Palatino Linotype" w:cs="Tahoma"/>
          <w:bCs/>
          <w:color w:val="0D0D0D" w:themeColor="text1" w:themeTint="F2"/>
          <w:sz w:val="22"/>
          <w:szCs w:val="22"/>
          <w:lang w:val="es-ES"/>
        </w:rPr>
      </w:pPr>
    </w:p>
    <w:p w14:paraId="49210904" w14:textId="6505C326" w:rsidR="00CB7C2B" w:rsidRPr="00490E2E" w:rsidRDefault="00AE1806" w:rsidP="00AE1806">
      <w:pPr>
        <w:spacing w:line="360" w:lineRule="auto"/>
        <w:contextualSpacing/>
        <w:jc w:val="both"/>
        <w:rPr>
          <w:rFonts w:ascii="Palatino Linotype" w:hAnsi="Palatino Linotype" w:cs="Tahoma"/>
          <w:bCs/>
          <w:iCs/>
          <w:sz w:val="22"/>
          <w:szCs w:val="22"/>
        </w:rPr>
      </w:pPr>
      <w:r w:rsidRPr="00490E2E">
        <w:rPr>
          <w:rFonts w:ascii="Palatino Linotype" w:hAnsi="Palatino Linotype" w:cs="Tahoma"/>
          <w:bCs/>
          <w:iCs/>
          <w:sz w:val="22"/>
          <w:szCs w:val="22"/>
        </w:rPr>
        <w:t>Además</w:t>
      </w:r>
      <w:r w:rsidR="00CB7C2B" w:rsidRPr="00490E2E">
        <w:rPr>
          <w:rFonts w:ascii="Palatino Linotype" w:hAnsi="Palatino Linotype" w:cs="Tahoma"/>
          <w:bCs/>
          <w:iCs/>
          <w:sz w:val="22"/>
          <w:szCs w:val="22"/>
        </w:rPr>
        <w:t xml:space="preserve">, deberá proporcionar el Acuerdo de Clasificación donde el Comité de Transparencia, confirme la eliminación de los datos confidenciales de los documentos, en la versión pública, de conformidad con los artículos 49, fracciones II y VIII, 132, fracción II, 143, fracción I, y 149 de la Ley de Transparencia y Acceso a la Información Pública del Estado de México y Municipios. </w:t>
      </w:r>
    </w:p>
    <w:p w14:paraId="545E7AAF" w14:textId="77777777" w:rsidR="00CB7C2B" w:rsidRPr="00490E2E" w:rsidRDefault="00CB7C2B" w:rsidP="00AE1806">
      <w:pPr>
        <w:spacing w:line="360" w:lineRule="auto"/>
        <w:contextualSpacing/>
        <w:jc w:val="both"/>
        <w:rPr>
          <w:rFonts w:ascii="Palatino Linotype" w:hAnsi="Palatino Linotype" w:cs="Tahoma"/>
          <w:bCs/>
          <w:iCs/>
          <w:sz w:val="22"/>
          <w:szCs w:val="22"/>
        </w:rPr>
      </w:pPr>
    </w:p>
    <w:p w14:paraId="479560EB" w14:textId="77777777" w:rsidR="00CB7C2B" w:rsidRPr="00490E2E" w:rsidRDefault="00CB7C2B" w:rsidP="00AE1806">
      <w:pPr>
        <w:spacing w:line="360" w:lineRule="auto"/>
        <w:contextualSpacing/>
        <w:jc w:val="both"/>
        <w:rPr>
          <w:rFonts w:ascii="Palatino Linotype" w:eastAsia="Calibri" w:hAnsi="Palatino Linotype" w:cs="Tahoma"/>
          <w:iCs/>
          <w:sz w:val="22"/>
          <w:szCs w:val="22"/>
        </w:rPr>
      </w:pPr>
      <w:r w:rsidRPr="00490E2E">
        <w:rPr>
          <w:rFonts w:ascii="Palatino Linotype" w:eastAsia="Calibri" w:hAnsi="Palatino Linotype" w:cs="Tahoma"/>
          <w:b/>
          <w:bCs/>
          <w:iCs/>
          <w:sz w:val="22"/>
          <w:szCs w:val="22"/>
        </w:rPr>
        <w:t>TERCERO. NOTIFÍQUESE POR SAIMEX</w:t>
      </w:r>
      <w:r w:rsidRPr="00490E2E">
        <w:rPr>
          <w:rFonts w:ascii="Palatino Linotype" w:eastAsia="Calibri" w:hAnsi="Palatino Linotype" w:cs="Tahoma"/>
          <w:iCs/>
          <w:sz w:val="22"/>
          <w:szCs w:val="22"/>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w:t>
      </w:r>
      <w:r w:rsidRPr="00490E2E">
        <w:rPr>
          <w:rFonts w:ascii="Palatino Linotype" w:eastAsia="Calibri" w:hAnsi="Palatino Linotype" w:cs="Tahoma"/>
          <w:iCs/>
          <w:sz w:val="22"/>
          <w:szCs w:val="22"/>
        </w:rPr>
        <w:lastRenderedPageBreak/>
        <w:t>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48B3ECF0" w14:textId="77777777" w:rsidR="00CB7C2B" w:rsidRPr="00490E2E" w:rsidRDefault="00CB7C2B" w:rsidP="00AE1806">
      <w:pPr>
        <w:spacing w:line="360" w:lineRule="auto"/>
        <w:contextualSpacing/>
        <w:jc w:val="both"/>
        <w:rPr>
          <w:rFonts w:ascii="Palatino Linotype" w:eastAsia="Calibri" w:hAnsi="Palatino Linotype" w:cs="Tahoma"/>
          <w:iCs/>
          <w:sz w:val="22"/>
          <w:szCs w:val="22"/>
        </w:rPr>
      </w:pPr>
      <w:r w:rsidRPr="00490E2E">
        <w:rPr>
          <w:rFonts w:ascii="Palatino Linotype" w:eastAsia="Calibri" w:hAnsi="Palatino Linotype" w:cs="Tahoma"/>
          <w:iCs/>
          <w:sz w:val="22"/>
          <w:szCs w:val="22"/>
        </w:rPr>
        <w:t xml:space="preserve"> </w:t>
      </w:r>
    </w:p>
    <w:p w14:paraId="39959DA9" w14:textId="77777777" w:rsidR="00CB7C2B" w:rsidRPr="00490E2E" w:rsidRDefault="00CB7C2B" w:rsidP="00AE1806">
      <w:pPr>
        <w:spacing w:line="360" w:lineRule="auto"/>
        <w:contextualSpacing/>
        <w:jc w:val="both"/>
        <w:rPr>
          <w:rFonts w:ascii="Palatino Linotype" w:eastAsia="Calibri" w:hAnsi="Palatino Linotype" w:cs="Tahoma"/>
          <w:iCs/>
          <w:sz w:val="22"/>
          <w:szCs w:val="22"/>
        </w:rPr>
      </w:pPr>
      <w:r w:rsidRPr="00490E2E">
        <w:rPr>
          <w:rFonts w:ascii="Palatino Linotype" w:eastAsia="Calibri"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BCE3A81" w14:textId="77777777" w:rsidR="00CB7C2B" w:rsidRPr="00490E2E" w:rsidRDefault="00CB7C2B" w:rsidP="00AE1806">
      <w:pPr>
        <w:spacing w:line="360" w:lineRule="auto"/>
        <w:contextualSpacing/>
        <w:jc w:val="both"/>
        <w:rPr>
          <w:rFonts w:ascii="Palatino Linotype" w:eastAsia="Calibri" w:hAnsi="Palatino Linotype" w:cs="Tahoma"/>
          <w:iCs/>
          <w:sz w:val="22"/>
          <w:szCs w:val="22"/>
        </w:rPr>
      </w:pPr>
      <w:r w:rsidRPr="00490E2E">
        <w:rPr>
          <w:rFonts w:ascii="Palatino Linotype" w:eastAsia="Calibri" w:hAnsi="Palatino Linotype" w:cs="Tahoma"/>
          <w:iCs/>
          <w:sz w:val="22"/>
          <w:szCs w:val="22"/>
        </w:rPr>
        <w:t xml:space="preserve"> </w:t>
      </w:r>
    </w:p>
    <w:p w14:paraId="71A74618" w14:textId="77777777" w:rsidR="00CB7C2B" w:rsidRPr="00490E2E" w:rsidRDefault="00CB7C2B" w:rsidP="00AE1806">
      <w:pPr>
        <w:spacing w:line="360" w:lineRule="auto"/>
        <w:contextualSpacing/>
        <w:jc w:val="both"/>
        <w:rPr>
          <w:rFonts w:ascii="Palatino Linotype" w:eastAsia="Calibri" w:hAnsi="Palatino Linotype" w:cs="Tahoma"/>
          <w:iCs/>
          <w:sz w:val="22"/>
          <w:szCs w:val="22"/>
        </w:rPr>
      </w:pPr>
      <w:r w:rsidRPr="00490E2E">
        <w:rPr>
          <w:rFonts w:ascii="Palatino Linotype" w:eastAsia="Calibri" w:hAnsi="Palatino Linotype" w:cs="Tahoma"/>
          <w:b/>
          <w:bCs/>
          <w:iCs/>
          <w:sz w:val="22"/>
          <w:szCs w:val="22"/>
        </w:rPr>
        <w:t>CUARTO. NOTIFÍQUESE POR SAIMEX</w:t>
      </w:r>
      <w:r w:rsidRPr="00490E2E">
        <w:rPr>
          <w:rFonts w:ascii="Palatino Linotype" w:eastAsia="Calibri" w:hAnsi="Palatino Linotype" w:cs="Tahoma"/>
          <w:iCs/>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93901C0" w14:textId="77777777" w:rsidR="00CB7C2B" w:rsidRPr="00490E2E" w:rsidRDefault="00CB7C2B" w:rsidP="00AE1806">
      <w:pPr>
        <w:spacing w:line="360" w:lineRule="auto"/>
        <w:contextualSpacing/>
        <w:jc w:val="both"/>
        <w:rPr>
          <w:rFonts w:ascii="Palatino Linotype" w:eastAsia="Calibri" w:hAnsi="Palatino Linotype" w:cs="Tahoma"/>
          <w:iCs/>
          <w:sz w:val="22"/>
          <w:szCs w:val="22"/>
        </w:rPr>
      </w:pPr>
    </w:p>
    <w:p w14:paraId="5B05067A" w14:textId="77777777" w:rsidR="00CB7C2B" w:rsidRDefault="00CB7C2B" w:rsidP="00AE1806">
      <w:pPr>
        <w:spacing w:line="360" w:lineRule="auto"/>
        <w:contextualSpacing/>
        <w:jc w:val="both"/>
        <w:rPr>
          <w:rFonts w:ascii="Palatino Linotype" w:hAnsi="Palatino Linotype" w:cs="Tahoma"/>
          <w:bCs/>
          <w:iCs/>
          <w:sz w:val="22"/>
          <w:szCs w:val="22"/>
        </w:rPr>
      </w:pPr>
      <w:r w:rsidRPr="00490E2E">
        <w:rPr>
          <w:rFonts w:ascii="Palatino Linotype" w:eastAsia="Calibri" w:hAnsi="Palatino Linotype" w:cs="Tahoma"/>
          <w:iCs/>
          <w:sz w:val="22"/>
          <w:szCs w:val="22"/>
        </w:rPr>
        <w:t xml:space="preserve">ASÍ LO RESUELVE, POR </w:t>
      </w:r>
      <w:r w:rsidRPr="00490E2E">
        <w:rPr>
          <w:rFonts w:ascii="Palatino Linotype" w:eastAsia="Calibri" w:hAnsi="Palatino Linotype" w:cs="Tahoma"/>
          <w:b/>
          <w:bCs/>
          <w:iCs/>
          <w:sz w:val="22"/>
          <w:szCs w:val="22"/>
        </w:rPr>
        <w:t>UNANIMIDAD</w:t>
      </w:r>
      <w:r w:rsidRPr="00490E2E">
        <w:rPr>
          <w:rFonts w:ascii="Palatino Linotype" w:eastAsia="Calibri" w:hAnsi="Palatino Linotype" w:cs="Tahoma"/>
          <w:iCs/>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SÉPTIMA SESIÓN ORDINARIA, CELEBRADA EL SEIS DE AGOSTO DE DOS MIL VEINTICINCO, ANTE EL SECRETARIO TÉCNICO DEL PLENO, ALEXIS TAPIA RAMÍREZ.</w:t>
      </w:r>
    </w:p>
    <w:p w14:paraId="6AD66D74" w14:textId="77777777" w:rsidR="00CB7C2B" w:rsidRDefault="00CB7C2B" w:rsidP="00AE1806">
      <w:pPr>
        <w:spacing w:line="360" w:lineRule="auto"/>
        <w:contextualSpacing/>
        <w:rPr>
          <w:rFonts w:ascii="Palatino Linotype" w:hAnsi="Palatino Linotype"/>
        </w:rPr>
      </w:pPr>
    </w:p>
    <w:p w14:paraId="3F31F400" w14:textId="77777777" w:rsidR="00CB7C2B" w:rsidRDefault="00CB7C2B" w:rsidP="00AE1806">
      <w:pPr>
        <w:spacing w:line="360" w:lineRule="auto"/>
        <w:contextualSpacing/>
        <w:rPr>
          <w:rFonts w:ascii="Palatino Linotype" w:hAnsi="Palatino Linotype"/>
        </w:rPr>
      </w:pPr>
    </w:p>
    <w:p w14:paraId="7A6A7D63" w14:textId="77777777" w:rsidR="00CB7C2B" w:rsidRDefault="00CB7C2B" w:rsidP="00AE1806">
      <w:pPr>
        <w:spacing w:line="360" w:lineRule="auto"/>
        <w:contextualSpacing/>
        <w:rPr>
          <w:rFonts w:ascii="Palatino Linotype" w:hAnsi="Palatino Linotype"/>
        </w:rPr>
      </w:pPr>
    </w:p>
    <w:p w14:paraId="6259338D" w14:textId="77777777" w:rsidR="00CB7C2B" w:rsidRDefault="00CB7C2B" w:rsidP="00AE1806">
      <w:pPr>
        <w:spacing w:line="360" w:lineRule="auto"/>
        <w:contextualSpacing/>
        <w:rPr>
          <w:rFonts w:ascii="Palatino Linotype" w:hAnsi="Palatino Linotype"/>
        </w:rPr>
      </w:pPr>
    </w:p>
    <w:p w14:paraId="131B9A57" w14:textId="77777777" w:rsidR="00CB7C2B" w:rsidRDefault="00CB7C2B" w:rsidP="00AE1806">
      <w:pPr>
        <w:spacing w:line="360" w:lineRule="auto"/>
        <w:contextualSpacing/>
        <w:rPr>
          <w:rFonts w:ascii="Palatino Linotype" w:hAnsi="Palatino Linotype"/>
        </w:rPr>
      </w:pPr>
    </w:p>
    <w:p w14:paraId="24FCC796" w14:textId="77777777" w:rsidR="00CB7C2B" w:rsidRDefault="00CB7C2B" w:rsidP="00AE1806">
      <w:pPr>
        <w:spacing w:line="360" w:lineRule="auto"/>
        <w:contextualSpacing/>
        <w:rPr>
          <w:rFonts w:ascii="Palatino Linotype" w:hAnsi="Palatino Linotype"/>
        </w:rPr>
      </w:pPr>
    </w:p>
    <w:p w14:paraId="10818004" w14:textId="77777777" w:rsidR="00CB7C2B" w:rsidRDefault="00CB7C2B" w:rsidP="00AE1806">
      <w:pPr>
        <w:spacing w:line="360" w:lineRule="auto"/>
        <w:contextualSpacing/>
        <w:rPr>
          <w:rFonts w:ascii="Palatino Linotype" w:hAnsi="Palatino Linotype"/>
        </w:rPr>
      </w:pPr>
    </w:p>
    <w:p w14:paraId="5318C79C" w14:textId="77777777" w:rsidR="00CB7C2B" w:rsidRDefault="00CB7C2B" w:rsidP="00AE1806">
      <w:pPr>
        <w:spacing w:line="360" w:lineRule="auto"/>
        <w:contextualSpacing/>
        <w:rPr>
          <w:rFonts w:ascii="Palatino Linotype" w:hAnsi="Palatino Linotype"/>
        </w:rPr>
      </w:pPr>
    </w:p>
    <w:p w14:paraId="78AE8150" w14:textId="77777777" w:rsidR="00CB7C2B" w:rsidRDefault="00CB7C2B" w:rsidP="00AE1806">
      <w:pPr>
        <w:spacing w:line="360" w:lineRule="auto"/>
        <w:contextualSpacing/>
        <w:rPr>
          <w:rFonts w:ascii="Palatino Linotype" w:hAnsi="Palatino Linotype"/>
        </w:rPr>
      </w:pPr>
    </w:p>
    <w:p w14:paraId="59A3CB81" w14:textId="77777777" w:rsidR="00CB7C2B" w:rsidRDefault="00CB7C2B" w:rsidP="00AE1806">
      <w:pPr>
        <w:spacing w:line="360" w:lineRule="auto"/>
        <w:contextualSpacing/>
        <w:rPr>
          <w:rFonts w:ascii="Palatino Linotype" w:hAnsi="Palatino Linotype"/>
        </w:rPr>
      </w:pPr>
    </w:p>
    <w:p w14:paraId="7BC2EE00" w14:textId="77777777" w:rsidR="00CB7C2B" w:rsidRDefault="00CB7C2B" w:rsidP="00AE1806">
      <w:pPr>
        <w:spacing w:line="360" w:lineRule="auto"/>
        <w:contextualSpacing/>
        <w:rPr>
          <w:rFonts w:ascii="Palatino Linotype" w:hAnsi="Palatino Linotype"/>
        </w:rPr>
      </w:pPr>
    </w:p>
    <w:p w14:paraId="0031638D" w14:textId="77777777" w:rsidR="00CB7C2B" w:rsidRDefault="00CB7C2B" w:rsidP="00AE1806">
      <w:pPr>
        <w:spacing w:line="360" w:lineRule="auto"/>
        <w:contextualSpacing/>
        <w:rPr>
          <w:rFonts w:ascii="Palatino Linotype" w:hAnsi="Palatino Linotype"/>
        </w:rPr>
      </w:pPr>
    </w:p>
    <w:p w14:paraId="01C4BAEB" w14:textId="77777777" w:rsidR="00CB7C2B" w:rsidRDefault="00CB7C2B" w:rsidP="00AE1806">
      <w:pPr>
        <w:spacing w:line="360" w:lineRule="auto"/>
        <w:contextualSpacing/>
        <w:rPr>
          <w:rFonts w:ascii="Palatino Linotype" w:hAnsi="Palatino Linotype"/>
        </w:rPr>
      </w:pPr>
    </w:p>
    <w:p w14:paraId="734380AB" w14:textId="77777777" w:rsidR="00CB7C2B" w:rsidRDefault="00CB7C2B" w:rsidP="00AE1806">
      <w:pPr>
        <w:spacing w:line="360" w:lineRule="auto"/>
        <w:contextualSpacing/>
        <w:rPr>
          <w:rFonts w:ascii="Palatino Linotype" w:hAnsi="Palatino Linotype"/>
        </w:rPr>
      </w:pPr>
    </w:p>
    <w:p w14:paraId="7FAC0A47" w14:textId="77777777" w:rsidR="00CB7C2B" w:rsidRDefault="00CB7C2B" w:rsidP="00AE1806">
      <w:pPr>
        <w:spacing w:line="360" w:lineRule="auto"/>
        <w:contextualSpacing/>
        <w:rPr>
          <w:rFonts w:ascii="Palatino Linotype" w:hAnsi="Palatino Linotype"/>
        </w:rPr>
      </w:pPr>
    </w:p>
    <w:p w14:paraId="061354FC" w14:textId="77777777" w:rsidR="00CB7C2B" w:rsidRDefault="00CB7C2B" w:rsidP="00AE1806">
      <w:pPr>
        <w:spacing w:line="360" w:lineRule="auto"/>
        <w:contextualSpacing/>
        <w:rPr>
          <w:rFonts w:ascii="Palatino Linotype" w:hAnsi="Palatino Linotype"/>
        </w:rPr>
      </w:pPr>
    </w:p>
    <w:p w14:paraId="2EAFFF85" w14:textId="77777777" w:rsidR="00CB7C2B" w:rsidRDefault="00CB7C2B" w:rsidP="00AE1806">
      <w:pPr>
        <w:spacing w:line="360" w:lineRule="auto"/>
        <w:contextualSpacing/>
        <w:rPr>
          <w:rFonts w:ascii="Palatino Linotype" w:hAnsi="Palatino Linotype"/>
        </w:rPr>
      </w:pPr>
    </w:p>
    <w:p w14:paraId="30EA5F18" w14:textId="77777777" w:rsidR="00CB7C2B" w:rsidRDefault="00CB7C2B" w:rsidP="00AE1806">
      <w:pPr>
        <w:spacing w:line="360" w:lineRule="auto"/>
        <w:contextualSpacing/>
        <w:rPr>
          <w:rFonts w:ascii="Palatino Linotype" w:hAnsi="Palatino Linotype"/>
        </w:rPr>
      </w:pPr>
    </w:p>
    <w:p w14:paraId="2A4EE407" w14:textId="77777777" w:rsidR="00CB7C2B" w:rsidRDefault="00CB7C2B" w:rsidP="00AE1806">
      <w:pPr>
        <w:spacing w:line="360" w:lineRule="auto"/>
        <w:contextualSpacing/>
        <w:rPr>
          <w:rFonts w:ascii="Palatino Linotype" w:hAnsi="Palatino Linotype"/>
        </w:rPr>
      </w:pPr>
    </w:p>
    <w:p w14:paraId="2F8E9EE2" w14:textId="77777777" w:rsidR="00CB7C2B" w:rsidRDefault="00CB7C2B" w:rsidP="00AE1806">
      <w:pPr>
        <w:spacing w:line="360" w:lineRule="auto"/>
        <w:contextualSpacing/>
        <w:rPr>
          <w:rFonts w:ascii="Palatino Linotype" w:hAnsi="Palatino Linotype"/>
        </w:rPr>
      </w:pPr>
    </w:p>
    <w:p w14:paraId="0D7222BD" w14:textId="77777777" w:rsidR="00CB7C2B" w:rsidRPr="00537F14" w:rsidRDefault="00CB7C2B" w:rsidP="00AE1806">
      <w:pPr>
        <w:spacing w:line="360" w:lineRule="auto"/>
        <w:contextualSpacing/>
        <w:rPr>
          <w:rFonts w:ascii="Palatino Linotype" w:hAnsi="Palatino Linotype"/>
        </w:rPr>
      </w:pPr>
    </w:p>
    <w:p w14:paraId="6EAB6FF1" w14:textId="77777777" w:rsidR="00CB7C2B" w:rsidRDefault="00CB7C2B" w:rsidP="00AE1806">
      <w:pPr>
        <w:spacing w:line="360" w:lineRule="auto"/>
        <w:contextualSpacing/>
      </w:pPr>
    </w:p>
    <w:p w14:paraId="41F27519" w14:textId="77777777" w:rsidR="00CB7C2B" w:rsidRDefault="00CB7C2B" w:rsidP="00AE1806">
      <w:pPr>
        <w:spacing w:line="360" w:lineRule="auto"/>
        <w:contextualSpacing/>
      </w:pPr>
    </w:p>
    <w:p w14:paraId="0D83265D" w14:textId="77777777" w:rsidR="00CB7C2B" w:rsidRDefault="00CB7C2B" w:rsidP="00AE1806">
      <w:pPr>
        <w:spacing w:line="360" w:lineRule="auto"/>
        <w:contextualSpacing/>
      </w:pPr>
    </w:p>
    <w:p w14:paraId="7B636EEF" w14:textId="77777777" w:rsidR="00CB7C2B" w:rsidRDefault="00CB7C2B" w:rsidP="00AE1806">
      <w:pPr>
        <w:spacing w:line="360" w:lineRule="auto"/>
        <w:contextualSpacing/>
      </w:pPr>
    </w:p>
    <w:p w14:paraId="30A3CD06" w14:textId="77777777" w:rsidR="00CB7C2B" w:rsidRDefault="00CB7C2B" w:rsidP="00AE1806">
      <w:pPr>
        <w:spacing w:line="360" w:lineRule="auto"/>
        <w:contextualSpacing/>
      </w:pPr>
    </w:p>
    <w:p w14:paraId="16FD1EF2" w14:textId="77777777" w:rsidR="00CB7C2B" w:rsidRDefault="00CB7C2B" w:rsidP="00AE1806">
      <w:pPr>
        <w:spacing w:line="360" w:lineRule="auto"/>
        <w:contextualSpacing/>
      </w:pPr>
    </w:p>
    <w:p w14:paraId="0798F37F" w14:textId="77777777" w:rsidR="00CB7C2B" w:rsidRDefault="00CB7C2B" w:rsidP="00AE1806">
      <w:pPr>
        <w:spacing w:line="360" w:lineRule="auto"/>
        <w:contextualSpacing/>
      </w:pPr>
    </w:p>
    <w:p w14:paraId="11C210DA" w14:textId="77777777" w:rsidR="00CB7C2B" w:rsidRDefault="00CB7C2B" w:rsidP="00AE1806">
      <w:pPr>
        <w:spacing w:line="360" w:lineRule="auto"/>
        <w:contextualSpacing/>
      </w:pPr>
    </w:p>
    <w:p w14:paraId="5D0D3A22" w14:textId="77777777" w:rsidR="00CB7C2B" w:rsidRDefault="00CB7C2B" w:rsidP="00AE1806">
      <w:pPr>
        <w:spacing w:line="360" w:lineRule="auto"/>
        <w:contextualSpacing/>
      </w:pPr>
    </w:p>
    <w:p w14:paraId="5F7C1A5E" w14:textId="77777777" w:rsidR="00CB7C2B" w:rsidRDefault="00CB7C2B" w:rsidP="00AE1806">
      <w:pPr>
        <w:spacing w:line="360" w:lineRule="auto"/>
        <w:contextualSpacing/>
      </w:pPr>
    </w:p>
    <w:p w14:paraId="370C7731" w14:textId="77777777" w:rsidR="00CB7C2B" w:rsidRDefault="00CB7C2B" w:rsidP="00AE1806">
      <w:pPr>
        <w:spacing w:line="360" w:lineRule="auto"/>
        <w:contextualSpacing/>
      </w:pPr>
    </w:p>
    <w:p w14:paraId="4BCA6EC0" w14:textId="77777777" w:rsidR="00B01980" w:rsidRDefault="00B01980" w:rsidP="00AE1806">
      <w:pPr>
        <w:spacing w:line="360" w:lineRule="auto"/>
        <w:contextualSpacing/>
      </w:pPr>
    </w:p>
    <w:sectPr w:rsidR="00B01980" w:rsidSect="00CB7C2B">
      <w:headerReference w:type="even" r:id="rId15"/>
      <w:headerReference w:type="default" r:id="rId16"/>
      <w:footerReference w:type="even" r:id="rId17"/>
      <w:footerReference w:type="default" r:id="rId18"/>
      <w:headerReference w:type="first" r:id="rId19"/>
      <w:footerReference w:type="firs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4CD37" w14:textId="77777777" w:rsidR="00B966DA" w:rsidRDefault="00B966DA" w:rsidP="00CB7C2B">
      <w:r>
        <w:separator/>
      </w:r>
    </w:p>
  </w:endnote>
  <w:endnote w:type="continuationSeparator" w:id="0">
    <w:p w14:paraId="599B516D" w14:textId="77777777" w:rsidR="00B966DA" w:rsidRDefault="00B966DA" w:rsidP="00CB7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delle Sans Devanagari">
    <w:charset w:val="B2"/>
    <w:family w:val="auto"/>
    <w:pitch w:val="variable"/>
    <w:sig w:usb0="0300A007" w:usb1="00000001" w:usb2="00000008" w:usb3="00000000" w:csb0="000100D3"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3965779"/>
      <w:docPartObj>
        <w:docPartGallery w:val="Page Numbers (Bottom of Page)"/>
        <w:docPartUnique/>
      </w:docPartObj>
    </w:sdtPr>
    <w:sdtContent>
      <w:sdt>
        <w:sdtPr>
          <w:id w:val="40187052"/>
          <w:docPartObj>
            <w:docPartGallery w:val="Page Numbers (Top of Page)"/>
            <w:docPartUnique/>
          </w:docPartObj>
        </w:sdtPr>
        <w:sdtContent>
          <w:p w14:paraId="5277139E" w14:textId="77777777" w:rsidR="00A31B28" w:rsidRDefault="00A22B29">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Pr="00AA25BA">
              <w:rPr>
                <w:rFonts w:ascii="Palatino Linotype" w:hAnsi="Palatino Linotype"/>
                <w:b/>
                <w:bCs/>
                <w:sz w:val="22"/>
                <w:szCs w:val="22"/>
                <w:lang w:val="es-ES"/>
              </w:rPr>
              <w:t>2</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Pr="00AA25BA">
              <w:rPr>
                <w:rFonts w:ascii="Palatino Linotype" w:hAnsi="Palatino Linotype"/>
                <w:b/>
                <w:bCs/>
                <w:sz w:val="22"/>
                <w:szCs w:val="22"/>
                <w:lang w:val="es-ES"/>
              </w:rPr>
              <w:t>2</w:t>
            </w:r>
            <w:r w:rsidRPr="00AA25BA">
              <w:rPr>
                <w:rFonts w:ascii="Palatino Linotype" w:hAnsi="Palatino Linotype"/>
                <w:b/>
                <w:bCs/>
                <w:sz w:val="22"/>
                <w:szCs w:val="22"/>
              </w:rPr>
              <w:fldChar w:fldCharType="end"/>
            </w:r>
          </w:p>
        </w:sdtContent>
      </w:sdt>
    </w:sdtContent>
  </w:sdt>
  <w:p w14:paraId="3D3872CF" w14:textId="77777777" w:rsidR="00A31B28" w:rsidRDefault="00A31B2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1576908"/>
      <w:docPartObj>
        <w:docPartGallery w:val="Page Numbers (Bottom of Page)"/>
        <w:docPartUnique/>
      </w:docPartObj>
    </w:sdtPr>
    <w:sdtContent>
      <w:sdt>
        <w:sdtPr>
          <w:id w:val="736206068"/>
          <w:docPartObj>
            <w:docPartGallery w:val="Page Numbers (Top of Page)"/>
            <w:docPartUnique/>
          </w:docPartObj>
        </w:sdtPr>
        <w:sdtContent>
          <w:p w14:paraId="47D05F19" w14:textId="77777777" w:rsidR="00A31B28" w:rsidRDefault="00A22B29">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490E2E">
              <w:rPr>
                <w:rFonts w:ascii="Palatino Linotype" w:hAnsi="Palatino Linotype"/>
                <w:b/>
                <w:bCs/>
                <w:noProof/>
                <w:sz w:val="22"/>
                <w:szCs w:val="22"/>
              </w:rPr>
              <w:t>6</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490E2E">
              <w:rPr>
                <w:rFonts w:ascii="Palatino Linotype" w:hAnsi="Palatino Linotype"/>
                <w:b/>
                <w:bCs/>
                <w:noProof/>
                <w:sz w:val="22"/>
                <w:szCs w:val="22"/>
              </w:rPr>
              <w:t>34</w:t>
            </w:r>
            <w:r w:rsidRPr="00AA25BA">
              <w:rPr>
                <w:rFonts w:ascii="Palatino Linotype" w:hAnsi="Palatino Linotype"/>
                <w:b/>
                <w:bCs/>
                <w:sz w:val="22"/>
                <w:szCs w:val="22"/>
              </w:rPr>
              <w:fldChar w:fldCharType="end"/>
            </w:r>
          </w:p>
        </w:sdtContent>
      </w:sdt>
    </w:sdtContent>
  </w:sdt>
  <w:p w14:paraId="1FDD272A" w14:textId="77777777" w:rsidR="00A31B28" w:rsidRDefault="00A31B2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Palatino Linotype" w:hAnsi="Palatino Linotype"/>
        <w:sz w:val="22"/>
        <w:szCs w:val="22"/>
      </w:rPr>
      <w:id w:val="-974364972"/>
      <w:docPartObj>
        <w:docPartGallery w:val="Page Numbers (Bottom of Page)"/>
        <w:docPartUnique/>
      </w:docPartObj>
    </w:sdtPr>
    <w:sdtContent>
      <w:sdt>
        <w:sdtPr>
          <w:rPr>
            <w:rFonts w:ascii="Palatino Linotype" w:hAnsi="Palatino Linotype"/>
            <w:sz w:val="22"/>
            <w:szCs w:val="22"/>
          </w:rPr>
          <w:id w:val="-1769616900"/>
          <w:docPartObj>
            <w:docPartGallery w:val="Page Numbers (Top of Page)"/>
            <w:docPartUnique/>
          </w:docPartObj>
        </w:sdtPr>
        <w:sdtContent>
          <w:p w14:paraId="711809AC" w14:textId="77777777" w:rsidR="00A31B28" w:rsidRPr="00AA25BA" w:rsidRDefault="00A22B29">
            <w:pPr>
              <w:pStyle w:val="Piedepgina"/>
              <w:jc w:val="right"/>
              <w:rPr>
                <w:rFonts w:ascii="Palatino Linotype" w:hAnsi="Palatino Linotype"/>
                <w:sz w:val="22"/>
                <w:szCs w:val="22"/>
              </w:rPr>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490E2E">
              <w:rPr>
                <w:rFonts w:ascii="Palatino Linotype" w:hAnsi="Palatino Linotype"/>
                <w:b/>
                <w:bCs/>
                <w:noProof/>
                <w:sz w:val="22"/>
                <w:szCs w:val="22"/>
              </w:rPr>
              <w:t>1</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490E2E">
              <w:rPr>
                <w:rFonts w:ascii="Palatino Linotype" w:hAnsi="Palatino Linotype"/>
                <w:b/>
                <w:bCs/>
                <w:noProof/>
                <w:sz w:val="22"/>
                <w:szCs w:val="22"/>
              </w:rPr>
              <w:t>34</w:t>
            </w:r>
            <w:r w:rsidRPr="00AA25BA">
              <w:rPr>
                <w:rFonts w:ascii="Palatino Linotype" w:hAnsi="Palatino Linotype"/>
                <w:b/>
                <w:bCs/>
                <w:sz w:val="22"/>
                <w:szCs w:val="22"/>
              </w:rPr>
              <w:fldChar w:fldCharType="end"/>
            </w:r>
          </w:p>
        </w:sdtContent>
      </w:sdt>
    </w:sdtContent>
  </w:sdt>
  <w:p w14:paraId="42380997" w14:textId="77777777" w:rsidR="00A31B28" w:rsidRDefault="00A31B2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4E952" w14:textId="77777777" w:rsidR="00B966DA" w:rsidRDefault="00B966DA" w:rsidP="00CB7C2B">
      <w:r>
        <w:separator/>
      </w:r>
    </w:p>
  </w:footnote>
  <w:footnote w:type="continuationSeparator" w:id="0">
    <w:p w14:paraId="0F65BC32" w14:textId="77777777" w:rsidR="00B966DA" w:rsidRDefault="00B966DA" w:rsidP="00CB7C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05" w:type="dxa"/>
      <w:tblLayout w:type="fixed"/>
      <w:tblLook w:val="04A0" w:firstRow="1" w:lastRow="0" w:firstColumn="1" w:lastColumn="0" w:noHBand="0" w:noVBand="1"/>
    </w:tblPr>
    <w:tblGrid>
      <w:gridCol w:w="2972"/>
      <w:gridCol w:w="6733"/>
    </w:tblGrid>
    <w:tr w:rsidR="00A10D9E" w14:paraId="21DC98F4" w14:textId="77777777" w:rsidTr="00871CEF">
      <w:trPr>
        <w:trHeight w:val="1435"/>
      </w:trPr>
      <w:tc>
        <w:tcPr>
          <w:tcW w:w="2972" w:type="dxa"/>
        </w:tcPr>
        <w:p w14:paraId="3631B168" w14:textId="77777777" w:rsidR="00A31B28" w:rsidRDefault="00A31B28" w:rsidP="00871CEF">
          <w:pPr>
            <w:tabs>
              <w:tab w:val="right" w:pos="4273"/>
            </w:tabs>
            <w:spacing w:line="256" w:lineRule="auto"/>
            <w:rPr>
              <w:rFonts w:ascii="Garamond" w:eastAsia="Calibri" w:hAnsi="Garamond"/>
              <w:sz w:val="22"/>
              <w:szCs w:val="22"/>
              <w:lang w:eastAsia="en-US"/>
            </w:rPr>
          </w:pPr>
        </w:p>
      </w:tc>
      <w:tc>
        <w:tcPr>
          <w:tcW w:w="6733" w:type="dxa"/>
          <w:hideMark/>
        </w:tcPr>
        <w:tbl>
          <w:tblPr>
            <w:tblStyle w:val="Tablaconcuadrcula"/>
            <w:tblW w:w="5535" w:type="dxa"/>
            <w:tblInd w:w="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7"/>
            <w:gridCol w:w="3088"/>
          </w:tblGrid>
          <w:tr w:rsidR="00A10D9E" w14:paraId="6FAF04A8" w14:textId="77777777" w:rsidTr="00871CEF">
            <w:trPr>
              <w:trHeight w:val="144"/>
            </w:trPr>
            <w:tc>
              <w:tcPr>
                <w:tcW w:w="2447" w:type="dxa"/>
                <w:hideMark/>
              </w:tcPr>
              <w:p w14:paraId="2B6FB5F4" w14:textId="77777777" w:rsidR="00A31B28" w:rsidRPr="008A245E" w:rsidRDefault="00A22B29" w:rsidP="00871CEF">
                <w:pPr>
                  <w:tabs>
                    <w:tab w:val="right" w:pos="8838"/>
                  </w:tabs>
                  <w:ind w:left="-69"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Recurso de Revisión:</w:t>
                </w:r>
              </w:p>
            </w:tc>
            <w:tc>
              <w:tcPr>
                <w:tcW w:w="3088" w:type="dxa"/>
                <w:hideMark/>
              </w:tcPr>
              <w:p w14:paraId="77A42868" w14:textId="77777777" w:rsidR="00A31B28" w:rsidRPr="008A245E" w:rsidRDefault="00A22B29" w:rsidP="00871CEF">
                <w:pPr>
                  <w:tabs>
                    <w:tab w:val="right" w:pos="8838"/>
                  </w:tabs>
                  <w:ind w:left="-74" w:right="-105"/>
                  <w:jc w:val="both"/>
                  <w:rPr>
                    <w:rFonts w:ascii="Palatino Linotype" w:eastAsia="Calibri" w:hAnsi="Palatino Linotype" w:cs="Tahoma"/>
                    <w:bCs/>
                    <w:sz w:val="22"/>
                    <w:szCs w:val="22"/>
                    <w:lang w:eastAsia="en-US"/>
                  </w:rPr>
                </w:pPr>
                <w:r w:rsidRPr="008A245E">
                  <w:rPr>
                    <w:rFonts w:ascii="Palatino Linotype" w:eastAsia="Calibri" w:hAnsi="Palatino Linotype" w:cs="Tahoma"/>
                    <w:bCs/>
                    <w:sz w:val="22"/>
                    <w:szCs w:val="22"/>
                    <w:lang w:eastAsia="en-US"/>
                  </w:rPr>
                  <w:t>02946/INFOEM/IP/RR/2021</w:t>
                </w:r>
              </w:p>
            </w:tc>
          </w:tr>
          <w:tr w:rsidR="00A10D9E" w14:paraId="6E4116BF" w14:textId="77777777" w:rsidTr="00871CEF">
            <w:trPr>
              <w:trHeight w:val="283"/>
            </w:trPr>
            <w:tc>
              <w:tcPr>
                <w:tcW w:w="2447" w:type="dxa"/>
                <w:hideMark/>
              </w:tcPr>
              <w:p w14:paraId="28528A02" w14:textId="77777777" w:rsidR="00A31B28" w:rsidRPr="008A245E" w:rsidRDefault="00A22B29" w:rsidP="00871CEF">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Sujeto Obligado:</w:t>
                </w:r>
              </w:p>
            </w:tc>
            <w:tc>
              <w:tcPr>
                <w:tcW w:w="3088" w:type="dxa"/>
                <w:hideMark/>
              </w:tcPr>
              <w:p w14:paraId="018534A4" w14:textId="77777777" w:rsidR="00A31B28" w:rsidRPr="008A245E" w:rsidRDefault="00A22B29" w:rsidP="00871CEF">
                <w:pPr>
                  <w:tabs>
                    <w:tab w:val="left" w:pos="2834"/>
                    <w:tab w:val="right" w:pos="8838"/>
                  </w:tabs>
                  <w:ind w:left="-74" w:right="-105"/>
                  <w:jc w:val="both"/>
                  <w:rPr>
                    <w:rFonts w:ascii="Palatino Linotype" w:eastAsia="Calibri" w:hAnsi="Palatino Linotype" w:cs="Tahoma"/>
                    <w:b/>
                    <w:sz w:val="22"/>
                    <w:szCs w:val="22"/>
                    <w:lang w:eastAsia="en-US"/>
                  </w:rPr>
                </w:pPr>
                <w:r w:rsidRPr="008A245E">
                  <w:rPr>
                    <w:rFonts w:ascii="Palatino Linotype" w:eastAsia="Calibri" w:hAnsi="Palatino Linotype" w:cs="Tahoma"/>
                    <w:sz w:val="22"/>
                    <w:szCs w:val="22"/>
                    <w:lang w:eastAsia="en-US"/>
                  </w:rPr>
                  <w:t>Ayuntamiento de San Antonio la Isla</w:t>
                </w:r>
              </w:p>
            </w:tc>
          </w:tr>
          <w:tr w:rsidR="00A10D9E" w14:paraId="54F9372E" w14:textId="77777777" w:rsidTr="00871CEF">
            <w:trPr>
              <w:trHeight w:val="283"/>
            </w:trPr>
            <w:tc>
              <w:tcPr>
                <w:tcW w:w="2447" w:type="dxa"/>
                <w:hideMark/>
              </w:tcPr>
              <w:p w14:paraId="52128CCE" w14:textId="77777777" w:rsidR="00A31B28" w:rsidRPr="008A245E" w:rsidRDefault="00A22B29" w:rsidP="00871CEF">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Comisionado Ponente:</w:t>
                </w:r>
              </w:p>
            </w:tc>
            <w:tc>
              <w:tcPr>
                <w:tcW w:w="3088" w:type="dxa"/>
              </w:tcPr>
              <w:p w14:paraId="2CB0A41D" w14:textId="77777777" w:rsidR="00A31B28" w:rsidRPr="008A245E" w:rsidRDefault="00A22B29" w:rsidP="00871CEF">
                <w:pPr>
                  <w:tabs>
                    <w:tab w:val="right" w:pos="8838"/>
                  </w:tabs>
                  <w:ind w:left="-7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p w14:paraId="0F94A7E2" w14:textId="77777777" w:rsidR="00A31B28" w:rsidRPr="008A245E" w:rsidRDefault="00A31B28" w:rsidP="00871CEF">
                <w:pPr>
                  <w:tabs>
                    <w:tab w:val="right" w:pos="8838"/>
                  </w:tabs>
                  <w:ind w:left="-74" w:right="-105"/>
                  <w:jc w:val="both"/>
                  <w:rPr>
                    <w:rFonts w:ascii="Palatino Linotype" w:eastAsia="Calibri" w:hAnsi="Palatino Linotype" w:cs="Tahoma"/>
                    <w:b/>
                    <w:sz w:val="22"/>
                    <w:szCs w:val="22"/>
                    <w:lang w:eastAsia="en-US"/>
                  </w:rPr>
                </w:pPr>
              </w:p>
            </w:tc>
          </w:tr>
        </w:tbl>
        <w:p w14:paraId="77C6D4BF" w14:textId="77777777" w:rsidR="00A31B28" w:rsidRDefault="00A31B28" w:rsidP="00871CEF">
          <w:pPr>
            <w:tabs>
              <w:tab w:val="right" w:pos="8838"/>
            </w:tabs>
            <w:spacing w:line="256" w:lineRule="auto"/>
            <w:ind w:left="-28"/>
            <w:jc w:val="both"/>
            <w:rPr>
              <w:rFonts w:ascii="Arial" w:eastAsia="Calibri" w:hAnsi="Arial" w:cs="Arial"/>
              <w:b/>
              <w:sz w:val="22"/>
              <w:szCs w:val="22"/>
              <w:lang w:eastAsia="en-US"/>
            </w:rPr>
          </w:pPr>
        </w:p>
      </w:tc>
    </w:tr>
  </w:tbl>
  <w:p w14:paraId="26E47BF8" w14:textId="77777777" w:rsidR="00A31B28" w:rsidRDefault="00A22B29">
    <w:pPr>
      <w:pStyle w:val="Encabezado"/>
    </w:pPr>
    <w:r>
      <w:rPr>
        <w:rFonts w:ascii="Garamond" w:eastAsia="Calibri" w:hAnsi="Garamond"/>
        <w:noProof/>
        <w:sz w:val="22"/>
        <w:szCs w:val="22"/>
        <w:lang w:eastAsia="es-MX"/>
      </w:rPr>
      <w:drawing>
        <wp:anchor distT="0" distB="0" distL="114300" distR="114300" simplePos="0" relativeHeight="251656704" behindDoc="1" locked="0" layoutInCell="0" allowOverlap="1" wp14:anchorId="5E649A66" wp14:editId="54842AFF">
          <wp:simplePos x="0" y="0"/>
          <wp:positionH relativeFrom="margin">
            <wp:posOffset>-1381125</wp:posOffset>
          </wp:positionH>
          <wp:positionV relativeFrom="margin">
            <wp:posOffset>-1611630</wp:posOffset>
          </wp:positionV>
          <wp:extent cx="5612130" cy="7308215"/>
          <wp:effectExtent l="0" t="0" r="7620"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3082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6" w:type="dxa"/>
      <w:tblLayout w:type="fixed"/>
      <w:tblLook w:val="04A0" w:firstRow="1" w:lastRow="0" w:firstColumn="1" w:lastColumn="0" w:noHBand="0" w:noVBand="1"/>
    </w:tblPr>
    <w:tblGrid>
      <w:gridCol w:w="1985"/>
      <w:gridCol w:w="7371"/>
    </w:tblGrid>
    <w:tr w:rsidR="00A10D9E" w14:paraId="56270769" w14:textId="77777777" w:rsidTr="00871CEF">
      <w:trPr>
        <w:trHeight w:val="1435"/>
      </w:trPr>
      <w:tc>
        <w:tcPr>
          <w:tcW w:w="1985" w:type="dxa"/>
        </w:tcPr>
        <w:p w14:paraId="62B152A5" w14:textId="77777777" w:rsidR="00A31B28" w:rsidRDefault="00A31B28" w:rsidP="00871CEF">
          <w:pPr>
            <w:tabs>
              <w:tab w:val="right" w:pos="4273"/>
            </w:tabs>
            <w:spacing w:line="256" w:lineRule="auto"/>
            <w:rPr>
              <w:rFonts w:ascii="Garamond" w:eastAsia="Calibri" w:hAnsi="Garamond"/>
              <w:sz w:val="22"/>
              <w:szCs w:val="22"/>
              <w:lang w:eastAsia="en-US"/>
            </w:rPr>
          </w:pPr>
        </w:p>
      </w:tc>
      <w:tc>
        <w:tcPr>
          <w:tcW w:w="7371" w:type="dxa"/>
          <w:hideMark/>
        </w:tcPr>
        <w:p w14:paraId="47BC77C8" w14:textId="77777777" w:rsidR="00A31B28" w:rsidRPr="007D2BD0" w:rsidRDefault="00A31B28">
          <w:pPr>
            <w:rPr>
              <w:sz w:val="28"/>
              <w:szCs w:val="28"/>
            </w:rPr>
          </w:pPr>
        </w:p>
        <w:tbl>
          <w:tblPr>
            <w:tblStyle w:val="Tablaconcuadrcula"/>
            <w:tblW w:w="8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576"/>
            <w:gridCol w:w="3255"/>
            <w:gridCol w:w="1241"/>
          </w:tblGrid>
          <w:tr w:rsidR="00A10D9E" w14:paraId="53DC4405" w14:textId="77777777" w:rsidTr="00F50D55">
            <w:trPr>
              <w:trHeight w:val="194"/>
            </w:trPr>
            <w:tc>
              <w:tcPr>
                <w:tcW w:w="3576" w:type="dxa"/>
                <w:hideMark/>
              </w:tcPr>
              <w:p w14:paraId="244C0674" w14:textId="77777777" w:rsidR="00A31B28" w:rsidRPr="008A245E" w:rsidRDefault="00A22B29" w:rsidP="00871CEF">
                <w:pPr>
                  <w:tabs>
                    <w:tab w:val="right" w:pos="8838"/>
                  </w:tabs>
                  <w:ind w:left="-11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Recurso de Revisión:</w:t>
                </w:r>
              </w:p>
            </w:tc>
            <w:tc>
              <w:tcPr>
                <w:tcW w:w="3255" w:type="dxa"/>
                <w:hideMark/>
              </w:tcPr>
              <w:p w14:paraId="13A05EF8" w14:textId="25558341" w:rsidR="00A31B28" w:rsidRPr="008A245E" w:rsidRDefault="00A22B29" w:rsidP="00871CEF">
                <w:pPr>
                  <w:tabs>
                    <w:tab w:val="right" w:pos="8838"/>
                  </w:tabs>
                  <w:ind w:left="-114"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06</w:t>
                </w:r>
                <w:r w:rsidR="00CB7C2B">
                  <w:rPr>
                    <w:rFonts w:ascii="Palatino Linotype" w:eastAsia="Calibri" w:hAnsi="Palatino Linotype" w:cs="Tahoma"/>
                    <w:bCs/>
                    <w:sz w:val="22"/>
                    <w:szCs w:val="22"/>
                    <w:lang w:val="es-MX" w:eastAsia="en-US"/>
                  </w:rPr>
                  <w:t>8</w:t>
                </w:r>
                <w:r>
                  <w:rPr>
                    <w:rFonts w:ascii="Palatino Linotype" w:eastAsia="Calibri" w:hAnsi="Palatino Linotype" w:cs="Tahoma"/>
                    <w:bCs/>
                    <w:sz w:val="22"/>
                    <w:szCs w:val="22"/>
                    <w:lang w:val="es-MX" w:eastAsia="en-US"/>
                  </w:rPr>
                  <w:t>21</w:t>
                </w:r>
                <w:r w:rsidRPr="00326F31">
                  <w:rPr>
                    <w:rFonts w:ascii="Palatino Linotype" w:eastAsia="Calibri" w:hAnsi="Palatino Linotype" w:cs="Tahoma"/>
                    <w:bCs/>
                    <w:sz w:val="22"/>
                    <w:szCs w:val="22"/>
                    <w:lang w:val="es-MX" w:eastAsia="en-US"/>
                  </w:rPr>
                  <w:t>/INFOEM/IP/RR/202</w:t>
                </w:r>
                <w:r>
                  <w:rPr>
                    <w:rFonts w:ascii="Palatino Linotype" w:eastAsia="Calibri" w:hAnsi="Palatino Linotype" w:cs="Tahoma"/>
                    <w:bCs/>
                    <w:sz w:val="22"/>
                    <w:szCs w:val="22"/>
                    <w:lang w:val="es-MX" w:eastAsia="en-US"/>
                  </w:rPr>
                  <w:t>5</w:t>
                </w:r>
              </w:p>
            </w:tc>
            <w:tc>
              <w:tcPr>
                <w:tcW w:w="1241" w:type="dxa"/>
              </w:tcPr>
              <w:p w14:paraId="0A6806DF" w14:textId="77777777" w:rsidR="00A31B28" w:rsidRDefault="00A31B28" w:rsidP="00871CEF">
                <w:pPr>
                  <w:tabs>
                    <w:tab w:val="right" w:pos="8838"/>
                  </w:tabs>
                  <w:ind w:left="-114" w:right="-105"/>
                  <w:jc w:val="both"/>
                  <w:rPr>
                    <w:rFonts w:ascii="Palatino Linotype" w:eastAsia="Calibri" w:hAnsi="Palatino Linotype" w:cs="Tahoma"/>
                    <w:bCs/>
                    <w:sz w:val="22"/>
                    <w:szCs w:val="22"/>
                    <w:lang w:eastAsia="en-US"/>
                  </w:rPr>
                </w:pPr>
              </w:p>
            </w:tc>
          </w:tr>
          <w:tr w:rsidR="00A10D9E" w14:paraId="5315FB0D" w14:textId="77777777" w:rsidTr="00F50D55">
            <w:trPr>
              <w:trHeight w:val="88"/>
            </w:trPr>
            <w:tc>
              <w:tcPr>
                <w:tcW w:w="3576" w:type="dxa"/>
                <w:hideMark/>
              </w:tcPr>
              <w:p w14:paraId="442A57B2" w14:textId="77777777" w:rsidR="00A31B28" w:rsidRPr="008A245E" w:rsidRDefault="00A22B29" w:rsidP="00871CEF">
                <w:pPr>
                  <w:tabs>
                    <w:tab w:val="right" w:pos="8838"/>
                  </w:tabs>
                  <w:ind w:left="-11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Sujeto Obligado:</w:t>
                </w:r>
              </w:p>
            </w:tc>
            <w:tc>
              <w:tcPr>
                <w:tcW w:w="3255" w:type="dxa"/>
                <w:hideMark/>
              </w:tcPr>
              <w:p w14:paraId="27732660" w14:textId="438AD44A" w:rsidR="00A31B28" w:rsidRPr="00DA2AF9" w:rsidRDefault="00CB7C2B" w:rsidP="00871CEF">
                <w:pPr>
                  <w:tabs>
                    <w:tab w:val="left" w:pos="2834"/>
                    <w:tab w:val="right" w:pos="8838"/>
                  </w:tabs>
                  <w:ind w:left="-114"/>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Poder Legislativo</w:t>
                </w:r>
              </w:p>
            </w:tc>
            <w:tc>
              <w:tcPr>
                <w:tcW w:w="1241" w:type="dxa"/>
              </w:tcPr>
              <w:p w14:paraId="0793FB22" w14:textId="77777777" w:rsidR="00A31B28" w:rsidRPr="00326F31" w:rsidRDefault="00A31B28" w:rsidP="00871CEF">
                <w:pPr>
                  <w:tabs>
                    <w:tab w:val="left" w:pos="2834"/>
                    <w:tab w:val="right" w:pos="8838"/>
                  </w:tabs>
                  <w:ind w:left="-114"/>
                  <w:jc w:val="both"/>
                  <w:rPr>
                    <w:rFonts w:ascii="Palatino Linotype" w:eastAsia="Calibri" w:hAnsi="Palatino Linotype" w:cs="Tahoma"/>
                    <w:sz w:val="22"/>
                    <w:szCs w:val="22"/>
                    <w:lang w:eastAsia="en-US"/>
                  </w:rPr>
                </w:pPr>
              </w:p>
            </w:tc>
          </w:tr>
          <w:tr w:rsidR="00A10D9E" w14:paraId="0593E7E3" w14:textId="77777777" w:rsidTr="00F50D55">
            <w:trPr>
              <w:trHeight w:val="383"/>
            </w:trPr>
            <w:tc>
              <w:tcPr>
                <w:tcW w:w="3576" w:type="dxa"/>
                <w:hideMark/>
              </w:tcPr>
              <w:p w14:paraId="0D4D084E" w14:textId="77777777" w:rsidR="00A31B28" w:rsidRPr="008A245E" w:rsidRDefault="00A22B29" w:rsidP="00AE28DF">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Comisionado Ponente:</w:t>
                </w:r>
              </w:p>
            </w:tc>
            <w:tc>
              <w:tcPr>
                <w:tcW w:w="3255" w:type="dxa"/>
              </w:tcPr>
              <w:p w14:paraId="5F443EFF" w14:textId="77777777" w:rsidR="00A31B28" w:rsidRPr="007D2BD0" w:rsidRDefault="00A22B29" w:rsidP="00871CEF">
                <w:pPr>
                  <w:tabs>
                    <w:tab w:val="right" w:pos="8838"/>
                  </w:tabs>
                  <w:ind w:left="-11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tc>
            <w:tc>
              <w:tcPr>
                <w:tcW w:w="1241" w:type="dxa"/>
              </w:tcPr>
              <w:p w14:paraId="5831B259" w14:textId="77777777" w:rsidR="00A31B28" w:rsidRPr="008A245E" w:rsidRDefault="00A31B28" w:rsidP="00871CEF">
                <w:pPr>
                  <w:tabs>
                    <w:tab w:val="right" w:pos="8838"/>
                  </w:tabs>
                  <w:ind w:left="-114" w:right="-105"/>
                  <w:jc w:val="both"/>
                  <w:rPr>
                    <w:rFonts w:ascii="Palatino Linotype" w:eastAsia="Calibri" w:hAnsi="Palatino Linotype" w:cs="Tahoma"/>
                    <w:sz w:val="22"/>
                    <w:szCs w:val="22"/>
                    <w:lang w:eastAsia="en-US"/>
                  </w:rPr>
                </w:pPr>
              </w:p>
            </w:tc>
          </w:tr>
        </w:tbl>
        <w:p w14:paraId="1633A3FE" w14:textId="77777777" w:rsidR="00A31B28" w:rsidRDefault="00A31B28" w:rsidP="00871CEF">
          <w:pPr>
            <w:tabs>
              <w:tab w:val="right" w:pos="8838"/>
            </w:tabs>
            <w:spacing w:line="256" w:lineRule="auto"/>
            <w:ind w:left="-28"/>
            <w:jc w:val="both"/>
            <w:rPr>
              <w:rFonts w:ascii="Arial" w:eastAsia="Calibri" w:hAnsi="Arial" w:cs="Arial"/>
              <w:b/>
              <w:sz w:val="22"/>
              <w:szCs w:val="22"/>
              <w:lang w:eastAsia="en-US"/>
            </w:rPr>
          </w:pPr>
        </w:p>
      </w:tc>
    </w:tr>
  </w:tbl>
  <w:p w14:paraId="32543391" w14:textId="77777777" w:rsidR="00A31B28" w:rsidRDefault="00A22B29">
    <w:pPr>
      <w:pStyle w:val="Encabezado"/>
    </w:pPr>
    <w:r>
      <w:rPr>
        <w:rFonts w:ascii="Garamond" w:eastAsia="Calibri" w:hAnsi="Garamond"/>
        <w:noProof/>
        <w:sz w:val="22"/>
        <w:szCs w:val="22"/>
        <w:lang w:eastAsia="es-MX"/>
      </w:rPr>
      <w:drawing>
        <wp:anchor distT="0" distB="0" distL="114300" distR="114300" simplePos="0" relativeHeight="251657728" behindDoc="1" locked="0" layoutInCell="0" allowOverlap="1" wp14:anchorId="6D7260B6" wp14:editId="57F50B6B">
          <wp:simplePos x="0" y="0"/>
          <wp:positionH relativeFrom="margin">
            <wp:posOffset>-1153160</wp:posOffset>
          </wp:positionH>
          <wp:positionV relativeFrom="margin">
            <wp:posOffset>-1539240</wp:posOffset>
          </wp:positionV>
          <wp:extent cx="7835900" cy="10203815"/>
          <wp:effectExtent l="0" t="0" r="0"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900" cy="10203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4" w:type="dxa"/>
      <w:tblLayout w:type="fixed"/>
      <w:tblLook w:val="04A0" w:firstRow="1" w:lastRow="0" w:firstColumn="1" w:lastColumn="0" w:noHBand="0" w:noVBand="1"/>
    </w:tblPr>
    <w:tblGrid>
      <w:gridCol w:w="1560"/>
      <w:gridCol w:w="7654"/>
    </w:tblGrid>
    <w:tr w:rsidR="00A10D9E" w14:paraId="75F97F6E" w14:textId="77777777" w:rsidTr="00871CEF">
      <w:trPr>
        <w:trHeight w:val="1435"/>
      </w:trPr>
      <w:tc>
        <w:tcPr>
          <w:tcW w:w="1560" w:type="dxa"/>
        </w:tcPr>
        <w:p w14:paraId="2662C0C6" w14:textId="77777777" w:rsidR="00A31B28" w:rsidRDefault="00A31B28" w:rsidP="00871CEF">
          <w:pPr>
            <w:tabs>
              <w:tab w:val="right" w:pos="4273"/>
            </w:tabs>
            <w:spacing w:line="256" w:lineRule="auto"/>
            <w:rPr>
              <w:rFonts w:ascii="Garamond" w:eastAsia="Calibri" w:hAnsi="Garamond"/>
              <w:sz w:val="22"/>
              <w:szCs w:val="22"/>
              <w:lang w:eastAsia="en-US"/>
            </w:rPr>
          </w:pPr>
        </w:p>
      </w:tc>
      <w:tc>
        <w:tcPr>
          <w:tcW w:w="7654" w:type="dxa"/>
          <w:hideMark/>
        </w:tcPr>
        <w:tbl>
          <w:tblPr>
            <w:tblStyle w:val="Tablaconcuadrcula"/>
            <w:tblW w:w="7683"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697"/>
            <w:gridCol w:w="3533"/>
            <w:gridCol w:w="453"/>
          </w:tblGrid>
          <w:tr w:rsidR="00A10D9E" w:rsidRPr="0095634C" w14:paraId="1355CAC1" w14:textId="77777777" w:rsidTr="00CB7C2B">
            <w:trPr>
              <w:gridAfter w:val="1"/>
              <w:wAfter w:w="453" w:type="dxa"/>
              <w:trHeight w:val="132"/>
            </w:trPr>
            <w:tc>
              <w:tcPr>
                <w:tcW w:w="3697" w:type="dxa"/>
                <w:hideMark/>
              </w:tcPr>
              <w:p w14:paraId="358A25A1" w14:textId="6A5F8F0C" w:rsidR="00A31B28" w:rsidRPr="0095634C" w:rsidRDefault="00A22B29" w:rsidP="00871CEF">
                <w:pPr>
                  <w:tabs>
                    <w:tab w:val="right" w:pos="8838"/>
                  </w:tabs>
                  <w:ind w:left="-69"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Recurso de Revisión:</w:t>
                </w:r>
              </w:p>
            </w:tc>
            <w:tc>
              <w:tcPr>
                <w:tcW w:w="3533" w:type="dxa"/>
                <w:hideMark/>
              </w:tcPr>
              <w:p w14:paraId="0FD256BA" w14:textId="15BA356E" w:rsidR="00A31B28" w:rsidRPr="0095634C" w:rsidRDefault="00A22B29" w:rsidP="00871CEF">
                <w:pPr>
                  <w:tabs>
                    <w:tab w:val="right" w:pos="8838"/>
                  </w:tabs>
                  <w:ind w:left="-74"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06</w:t>
                </w:r>
                <w:r w:rsidR="00CB7C2B">
                  <w:rPr>
                    <w:rFonts w:ascii="Palatino Linotype" w:eastAsia="Calibri" w:hAnsi="Palatino Linotype" w:cs="Tahoma"/>
                    <w:sz w:val="22"/>
                    <w:szCs w:val="22"/>
                    <w:lang w:val="es-MX" w:eastAsia="en-US"/>
                  </w:rPr>
                  <w:t>82</w:t>
                </w:r>
                <w:r>
                  <w:rPr>
                    <w:rFonts w:ascii="Palatino Linotype" w:eastAsia="Calibri" w:hAnsi="Palatino Linotype" w:cs="Tahoma"/>
                    <w:sz w:val="22"/>
                    <w:szCs w:val="22"/>
                    <w:lang w:val="es-MX" w:eastAsia="en-US"/>
                  </w:rPr>
                  <w:t>1</w:t>
                </w:r>
                <w:r w:rsidRPr="00326F31">
                  <w:rPr>
                    <w:rFonts w:ascii="Palatino Linotype" w:eastAsia="Calibri" w:hAnsi="Palatino Linotype" w:cs="Tahoma"/>
                    <w:sz w:val="22"/>
                    <w:szCs w:val="22"/>
                    <w:lang w:val="es-MX" w:eastAsia="en-US"/>
                  </w:rPr>
                  <w:t>/INFOEM/IP/RR/202</w:t>
                </w:r>
                <w:r>
                  <w:rPr>
                    <w:rFonts w:ascii="Palatino Linotype" w:eastAsia="Calibri" w:hAnsi="Palatino Linotype" w:cs="Tahoma"/>
                    <w:sz w:val="22"/>
                    <w:szCs w:val="22"/>
                    <w:lang w:val="es-MX" w:eastAsia="en-US"/>
                  </w:rPr>
                  <w:t xml:space="preserve">5 </w:t>
                </w:r>
              </w:p>
            </w:tc>
          </w:tr>
          <w:tr w:rsidR="00A10D9E" w:rsidRPr="0095634C" w14:paraId="0A055FCE" w14:textId="77777777" w:rsidTr="00CB7C2B">
            <w:trPr>
              <w:gridAfter w:val="1"/>
              <w:wAfter w:w="453" w:type="dxa"/>
              <w:trHeight w:val="132"/>
            </w:trPr>
            <w:tc>
              <w:tcPr>
                <w:tcW w:w="3697" w:type="dxa"/>
                <w:hideMark/>
              </w:tcPr>
              <w:p w14:paraId="5D5015E5" w14:textId="4FD087B3" w:rsidR="00A31B28" w:rsidRPr="0095634C" w:rsidRDefault="00A22B29" w:rsidP="00871CEF">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Recurrente:</w:t>
                </w:r>
              </w:p>
            </w:tc>
            <w:tc>
              <w:tcPr>
                <w:tcW w:w="3533" w:type="dxa"/>
              </w:tcPr>
              <w:p w14:paraId="6464CC7A" w14:textId="090003CB" w:rsidR="00A31B28" w:rsidRPr="0095634C" w:rsidRDefault="009B681B" w:rsidP="00871CEF">
                <w:pPr>
                  <w:tabs>
                    <w:tab w:val="left" w:pos="3122"/>
                    <w:tab w:val="right" w:pos="8838"/>
                  </w:tabs>
                  <w:ind w:left="-74" w:right="-105"/>
                  <w:jc w:val="both"/>
                  <w:rPr>
                    <w:rFonts w:ascii="Palatino Linotype" w:eastAsia="Calibri" w:hAnsi="Palatino Linotype" w:cs="Tahoma"/>
                    <w:sz w:val="22"/>
                    <w:szCs w:val="22"/>
                    <w:lang w:eastAsia="en-US"/>
                  </w:rPr>
                </w:pPr>
                <w:r w:rsidRPr="009B681B">
                  <w:rPr>
                    <w:rFonts w:ascii="Palatino Linotype" w:eastAsia="Calibri" w:hAnsi="Palatino Linotype" w:cs="Tahoma"/>
                    <w:sz w:val="22"/>
                    <w:szCs w:val="22"/>
                    <w:highlight w:val="black"/>
                    <w:lang w:eastAsia="en-US"/>
                  </w:rPr>
                  <w:t>XXXXXXXXXXXXXXXXXXXXXXX</w:t>
                </w:r>
              </w:p>
            </w:tc>
          </w:tr>
          <w:tr w:rsidR="00A10D9E" w:rsidRPr="0095634C" w14:paraId="117B2572" w14:textId="77777777" w:rsidTr="00CB7C2B">
            <w:trPr>
              <w:gridAfter w:val="1"/>
              <w:wAfter w:w="453" w:type="dxa"/>
              <w:trHeight w:val="261"/>
            </w:trPr>
            <w:tc>
              <w:tcPr>
                <w:tcW w:w="3697" w:type="dxa"/>
                <w:hideMark/>
              </w:tcPr>
              <w:p w14:paraId="0B392281" w14:textId="4C2D5281" w:rsidR="00A31B28" w:rsidRPr="0095634C" w:rsidRDefault="00A22B29" w:rsidP="00871CEF">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Sujeto Obligado:</w:t>
                </w:r>
              </w:p>
            </w:tc>
            <w:tc>
              <w:tcPr>
                <w:tcW w:w="3533" w:type="dxa"/>
                <w:hideMark/>
              </w:tcPr>
              <w:p w14:paraId="29ED58FA" w14:textId="5070542E" w:rsidR="00A31B28" w:rsidRPr="00F55000" w:rsidRDefault="00CB7C2B" w:rsidP="00871CEF">
                <w:pPr>
                  <w:tabs>
                    <w:tab w:val="left" w:pos="2834"/>
                    <w:tab w:val="right" w:pos="8838"/>
                  </w:tabs>
                  <w:ind w:left="-74"/>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Poder Legislativo</w:t>
                </w:r>
              </w:p>
            </w:tc>
          </w:tr>
          <w:tr w:rsidR="00A10D9E" w:rsidRPr="0095634C" w14:paraId="3F896F9A" w14:textId="77777777" w:rsidTr="00CB7C2B">
            <w:trPr>
              <w:trHeight w:val="261"/>
            </w:trPr>
            <w:tc>
              <w:tcPr>
                <w:tcW w:w="3697" w:type="dxa"/>
                <w:hideMark/>
              </w:tcPr>
              <w:p w14:paraId="3C5849DA" w14:textId="2E7189FA" w:rsidR="00A31B28" w:rsidRPr="0095634C" w:rsidRDefault="00A22B29" w:rsidP="00871CEF">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Comisionado Ponente:</w:t>
                </w:r>
              </w:p>
            </w:tc>
            <w:tc>
              <w:tcPr>
                <w:tcW w:w="3986" w:type="dxa"/>
                <w:gridSpan w:val="2"/>
              </w:tcPr>
              <w:p w14:paraId="2215F5F5" w14:textId="77777777" w:rsidR="00A31B28" w:rsidRPr="0057023C" w:rsidRDefault="00A22B29" w:rsidP="00871CEF">
                <w:pPr>
                  <w:tabs>
                    <w:tab w:val="right" w:pos="8838"/>
                  </w:tabs>
                  <w:ind w:left="-74" w:right="-105"/>
                  <w:jc w:val="both"/>
                  <w:rPr>
                    <w:rFonts w:ascii="Palatino Linotype" w:eastAsia="Calibri" w:hAnsi="Palatino Linotype" w:cs="Tahoma"/>
                    <w:sz w:val="22"/>
                    <w:szCs w:val="22"/>
                    <w:lang w:eastAsia="en-US"/>
                  </w:rPr>
                </w:pPr>
                <w:r w:rsidRPr="0095634C">
                  <w:rPr>
                    <w:rFonts w:ascii="Palatino Linotype" w:eastAsia="Calibri" w:hAnsi="Palatino Linotype" w:cs="Tahoma"/>
                    <w:sz w:val="22"/>
                    <w:szCs w:val="22"/>
                    <w:lang w:eastAsia="en-US"/>
                  </w:rPr>
                  <w:t>Luis Gustavo Parra Noriega</w:t>
                </w:r>
              </w:p>
            </w:tc>
          </w:tr>
        </w:tbl>
        <w:p w14:paraId="168B383F" w14:textId="77777777" w:rsidR="00A31B28" w:rsidRDefault="00A31B28" w:rsidP="00871CEF">
          <w:pPr>
            <w:tabs>
              <w:tab w:val="right" w:pos="8838"/>
            </w:tabs>
            <w:spacing w:line="256" w:lineRule="auto"/>
            <w:ind w:left="-28"/>
            <w:jc w:val="both"/>
            <w:rPr>
              <w:rFonts w:ascii="Arial" w:eastAsia="Calibri" w:hAnsi="Arial" w:cs="Arial"/>
              <w:b/>
              <w:sz w:val="22"/>
              <w:szCs w:val="22"/>
              <w:lang w:eastAsia="en-US"/>
            </w:rPr>
          </w:pPr>
        </w:p>
      </w:tc>
    </w:tr>
  </w:tbl>
  <w:p w14:paraId="7F9AA827" w14:textId="77777777" w:rsidR="00A31B28" w:rsidRDefault="00000000" w:rsidP="00871CEF">
    <w:pPr>
      <w:pStyle w:val="Encabezado"/>
    </w:pPr>
    <w:r>
      <w:rPr>
        <w:rFonts w:ascii="Garamond" w:eastAsia="Calibri" w:hAnsi="Garamond"/>
        <w:noProof/>
        <w:sz w:val="22"/>
        <w:szCs w:val="22"/>
        <w:lang w:eastAsia="en-US"/>
      </w:rPr>
      <w:pict w14:anchorId="6EC3F7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1025" type="#_x0000_t75" style="position:absolute;margin-left:-59.15pt;margin-top:-120.85pt;width:663.5pt;height:12in;z-index:-251657728;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2FDB"/>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9E1112"/>
    <w:multiLevelType w:val="hybridMultilevel"/>
    <w:tmpl w:val="645C8612"/>
    <w:lvl w:ilvl="0" w:tplc="6D4EE5F4">
      <w:start w:val="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7F6133"/>
    <w:multiLevelType w:val="hybridMultilevel"/>
    <w:tmpl w:val="B3542CFC"/>
    <w:lvl w:ilvl="0" w:tplc="038C86D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24F46D80"/>
    <w:multiLevelType w:val="hybridMultilevel"/>
    <w:tmpl w:val="1878FC20"/>
    <w:lvl w:ilvl="0" w:tplc="080A0001">
      <w:start w:val="1"/>
      <w:numFmt w:val="bullet"/>
      <w:lvlText w:val=""/>
      <w:lvlJc w:val="left"/>
      <w:pPr>
        <w:ind w:left="1287" w:hanging="720"/>
      </w:pPr>
      <w:rPr>
        <w:rFonts w:ascii="Symbol" w:hAnsi="Symbo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2F2D0CBB"/>
    <w:multiLevelType w:val="hybridMultilevel"/>
    <w:tmpl w:val="1C7E7F2C"/>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32577746"/>
    <w:multiLevelType w:val="hybridMultilevel"/>
    <w:tmpl w:val="766472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37B149E9"/>
    <w:multiLevelType w:val="multilevel"/>
    <w:tmpl w:val="53068B9E"/>
    <w:lvl w:ilvl="0">
      <w:start w:val="1"/>
      <w:numFmt w:val="decimal"/>
      <w:lvlText w:val="%1."/>
      <w:lvlJc w:val="left"/>
      <w:pPr>
        <w:tabs>
          <w:tab w:val="num" w:pos="720"/>
        </w:tabs>
        <w:ind w:left="720" w:hanging="360"/>
      </w:pPr>
      <w:rPr>
        <w:rFonts w:ascii="Times New Roman" w:hAnsi="Times New Roman" w:cs="Times New Roman" w:hint="default"/>
        <w:b/>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9" w15:restartNumberingAfterBreak="0">
    <w:nsid w:val="3DC040D1"/>
    <w:multiLevelType w:val="hybridMultilevel"/>
    <w:tmpl w:val="96001D2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43E6188A"/>
    <w:multiLevelType w:val="hybridMultilevel"/>
    <w:tmpl w:val="5C50D92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45075547"/>
    <w:multiLevelType w:val="hybridMultilevel"/>
    <w:tmpl w:val="3416A6D8"/>
    <w:lvl w:ilvl="0" w:tplc="B810C36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B401320"/>
    <w:multiLevelType w:val="hybridMultilevel"/>
    <w:tmpl w:val="0F8811AE"/>
    <w:lvl w:ilvl="0" w:tplc="10B8E17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53B6D56"/>
    <w:multiLevelType w:val="hybridMultilevel"/>
    <w:tmpl w:val="53C87220"/>
    <w:lvl w:ilvl="0" w:tplc="080A0015">
      <w:start w:val="1"/>
      <w:numFmt w:val="upp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4" w15:restartNumberingAfterBreak="0">
    <w:nsid w:val="55FC5A7F"/>
    <w:multiLevelType w:val="hybridMultilevel"/>
    <w:tmpl w:val="20F6C5FC"/>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Times New Roman"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Times New Roman"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Times New Roman" w:hint="default"/>
      </w:rPr>
    </w:lvl>
    <w:lvl w:ilvl="8" w:tplc="080A0005">
      <w:start w:val="1"/>
      <w:numFmt w:val="bullet"/>
      <w:lvlText w:val=""/>
      <w:lvlJc w:val="left"/>
      <w:pPr>
        <w:ind w:left="6540" w:hanging="360"/>
      </w:pPr>
      <w:rPr>
        <w:rFonts w:ascii="Wingdings" w:hAnsi="Wingdings" w:hint="default"/>
      </w:rPr>
    </w:lvl>
  </w:abstractNum>
  <w:abstractNum w:abstractNumId="15" w15:restartNumberingAfterBreak="0">
    <w:nsid w:val="59BD7B29"/>
    <w:multiLevelType w:val="hybridMultilevel"/>
    <w:tmpl w:val="4086AC32"/>
    <w:lvl w:ilvl="0" w:tplc="DD72F1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AF53019"/>
    <w:multiLevelType w:val="hybridMultilevel"/>
    <w:tmpl w:val="6A78F948"/>
    <w:lvl w:ilvl="0" w:tplc="7262760C">
      <w:start w:val="1"/>
      <w:numFmt w:val="bullet"/>
      <w:lvlText w:val="-"/>
      <w:lvlJc w:val="left"/>
      <w:pPr>
        <w:ind w:left="720" w:hanging="360"/>
      </w:pPr>
      <w:rPr>
        <w:rFonts w:ascii="Palatino Linotype" w:eastAsia="Times New Roman" w:hAnsi="Palatino Linotype"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6DA517DA"/>
    <w:multiLevelType w:val="hybridMultilevel"/>
    <w:tmpl w:val="F4FE39F0"/>
    <w:lvl w:ilvl="0" w:tplc="0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9" w15:restartNumberingAfterBreak="0">
    <w:nsid w:val="75297554"/>
    <w:multiLevelType w:val="multilevel"/>
    <w:tmpl w:val="B1409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D412C2"/>
    <w:multiLevelType w:val="hybridMultilevel"/>
    <w:tmpl w:val="6D528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7B4A0F3D"/>
    <w:multiLevelType w:val="hybridMultilevel"/>
    <w:tmpl w:val="7F4E6978"/>
    <w:lvl w:ilvl="0" w:tplc="138AE90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963547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24874574">
    <w:abstractNumId w:val="1"/>
  </w:num>
  <w:num w:numId="3" w16cid:durableId="167912598">
    <w:abstractNumId w:val="4"/>
  </w:num>
  <w:num w:numId="4" w16cid:durableId="1139805001">
    <w:abstractNumId w:val="15"/>
  </w:num>
  <w:num w:numId="5" w16cid:durableId="913121149">
    <w:abstractNumId w:val="21"/>
  </w:num>
  <w:num w:numId="6" w16cid:durableId="2982650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48699235">
    <w:abstractNumId w:val="20"/>
  </w:num>
  <w:num w:numId="8" w16cid:durableId="688605390">
    <w:abstractNumId w:val="7"/>
  </w:num>
  <w:num w:numId="9" w16cid:durableId="1642730506">
    <w:abstractNumId w:val="9"/>
  </w:num>
  <w:num w:numId="10" w16cid:durableId="2038462628">
    <w:abstractNumId w:val="0"/>
  </w:num>
  <w:num w:numId="11" w16cid:durableId="643700576">
    <w:abstractNumId w:val="12"/>
  </w:num>
  <w:num w:numId="12" w16cid:durableId="1733196311">
    <w:abstractNumId w:val="11"/>
  </w:num>
  <w:num w:numId="13" w16cid:durableId="2036929911">
    <w:abstractNumId w:val="2"/>
  </w:num>
  <w:num w:numId="14" w16cid:durableId="718407493">
    <w:abstractNumId w:val="6"/>
  </w:num>
  <w:num w:numId="15" w16cid:durableId="13353060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03987927">
    <w:abstractNumId w:val="3"/>
  </w:num>
  <w:num w:numId="17" w16cid:durableId="1498304490">
    <w:abstractNumId w:val="14"/>
  </w:num>
  <w:num w:numId="18" w16cid:durableId="42829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63862606">
    <w:abstractNumId w:val="16"/>
  </w:num>
  <w:num w:numId="20" w16cid:durableId="1503933566">
    <w:abstractNumId w:val="10"/>
  </w:num>
  <w:num w:numId="21" w16cid:durableId="652950804">
    <w:abstractNumId w:val="19"/>
  </w:num>
  <w:num w:numId="22" w16cid:durableId="17720427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C2B"/>
    <w:rsid w:val="00032A57"/>
    <w:rsid w:val="00035615"/>
    <w:rsid w:val="00063E06"/>
    <w:rsid w:val="0007438F"/>
    <w:rsid w:val="000D5E76"/>
    <w:rsid w:val="00183EE3"/>
    <w:rsid w:val="001A1BF5"/>
    <w:rsid w:val="002509F6"/>
    <w:rsid w:val="00291395"/>
    <w:rsid w:val="00317C63"/>
    <w:rsid w:val="00421355"/>
    <w:rsid w:val="00450BE4"/>
    <w:rsid w:val="00490E2E"/>
    <w:rsid w:val="00543563"/>
    <w:rsid w:val="005E758C"/>
    <w:rsid w:val="005F6E78"/>
    <w:rsid w:val="006E70A2"/>
    <w:rsid w:val="006F0244"/>
    <w:rsid w:val="007154F4"/>
    <w:rsid w:val="00725F00"/>
    <w:rsid w:val="0075452D"/>
    <w:rsid w:val="008E3F7C"/>
    <w:rsid w:val="00974272"/>
    <w:rsid w:val="009B681B"/>
    <w:rsid w:val="00A22B29"/>
    <w:rsid w:val="00A31B28"/>
    <w:rsid w:val="00AE1806"/>
    <w:rsid w:val="00B01980"/>
    <w:rsid w:val="00B966DA"/>
    <w:rsid w:val="00BB36E5"/>
    <w:rsid w:val="00CA102A"/>
    <w:rsid w:val="00CB7C2B"/>
    <w:rsid w:val="00D91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58872A"/>
  <w15:chartTrackingRefBased/>
  <w15:docId w15:val="{5DBF8505-F0BD-40DD-985E-5DB92DD4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7C2B"/>
    <w:pPr>
      <w:spacing w:after="0" w:line="240" w:lineRule="auto"/>
    </w:pPr>
    <w:rPr>
      <w:rFonts w:ascii="Times New Roman" w:eastAsia="Times New Roman" w:hAnsi="Times New Roman" w:cs="Times New Roman"/>
      <w:kern w:val="0"/>
      <w:sz w:val="20"/>
      <w:szCs w:val="20"/>
      <w:lang w:eastAsia="es-ES"/>
      <w14:ligatures w14:val="none"/>
    </w:rPr>
  </w:style>
  <w:style w:type="paragraph" w:styleId="Ttulo1">
    <w:name w:val="heading 1"/>
    <w:basedOn w:val="Normal"/>
    <w:next w:val="Normal"/>
    <w:link w:val="Ttulo1Car"/>
    <w:uiPriority w:val="9"/>
    <w:qFormat/>
    <w:rsid w:val="00CB7C2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CB7C2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CB7C2B"/>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CB7C2B"/>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CB7C2B"/>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CB7C2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B7C2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B7C2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B7C2B"/>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B7C2B"/>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CB7C2B"/>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CB7C2B"/>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CB7C2B"/>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CB7C2B"/>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CB7C2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B7C2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B7C2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B7C2B"/>
    <w:rPr>
      <w:rFonts w:eastAsiaTheme="majorEastAsia" w:cstheme="majorBidi"/>
      <w:color w:val="272727" w:themeColor="text1" w:themeTint="D8"/>
    </w:rPr>
  </w:style>
  <w:style w:type="paragraph" w:styleId="Ttulo">
    <w:name w:val="Title"/>
    <w:basedOn w:val="Normal"/>
    <w:next w:val="Normal"/>
    <w:link w:val="TtuloCar"/>
    <w:uiPriority w:val="10"/>
    <w:qFormat/>
    <w:rsid w:val="00CB7C2B"/>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B7C2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B7C2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B7C2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B7C2B"/>
    <w:pPr>
      <w:spacing w:before="160"/>
      <w:jc w:val="center"/>
    </w:pPr>
    <w:rPr>
      <w:i/>
      <w:iCs/>
      <w:color w:val="404040" w:themeColor="text1" w:themeTint="BF"/>
    </w:rPr>
  </w:style>
  <w:style w:type="character" w:customStyle="1" w:styleId="CitaCar">
    <w:name w:val="Cita Car"/>
    <w:basedOn w:val="Fuentedeprrafopredeter"/>
    <w:link w:val="Cita"/>
    <w:uiPriority w:val="29"/>
    <w:rsid w:val="00CB7C2B"/>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B7C2B"/>
    <w:pPr>
      <w:ind w:left="720"/>
      <w:contextualSpacing/>
    </w:pPr>
  </w:style>
  <w:style w:type="character" w:styleId="nfasisintenso">
    <w:name w:val="Intense Emphasis"/>
    <w:basedOn w:val="Fuentedeprrafopredeter"/>
    <w:uiPriority w:val="21"/>
    <w:qFormat/>
    <w:rsid w:val="00CB7C2B"/>
    <w:rPr>
      <w:i/>
      <w:iCs/>
      <w:color w:val="2F5496" w:themeColor="accent1" w:themeShade="BF"/>
    </w:rPr>
  </w:style>
  <w:style w:type="paragraph" w:styleId="Citadestacada">
    <w:name w:val="Intense Quote"/>
    <w:basedOn w:val="Normal"/>
    <w:next w:val="Normal"/>
    <w:link w:val="CitadestacadaCar"/>
    <w:uiPriority w:val="30"/>
    <w:qFormat/>
    <w:rsid w:val="00CB7C2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CB7C2B"/>
    <w:rPr>
      <w:i/>
      <w:iCs/>
      <w:color w:val="2F5496" w:themeColor="accent1" w:themeShade="BF"/>
    </w:rPr>
  </w:style>
  <w:style w:type="character" w:styleId="Referenciaintensa">
    <w:name w:val="Intense Reference"/>
    <w:basedOn w:val="Fuentedeprrafopredeter"/>
    <w:uiPriority w:val="32"/>
    <w:qFormat/>
    <w:rsid w:val="00CB7C2B"/>
    <w:rPr>
      <w:b/>
      <w:bCs/>
      <w:smallCaps/>
      <w:color w:val="2F5496" w:themeColor="accent1" w:themeShade="BF"/>
      <w:spacing w:val="5"/>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CB7C2B"/>
  </w:style>
  <w:style w:type="table" w:styleId="Tablaconcuadrcula">
    <w:name w:val="Table Grid"/>
    <w:basedOn w:val="Tablanormal"/>
    <w:uiPriority w:val="39"/>
    <w:rsid w:val="00CB7C2B"/>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B7C2B"/>
    <w:pPr>
      <w:tabs>
        <w:tab w:val="center" w:pos="4419"/>
        <w:tab w:val="right" w:pos="8838"/>
      </w:tabs>
    </w:pPr>
  </w:style>
  <w:style w:type="character" w:customStyle="1" w:styleId="EncabezadoCar">
    <w:name w:val="Encabezado Car"/>
    <w:basedOn w:val="Fuentedeprrafopredeter"/>
    <w:link w:val="Encabezado"/>
    <w:uiPriority w:val="99"/>
    <w:rsid w:val="00CB7C2B"/>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CB7C2B"/>
    <w:pPr>
      <w:tabs>
        <w:tab w:val="center" w:pos="4419"/>
        <w:tab w:val="right" w:pos="8838"/>
      </w:tabs>
    </w:pPr>
  </w:style>
  <w:style w:type="character" w:customStyle="1" w:styleId="PiedepginaCar">
    <w:name w:val="Pie de página Car"/>
    <w:basedOn w:val="Fuentedeprrafopredeter"/>
    <w:link w:val="Piedepgina"/>
    <w:uiPriority w:val="99"/>
    <w:rsid w:val="00CB7C2B"/>
    <w:rPr>
      <w:rFonts w:ascii="Times New Roman" w:eastAsia="Times New Roman" w:hAnsi="Times New Roman" w:cs="Times New Roman"/>
      <w:kern w:val="0"/>
      <w:sz w:val="20"/>
      <w:szCs w:val="20"/>
      <w:lang w:eastAsia="es-ES"/>
      <w14:ligatures w14:val="none"/>
    </w:rPr>
  </w:style>
  <w:style w:type="character" w:styleId="Hipervnculo">
    <w:name w:val="Hyperlink"/>
    <w:aliases w:val="Hipervínculo1,Hipervínculo11,Hipervínculo12,Hipervínculo13,Hipervínculo14,Hipervínculo15"/>
    <w:basedOn w:val="Fuentedeprrafopredeter"/>
    <w:uiPriority w:val="99"/>
    <w:unhideWhenUsed/>
    <w:qFormat/>
    <w:rsid w:val="00CB7C2B"/>
    <w:rPr>
      <w:color w:val="0563C1" w:themeColor="hyperlink"/>
      <w:u w:val="single"/>
    </w:rPr>
  </w:style>
  <w:style w:type="paragraph" w:styleId="TtuloTDC">
    <w:name w:val="TOC Heading"/>
    <w:basedOn w:val="Ttulo1"/>
    <w:next w:val="Normal"/>
    <w:uiPriority w:val="39"/>
    <w:unhideWhenUsed/>
    <w:qFormat/>
    <w:rsid w:val="00CB7C2B"/>
    <w:pPr>
      <w:spacing w:before="240" w:after="0"/>
      <w:outlineLvl w:val="9"/>
    </w:pPr>
    <w:rPr>
      <w:sz w:val="32"/>
      <w:szCs w:val="32"/>
      <w:lang w:eastAsia="es-MX"/>
    </w:rPr>
  </w:style>
  <w:style w:type="paragraph" w:styleId="TDC2">
    <w:name w:val="toc 2"/>
    <w:basedOn w:val="Normal"/>
    <w:next w:val="Normal"/>
    <w:autoRedefine/>
    <w:uiPriority w:val="39"/>
    <w:unhideWhenUsed/>
    <w:rsid w:val="00CB7C2B"/>
    <w:pPr>
      <w:tabs>
        <w:tab w:val="right" w:leader="dot" w:pos="8828"/>
      </w:tabs>
      <w:spacing w:after="100" w:line="360" w:lineRule="auto"/>
      <w:ind w:left="220"/>
      <w:contextualSpacing/>
      <w:jc w:val="both"/>
    </w:pPr>
    <w:rPr>
      <w:rFonts w:asciiTheme="minorHAnsi" w:eastAsiaTheme="minorEastAsia" w:hAnsiTheme="minorHAnsi"/>
      <w:sz w:val="22"/>
      <w:szCs w:val="22"/>
      <w:lang w:eastAsia="es-MX"/>
    </w:rPr>
  </w:style>
  <w:style w:type="paragraph" w:styleId="TDC1">
    <w:name w:val="toc 1"/>
    <w:basedOn w:val="Normal"/>
    <w:next w:val="Normal"/>
    <w:autoRedefine/>
    <w:uiPriority w:val="39"/>
    <w:unhideWhenUsed/>
    <w:rsid w:val="00CB7C2B"/>
    <w:pPr>
      <w:spacing w:after="100" w:line="259" w:lineRule="auto"/>
    </w:pPr>
    <w:rPr>
      <w:rFonts w:asciiTheme="minorHAnsi" w:eastAsiaTheme="minorEastAsia" w:hAnsiTheme="minorHAnsi"/>
      <w:sz w:val="22"/>
      <w:szCs w:val="22"/>
      <w:lang w:eastAsia="es-MX"/>
    </w:rPr>
  </w:style>
  <w:style w:type="paragraph" w:customStyle="1" w:styleId="xgmail-msonormal">
    <w:name w:val="x_gmail-msonormal"/>
    <w:basedOn w:val="Normal"/>
    <w:rsid w:val="00CB7C2B"/>
    <w:pPr>
      <w:spacing w:before="100" w:beforeAutospacing="1" w:after="100" w:afterAutospacing="1"/>
    </w:pPr>
    <w:rPr>
      <w:sz w:val="24"/>
      <w:szCs w:val="24"/>
      <w:lang w:val="en-US" w:eastAsia="en-US"/>
    </w:rPr>
  </w:style>
  <w:style w:type="character" w:customStyle="1" w:styleId="Mencinsinresolver1">
    <w:name w:val="Mención sin resolver1"/>
    <w:basedOn w:val="Fuentedeprrafopredeter"/>
    <w:uiPriority w:val="99"/>
    <w:semiHidden/>
    <w:unhideWhenUsed/>
    <w:rsid w:val="00CA10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45685">
      <w:bodyDiv w:val="1"/>
      <w:marLeft w:val="0"/>
      <w:marRight w:val="0"/>
      <w:marTop w:val="0"/>
      <w:marBottom w:val="0"/>
      <w:divBdr>
        <w:top w:val="none" w:sz="0" w:space="0" w:color="auto"/>
        <w:left w:val="none" w:sz="0" w:space="0" w:color="auto"/>
        <w:bottom w:val="none" w:sz="0" w:space="0" w:color="auto"/>
        <w:right w:val="none" w:sz="0" w:space="0" w:color="auto"/>
      </w:divBdr>
    </w:div>
    <w:div w:id="532303315">
      <w:bodyDiv w:val="1"/>
      <w:marLeft w:val="0"/>
      <w:marRight w:val="0"/>
      <w:marTop w:val="0"/>
      <w:marBottom w:val="0"/>
      <w:divBdr>
        <w:top w:val="none" w:sz="0" w:space="0" w:color="auto"/>
        <w:left w:val="none" w:sz="0" w:space="0" w:color="auto"/>
        <w:bottom w:val="none" w:sz="0" w:space="0" w:color="auto"/>
        <w:right w:val="none" w:sz="0" w:space="0" w:color="auto"/>
      </w:divBdr>
    </w:div>
    <w:div w:id="787820684">
      <w:bodyDiv w:val="1"/>
      <w:marLeft w:val="0"/>
      <w:marRight w:val="0"/>
      <w:marTop w:val="0"/>
      <w:marBottom w:val="0"/>
      <w:divBdr>
        <w:top w:val="none" w:sz="0" w:space="0" w:color="auto"/>
        <w:left w:val="none" w:sz="0" w:space="0" w:color="auto"/>
        <w:bottom w:val="none" w:sz="0" w:space="0" w:color="auto"/>
        <w:right w:val="none" w:sz="0" w:space="0" w:color="auto"/>
      </w:divBdr>
    </w:div>
    <w:div w:id="1137524873">
      <w:bodyDiv w:val="1"/>
      <w:marLeft w:val="0"/>
      <w:marRight w:val="0"/>
      <w:marTop w:val="0"/>
      <w:marBottom w:val="0"/>
      <w:divBdr>
        <w:top w:val="none" w:sz="0" w:space="0" w:color="auto"/>
        <w:left w:val="none" w:sz="0" w:space="0" w:color="auto"/>
        <w:bottom w:val="none" w:sz="0" w:space="0" w:color="auto"/>
        <w:right w:val="none" w:sz="0" w:space="0" w:color="auto"/>
      </w:divBdr>
    </w:div>
    <w:div w:id="1481657755">
      <w:bodyDiv w:val="1"/>
      <w:marLeft w:val="0"/>
      <w:marRight w:val="0"/>
      <w:marTop w:val="0"/>
      <w:marBottom w:val="0"/>
      <w:divBdr>
        <w:top w:val="none" w:sz="0" w:space="0" w:color="auto"/>
        <w:left w:val="none" w:sz="0" w:space="0" w:color="auto"/>
        <w:bottom w:val="none" w:sz="0" w:space="0" w:color="auto"/>
        <w:right w:val="none" w:sz="0" w:space="0" w:color="auto"/>
      </w:divBdr>
    </w:div>
    <w:div w:id="183495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ipomex.org.mx/ipomex/" TargetMode="External"/><Relationship Id="rId14" Type="http://schemas.openxmlformats.org/officeDocument/2006/relationships/hyperlink" Target="http://dof.gob.mx/nota_detalle.php?codigo=5492254&amp;fecha=28/07/2017"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EBFBD-D0D2-44B4-A874-C29B726EE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8350</Words>
  <Characters>45925</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IVAN PEÑA VARA</cp:lastModifiedBy>
  <cp:revision>5</cp:revision>
  <cp:lastPrinted>2025-08-08T06:20:00Z</cp:lastPrinted>
  <dcterms:created xsi:type="dcterms:W3CDTF">2025-08-08T06:20:00Z</dcterms:created>
  <dcterms:modified xsi:type="dcterms:W3CDTF">2025-08-15T20:39:00Z</dcterms:modified>
</cp:coreProperties>
</file>