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872" w:rsidRDefault="00B30872">
      <w:pPr>
        <w:widowControl w:val="0"/>
        <w:pBdr>
          <w:top w:val="nil"/>
          <w:left w:val="nil"/>
          <w:bottom w:val="nil"/>
          <w:right w:val="nil"/>
          <w:between w:val="nil"/>
        </w:pBdr>
        <w:spacing w:after="0" w:line="276" w:lineRule="auto"/>
        <w:jc w:val="left"/>
      </w:pPr>
    </w:p>
    <w:p w:rsidR="00B30872" w:rsidRDefault="00B30872">
      <w:pPr>
        <w:tabs>
          <w:tab w:val="left" w:pos="8931"/>
        </w:tabs>
        <w:spacing w:after="0" w:line="360" w:lineRule="auto"/>
      </w:pPr>
    </w:p>
    <w:p w:rsidR="00B30872" w:rsidRDefault="00250ECF">
      <w:pPr>
        <w:keepNext/>
        <w:keepLines/>
        <w:pBdr>
          <w:top w:val="nil"/>
          <w:left w:val="nil"/>
          <w:bottom w:val="nil"/>
          <w:right w:val="nil"/>
          <w:between w:val="nil"/>
        </w:pBdr>
        <w:spacing w:after="0" w:line="360" w:lineRule="auto"/>
        <w:jc w:val="center"/>
        <w:rPr>
          <w:color w:val="000000"/>
        </w:rPr>
      </w:pPr>
      <w:r>
        <w:rPr>
          <w:color w:val="000000"/>
        </w:rPr>
        <w:t>RESOLUCIÓN DEL RECURSO DE REVISIÓN 06831/INFOEM/IP/RR/2025</w:t>
      </w:r>
    </w:p>
    <w:p w:rsidR="00B30872" w:rsidRDefault="00B30872">
      <w:pPr>
        <w:spacing w:after="0" w:line="360" w:lineRule="auto"/>
      </w:pPr>
    </w:p>
    <w:sdt>
      <w:sdtPr>
        <w:rPr>
          <w:rFonts w:ascii="Palatino Linotype" w:eastAsia="Palatino Linotype" w:hAnsi="Palatino Linotype" w:cs="Palatino Linotype"/>
          <w:color w:val="auto"/>
          <w:sz w:val="22"/>
          <w:szCs w:val="22"/>
          <w:lang w:val="es-ES"/>
        </w:rPr>
        <w:id w:val="142551169"/>
        <w:docPartObj>
          <w:docPartGallery w:val="Table of Contents"/>
          <w:docPartUnique/>
        </w:docPartObj>
      </w:sdtPr>
      <w:sdtEndPr>
        <w:rPr>
          <w:b/>
          <w:bCs/>
        </w:rPr>
      </w:sdtEndPr>
      <w:sdtContent>
        <w:p w:rsidR="00367087" w:rsidRDefault="00367087">
          <w:pPr>
            <w:pStyle w:val="TtulodeTDC"/>
          </w:pPr>
        </w:p>
        <w:p w:rsidR="00367087" w:rsidRDefault="00367087">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0916458" w:history="1">
            <w:r w:rsidRPr="00A23C59">
              <w:rPr>
                <w:rStyle w:val="Hipervnculo"/>
                <w:noProof/>
              </w:rPr>
              <w:t>A N T E C E D E N T E S</w:t>
            </w:r>
            <w:r>
              <w:rPr>
                <w:noProof/>
                <w:webHidden/>
              </w:rPr>
              <w:tab/>
            </w:r>
            <w:r>
              <w:rPr>
                <w:noProof/>
                <w:webHidden/>
              </w:rPr>
              <w:fldChar w:fldCharType="begin"/>
            </w:r>
            <w:r>
              <w:rPr>
                <w:noProof/>
                <w:webHidden/>
              </w:rPr>
              <w:instrText xml:space="preserve"> PAGEREF _Toc210916458 \h </w:instrText>
            </w:r>
            <w:r>
              <w:rPr>
                <w:noProof/>
                <w:webHidden/>
              </w:rPr>
            </w:r>
            <w:r>
              <w:rPr>
                <w:noProof/>
                <w:webHidden/>
              </w:rPr>
              <w:fldChar w:fldCharType="separate"/>
            </w:r>
            <w:r w:rsidR="0015506B">
              <w:rPr>
                <w:noProof/>
                <w:webHidden/>
              </w:rPr>
              <w:t>2</w:t>
            </w:r>
            <w:r>
              <w:rPr>
                <w:noProof/>
                <w:webHidden/>
              </w:rPr>
              <w:fldChar w:fldCharType="end"/>
            </w:r>
          </w:hyperlink>
        </w:p>
        <w:p w:rsidR="00367087" w:rsidRDefault="00D10F97">
          <w:pPr>
            <w:pStyle w:val="TDC2"/>
            <w:tabs>
              <w:tab w:val="right" w:leader="dot" w:pos="8921"/>
            </w:tabs>
            <w:rPr>
              <w:rFonts w:asciiTheme="minorHAnsi" w:eastAsiaTheme="minorEastAsia" w:hAnsiTheme="minorHAnsi" w:cstheme="minorBidi"/>
              <w:noProof/>
            </w:rPr>
          </w:pPr>
          <w:hyperlink w:anchor="_Toc210916459" w:history="1">
            <w:r w:rsidR="00367087" w:rsidRPr="00A23C59">
              <w:rPr>
                <w:rStyle w:val="Hipervnculo"/>
                <w:noProof/>
              </w:rPr>
              <w:t>I. Presentación de la solicitud de información</w:t>
            </w:r>
            <w:r w:rsidR="00367087">
              <w:rPr>
                <w:noProof/>
                <w:webHidden/>
              </w:rPr>
              <w:tab/>
            </w:r>
            <w:r w:rsidR="00367087">
              <w:rPr>
                <w:noProof/>
                <w:webHidden/>
              </w:rPr>
              <w:fldChar w:fldCharType="begin"/>
            </w:r>
            <w:r w:rsidR="00367087">
              <w:rPr>
                <w:noProof/>
                <w:webHidden/>
              </w:rPr>
              <w:instrText xml:space="preserve"> PAGEREF _Toc210916459 \h </w:instrText>
            </w:r>
            <w:r w:rsidR="00367087">
              <w:rPr>
                <w:noProof/>
                <w:webHidden/>
              </w:rPr>
            </w:r>
            <w:r w:rsidR="00367087">
              <w:rPr>
                <w:noProof/>
                <w:webHidden/>
              </w:rPr>
              <w:fldChar w:fldCharType="separate"/>
            </w:r>
            <w:r w:rsidR="0015506B">
              <w:rPr>
                <w:noProof/>
                <w:webHidden/>
              </w:rPr>
              <w:t>2</w:t>
            </w:r>
            <w:r w:rsidR="00367087">
              <w:rPr>
                <w:noProof/>
                <w:webHidden/>
              </w:rPr>
              <w:fldChar w:fldCharType="end"/>
            </w:r>
          </w:hyperlink>
        </w:p>
        <w:p w:rsidR="00367087" w:rsidRDefault="00D10F97">
          <w:pPr>
            <w:pStyle w:val="TDC2"/>
            <w:tabs>
              <w:tab w:val="right" w:leader="dot" w:pos="8921"/>
            </w:tabs>
            <w:rPr>
              <w:rFonts w:asciiTheme="minorHAnsi" w:eastAsiaTheme="minorEastAsia" w:hAnsiTheme="minorHAnsi" w:cstheme="minorBidi"/>
              <w:noProof/>
            </w:rPr>
          </w:pPr>
          <w:hyperlink w:anchor="_Toc210916460" w:history="1">
            <w:r w:rsidR="00367087" w:rsidRPr="00A23C59">
              <w:rPr>
                <w:rStyle w:val="Hipervnculo"/>
                <w:noProof/>
              </w:rPr>
              <w:t>II. Respuesta del Sujeto Obligado</w:t>
            </w:r>
            <w:r w:rsidR="00367087">
              <w:rPr>
                <w:noProof/>
                <w:webHidden/>
              </w:rPr>
              <w:tab/>
            </w:r>
            <w:r w:rsidR="00367087">
              <w:rPr>
                <w:noProof/>
                <w:webHidden/>
              </w:rPr>
              <w:fldChar w:fldCharType="begin"/>
            </w:r>
            <w:r w:rsidR="00367087">
              <w:rPr>
                <w:noProof/>
                <w:webHidden/>
              </w:rPr>
              <w:instrText xml:space="preserve"> PAGEREF _Toc210916460 \h </w:instrText>
            </w:r>
            <w:r w:rsidR="00367087">
              <w:rPr>
                <w:noProof/>
                <w:webHidden/>
              </w:rPr>
            </w:r>
            <w:r w:rsidR="00367087">
              <w:rPr>
                <w:noProof/>
                <w:webHidden/>
              </w:rPr>
              <w:fldChar w:fldCharType="separate"/>
            </w:r>
            <w:r w:rsidR="0015506B">
              <w:rPr>
                <w:noProof/>
                <w:webHidden/>
              </w:rPr>
              <w:t>3</w:t>
            </w:r>
            <w:r w:rsidR="00367087">
              <w:rPr>
                <w:noProof/>
                <w:webHidden/>
              </w:rPr>
              <w:fldChar w:fldCharType="end"/>
            </w:r>
          </w:hyperlink>
        </w:p>
        <w:p w:rsidR="00367087" w:rsidRDefault="00D10F97">
          <w:pPr>
            <w:pStyle w:val="TDC2"/>
            <w:tabs>
              <w:tab w:val="right" w:leader="dot" w:pos="8921"/>
            </w:tabs>
            <w:rPr>
              <w:rFonts w:asciiTheme="minorHAnsi" w:eastAsiaTheme="minorEastAsia" w:hAnsiTheme="minorHAnsi" w:cstheme="minorBidi"/>
              <w:noProof/>
            </w:rPr>
          </w:pPr>
          <w:hyperlink w:anchor="_Toc210916461" w:history="1">
            <w:r w:rsidR="00367087" w:rsidRPr="00A23C59">
              <w:rPr>
                <w:rStyle w:val="Hipervnculo"/>
                <w:noProof/>
              </w:rPr>
              <w:t>III. Interposición del Recurso de Revisión</w:t>
            </w:r>
            <w:r w:rsidR="00367087">
              <w:rPr>
                <w:noProof/>
                <w:webHidden/>
              </w:rPr>
              <w:tab/>
            </w:r>
            <w:r w:rsidR="00367087">
              <w:rPr>
                <w:noProof/>
                <w:webHidden/>
              </w:rPr>
              <w:fldChar w:fldCharType="begin"/>
            </w:r>
            <w:r w:rsidR="00367087">
              <w:rPr>
                <w:noProof/>
                <w:webHidden/>
              </w:rPr>
              <w:instrText xml:space="preserve"> PAGEREF _Toc210916461 \h </w:instrText>
            </w:r>
            <w:r w:rsidR="00367087">
              <w:rPr>
                <w:noProof/>
                <w:webHidden/>
              </w:rPr>
            </w:r>
            <w:r w:rsidR="00367087">
              <w:rPr>
                <w:noProof/>
                <w:webHidden/>
              </w:rPr>
              <w:fldChar w:fldCharType="separate"/>
            </w:r>
            <w:r w:rsidR="0015506B">
              <w:rPr>
                <w:noProof/>
                <w:webHidden/>
              </w:rPr>
              <w:t>4</w:t>
            </w:r>
            <w:r w:rsidR="00367087">
              <w:rPr>
                <w:noProof/>
                <w:webHidden/>
              </w:rPr>
              <w:fldChar w:fldCharType="end"/>
            </w:r>
          </w:hyperlink>
        </w:p>
        <w:p w:rsidR="00367087" w:rsidRDefault="00D10F97">
          <w:pPr>
            <w:pStyle w:val="TDC2"/>
            <w:tabs>
              <w:tab w:val="right" w:leader="dot" w:pos="8921"/>
            </w:tabs>
            <w:rPr>
              <w:rFonts w:asciiTheme="minorHAnsi" w:eastAsiaTheme="minorEastAsia" w:hAnsiTheme="minorHAnsi" w:cstheme="minorBidi"/>
              <w:noProof/>
            </w:rPr>
          </w:pPr>
          <w:hyperlink w:anchor="_Toc210916462" w:history="1">
            <w:r w:rsidR="00367087" w:rsidRPr="00A23C59">
              <w:rPr>
                <w:rStyle w:val="Hipervnculo"/>
                <w:noProof/>
              </w:rPr>
              <w:t>IV. Trámite del Recurso de Revisión ante este Instituto</w:t>
            </w:r>
            <w:r w:rsidR="00367087">
              <w:rPr>
                <w:noProof/>
                <w:webHidden/>
              </w:rPr>
              <w:tab/>
            </w:r>
            <w:r w:rsidR="00367087">
              <w:rPr>
                <w:noProof/>
                <w:webHidden/>
              </w:rPr>
              <w:fldChar w:fldCharType="begin"/>
            </w:r>
            <w:r w:rsidR="00367087">
              <w:rPr>
                <w:noProof/>
                <w:webHidden/>
              </w:rPr>
              <w:instrText xml:space="preserve"> PAGEREF _Toc210916462 \h </w:instrText>
            </w:r>
            <w:r w:rsidR="00367087">
              <w:rPr>
                <w:noProof/>
                <w:webHidden/>
              </w:rPr>
            </w:r>
            <w:r w:rsidR="00367087">
              <w:rPr>
                <w:noProof/>
                <w:webHidden/>
              </w:rPr>
              <w:fldChar w:fldCharType="separate"/>
            </w:r>
            <w:r w:rsidR="0015506B">
              <w:rPr>
                <w:noProof/>
                <w:webHidden/>
              </w:rPr>
              <w:t>5</w:t>
            </w:r>
            <w:r w:rsidR="00367087">
              <w:rPr>
                <w:noProof/>
                <w:webHidden/>
              </w:rPr>
              <w:fldChar w:fldCharType="end"/>
            </w:r>
          </w:hyperlink>
        </w:p>
        <w:p w:rsidR="00367087" w:rsidRDefault="00D10F97">
          <w:pPr>
            <w:pStyle w:val="TDC1"/>
            <w:tabs>
              <w:tab w:val="right" w:leader="dot" w:pos="8921"/>
            </w:tabs>
            <w:rPr>
              <w:rFonts w:asciiTheme="minorHAnsi" w:eastAsiaTheme="minorEastAsia" w:hAnsiTheme="minorHAnsi" w:cstheme="minorBidi"/>
              <w:noProof/>
            </w:rPr>
          </w:pPr>
          <w:hyperlink w:anchor="_Toc210916463" w:history="1">
            <w:r w:rsidR="00367087" w:rsidRPr="00A23C59">
              <w:rPr>
                <w:rStyle w:val="Hipervnculo"/>
                <w:noProof/>
              </w:rPr>
              <w:t>C O N S I D E R A N D O S</w:t>
            </w:r>
            <w:r w:rsidR="00367087">
              <w:rPr>
                <w:noProof/>
                <w:webHidden/>
              </w:rPr>
              <w:tab/>
            </w:r>
            <w:r w:rsidR="00367087">
              <w:rPr>
                <w:noProof/>
                <w:webHidden/>
              </w:rPr>
              <w:fldChar w:fldCharType="begin"/>
            </w:r>
            <w:r w:rsidR="00367087">
              <w:rPr>
                <w:noProof/>
                <w:webHidden/>
              </w:rPr>
              <w:instrText xml:space="preserve"> PAGEREF _Toc210916463 \h </w:instrText>
            </w:r>
            <w:r w:rsidR="00367087">
              <w:rPr>
                <w:noProof/>
                <w:webHidden/>
              </w:rPr>
            </w:r>
            <w:r w:rsidR="00367087">
              <w:rPr>
                <w:noProof/>
                <w:webHidden/>
              </w:rPr>
              <w:fldChar w:fldCharType="separate"/>
            </w:r>
            <w:r w:rsidR="0015506B">
              <w:rPr>
                <w:noProof/>
                <w:webHidden/>
              </w:rPr>
              <w:t>8</w:t>
            </w:r>
            <w:r w:rsidR="00367087">
              <w:rPr>
                <w:noProof/>
                <w:webHidden/>
              </w:rPr>
              <w:fldChar w:fldCharType="end"/>
            </w:r>
          </w:hyperlink>
        </w:p>
        <w:p w:rsidR="00367087" w:rsidRDefault="00D10F97">
          <w:pPr>
            <w:pStyle w:val="TDC2"/>
            <w:tabs>
              <w:tab w:val="right" w:leader="dot" w:pos="8921"/>
            </w:tabs>
            <w:rPr>
              <w:rFonts w:asciiTheme="minorHAnsi" w:eastAsiaTheme="minorEastAsia" w:hAnsiTheme="minorHAnsi" w:cstheme="minorBidi"/>
              <w:noProof/>
            </w:rPr>
          </w:pPr>
          <w:hyperlink w:anchor="_Toc210916464" w:history="1">
            <w:r w:rsidR="00367087" w:rsidRPr="00A23C59">
              <w:rPr>
                <w:rStyle w:val="Hipervnculo"/>
                <w:noProof/>
              </w:rPr>
              <w:t>PRIMERO. Competencia</w:t>
            </w:r>
            <w:r w:rsidR="00367087">
              <w:rPr>
                <w:noProof/>
                <w:webHidden/>
              </w:rPr>
              <w:tab/>
            </w:r>
            <w:r w:rsidR="00367087">
              <w:rPr>
                <w:noProof/>
                <w:webHidden/>
              </w:rPr>
              <w:fldChar w:fldCharType="begin"/>
            </w:r>
            <w:r w:rsidR="00367087">
              <w:rPr>
                <w:noProof/>
                <w:webHidden/>
              </w:rPr>
              <w:instrText xml:space="preserve"> PAGEREF _Toc210916464 \h </w:instrText>
            </w:r>
            <w:r w:rsidR="00367087">
              <w:rPr>
                <w:noProof/>
                <w:webHidden/>
              </w:rPr>
            </w:r>
            <w:r w:rsidR="00367087">
              <w:rPr>
                <w:noProof/>
                <w:webHidden/>
              </w:rPr>
              <w:fldChar w:fldCharType="separate"/>
            </w:r>
            <w:r w:rsidR="0015506B">
              <w:rPr>
                <w:noProof/>
                <w:webHidden/>
              </w:rPr>
              <w:t>8</w:t>
            </w:r>
            <w:r w:rsidR="00367087">
              <w:rPr>
                <w:noProof/>
                <w:webHidden/>
              </w:rPr>
              <w:fldChar w:fldCharType="end"/>
            </w:r>
          </w:hyperlink>
        </w:p>
        <w:p w:rsidR="00367087" w:rsidRDefault="00D10F97">
          <w:pPr>
            <w:pStyle w:val="TDC2"/>
            <w:tabs>
              <w:tab w:val="right" w:leader="dot" w:pos="8921"/>
            </w:tabs>
            <w:rPr>
              <w:rFonts w:asciiTheme="minorHAnsi" w:eastAsiaTheme="minorEastAsia" w:hAnsiTheme="minorHAnsi" w:cstheme="minorBidi"/>
              <w:noProof/>
            </w:rPr>
          </w:pPr>
          <w:hyperlink w:anchor="_Toc210916465" w:history="1">
            <w:r w:rsidR="00367087" w:rsidRPr="00A23C59">
              <w:rPr>
                <w:rStyle w:val="Hipervnculo"/>
                <w:noProof/>
              </w:rPr>
              <w:t>SEGUNDO. Causales de improcedencia sobreseimiento</w:t>
            </w:r>
            <w:r w:rsidR="00367087">
              <w:rPr>
                <w:noProof/>
                <w:webHidden/>
              </w:rPr>
              <w:tab/>
            </w:r>
            <w:r w:rsidR="00367087">
              <w:rPr>
                <w:noProof/>
                <w:webHidden/>
              </w:rPr>
              <w:fldChar w:fldCharType="begin"/>
            </w:r>
            <w:r w:rsidR="00367087">
              <w:rPr>
                <w:noProof/>
                <w:webHidden/>
              </w:rPr>
              <w:instrText xml:space="preserve"> PAGEREF _Toc210916465 \h </w:instrText>
            </w:r>
            <w:r w:rsidR="00367087">
              <w:rPr>
                <w:noProof/>
                <w:webHidden/>
              </w:rPr>
            </w:r>
            <w:r w:rsidR="00367087">
              <w:rPr>
                <w:noProof/>
                <w:webHidden/>
              </w:rPr>
              <w:fldChar w:fldCharType="separate"/>
            </w:r>
            <w:r w:rsidR="0015506B">
              <w:rPr>
                <w:noProof/>
                <w:webHidden/>
              </w:rPr>
              <w:t>9</w:t>
            </w:r>
            <w:r w:rsidR="00367087">
              <w:rPr>
                <w:noProof/>
                <w:webHidden/>
              </w:rPr>
              <w:fldChar w:fldCharType="end"/>
            </w:r>
          </w:hyperlink>
        </w:p>
        <w:p w:rsidR="00367087" w:rsidRDefault="00D10F97">
          <w:pPr>
            <w:pStyle w:val="TDC2"/>
            <w:tabs>
              <w:tab w:val="right" w:leader="dot" w:pos="8921"/>
            </w:tabs>
            <w:rPr>
              <w:rFonts w:asciiTheme="minorHAnsi" w:eastAsiaTheme="minorEastAsia" w:hAnsiTheme="minorHAnsi" w:cstheme="minorBidi"/>
              <w:noProof/>
            </w:rPr>
          </w:pPr>
          <w:hyperlink w:anchor="_Toc210916466" w:history="1">
            <w:r w:rsidR="00367087" w:rsidRPr="00A23C59">
              <w:rPr>
                <w:rStyle w:val="Hipervnculo"/>
                <w:noProof/>
              </w:rPr>
              <w:t>TERCERO. Determinación de la Controversia</w:t>
            </w:r>
            <w:r w:rsidR="00367087">
              <w:rPr>
                <w:noProof/>
                <w:webHidden/>
              </w:rPr>
              <w:tab/>
            </w:r>
            <w:r w:rsidR="00367087">
              <w:rPr>
                <w:noProof/>
                <w:webHidden/>
              </w:rPr>
              <w:fldChar w:fldCharType="begin"/>
            </w:r>
            <w:r w:rsidR="00367087">
              <w:rPr>
                <w:noProof/>
                <w:webHidden/>
              </w:rPr>
              <w:instrText xml:space="preserve"> PAGEREF _Toc210916466 \h </w:instrText>
            </w:r>
            <w:r w:rsidR="00367087">
              <w:rPr>
                <w:noProof/>
                <w:webHidden/>
              </w:rPr>
            </w:r>
            <w:r w:rsidR="00367087">
              <w:rPr>
                <w:noProof/>
                <w:webHidden/>
              </w:rPr>
              <w:fldChar w:fldCharType="separate"/>
            </w:r>
            <w:r w:rsidR="0015506B">
              <w:rPr>
                <w:noProof/>
                <w:webHidden/>
              </w:rPr>
              <w:t>10</w:t>
            </w:r>
            <w:r w:rsidR="00367087">
              <w:rPr>
                <w:noProof/>
                <w:webHidden/>
              </w:rPr>
              <w:fldChar w:fldCharType="end"/>
            </w:r>
          </w:hyperlink>
        </w:p>
        <w:p w:rsidR="00367087" w:rsidRDefault="00D10F97">
          <w:pPr>
            <w:pStyle w:val="TDC2"/>
            <w:tabs>
              <w:tab w:val="right" w:leader="dot" w:pos="8921"/>
            </w:tabs>
            <w:rPr>
              <w:rFonts w:asciiTheme="minorHAnsi" w:eastAsiaTheme="minorEastAsia" w:hAnsiTheme="minorHAnsi" w:cstheme="minorBidi"/>
              <w:noProof/>
            </w:rPr>
          </w:pPr>
          <w:hyperlink w:anchor="_Toc210916467" w:history="1">
            <w:r w:rsidR="00367087" w:rsidRPr="00A23C59">
              <w:rPr>
                <w:rStyle w:val="Hipervnculo"/>
                <w:noProof/>
              </w:rPr>
              <w:t>CUARTO. Marco normativo aplicable en materia de transparencia y acceso a la información pública</w:t>
            </w:r>
            <w:r w:rsidR="00367087">
              <w:rPr>
                <w:noProof/>
                <w:webHidden/>
              </w:rPr>
              <w:tab/>
            </w:r>
            <w:r w:rsidR="00367087">
              <w:rPr>
                <w:noProof/>
                <w:webHidden/>
              </w:rPr>
              <w:fldChar w:fldCharType="begin"/>
            </w:r>
            <w:r w:rsidR="00367087">
              <w:rPr>
                <w:noProof/>
                <w:webHidden/>
              </w:rPr>
              <w:instrText xml:space="preserve"> PAGEREF _Toc210916467 \h </w:instrText>
            </w:r>
            <w:r w:rsidR="00367087">
              <w:rPr>
                <w:noProof/>
                <w:webHidden/>
              </w:rPr>
            </w:r>
            <w:r w:rsidR="00367087">
              <w:rPr>
                <w:noProof/>
                <w:webHidden/>
              </w:rPr>
              <w:fldChar w:fldCharType="separate"/>
            </w:r>
            <w:r w:rsidR="0015506B">
              <w:rPr>
                <w:noProof/>
                <w:webHidden/>
              </w:rPr>
              <w:t>14</w:t>
            </w:r>
            <w:r w:rsidR="00367087">
              <w:rPr>
                <w:noProof/>
                <w:webHidden/>
              </w:rPr>
              <w:fldChar w:fldCharType="end"/>
            </w:r>
          </w:hyperlink>
        </w:p>
        <w:p w:rsidR="00367087" w:rsidRDefault="00D10F97">
          <w:pPr>
            <w:pStyle w:val="TDC2"/>
            <w:tabs>
              <w:tab w:val="right" w:leader="dot" w:pos="8921"/>
            </w:tabs>
            <w:rPr>
              <w:rFonts w:asciiTheme="minorHAnsi" w:eastAsiaTheme="minorEastAsia" w:hAnsiTheme="minorHAnsi" w:cstheme="minorBidi"/>
              <w:noProof/>
            </w:rPr>
          </w:pPr>
          <w:hyperlink w:anchor="_Toc210916468" w:history="1">
            <w:r w:rsidR="00367087" w:rsidRPr="00A23C59">
              <w:rPr>
                <w:rStyle w:val="Hipervnculo"/>
                <w:noProof/>
              </w:rPr>
              <w:t>QUINTO. Estudio de Fondo</w:t>
            </w:r>
            <w:r w:rsidR="00367087">
              <w:rPr>
                <w:noProof/>
                <w:webHidden/>
              </w:rPr>
              <w:tab/>
            </w:r>
            <w:r w:rsidR="00367087">
              <w:rPr>
                <w:noProof/>
                <w:webHidden/>
              </w:rPr>
              <w:fldChar w:fldCharType="begin"/>
            </w:r>
            <w:r w:rsidR="00367087">
              <w:rPr>
                <w:noProof/>
                <w:webHidden/>
              </w:rPr>
              <w:instrText xml:space="preserve"> PAGEREF _Toc210916468 \h </w:instrText>
            </w:r>
            <w:r w:rsidR="00367087">
              <w:rPr>
                <w:noProof/>
                <w:webHidden/>
              </w:rPr>
            </w:r>
            <w:r w:rsidR="00367087">
              <w:rPr>
                <w:noProof/>
                <w:webHidden/>
              </w:rPr>
              <w:fldChar w:fldCharType="separate"/>
            </w:r>
            <w:r w:rsidR="0015506B">
              <w:rPr>
                <w:noProof/>
                <w:webHidden/>
              </w:rPr>
              <w:t>15</w:t>
            </w:r>
            <w:r w:rsidR="00367087">
              <w:rPr>
                <w:noProof/>
                <w:webHidden/>
              </w:rPr>
              <w:fldChar w:fldCharType="end"/>
            </w:r>
          </w:hyperlink>
        </w:p>
        <w:p w:rsidR="00367087" w:rsidRDefault="00D10F97">
          <w:pPr>
            <w:pStyle w:val="TDC2"/>
            <w:tabs>
              <w:tab w:val="right" w:leader="dot" w:pos="8921"/>
            </w:tabs>
            <w:rPr>
              <w:rFonts w:asciiTheme="minorHAnsi" w:eastAsiaTheme="minorEastAsia" w:hAnsiTheme="minorHAnsi" w:cstheme="minorBidi"/>
              <w:noProof/>
            </w:rPr>
          </w:pPr>
          <w:hyperlink w:anchor="_Toc210916469" w:history="1">
            <w:r w:rsidR="00367087" w:rsidRPr="00A23C59">
              <w:rPr>
                <w:rStyle w:val="Hipervnculo"/>
                <w:noProof/>
              </w:rPr>
              <w:t>SEXTO. Decisión</w:t>
            </w:r>
            <w:r w:rsidR="00367087">
              <w:rPr>
                <w:noProof/>
                <w:webHidden/>
              </w:rPr>
              <w:tab/>
            </w:r>
            <w:r w:rsidR="00367087">
              <w:rPr>
                <w:noProof/>
                <w:webHidden/>
              </w:rPr>
              <w:fldChar w:fldCharType="begin"/>
            </w:r>
            <w:r w:rsidR="00367087">
              <w:rPr>
                <w:noProof/>
                <w:webHidden/>
              </w:rPr>
              <w:instrText xml:space="preserve"> PAGEREF _Toc210916469 \h </w:instrText>
            </w:r>
            <w:r w:rsidR="00367087">
              <w:rPr>
                <w:noProof/>
                <w:webHidden/>
              </w:rPr>
            </w:r>
            <w:r w:rsidR="00367087">
              <w:rPr>
                <w:noProof/>
                <w:webHidden/>
              </w:rPr>
              <w:fldChar w:fldCharType="separate"/>
            </w:r>
            <w:r w:rsidR="0015506B">
              <w:rPr>
                <w:noProof/>
                <w:webHidden/>
              </w:rPr>
              <w:t>39</w:t>
            </w:r>
            <w:r w:rsidR="00367087">
              <w:rPr>
                <w:noProof/>
                <w:webHidden/>
              </w:rPr>
              <w:fldChar w:fldCharType="end"/>
            </w:r>
          </w:hyperlink>
        </w:p>
        <w:p w:rsidR="00367087" w:rsidRDefault="00D10F97">
          <w:pPr>
            <w:pStyle w:val="TDC1"/>
            <w:tabs>
              <w:tab w:val="right" w:leader="dot" w:pos="8921"/>
            </w:tabs>
            <w:rPr>
              <w:rFonts w:asciiTheme="minorHAnsi" w:eastAsiaTheme="minorEastAsia" w:hAnsiTheme="minorHAnsi" w:cstheme="minorBidi"/>
              <w:noProof/>
            </w:rPr>
          </w:pPr>
          <w:hyperlink w:anchor="_Toc210916470" w:history="1">
            <w:r w:rsidR="00367087" w:rsidRPr="00A23C59">
              <w:rPr>
                <w:rStyle w:val="Hipervnculo"/>
                <w:noProof/>
              </w:rPr>
              <w:t>R E S U E L V E</w:t>
            </w:r>
            <w:r w:rsidR="00367087">
              <w:rPr>
                <w:noProof/>
                <w:webHidden/>
              </w:rPr>
              <w:tab/>
            </w:r>
            <w:r w:rsidR="00367087">
              <w:rPr>
                <w:noProof/>
                <w:webHidden/>
              </w:rPr>
              <w:fldChar w:fldCharType="begin"/>
            </w:r>
            <w:r w:rsidR="00367087">
              <w:rPr>
                <w:noProof/>
                <w:webHidden/>
              </w:rPr>
              <w:instrText xml:space="preserve"> PAGEREF _Toc210916470 \h </w:instrText>
            </w:r>
            <w:r w:rsidR="00367087">
              <w:rPr>
                <w:noProof/>
                <w:webHidden/>
              </w:rPr>
            </w:r>
            <w:r w:rsidR="00367087">
              <w:rPr>
                <w:noProof/>
                <w:webHidden/>
              </w:rPr>
              <w:fldChar w:fldCharType="separate"/>
            </w:r>
            <w:r w:rsidR="0015506B">
              <w:rPr>
                <w:noProof/>
                <w:webHidden/>
              </w:rPr>
              <w:t>40</w:t>
            </w:r>
            <w:r w:rsidR="00367087">
              <w:rPr>
                <w:noProof/>
                <w:webHidden/>
              </w:rPr>
              <w:fldChar w:fldCharType="end"/>
            </w:r>
          </w:hyperlink>
        </w:p>
        <w:p w:rsidR="00367087" w:rsidRDefault="00367087">
          <w:r>
            <w:rPr>
              <w:b/>
              <w:bCs/>
              <w:lang w:val="es-ES"/>
            </w:rPr>
            <w:fldChar w:fldCharType="end"/>
          </w:r>
        </w:p>
      </w:sdtContent>
    </w:sdt>
    <w:p w:rsidR="00B30872" w:rsidRDefault="00B30872">
      <w:pPr>
        <w:tabs>
          <w:tab w:val="left" w:pos="8931"/>
        </w:tabs>
        <w:spacing w:after="0" w:line="360" w:lineRule="auto"/>
      </w:pPr>
    </w:p>
    <w:p w:rsidR="00367087" w:rsidRDefault="00367087">
      <w:pPr>
        <w:tabs>
          <w:tab w:val="left" w:pos="8931"/>
        </w:tabs>
        <w:spacing w:after="0" w:line="360" w:lineRule="auto"/>
      </w:pPr>
    </w:p>
    <w:p w:rsidR="00367087" w:rsidRDefault="00367087">
      <w:pPr>
        <w:tabs>
          <w:tab w:val="left" w:pos="8931"/>
        </w:tabs>
        <w:spacing w:after="0" w:line="360" w:lineRule="auto"/>
      </w:pPr>
    </w:p>
    <w:p w:rsidR="00367087" w:rsidRDefault="00367087">
      <w:pPr>
        <w:tabs>
          <w:tab w:val="left" w:pos="8931"/>
        </w:tabs>
        <w:spacing w:after="0" w:line="360" w:lineRule="auto"/>
      </w:pPr>
    </w:p>
    <w:p w:rsidR="00367087" w:rsidRDefault="00367087">
      <w:pPr>
        <w:tabs>
          <w:tab w:val="left" w:pos="8931"/>
        </w:tabs>
        <w:spacing w:after="0" w:line="360" w:lineRule="auto"/>
      </w:pPr>
    </w:p>
    <w:p w:rsidR="00B30872" w:rsidRDefault="00B30872">
      <w:pPr>
        <w:tabs>
          <w:tab w:val="left" w:pos="8931"/>
        </w:tabs>
        <w:spacing w:after="0" w:line="360" w:lineRule="auto"/>
      </w:pPr>
    </w:p>
    <w:p w:rsidR="00B30872" w:rsidRDefault="00250ECF">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ocho de octubre de dos mil veinticinco. </w:t>
      </w:r>
    </w:p>
    <w:p w:rsidR="00B30872" w:rsidRDefault="00B30872">
      <w:pPr>
        <w:spacing w:after="0" w:line="360" w:lineRule="auto"/>
        <w:rPr>
          <w:b/>
        </w:rPr>
      </w:pPr>
    </w:p>
    <w:p w:rsidR="00B30872" w:rsidRDefault="00250ECF">
      <w:pPr>
        <w:spacing w:after="0" w:line="360" w:lineRule="auto"/>
        <w:rPr>
          <w:color w:val="0D0D0D"/>
        </w:rPr>
      </w:pPr>
      <w:r>
        <w:rPr>
          <w:b/>
        </w:rPr>
        <w:t xml:space="preserve">VISTO </w:t>
      </w:r>
      <w:r>
        <w:t xml:space="preserve">el expediente electrónico conformado con motivo del Recurso de Revisión </w:t>
      </w:r>
      <w:r w:rsidRPr="00162FAB">
        <w:rPr>
          <w:b/>
        </w:rPr>
        <w:t>06831/INFOEM/IP/RR/2025</w:t>
      </w:r>
      <w:r>
        <w:t xml:space="preserve">, interpuesto por  </w:t>
      </w:r>
      <w:r w:rsidR="00163366" w:rsidRPr="00163366">
        <w:rPr>
          <w:b/>
          <w:highlight w:val="black"/>
        </w:rPr>
        <w:t>XXXXXXXXXX</w:t>
      </w:r>
      <w:r>
        <w:t xml:space="preserve">, en lo sucesivo, la persona </w:t>
      </w:r>
      <w:r>
        <w:rPr>
          <w:color w:val="0D0D0D"/>
        </w:rPr>
        <w:t xml:space="preserve">Recurrente o Particular, en contra de la respuesta del Sujeto Obligado, </w:t>
      </w:r>
      <w:r w:rsidRPr="00162FAB">
        <w:rPr>
          <w:b/>
        </w:rPr>
        <w:t>Organismo Público Descentralizado para la Prestación de los Servicios de Agua Potable Alcantarillado y Saneamiento del Municipio de Naucalpan de Juárez</w:t>
      </w:r>
      <w:r>
        <w:t>,</w:t>
      </w:r>
      <w:r>
        <w:rPr>
          <w:color w:val="0D0D0D"/>
        </w:rPr>
        <w:t xml:space="preserve"> a la solicitud de acceso a la información pública </w:t>
      </w:r>
      <w:r>
        <w:t>00122/OASNAUCAL/IP/2025</w:t>
      </w:r>
      <w:r>
        <w:rPr>
          <w:color w:val="000000"/>
        </w:rPr>
        <w:t xml:space="preserve">, </w:t>
      </w:r>
      <w:r>
        <w:rPr>
          <w:color w:val="0D0D0D"/>
        </w:rPr>
        <w:t>se emite la presente Resolución, con base en los Antecedentes y Considerandos que se exponen a continuación:</w:t>
      </w:r>
      <w:bookmarkStart w:id="0" w:name="_GoBack"/>
      <w:bookmarkEnd w:id="0"/>
    </w:p>
    <w:p w:rsidR="00B30872" w:rsidRDefault="00B30872">
      <w:pPr>
        <w:spacing w:after="0" w:line="360" w:lineRule="auto"/>
        <w:rPr>
          <w:b/>
        </w:rPr>
      </w:pPr>
    </w:p>
    <w:p w:rsidR="00B30872" w:rsidRDefault="00250ECF">
      <w:pPr>
        <w:pStyle w:val="Ttulo1"/>
        <w:spacing w:before="0" w:after="0" w:line="360" w:lineRule="auto"/>
        <w:jc w:val="center"/>
        <w:rPr>
          <w:sz w:val="22"/>
          <w:szCs w:val="22"/>
        </w:rPr>
      </w:pPr>
      <w:bookmarkStart w:id="1" w:name="_heading=h.y0d1k0lkr72z" w:colFirst="0" w:colLast="0"/>
      <w:bookmarkStart w:id="2" w:name="_Toc210916458"/>
      <w:bookmarkEnd w:id="1"/>
      <w:r>
        <w:rPr>
          <w:sz w:val="22"/>
          <w:szCs w:val="22"/>
        </w:rPr>
        <w:t>A N T E C E D E N T E S</w:t>
      </w:r>
      <w:bookmarkEnd w:id="2"/>
    </w:p>
    <w:p w:rsidR="00B30872" w:rsidRDefault="00B30872">
      <w:pPr>
        <w:spacing w:after="0" w:line="360" w:lineRule="auto"/>
        <w:jc w:val="center"/>
        <w:rPr>
          <w:b/>
        </w:rPr>
      </w:pPr>
    </w:p>
    <w:p w:rsidR="00B30872" w:rsidRDefault="00250ECF">
      <w:pPr>
        <w:pStyle w:val="Ttulo2"/>
        <w:spacing w:before="0" w:after="0" w:line="360" w:lineRule="auto"/>
        <w:rPr>
          <w:sz w:val="22"/>
          <w:szCs w:val="22"/>
        </w:rPr>
      </w:pPr>
      <w:bookmarkStart w:id="3" w:name="_heading=h.1mouoi2in4q3" w:colFirst="0" w:colLast="0"/>
      <w:bookmarkStart w:id="4" w:name="_Toc210916459"/>
      <w:bookmarkEnd w:id="3"/>
      <w:r>
        <w:rPr>
          <w:sz w:val="22"/>
          <w:szCs w:val="22"/>
        </w:rPr>
        <w:t>I. Presentación de la solicitud de información</w:t>
      </w:r>
      <w:bookmarkEnd w:id="4"/>
    </w:p>
    <w:p w:rsidR="00B30872" w:rsidRDefault="00B30872">
      <w:pPr>
        <w:tabs>
          <w:tab w:val="left" w:pos="567"/>
        </w:tabs>
        <w:spacing w:after="0" w:line="360" w:lineRule="auto"/>
      </w:pPr>
    </w:p>
    <w:p w:rsidR="00B30872" w:rsidRDefault="00250ECF">
      <w:pPr>
        <w:spacing w:after="0" w:line="360" w:lineRule="auto"/>
      </w:pPr>
      <w:r>
        <w:t>El dos de junio de dos mil veinticinco, el Particular presentó una solicitud de acceso a la información pública, a través del Sistema de Acceso a la Información Mexiquense (SAIMEX), ante el Organismo Público Descentralizado para la Prestación de los Servicios de Agua Potable Alcantarillado y Saneamiento del Municipio de Naucalpan de Juárez</w:t>
      </w:r>
      <w:r>
        <w:rPr>
          <w:color w:val="000000"/>
        </w:rPr>
        <w:t>,</w:t>
      </w:r>
      <w:r>
        <w:t xml:space="preserve"> en los siguientes términos: </w:t>
      </w:r>
    </w:p>
    <w:p w:rsidR="00B30872" w:rsidRDefault="00B30872">
      <w:pPr>
        <w:spacing w:after="0" w:line="360" w:lineRule="auto"/>
      </w:pPr>
    </w:p>
    <w:p w:rsidR="00B30872" w:rsidRDefault="00B30872">
      <w:pPr>
        <w:spacing w:after="0" w:line="360" w:lineRule="auto"/>
      </w:pPr>
    </w:p>
    <w:p w:rsidR="00B30872" w:rsidRDefault="00B30872">
      <w:pPr>
        <w:spacing w:after="0" w:line="360" w:lineRule="auto"/>
      </w:pPr>
    </w:p>
    <w:p w:rsidR="00B30872" w:rsidRDefault="00250ECF">
      <w:pPr>
        <w:tabs>
          <w:tab w:val="left" w:pos="4667"/>
        </w:tabs>
        <w:spacing w:after="0" w:line="360" w:lineRule="auto"/>
        <w:ind w:left="567" w:right="567"/>
        <w:rPr>
          <w:b/>
          <w:i/>
          <w:sz w:val="20"/>
          <w:szCs w:val="20"/>
        </w:rPr>
      </w:pPr>
      <w:r>
        <w:rPr>
          <w:b/>
          <w:i/>
          <w:sz w:val="20"/>
          <w:szCs w:val="20"/>
        </w:rPr>
        <w:lastRenderedPageBreak/>
        <w:t>“DESCRIPCIÓN CLARA Y PRECISA DE LA INFORMACIÓN SOLICITADA</w:t>
      </w:r>
    </w:p>
    <w:p w:rsidR="00B30872" w:rsidRDefault="00250ECF">
      <w:pPr>
        <w:tabs>
          <w:tab w:val="left" w:pos="4667"/>
        </w:tabs>
        <w:spacing w:after="0" w:line="360" w:lineRule="auto"/>
        <w:ind w:left="567" w:right="567"/>
        <w:rPr>
          <w:i/>
          <w:sz w:val="20"/>
          <w:szCs w:val="20"/>
        </w:rPr>
      </w:pPr>
      <w:r>
        <w:rPr>
          <w:i/>
          <w:color w:val="000000"/>
          <w:sz w:val="20"/>
          <w:szCs w:val="20"/>
        </w:rPr>
        <w:t>1. SOLICITO TODOS LOS OFICIOS GIRADOS POR LA SUBGERENCIA DE FACTIBILIDADES. 2. SOLICITO LA PLANTILLA DEL PERSONAL DE LA SUBGERENCIA DE FACTIBILIDADES 3. SOLICITO EL CURRICULUM Y EXPERIENCIA PARA DESEMPEÑAR EL PUESTO DEL SUBGERENTE DE FACTIBILIDADES Y DEL JEFE DE LA UNIDAD JURIDICO ADMINISTRATIVA DE LA SUBGERENCIA DE FACTIBILIDADES “</w:t>
      </w:r>
      <w:r>
        <w:rPr>
          <w:i/>
          <w:sz w:val="20"/>
          <w:szCs w:val="20"/>
        </w:rPr>
        <w:t>(Sic.)</w:t>
      </w:r>
    </w:p>
    <w:p w:rsidR="00B30872" w:rsidRDefault="00B30872">
      <w:pPr>
        <w:tabs>
          <w:tab w:val="left" w:pos="4667"/>
        </w:tabs>
        <w:spacing w:after="0" w:line="360" w:lineRule="auto"/>
        <w:ind w:left="567" w:right="567"/>
        <w:rPr>
          <w:b/>
          <w:i/>
          <w:sz w:val="20"/>
          <w:szCs w:val="20"/>
        </w:rPr>
      </w:pPr>
    </w:p>
    <w:p w:rsidR="00B30872" w:rsidRDefault="00250ECF">
      <w:pPr>
        <w:tabs>
          <w:tab w:val="left" w:pos="4667"/>
        </w:tabs>
        <w:spacing w:after="0" w:line="360" w:lineRule="auto"/>
        <w:ind w:left="567" w:right="567"/>
        <w:rPr>
          <w:b/>
          <w:i/>
          <w:sz w:val="20"/>
          <w:szCs w:val="20"/>
        </w:rPr>
      </w:pPr>
      <w:r>
        <w:rPr>
          <w:b/>
          <w:i/>
          <w:sz w:val="20"/>
          <w:szCs w:val="20"/>
        </w:rPr>
        <w:t>“MODALIDAD DE ENTREGA</w:t>
      </w:r>
    </w:p>
    <w:p w:rsidR="00B30872" w:rsidRDefault="00250ECF">
      <w:pPr>
        <w:spacing w:after="0" w:line="360" w:lineRule="auto"/>
        <w:ind w:left="567" w:right="567"/>
        <w:rPr>
          <w:i/>
          <w:sz w:val="20"/>
          <w:szCs w:val="20"/>
        </w:rPr>
      </w:pPr>
      <w:r>
        <w:rPr>
          <w:i/>
          <w:sz w:val="20"/>
          <w:szCs w:val="20"/>
        </w:rPr>
        <w:t>A través del SAIMEX”</w:t>
      </w:r>
    </w:p>
    <w:p w:rsidR="00B30872" w:rsidRDefault="00B30872">
      <w:pPr>
        <w:spacing w:after="0" w:line="360" w:lineRule="auto"/>
        <w:ind w:left="567" w:right="567"/>
        <w:rPr>
          <w:i/>
        </w:rPr>
      </w:pPr>
    </w:p>
    <w:p w:rsidR="00B30872" w:rsidRDefault="00250ECF">
      <w:pPr>
        <w:pStyle w:val="Ttulo2"/>
        <w:spacing w:before="0" w:after="0" w:line="360" w:lineRule="auto"/>
        <w:rPr>
          <w:sz w:val="22"/>
          <w:szCs w:val="22"/>
        </w:rPr>
      </w:pPr>
      <w:bookmarkStart w:id="5" w:name="_heading=h.sdbr7jeqz6rp" w:colFirst="0" w:colLast="0"/>
      <w:bookmarkStart w:id="6" w:name="_Toc210916460"/>
      <w:bookmarkEnd w:id="5"/>
      <w:r>
        <w:rPr>
          <w:sz w:val="22"/>
          <w:szCs w:val="22"/>
        </w:rPr>
        <w:t>II. Respuesta del Sujeto Obligado</w:t>
      </w:r>
      <w:bookmarkEnd w:id="6"/>
    </w:p>
    <w:p w:rsidR="00B30872" w:rsidRDefault="00B30872">
      <w:pPr>
        <w:spacing w:after="0" w:line="360" w:lineRule="auto"/>
        <w:rPr>
          <w:b/>
        </w:rPr>
      </w:pPr>
    </w:p>
    <w:p w:rsidR="00B30872" w:rsidRDefault="00250ECF">
      <w:pPr>
        <w:spacing w:after="0" w:line="360" w:lineRule="auto"/>
      </w:pPr>
      <w:r>
        <w:t>El diez de junio de dos mil veinticinco, el Sujeto Obligado notificó, a través del Sistema de Acceso a la Información Mexiquense (SAIMEX), la respuesta a la solicitud de acceso a la información pública, a través de los documentos siguientes:</w:t>
      </w:r>
    </w:p>
    <w:p w:rsidR="00B30872" w:rsidRDefault="00B30872">
      <w:pPr>
        <w:spacing w:after="0" w:line="360" w:lineRule="auto"/>
      </w:pPr>
    </w:p>
    <w:p w:rsidR="00B30872" w:rsidRDefault="00250ECF">
      <w:pPr>
        <w:spacing w:after="0" w:line="360" w:lineRule="auto"/>
      </w:pPr>
      <w:r>
        <w:t>i. Oficio número SGT/O/131/2025, del diez de mayo de dos mil veinticinco, suscrito por la Subgerente de Transparencia y dirigido al impetrante, por medio del cual mencionó lo siguiente:</w:t>
      </w:r>
    </w:p>
    <w:p w:rsidR="00B30872" w:rsidRDefault="00B30872">
      <w:pPr>
        <w:spacing w:after="0" w:line="360" w:lineRule="auto"/>
      </w:pPr>
    </w:p>
    <w:p w:rsidR="00B30872" w:rsidRDefault="00250ECF">
      <w:pPr>
        <w:spacing w:after="0" w:line="360" w:lineRule="auto"/>
        <w:ind w:left="720"/>
        <w:rPr>
          <w:i/>
          <w:sz w:val="20"/>
          <w:szCs w:val="20"/>
        </w:rPr>
      </w:pPr>
      <w:r>
        <w:rPr>
          <w:i/>
          <w:sz w:val="20"/>
          <w:szCs w:val="20"/>
        </w:rPr>
        <w:t>“…por lo que una vez realizado el proceso interno para la obtención de la información, siendo esta solicitada a la Subgerencia de factibilidades y Dirección de Administración, por ser considerado de sus facultades. Con el fin de atender el numeral 1 se proporciona la siguiente información: Al respecto, me permito manifestar que esta subgerencia, ha recibido un total de 267 oficios, al día de la fecha.</w:t>
      </w:r>
    </w:p>
    <w:p w:rsidR="00B30872" w:rsidRDefault="00B30872">
      <w:pPr>
        <w:spacing w:after="0" w:line="360" w:lineRule="auto"/>
        <w:ind w:left="720"/>
        <w:rPr>
          <w:i/>
          <w:sz w:val="20"/>
          <w:szCs w:val="20"/>
        </w:rPr>
      </w:pPr>
    </w:p>
    <w:p w:rsidR="00B30872" w:rsidRDefault="00250ECF">
      <w:pPr>
        <w:spacing w:after="0" w:line="360" w:lineRule="auto"/>
        <w:ind w:left="720"/>
        <w:rPr>
          <w:i/>
          <w:sz w:val="20"/>
          <w:szCs w:val="20"/>
        </w:rPr>
      </w:pPr>
      <w:r>
        <w:rPr>
          <w:i/>
          <w:sz w:val="20"/>
          <w:szCs w:val="20"/>
        </w:rPr>
        <w:t xml:space="preserve">Con el fin de atender los numerales 2 y 3 de la solicitud se proporciona la siguiente información </w:t>
      </w:r>
    </w:p>
    <w:p w:rsidR="00B30872" w:rsidRDefault="00B30872">
      <w:pPr>
        <w:spacing w:after="0" w:line="360" w:lineRule="auto"/>
        <w:ind w:left="720"/>
        <w:rPr>
          <w:i/>
          <w:sz w:val="20"/>
          <w:szCs w:val="20"/>
        </w:rPr>
      </w:pPr>
    </w:p>
    <w:p w:rsidR="00B30872" w:rsidRDefault="00250ECF">
      <w:pPr>
        <w:spacing w:after="0" w:line="360" w:lineRule="auto"/>
        <w:ind w:left="720"/>
        <w:jc w:val="center"/>
        <w:rPr>
          <w:i/>
          <w:sz w:val="20"/>
          <w:szCs w:val="20"/>
        </w:rPr>
      </w:pPr>
      <w:r>
        <w:rPr>
          <w:i/>
          <w:noProof/>
          <w:sz w:val="20"/>
          <w:szCs w:val="20"/>
        </w:rPr>
        <w:drawing>
          <wp:inline distT="0" distB="0" distL="0" distR="0">
            <wp:extent cx="3779549" cy="134999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779549" cy="1349990"/>
                    </a:xfrm>
                    <a:prstGeom prst="rect">
                      <a:avLst/>
                    </a:prstGeom>
                    <a:ln/>
                  </pic:spPr>
                </pic:pic>
              </a:graphicData>
            </a:graphic>
          </wp:inline>
        </w:drawing>
      </w:r>
    </w:p>
    <w:p w:rsidR="00B30872" w:rsidRDefault="00B30872">
      <w:pPr>
        <w:spacing w:after="0" w:line="360" w:lineRule="auto"/>
        <w:ind w:left="720"/>
        <w:jc w:val="center"/>
        <w:rPr>
          <w:i/>
          <w:sz w:val="20"/>
          <w:szCs w:val="20"/>
        </w:rPr>
      </w:pPr>
    </w:p>
    <w:p w:rsidR="00B30872" w:rsidRDefault="00250ECF">
      <w:pPr>
        <w:spacing w:after="0" w:line="360" w:lineRule="auto"/>
        <w:ind w:left="720"/>
        <w:rPr>
          <w:i/>
          <w:sz w:val="20"/>
          <w:szCs w:val="20"/>
        </w:rPr>
      </w:pPr>
      <w:r>
        <w:rPr>
          <w:i/>
          <w:sz w:val="20"/>
          <w:szCs w:val="20"/>
        </w:rPr>
        <w:t xml:space="preserve">Para lo que se refiere a </w:t>
      </w:r>
      <w:proofErr w:type="spellStart"/>
      <w:r>
        <w:rPr>
          <w:i/>
          <w:sz w:val="20"/>
          <w:szCs w:val="20"/>
        </w:rPr>
        <w:t>curriculum</w:t>
      </w:r>
      <w:proofErr w:type="spellEnd"/>
      <w:r>
        <w:rPr>
          <w:i/>
          <w:sz w:val="20"/>
          <w:szCs w:val="20"/>
        </w:rPr>
        <w:t xml:space="preserve"> y experiencia para desempeñar el puesto del subgerente de factibilidades y jefe de la Unidad Jurídica Administrativa. Referente a la información curricular y experiencia para el desempeño de los puesto, dicha información se encuentra visible en el portal IPOMEX, artículo 92 fracción XXI, “PERFIL DE PUESTOS DE LOS SERVIDORES PUBLICOS “, por lo que se proporciona los siguientes links. </w:t>
      </w:r>
    </w:p>
    <w:p w:rsidR="00B30872" w:rsidRDefault="00D10F97">
      <w:pPr>
        <w:spacing w:after="0" w:line="360" w:lineRule="auto"/>
        <w:ind w:left="720"/>
        <w:rPr>
          <w:i/>
          <w:sz w:val="20"/>
          <w:szCs w:val="20"/>
        </w:rPr>
      </w:pPr>
      <w:hyperlink r:id="rId10" w:anchor="/info-fraccion/28/290/12">
        <w:r w:rsidR="00250ECF">
          <w:rPr>
            <w:i/>
            <w:color w:val="0000FF"/>
            <w:sz w:val="20"/>
            <w:szCs w:val="20"/>
            <w:u w:val="single"/>
          </w:rPr>
          <w:t>https://ipomex.org.mx/ipomex/#/info-fraccion/28/290/12</w:t>
        </w:r>
      </w:hyperlink>
      <w:r w:rsidR="00250ECF">
        <w:rPr>
          <w:i/>
          <w:sz w:val="20"/>
          <w:szCs w:val="20"/>
        </w:rPr>
        <w:t xml:space="preserve"> y </w:t>
      </w:r>
      <w:hyperlink r:id="rId11" w:anchor="/info-fraccion/17/290/1">
        <w:r w:rsidR="00250ECF">
          <w:rPr>
            <w:i/>
            <w:color w:val="0000FF"/>
            <w:sz w:val="20"/>
            <w:szCs w:val="20"/>
            <w:u w:val="single"/>
          </w:rPr>
          <w:t>https://ipomex.org.mx/ipomex/#/info-fraccion/17/290/1</w:t>
        </w:r>
      </w:hyperlink>
      <w:r w:rsidR="00250ECF">
        <w:rPr>
          <w:i/>
          <w:sz w:val="20"/>
          <w:szCs w:val="20"/>
        </w:rPr>
        <w:t xml:space="preserve"> para su consulta…”</w:t>
      </w:r>
    </w:p>
    <w:p w:rsidR="00B30872" w:rsidRDefault="00B30872">
      <w:pPr>
        <w:spacing w:after="0" w:line="360" w:lineRule="auto"/>
      </w:pPr>
    </w:p>
    <w:p w:rsidR="00B30872" w:rsidRDefault="00250ECF">
      <w:pPr>
        <w:pStyle w:val="Ttulo2"/>
        <w:spacing w:before="0" w:after="0" w:line="360" w:lineRule="auto"/>
        <w:rPr>
          <w:sz w:val="22"/>
          <w:szCs w:val="22"/>
        </w:rPr>
      </w:pPr>
      <w:bookmarkStart w:id="7" w:name="_heading=h.3szngypo94g6" w:colFirst="0" w:colLast="0"/>
      <w:bookmarkStart w:id="8" w:name="_Toc210916461"/>
      <w:bookmarkEnd w:id="7"/>
      <w:r>
        <w:rPr>
          <w:sz w:val="22"/>
          <w:szCs w:val="22"/>
        </w:rPr>
        <w:t>III. Interposición del Recurso de Revisión</w:t>
      </w:r>
      <w:bookmarkEnd w:id="8"/>
    </w:p>
    <w:p w:rsidR="00B30872" w:rsidRDefault="00B30872">
      <w:pPr>
        <w:spacing w:after="0" w:line="360" w:lineRule="auto"/>
        <w:rPr>
          <w:b/>
        </w:rPr>
      </w:pPr>
    </w:p>
    <w:p w:rsidR="00B30872" w:rsidRDefault="00250ECF">
      <w:pPr>
        <w:spacing w:after="0" w:line="360" w:lineRule="auto"/>
      </w:pPr>
      <w:r>
        <w:t>El once de junio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rsidR="00B30872" w:rsidRDefault="00B30872">
      <w:pPr>
        <w:spacing w:after="0" w:line="360" w:lineRule="auto"/>
      </w:pPr>
    </w:p>
    <w:p w:rsidR="00B30872" w:rsidRDefault="00B30872">
      <w:pPr>
        <w:spacing w:after="0" w:line="360" w:lineRule="auto"/>
      </w:pPr>
    </w:p>
    <w:p w:rsidR="00B30872" w:rsidRDefault="00250ECF">
      <w:pPr>
        <w:spacing w:after="0" w:line="360" w:lineRule="auto"/>
        <w:ind w:left="567" w:right="567"/>
        <w:rPr>
          <w:i/>
          <w:sz w:val="20"/>
          <w:szCs w:val="20"/>
        </w:rPr>
      </w:pPr>
      <w:r>
        <w:rPr>
          <w:b/>
          <w:i/>
          <w:sz w:val="20"/>
          <w:szCs w:val="20"/>
        </w:rPr>
        <w:lastRenderedPageBreak/>
        <w:t>‘’ACTO IMPUGNADO</w:t>
      </w:r>
    </w:p>
    <w:p w:rsidR="00B30872" w:rsidRDefault="00250ECF">
      <w:pPr>
        <w:spacing w:after="0" w:line="360" w:lineRule="auto"/>
        <w:ind w:left="567" w:right="567"/>
        <w:rPr>
          <w:i/>
          <w:sz w:val="20"/>
          <w:szCs w:val="20"/>
        </w:rPr>
      </w:pPr>
      <w:r>
        <w:rPr>
          <w:i/>
          <w:color w:val="000000"/>
          <w:sz w:val="20"/>
          <w:szCs w:val="20"/>
        </w:rPr>
        <w:t>EN EL NUMERAL 1, DICE QUE LA SUBGERENCIA DE FACTIBILIDADES A RECIBIDO, CUANDO MI SOLICITUD FUE, CUANDOS OFICIOS A EMITIDO. SOLICITE LA EXPERIENCIA DEL JEFE DE LA UNIDAD JURIDICO ADMINISTRATIVA DE LA SUBGERENCIA DE FACTIBILIDADES, SIN EMBARGO NO APARECE EN LA FRACCIÓN.</w:t>
      </w:r>
      <w:r>
        <w:rPr>
          <w:i/>
          <w:sz w:val="20"/>
          <w:szCs w:val="20"/>
        </w:rPr>
        <w:t xml:space="preserve">” </w:t>
      </w:r>
    </w:p>
    <w:p w:rsidR="00B30872" w:rsidRDefault="00B30872">
      <w:pPr>
        <w:spacing w:after="0" w:line="360" w:lineRule="auto"/>
        <w:ind w:left="567" w:right="567"/>
        <w:rPr>
          <w:i/>
          <w:sz w:val="20"/>
          <w:szCs w:val="20"/>
        </w:rPr>
      </w:pPr>
    </w:p>
    <w:p w:rsidR="00B30872" w:rsidRDefault="00250ECF">
      <w:pPr>
        <w:spacing w:after="0" w:line="360" w:lineRule="auto"/>
        <w:ind w:left="567" w:right="567"/>
        <w:rPr>
          <w:b/>
          <w:i/>
          <w:sz w:val="20"/>
          <w:szCs w:val="20"/>
        </w:rPr>
      </w:pPr>
      <w:r>
        <w:rPr>
          <w:b/>
          <w:i/>
          <w:sz w:val="20"/>
          <w:szCs w:val="20"/>
        </w:rPr>
        <w:t>‘’RAZONES O MOTIVOS DE LA INCONFORMIDAD</w:t>
      </w:r>
    </w:p>
    <w:p w:rsidR="00B30872" w:rsidRDefault="00250ECF">
      <w:pPr>
        <w:spacing w:after="0" w:line="360" w:lineRule="auto"/>
        <w:ind w:left="567" w:right="567"/>
        <w:rPr>
          <w:i/>
          <w:sz w:val="20"/>
          <w:szCs w:val="20"/>
        </w:rPr>
      </w:pPr>
      <w:r>
        <w:rPr>
          <w:i/>
          <w:color w:val="000000"/>
          <w:sz w:val="20"/>
          <w:szCs w:val="20"/>
        </w:rPr>
        <w:t>ESTAN NEGANDO INFORMACIÓN, SOBRE TODO CONOCIENDO QUE LA FRACCIÓN ES DEL TRIMESTRE ANTERIOR, POR LO QUE TAL VEZ EL FUNCIONARIO AL QUE ME REFIERO, AUN NO APARECIA.</w:t>
      </w:r>
      <w:r>
        <w:rPr>
          <w:i/>
          <w:sz w:val="20"/>
          <w:szCs w:val="20"/>
        </w:rPr>
        <w:t>” (Sic.)</w:t>
      </w:r>
    </w:p>
    <w:p w:rsidR="00B30872" w:rsidRDefault="00B30872">
      <w:pPr>
        <w:spacing w:after="0" w:line="360" w:lineRule="auto"/>
        <w:ind w:left="567" w:right="567" w:firstLine="32"/>
        <w:rPr>
          <w:i/>
        </w:rPr>
      </w:pPr>
    </w:p>
    <w:p w:rsidR="00B30872" w:rsidRDefault="00250ECF">
      <w:pPr>
        <w:pStyle w:val="Ttulo2"/>
        <w:spacing w:before="0" w:after="0" w:line="360" w:lineRule="auto"/>
        <w:rPr>
          <w:sz w:val="22"/>
          <w:szCs w:val="22"/>
        </w:rPr>
      </w:pPr>
      <w:bookmarkStart w:id="9" w:name="_heading=h.7v8rig4n0je5" w:colFirst="0" w:colLast="0"/>
      <w:bookmarkStart w:id="10" w:name="_Toc210916462"/>
      <w:bookmarkEnd w:id="9"/>
      <w:r>
        <w:rPr>
          <w:sz w:val="22"/>
          <w:szCs w:val="22"/>
        </w:rPr>
        <w:t>IV. Trámite del Recurso de Revisión ante este Instituto</w:t>
      </w:r>
      <w:bookmarkEnd w:id="10"/>
    </w:p>
    <w:p w:rsidR="00B30872" w:rsidRDefault="00B30872">
      <w:pPr>
        <w:spacing w:after="0" w:line="360" w:lineRule="auto"/>
        <w:rPr>
          <w:b/>
        </w:rPr>
      </w:pPr>
    </w:p>
    <w:p w:rsidR="00B30872" w:rsidRDefault="00250ECF">
      <w:pPr>
        <w:spacing w:after="0" w:line="360" w:lineRule="auto"/>
      </w:pPr>
      <w:r>
        <w:rPr>
          <w:b/>
        </w:rPr>
        <w:t>a) Turno del Medio de Impugnación.</w:t>
      </w:r>
      <w:r>
        <w:t xml:space="preserve"> El once de junio de dos mil veinticinco, el Sistema de Acceso a la Información Mexiquense (SAIMEX), asignó el número de expediente </w:t>
      </w:r>
      <w:r>
        <w:rPr>
          <w:b/>
        </w:rPr>
        <w:t>06831/INFOEM/IP/RR/2025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B30872" w:rsidRDefault="00B30872">
      <w:pPr>
        <w:spacing w:after="0" w:line="360" w:lineRule="auto"/>
        <w:rPr>
          <w:b/>
        </w:rPr>
      </w:pPr>
    </w:p>
    <w:p w:rsidR="00B30872" w:rsidRDefault="00250ECF">
      <w:pPr>
        <w:spacing w:after="0" w:line="360" w:lineRule="auto"/>
      </w:pPr>
      <w:r>
        <w:rPr>
          <w:b/>
        </w:rPr>
        <w:t xml:space="preserve">b) Admisión del Recurso de Revisión. </w:t>
      </w:r>
      <w:r>
        <w:t xml:space="preserve">El dieciséis de junio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w:t>
      </w:r>
      <w:r>
        <w:lastRenderedPageBreak/>
        <w:t>las partes el mismo día, a través del Sistema de Acceso a la Información Mexiquense (SAIMEX), en el que se les otorgó un plazo de siete días hábiles posteriores a la misma, para que manifestara lo que a su derecho conviniera y formularán alegatos.</w:t>
      </w:r>
    </w:p>
    <w:p w:rsidR="00B30872" w:rsidRDefault="00B30872">
      <w:pPr>
        <w:spacing w:after="0" w:line="360" w:lineRule="auto"/>
      </w:pPr>
    </w:p>
    <w:p w:rsidR="00B30872" w:rsidRDefault="00250ECF">
      <w:pPr>
        <w:spacing w:after="0" w:line="360" w:lineRule="auto"/>
      </w:pPr>
      <w:bookmarkStart w:id="11" w:name="_heading=h.q27z3yajqwd6" w:colFirst="0" w:colLast="0"/>
      <w:bookmarkEnd w:id="11"/>
      <w:r>
        <w:rPr>
          <w:b/>
        </w:rPr>
        <w:t xml:space="preserve">c) Informe Justificado. </w:t>
      </w:r>
      <w:r>
        <w:t>El veintiséis de junio de dos mil veinticinco se recibió, a través de Sistema de Acceso a la Información Mexiquense (SAIMEX), el Informe Justificado del Sujeto Obligado, a través de la digitalización de los documentos siguientes:</w:t>
      </w:r>
    </w:p>
    <w:p w:rsidR="00B30872" w:rsidRDefault="00B30872">
      <w:pPr>
        <w:spacing w:after="0" w:line="360" w:lineRule="auto"/>
      </w:pPr>
    </w:p>
    <w:p w:rsidR="00B30872" w:rsidRDefault="00250ECF">
      <w:pPr>
        <w:spacing w:after="0" w:line="360" w:lineRule="auto"/>
      </w:pPr>
      <w:r>
        <w:t>i. Oficio sin número, del veinticuatro de junio de dos mil veinticinco, suscrito por la Subgerente de Transparencia y dirigido al Comisionado Ponente, por medio del cual mencionó lo siguiente:</w:t>
      </w:r>
    </w:p>
    <w:p w:rsidR="00B30872" w:rsidRDefault="00B30872">
      <w:pPr>
        <w:spacing w:after="0" w:line="360" w:lineRule="auto"/>
      </w:pPr>
    </w:p>
    <w:p w:rsidR="00B30872" w:rsidRDefault="00250ECF">
      <w:pPr>
        <w:spacing w:after="0" w:line="360" w:lineRule="auto"/>
        <w:ind w:left="567" w:right="567"/>
        <w:rPr>
          <w:i/>
          <w:sz w:val="20"/>
          <w:szCs w:val="20"/>
        </w:rPr>
      </w:pPr>
      <w:r>
        <w:rPr>
          <w:i/>
          <w:sz w:val="20"/>
          <w:szCs w:val="20"/>
        </w:rPr>
        <w:t>“…De acuerdo a la manifestación referente a: “</w:t>
      </w:r>
      <w:r>
        <w:rPr>
          <w:i/>
          <w:color w:val="000000"/>
          <w:sz w:val="20"/>
          <w:szCs w:val="20"/>
        </w:rPr>
        <w:t>EN EL NUMERAL 1, DICE QUE LA SUBGERENCIA DE FACTIBILIDADES A RECIBIDO, CUANDO MI SOLICITUD FUE, CUANDOS OFICIOS A EMITIDO. SOLICITE LA EXPERIENCIA DEL JEFE DE LA UNIDAD JURIDICO ADMINISTRATIVA DE LA SUBGERENCIA DE FACTIBILIDADES, SIN EMBARGO NO APARECE EN LA FRACCIÓN</w:t>
      </w:r>
      <w:r>
        <w:rPr>
          <w:i/>
          <w:sz w:val="20"/>
          <w:szCs w:val="20"/>
        </w:rPr>
        <w:t xml:space="preserve">” (Sic), </w:t>
      </w:r>
    </w:p>
    <w:p w:rsidR="00B30872" w:rsidRDefault="00250ECF">
      <w:pPr>
        <w:spacing w:after="0" w:line="360" w:lineRule="auto"/>
        <w:ind w:left="567" w:right="567"/>
        <w:rPr>
          <w:i/>
          <w:sz w:val="20"/>
          <w:szCs w:val="20"/>
        </w:rPr>
      </w:pPr>
      <w:r>
        <w:rPr>
          <w:i/>
          <w:sz w:val="20"/>
          <w:szCs w:val="20"/>
        </w:rPr>
        <w:t>….</w:t>
      </w:r>
    </w:p>
    <w:p w:rsidR="00B30872" w:rsidRDefault="00250ECF">
      <w:pPr>
        <w:spacing w:after="0" w:line="360" w:lineRule="auto"/>
        <w:ind w:left="567" w:right="567"/>
        <w:rPr>
          <w:i/>
          <w:sz w:val="20"/>
          <w:szCs w:val="20"/>
        </w:rPr>
      </w:pPr>
      <w:r>
        <w:rPr>
          <w:i/>
          <w:sz w:val="20"/>
          <w:szCs w:val="20"/>
        </w:rPr>
        <w:t>CUARTO. …</w:t>
      </w:r>
    </w:p>
    <w:p w:rsidR="00B30872" w:rsidRDefault="00250ECF">
      <w:pPr>
        <w:spacing w:after="0" w:line="360" w:lineRule="auto"/>
        <w:ind w:left="567" w:right="567"/>
        <w:rPr>
          <w:i/>
          <w:sz w:val="20"/>
          <w:szCs w:val="20"/>
        </w:rPr>
      </w:pPr>
      <w:r>
        <w:rPr>
          <w:i/>
          <w:sz w:val="20"/>
          <w:szCs w:val="20"/>
        </w:rPr>
        <w:t>…</w:t>
      </w:r>
    </w:p>
    <w:p w:rsidR="00B30872" w:rsidRDefault="00250ECF">
      <w:pPr>
        <w:spacing w:after="0" w:line="360" w:lineRule="auto"/>
        <w:ind w:left="567" w:right="567"/>
        <w:rPr>
          <w:i/>
          <w:sz w:val="20"/>
          <w:szCs w:val="20"/>
        </w:rPr>
      </w:pPr>
      <w:r>
        <w:rPr>
          <w:i/>
          <w:sz w:val="20"/>
          <w:szCs w:val="20"/>
        </w:rPr>
        <w:t xml:space="preserve">De lo anterior se advierte que el Servidor Público Habilitado dio respuesta a la Solicitud de Información de la siguiente manera: </w:t>
      </w:r>
    </w:p>
    <w:p w:rsidR="00B30872" w:rsidRDefault="00250ECF">
      <w:pPr>
        <w:spacing w:after="0" w:line="360" w:lineRule="auto"/>
        <w:ind w:left="567" w:right="567"/>
        <w:rPr>
          <w:i/>
          <w:sz w:val="20"/>
          <w:szCs w:val="20"/>
        </w:rPr>
      </w:pPr>
      <w:r>
        <w:rPr>
          <w:i/>
          <w:sz w:val="20"/>
          <w:szCs w:val="20"/>
        </w:rPr>
        <w:t>"</w:t>
      </w:r>
      <w:proofErr w:type="gramStart"/>
      <w:r>
        <w:rPr>
          <w:i/>
          <w:sz w:val="20"/>
          <w:szCs w:val="20"/>
        </w:rPr>
        <w:t>con</w:t>
      </w:r>
      <w:proofErr w:type="gramEnd"/>
      <w:r>
        <w:rPr>
          <w:i/>
          <w:sz w:val="20"/>
          <w:szCs w:val="20"/>
        </w:rPr>
        <w:t xml:space="preserve"> el fin de atender la Solicitud de mérito, en la respuesta a su solicitud, se proporcionó la plantilla del personal activo adscrito a la Subgerencia de Factibilidades, en ese contexto, se puede observar que </w:t>
      </w:r>
      <w:r>
        <w:rPr>
          <w:b/>
          <w:i/>
          <w:sz w:val="20"/>
          <w:szCs w:val="20"/>
        </w:rPr>
        <w:t xml:space="preserve">no se encuentra la plaza de la Unidad Jurídica Administrativa de la </w:t>
      </w:r>
      <w:r>
        <w:rPr>
          <w:b/>
          <w:i/>
          <w:sz w:val="20"/>
          <w:szCs w:val="20"/>
        </w:rPr>
        <w:lastRenderedPageBreak/>
        <w:t>Subgerencia de Factibilidades, derivado de que la misma se encuentra vacante desde el inicio de la administración</w:t>
      </w:r>
      <w:r>
        <w:rPr>
          <w:i/>
          <w:sz w:val="20"/>
          <w:szCs w:val="20"/>
        </w:rPr>
        <w:t>.”</w:t>
      </w:r>
    </w:p>
    <w:p w:rsidR="00B30872" w:rsidRDefault="00250ECF">
      <w:pPr>
        <w:spacing w:after="0" w:line="360" w:lineRule="auto"/>
        <w:ind w:left="567" w:right="567"/>
        <w:rPr>
          <w:i/>
          <w:sz w:val="20"/>
          <w:szCs w:val="20"/>
        </w:rPr>
      </w:pPr>
      <w:r>
        <w:rPr>
          <w:i/>
          <w:sz w:val="20"/>
          <w:szCs w:val="20"/>
        </w:rPr>
        <w:t>…</w:t>
      </w:r>
    </w:p>
    <w:p w:rsidR="00B30872" w:rsidRDefault="00250ECF">
      <w:pPr>
        <w:spacing w:after="0" w:line="360" w:lineRule="auto"/>
        <w:ind w:left="567" w:right="567"/>
        <w:rPr>
          <w:b/>
          <w:i/>
          <w:sz w:val="20"/>
          <w:szCs w:val="20"/>
        </w:rPr>
      </w:pPr>
      <w:r>
        <w:rPr>
          <w:i/>
          <w:sz w:val="20"/>
          <w:szCs w:val="20"/>
        </w:rPr>
        <w:t xml:space="preserve">…al respecto le informo que derivado de un error involuntario se informó los oficios EMITIDOS </w:t>
      </w:r>
      <w:proofErr w:type="gramStart"/>
      <w:r>
        <w:rPr>
          <w:i/>
          <w:sz w:val="20"/>
          <w:szCs w:val="20"/>
        </w:rPr>
        <w:t>mas</w:t>
      </w:r>
      <w:proofErr w:type="gramEnd"/>
      <w:r>
        <w:rPr>
          <w:i/>
          <w:sz w:val="20"/>
          <w:szCs w:val="20"/>
        </w:rPr>
        <w:t xml:space="preserve"> no oficios GIRADOS, motivo por el cual me permito informar que los oficios girados por la Subgerencia de Factibilidades fue un </w:t>
      </w:r>
      <w:r>
        <w:rPr>
          <w:b/>
          <w:i/>
          <w:sz w:val="20"/>
          <w:szCs w:val="20"/>
        </w:rPr>
        <w:t>total de 267 oficios girados.</w:t>
      </w:r>
    </w:p>
    <w:p w:rsidR="00B30872" w:rsidRDefault="00250ECF">
      <w:pPr>
        <w:spacing w:after="0" w:line="360" w:lineRule="auto"/>
        <w:ind w:left="567" w:right="567"/>
        <w:rPr>
          <w:i/>
          <w:sz w:val="20"/>
          <w:szCs w:val="20"/>
        </w:rPr>
      </w:pPr>
      <w:r>
        <w:rPr>
          <w:i/>
          <w:sz w:val="20"/>
          <w:szCs w:val="20"/>
        </w:rPr>
        <w:t xml:space="preserve">Por lo que se tiene por ratificada nuestra respuesta inicial. </w:t>
      </w:r>
      <w:proofErr w:type="gramStart"/>
      <w:r>
        <w:rPr>
          <w:i/>
          <w:sz w:val="20"/>
          <w:szCs w:val="20"/>
        </w:rPr>
        <w:t>“ (</w:t>
      </w:r>
      <w:proofErr w:type="gramEnd"/>
      <w:r>
        <w:rPr>
          <w:i/>
          <w:sz w:val="20"/>
          <w:szCs w:val="20"/>
        </w:rPr>
        <w:t>Sic.) (Énfasis añadido)</w:t>
      </w:r>
    </w:p>
    <w:p w:rsidR="00B30872" w:rsidRDefault="00B30872">
      <w:pPr>
        <w:spacing w:after="0" w:line="360" w:lineRule="auto"/>
        <w:rPr>
          <w:b/>
        </w:rPr>
      </w:pPr>
    </w:p>
    <w:p w:rsidR="00B30872" w:rsidRDefault="00250ECF">
      <w:pPr>
        <w:spacing w:after="0" w:line="360" w:lineRule="auto"/>
        <w:rPr>
          <w:b/>
          <w:color w:val="000000"/>
        </w:rPr>
      </w:pPr>
      <w:r>
        <w:rPr>
          <w:b/>
        </w:rPr>
        <w:t xml:space="preserve">d) </w:t>
      </w:r>
      <w:r>
        <w:rPr>
          <w:b/>
          <w:color w:val="000000"/>
        </w:rPr>
        <w:t xml:space="preserve">Vista del informe Justificado. </w:t>
      </w:r>
      <w:r>
        <w:rPr>
          <w:color w:val="000000"/>
        </w:rPr>
        <w:t>El dos de octubre de dos mil veinticinco, se dictó acuerdo por medio del cual se puso a la vista del Recurrente el Informe Justificado</w:t>
      </w:r>
      <w:r>
        <w:rPr>
          <w:b/>
          <w:color w:val="000000"/>
        </w:rPr>
        <w:t xml:space="preserve"> </w:t>
      </w:r>
      <w:r>
        <w:rPr>
          <w:color w:val="000000"/>
        </w:rPr>
        <w:t xml:space="preserve">entregado por el Sujeto Obligado, el cual fue notificado a las partes, a través del Sistema de Acceso a la Información Mexiquense (SAIMEX), el mismo día. </w:t>
      </w:r>
      <w:r>
        <w:rPr>
          <w:b/>
          <w:color w:val="000000"/>
        </w:rPr>
        <w:t>Cabe señalar que el Particular fue omiso en realizar manifestación alguna.</w:t>
      </w:r>
    </w:p>
    <w:p w:rsidR="00B30872" w:rsidRDefault="00B30872">
      <w:pPr>
        <w:spacing w:after="0" w:line="360" w:lineRule="auto"/>
        <w:rPr>
          <w:b/>
        </w:rPr>
      </w:pPr>
    </w:p>
    <w:p w:rsidR="00B30872" w:rsidRDefault="00250ECF">
      <w:pPr>
        <w:spacing w:after="0" w:line="360" w:lineRule="auto"/>
      </w:pPr>
      <w:r>
        <w:rPr>
          <w:b/>
        </w:rPr>
        <w:t xml:space="preserve">e) Ampliación de Plazo para resolver. </w:t>
      </w:r>
      <w:r>
        <w:t>El seis de octubre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w:t>
      </w:r>
    </w:p>
    <w:p w:rsidR="00B30872" w:rsidRDefault="00B30872">
      <w:pPr>
        <w:spacing w:after="0" w:line="360" w:lineRule="auto"/>
        <w:rPr>
          <w:b/>
        </w:rPr>
      </w:pPr>
    </w:p>
    <w:p w:rsidR="00B30872" w:rsidRDefault="00250ECF">
      <w:pPr>
        <w:spacing w:after="0" w:line="360" w:lineRule="auto"/>
      </w:pPr>
      <w:r>
        <w:rPr>
          <w:b/>
        </w:rPr>
        <w:t>f) Cierre de instrucción.</w:t>
      </w:r>
      <w:r>
        <w:t xml:space="preserve"> El ocho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lastRenderedPageBreak/>
        <w:t>Pública del Estado de México y Municipios, acto que fue notificado a las partes, mediante el Sistema de Acceso a la Información Mexiquense (SAIMEX), el mismo día.</w:t>
      </w:r>
    </w:p>
    <w:p w:rsidR="00B30872" w:rsidRDefault="00B30872">
      <w:pPr>
        <w:spacing w:after="0" w:line="360" w:lineRule="auto"/>
        <w:rPr>
          <w:b/>
        </w:rPr>
      </w:pPr>
    </w:p>
    <w:p w:rsidR="00B30872" w:rsidRDefault="00250ECF">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B30872" w:rsidRDefault="00B30872">
      <w:pPr>
        <w:spacing w:after="0" w:line="360" w:lineRule="auto"/>
        <w:rPr>
          <w:color w:val="000000"/>
        </w:rPr>
      </w:pPr>
    </w:p>
    <w:p w:rsidR="00B30872" w:rsidRDefault="00250ECF">
      <w:pPr>
        <w:pStyle w:val="Ttulo1"/>
        <w:spacing w:before="0" w:after="0" w:line="360" w:lineRule="auto"/>
        <w:jc w:val="center"/>
        <w:rPr>
          <w:sz w:val="22"/>
          <w:szCs w:val="22"/>
        </w:rPr>
      </w:pPr>
      <w:bookmarkStart w:id="12" w:name="_heading=h.v6xn117xvvt3" w:colFirst="0" w:colLast="0"/>
      <w:bookmarkStart w:id="13" w:name="_Toc210916463"/>
      <w:bookmarkEnd w:id="12"/>
      <w:r>
        <w:rPr>
          <w:sz w:val="22"/>
          <w:szCs w:val="22"/>
        </w:rPr>
        <w:t>C O N S I D E R A N D O S</w:t>
      </w:r>
      <w:bookmarkEnd w:id="13"/>
    </w:p>
    <w:p w:rsidR="00B30872" w:rsidRDefault="00B30872">
      <w:pPr>
        <w:spacing w:after="0" w:line="360" w:lineRule="auto"/>
        <w:jc w:val="center"/>
        <w:rPr>
          <w:b/>
          <w:color w:val="000000"/>
        </w:rPr>
      </w:pPr>
    </w:p>
    <w:p w:rsidR="00B30872" w:rsidRDefault="00250ECF">
      <w:pPr>
        <w:pStyle w:val="Ttulo2"/>
        <w:spacing w:before="0" w:after="0" w:line="360" w:lineRule="auto"/>
        <w:rPr>
          <w:sz w:val="22"/>
          <w:szCs w:val="22"/>
        </w:rPr>
      </w:pPr>
      <w:bookmarkStart w:id="14" w:name="_heading=h.fconub7m8lrw" w:colFirst="0" w:colLast="0"/>
      <w:bookmarkStart w:id="15" w:name="_Toc210916464"/>
      <w:bookmarkEnd w:id="14"/>
      <w:r>
        <w:rPr>
          <w:sz w:val="22"/>
          <w:szCs w:val="22"/>
        </w:rPr>
        <w:t>PRIMERO. Competencia</w:t>
      </w:r>
      <w:bookmarkEnd w:id="15"/>
    </w:p>
    <w:p w:rsidR="00B30872" w:rsidRDefault="00B30872">
      <w:pPr>
        <w:spacing w:after="0" w:line="360" w:lineRule="auto"/>
        <w:rPr>
          <w:b/>
          <w:color w:val="000000"/>
        </w:rPr>
      </w:pPr>
    </w:p>
    <w:p w:rsidR="00B30872" w:rsidRDefault="00250ECF">
      <w:pPr>
        <w:spacing w:after="0" w:line="360" w:lineRule="auto"/>
        <w:rPr>
          <w:color w:val="000000"/>
        </w:rPr>
      </w:pPr>
      <w:bookmarkStart w:id="16" w:name="_heading=h.30j0zll" w:colFirst="0" w:colLast="0"/>
      <w:bookmarkEnd w:id="16"/>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w:t>
      </w:r>
    </w:p>
    <w:p w:rsidR="00B30872" w:rsidRDefault="00250ECF">
      <w:pPr>
        <w:spacing w:after="0" w:line="360" w:lineRule="auto"/>
        <w:rPr>
          <w:color w:val="000000"/>
        </w:rPr>
      </w:pPr>
      <w:r>
        <w:rPr>
          <w:color w:val="000000"/>
        </w:rP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B30872" w:rsidRDefault="00B30872">
      <w:pPr>
        <w:spacing w:after="0" w:line="360" w:lineRule="auto"/>
      </w:pPr>
    </w:p>
    <w:p w:rsidR="00B30872" w:rsidRDefault="00B30872">
      <w:pPr>
        <w:spacing w:after="0" w:line="360" w:lineRule="auto"/>
      </w:pPr>
    </w:p>
    <w:p w:rsidR="00B30872" w:rsidRDefault="00250ECF">
      <w:pPr>
        <w:pStyle w:val="Ttulo2"/>
        <w:spacing w:before="0" w:after="0" w:line="360" w:lineRule="auto"/>
        <w:rPr>
          <w:b w:val="0"/>
          <w:color w:val="000000"/>
          <w:sz w:val="22"/>
          <w:szCs w:val="22"/>
        </w:rPr>
      </w:pPr>
      <w:bookmarkStart w:id="17" w:name="_heading=h.c89qp6ll65yo" w:colFirst="0" w:colLast="0"/>
      <w:bookmarkStart w:id="18" w:name="_Toc210916465"/>
      <w:bookmarkEnd w:id="17"/>
      <w:r>
        <w:rPr>
          <w:sz w:val="22"/>
          <w:szCs w:val="22"/>
        </w:rPr>
        <w:lastRenderedPageBreak/>
        <w:t xml:space="preserve">SEGUNDO. Causales de improcedencia </w:t>
      </w:r>
      <w:r>
        <w:rPr>
          <w:color w:val="000000"/>
          <w:sz w:val="22"/>
          <w:szCs w:val="22"/>
        </w:rPr>
        <w:t>sobreseimiento</w:t>
      </w:r>
      <w:bookmarkEnd w:id="18"/>
    </w:p>
    <w:p w:rsidR="00B30872" w:rsidRDefault="00B30872">
      <w:pPr>
        <w:spacing w:after="0" w:line="360" w:lineRule="auto"/>
        <w:rPr>
          <w:color w:val="000000"/>
        </w:rPr>
      </w:pPr>
    </w:p>
    <w:p w:rsidR="00B30872" w:rsidRDefault="00250ECF">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color w:val="000000"/>
        </w:rPr>
        <w:t>litis</w:t>
      </w:r>
      <w:proofErr w:type="spellEnd"/>
      <w:r>
        <w:rPr>
          <w:color w:val="000000"/>
        </w:rPr>
        <w:t>, es necesario estudiar las causales de improcedencia y sobreseimiento que se adviertan, para determinar lo que en Derecho proceda.</w:t>
      </w:r>
    </w:p>
    <w:p w:rsidR="00B30872" w:rsidRDefault="00B30872">
      <w:pPr>
        <w:spacing w:after="0" w:line="360" w:lineRule="auto"/>
        <w:rPr>
          <w:color w:val="000000"/>
        </w:rPr>
      </w:pPr>
    </w:p>
    <w:p w:rsidR="00B30872" w:rsidRDefault="00250ECF">
      <w:pPr>
        <w:spacing w:after="0" w:line="360" w:lineRule="auto"/>
        <w:rPr>
          <w:b/>
        </w:rPr>
      </w:pPr>
      <w:r>
        <w:rPr>
          <w:b/>
        </w:rPr>
        <w:t>Causales de improcedencia</w:t>
      </w:r>
    </w:p>
    <w:p w:rsidR="00B30872" w:rsidRDefault="00B30872">
      <w:pPr>
        <w:spacing w:after="0" w:line="360" w:lineRule="auto"/>
      </w:pPr>
    </w:p>
    <w:p w:rsidR="00B30872" w:rsidRDefault="00250ECF">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B30872" w:rsidRDefault="00B30872">
      <w:pPr>
        <w:spacing w:after="0" w:line="360" w:lineRule="auto"/>
        <w:rPr>
          <w:color w:val="000000"/>
        </w:rPr>
      </w:pPr>
    </w:p>
    <w:p w:rsidR="00B30872" w:rsidRDefault="00250ECF">
      <w:pPr>
        <w:spacing w:after="0" w:line="360" w:lineRule="auto"/>
      </w:pPr>
      <w:bookmarkStart w:id="19" w:name="_heading=h.a6d34u12394u" w:colFirst="0" w:colLast="0"/>
      <w:bookmarkEnd w:id="19"/>
      <w:r>
        <w:lastRenderedPageBreak/>
        <w:t xml:space="preserve">Por lo cual, se actualiza la causal de procedencia del Recurso de Revisión señalada en el artículo 179, fracción I y VI, de la Ley en cita, pues la persona Recurrente se inconformó de la negativa de la información al igual que entrega de información que no corresponda con lo solicitado. </w:t>
      </w:r>
    </w:p>
    <w:p w:rsidR="00B30872" w:rsidRDefault="00B30872">
      <w:pPr>
        <w:spacing w:after="0" w:line="360" w:lineRule="auto"/>
      </w:pPr>
    </w:p>
    <w:p w:rsidR="00B30872" w:rsidRDefault="00250ECF">
      <w:pPr>
        <w:spacing w:after="0" w:line="360" w:lineRule="auto"/>
        <w:rPr>
          <w:b/>
        </w:rPr>
      </w:pPr>
      <w:r>
        <w:rPr>
          <w:b/>
        </w:rPr>
        <w:t xml:space="preserve"> Causales de sobreseimiento</w:t>
      </w:r>
    </w:p>
    <w:p w:rsidR="00B30872" w:rsidRDefault="00B30872">
      <w:pPr>
        <w:spacing w:after="0" w:line="360" w:lineRule="auto"/>
        <w:rPr>
          <w:b/>
        </w:rPr>
      </w:pPr>
    </w:p>
    <w:p w:rsidR="00B30872" w:rsidRDefault="00250ECF">
      <w:pPr>
        <w:spacing w:after="0" w:line="360" w:lineRule="auto"/>
        <w:rPr>
          <w:color w:val="0D0D0D"/>
        </w:rPr>
      </w:pPr>
      <w:r>
        <w:rPr>
          <w:color w:val="0D0D0D"/>
        </w:rPr>
        <w:t>Por ser de previo y especial pronunciamiento, este Instituto analiza si se actualiza alguna causal de sobreseimiento.</w:t>
      </w:r>
    </w:p>
    <w:p w:rsidR="00B30872" w:rsidRDefault="00B30872">
      <w:pPr>
        <w:spacing w:after="0" w:line="360" w:lineRule="auto"/>
        <w:rPr>
          <w:color w:val="0D0D0D"/>
        </w:rPr>
      </w:pPr>
    </w:p>
    <w:p w:rsidR="00B30872" w:rsidRDefault="00250ECF">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B30872" w:rsidRDefault="00B30872">
      <w:pPr>
        <w:spacing w:after="0" w:line="360" w:lineRule="auto"/>
        <w:rPr>
          <w:color w:val="000000"/>
        </w:rPr>
      </w:pPr>
    </w:p>
    <w:p w:rsidR="00B30872" w:rsidRDefault="00250ECF">
      <w:pPr>
        <w:spacing w:after="0" w:line="360" w:lineRule="auto"/>
        <w:rPr>
          <w:color w:val="0D0D0D"/>
        </w:rPr>
      </w:pPr>
      <w:r>
        <w:rPr>
          <w:color w:val="0D0D0D"/>
        </w:rPr>
        <w:t xml:space="preserve">Por tales motivos, se considera procedente entrar al fondo del presente asunto. </w:t>
      </w:r>
    </w:p>
    <w:p w:rsidR="00B30872" w:rsidRDefault="00B30872">
      <w:pPr>
        <w:spacing w:after="0" w:line="360" w:lineRule="auto"/>
        <w:rPr>
          <w:color w:val="000000"/>
        </w:rPr>
      </w:pPr>
    </w:p>
    <w:p w:rsidR="00B30872" w:rsidRDefault="00250ECF">
      <w:pPr>
        <w:pStyle w:val="Ttulo2"/>
        <w:spacing w:before="0" w:after="0" w:line="360" w:lineRule="auto"/>
        <w:rPr>
          <w:b w:val="0"/>
          <w:color w:val="000000"/>
          <w:sz w:val="22"/>
          <w:szCs w:val="22"/>
        </w:rPr>
      </w:pPr>
      <w:bookmarkStart w:id="20" w:name="_heading=h.j7f3m8kn6o7o" w:colFirst="0" w:colLast="0"/>
      <w:bookmarkStart w:id="21" w:name="_Toc210916466"/>
      <w:bookmarkEnd w:id="20"/>
      <w:r>
        <w:rPr>
          <w:color w:val="000000"/>
          <w:sz w:val="22"/>
          <w:szCs w:val="22"/>
        </w:rPr>
        <w:t>TERCERO. Determinación de la Controversia</w:t>
      </w:r>
      <w:bookmarkEnd w:id="21"/>
    </w:p>
    <w:p w:rsidR="00B30872" w:rsidRDefault="00B30872">
      <w:pPr>
        <w:spacing w:after="0" w:line="360" w:lineRule="auto"/>
        <w:rPr>
          <w:b/>
          <w:color w:val="000000"/>
        </w:rPr>
      </w:pPr>
    </w:p>
    <w:p w:rsidR="00B30872" w:rsidRDefault="00250ECF">
      <w:pPr>
        <w:spacing w:after="0" w:line="360" w:lineRule="auto"/>
        <w:rPr>
          <w:color w:val="000000"/>
        </w:rPr>
      </w:pPr>
      <w:r>
        <w:rPr>
          <w:color w:val="000000"/>
        </w:rPr>
        <w:lastRenderedPageBreak/>
        <w:t xml:space="preserve">Una vez realizado el estudio de las constancias que integran el expediente en que se actúa, se desprende que el Particular requirió </w:t>
      </w:r>
      <w:r>
        <w:t>de la Subgerencia de Factibilidades, lo siguiente:</w:t>
      </w:r>
    </w:p>
    <w:p w:rsidR="00B30872" w:rsidRDefault="00B30872">
      <w:pPr>
        <w:spacing w:after="0" w:line="360" w:lineRule="auto"/>
      </w:pPr>
    </w:p>
    <w:p w:rsidR="00B30872" w:rsidRDefault="00250ECF">
      <w:pPr>
        <w:numPr>
          <w:ilvl w:val="0"/>
          <w:numId w:val="11"/>
        </w:numPr>
        <w:pBdr>
          <w:top w:val="nil"/>
          <w:left w:val="nil"/>
          <w:bottom w:val="nil"/>
          <w:right w:val="nil"/>
          <w:between w:val="nil"/>
        </w:pBdr>
        <w:spacing w:after="0" w:line="360" w:lineRule="auto"/>
        <w:rPr>
          <w:color w:val="000000"/>
        </w:rPr>
      </w:pPr>
      <w:r>
        <w:rPr>
          <w:color w:val="000000"/>
        </w:rPr>
        <w:t>Oficios emitidos</w:t>
      </w:r>
    </w:p>
    <w:p w:rsidR="00B30872" w:rsidRDefault="00250ECF">
      <w:pPr>
        <w:numPr>
          <w:ilvl w:val="0"/>
          <w:numId w:val="11"/>
        </w:numPr>
        <w:pBdr>
          <w:top w:val="nil"/>
          <w:left w:val="nil"/>
          <w:bottom w:val="nil"/>
          <w:right w:val="nil"/>
          <w:between w:val="nil"/>
        </w:pBdr>
        <w:spacing w:after="0" w:line="360" w:lineRule="auto"/>
        <w:rPr>
          <w:color w:val="000000"/>
        </w:rPr>
      </w:pPr>
      <w:r>
        <w:rPr>
          <w:color w:val="000000"/>
        </w:rPr>
        <w:t xml:space="preserve">Plantilla del Personal </w:t>
      </w:r>
    </w:p>
    <w:p w:rsidR="00B30872" w:rsidRDefault="00250ECF">
      <w:pPr>
        <w:numPr>
          <w:ilvl w:val="0"/>
          <w:numId w:val="11"/>
        </w:numPr>
        <w:pBdr>
          <w:top w:val="nil"/>
          <w:left w:val="nil"/>
          <w:bottom w:val="nil"/>
          <w:right w:val="nil"/>
          <w:between w:val="nil"/>
        </w:pBdr>
        <w:spacing w:after="0" w:line="360" w:lineRule="auto"/>
        <w:rPr>
          <w:i/>
          <w:color w:val="000000"/>
        </w:rPr>
      </w:pPr>
      <w:r>
        <w:rPr>
          <w:i/>
          <w:color w:val="000000"/>
        </w:rPr>
        <w:t>Currículum Vitae,</w:t>
      </w:r>
      <w:r>
        <w:rPr>
          <w:color w:val="000000"/>
        </w:rPr>
        <w:t xml:space="preserve"> y experiencia del Subgerente de Factibilidades</w:t>
      </w:r>
    </w:p>
    <w:p w:rsidR="00B30872" w:rsidRDefault="00250ECF">
      <w:pPr>
        <w:numPr>
          <w:ilvl w:val="0"/>
          <w:numId w:val="11"/>
        </w:numPr>
        <w:pBdr>
          <w:top w:val="nil"/>
          <w:left w:val="nil"/>
          <w:bottom w:val="nil"/>
          <w:right w:val="nil"/>
          <w:between w:val="nil"/>
        </w:pBdr>
        <w:spacing w:after="0" w:line="360" w:lineRule="auto"/>
        <w:rPr>
          <w:i/>
          <w:color w:val="000000"/>
        </w:rPr>
      </w:pPr>
      <w:r>
        <w:rPr>
          <w:i/>
          <w:color w:val="000000"/>
        </w:rPr>
        <w:t>Currículum Vitae,</w:t>
      </w:r>
      <w:r>
        <w:rPr>
          <w:color w:val="000000"/>
        </w:rPr>
        <w:t xml:space="preserve"> y experiencia del Jefe de la Unidad Jurídico Administrativa.</w:t>
      </w:r>
    </w:p>
    <w:p w:rsidR="00B30872" w:rsidRDefault="00B30872">
      <w:pPr>
        <w:spacing w:after="0" w:line="360" w:lineRule="auto"/>
        <w:ind w:left="360"/>
        <w:rPr>
          <w:i/>
        </w:rPr>
      </w:pPr>
    </w:p>
    <w:p w:rsidR="00B30872" w:rsidRDefault="00250ECF">
      <w:pPr>
        <w:spacing w:after="0" w:line="360" w:lineRule="auto"/>
        <w:rPr>
          <w:color w:val="000000"/>
        </w:rPr>
      </w:pPr>
      <w:r>
        <w:rPr>
          <w:color w:val="000000"/>
        </w:rPr>
        <w:t>En atención a que la parte Recurrente no señaló temporalidad esta deberá atender al periodo que va del 1° de enero al 2 de junio de 2025.</w:t>
      </w:r>
    </w:p>
    <w:p w:rsidR="00B30872" w:rsidRDefault="00B30872">
      <w:pPr>
        <w:spacing w:after="0" w:line="360" w:lineRule="auto"/>
        <w:rPr>
          <w:color w:val="000000"/>
        </w:rPr>
      </w:pPr>
    </w:p>
    <w:p w:rsidR="00B30872" w:rsidRDefault="00250ECF">
      <w:pPr>
        <w:spacing w:after="0" w:line="360" w:lineRule="auto"/>
      </w:pPr>
      <w:r>
        <w:rPr>
          <w:color w:val="000000"/>
        </w:rPr>
        <w:t xml:space="preserve">En respuesta, el Sujeto Obligado, a través de la Subgerencia de Transparencia </w:t>
      </w:r>
      <w:r>
        <w:t>mencionó</w:t>
      </w:r>
      <w:r>
        <w:rPr>
          <w:color w:val="000000"/>
        </w:rPr>
        <w:t xml:space="preserve"> que se habían recibido un total de 267 oficios, también adjuntó un l</w:t>
      </w:r>
      <w:r>
        <w:t xml:space="preserve">istado denominado plantilla de personal de factibilidades que contiene los nombres de los servidores adscritos a dicha área, y finalmente remitió dos ligas de </w:t>
      </w:r>
      <w:r>
        <w:rPr>
          <w:i/>
        </w:rPr>
        <w:t>Internet</w:t>
      </w:r>
      <w:r>
        <w:t xml:space="preserve"> en formato cerrado para visualizar lo referente al </w:t>
      </w:r>
      <w:r>
        <w:rPr>
          <w:i/>
        </w:rPr>
        <w:t xml:space="preserve">Currículum Vitae </w:t>
      </w:r>
      <w:r>
        <w:t>y</w:t>
      </w:r>
      <w:r>
        <w:rPr>
          <w:i/>
        </w:rPr>
        <w:t xml:space="preserve"> </w:t>
      </w:r>
      <w:r>
        <w:t>la experiencia del Subgerente de factibilidades así como del Jefe de la Unidad Jurídico Administrativa; ante dicha circunstancia, el Particular se inconformó únicamente respecto a los oficios, al señalar que había solicitado los emitidos y no los recibidos, así como, la experiencia laboral del Titular de la Unidad de Jurídico Administrativa, al señalar que no obraba la información en la fracción requerida, lo cual actualiza la causal de procedencia prevista en la fracción V, del artículo 179 de la Ley de Transparencia y Acceso a la Información Pública del Estado de México y Municipios</w:t>
      </w:r>
      <w:r>
        <w:rPr>
          <w:color w:val="0D0D0D"/>
        </w:rPr>
        <w:t>.</w:t>
      </w:r>
    </w:p>
    <w:p w:rsidR="00B30872" w:rsidRDefault="00B30872">
      <w:pPr>
        <w:spacing w:after="0" w:line="360" w:lineRule="auto"/>
        <w:rPr>
          <w:color w:val="0D0D0D"/>
        </w:rPr>
      </w:pPr>
    </w:p>
    <w:p w:rsidR="00B30872" w:rsidRDefault="00250ECF">
      <w:pPr>
        <w:spacing w:after="0" w:line="360" w:lineRule="auto"/>
      </w:pPr>
      <w:r>
        <w:rPr>
          <w:color w:val="000000"/>
        </w:rPr>
        <w:lastRenderedPageBreak/>
        <w:t xml:space="preserve">Conforme a lo anterior, se logra vislumbrar que </w:t>
      </w:r>
      <w:r>
        <w:t>la persona</w:t>
      </w:r>
      <w:r>
        <w:rPr>
          <w:color w:val="000000"/>
        </w:rPr>
        <w:t xml:space="preserve"> Recurrente no se agravió de los </w:t>
      </w:r>
      <w:r>
        <w:rPr>
          <w:b/>
          <w:color w:val="000000"/>
        </w:rPr>
        <w:t>puntos  2 y 3</w:t>
      </w:r>
      <w:r>
        <w:rPr>
          <w:color w:val="000000"/>
        </w:rPr>
        <w:t xml:space="preserve"> (la Plantilla del personal y de la información del Subgerente de Factibilidades); dado que su motivo de agravio se centra en </w:t>
      </w:r>
      <w:r>
        <w:rPr>
          <w:color w:val="000000"/>
          <w:u w:val="single"/>
        </w:rPr>
        <w:t xml:space="preserve">los </w:t>
      </w:r>
      <w:r>
        <w:rPr>
          <w:u w:val="single"/>
        </w:rPr>
        <w:t>oficios, y la experiencia del Jefe de la Unidad Jurídico Administrativa</w:t>
      </w:r>
      <w:r>
        <w:rPr>
          <w:color w:val="000000"/>
        </w:rPr>
        <w:t xml:space="preserve">, por lo que, no se hará pronunciamiento alguno, respecto a dicha información, de conformidad con el artículo 195 de la Ley de Transparencia y Acceso a la Información Pública del Estado de México y Municipios, en relación con el diverso 195, fracción IV, </w:t>
      </w:r>
      <w:r>
        <w:t>del Código</w:t>
      </w:r>
      <w:r>
        <w:rPr>
          <w:color w:val="000000"/>
        </w:rPr>
        <w:t xml:space="preserve"> de Procedimientos Administrativos del Estado de México, que establece que será improcedente el recurso contra </w:t>
      </w:r>
      <w:r>
        <w:rPr>
          <w:b/>
          <w:color w:val="000000"/>
        </w:rPr>
        <w:t>los actos que se hayan consentido tácitamente,</w:t>
      </w:r>
      <w:r>
        <w:rPr>
          <w:color w:val="000000"/>
        </w:rPr>
        <w:t xml:space="preserve"> entendiéndose por </w:t>
      </w:r>
      <w:r>
        <w:t>éstos</w:t>
      </w:r>
      <w:r>
        <w:rPr>
          <w:color w:val="000000"/>
        </w:rPr>
        <w:t xml:space="preserve"> cuando el agravio no se haya promovido en el plazo señalado para el efecto.</w:t>
      </w:r>
    </w:p>
    <w:p w:rsidR="00B30872" w:rsidRDefault="00250ECF">
      <w:pPr>
        <w:spacing w:after="0" w:line="360" w:lineRule="auto"/>
        <w:rPr>
          <w:color w:val="000000"/>
        </w:rPr>
      </w:pPr>
      <w:r>
        <w:rPr>
          <w:color w:val="000000"/>
        </w:rPr>
        <w:t> </w:t>
      </w:r>
    </w:p>
    <w:p w:rsidR="00B30872" w:rsidRDefault="00250ECF">
      <w:pPr>
        <w:spacing w:after="0" w:line="360" w:lineRule="auto"/>
        <w:rPr>
          <w:color w:val="000000"/>
        </w:rPr>
      </w:pPr>
      <w:r>
        <w:rPr>
          <w:color w:val="000000"/>
        </w:rPr>
        <w:t>De la misma manera resulta aplicable el criterio sostenido por el Poder Judicial de la Federación de rubro </w:t>
      </w:r>
      <w:r>
        <w:rPr>
          <w:b/>
          <w:color w:val="000000"/>
        </w:rPr>
        <w:t>ACTOS CONSENTIDOS TÁCITAMENTE</w:t>
      </w:r>
      <w:r>
        <w:rPr>
          <w:color w:val="000000"/>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B30872" w:rsidRDefault="00250ECF">
      <w:pPr>
        <w:spacing w:after="0" w:line="360" w:lineRule="auto"/>
        <w:rPr>
          <w:color w:val="000000"/>
        </w:rPr>
      </w:pPr>
      <w:r>
        <w:rPr>
          <w:color w:val="000000"/>
        </w:rPr>
        <w:t> </w:t>
      </w:r>
    </w:p>
    <w:p w:rsidR="00B30872" w:rsidRDefault="00250ECF">
      <w:pPr>
        <w:spacing w:after="0" w:line="360" w:lineRule="auto"/>
        <w:rPr>
          <w:color w:val="000000"/>
        </w:rPr>
      </w:pPr>
      <w:r>
        <w:rPr>
          <w:color w:val="000000"/>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rsidR="00B30872" w:rsidRDefault="00250ECF">
      <w:pPr>
        <w:spacing w:after="0" w:line="360" w:lineRule="auto"/>
        <w:rPr>
          <w:color w:val="000000"/>
        </w:rPr>
      </w:pPr>
      <w:r>
        <w:rPr>
          <w:color w:val="000000"/>
        </w:rPr>
        <w:lastRenderedPageBreak/>
        <w:t> </w:t>
      </w:r>
    </w:p>
    <w:p w:rsidR="00B30872" w:rsidRDefault="00250ECF">
      <w:pPr>
        <w:spacing w:after="0" w:line="360" w:lineRule="auto"/>
        <w:rPr>
          <w:color w:val="0D0D0D"/>
        </w:rPr>
      </w:pPr>
      <w:r>
        <w:rPr>
          <w:color w:val="000000"/>
        </w:rPr>
        <w:t xml:space="preserve">Asimismo, resulta relevante traer a colación el Criterio Orientador, de la Segunda Época, con número de registro SO/001/2020, emitido por el entonces Instituto Nacional de Transparencia, Acceso a la Información y Protección de Datos Personales vigente a la fecha de la solicitud, el cual establece que es improcedente entrar al análisis de las partes de la respuesta del Sujeto Obligado que no fueron impugnadas por </w:t>
      </w:r>
      <w:r>
        <w:t>la persona</w:t>
      </w:r>
      <w:r>
        <w:rPr>
          <w:color w:val="000000"/>
        </w:rPr>
        <w:t xml:space="preserve"> Recurrente; por lo que, en el presente caso, se tienen por consentidos los puntos 2 y 3; por lo que, únicamente se entrará al análisis de los</w:t>
      </w:r>
      <w:r>
        <w:rPr>
          <w:color w:val="000000"/>
          <w:u w:val="single"/>
        </w:rPr>
        <w:t xml:space="preserve"> </w:t>
      </w:r>
      <w:r>
        <w:rPr>
          <w:u w:val="single"/>
        </w:rPr>
        <w:t>oficios emitidos por la Subgerencia de Factibilidades, y la experiencia del Jefe de la Unidad Jurídico Administrativa.</w:t>
      </w:r>
    </w:p>
    <w:p w:rsidR="00B30872" w:rsidRDefault="00B30872">
      <w:pPr>
        <w:spacing w:after="0" w:line="360" w:lineRule="auto"/>
        <w:rPr>
          <w:color w:val="0D0D0D"/>
        </w:rPr>
      </w:pPr>
    </w:p>
    <w:p w:rsidR="00B30872" w:rsidRDefault="00250ECF">
      <w:pPr>
        <w:spacing w:after="0" w:line="360" w:lineRule="auto"/>
      </w:pPr>
      <w:r>
        <w:t xml:space="preserve">Así, las cosas, una vez admitido y notificado el Recurso de Revisión a las partes, el Sujeto Obligado indicó informe justificado en el que mencionó que debido a un error humano confundieron la palabra emitidos con recibidos por lo que menciono que </w:t>
      </w:r>
      <w:r>
        <w:rPr>
          <w:b/>
          <w:u w:val="single"/>
        </w:rPr>
        <w:t>el total de oficios girados por la Subgerencia de Factibilidades fue de 267</w:t>
      </w:r>
      <w:r>
        <w:t xml:space="preserve">, en lo que concierne a la experiencia del Jefe de la Unidad Jurídico Administrativa el Sujeto Obligado indicó en informe justificado que </w:t>
      </w:r>
      <w:r>
        <w:rPr>
          <w:b/>
          <w:u w:val="single"/>
        </w:rPr>
        <w:t>dentro de la plantilla remitida en respuesta se encuentran todos los servidores adscritos a la subgerencia de factibilidades, por lo que derivado de esto la misma se encuentra vacante desde el inicio de la administración</w:t>
      </w:r>
      <w:r>
        <w:t xml:space="preserve">. Por su parte, el Solicitante no añadió manifestaciones adicionales. </w:t>
      </w:r>
    </w:p>
    <w:p w:rsidR="00B30872" w:rsidRDefault="00B30872">
      <w:pPr>
        <w:spacing w:after="0" w:line="360" w:lineRule="auto"/>
        <w:ind w:right="567"/>
        <w:rPr>
          <w:i/>
        </w:rPr>
      </w:pPr>
    </w:p>
    <w:p w:rsidR="00B30872" w:rsidRDefault="00250ECF">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w:t>
      </w:r>
      <w:r>
        <w:lastRenderedPageBreak/>
        <w:t>fracción IV, de la Ley de Transparencia y Acceso a la Información Pública del Estado de México y Municipios.</w:t>
      </w:r>
    </w:p>
    <w:p w:rsidR="00B30872" w:rsidRDefault="00B30872">
      <w:pPr>
        <w:tabs>
          <w:tab w:val="left" w:pos="4962"/>
        </w:tabs>
        <w:spacing w:after="0" w:line="360" w:lineRule="auto"/>
      </w:pPr>
    </w:p>
    <w:p w:rsidR="00B30872" w:rsidRDefault="00250ECF">
      <w:pPr>
        <w:pStyle w:val="Ttulo2"/>
        <w:spacing w:before="0" w:after="0" w:line="360" w:lineRule="auto"/>
        <w:rPr>
          <w:b w:val="0"/>
          <w:color w:val="000000"/>
          <w:sz w:val="22"/>
          <w:szCs w:val="22"/>
        </w:rPr>
      </w:pPr>
      <w:bookmarkStart w:id="22" w:name="_heading=h.hjwav5f07mjq" w:colFirst="0" w:colLast="0"/>
      <w:bookmarkStart w:id="23" w:name="_Toc210916467"/>
      <w:bookmarkEnd w:id="22"/>
      <w:r>
        <w:rPr>
          <w:color w:val="000000"/>
          <w:sz w:val="22"/>
          <w:szCs w:val="22"/>
        </w:rPr>
        <w:t>CUARTO. Marco normativo aplicable en materia de transparencia y acceso a la información pública</w:t>
      </w:r>
      <w:bookmarkEnd w:id="23"/>
    </w:p>
    <w:p w:rsidR="00B30872" w:rsidRDefault="00B30872">
      <w:pPr>
        <w:spacing w:after="0" w:line="360" w:lineRule="auto"/>
        <w:rPr>
          <w:color w:val="000000"/>
        </w:rPr>
      </w:pPr>
    </w:p>
    <w:p w:rsidR="00B30872" w:rsidRDefault="00250ECF">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B30872" w:rsidRDefault="00B30872">
      <w:pPr>
        <w:spacing w:after="0" w:line="360" w:lineRule="auto"/>
        <w:rPr>
          <w:color w:val="000000"/>
        </w:rPr>
      </w:pPr>
    </w:p>
    <w:p w:rsidR="00B30872" w:rsidRDefault="00250ECF">
      <w:pPr>
        <w:widowControl w:val="0"/>
        <w:spacing w:after="0" w:line="360" w:lineRule="auto"/>
        <w:rPr>
          <w:color w:val="000000"/>
        </w:rPr>
      </w:pPr>
      <w:r>
        <w:rPr>
          <w:color w:val="000000"/>
        </w:rPr>
        <w:t xml:space="preserve">El artículo 18, que, los Sujetos Obligados deberán documentar todo acto que derive del ejercicio de sus facultades, competencias o funciones, considerando desde su origen la </w:t>
      </w:r>
      <w:r>
        <w:rPr>
          <w:color w:val="000000"/>
        </w:rPr>
        <w:lastRenderedPageBreak/>
        <w:t>eventual publicidad y reutilización de la información que generen.</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B30872" w:rsidRDefault="00250ECF">
      <w:pPr>
        <w:pStyle w:val="Ttulo2"/>
        <w:spacing w:before="0" w:after="0" w:line="360" w:lineRule="auto"/>
        <w:rPr>
          <w:b w:val="0"/>
          <w:color w:val="000000"/>
          <w:sz w:val="22"/>
          <w:szCs w:val="22"/>
        </w:rPr>
      </w:pPr>
      <w:bookmarkStart w:id="24" w:name="_heading=h.urv94np1iavx" w:colFirst="0" w:colLast="0"/>
      <w:bookmarkStart w:id="25" w:name="_Toc210916468"/>
      <w:bookmarkEnd w:id="24"/>
      <w:r>
        <w:rPr>
          <w:color w:val="000000"/>
          <w:sz w:val="22"/>
          <w:szCs w:val="22"/>
        </w:rPr>
        <w:t>QUINTO. Estudio de Fondo</w:t>
      </w:r>
      <w:bookmarkEnd w:id="25"/>
    </w:p>
    <w:p w:rsidR="00B30872" w:rsidRDefault="00B30872">
      <w:pPr>
        <w:spacing w:after="0" w:line="360" w:lineRule="auto"/>
      </w:pPr>
    </w:p>
    <w:p w:rsidR="00B30872" w:rsidRDefault="00250ECF">
      <w:pPr>
        <w:spacing w:after="0" w:line="360" w:lineRule="auto"/>
      </w:pPr>
      <w:r>
        <w:t>Expuestas las posturas de las partes, se procede al análisis del agravio hecho valer por la persona Recurrente, por lo que, en principio es necesario contextualizar la solicitud de información, la cual corresponde a oficios y experiencia de un servidor público.</w:t>
      </w:r>
    </w:p>
    <w:p w:rsidR="00B30872" w:rsidRDefault="00B30872">
      <w:pPr>
        <w:spacing w:after="0" w:line="360" w:lineRule="auto"/>
      </w:pPr>
    </w:p>
    <w:p w:rsidR="00B30872" w:rsidRDefault="00250ECF">
      <w:pPr>
        <w:numPr>
          <w:ilvl w:val="0"/>
          <w:numId w:val="2"/>
        </w:numPr>
        <w:pBdr>
          <w:top w:val="nil"/>
          <w:left w:val="nil"/>
          <w:bottom w:val="nil"/>
          <w:right w:val="nil"/>
          <w:between w:val="nil"/>
        </w:pBdr>
        <w:spacing w:after="0" w:line="360" w:lineRule="auto"/>
        <w:rPr>
          <w:b/>
          <w:color w:val="000000"/>
        </w:rPr>
      </w:pPr>
      <w:r>
        <w:rPr>
          <w:b/>
          <w:color w:val="000000"/>
        </w:rPr>
        <w:t xml:space="preserve">DE LOS OFICIOS </w:t>
      </w:r>
    </w:p>
    <w:p w:rsidR="00B30872" w:rsidRDefault="00B30872">
      <w:pPr>
        <w:spacing w:after="0" w:line="360" w:lineRule="auto"/>
        <w:rPr>
          <w:b/>
        </w:rPr>
      </w:pPr>
    </w:p>
    <w:p w:rsidR="00B30872" w:rsidRDefault="00250ECF">
      <w:pPr>
        <w:widowControl w:val="0"/>
        <w:spacing w:after="0" w:line="360" w:lineRule="auto"/>
        <w:rPr>
          <w:color w:val="000000"/>
        </w:rPr>
      </w:pPr>
      <w:r>
        <w:rPr>
          <w:color w:val="000000"/>
        </w:rPr>
        <w:t>Sobre el tema, cabe precisar que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rsidR="00B30872" w:rsidRDefault="00B30872">
      <w:pPr>
        <w:widowControl w:val="0"/>
        <w:spacing w:after="0" w:line="360" w:lineRule="auto"/>
        <w:rPr>
          <w:color w:val="000000"/>
        </w:rPr>
      </w:pPr>
    </w:p>
    <w:p w:rsidR="00B30872" w:rsidRDefault="00250ECF">
      <w:pPr>
        <w:tabs>
          <w:tab w:val="left" w:pos="4962"/>
        </w:tabs>
        <w:spacing w:after="0" w:line="360" w:lineRule="auto"/>
        <w:rPr>
          <w:b/>
        </w:rPr>
      </w:pPr>
      <w:r>
        <w:t xml:space="preserve">En ese contexto, el artículo 18 de la Ley de Transparencia y Acceso a la Información Pública del Estado de México y Municipios, contempla que los sujetos obligados </w:t>
      </w:r>
      <w:r>
        <w:rPr>
          <w:b/>
        </w:rPr>
        <w:t>deberán documentar todo acto que derive del ejercicio de sus facultades, competencias o funciones.</w:t>
      </w:r>
    </w:p>
    <w:p w:rsidR="00B30872" w:rsidRDefault="00B30872">
      <w:pPr>
        <w:tabs>
          <w:tab w:val="left" w:pos="4962"/>
        </w:tabs>
        <w:spacing w:after="0" w:line="360" w:lineRule="auto"/>
        <w:rPr>
          <w:b/>
        </w:rPr>
      </w:pPr>
    </w:p>
    <w:p w:rsidR="00B30872" w:rsidRDefault="00250ECF">
      <w:pPr>
        <w:tabs>
          <w:tab w:val="left" w:pos="4962"/>
        </w:tabs>
        <w:spacing w:after="0" w:line="360" w:lineRule="auto"/>
      </w:pPr>
      <w:r>
        <w:lastRenderedPageBreak/>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B30872" w:rsidRDefault="00B30872">
      <w:pPr>
        <w:tabs>
          <w:tab w:val="left" w:pos="4962"/>
        </w:tabs>
        <w:spacing w:after="0" w:line="360" w:lineRule="auto"/>
      </w:pPr>
    </w:p>
    <w:p w:rsidR="00B30872" w:rsidRDefault="00250ECF">
      <w:pPr>
        <w:tabs>
          <w:tab w:val="left" w:pos="4962"/>
        </w:tabs>
        <w:spacing w:after="0" w:line="360" w:lineRule="auto"/>
      </w:pPr>
      <w:r>
        <w:t xml:space="preserve">Además, precisa que los </w:t>
      </w:r>
      <w:r>
        <w:rPr>
          <w:b/>
          <w:u w:val="single"/>
        </w:rPr>
        <w:t>documentos son el registro material</w:t>
      </w:r>
      <w:r>
        <w:t xml:space="preserve">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B30872" w:rsidRDefault="00B30872">
      <w:pPr>
        <w:spacing w:after="0" w:line="360" w:lineRule="auto"/>
        <w:ind w:right="-28"/>
      </w:pPr>
    </w:p>
    <w:p w:rsidR="00B30872" w:rsidRDefault="00250ECF">
      <w:pPr>
        <w:spacing w:after="0" w:line="360" w:lineRule="auto"/>
        <w:ind w:right="-28"/>
        <w:rPr>
          <w:b/>
          <w:u w:val="single"/>
        </w:rPr>
      </w:pPr>
      <w:r>
        <w:t xml:space="preserve">Sobre el tema cabe traer a colación el artículo 33 de Reglamento Orgánico del Organismo Público Descentralizado para la Prestación de Servicios de Agua Potable de Naucalpan vigente, refiere que la Subgerencia de Factibilidades, será encargada de determinar y proponer al comité de Factibilidades la Factibilidad Única de Servicios (FUS) para el otorgamiento del servicio a nuevos fraccionamientos y conjuntos habitacionales, subdivisiones, cambios de uso de suelo, comerciales, industriales, servicios o mixtos, considerando la disponibilidad del agua y de la existencia de infraestructura hidráulica y sanitaria para su prestación, quien cuidará en todo momento el interés general; así como Estará a cargo de un Titular cuyo puesto se denominará Subgerente de Factibilidades, quien responderá directamente del desempeño de sus funciones ante el Director General, y que </w:t>
      </w:r>
      <w:r>
        <w:lastRenderedPageBreak/>
        <w:t xml:space="preserve">dentro de sus atribuciones estará el </w:t>
      </w:r>
      <w:r>
        <w:rPr>
          <w:b/>
          <w:u w:val="single"/>
        </w:rPr>
        <w:t>integrar los expedientes que reúnan todos los requisitos y documentación solicitada, asignándole número de control.</w:t>
      </w:r>
    </w:p>
    <w:p w:rsidR="00B30872" w:rsidRDefault="00B30872">
      <w:pPr>
        <w:spacing w:after="0" w:line="360" w:lineRule="auto"/>
      </w:pPr>
    </w:p>
    <w:p w:rsidR="00B30872" w:rsidRDefault="00250ECF">
      <w:pPr>
        <w:numPr>
          <w:ilvl w:val="0"/>
          <w:numId w:val="2"/>
        </w:numPr>
        <w:pBdr>
          <w:top w:val="nil"/>
          <w:left w:val="nil"/>
          <w:bottom w:val="nil"/>
          <w:right w:val="nil"/>
          <w:between w:val="nil"/>
        </w:pBdr>
        <w:spacing w:after="0" w:line="360" w:lineRule="auto"/>
        <w:rPr>
          <w:b/>
          <w:color w:val="000000"/>
        </w:rPr>
      </w:pPr>
      <w:r>
        <w:rPr>
          <w:b/>
          <w:color w:val="000000"/>
        </w:rPr>
        <w:t xml:space="preserve">DEL CURRICULUM VITAE Y EXPERIENCIA DEL JEFE DE LA UNIDAD JURIDICO ADMINISTRATIVA DE LA SUBGERENCIA DE FACTIBILIDADES. </w:t>
      </w:r>
    </w:p>
    <w:p w:rsidR="00B30872" w:rsidRDefault="00B30872">
      <w:pPr>
        <w:spacing w:after="0" w:line="360" w:lineRule="auto"/>
      </w:pPr>
    </w:p>
    <w:p w:rsidR="00B30872" w:rsidRDefault="00250ECF">
      <w:pPr>
        <w:tabs>
          <w:tab w:val="left" w:pos="4962"/>
        </w:tabs>
        <w:spacing w:after="0" w:line="360" w:lineRule="auto"/>
      </w:pPr>
      <w:r>
        <w:t>Al respecto, se debe tener en consideración que el artículo 47 de la Ley del Trabajo de los Servidores Públicos del Estado y Municipios, refiere que para ingresar al servicio público se requiere, entre otras cosas, cumplir con los requisitos que se establezcan para los diferentes puestos, como es el nivel académico.</w:t>
      </w:r>
    </w:p>
    <w:p w:rsidR="00B30872" w:rsidRDefault="00B30872">
      <w:pPr>
        <w:tabs>
          <w:tab w:val="left" w:pos="4962"/>
        </w:tabs>
        <w:spacing w:after="0" w:line="360" w:lineRule="auto"/>
      </w:pPr>
    </w:p>
    <w:p w:rsidR="00B30872" w:rsidRDefault="00250ECF">
      <w:pPr>
        <w:spacing w:after="0" w:line="360" w:lineRule="auto"/>
      </w:pPr>
      <w:r>
        <w:t>En ese contexto, el Título profesional o el certificado de estudios corresponde al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rsidR="00B30872" w:rsidRDefault="00B30872">
      <w:pPr>
        <w:spacing w:after="0" w:line="360" w:lineRule="auto"/>
      </w:pPr>
    </w:p>
    <w:p w:rsidR="00B30872" w:rsidRDefault="00250ECF">
      <w:pPr>
        <w:spacing w:after="0" w:line="360" w:lineRule="auto"/>
      </w:pPr>
      <w:r>
        <w:t xml:space="preserve">Así pues, es precisos señalar que el </w:t>
      </w:r>
      <w:proofErr w:type="spellStart"/>
      <w:r>
        <w:rPr>
          <w:i/>
        </w:rPr>
        <w:t>curriculum</w:t>
      </w:r>
      <w:proofErr w:type="spellEnd"/>
      <w:r>
        <w:rPr>
          <w:i/>
        </w:rPr>
        <w:t xml:space="preserve"> vitae</w:t>
      </w:r>
      <w:r>
        <w:t xml:space="preserve"> (historial laboral), es el documento que las personas elaboran con los datos de identificación y contacto, preparación académica y experiencia profesional, para presentarse ante un posible empleador. En este sentido, los documentos que dan cuenta de la preparación académica, sirven como medios de </w:t>
      </w:r>
      <w:r>
        <w:lastRenderedPageBreak/>
        <w:t xml:space="preserve">identificación para que a su titular lo relacionen con el nivel de estudios con que cuenta y, por lo que hace al </w:t>
      </w:r>
      <w:proofErr w:type="spellStart"/>
      <w:r>
        <w:rPr>
          <w:i/>
        </w:rPr>
        <w:t>curriculum</w:t>
      </w:r>
      <w:proofErr w:type="spellEnd"/>
      <w:r>
        <w:rPr>
          <w:i/>
        </w:rPr>
        <w:t xml:space="preserve"> vitae</w:t>
      </w:r>
      <w:r>
        <w:t xml:space="preserve">, se le suma la experiencia laboral pues permiten identificar el nivel y tipo de preparación de su titular y en su caso su perfil profesional o laboral. </w:t>
      </w:r>
    </w:p>
    <w:p w:rsidR="00B30872" w:rsidRDefault="00B30872">
      <w:pPr>
        <w:spacing w:after="0" w:line="360" w:lineRule="auto"/>
      </w:pPr>
    </w:p>
    <w:p w:rsidR="00B30872" w:rsidRDefault="00250ECF">
      <w:pPr>
        <w:spacing w:after="0" w:line="360" w:lineRule="auto"/>
      </w:pPr>
      <w:r>
        <w:t>Además, acceder al título, certificado de estudios o cualquier otro documento que acredite preparación en algún campo del conocimiento, así como el currículum vitae, proporciona información valiosa sobre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su encargo.</w:t>
      </w:r>
    </w:p>
    <w:p w:rsidR="00B30872" w:rsidRDefault="00B30872">
      <w:pPr>
        <w:spacing w:after="0" w:line="360" w:lineRule="auto"/>
      </w:pPr>
    </w:p>
    <w:p w:rsidR="00B30872" w:rsidRDefault="00250ECF">
      <w:pPr>
        <w:spacing w:after="0" w:line="360" w:lineRule="auto"/>
      </w:pPr>
      <w:r>
        <w:t xml:space="preserve">Al respecto, se debe tener presente que la naturaleza del título y la cédula profesional o bien, del certificado, consiste en la de ser documentos de identificación para que a sus titulares, los acrediten como profesionales o expertos en algún área de estudio o conocimiento frente a terceros, mientras que el </w:t>
      </w:r>
      <w:proofErr w:type="spellStart"/>
      <w:r>
        <w:rPr>
          <w:i/>
        </w:rPr>
        <w:t>curriculum</w:t>
      </w:r>
      <w:proofErr w:type="spellEnd"/>
      <w:r>
        <w:rPr>
          <w:i/>
        </w:rPr>
        <w:t xml:space="preserve"> vitae</w:t>
      </w:r>
      <w: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rsidR="00B30872" w:rsidRDefault="00B30872">
      <w:pPr>
        <w:spacing w:after="0" w:line="360" w:lineRule="auto"/>
      </w:pPr>
    </w:p>
    <w:p w:rsidR="00B30872" w:rsidRDefault="00250ECF">
      <w:pPr>
        <w:spacing w:after="0" w:line="360" w:lineRule="auto"/>
      </w:pPr>
      <w:r>
        <w:t xml:space="preserve">Lo anterior, se robustece con la fracción XXI, del artículo 92, de la Ley de Transparencia y Acceso a la Información Pública del Estado de México y Municipios, que establece que la </w:t>
      </w:r>
      <w:r>
        <w:lastRenderedPageBreak/>
        <w:t>información curricular es información que deben de poner a disposición del público los sujetos obligados.</w:t>
      </w:r>
    </w:p>
    <w:p w:rsidR="00B30872" w:rsidRDefault="00B30872">
      <w:pPr>
        <w:spacing w:after="0" w:line="360" w:lineRule="auto"/>
      </w:pPr>
    </w:p>
    <w:p w:rsidR="00B30872" w:rsidRDefault="00250ECF">
      <w:pPr>
        <w:spacing w:after="0" w:line="360" w:lineRule="auto"/>
      </w:pPr>
      <w:r>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rsidR="00B30872" w:rsidRDefault="00B30872">
      <w:pPr>
        <w:spacing w:after="0" w:line="360" w:lineRule="auto"/>
      </w:pPr>
    </w:p>
    <w:p w:rsidR="00B30872" w:rsidRDefault="00250ECF">
      <w:pPr>
        <w:tabs>
          <w:tab w:val="left" w:pos="4962"/>
        </w:tabs>
        <w:spacing w:after="0" w:line="360" w:lineRule="auto"/>
      </w:pPr>
      <w:r>
        <w:t>En ese contexto, según Islas, Jorge (2016), en la “Ley General de Transparencia y Acceso a la Información Pública Comentada” (p. 244), refirió que el currículum vitae de un servidor público, justifica que su formación académica resulta viable para el desempeño eficiente y correcto de su encargo; lo anterior, con el fin de acreditar que dichos trabajadores sean los más capacitados acordes al área solicitada.</w:t>
      </w:r>
    </w:p>
    <w:p w:rsidR="00B30872" w:rsidRDefault="00B30872">
      <w:pPr>
        <w:spacing w:after="0" w:line="360" w:lineRule="auto"/>
      </w:pPr>
    </w:p>
    <w:p w:rsidR="00B30872" w:rsidRDefault="00250ECF">
      <w:pPr>
        <w:tabs>
          <w:tab w:val="left" w:pos="4962"/>
        </w:tabs>
        <w:spacing w:after="0" w:line="360" w:lineRule="auto"/>
      </w:pPr>
      <w:r>
        <w:t>Se robustece lo anterior, con el Criterio 03/09, emitido por el Pleno del entonces Instituto Federal de Acceso a la Información y Protección de Datos, que prevé lo siguiente:</w:t>
      </w:r>
    </w:p>
    <w:p w:rsidR="00B30872" w:rsidRDefault="00B30872">
      <w:pPr>
        <w:tabs>
          <w:tab w:val="left" w:pos="4962"/>
        </w:tabs>
        <w:spacing w:after="0" w:line="360" w:lineRule="auto"/>
      </w:pPr>
    </w:p>
    <w:p w:rsidR="00B30872" w:rsidRDefault="00250ECF">
      <w:pPr>
        <w:tabs>
          <w:tab w:val="left" w:pos="4962"/>
        </w:tabs>
        <w:spacing w:after="0" w:line="360" w:lineRule="auto"/>
        <w:ind w:left="567" w:right="709"/>
        <w:rPr>
          <w:i/>
          <w:sz w:val="20"/>
          <w:szCs w:val="20"/>
        </w:rPr>
      </w:pPr>
      <w:r>
        <w:rPr>
          <w:i/>
          <w:sz w:val="20"/>
          <w:szCs w:val="20"/>
        </w:rPr>
        <w:lastRenderedPageBreak/>
        <w:t xml:space="preserve">“Curriculum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Pr>
          <w:i/>
          <w:sz w:val="20"/>
          <w:szCs w:val="20"/>
        </w:rPr>
        <w:t>curriculum</w:t>
      </w:r>
      <w:proofErr w:type="spellEnd"/>
      <w:r>
        <w:rPr>
          <w:i/>
          <w:sz w:val="20"/>
          <w:szCs w:val="20"/>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Pr>
          <w:i/>
          <w:sz w:val="20"/>
          <w:szCs w:val="20"/>
        </w:rPr>
        <w:t>curriculum</w:t>
      </w:r>
      <w:proofErr w:type="spellEnd"/>
      <w:r>
        <w:rPr>
          <w:i/>
          <w:sz w:val="20"/>
          <w:szCs w:val="20"/>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Pr>
          <w:i/>
          <w:sz w:val="20"/>
          <w:szCs w:val="20"/>
        </w:rPr>
        <w:t>curriculum</w:t>
      </w:r>
      <w:proofErr w:type="spellEnd"/>
      <w:r>
        <w:rPr>
          <w:i/>
          <w:sz w:val="20"/>
          <w:szCs w:val="20"/>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rsidR="00B30872" w:rsidRDefault="00B30872">
      <w:pPr>
        <w:tabs>
          <w:tab w:val="left" w:pos="4962"/>
        </w:tabs>
        <w:spacing w:after="0" w:line="360" w:lineRule="auto"/>
      </w:pPr>
    </w:p>
    <w:p w:rsidR="00B30872" w:rsidRDefault="00250ECF">
      <w:pPr>
        <w:tabs>
          <w:tab w:val="left" w:pos="4962"/>
        </w:tabs>
        <w:spacing w:after="0" w:line="360" w:lineRule="auto"/>
      </w:pPr>
      <w:r>
        <w:t xml:space="preserve">Del citado criterio, se desprende que una de las formas en que los ciudadanos pueden evaluar las aptitudes para desempeñar un cargo público determinado, es mediante la publicidad de ciertos datos contenidos en el </w:t>
      </w:r>
      <w:proofErr w:type="spellStart"/>
      <w:r>
        <w:rPr>
          <w:i/>
        </w:rPr>
        <w:t>curriculum</w:t>
      </w:r>
      <w:proofErr w:type="spellEnd"/>
      <w:r>
        <w:rPr>
          <w:i/>
        </w:rPr>
        <w:t xml:space="preserve"> vitae</w:t>
      </w:r>
      <w:r>
        <w:t>, tales como, la trayectoria académica, profesional, laboral, así como todos aquellos que acrediten su capacidad, habilidades pericia para ocupar el puesto público. Lo anterior, para favorecer la rendición de cuentas, pues la publicidad de lo anterior, tiene como fin verificar el correcto desempeño de los sujetos obligados.</w:t>
      </w:r>
    </w:p>
    <w:p w:rsidR="00B30872" w:rsidRDefault="00B30872">
      <w:pPr>
        <w:spacing w:after="0" w:line="360" w:lineRule="auto"/>
      </w:pPr>
    </w:p>
    <w:p w:rsidR="00B30872" w:rsidRDefault="00250ECF">
      <w:pPr>
        <w:spacing w:after="0" w:line="360" w:lineRule="auto"/>
      </w:pPr>
      <w:r>
        <w:rPr>
          <w:color w:val="000000"/>
        </w:rPr>
        <w:t xml:space="preserve">Conforme a lo anterior, se logra vislumbrar que la pretensión de la persona Recurrente es </w:t>
      </w:r>
      <w:r>
        <w:rPr>
          <w:b/>
        </w:rPr>
        <w:t xml:space="preserve">obtener los Oficios emitidos por la Subgerencia de Factibilidades y el </w:t>
      </w:r>
      <w:proofErr w:type="spellStart"/>
      <w:r>
        <w:rPr>
          <w:b/>
          <w:i/>
        </w:rPr>
        <w:t>curriculum</w:t>
      </w:r>
      <w:proofErr w:type="spellEnd"/>
      <w:r>
        <w:rPr>
          <w:b/>
        </w:rPr>
        <w:t xml:space="preserve"> </w:t>
      </w:r>
      <w:r>
        <w:rPr>
          <w:b/>
          <w:i/>
        </w:rPr>
        <w:t>vitae</w:t>
      </w:r>
      <w:r>
        <w:rPr>
          <w:b/>
        </w:rPr>
        <w:t xml:space="preserve"> y experiencia del Jefe de la Unidad Jurídico Administrativa de la Subgerencia de Factibilidades.</w:t>
      </w:r>
    </w:p>
    <w:p w:rsidR="00B30872" w:rsidRDefault="00B30872">
      <w:pPr>
        <w:spacing w:after="0" w:line="360" w:lineRule="auto"/>
        <w:ind w:right="-93"/>
        <w:rPr>
          <w:color w:val="000000"/>
        </w:rPr>
      </w:pPr>
    </w:p>
    <w:p w:rsidR="00B30872" w:rsidRDefault="00250ECF">
      <w:pPr>
        <w:spacing w:after="0" w:line="360" w:lineRule="auto"/>
      </w:pPr>
      <w:r>
        <w:rPr>
          <w:color w:val="000000"/>
        </w:rPr>
        <w:t>Ahora bien, de las constancias que obran en el expediente electrónico, se advierte que el Sujeto Obligado</w:t>
      </w:r>
      <w:r>
        <w:rPr>
          <w:color w:val="0D0D0D"/>
        </w:rPr>
        <w:t xml:space="preserve">, señaló que buscó la información en la </w:t>
      </w:r>
      <w:r>
        <w:t>Subgerencia de factibilidades y en la Dirección de Administración</w:t>
      </w:r>
      <w:r>
        <w:rPr>
          <w:color w:val="000000"/>
        </w:rPr>
        <w:t xml:space="preserve">; </w:t>
      </w:r>
      <w:r>
        <w:t xml:space="preserve">por lo que, es oportuno hacer referencia al </w:t>
      </w:r>
      <w:r>
        <w:rPr>
          <w:b/>
        </w:rPr>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B30872" w:rsidRDefault="00B30872">
      <w:pPr>
        <w:spacing w:after="0" w:line="360" w:lineRule="auto"/>
        <w:ind w:left="720"/>
      </w:pPr>
    </w:p>
    <w:p w:rsidR="00B30872" w:rsidRDefault="00250ECF">
      <w:pPr>
        <w:spacing w:after="0" w:line="360" w:lineRule="auto"/>
        <w:rPr>
          <w:color w:val="000000"/>
        </w:rPr>
      </w:pPr>
      <w:r>
        <w:rPr>
          <w:color w:val="000000"/>
        </w:rPr>
        <w:t xml:space="preserve">Así y de lo plasmado en párrafos anteriores, </w:t>
      </w:r>
      <w:r>
        <w:t xml:space="preserve">se logra colegir que el Sujeto Obligado  cumplió con el procedimiento de búsqueda </w:t>
      </w:r>
      <w:r>
        <w:rPr>
          <w:color w:val="000000"/>
        </w:rPr>
        <w:t>establecido en el artículo 162 de la Ley de Transparencia y Acceso a la Información Pública del Estado de México y Municipios, toda vez, que  gestionó el requerimiento de información al área competente para conocer de lo peticionado.</w:t>
      </w:r>
    </w:p>
    <w:p w:rsidR="00B30872" w:rsidRDefault="00B30872">
      <w:pPr>
        <w:spacing w:after="0" w:line="360" w:lineRule="auto"/>
        <w:rPr>
          <w:color w:val="000000"/>
        </w:rPr>
      </w:pPr>
    </w:p>
    <w:p w:rsidR="00B30872" w:rsidRDefault="00250ECF">
      <w:pPr>
        <w:numPr>
          <w:ilvl w:val="0"/>
          <w:numId w:val="3"/>
        </w:numPr>
        <w:pBdr>
          <w:top w:val="nil"/>
          <w:left w:val="nil"/>
          <w:bottom w:val="nil"/>
          <w:right w:val="nil"/>
          <w:between w:val="nil"/>
        </w:pBdr>
        <w:spacing w:after="0" w:line="360" w:lineRule="auto"/>
        <w:rPr>
          <w:color w:val="000000"/>
        </w:rPr>
      </w:pPr>
      <w:r>
        <w:rPr>
          <w:b/>
          <w:color w:val="000000"/>
        </w:rPr>
        <w:t>DE LOS OFICIOS.</w:t>
      </w:r>
    </w:p>
    <w:p w:rsidR="00B30872" w:rsidRDefault="00B30872">
      <w:pPr>
        <w:pBdr>
          <w:top w:val="nil"/>
          <w:left w:val="nil"/>
          <w:bottom w:val="nil"/>
          <w:right w:val="nil"/>
          <w:between w:val="nil"/>
        </w:pBdr>
        <w:spacing w:after="0" w:line="360" w:lineRule="auto"/>
        <w:ind w:left="720"/>
        <w:rPr>
          <w:color w:val="000000"/>
        </w:rPr>
      </w:pPr>
    </w:p>
    <w:p w:rsidR="00B30872" w:rsidRDefault="00250ECF">
      <w:pPr>
        <w:spacing w:after="0" w:line="360" w:lineRule="auto"/>
      </w:pPr>
      <w:r>
        <w:rPr>
          <w:color w:val="000000"/>
        </w:rPr>
        <w:lastRenderedPageBreak/>
        <w:t xml:space="preserve">Ahora bien, en respuesta, la Subgerencia de Factibilidades mencionó que recibió un total de 267 oficios a la fecha de la solicitud, tal como se muestra a continuación  </w:t>
      </w:r>
    </w:p>
    <w:p w:rsidR="00B30872" w:rsidRDefault="00B30872">
      <w:pPr>
        <w:spacing w:after="0" w:line="360" w:lineRule="auto"/>
      </w:pPr>
    </w:p>
    <w:p w:rsidR="00B30872" w:rsidRDefault="00250ECF">
      <w:pPr>
        <w:spacing w:after="0" w:line="360" w:lineRule="auto"/>
        <w:jc w:val="center"/>
        <w:rPr>
          <w:color w:val="000000"/>
        </w:rPr>
      </w:pPr>
      <w:r>
        <w:rPr>
          <w:noProof/>
          <w:color w:val="000000"/>
        </w:rPr>
        <w:drawing>
          <wp:inline distT="0" distB="0" distL="0" distR="0">
            <wp:extent cx="3127973" cy="112111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27973" cy="1121111"/>
                    </a:xfrm>
                    <a:prstGeom prst="rect">
                      <a:avLst/>
                    </a:prstGeom>
                    <a:ln/>
                  </pic:spPr>
                </pic:pic>
              </a:graphicData>
            </a:graphic>
          </wp:inline>
        </w:drawing>
      </w:r>
    </w:p>
    <w:p w:rsidR="00B30872" w:rsidRDefault="00B30872">
      <w:pPr>
        <w:spacing w:after="0" w:line="360" w:lineRule="auto"/>
      </w:pPr>
    </w:p>
    <w:p w:rsidR="00B30872" w:rsidRDefault="00250ECF">
      <w:pPr>
        <w:spacing w:after="0" w:line="360" w:lineRule="auto"/>
      </w:pPr>
      <w:r>
        <w:t xml:space="preserve">De lo anterior se observa que, si bien el Sujeto Obligado menciono cuantos oficios había recibido, asimismo de la revisión se observa que en el recurrente solicito los oficios emitidos por el área, más no el concentrado de dicha documental; además no indicó la temporalidad que comprende la información, lo cual da como resultado que el agravio sea </w:t>
      </w:r>
      <w:r>
        <w:rPr>
          <w:b/>
        </w:rPr>
        <w:t>FUNDADO.</w:t>
      </w:r>
    </w:p>
    <w:p w:rsidR="00B30872" w:rsidRDefault="00B30872">
      <w:pPr>
        <w:spacing w:after="0" w:line="360" w:lineRule="auto"/>
      </w:pPr>
    </w:p>
    <w:p w:rsidR="00B30872" w:rsidRDefault="00250ECF">
      <w:pPr>
        <w:spacing w:after="0" w:line="360" w:lineRule="auto"/>
      </w:pPr>
      <w:r>
        <w:t>N</w:t>
      </w:r>
      <w:r>
        <w:rPr>
          <w:color w:val="000000"/>
        </w:rPr>
        <w:t xml:space="preserve">o obstante, durante la sustanciación del Medio de Impugnación, la Subgerencia de Transparencia mencionó que debido a un error humano </w:t>
      </w:r>
      <w:r>
        <w:t>se confundió la palabra recibido con emitido por lo que reafirmo haber generado 267 oficios por parte de la Subgerencia de Factibilidades ahora bien lo que concierne a la experiencia del Jefe de la Unidad Jurídico Administrativa se tiene por atendida debido a que al enviar la plantilla del personal activo de dicha subgerencia, y hacer énfasis en que dicho puesto sigue vacante desde el inicio de la administración, tal como se muestra a continuación.</w:t>
      </w:r>
    </w:p>
    <w:p w:rsidR="00B30872" w:rsidRDefault="00B30872">
      <w:pPr>
        <w:spacing w:after="0" w:line="360" w:lineRule="auto"/>
      </w:pPr>
    </w:p>
    <w:p w:rsidR="00B30872" w:rsidRDefault="00B30872">
      <w:pPr>
        <w:spacing w:after="0" w:line="360" w:lineRule="auto"/>
        <w:jc w:val="center"/>
        <w:rPr>
          <w:color w:val="000000"/>
        </w:rPr>
      </w:pPr>
    </w:p>
    <w:p w:rsidR="00B30872" w:rsidRDefault="00250ECF">
      <w:pPr>
        <w:spacing w:after="0" w:line="360" w:lineRule="auto"/>
        <w:jc w:val="center"/>
        <w:rPr>
          <w:color w:val="000000"/>
        </w:rPr>
      </w:pPr>
      <w:r>
        <w:rPr>
          <w:noProof/>
          <w:color w:val="000000"/>
        </w:rPr>
        <w:lastRenderedPageBreak/>
        <w:drawing>
          <wp:inline distT="0" distB="0" distL="0" distR="0">
            <wp:extent cx="3177555" cy="982691"/>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177555" cy="982691"/>
                    </a:xfrm>
                    <a:prstGeom prst="rect">
                      <a:avLst/>
                    </a:prstGeom>
                    <a:ln/>
                  </pic:spPr>
                </pic:pic>
              </a:graphicData>
            </a:graphic>
          </wp:inline>
        </w:drawing>
      </w:r>
    </w:p>
    <w:p w:rsidR="00B30872" w:rsidRDefault="00B30872">
      <w:pPr>
        <w:spacing w:after="0" w:line="360" w:lineRule="auto"/>
        <w:rPr>
          <w:b/>
          <w:color w:val="000000"/>
        </w:rPr>
      </w:pPr>
    </w:p>
    <w:p w:rsidR="00B30872" w:rsidRDefault="00250ECF">
      <w:pPr>
        <w:tabs>
          <w:tab w:val="left" w:pos="4962"/>
        </w:tabs>
        <w:spacing w:after="0" w:line="360" w:lineRule="auto"/>
        <w:rPr>
          <w:color w:val="000000"/>
        </w:rPr>
      </w:pPr>
      <w:r>
        <w:rPr>
          <w:color w:val="000000"/>
        </w:rPr>
        <w:t xml:space="preserve">Así, este Instituto considera que, para atender el requerimiento de información, el Sujeto Obligado deberá proporcionar </w:t>
      </w:r>
      <w:r>
        <w:rPr>
          <w:b/>
          <w:color w:val="000000"/>
        </w:rPr>
        <w:t>los oficios generados por la subgerencia de factibilidades correspondiente al número adjuntado en respuesta</w:t>
      </w:r>
      <w:r>
        <w:t>, en versión pública</w:t>
      </w:r>
      <w:r>
        <w:rPr>
          <w:color w:val="000000"/>
        </w:rPr>
        <w:t>,;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B30872" w:rsidRDefault="00B30872">
      <w:pPr>
        <w:spacing w:after="0" w:line="360" w:lineRule="auto"/>
      </w:pPr>
    </w:p>
    <w:p w:rsidR="00B30872" w:rsidRDefault="00250ECF">
      <w:pPr>
        <w:spacing w:after="0" w:line="360" w:lineRule="auto"/>
      </w:pPr>
      <w: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rsidR="00B30872" w:rsidRDefault="00B30872">
      <w:pPr>
        <w:spacing w:after="0" w:line="360" w:lineRule="auto"/>
      </w:pPr>
    </w:p>
    <w:p w:rsidR="00B30872" w:rsidRDefault="00250ECF">
      <w:pPr>
        <w:spacing w:after="0" w:line="360" w:lineRule="auto"/>
      </w:pPr>
      <w: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w:t>
      </w:r>
    </w:p>
    <w:p w:rsidR="00B30872" w:rsidRDefault="00B30872">
      <w:pPr>
        <w:spacing w:after="0" w:line="360" w:lineRule="auto"/>
      </w:pPr>
    </w:p>
    <w:p w:rsidR="00B30872" w:rsidRDefault="00250ECF">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B30872" w:rsidRDefault="00B30872">
      <w:pPr>
        <w:spacing w:after="0" w:line="360" w:lineRule="auto"/>
        <w:rPr>
          <w:color w:val="000000"/>
        </w:rPr>
      </w:pPr>
    </w:p>
    <w:p w:rsidR="00B30872" w:rsidRDefault="00250ECF">
      <w:pPr>
        <w:spacing w:after="0" w:line="360" w:lineRule="auto"/>
      </w:pPr>
      <w:r>
        <w:t>En el supuesto que algunos de los oficios no obren en los archivos del Sujeto Obligado por haberse cancelado, bastará con que así lo haga del conocimiento de la parte Recurrente, de manera precisa y clara.</w:t>
      </w:r>
    </w:p>
    <w:p w:rsidR="00B30872" w:rsidRDefault="00B30872">
      <w:pPr>
        <w:spacing w:after="0" w:line="360" w:lineRule="auto"/>
        <w:rPr>
          <w:color w:val="000000"/>
        </w:rPr>
      </w:pPr>
    </w:p>
    <w:p w:rsidR="00B30872" w:rsidRDefault="00AB344E">
      <w:pPr>
        <w:numPr>
          <w:ilvl w:val="0"/>
          <w:numId w:val="3"/>
        </w:numPr>
        <w:pBdr>
          <w:top w:val="nil"/>
          <w:left w:val="nil"/>
          <w:bottom w:val="nil"/>
          <w:right w:val="nil"/>
          <w:between w:val="nil"/>
        </w:pBdr>
        <w:spacing w:after="0" w:line="360" w:lineRule="auto"/>
        <w:rPr>
          <w:b/>
          <w:color w:val="000000"/>
        </w:rPr>
      </w:pPr>
      <w:r>
        <w:rPr>
          <w:b/>
          <w:color w:val="000000"/>
        </w:rPr>
        <w:t>DEL CURRICULUM Y EXPERIENCIA</w:t>
      </w:r>
    </w:p>
    <w:p w:rsidR="00B30872" w:rsidRDefault="00B30872">
      <w:pPr>
        <w:spacing w:after="0" w:line="360" w:lineRule="auto"/>
        <w:rPr>
          <w:color w:val="000000"/>
        </w:rPr>
      </w:pPr>
    </w:p>
    <w:p w:rsidR="00B30872" w:rsidRDefault="00250ECF">
      <w:pPr>
        <w:spacing w:after="0" w:line="360" w:lineRule="auto"/>
      </w:pPr>
      <w:r>
        <w:t>En este contexto normativo, se procede al análisis de la respuesta proporcionada por el Sujeto Obligado, puesto que indicó en respuesta una liga electrónica para consultar la información, sin embargo, se encuentra en formato cerrado, al respecto, 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rsidR="00B30872" w:rsidRDefault="00250ECF">
      <w:pPr>
        <w:spacing w:after="0" w:line="360" w:lineRule="auto"/>
      </w:pPr>
      <w:r>
        <w:t> </w:t>
      </w:r>
    </w:p>
    <w:p w:rsidR="00B30872" w:rsidRDefault="00250ECF">
      <w:pPr>
        <w:spacing w:after="0" w:line="360" w:lineRule="auto"/>
      </w:pPr>
      <w:r>
        <w:t xml:space="preserve">En ese contexto, el artículo 3°, fracción VI y X, de la Ley General de Transparencia y Acceso a la Información Pública, con relación, al diverso 3°, fracciones VIII y XVI de la Ley de </w:t>
      </w:r>
      <w:r>
        <w:lastRenderedPageBreak/>
        <w:t>Transparencia y Acceso a la Información Pública del Estado de México y Municipios, precisan lo siguiente:</w:t>
      </w:r>
    </w:p>
    <w:p w:rsidR="00B30872" w:rsidRDefault="00250ECF">
      <w:pPr>
        <w:spacing w:after="0" w:line="360" w:lineRule="auto"/>
      </w:pPr>
      <w:r>
        <w:t> </w:t>
      </w:r>
    </w:p>
    <w:p w:rsidR="00B30872" w:rsidRDefault="00250ECF">
      <w:pPr>
        <w:numPr>
          <w:ilvl w:val="0"/>
          <w:numId w:val="4"/>
        </w:numPr>
        <w:spacing w:after="0" w:line="360" w:lineRule="auto"/>
      </w:pPr>
      <w:r>
        <w:rPr>
          <w:b/>
        </w:rPr>
        <w:t>Dato abierto:</w:t>
      </w:r>
      <w:r>
        <w:t> 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B30872" w:rsidRDefault="00250ECF">
      <w:pPr>
        <w:spacing w:after="0" w:line="360" w:lineRule="auto"/>
      </w:pPr>
      <w:r>
        <w:t> </w:t>
      </w:r>
    </w:p>
    <w:p w:rsidR="00B30872" w:rsidRDefault="00250ECF">
      <w:pPr>
        <w:numPr>
          <w:ilvl w:val="0"/>
          <w:numId w:val="4"/>
        </w:numPr>
        <w:spacing w:after="0" w:line="360" w:lineRule="auto"/>
      </w:pPr>
      <w:r>
        <w:rPr>
          <w:b/>
        </w:rPr>
        <w:t>Formato accesible:</w:t>
      </w:r>
      <w: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B30872" w:rsidRDefault="00250ECF">
      <w:pPr>
        <w:spacing w:after="0" w:line="360" w:lineRule="auto"/>
      </w:pPr>
      <w:r>
        <w:t> </w:t>
      </w:r>
    </w:p>
    <w:p w:rsidR="00B30872" w:rsidRDefault="00250ECF">
      <w:pPr>
        <w:spacing w:after="0" w:line="360" w:lineRule="auto"/>
      </w:pPr>
      <w:r>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rsidR="00B30872" w:rsidRDefault="00250ECF">
      <w:pPr>
        <w:spacing w:after="0" w:line="360" w:lineRule="auto"/>
      </w:pPr>
      <w:r>
        <w:t> </w:t>
      </w:r>
    </w:p>
    <w:p w:rsidR="00B30872" w:rsidRDefault="00250ECF">
      <w:pPr>
        <w:spacing w:after="0" w:line="360" w:lineRule="auto"/>
      </w:pPr>
      <w:r>
        <w:t xml:space="preserve">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w:t>
      </w:r>
      <w:r>
        <w:lastRenderedPageBreak/>
        <w:t>de manera precisa a los solicitantes, la fuente, el lugar y la forma en que se puede obtener la información.</w:t>
      </w:r>
    </w:p>
    <w:p w:rsidR="00B30872" w:rsidRDefault="00B30872">
      <w:pPr>
        <w:spacing w:after="0" w:line="360" w:lineRule="auto"/>
      </w:pPr>
    </w:p>
    <w:p w:rsidR="00B30872" w:rsidRDefault="00250ECF">
      <w:pPr>
        <w:spacing w:after="0" w:line="360" w:lineRule="auto"/>
      </w:pPr>
      <w:r>
        <w:t xml:space="preserve">Cómo se logra observar, el Sujeto Obligado si bien señaló una página electrónica y que la información se encontraba en los estados comparativos de egresos, omitió proporcionar en formato abierto, lo cual implica la dificultad de acceder a la misma, pues se traduce al hecho de que la Particular tendría que colocar cada dígito alfanumérico, y cuya equivocación implicaría no acceder a la información contenida en las mismas; de igual forma omitió y señalar en qué parte de los estados comparativos de egresos se localiza el pago por los eventos señalados en la solicitud. </w:t>
      </w:r>
    </w:p>
    <w:p w:rsidR="00B30872" w:rsidRDefault="00B30872">
      <w:pPr>
        <w:spacing w:after="0" w:line="360" w:lineRule="auto"/>
      </w:pPr>
    </w:p>
    <w:p w:rsidR="00B30872" w:rsidRDefault="00250ECF">
      <w:pPr>
        <w:spacing w:after="0" w:line="360" w:lineRule="auto"/>
      </w:pPr>
      <w:r>
        <w:t>Sin menoscabar lo anterior, este Instituto revisó la liga electrónica remitida, de la que se advierte los registros de IPOMEX en el apartado de Información curricular y sanciones administrativas y Perfil de los puestos de los servidores públicos; en su apartado general, a saber:</w:t>
      </w:r>
    </w:p>
    <w:p w:rsidR="00B30872" w:rsidRDefault="00B30872">
      <w:pPr>
        <w:spacing w:after="0" w:line="360" w:lineRule="auto"/>
      </w:pPr>
    </w:p>
    <w:p w:rsidR="00B30872" w:rsidRDefault="00D10F97">
      <w:pPr>
        <w:numPr>
          <w:ilvl w:val="0"/>
          <w:numId w:val="5"/>
        </w:numPr>
        <w:pBdr>
          <w:top w:val="nil"/>
          <w:left w:val="nil"/>
          <w:bottom w:val="nil"/>
          <w:right w:val="nil"/>
          <w:between w:val="nil"/>
        </w:pBdr>
        <w:spacing w:after="0" w:line="360" w:lineRule="auto"/>
        <w:rPr>
          <w:b/>
          <w:color w:val="000000"/>
        </w:rPr>
      </w:pPr>
      <w:hyperlink r:id="rId14" w:anchor="/info-fraccion/28/290/12">
        <w:r w:rsidR="00250ECF">
          <w:rPr>
            <w:b/>
            <w:color w:val="0000FF"/>
            <w:u w:val="single"/>
          </w:rPr>
          <w:t>https://ipomex.org.mx/ipomex/#/info-fraccion/28/290/12</w:t>
        </w:r>
      </w:hyperlink>
      <w:r w:rsidR="00250ECF">
        <w:rPr>
          <w:b/>
          <w:color w:val="000000"/>
        </w:rPr>
        <w:t xml:space="preserve"> </w:t>
      </w:r>
    </w:p>
    <w:p w:rsidR="00B30872" w:rsidRDefault="00250ECF">
      <w:pPr>
        <w:spacing w:after="0" w:line="360" w:lineRule="auto"/>
        <w:jc w:val="center"/>
        <w:rPr>
          <w:b/>
        </w:rPr>
      </w:pPr>
      <w:r>
        <w:rPr>
          <w:b/>
          <w:noProof/>
        </w:rPr>
        <w:lastRenderedPageBreak/>
        <w:drawing>
          <wp:inline distT="0" distB="0" distL="0" distR="0">
            <wp:extent cx="3276754" cy="3052827"/>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9203"/>
                    <a:stretch>
                      <a:fillRect/>
                    </a:stretch>
                  </pic:blipFill>
                  <pic:spPr>
                    <a:xfrm>
                      <a:off x="0" y="0"/>
                      <a:ext cx="3276754" cy="3052827"/>
                    </a:xfrm>
                    <a:prstGeom prst="rect">
                      <a:avLst/>
                    </a:prstGeom>
                    <a:ln/>
                  </pic:spPr>
                </pic:pic>
              </a:graphicData>
            </a:graphic>
          </wp:inline>
        </w:drawing>
      </w:r>
    </w:p>
    <w:p w:rsidR="00B30872" w:rsidRDefault="00B30872">
      <w:pPr>
        <w:spacing w:after="0" w:line="360" w:lineRule="auto"/>
        <w:rPr>
          <w:b/>
        </w:rPr>
      </w:pPr>
    </w:p>
    <w:p w:rsidR="00B30872" w:rsidRDefault="00D10F97">
      <w:pPr>
        <w:numPr>
          <w:ilvl w:val="0"/>
          <w:numId w:val="5"/>
        </w:numPr>
        <w:pBdr>
          <w:top w:val="nil"/>
          <w:left w:val="nil"/>
          <w:bottom w:val="nil"/>
          <w:right w:val="nil"/>
          <w:between w:val="nil"/>
        </w:pBdr>
        <w:spacing w:after="0" w:line="360" w:lineRule="auto"/>
        <w:rPr>
          <w:b/>
          <w:color w:val="000000"/>
        </w:rPr>
      </w:pPr>
      <w:hyperlink r:id="rId16" w:anchor="/info-fraccion/17/290/1">
        <w:r w:rsidR="00250ECF">
          <w:rPr>
            <w:b/>
            <w:color w:val="0000FF"/>
            <w:u w:val="single"/>
          </w:rPr>
          <w:t>https://ipomex.org.mx/ipomex/#/info-fraccion/17/290/1</w:t>
        </w:r>
      </w:hyperlink>
      <w:r w:rsidR="00250ECF">
        <w:rPr>
          <w:b/>
          <w:color w:val="000000"/>
        </w:rPr>
        <w:t xml:space="preserve"> </w:t>
      </w:r>
    </w:p>
    <w:p w:rsidR="00B30872" w:rsidRDefault="00250ECF">
      <w:pPr>
        <w:spacing w:after="0" w:line="360" w:lineRule="auto"/>
        <w:jc w:val="center"/>
      </w:pPr>
      <w:r>
        <w:rPr>
          <w:noProof/>
        </w:rPr>
        <w:lastRenderedPageBreak/>
        <w:drawing>
          <wp:inline distT="0" distB="0" distL="0" distR="0">
            <wp:extent cx="3844602" cy="3912187"/>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844602" cy="3912187"/>
                    </a:xfrm>
                    <a:prstGeom prst="rect">
                      <a:avLst/>
                    </a:prstGeom>
                    <a:ln/>
                  </pic:spPr>
                </pic:pic>
              </a:graphicData>
            </a:graphic>
          </wp:inline>
        </w:drawing>
      </w:r>
    </w:p>
    <w:p w:rsidR="00B30872" w:rsidRDefault="00B30872">
      <w:pPr>
        <w:spacing w:after="0" w:line="360" w:lineRule="auto"/>
      </w:pPr>
    </w:p>
    <w:p w:rsidR="00B30872" w:rsidRDefault="00250ECF">
      <w:pPr>
        <w:spacing w:after="0" w:line="360" w:lineRule="auto"/>
        <w:rPr>
          <w:color w:val="000000"/>
        </w:rPr>
      </w:pPr>
      <w:r>
        <w:rPr>
          <w:color w:val="000000"/>
        </w:rPr>
        <w:t>De lo anterior, se aprecia que el Sujeto Obligado entregó en respuesta unas ligas no dan cuenta de la información requerida puesto que está en formato cerrado y no lleva de forma directa a la información solicitada.</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Ahora bien, en informe justificado informó lo siguiente:</w:t>
      </w:r>
    </w:p>
    <w:p w:rsidR="00B30872" w:rsidRDefault="00B30872">
      <w:pPr>
        <w:spacing w:after="0" w:line="360" w:lineRule="auto"/>
        <w:rPr>
          <w:color w:val="000000"/>
        </w:rPr>
      </w:pPr>
    </w:p>
    <w:p w:rsidR="00B30872" w:rsidRDefault="00250ECF">
      <w:pPr>
        <w:spacing w:after="0" w:line="360" w:lineRule="auto"/>
        <w:ind w:left="567" w:right="567"/>
        <w:rPr>
          <w:i/>
          <w:sz w:val="20"/>
          <w:szCs w:val="20"/>
        </w:rPr>
      </w:pPr>
      <w:r>
        <w:rPr>
          <w:i/>
          <w:sz w:val="20"/>
          <w:szCs w:val="20"/>
        </w:rPr>
        <w:t>"</w:t>
      </w:r>
      <w:proofErr w:type="gramStart"/>
      <w:r>
        <w:rPr>
          <w:i/>
          <w:sz w:val="20"/>
          <w:szCs w:val="20"/>
        </w:rPr>
        <w:t>con</w:t>
      </w:r>
      <w:proofErr w:type="gramEnd"/>
      <w:r>
        <w:rPr>
          <w:i/>
          <w:sz w:val="20"/>
          <w:szCs w:val="20"/>
        </w:rPr>
        <w:t xml:space="preserve"> el fin de atender la Solicitud de mérito, en la respuesta a su solicitud, se proporcionó la plantilla del personal activo adscrito a la Subgerencia de Factibilidades, en ese contexto, se puede observar que </w:t>
      </w:r>
      <w:r>
        <w:rPr>
          <w:b/>
          <w:i/>
          <w:sz w:val="20"/>
          <w:szCs w:val="20"/>
        </w:rPr>
        <w:t xml:space="preserve">no se encuentra la plaza de la Unidad Jurídica Administrativa de la </w:t>
      </w:r>
      <w:r>
        <w:rPr>
          <w:b/>
          <w:i/>
          <w:sz w:val="20"/>
          <w:szCs w:val="20"/>
        </w:rPr>
        <w:lastRenderedPageBreak/>
        <w:t>Subgerencia de Factibilidades, derivado de que la misma se encuentra vacante desde el inicio de la administración</w:t>
      </w:r>
      <w:r>
        <w:rPr>
          <w:i/>
          <w:sz w:val="20"/>
          <w:szCs w:val="20"/>
        </w:rPr>
        <w:t>.</w:t>
      </w:r>
    </w:p>
    <w:p w:rsidR="00B30872" w:rsidRDefault="00250ECF">
      <w:pPr>
        <w:spacing w:after="0" w:line="360" w:lineRule="auto"/>
        <w:ind w:left="567" w:right="567"/>
        <w:rPr>
          <w:sz w:val="20"/>
          <w:szCs w:val="20"/>
        </w:rPr>
      </w:pPr>
      <w:r>
        <w:rPr>
          <w:sz w:val="20"/>
          <w:szCs w:val="20"/>
        </w:rPr>
        <w:t>…”</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 xml:space="preserve">Al respecto, se aprecia que desde el inicio del año y hasta la fecha de la respuesta, que es posterior a la de la solicitud, no se contaba con Unidad Jurídica Administrativa de la Subgerencia de Factibilidades, derivado de que la misma se encuentra vacante, en consecuencia, no es posible la entrega de información curricular o de experiencia, dado que no se tiene a una persona servidora pública en el puesto. </w:t>
      </w:r>
    </w:p>
    <w:p w:rsidR="00B30872" w:rsidRDefault="00B30872">
      <w:pPr>
        <w:spacing w:after="0" w:line="360" w:lineRule="auto"/>
        <w:rPr>
          <w:color w:val="000000"/>
        </w:rPr>
      </w:pPr>
    </w:p>
    <w:p w:rsidR="00B30872" w:rsidRDefault="00250ECF">
      <w:pPr>
        <w:spacing w:after="0" w:line="360" w:lineRule="auto"/>
        <w:rPr>
          <w:color w:val="000000"/>
        </w:rPr>
      </w:pPr>
      <w:r>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rsidR="00B30872" w:rsidRDefault="00B30872">
      <w:pPr>
        <w:spacing w:after="0" w:line="360" w:lineRule="auto"/>
      </w:pPr>
    </w:p>
    <w:p w:rsidR="00B30872" w:rsidRDefault="00250ECF">
      <w:pPr>
        <w:spacing w:after="0" w:line="360" w:lineRule="auto"/>
      </w:pPr>
      <w: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rsidR="00B30872" w:rsidRDefault="00B30872">
      <w:pPr>
        <w:spacing w:after="0" w:line="360" w:lineRule="auto"/>
      </w:pPr>
    </w:p>
    <w:p w:rsidR="00B30872" w:rsidRDefault="00250ECF">
      <w:pPr>
        <w:spacing w:after="0" w:line="360" w:lineRule="auto"/>
      </w:pPr>
      <w:r>
        <w:t xml:space="preserve">Así, es posible concluir que la </w:t>
      </w:r>
      <w:r>
        <w:rPr>
          <w:b/>
        </w:rPr>
        <w:t>inexistencia</w:t>
      </w:r>
      <w:r>
        <w:t xml:space="preserve"> presupone la competencia del sujeto obligado para conocer de la información, pero por alguna circunstancia, la documentación solicitada no obra en sus archivos; para tal situación, no basta con que los sujetos obligados precisen </w:t>
      </w:r>
      <w:r>
        <w:lastRenderedPageBreak/>
        <w:t>dicha circunstancia, sino que también debe de señalar las razones por las cuales no cuentan con lo peticionado, es decir, las circunstancias que dan lugar a la inexistencia.</w:t>
      </w:r>
    </w:p>
    <w:p w:rsidR="00B30872" w:rsidRDefault="00B30872">
      <w:pPr>
        <w:spacing w:after="0" w:line="360" w:lineRule="auto"/>
      </w:pPr>
    </w:p>
    <w:p w:rsidR="00B30872" w:rsidRDefault="00250ECF">
      <w:pPr>
        <w:spacing w:after="0" w:line="360" w:lineRule="auto"/>
        <w:rPr>
          <w:color w:val="000000"/>
        </w:rPr>
      </w:pPr>
      <w:r>
        <w:t>En ese sentido</w:t>
      </w:r>
      <w:r>
        <w:rPr>
          <w:color w:val="000000"/>
        </w:rPr>
        <w:t>,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Al respecto, dicho criterio aplica al caso en concreto, ya que, no se localizó algún indicio de que el Sujeto Obligado cuente con la información requerida; por lo cual, se considera que el Sujeto Obligado señaló las razones por las cuales no contaba con lo requerido y cumplió con el segundo párrafo, del artículo 19 de la Ley de Transparencia y Acceso a la Información Pública del Estado de México y Municipios.</w:t>
      </w:r>
    </w:p>
    <w:p w:rsidR="00B30872" w:rsidRDefault="00B30872">
      <w:pPr>
        <w:spacing w:after="0" w:line="360" w:lineRule="auto"/>
      </w:pPr>
    </w:p>
    <w:p w:rsidR="00B30872" w:rsidRDefault="00250ECF">
      <w:pPr>
        <w:spacing w:after="0" w:line="360" w:lineRule="auto"/>
        <w:rPr>
          <w:color w:val="000000"/>
        </w:rPr>
      </w:pPr>
      <w:r>
        <w:rPr>
          <w:color w:val="000000"/>
        </w:rPr>
        <w:lastRenderedPageBreak/>
        <w:t xml:space="preserve">En consecuencia de todo lo antes analizado es procedente tener por </w:t>
      </w:r>
      <w:r>
        <w:rPr>
          <w:b/>
          <w:color w:val="000000"/>
        </w:rPr>
        <w:t>FUNDADOS</w:t>
      </w:r>
      <w:r>
        <w:rPr>
          <w:color w:val="000000"/>
        </w:rPr>
        <w:t xml:space="preserve"> los motivos de agravio y</w:t>
      </w:r>
      <w:r>
        <w:rPr>
          <w:b/>
          <w:color w:val="000000"/>
        </w:rPr>
        <w:t xml:space="preserve"> MODIFICAR </w:t>
      </w:r>
      <w:r>
        <w:rPr>
          <w:color w:val="000000"/>
        </w:rPr>
        <w:t xml:space="preserve">la respuesta inicial y ordenar la entrega de la información faltante. </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Ahora bien, no pasa desapercibido que los documentos que den cuenta de lo solicitado pudieran contener de manera enunciativa más no limitativa los siguientes datos:</w:t>
      </w:r>
    </w:p>
    <w:p w:rsidR="00B30872" w:rsidRDefault="00B30872">
      <w:pPr>
        <w:spacing w:after="0" w:line="360" w:lineRule="auto"/>
        <w:rPr>
          <w:color w:val="000000"/>
        </w:rPr>
      </w:pPr>
    </w:p>
    <w:p w:rsidR="00B30872" w:rsidRDefault="00250ECF">
      <w:pPr>
        <w:numPr>
          <w:ilvl w:val="0"/>
          <w:numId w:val="6"/>
        </w:numPr>
        <w:spacing w:after="0" w:line="360" w:lineRule="auto"/>
        <w:rPr>
          <w:color w:val="000000"/>
        </w:rPr>
      </w:pPr>
      <w:bookmarkStart w:id="26" w:name="_heading=h.htxo5f8qb84d" w:colFirst="0" w:colLast="0"/>
      <w:bookmarkEnd w:id="26"/>
      <w:r>
        <w:rPr>
          <w:color w:val="000000"/>
        </w:rPr>
        <w:t>Clave Única de Registro de Población (CURP);</w:t>
      </w:r>
    </w:p>
    <w:p w:rsidR="00B30872" w:rsidRDefault="00250ECF">
      <w:pPr>
        <w:numPr>
          <w:ilvl w:val="0"/>
          <w:numId w:val="6"/>
        </w:numPr>
        <w:spacing w:after="0" w:line="360" w:lineRule="auto"/>
        <w:rPr>
          <w:color w:val="000000"/>
        </w:rPr>
      </w:pPr>
      <w:r>
        <w:rPr>
          <w:color w:val="000000"/>
        </w:rPr>
        <w:t>Registro Federal de Contribuyentes del servidor público (RFC);</w:t>
      </w:r>
    </w:p>
    <w:p w:rsidR="00B30872" w:rsidRDefault="00250ECF">
      <w:pPr>
        <w:numPr>
          <w:ilvl w:val="0"/>
          <w:numId w:val="6"/>
        </w:numPr>
        <w:spacing w:after="0" w:line="360" w:lineRule="auto"/>
        <w:rPr>
          <w:color w:val="000000"/>
        </w:rPr>
      </w:pPr>
      <w:r>
        <w:rPr>
          <w:color w:val="000000"/>
        </w:rPr>
        <w:t>Nombre de particulares</w:t>
      </w:r>
    </w:p>
    <w:p w:rsidR="00B30872" w:rsidRDefault="00B30872">
      <w:pPr>
        <w:spacing w:after="0" w:line="360" w:lineRule="auto"/>
        <w:ind w:left="720"/>
        <w:rPr>
          <w:color w:val="000000"/>
        </w:rPr>
      </w:pPr>
    </w:p>
    <w:p w:rsidR="00B30872" w:rsidRDefault="00250ECF">
      <w:pPr>
        <w:spacing w:after="0" w:line="360" w:lineRule="auto"/>
        <w:ind w:right="-28"/>
        <w:rPr>
          <w:color w:val="000000"/>
        </w:rPr>
      </w:pPr>
      <w:r>
        <w:rPr>
          <w:color w:val="000000"/>
        </w:rPr>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lastRenderedPageBreak/>
        <w:t>En términos de lo expuesto, la documentación y aquellos datos que se consideren confidenciales, serán una limitante del derecho de acceso a la información, siempre y cuando:</w:t>
      </w:r>
    </w:p>
    <w:p w:rsidR="00B30872" w:rsidRDefault="00B30872">
      <w:pPr>
        <w:spacing w:after="0" w:line="360" w:lineRule="auto"/>
        <w:rPr>
          <w:color w:val="000000"/>
        </w:rPr>
      </w:pPr>
    </w:p>
    <w:p w:rsidR="00B30872" w:rsidRDefault="00250ECF">
      <w:pPr>
        <w:numPr>
          <w:ilvl w:val="0"/>
          <w:numId w:val="7"/>
        </w:numPr>
        <w:spacing w:after="0" w:line="360" w:lineRule="auto"/>
        <w:rPr>
          <w:color w:val="000000"/>
        </w:rPr>
      </w:pPr>
      <w:r>
        <w:rPr>
          <w:color w:val="000000"/>
        </w:rPr>
        <w:t xml:space="preserve">Se trate de datos personales o información privada; esto es, información concerniente a una persona física o </w:t>
      </w:r>
      <w:r>
        <w:t>jurídica</w:t>
      </w:r>
      <w:r>
        <w:rPr>
          <w:color w:val="000000"/>
        </w:rPr>
        <w:t xml:space="preserve"> colectiva y que esta sea identificada o identificable. </w:t>
      </w:r>
    </w:p>
    <w:p w:rsidR="00B30872" w:rsidRDefault="00B30872">
      <w:pPr>
        <w:spacing w:after="0" w:line="360" w:lineRule="auto"/>
        <w:ind w:left="360"/>
        <w:rPr>
          <w:color w:val="000000"/>
        </w:rPr>
      </w:pPr>
    </w:p>
    <w:p w:rsidR="00B30872" w:rsidRDefault="00250ECF">
      <w:pPr>
        <w:numPr>
          <w:ilvl w:val="0"/>
          <w:numId w:val="7"/>
        </w:numPr>
        <w:spacing w:after="0" w:line="360" w:lineRule="auto"/>
        <w:rPr>
          <w:color w:val="000000"/>
        </w:rPr>
      </w:pPr>
      <w:r>
        <w:rPr>
          <w:color w:val="000000"/>
        </w:rPr>
        <w:t xml:space="preserve">Para la difusión de los datos, se </w:t>
      </w:r>
      <w:r>
        <w:t>requiere</w:t>
      </w:r>
      <w:r>
        <w:rPr>
          <w:color w:val="000000"/>
        </w:rPr>
        <w:t xml:space="preserve"> el consentimiento del titular. </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rsidR="00B30872" w:rsidRDefault="00B30872">
      <w:pPr>
        <w:spacing w:after="0" w:line="360" w:lineRule="auto"/>
        <w:ind w:right="-28"/>
        <w:rPr>
          <w:color w:val="000000"/>
        </w:rPr>
      </w:pPr>
    </w:p>
    <w:p w:rsidR="00B30872" w:rsidRDefault="00250ECF">
      <w:pPr>
        <w:numPr>
          <w:ilvl w:val="0"/>
          <w:numId w:val="8"/>
        </w:numPr>
        <w:spacing w:after="0" w:line="360" w:lineRule="auto"/>
        <w:rPr>
          <w:b/>
          <w:color w:val="000000"/>
        </w:rPr>
      </w:pPr>
      <w:r>
        <w:rPr>
          <w:b/>
          <w:color w:val="000000"/>
        </w:rPr>
        <w:t>Clave Única de Registro de Población (CURP)</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 xml:space="preserve">En ese orden de ideas, la Secretaría de Gobernación en las direcciones </w:t>
      </w:r>
      <w:hyperlink r:id="rId18">
        <w:r>
          <w:rPr>
            <w:color w:val="000000"/>
            <w:u w:val="single"/>
          </w:rPr>
          <w:t>https://consultas.curp.gob.mx/CurpSP/html/informacionecurpPS.html</w:t>
        </w:r>
      </w:hyperlink>
      <w:r>
        <w:rPr>
          <w:color w:val="000000"/>
        </w:rPr>
        <w:t xml:space="preserve"> y </w:t>
      </w:r>
      <w:hyperlink r:id="rId19">
        <w:r>
          <w:rPr>
            <w:color w:val="000000"/>
            <w:u w:val="single"/>
          </w:rPr>
          <w:t>https://www.gob.mx/segob/renapo/acciones-y-programas/clave-unica-de-registro-de-poblacion-curp-142226</w:t>
        </w:r>
      </w:hyperlink>
      <w:r>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color w:val="000000"/>
        </w:rPr>
        <w:t>se generan a partir de los datos contenidos en el documento probatorio de la identidad</w:t>
      </w:r>
      <w:r>
        <w:rPr>
          <w:color w:val="000000"/>
        </w:rPr>
        <w:t xml:space="preserve"> </w:t>
      </w:r>
      <w:r>
        <w:rPr>
          <w:b/>
          <w:color w:val="000000"/>
        </w:rPr>
        <w:t xml:space="preserve">del interesado </w:t>
      </w:r>
      <w:r>
        <w:rPr>
          <w:color w:val="000000"/>
        </w:rPr>
        <w:t>(acta de nacimiento, carta de naturalización o documento migratorio) de la siguiente forma:</w:t>
      </w:r>
    </w:p>
    <w:p w:rsidR="00B30872" w:rsidRDefault="00B30872">
      <w:pPr>
        <w:spacing w:after="0" w:line="360" w:lineRule="auto"/>
        <w:rPr>
          <w:color w:val="000000"/>
        </w:rPr>
      </w:pPr>
    </w:p>
    <w:p w:rsidR="00B30872" w:rsidRDefault="00250ECF">
      <w:pPr>
        <w:numPr>
          <w:ilvl w:val="0"/>
          <w:numId w:val="9"/>
        </w:numPr>
        <w:spacing w:after="0" w:line="360" w:lineRule="auto"/>
        <w:rPr>
          <w:color w:val="000000"/>
        </w:rPr>
      </w:pPr>
      <w:r>
        <w:rPr>
          <w:color w:val="000000"/>
        </w:rPr>
        <w:lastRenderedPageBreak/>
        <w:t>El primero y segundo apellidos, así como al nombre de pila;</w:t>
      </w:r>
    </w:p>
    <w:p w:rsidR="00B30872" w:rsidRDefault="00250ECF">
      <w:pPr>
        <w:numPr>
          <w:ilvl w:val="0"/>
          <w:numId w:val="9"/>
        </w:numPr>
        <w:spacing w:after="0" w:line="360" w:lineRule="auto"/>
        <w:rPr>
          <w:color w:val="000000"/>
        </w:rPr>
      </w:pPr>
      <w:r>
        <w:rPr>
          <w:color w:val="000000"/>
        </w:rPr>
        <w:t>La fecha de nacimiento;</w:t>
      </w:r>
    </w:p>
    <w:p w:rsidR="00B30872" w:rsidRDefault="00250ECF">
      <w:pPr>
        <w:numPr>
          <w:ilvl w:val="0"/>
          <w:numId w:val="9"/>
        </w:numPr>
        <w:spacing w:after="0" w:line="360" w:lineRule="auto"/>
        <w:rPr>
          <w:color w:val="000000"/>
        </w:rPr>
      </w:pPr>
      <w:r>
        <w:rPr>
          <w:color w:val="000000"/>
        </w:rPr>
        <w:t>El sexo, y</w:t>
      </w:r>
    </w:p>
    <w:p w:rsidR="00B30872" w:rsidRDefault="00250ECF">
      <w:pPr>
        <w:numPr>
          <w:ilvl w:val="0"/>
          <w:numId w:val="9"/>
        </w:numPr>
        <w:spacing w:after="0" w:line="360" w:lineRule="auto"/>
        <w:rPr>
          <w:color w:val="000000"/>
        </w:rPr>
      </w:pPr>
      <w:r>
        <w:rPr>
          <w:color w:val="000000"/>
        </w:rPr>
        <w:t>La entidad federativa de nacimiento.</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Los dos últimos elementos de la Clave Única de Registro de Población evitan la duplicidad de la Clave y garantizan su correcta integración.</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rsidR="00B30872" w:rsidRDefault="00B30872">
      <w:pPr>
        <w:spacing w:after="0" w:line="360" w:lineRule="auto"/>
        <w:ind w:left="567" w:right="567"/>
        <w:rPr>
          <w:color w:val="000000"/>
        </w:rPr>
      </w:pPr>
    </w:p>
    <w:p w:rsidR="00B30872" w:rsidRDefault="00250ECF">
      <w:pPr>
        <w:spacing w:after="0" w:line="360" w:lineRule="auto"/>
        <w:ind w:left="567" w:right="567"/>
        <w:rPr>
          <w:i/>
          <w:color w:val="000000"/>
          <w:sz w:val="20"/>
          <w:szCs w:val="20"/>
        </w:rPr>
      </w:pPr>
      <w:r>
        <w:rPr>
          <w:b/>
          <w:i/>
          <w:color w:val="000000"/>
          <w:sz w:val="20"/>
          <w:szCs w:val="20"/>
        </w:rPr>
        <w:t xml:space="preserve">“Clave Única de Registro de Población (CURP). </w:t>
      </w:r>
      <w:r>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w:t>
      </w:r>
      <w:r>
        <w:rPr>
          <w:i/>
          <w:color w:val="000000"/>
          <w:sz w:val="20"/>
          <w:szCs w:val="20"/>
        </w:rPr>
        <w:lastRenderedPageBreak/>
        <w:t xml:space="preserve">información que distingue plenamente a una persona física del resto de los habitantes del país, por lo que la CURP está considerada como información confidencial.” </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00B30872" w:rsidRDefault="00B30872">
      <w:pPr>
        <w:spacing w:after="0" w:line="360" w:lineRule="auto"/>
        <w:rPr>
          <w:color w:val="000000"/>
        </w:rPr>
      </w:pPr>
    </w:p>
    <w:p w:rsidR="00B30872" w:rsidRDefault="00250ECF">
      <w:pPr>
        <w:numPr>
          <w:ilvl w:val="0"/>
          <w:numId w:val="8"/>
        </w:numPr>
        <w:spacing w:after="0" w:line="360" w:lineRule="auto"/>
        <w:rPr>
          <w:b/>
          <w:color w:val="000000"/>
        </w:rPr>
      </w:pPr>
      <w:r>
        <w:rPr>
          <w:b/>
          <w:color w:val="000000"/>
        </w:rPr>
        <w:t>Registro Federal de Contribuyentes (RFC)</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 xml:space="preserve">Ahora bien, la clave del Registro Federal de Contribuyentes, es el medio de control que tiene la Secretaría de Hacienda y Crédito Público, a través del Servicio de Administración </w:t>
      </w:r>
      <w:r>
        <w:rPr>
          <w:color w:val="000000"/>
        </w:rPr>
        <w:lastRenderedPageBreak/>
        <w:t>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 xml:space="preserve">Así, el Registro Federal de Contribuyentes, es un dato personal, ya que hace a las personas físicas </w:t>
      </w:r>
      <w:r>
        <w:t>identificadas</w:t>
      </w:r>
      <w:r>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t>involucradas</w:t>
      </w:r>
      <w:proofErr w:type="gramEnd"/>
      <w:r>
        <w:rPr>
          <w:color w:val="000000"/>
        </w:rPr>
        <w:t xml:space="preserve">, en el pago de estos, en el presente caso, del pago del Impuesto Sobre el Producto del Trabajo. </w:t>
      </w:r>
    </w:p>
    <w:p w:rsidR="00B30872" w:rsidRDefault="00B30872">
      <w:pPr>
        <w:spacing w:after="0" w:line="360" w:lineRule="auto"/>
        <w:rPr>
          <w:color w:val="000000"/>
        </w:rPr>
      </w:pPr>
    </w:p>
    <w:p w:rsidR="00B30872" w:rsidRDefault="00250ECF">
      <w:pPr>
        <w:spacing w:after="0" w:line="360" w:lineRule="auto"/>
        <w:rPr>
          <w:color w:val="000000"/>
        </w:rPr>
      </w:pPr>
      <w:r>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rsidR="00B30872" w:rsidRDefault="00B30872">
      <w:pPr>
        <w:spacing w:after="0" w:line="360" w:lineRule="auto"/>
        <w:rPr>
          <w:color w:val="000000"/>
        </w:rPr>
      </w:pPr>
    </w:p>
    <w:p w:rsidR="00B30872" w:rsidRDefault="00250ECF">
      <w:pPr>
        <w:spacing w:after="0" w:line="360" w:lineRule="auto"/>
        <w:ind w:left="567" w:right="567"/>
        <w:rPr>
          <w:i/>
          <w:color w:val="000000"/>
          <w:sz w:val="20"/>
          <w:szCs w:val="20"/>
        </w:rPr>
      </w:pPr>
      <w:r>
        <w:rPr>
          <w:b/>
          <w:i/>
          <w:color w:val="000000"/>
          <w:sz w:val="20"/>
          <w:szCs w:val="20"/>
        </w:rPr>
        <w:t>“Registro Federal de Contribuyentes (RFC) de personas físicas.</w:t>
      </w:r>
      <w:r>
        <w:rPr>
          <w:i/>
          <w:color w:val="000000"/>
          <w:sz w:val="20"/>
          <w:szCs w:val="20"/>
        </w:rPr>
        <w:t xml:space="preserve"> El RFC es una clave de carácter fiscal, única e irrepetible, que permite identificar al titular, su edad y fecha de nacimiento, por lo que es un dato personal de carácter confidencial.”</w:t>
      </w:r>
    </w:p>
    <w:p w:rsidR="00B30872" w:rsidRDefault="00B30872">
      <w:pPr>
        <w:spacing w:after="0" w:line="360" w:lineRule="auto"/>
        <w:ind w:left="567" w:right="567"/>
        <w:rPr>
          <w:i/>
          <w:color w:val="000000"/>
        </w:rPr>
      </w:pPr>
    </w:p>
    <w:p w:rsidR="00B30872" w:rsidRDefault="00250ECF">
      <w:pPr>
        <w:spacing w:after="0" w:line="360" w:lineRule="auto"/>
        <w:rPr>
          <w:color w:val="000000"/>
        </w:rPr>
      </w:pPr>
      <w:r>
        <w:rPr>
          <w:color w:val="000000"/>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Pr>
          <w:color w:val="000000"/>
        </w:rPr>
        <w:lastRenderedPageBreak/>
        <w:t>actualizar el supuesto normativo del artículo 143, fracción I, de la Ley de Transparencia y Acceso a la Información Pública del Estado de México y Municipios.</w:t>
      </w:r>
    </w:p>
    <w:p w:rsidR="00B30872" w:rsidRDefault="00B30872">
      <w:pPr>
        <w:spacing w:after="0" w:line="360" w:lineRule="auto"/>
      </w:pPr>
    </w:p>
    <w:p w:rsidR="00B30872" w:rsidRDefault="00250ECF">
      <w:pPr>
        <w:numPr>
          <w:ilvl w:val="0"/>
          <w:numId w:val="10"/>
        </w:numPr>
        <w:pBdr>
          <w:top w:val="nil"/>
          <w:left w:val="nil"/>
          <w:bottom w:val="nil"/>
          <w:right w:val="nil"/>
          <w:between w:val="nil"/>
        </w:pBdr>
        <w:spacing w:after="0" w:line="360" w:lineRule="auto"/>
        <w:rPr>
          <w:b/>
          <w:color w:val="000000"/>
        </w:rPr>
      </w:pPr>
      <w:r>
        <w:rPr>
          <w:b/>
          <w:color w:val="000000"/>
        </w:rPr>
        <w:t>Nombres de personas que no son servidores públicos</w:t>
      </w:r>
    </w:p>
    <w:p w:rsidR="00B30872" w:rsidRDefault="00B30872">
      <w:pPr>
        <w:spacing w:after="0" w:line="360" w:lineRule="auto"/>
        <w:ind w:right="-93"/>
      </w:pPr>
    </w:p>
    <w:p w:rsidR="00B30872" w:rsidRDefault="00250ECF">
      <w:pPr>
        <w:spacing w:after="0" w:line="360" w:lineRule="auto"/>
        <w:ind w:right="-93"/>
        <w:rPr>
          <w:b/>
        </w:rPr>
      </w:pPr>
      <w: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i/>
        </w:rPr>
        <w:t>per se</w:t>
      </w:r>
      <w:r>
        <w:t xml:space="preserve"> es un elemento que hace a una persona física identificada o identificable, por lo que, </w:t>
      </w:r>
      <w:r>
        <w:rPr>
          <w:b/>
        </w:rPr>
        <w:t>se considera un dato personal.</w:t>
      </w:r>
    </w:p>
    <w:p w:rsidR="00B30872" w:rsidRDefault="00B30872">
      <w:pPr>
        <w:spacing w:after="0" w:line="360" w:lineRule="auto"/>
      </w:pPr>
    </w:p>
    <w:p w:rsidR="00B30872" w:rsidRDefault="00250ECF">
      <w:pPr>
        <w:spacing w:after="0" w:line="360" w:lineRule="auto"/>
      </w:pPr>
      <w: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rsidR="00B30872" w:rsidRDefault="00B30872">
      <w:pPr>
        <w:spacing w:after="0" w:line="360" w:lineRule="auto"/>
      </w:pPr>
    </w:p>
    <w:p w:rsidR="00B30872" w:rsidRDefault="00250ECF">
      <w:pPr>
        <w:spacing w:after="0" w:line="360" w:lineRule="auto"/>
        <w:ind w:left="567" w:right="567"/>
        <w:rPr>
          <w:i/>
          <w:sz w:val="20"/>
          <w:szCs w:val="20"/>
        </w:rPr>
      </w:pPr>
      <w:r>
        <w:rPr>
          <w:b/>
          <w:i/>
          <w:sz w:val="20"/>
          <w:szCs w:val="20"/>
        </w:rPr>
        <w:t>“Nombre del titular de una licencia que no involucre el aprovechamiento de bienes, servicios y/o recursos públicos, constituye un dato personal susceptible de clasificar como confidencial.</w:t>
      </w:r>
      <w:r>
        <w:rPr>
          <w:i/>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w:t>
      </w:r>
      <w:r>
        <w:rPr>
          <w:i/>
          <w:sz w:val="20"/>
          <w:szCs w:val="20"/>
        </w:rPr>
        <w:lastRenderedPageBreak/>
        <w:t>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B30872" w:rsidRDefault="00B30872">
      <w:pPr>
        <w:spacing w:after="0" w:line="360" w:lineRule="auto"/>
        <w:ind w:right="-93"/>
      </w:pPr>
    </w:p>
    <w:p w:rsidR="00B30872" w:rsidRDefault="00250ECF">
      <w:pPr>
        <w:spacing w:after="0" w:line="360" w:lineRule="auto"/>
      </w:pPr>
      <w:r>
        <w:t>Con base en lo anterior, procede su eliminación de las versiones públicas, pues actualiza el supuesto previsto en el artículo 143 fracción I de la Ley de Transparencia y Acceso a la Información Pública del Estado de México y Municipios.</w:t>
      </w:r>
    </w:p>
    <w:p w:rsidR="00B30872" w:rsidRDefault="00B30872">
      <w:pPr>
        <w:spacing w:after="0" w:line="360" w:lineRule="auto"/>
        <w:rPr>
          <w:color w:val="000000"/>
        </w:rPr>
      </w:pPr>
    </w:p>
    <w:p w:rsidR="00B30872" w:rsidRDefault="00250ECF">
      <w:pPr>
        <w:spacing w:after="0" w:line="360" w:lineRule="auto"/>
        <w:ind w:right="-28"/>
        <w:rPr>
          <w:color w:val="000000"/>
        </w:rPr>
      </w:pPr>
      <w:r>
        <w:t>Por lo que, para atender el requerimiento deberá proporcionar los documentos solicitados en versión pública; p</w:t>
      </w:r>
      <w:r>
        <w:rPr>
          <w:color w:val="000000"/>
        </w:rPr>
        <w:t xml:space="preserve">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w:t>
      </w:r>
      <w:r>
        <w:rPr>
          <w:color w:val="000000"/>
        </w:rPr>
        <w:lastRenderedPageBreak/>
        <w:t>clasificación de manera enunciativa más no limitativa los datos previamente señalados, fundando y motivando la clasificación.</w:t>
      </w:r>
    </w:p>
    <w:p w:rsidR="00B30872" w:rsidRDefault="00B30872">
      <w:pPr>
        <w:spacing w:after="0" w:line="360" w:lineRule="auto"/>
      </w:pPr>
    </w:p>
    <w:p w:rsidR="00B30872" w:rsidRDefault="00250ECF">
      <w:pPr>
        <w:pStyle w:val="Ttulo2"/>
        <w:spacing w:before="0" w:after="0" w:line="360" w:lineRule="auto"/>
        <w:rPr>
          <w:b w:val="0"/>
          <w:color w:val="000000"/>
          <w:sz w:val="22"/>
          <w:szCs w:val="22"/>
        </w:rPr>
      </w:pPr>
      <w:bookmarkStart w:id="27" w:name="_heading=h.18eej2pslqrt" w:colFirst="0" w:colLast="0"/>
      <w:bookmarkStart w:id="28" w:name="_Toc210916469"/>
      <w:bookmarkEnd w:id="27"/>
      <w:r>
        <w:rPr>
          <w:color w:val="000000"/>
          <w:sz w:val="22"/>
          <w:szCs w:val="22"/>
        </w:rPr>
        <w:t>SEXTO. Decisión</w:t>
      </w:r>
      <w:bookmarkEnd w:id="28"/>
    </w:p>
    <w:p w:rsidR="00B30872" w:rsidRDefault="00B30872">
      <w:pPr>
        <w:spacing w:after="0" w:line="360" w:lineRule="auto"/>
        <w:rPr>
          <w:b/>
        </w:rPr>
      </w:pPr>
    </w:p>
    <w:p w:rsidR="00B30872" w:rsidRDefault="00250ECF">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MODIFICAR</w:t>
      </w:r>
      <w:r>
        <w:t xml:space="preserve"> la respuesta otorgada por el Sujeto Obligado a la solicitud de información 00122/OASNAUCAL/IP/2025, a efecto de que entregue, en versión pública, la información faltante.</w:t>
      </w:r>
    </w:p>
    <w:p w:rsidR="00B30872" w:rsidRDefault="00B30872">
      <w:pPr>
        <w:spacing w:after="0" w:line="360" w:lineRule="auto"/>
      </w:pPr>
    </w:p>
    <w:p w:rsidR="00B30872" w:rsidRDefault="00250ECF">
      <w:pPr>
        <w:spacing w:after="0" w:line="360" w:lineRule="auto"/>
        <w:rPr>
          <w:b/>
        </w:rPr>
      </w:pPr>
      <w:r>
        <w:rPr>
          <w:b/>
        </w:rPr>
        <w:t>Términos de la Resolución para conocimiento del Particular</w:t>
      </w:r>
    </w:p>
    <w:p w:rsidR="00B30872" w:rsidRDefault="00B30872">
      <w:pPr>
        <w:spacing w:after="0" w:line="360" w:lineRule="auto"/>
        <w:rPr>
          <w:b/>
        </w:rPr>
      </w:pPr>
    </w:p>
    <w:p w:rsidR="00B30872" w:rsidRDefault="00250ECF">
      <w:pPr>
        <w:spacing w:after="0" w:line="360" w:lineRule="auto"/>
      </w:pPr>
      <w:bookmarkStart w:id="29" w:name="_heading=h.1fob9te" w:colFirst="0" w:colLast="0"/>
      <w:bookmarkEnd w:id="29"/>
      <w:r>
        <w:t>Se le hace del conocimiento a la persona Recurrente que, en el presente asunto, se le da la razón, pues el Sujeto Obligado, en respuesta, si bien proporcionó un concentrado de los oficios no los entregó y por tanto, procede su entrega.</w:t>
      </w:r>
    </w:p>
    <w:p w:rsidR="00B30872" w:rsidRDefault="00B30872">
      <w:pPr>
        <w:spacing w:after="0" w:line="360" w:lineRule="auto"/>
      </w:pPr>
    </w:p>
    <w:p w:rsidR="00B30872" w:rsidRDefault="00250ECF">
      <w:pPr>
        <w:spacing w:after="0" w:line="360" w:lineRule="auto"/>
        <w:ind w:right="-28"/>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B30872" w:rsidRDefault="00B30872">
      <w:pPr>
        <w:spacing w:after="0" w:line="360" w:lineRule="auto"/>
      </w:pPr>
    </w:p>
    <w:p w:rsidR="00B30872" w:rsidRDefault="00250ECF">
      <w:pPr>
        <w:spacing w:after="0" w:line="360" w:lineRule="auto"/>
      </w:pPr>
      <w:r>
        <w:t>Por lo expuesto y fundado, este Pleno:</w:t>
      </w:r>
    </w:p>
    <w:p w:rsidR="00B30872" w:rsidRDefault="00B30872">
      <w:pPr>
        <w:spacing w:after="0" w:line="360" w:lineRule="auto"/>
      </w:pPr>
    </w:p>
    <w:p w:rsidR="00B30872" w:rsidRDefault="00250ECF">
      <w:pPr>
        <w:pStyle w:val="Ttulo1"/>
        <w:spacing w:before="0" w:after="0" w:line="360" w:lineRule="auto"/>
        <w:jc w:val="center"/>
        <w:rPr>
          <w:b w:val="0"/>
          <w:color w:val="000000"/>
          <w:sz w:val="22"/>
          <w:szCs w:val="22"/>
        </w:rPr>
      </w:pPr>
      <w:bookmarkStart w:id="30" w:name="_heading=h.7385l03n7sae" w:colFirst="0" w:colLast="0"/>
      <w:bookmarkStart w:id="31" w:name="_Toc210916470"/>
      <w:bookmarkEnd w:id="30"/>
      <w:r>
        <w:rPr>
          <w:color w:val="000000"/>
          <w:sz w:val="22"/>
          <w:szCs w:val="22"/>
        </w:rPr>
        <w:lastRenderedPageBreak/>
        <w:t>R E S U E L V E</w:t>
      </w:r>
      <w:bookmarkEnd w:id="31"/>
    </w:p>
    <w:p w:rsidR="00B30872" w:rsidRDefault="00B30872">
      <w:pPr>
        <w:spacing w:after="0" w:line="360" w:lineRule="auto"/>
      </w:pPr>
    </w:p>
    <w:p w:rsidR="00B30872" w:rsidRDefault="00250ECF">
      <w:pPr>
        <w:spacing w:after="0" w:line="360" w:lineRule="auto"/>
      </w:pPr>
      <w:r>
        <w:rPr>
          <w:b/>
        </w:rPr>
        <w:t xml:space="preserve">PRIMERO. </w:t>
      </w:r>
      <w:r>
        <w:t xml:space="preserve">Se </w:t>
      </w:r>
      <w:r>
        <w:rPr>
          <w:b/>
        </w:rPr>
        <w:t xml:space="preserve">MODIFICA </w:t>
      </w:r>
      <w:r>
        <w:t>la respuesta entregada por el Organismo Público Descentralizado para la Prestación de Los Servicios de Agua Potable Alcantarillado y Saneamiento del Municipio de Naucalpan de Juárez, a la solicitud de información 00122/OASNAUCAL/IP/2025</w:t>
      </w:r>
      <w:r>
        <w:rPr>
          <w:color w:val="000000"/>
        </w:rPr>
        <w:t>,</w:t>
      </w:r>
      <w:r>
        <w:t xml:space="preserve"> por resultar </w:t>
      </w:r>
      <w:r>
        <w:rPr>
          <w:b/>
        </w:rPr>
        <w:t xml:space="preserve">FUNDADAS </w:t>
      </w:r>
      <w:r>
        <w:t>las razones o motivos de inconformidad hechos valer por la persona Recurrente, en términos de los considerandos QUINTO y SEXTO de la presente Resolución.</w:t>
      </w:r>
    </w:p>
    <w:p w:rsidR="00B30872" w:rsidRDefault="00B30872">
      <w:pPr>
        <w:spacing w:after="0" w:line="360" w:lineRule="auto"/>
      </w:pPr>
    </w:p>
    <w:p w:rsidR="00B30872" w:rsidRDefault="00250ECF">
      <w:pPr>
        <w:spacing w:after="0" w:line="360" w:lineRule="auto"/>
        <w:rPr>
          <w:color w:val="000000"/>
        </w:rPr>
      </w:pPr>
      <w:r>
        <w:rPr>
          <w:b/>
        </w:rPr>
        <w:t xml:space="preserve">SEGUNDO. </w:t>
      </w:r>
      <w:r>
        <w:t xml:space="preserve">Se </w:t>
      </w:r>
      <w:r>
        <w:rPr>
          <w:b/>
        </w:rPr>
        <w:t>ORDENA</w:t>
      </w:r>
      <w:r>
        <w:t xml:space="preserve"> al Sujeto Obligado</w:t>
      </w:r>
      <w:r>
        <w:rPr>
          <w:b/>
        </w:rPr>
        <w:t xml:space="preserve">, </w:t>
      </w:r>
      <w:r>
        <w:t xml:space="preserve">a efecto de que previa búsqueda exhaustiva y razonable en los archivos de las unidades administrativas competentes, entregue a través del Sistema de Acceso a la Información Mexiquense (SAIMEX), en versión pública, </w:t>
      </w:r>
      <w:r>
        <w:rPr>
          <w:color w:val="000000"/>
        </w:rPr>
        <w:t>lo siguiente:</w:t>
      </w:r>
    </w:p>
    <w:p w:rsidR="00B30872" w:rsidRDefault="00B30872">
      <w:pPr>
        <w:pBdr>
          <w:top w:val="nil"/>
          <w:left w:val="nil"/>
          <w:bottom w:val="nil"/>
          <w:right w:val="nil"/>
          <w:between w:val="nil"/>
        </w:pBdr>
        <w:spacing w:after="0" w:line="360" w:lineRule="auto"/>
        <w:ind w:right="-30"/>
        <w:rPr>
          <w:color w:val="000000"/>
        </w:rPr>
      </w:pPr>
    </w:p>
    <w:p w:rsidR="00B30872" w:rsidRDefault="00250ECF">
      <w:pPr>
        <w:numPr>
          <w:ilvl w:val="0"/>
          <w:numId w:val="1"/>
        </w:numPr>
        <w:pBdr>
          <w:top w:val="nil"/>
          <w:left w:val="nil"/>
          <w:bottom w:val="nil"/>
          <w:right w:val="nil"/>
          <w:between w:val="nil"/>
        </w:pBdr>
        <w:spacing w:after="0" w:line="360" w:lineRule="auto"/>
        <w:rPr>
          <w:color w:val="000000"/>
        </w:rPr>
      </w:pPr>
      <w:r>
        <w:rPr>
          <w:color w:val="000000"/>
        </w:rPr>
        <w:t>Los oficios emitidos por la subgerencia de factibilidades del 1° de enero al 2 de junio de 2025.</w:t>
      </w:r>
    </w:p>
    <w:p w:rsidR="00B30872" w:rsidRDefault="00B30872">
      <w:pPr>
        <w:pBdr>
          <w:top w:val="nil"/>
          <w:left w:val="nil"/>
          <w:bottom w:val="nil"/>
          <w:right w:val="nil"/>
          <w:between w:val="nil"/>
        </w:pBdr>
        <w:spacing w:after="0" w:line="360" w:lineRule="auto"/>
        <w:rPr>
          <w:color w:val="000000"/>
        </w:rPr>
      </w:pPr>
    </w:p>
    <w:p w:rsidR="00B30872" w:rsidRDefault="00250ECF">
      <w:pPr>
        <w:spacing w:after="0" w:line="360" w:lineRule="auto"/>
      </w:pPr>
      <w:r>
        <w:t xml:space="preserve">Además, para el caso de requerir la entrega de la información en versión pública, deberá proporcionar el Acuerdo de Clasificación donde el Comité de Transparencia, confirme la eliminación de los datos clasificados, en términos del Considerando QUINTO, de conformidad con los artículos 49, fracciones II y VIII, 132, fracción II, de la Ley de Transparencia y Acceso a la Información Pública del Estado de México y Municipios. </w:t>
      </w:r>
    </w:p>
    <w:p w:rsidR="00B30872" w:rsidRDefault="00B30872">
      <w:pPr>
        <w:pBdr>
          <w:top w:val="nil"/>
          <w:left w:val="nil"/>
          <w:bottom w:val="nil"/>
          <w:right w:val="nil"/>
          <w:between w:val="nil"/>
        </w:pBdr>
        <w:spacing w:after="0" w:line="360" w:lineRule="auto"/>
        <w:rPr>
          <w:color w:val="000000"/>
        </w:rPr>
      </w:pPr>
    </w:p>
    <w:p w:rsidR="00B30872" w:rsidRDefault="00250ECF">
      <w:pPr>
        <w:spacing w:after="0" w:line="360" w:lineRule="auto"/>
      </w:pPr>
      <w:r>
        <w:lastRenderedPageBreak/>
        <w:t>En el supuesto que algunos de los oficios no obren en los archivos del Sujeto Obligado por haberse cancelado, bastará con que así lo haga del conocimiento de la parte Recurrente, de manera precisa y clara.</w:t>
      </w:r>
    </w:p>
    <w:p w:rsidR="00B30872" w:rsidRDefault="00B30872">
      <w:pPr>
        <w:spacing w:after="0" w:line="360" w:lineRule="auto"/>
        <w:ind w:right="-28"/>
      </w:pPr>
    </w:p>
    <w:p w:rsidR="00B30872" w:rsidRDefault="00250ECF">
      <w:pPr>
        <w:spacing w:after="0" w:line="360" w:lineRule="auto"/>
        <w:ind w:right="-28"/>
        <w:rPr>
          <w:b/>
        </w:rPr>
      </w:pPr>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B30872" w:rsidRDefault="00B30872">
      <w:pPr>
        <w:spacing w:after="0" w:line="360" w:lineRule="auto"/>
        <w:ind w:right="-28"/>
        <w:rPr>
          <w:color w:val="000000"/>
        </w:rPr>
      </w:pPr>
    </w:p>
    <w:p w:rsidR="00B30872" w:rsidRDefault="00250ECF">
      <w:pPr>
        <w:spacing w:after="0" w:line="360" w:lineRule="auto"/>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rsidR="00B30872" w:rsidRDefault="00B30872">
      <w:pPr>
        <w:spacing w:after="0" w:line="360" w:lineRule="auto"/>
        <w:rPr>
          <w:color w:val="000000"/>
        </w:rPr>
      </w:pPr>
    </w:p>
    <w:p w:rsidR="00B30872" w:rsidRDefault="00250ECF">
      <w:pPr>
        <w:spacing w:after="0" w:line="360" w:lineRule="auto"/>
        <w:rPr>
          <w:color w:val="000000"/>
        </w:rPr>
      </w:pPr>
      <w:r>
        <w:rPr>
          <w:b/>
          <w:color w:val="000000"/>
        </w:rPr>
        <w:t xml:space="preserve">CUARTO. </w:t>
      </w:r>
      <w:r>
        <w:rPr>
          <w:b/>
        </w:rPr>
        <w:t>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B30872" w:rsidRDefault="00B30872">
      <w:pPr>
        <w:spacing w:after="0" w:line="360" w:lineRule="auto"/>
      </w:pPr>
    </w:p>
    <w:p w:rsidR="00B30872" w:rsidRDefault="00250ECF">
      <w:pPr>
        <w:spacing w:after="0" w:line="360" w:lineRule="auto"/>
      </w:pPr>
      <w:r>
        <w:lastRenderedPageBreak/>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PROYECTOS CATALINA CAMARILLO ROSAS</w:t>
      </w:r>
      <w:r w:rsidR="00162FAB">
        <w:t>,</w:t>
      </w:r>
      <w:r>
        <w:t xml:space="preserve"> EN SUPLENCIA DEL SECRETARIO TÉCNICO DEL PLENO ALEXIS TAPIA RAMÍREZ.</w:t>
      </w:r>
    </w:p>
    <w:p w:rsidR="00B30872" w:rsidRDefault="00B30872">
      <w:pPr>
        <w:spacing w:after="0" w:line="360" w:lineRule="auto"/>
        <w:rPr>
          <w:color w:val="000000"/>
        </w:rPr>
      </w:pPr>
    </w:p>
    <w:p w:rsidR="00B30872" w:rsidRDefault="00B30872">
      <w:pPr>
        <w:spacing w:after="0" w:line="360" w:lineRule="auto"/>
      </w:pPr>
    </w:p>
    <w:p w:rsidR="00B30872" w:rsidRDefault="00B30872">
      <w:pPr>
        <w:spacing w:after="0" w:line="360" w:lineRule="auto"/>
      </w:pPr>
    </w:p>
    <w:p w:rsidR="00B30872" w:rsidRDefault="00B30872">
      <w:pPr>
        <w:spacing w:after="0" w:line="360" w:lineRule="auto"/>
        <w:rPr>
          <w:color w:val="000000"/>
        </w:rPr>
      </w:pPr>
    </w:p>
    <w:p w:rsidR="00B30872" w:rsidRDefault="00B30872">
      <w:pPr>
        <w:spacing w:after="0" w:line="360" w:lineRule="auto"/>
        <w:rPr>
          <w:color w:val="000000"/>
        </w:rPr>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tabs>
          <w:tab w:val="right" w:pos="8931"/>
        </w:tabs>
        <w:spacing w:after="0" w:line="360" w:lineRule="auto"/>
      </w:pPr>
    </w:p>
    <w:p w:rsidR="00B30872" w:rsidRDefault="00B30872">
      <w:pPr>
        <w:spacing w:after="0" w:line="360" w:lineRule="auto"/>
      </w:pPr>
    </w:p>
    <w:p w:rsidR="00B30872" w:rsidRDefault="00B30872">
      <w:pPr>
        <w:spacing w:after="0" w:line="360" w:lineRule="auto"/>
      </w:pPr>
    </w:p>
    <w:sectPr w:rsidR="00B30872">
      <w:headerReference w:type="even" r:id="rId20"/>
      <w:headerReference w:type="default" r:id="rId21"/>
      <w:footerReference w:type="even" r:id="rId22"/>
      <w:footerReference w:type="default" r:id="rId23"/>
      <w:headerReference w:type="first" r:id="rId24"/>
      <w:footerReference w:type="first" r:id="rId2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F97" w:rsidRDefault="00D10F97">
      <w:pPr>
        <w:spacing w:after="0" w:line="240" w:lineRule="auto"/>
      </w:pPr>
      <w:r>
        <w:separator/>
      </w:r>
    </w:p>
  </w:endnote>
  <w:endnote w:type="continuationSeparator" w:id="0">
    <w:p w:rsidR="00D10F97" w:rsidRDefault="00D10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872" w:rsidRDefault="00250EC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5506B">
      <w:rPr>
        <w:b/>
        <w:noProof/>
        <w:color w:val="000000"/>
        <w:sz w:val="24"/>
        <w:szCs w:val="24"/>
      </w:rPr>
      <w:t>43</w:t>
    </w:r>
    <w:r>
      <w:rPr>
        <w:b/>
        <w:color w:val="000000"/>
        <w:sz w:val="24"/>
        <w:szCs w:val="24"/>
      </w:rPr>
      <w:fldChar w:fldCharType="end"/>
    </w:r>
  </w:p>
  <w:p w:rsidR="00B30872" w:rsidRDefault="00B3087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872" w:rsidRDefault="00250EC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63366">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63366">
      <w:rPr>
        <w:b/>
        <w:noProof/>
        <w:color w:val="000000"/>
        <w:sz w:val="24"/>
        <w:szCs w:val="24"/>
      </w:rPr>
      <w:t>43</w:t>
    </w:r>
    <w:r>
      <w:rPr>
        <w:b/>
        <w:color w:val="000000"/>
        <w:sz w:val="24"/>
        <w:szCs w:val="24"/>
      </w:rPr>
      <w:fldChar w:fldCharType="end"/>
    </w:r>
  </w:p>
  <w:p w:rsidR="00B30872" w:rsidRDefault="00B3087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872" w:rsidRDefault="00250EC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6336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63366">
      <w:rPr>
        <w:b/>
        <w:noProof/>
        <w:color w:val="000000"/>
        <w:sz w:val="24"/>
        <w:szCs w:val="24"/>
      </w:rPr>
      <w:t>43</w:t>
    </w:r>
    <w:r>
      <w:rPr>
        <w:b/>
        <w:color w:val="000000"/>
        <w:sz w:val="24"/>
        <w:szCs w:val="24"/>
      </w:rPr>
      <w:fldChar w:fldCharType="end"/>
    </w:r>
  </w:p>
  <w:p w:rsidR="00B30872" w:rsidRDefault="00B3087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F97" w:rsidRDefault="00D10F97">
      <w:pPr>
        <w:spacing w:after="0" w:line="240" w:lineRule="auto"/>
      </w:pPr>
      <w:r>
        <w:separator/>
      </w:r>
    </w:p>
  </w:footnote>
  <w:footnote w:type="continuationSeparator" w:id="0">
    <w:p w:rsidR="00D10F97" w:rsidRDefault="00D10F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872" w:rsidRDefault="00B30872">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30872">
      <w:trPr>
        <w:trHeight w:val="132"/>
      </w:trPr>
      <w:tc>
        <w:tcPr>
          <w:tcW w:w="0" w:type="auto"/>
        </w:tcPr>
        <w:p w:rsidR="00B30872" w:rsidRDefault="00250ECF">
          <w:pPr>
            <w:tabs>
              <w:tab w:val="right" w:pos="8838"/>
            </w:tabs>
            <w:ind w:right="-105"/>
            <w:rPr>
              <w:b/>
            </w:rPr>
          </w:pPr>
          <w:r>
            <w:rPr>
              <w:b/>
            </w:rPr>
            <w:t>Recurso de Revisión:</w:t>
          </w:r>
        </w:p>
      </w:tc>
      <w:tc>
        <w:tcPr>
          <w:tcW w:w="0" w:type="auto"/>
        </w:tcPr>
        <w:p w:rsidR="00B30872" w:rsidRDefault="00250ECF">
          <w:pPr>
            <w:tabs>
              <w:tab w:val="right" w:pos="8838"/>
            </w:tabs>
            <w:ind w:left="-28" w:right="-32"/>
          </w:pPr>
          <w:r>
            <w:t>03846/INFOEM/IP/RR/2020</w:t>
          </w:r>
        </w:p>
      </w:tc>
    </w:tr>
    <w:tr w:rsidR="00B30872">
      <w:trPr>
        <w:trHeight w:val="261"/>
      </w:trPr>
      <w:tc>
        <w:tcPr>
          <w:tcW w:w="0" w:type="auto"/>
        </w:tcPr>
        <w:p w:rsidR="00B30872" w:rsidRDefault="00250ECF">
          <w:pPr>
            <w:tabs>
              <w:tab w:val="right" w:pos="8838"/>
            </w:tabs>
            <w:ind w:right="-105"/>
            <w:rPr>
              <w:b/>
            </w:rPr>
          </w:pPr>
          <w:r>
            <w:rPr>
              <w:b/>
            </w:rPr>
            <w:t>Sujeto Obligado:</w:t>
          </w:r>
        </w:p>
      </w:tc>
      <w:tc>
        <w:tcPr>
          <w:tcW w:w="0" w:type="auto"/>
        </w:tcPr>
        <w:p w:rsidR="00B30872" w:rsidRDefault="00250ECF">
          <w:pPr>
            <w:tabs>
              <w:tab w:val="right" w:pos="8838"/>
            </w:tabs>
            <w:ind w:right="-32"/>
          </w:pPr>
          <w:r>
            <w:t xml:space="preserve">Ayuntamiento de </w:t>
          </w:r>
          <w:proofErr w:type="spellStart"/>
          <w:r>
            <w:t>Temascalcingo</w:t>
          </w:r>
          <w:proofErr w:type="spellEnd"/>
        </w:p>
      </w:tc>
    </w:tr>
    <w:tr w:rsidR="00B30872">
      <w:trPr>
        <w:trHeight w:val="261"/>
      </w:trPr>
      <w:tc>
        <w:tcPr>
          <w:tcW w:w="0" w:type="auto"/>
        </w:tcPr>
        <w:p w:rsidR="00B30872" w:rsidRDefault="00250ECF">
          <w:pPr>
            <w:tabs>
              <w:tab w:val="right" w:pos="8838"/>
            </w:tabs>
            <w:ind w:right="-105"/>
            <w:rPr>
              <w:b/>
            </w:rPr>
          </w:pPr>
          <w:r>
            <w:rPr>
              <w:b/>
            </w:rPr>
            <w:t>Comisionado Ponente:</w:t>
          </w:r>
        </w:p>
      </w:tc>
      <w:tc>
        <w:tcPr>
          <w:tcW w:w="0" w:type="auto"/>
        </w:tcPr>
        <w:p w:rsidR="00B30872" w:rsidRDefault="00250ECF">
          <w:pPr>
            <w:tabs>
              <w:tab w:val="right" w:pos="8838"/>
            </w:tabs>
            <w:ind w:right="-32"/>
            <w:rPr>
              <w:b/>
            </w:rPr>
          </w:pPr>
          <w:r>
            <w:t>Luis Gustavo Parra Noriega</w:t>
          </w:r>
        </w:p>
      </w:tc>
    </w:tr>
  </w:tbl>
  <w:p w:rsidR="00B30872" w:rsidRDefault="00D10F97">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872" w:rsidRDefault="00D10F97">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4"/>
          <w10:wrap anchorx="margin" anchory="margin"/>
        </v:shape>
      </w:pict>
    </w:r>
  </w:p>
  <w:tbl>
    <w:tblPr>
      <w:tblStyle w:val="a0"/>
      <w:tblW w:w="6414"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410"/>
      <w:gridCol w:w="4004"/>
    </w:tblGrid>
    <w:tr w:rsidR="00B30872">
      <w:trPr>
        <w:trHeight w:val="146"/>
      </w:trPr>
      <w:tc>
        <w:tcPr>
          <w:tcW w:w="2410" w:type="dxa"/>
          <w:vAlign w:val="center"/>
        </w:tcPr>
        <w:p w:rsidR="00B30872" w:rsidRDefault="00B30872">
          <w:pPr>
            <w:tabs>
              <w:tab w:val="right" w:pos="8838"/>
            </w:tabs>
            <w:ind w:left="-108" w:right="-105"/>
            <w:jc w:val="left"/>
            <w:rPr>
              <w:b/>
            </w:rPr>
          </w:pPr>
        </w:p>
        <w:p w:rsidR="00B30872" w:rsidRDefault="00250ECF">
          <w:pPr>
            <w:tabs>
              <w:tab w:val="right" w:pos="8838"/>
            </w:tabs>
            <w:ind w:left="-108" w:right="-105"/>
            <w:jc w:val="left"/>
            <w:rPr>
              <w:b/>
            </w:rPr>
          </w:pPr>
          <w:r>
            <w:rPr>
              <w:b/>
            </w:rPr>
            <w:t>Recurso de Revisión:</w:t>
          </w:r>
        </w:p>
      </w:tc>
      <w:tc>
        <w:tcPr>
          <w:tcW w:w="4004" w:type="dxa"/>
        </w:tcPr>
        <w:p w:rsidR="00B30872" w:rsidRDefault="00B30872">
          <w:pPr>
            <w:tabs>
              <w:tab w:val="right" w:pos="8838"/>
            </w:tabs>
            <w:ind w:right="57"/>
          </w:pPr>
        </w:p>
        <w:p w:rsidR="00B30872" w:rsidRDefault="00250ECF">
          <w:pPr>
            <w:tabs>
              <w:tab w:val="right" w:pos="8838"/>
            </w:tabs>
            <w:ind w:right="57"/>
          </w:pPr>
          <w:r>
            <w:t>06831/INFOEM/IP/RR/2025</w:t>
          </w:r>
        </w:p>
      </w:tc>
    </w:tr>
    <w:tr w:rsidR="00B30872">
      <w:trPr>
        <w:trHeight w:val="289"/>
      </w:trPr>
      <w:tc>
        <w:tcPr>
          <w:tcW w:w="2410" w:type="dxa"/>
        </w:tcPr>
        <w:p w:rsidR="00B30872" w:rsidRDefault="00250ECF">
          <w:pPr>
            <w:tabs>
              <w:tab w:val="right" w:pos="8838"/>
            </w:tabs>
            <w:ind w:left="-108" w:right="-105"/>
            <w:rPr>
              <w:b/>
            </w:rPr>
          </w:pPr>
          <w:r>
            <w:rPr>
              <w:b/>
            </w:rPr>
            <w:t>Sujeto Obligado:</w:t>
          </w:r>
        </w:p>
      </w:tc>
      <w:tc>
        <w:tcPr>
          <w:tcW w:w="4004" w:type="dxa"/>
        </w:tcPr>
        <w:p w:rsidR="00B30872" w:rsidRDefault="00250ECF">
          <w:pPr>
            <w:tabs>
              <w:tab w:val="right" w:pos="8838"/>
            </w:tabs>
          </w:pPr>
          <w:r>
            <w:t>Organismo Público Descentralizado para la Prestación de Los Servicios de Agua Potable Alcantarillado y Saneamiento del Municipio de Naucalpan de Juárez</w:t>
          </w:r>
        </w:p>
      </w:tc>
    </w:tr>
    <w:tr w:rsidR="00B30872">
      <w:trPr>
        <w:trHeight w:val="289"/>
      </w:trPr>
      <w:tc>
        <w:tcPr>
          <w:tcW w:w="2410" w:type="dxa"/>
        </w:tcPr>
        <w:p w:rsidR="00B30872" w:rsidRDefault="00250ECF">
          <w:pPr>
            <w:tabs>
              <w:tab w:val="right" w:pos="8838"/>
            </w:tabs>
            <w:ind w:left="-108" w:right="-105"/>
            <w:rPr>
              <w:b/>
            </w:rPr>
          </w:pPr>
          <w:r>
            <w:rPr>
              <w:b/>
            </w:rPr>
            <w:t>Comisionado Ponente:</w:t>
          </w:r>
        </w:p>
      </w:tc>
      <w:tc>
        <w:tcPr>
          <w:tcW w:w="4004" w:type="dxa"/>
        </w:tcPr>
        <w:p w:rsidR="00B30872" w:rsidRDefault="00250ECF">
          <w:pPr>
            <w:tabs>
              <w:tab w:val="right" w:pos="8838"/>
            </w:tabs>
            <w:ind w:right="-170"/>
          </w:pPr>
          <w:r>
            <w:t>Luis Gustavo Parra Noriega</w:t>
          </w:r>
        </w:p>
        <w:p w:rsidR="00B30872" w:rsidRDefault="00B30872">
          <w:pPr>
            <w:tabs>
              <w:tab w:val="right" w:pos="8838"/>
            </w:tabs>
            <w:ind w:right="-170"/>
            <w:rPr>
              <w:b/>
            </w:rPr>
          </w:pPr>
        </w:p>
      </w:tc>
    </w:tr>
  </w:tbl>
  <w:p w:rsidR="00B30872" w:rsidRDefault="00B3087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872" w:rsidRDefault="00B30872">
    <w:pPr>
      <w:widowControl w:val="0"/>
      <w:pBdr>
        <w:top w:val="nil"/>
        <w:left w:val="nil"/>
        <w:bottom w:val="nil"/>
        <w:right w:val="nil"/>
        <w:between w:val="nil"/>
      </w:pBdr>
      <w:spacing w:after="0" w:line="276" w:lineRule="auto"/>
      <w:jc w:val="left"/>
      <w:rPr>
        <w:color w:val="000000"/>
      </w:rPr>
    </w:pPr>
  </w:p>
  <w:tbl>
    <w:tblPr>
      <w:tblStyle w:val="a1"/>
      <w:tblW w:w="6605"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552"/>
      <w:gridCol w:w="4053"/>
    </w:tblGrid>
    <w:tr w:rsidR="00B30872">
      <w:trPr>
        <w:trHeight w:val="142"/>
      </w:trPr>
      <w:tc>
        <w:tcPr>
          <w:tcW w:w="2552" w:type="dxa"/>
        </w:tcPr>
        <w:p w:rsidR="00B30872" w:rsidRDefault="00250ECF">
          <w:pPr>
            <w:tabs>
              <w:tab w:val="right" w:pos="8838"/>
            </w:tabs>
            <w:ind w:right="-105"/>
            <w:rPr>
              <w:b/>
            </w:rPr>
          </w:pPr>
          <w:r>
            <w:rPr>
              <w:b/>
            </w:rPr>
            <w:t>Recurso de Revisión:</w:t>
          </w:r>
        </w:p>
      </w:tc>
      <w:tc>
        <w:tcPr>
          <w:tcW w:w="4053" w:type="dxa"/>
        </w:tcPr>
        <w:p w:rsidR="00B30872" w:rsidRDefault="00250ECF">
          <w:r>
            <w:t>06831/INFOEM/IP/RR/2025</w:t>
          </w:r>
        </w:p>
      </w:tc>
    </w:tr>
    <w:tr w:rsidR="00B30872">
      <w:trPr>
        <w:trHeight w:val="142"/>
      </w:trPr>
      <w:tc>
        <w:tcPr>
          <w:tcW w:w="2552" w:type="dxa"/>
          <w:shd w:val="clear" w:color="auto" w:fill="auto"/>
        </w:tcPr>
        <w:p w:rsidR="00B30872" w:rsidRDefault="00250ECF">
          <w:pPr>
            <w:tabs>
              <w:tab w:val="left" w:pos="1875"/>
            </w:tabs>
            <w:ind w:right="-105"/>
            <w:rPr>
              <w:b/>
            </w:rPr>
          </w:pPr>
          <w:r>
            <w:rPr>
              <w:b/>
            </w:rPr>
            <w:t>Recurrente:</w:t>
          </w:r>
          <w:r>
            <w:rPr>
              <w:b/>
            </w:rPr>
            <w:tab/>
          </w:r>
        </w:p>
      </w:tc>
      <w:tc>
        <w:tcPr>
          <w:tcW w:w="4053" w:type="dxa"/>
          <w:shd w:val="clear" w:color="auto" w:fill="auto"/>
        </w:tcPr>
        <w:p w:rsidR="00B30872" w:rsidRDefault="00163366">
          <w:pPr>
            <w:tabs>
              <w:tab w:val="right" w:pos="8838"/>
            </w:tabs>
            <w:ind w:right="-250"/>
          </w:pPr>
          <w:r w:rsidRPr="00163366">
            <w:rPr>
              <w:highlight w:val="black"/>
            </w:rPr>
            <w:t>XXXXXXXXXXX</w:t>
          </w:r>
        </w:p>
      </w:tc>
    </w:tr>
    <w:tr w:rsidR="00B30872">
      <w:trPr>
        <w:trHeight w:val="282"/>
      </w:trPr>
      <w:tc>
        <w:tcPr>
          <w:tcW w:w="2552" w:type="dxa"/>
        </w:tcPr>
        <w:p w:rsidR="00B30872" w:rsidRDefault="00250ECF">
          <w:pPr>
            <w:tabs>
              <w:tab w:val="right" w:pos="8838"/>
            </w:tabs>
            <w:ind w:right="-105"/>
            <w:rPr>
              <w:b/>
            </w:rPr>
          </w:pPr>
          <w:r>
            <w:rPr>
              <w:b/>
            </w:rPr>
            <w:t>Sujeto Obligado:</w:t>
          </w:r>
        </w:p>
      </w:tc>
      <w:tc>
        <w:tcPr>
          <w:tcW w:w="4053" w:type="dxa"/>
        </w:tcPr>
        <w:p w:rsidR="00B30872" w:rsidRDefault="00250ECF">
          <w:r>
            <w:t>Organismo Público Descentralizado para la Prestación de Los Servicios de Agua Potable Alcantarillado y Saneamiento del Municipio de Naucalpan de Juárez</w:t>
          </w:r>
        </w:p>
      </w:tc>
    </w:tr>
    <w:tr w:rsidR="00B30872">
      <w:trPr>
        <w:trHeight w:val="282"/>
      </w:trPr>
      <w:tc>
        <w:tcPr>
          <w:tcW w:w="2552" w:type="dxa"/>
        </w:tcPr>
        <w:p w:rsidR="00B30872" w:rsidRDefault="00250ECF">
          <w:pPr>
            <w:tabs>
              <w:tab w:val="right" w:pos="8838"/>
            </w:tabs>
            <w:ind w:right="-105"/>
            <w:rPr>
              <w:b/>
            </w:rPr>
          </w:pPr>
          <w:r>
            <w:rPr>
              <w:b/>
            </w:rPr>
            <w:t>Comisionado Ponente:</w:t>
          </w:r>
        </w:p>
      </w:tc>
      <w:tc>
        <w:tcPr>
          <w:tcW w:w="4053" w:type="dxa"/>
        </w:tcPr>
        <w:p w:rsidR="00B30872" w:rsidRDefault="00250ECF">
          <w:pPr>
            <w:tabs>
              <w:tab w:val="right" w:pos="8838"/>
            </w:tabs>
            <w:ind w:right="-32"/>
            <w:rPr>
              <w:b/>
            </w:rPr>
          </w:pPr>
          <w:r>
            <w:t>Luis Gustavo Parra Noriega</w:t>
          </w:r>
        </w:p>
      </w:tc>
    </w:tr>
  </w:tbl>
  <w:p w:rsidR="00B30872" w:rsidRDefault="00D10F97">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061C"/>
    <w:multiLevelType w:val="multilevel"/>
    <w:tmpl w:val="0C6AB7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027DB1"/>
    <w:multiLevelType w:val="multilevel"/>
    <w:tmpl w:val="93024F80"/>
    <w:lvl w:ilvl="0">
      <w:start w:val="2"/>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6D4C6F"/>
    <w:multiLevelType w:val="multilevel"/>
    <w:tmpl w:val="FB6CE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C64A4F"/>
    <w:multiLevelType w:val="multilevel"/>
    <w:tmpl w:val="D6504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F567E9"/>
    <w:multiLevelType w:val="multilevel"/>
    <w:tmpl w:val="60089FC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415E27"/>
    <w:multiLevelType w:val="multilevel"/>
    <w:tmpl w:val="7FFED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2F3CF4"/>
    <w:multiLevelType w:val="multilevel"/>
    <w:tmpl w:val="1C1CC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1419B5"/>
    <w:multiLevelType w:val="multilevel"/>
    <w:tmpl w:val="AF0CD4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4F2458"/>
    <w:multiLevelType w:val="multilevel"/>
    <w:tmpl w:val="E638A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DC3934"/>
    <w:multiLevelType w:val="multilevel"/>
    <w:tmpl w:val="880E0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16419D"/>
    <w:multiLevelType w:val="multilevel"/>
    <w:tmpl w:val="D472C5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0"/>
  </w:num>
  <w:num w:numId="3">
    <w:abstractNumId w:val="8"/>
  </w:num>
  <w:num w:numId="4">
    <w:abstractNumId w:val="6"/>
  </w:num>
  <w:num w:numId="5">
    <w:abstractNumId w:val="5"/>
  </w:num>
  <w:num w:numId="6">
    <w:abstractNumId w:val="3"/>
  </w:num>
  <w:num w:numId="7">
    <w:abstractNumId w:val="7"/>
  </w:num>
  <w:num w:numId="8">
    <w:abstractNumId w:val="4"/>
  </w:num>
  <w:num w:numId="9">
    <w:abstractNumId w:val="2"/>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872"/>
    <w:rsid w:val="0015506B"/>
    <w:rsid w:val="00162FAB"/>
    <w:rsid w:val="00163366"/>
    <w:rsid w:val="00250ECF"/>
    <w:rsid w:val="00367087"/>
    <w:rsid w:val="00870C37"/>
    <w:rsid w:val="009A1B6A"/>
    <w:rsid w:val="00AB344E"/>
    <w:rsid w:val="00B30872"/>
    <w:rsid w:val="00CE0729"/>
    <w:rsid w:val="00D10F97"/>
    <w:rsid w:val="00E418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AEE786D-9CFC-4E23-B68E-8F453B38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consultas.curp.gob.mx/CurpSP/html/informacionecurpPS.html"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pomex.org.mx/ipome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pomex.org.mx/ipomex/"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ipomex.org.mx/ipomex/" TargetMode="External"/><Relationship Id="rId19" Type="http://schemas.openxmlformats.org/officeDocument/2006/relationships/hyperlink" Target="https://www.gob.mx/segob/renapo/acciones-y-programas/clave-unica-de-registro-de-poblacion-curp-14222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ipomex.org.mx/ipomex/"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iYvC8xQVXZJK/JLNI13RQTbNUA==">CgMxLjAyDmgueTBkMWswbGtyNzJ6Mg5oLjFtb3VvaTJpbjRxMzIOaC5zZGJyN2plcXo2cnAyDmguM3N6bmd5cG85NGc2Mg5oLjd2OHJpZzRuMGplNTIOaC5xMjd6M3lhanF3ZDYyDmgudjZ4bjExN3h2dnQzMg5oLmZjb251YjdtOGxydzIJaC4zMGowemxsMg5oLmM4OXFwNmxsNjV5bzIOaC5hNmQzNHUxMjM5NHUyDmguajdmM204a242bzdvMg5oLmhqd2F2NWYwN21qcTIOaC51cnY5NG5wMWlhdngyDmguaHR4bzVmOHFiODRkMg5oLjE4ZWVqMnBzbHFydDIJaC4xZm9iOXRlMg5oLjczODVsMDNuN3NhZTgAciExbFFXTmZPYTJCeV9HMDJHOFBMcWRxQnFQUE5OSHVVW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F19A08-6536-4CAC-86BF-6D1FD17A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9243</Words>
  <Characters>50837</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2025-10-09T23:34:00Z</cp:lastPrinted>
  <dcterms:created xsi:type="dcterms:W3CDTF">2025-10-09T23:34:00Z</dcterms:created>
  <dcterms:modified xsi:type="dcterms:W3CDTF">2025-10-31T00:12:00Z</dcterms:modified>
</cp:coreProperties>
</file>