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1D855257"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7B621F">
        <w:rPr>
          <w:rFonts w:ascii="Palatino Linotype" w:eastAsia="Times New Roman" w:hAnsi="Palatino Linotype" w:cs="Arial"/>
          <w:color w:val="000000"/>
          <w:sz w:val="24"/>
          <w:szCs w:val="24"/>
          <w:lang w:eastAsia="es-MX"/>
        </w:rPr>
        <w:t xml:space="preserve">quince de enero de dos mil veinticinco. </w:t>
      </w:r>
      <w:r w:rsidR="0006723B">
        <w:rPr>
          <w:rFonts w:ascii="Palatino Linotype" w:eastAsia="Times New Roman" w:hAnsi="Palatino Linotype" w:cs="Arial"/>
          <w:color w:val="000000"/>
          <w:sz w:val="24"/>
          <w:szCs w:val="24"/>
          <w:lang w:eastAsia="es-MX"/>
        </w:rPr>
        <w:t xml:space="preserve"> </w:t>
      </w:r>
      <w:r w:rsidR="0011113A">
        <w:rPr>
          <w:rFonts w:ascii="Palatino Linotype" w:eastAsia="Times New Roman" w:hAnsi="Palatino Linotype" w:cs="Arial"/>
          <w:color w:val="000000"/>
          <w:sz w:val="24"/>
          <w:szCs w:val="24"/>
          <w:lang w:eastAsia="es-MX"/>
        </w:rPr>
        <w:t xml:space="preserve"> </w:t>
      </w:r>
      <w:r w:rsidR="00FC2D20">
        <w:rPr>
          <w:rFonts w:ascii="Palatino Linotype" w:eastAsia="Times New Roman" w:hAnsi="Palatino Linotype" w:cs="Arial"/>
          <w:color w:val="000000"/>
          <w:sz w:val="24"/>
          <w:szCs w:val="24"/>
          <w:lang w:eastAsia="es-MX"/>
        </w:rPr>
        <w:t xml:space="preserve"> </w:t>
      </w:r>
      <w:r w:rsidR="00317C1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2DCB88ED" w14:textId="580A8022" w:rsidR="0006723B" w:rsidRPr="0006723B"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F0571D">
        <w:rPr>
          <w:rFonts w:ascii="Palatino Linotype" w:hAnsi="Palatino Linotype" w:cs="Arial"/>
          <w:b/>
          <w:bCs/>
          <w:sz w:val="24"/>
        </w:rPr>
        <w:t>0</w:t>
      </w:r>
      <w:r w:rsidR="0006723B">
        <w:rPr>
          <w:rFonts w:ascii="Palatino Linotype" w:hAnsi="Palatino Linotype" w:cs="Arial"/>
          <w:b/>
          <w:bCs/>
          <w:sz w:val="24"/>
        </w:rPr>
        <w:t xml:space="preserve">7490/INFOEM/IP/RR/2024, </w:t>
      </w:r>
      <w:r w:rsidR="0006723B">
        <w:rPr>
          <w:rFonts w:ascii="Palatino Linotype" w:hAnsi="Palatino Linotype" w:cs="Arial"/>
          <w:sz w:val="24"/>
        </w:rPr>
        <w:t xml:space="preserve">interpuesto por el </w:t>
      </w:r>
      <w:r w:rsidR="0006723B">
        <w:rPr>
          <w:rFonts w:ascii="Palatino Linotype" w:hAnsi="Palatino Linotype" w:cs="Arial"/>
          <w:b/>
          <w:bCs/>
          <w:sz w:val="24"/>
        </w:rPr>
        <w:t xml:space="preserve">C. </w:t>
      </w:r>
      <w:r w:rsidR="00754771">
        <w:rPr>
          <w:rFonts w:ascii="Palatino Linotype" w:hAnsi="Palatino Linotype" w:cs="Arial"/>
          <w:b/>
          <w:bCs/>
          <w:sz w:val="24"/>
        </w:rPr>
        <w:t>XXXXXXXXXXXXXXXXXXX</w:t>
      </w:r>
      <w:r w:rsidR="0006723B">
        <w:rPr>
          <w:rFonts w:ascii="Palatino Linotype" w:hAnsi="Palatino Linotype" w:cs="Arial"/>
          <w:b/>
          <w:bCs/>
          <w:sz w:val="24"/>
        </w:rPr>
        <w:t xml:space="preserve"> </w:t>
      </w:r>
      <w:r w:rsidR="00754771">
        <w:rPr>
          <w:rFonts w:ascii="Palatino Linotype" w:hAnsi="Palatino Linotype" w:cs="Arial"/>
          <w:b/>
          <w:bCs/>
          <w:sz w:val="24"/>
        </w:rPr>
        <w:t>XXXXXXX</w:t>
      </w:r>
      <w:r w:rsidR="0006723B">
        <w:rPr>
          <w:rFonts w:ascii="Palatino Linotype" w:hAnsi="Palatino Linotype" w:cs="Arial"/>
          <w:b/>
          <w:bCs/>
          <w:sz w:val="24"/>
        </w:rPr>
        <w:t xml:space="preserve">, </w:t>
      </w:r>
      <w:r w:rsidR="0006723B">
        <w:rPr>
          <w:rFonts w:ascii="Palatino Linotype" w:hAnsi="Palatino Linotype" w:cs="Arial"/>
          <w:sz w:val="24"/>
        </w:rPr>
        <w:t xml:space="preserve">en lo sucesivo </w:t>
      </w:r>
      <w:r w:rsidR="0006723B">
        <w:rPr>
          <w:rFonts w:ascii="Palatino Linotype" w:hAnsi="Palatino Linotype" w:cs="Arial"/>
          <w:b/>
          <w:bCs/>
          <w:sz w:val="24"/>
        </w:rPr>
        <w:t xml:space="preserve">El Recurrente, </w:t>
      </w:r>
      <w:r w:rsidR="0006723B">
        <w:rPr>
          <w:rFonts w:ascii="Palatino Linotype" w:hAnsi="Palatino Linotype" w:cs="Arial"/>
          <w:sz w:val="24"/>
        </w:rPr>
        <w:t xml:space="preserve">en contra de la respuesta del </w:t>
      </w:r>
      <w:r w:rsidR="0006723B">
        <w:rPr>
          <w:rFonts w:ascii="Palatino Linotype" w:hAnsi="Palatino Linotype" w:cs="Arial"/>
          <w:b/>
          <w:bCs/>
          <w:sz w:val="24"/>
        </w:rPr>
        <w:t xml:space="preserve">Ayuntamiento de Nextlalpan, </w:t>
      </w:r>
      <w:r w:rsidR="0006723B">
        <w:rPr>
          <w:rFonts w:ascii="Palatino Linotype" w:hAnsi="Palatino Linotype" w:cs="Arial"/>
          <w:sz w:val="24"/>
        </w:rPr>
        <w:t xml:space="preserve">en lo subsecuente </w:t>
      </w:r>
      <w:r w:rsidR="0006723B">
        <w:rPr>
          <w:rFonts w:ascii="Palatino Linotype" w:hAnsi="Palatino Linotype" w:cs="Arial"/>
          <w:b/>
          <w:bCs/>
          <w:sz w:val="24"/>
        </w:rPr>
        <w:t xml:space="preserve">El Sujeto Obligado, </w:t>
      </w:r>
      <w:r w:rsidR="0006723B">
        <w:rPr>
          <w:rFonts w:ascii="Palatino Linotype" w:hAnsi="Palatino Linotype" w:cs="Arial"/>
          <w:sz w:val="24"/>
        </w:rPr>
        <w:t>se procede a dictar la presente resoluci</w:t>
      </w:r>
      <w:bookmarkStart w:id="0" w:name="_GoBack"/>
      <w:bookmarkEnd w:id="0"/>
      <w:r w:rsidR="0006723B">
        <w:rPr>
          <w:rFonts w:ascii="Palatino Linotype" w:hAnsi="Palatino Linotype" w:cs="Arial"/>
          <w:sz w:val="24"/>
        </w:rPr>
        <w:t xml:space="preserve">ón. </w:t>
      </w:r>
    </w:p>
    <w:p w14:paraId="2DFDD570" w14:textId="77777777" w:rsidR="00C53D02" w:rsidRDefault="00C53D02" w:rsidP="009B5029">
      <w:pPr>
        <w:tabs>
          <w:tab w:val="left" w:pos="1701"/>
        </w:tabs>
        <w:spacing w:before="240" w:line="360" w:lineRule="auto"/>
        <w:jc w:val="both"/>
        <w:rPr>
          <w:rFonts w:ascii="Palatino Linotype" w:hAnsi="Palatino Linotype" w:cs="Arial"/>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3CF99511" w14:textId="4524BDB8" w:rsidR="0006723B"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FC2D20">
        <w:rPr>
          <w:rFonts w:ascii="Palatino Linotype" w:hAnsi="Palatino Linotype" w:cs="Arial"/>
          <w:sz w:val="24"/>
        </w:rPr>
        <w:t xml:space="preserve"> </w:t>
      </w:r>
      <w:r w:rsidR="0006723B">
        <w:rPr>
          <w:rFonts w:ascii="Palatino Linotype" w:hAnsi="Palatino Linotype" w:cs="Arial"/>
          <w:b/>
          <w:bCs/>
          <w:sz w:val="24"/>
        </w:rPr>
        <w:t xml:space="preserve">dos de diciembre de dos mil veinticuatro, El Recurrente, </w:t>
      </w:r>
      <w:r w:rsidR="0006723B">
        <w:rPr>
          <w:rFonts w:ascii="Palatino Linotype" w:hAnsi="Palatino Linotype" w:cs="Arial"/>
          <w:sz w:val="24"/>
        </w:rPr>
        <w:t>presentó a través del Sistema de Acceso a la Información Mexiquense (</w:t>
      </w:r>
      <w:r w:rsidR="0006723B">
        <w:rPr>
          <w:rFonts w:ascii="Palatino Linotype" w:hAnsi="Palatino Linotype" w:cs="Arial"/>
          <w:b/>
          <w:sz w:val="24"/>
        </w:rPr>
        <w:t>SAIMEX)</w:t>
      </w:r>
      <w:r w:rsidR="0006723B">
        <w:rPr>
          <w:rFonts w:ascii="Palatino Linotype" w:hAnsi="Palatino Linotype" w:cs="Arial"/>
          <w:sz w:val="24"/>
        </w:rPr>
        <w:t xml:space="preserve"> ante </w:t>
      </w:r>
      <w:r w:rsidR="0006723B">
        <w:rPr>
          <w:rFonts w:ascii="Palatino Linotype" w:hAnsi="Palatino Linotype" w:cs="Arial"/>
          <w:b/>
          <w:sz w:val="24"/>
        </w:rPr>
        <w:t>El Sujeto Obligado</w:t>
      </w:r>
      <w:r w:rsidR="0006723B">
        <w:rPr>
          <w:rFonts w:ascii="Palatino Linotype" w:hAnsi="Palatino Linotype" w:cs="Arial"/>
          <w:sz w:val="24"/>
        </w:rPr>
        <w:t xml:space="preserve">, solicitud de acceso a la información pública, registrada bajo el número de expediente </w:t>
      </w:r>
      <w:r w:rsidR="0006723B">
        <w:rPr>
          <w:rFonts w:ascii="Palatino Linotype" w:hAnsi="Palatino Linotype" w:cs="Arial"/>
          <w:b/>
          <w:bCs/>
          <w:sz w:val="24"/>
        </w:rPr>
        <w:t xml:space="preserve">00084/NEXTLAL/IP/2024, </w:t>
      </w:r>
      <w:r w:rsidR="0006723B">
        <w:rPr>
          <w:rFonts w:ascii="Palatino Linotype" w:hAnsi="Palatino Linotype" w:cs="Arial"/>
          <w:sz w:val="24"/>
        </w:rPr>
        <w:t>mediante la cual solicitó información en el tenor siguiente:</w:t>
      </w:r>
    </w:p>
    <w:p w14:paraId="63FDBABB" w14:textId="13B335FE" w:rsidR="0006723B" w:rsidRPr="0006723B" w:rsidRDefault="0006723B" w:rsidP="0006723B">
      <w:pPr>
        <w:pStyle w:val="Citas"/>
        <w:rPr>
          <w:b/>
          <w:bCs/>
        </w:rPr>
      </w:pPr>
      <w:r>
        <w:t>“</w:t>
      </w:r>
      <w:r w:rsidRPr="0006723B">
        <w:t xml:space="preserve">¿Cuántas y cuáles medidas de apremio se le impusieron al Ayuntamiento de Nextlalpan, Administración 2019 - 2021 por parte del Departamento de Medidas de Apremio de la Dirección de Cumplimientos del Instituto de Transparencia, Acceso </w:t>
      </w:r>
      <w:r w:rsidRPr="0006723B">
        <w:lastRenderedPageBreak/>
        <w:t>a la Información Pública y Protección de Datos Personales del Estado de México y Municipios?</w:t>
      </w:r>
      <w:r>
        <w:t xml:space="preserve">” </w:t>
      </w:r>
      <w:r>
        <w:rPr>
          <w:b/>
          <w:bCs/>
        </w:rPr>
        <w:t>(Sic)</w:t>
      </w:r>
    </w:p>
    <w:p w14:paraId="0FDD1B9D" w14:textId="77777777"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Pr>
          <w:rFonts w:ascii="Palatino Linotype" w:eastAsia="Times New Roman" w:hAnsi="Palatino Linotype" w:cs="Times New Roman"/>
          <w:sz w:val="24"/>
          <w:szCs w:val="24"/>
          <w:lang w:val="es-ES_tradnl" w:eastAsia="es-ES"/>
        </w:rPr>
        <w:t>.</w:t>
      </w:r>
    </w:p>
    <w:p w14:paraId="5FBE22B9" w14:textId="77777777" w:rsidR="00317C14" w:rsidRDefault="00317C14" w:rsidP="009B5029">
      <w:pPr>
        <w:spacing w:before="240" w:line="360" w:lineRule="auto"/>
        <w:jc w:val="both"/>
        <w:rPr>
          <w:rFonts w:ascii="Palatino Linotype" w:hAnsi="Palatino Linotype" w:cs="Arial"/>
          <w:b/>
          <w:sz w:val="28"/>
        </w:rPr>
      </w:pPr>
    </w:p>
    <w:p w14:paraId="5F1652E0" w14:textId="15E99FEE" w:rsidR="00C53D02" w:rsidRDefault="0006723B" w:rsidP="00C53D02">
      <w:pPr>
        <w:spacing w:before="240" w:line="360" w:lineRule="auto"/>
        <w:jc w:val="both"/>
        <w:rPr>
          <w:rFonts w:ascii="Palatino Linotype" w:hAnsi="Palatino Linotype" w:cs="Arial"/>
          <w:b/>
          <w:sz w:val="28"/>
        </w:rPr>
      </w:pPr>
      <w:r>
        <w:rPr>
          <w:rFonts w:ascii="Palatino Linotype" w:hAnsi="Palatino Linotype" w:cs="Arial"/>
          <w:b/>
          <w:sz w:val="28"/>
        </w:rPr>
        <w:t>SEGUNDO</w:t>
      </w:r>
      <w:r w:rsidR="00C53D02">
        <w:rPr>
          <w:rFonts w:ascii="Palatino Linotype" w:hAnsi="Palatino Linotype" w:cs="Arial"/>
          <w:b/>
          <w:sz w:val="28"/>
        </w:rPr>
        <w:t xml:space="preserve">. </w:t>
      </w:r>
      <w:r w:rsidR="00C53D02" w:rsidRPr="00165D6E">
        <w:rPr>
          <w:rFonts w:ascii="Palatino Linotype" w:hAnsi="Palatino Linotype" w:cs="Arial"/>
          <w:b/>
          <w:sz w:val="28"/>
          <w:szCs w:val="20"/>
        </w:rPr>
        <w:t xml:space="preserve">De la respuesta </w:t>
      </w:r>
      <w:r w:rsidR="00C53D02">
        <w:rPr>
          <w:rFonts w:ascii="Palatino Linotype" w:hAnsi="Palatino Linotype" w:cs="Arial"/>
          <w:b/>
          <w:sz w:val="28"/>
          <w:szCs w:val="20"/>
        </w:rPr>
        <w:t>del Sujeto Obligado</w:t>
      </w:r>
      <w:r w:rsidR="00C53D02" w:rsidRPr="00165D6E">
        <w:rPr>
          <w:rFonts w:ascii="Palatino Linotype" w:hAnsi="Palatino Linotype" w:cs="Arial"/>
          <w:b/>
          <w:sz w:val="28"/>
          <w:szCs w:val="20"/>
        </w:rPr>
        <w:t>.</w:t>
      </w:r>
    </w:p>
    <w:p w14:paraId="78EE6E07" w14:textId="4E8DE0A2" w:rsidR="0006723B" w:rsidRDefault="00C53D02" w:rsidP="00C53D02">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Pr>
          <w:rFonts w:ascii="Palatino Linotype" w:hAnsi="Palatino Linotype" w:cs="Arial"/>
          <w:sz w:val="24"/>
          <w:szCs w:val="24"/>
        </w:rPr>
        <w:t xml:space="preserve"> </w:t>
      </w:r>
      <w:r w:rsidR="0006723B">
        <w:rPr>
          <w:rFonts w:ascii="Palatino Linotype" w:hAnsi="Palatino Linotype" w:cs="Arial"/>
          <w:b/>
          <w:bCs/>
          <w:sz w:val="24"/>
          <w:szCs w:val="24"/>
        </w:rPr>
        <w:t xml:space="preserve">cuatro de diciembre de dos mil veinticuatro, El Sujeto Obligado </w:t>
      </w:r>
      <w:r w:rsidR="0006723B">
        <w:rPr>
          <w:rFonts w:ascii="Palatino Linotype" w:hAnsi="Palatino Linotype" w:cs="Arial"/>
          <w:sz w:val="24"/>
          <w:szCs w:val="24"/>
        </w:rPr>
        <w:t xml:space="preserve">dio respuesta a la solicitud de información </w:t>
      </w:r>
      <w:r w:rsidR="0006723B">
        <w:rPr>
          <w:rFonts w:ascii="Palatino Linotype" w:hAnsi="Palatino Linotype" w:cs="Arial"/>
          <w:b/>
          <w:bCs/>
          <w:sz w:val="24"/>
          <w:szCs w:val="24"/>
        </w:rPr>
        <w:t xml:space="preserve">00084/NEXTLAL/IP/2024, </w:t>
      </w:r>
      <w:r w:rsidR="0006723B">
        <w:rPr>
          <w:rFonts w:ascii="Palatino Linotype" w:hAnsi="Palatino Linotype" w:cs="Arial"/>
          <w:sz w:val="24"/>
          <w:szCs w:val="24"/>
        </w:rPr>
        <w:t>resultando de nuestro interés lo siguiente:</w:t>
      </w:r>
    </w:p>
    <w:p w14:paraId="07EF038B" w14:textId="1DE7C834" w:rsidR="0006723B" w:rsidRPr="0006723B" w:rsidRDefault="0006723B" w:rsidP="0006723B">
      <w:pPr>
        <w:pStyle w:val="Citas"/>
        <w:rPr>
          <w:b/>
          <w:bCs/>
        </w:rPr>
      </w:pPr>
      <w:r>
        <w:t>“</w:t>
      </w:r>
      <w:r w:rsidRPr="0006723B">
        <w:t xml:space="preserve">En atención a su solicitud requerida mediante el Sistema de Acceso a la Información Mexiquense (SAIMEX), con número de folio: 00083/NEXTLAL/IP/2024, donde solicita: “¿Cuántas y cuáles medidas de apremio se le han impuesto al Ayuntamiento de Nextlalpan, Administración 2022 - 2024 por parte del Departamento de Medidas de Apremio de la Dirección de Cumplimientos del Instituto de Transparencia, Acceso a la Información Pública y Protección de Datos Personales del Estado de México y Municipios? ¿En caso de existir medidas de apremio qué ha hecho el sujeto obligado para corregir esta situación?” (sic). En respuesta a lo anterior, a través del presente en términos de lo previsto por el artículo 167 de la Ley de Transparencia y Acceso a la Información Pública del Estado de México y Municipios que a su letra dice: “Artículo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Si los sujetos </w:t>
      </w:r>
      <w:r w:rsidRPr="0006723B">
        <w:lastRenderedPageBreak/>
        <w:t xml:space="preserve">obligados son competentes para atender parcialmente la solicitud de acceso a la información, deberá dar respuesta respecto de dicha parte. Respecto de la información sobre la cual es incompetente se procederá conforme lo señala el párrafo anterior. Si transcurrido el plazo señalado en el primer párrafo de este artículo, el sujeto obligado no declina la competencia en los términos establecidos, podrá canalizar la solicitud ante el sujeto obligado competente”. Se informa que la presente solicitud NO ES COMPETENCIA del Ayuntamiento de Nextlalpan; por lo que se orienta al solicitante a presentar la solicitud, al Instituto de Transparencia, Acceso a la Información Pública y Protección de Datos Personales del Estado de México y Municipios (INFOEM); en el siguiente link: </w:t>
      </w:r>
      <w:hyperlink r:id="rId8" w:history="1">
        <w:r w:rsidRPr="006F7DB2">
          <w:rPr>
            <w:rStyle w:val="Hipervnculo"/>
          </w:rPr>
          <w:t>https://www.infoem.org.mx</w:t>
        </w:r>
      </w:hyperlink>
      <w:r>
        <w:t xml:space="preserve">” </w:t>
      </w:r>
      <w:r>
        <w:rPr>
          <w:b/>
          <w:bCs/>
        </w:rPr>
        <w:t>(Sic)</w:t>
      </w:r>
    </w:p>
    <w:p w14:paraId="1B05543E" w14:textId="0341530D" w:rsidR="00C53D02" w:rsidRPr="00C53D02" w:rsidRDefault="00C53D02" w:rsidP="00C53D0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el documento electrónico </w:t>
      </w:r>
      <w:r>
        <w:rPr>
          <w:rFonts w:ascii="Palatino Linotype" w:hAnsi="Palatino Linotype" w:cs="Arial"/>
          <w:b/>
          <w:bCs/>
          <w:sz w:val="24"/>
          <w:szCs w:val="24"/>
        </w:rPr>
        <w:t>“</w:t>
      </w:r>
      <w:r w:rsidR="0006723B">
        <w:rPr>
          <w:rFonts w:ascii="Palatino Linotype" w:hAnsi="Palatino Linotype" w:cs="Arial"/>
          <w:b/>
          <w:bCs/>
          <w:sz w:val="24"/>
          <w:szCs w:val="24"/>
        </w:rPr>
        <w:t xml:space="preserve">RESPUESTA-SOLICITUD-00084-2024.pdf”, </w:t>
      </w:r>
      <w:r>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0B35860B" w14:textId="77777777" w:rsidR="00C53D02" w:rsidRDefault="00C53D02" w:rsidP="00C53D02">
      <w:pPr>
        <w:spacing w:before="240" w:line="360" w:lineRule="auto"/>
        <w:jc w:val="both"/>
        <w:rPr>
          <w:rFonts w:ascii="Palatino Linotype" w:hAnsi="Palatino Linotype" w:cs="Arial"/>
          <w:b/>
          <w:bCs/>
          <w:sz w:val="24"/>
          <w:szCs w:val="24"/>
        </w:rPr>
      </w:pPr>
    </w:p>
    <w:p w14:paraId="15AAEBF3" w14:textId="4A62F62C" w:rsidR="00C53D02" w:rsidRDefault="0006723B" w:rsidP="00C53D02">
      <w:pPr>
        <w:spacing w:before="240" w:line="360" w:lineRule="auto"/>
        <w:jc w:val="both"/>
        <w:rPr>
          <w:rFonts w:ascii="Palatino Linotype" w:hAnsi="Palatino Linotype" w:cs="Arial"/>
          <w:b/>
          <w:sz w:val="28"/>
        </w:rPr>
      </w:pPr>
      <w:r>
        <w:rPr>
          <w:rFonts w:ascii="Palatino Linotype" w:hAnsi="Palatino Linotype" w:cs="Arial"/>
          <w:b/>
          <w:sz w:val="28"/>
        </w:rPr>
        <w:t>TERCER</w:t>
      </w:r>
      <w:r w:rsidR="00C53D02">
        <w:rPr>
          <w:rFonts w:ascii="Palatino Linotype" w:hAnsi="Palatino Linotype" w:cs="Arial"/>
          <w:b/>
          <w:sz w:val="28"/>
        </w:rPr>
        <w:t xml:space="preserve">O. </w:t>
      </w:r>
      <w:r w:rsidR="00C53D02">
        <w:rPr>
          <w:rFonts w:ascii="Palatino Linotype" w:hAnsi="Palatino Linotype"/>
          <w:b/>
          <w:sz w:val="28"/>
        </w:rPr>
        <w:t>Del recurso de revisión.</w:t>
      </w:r>
    </w:p>
    <w:p w14:paraId="5761ABA8" w14:textId="1C449D00" w:rsidR="0006723B" w:rsidRPr="00477E02" w:rsidRDefault="00C53D02" w:rsidP="00C53D02">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Pr>
          <w:rFonts w:ascii="Palatino Linotype" w:hAnsi="Palatino Linotype" w:cs="Arial"/>
          <w:b/>
          <w:sz w:val="24"/>
          <w:szCs w:val="24"/>
        </w:rPr>
        <w:t xml:space="preserve">El Recurrente </w:t>
      </w:r>
      <w:r>
        <w:rPr>
          <w:rFonts w:ascii="Palatino Linotype" w:hAnsi="Palatino Linotype" w:cs="Arial"/>
          <w:bCs/>
          <w:sz w:val="24"/>
          <w:szCs w:val="24"/>
        </w:rPr>
        <w:t>interpuso el recurso de revisión, en fecha</w:t>
      </w:r>
      <w:r w:rsidR="0006723B">
        <w:rPr>
          <w:rFonts w:ascii="Palatino Linotype" w:hAnsi="Palatino Linotype" w:cs="Arial"/>
          <w:bCs/>
          <w:sz w:val="24"/>
          <w:szCs w:val="24"/>
        </w:rPr>
        <w:t xml:space="preserve"> </w:t>
      </w:r>
      <w:r w:rsidR="0006723B">
        <w:rPr>
          <w:rFonts w:ascii="Palatino Linotype" w:hAnsi="Palatino Linotype" w:cs="Arial"/>
          <w:b/>
          <w:sz w:val="24"/>
          <w:szCs w:val="24"/>
        </w:rPr>
        <w:t xml:space="preserve">cuatro de diciembre de dos mil veinticuatro, </w:t>
      </w:r>
      <w:r w:rsidR="0006723B">
        <w:rPr>
          <w:rFonts w:ascii="Palatino Linotype" w:hAnsi="Palatino Linotype" w:cs="Arial"/>
          <w:bCs/>
          <w:sz w:val="24"/>
          <w:szCs w:val="24"/>
        </w:rPr>
        <w:t xml:space="preserve">el cual fue registrado en el sistema electrónico con el expediente </w:t>
      </w:r>
      <w:r w:rsidR="0006723B">
        <w:rPr>
          <w:rFonts w:ascii="Palatino Linotype" w:hAnsi="Palatino Linotype" w:cs="Arial"/>
          <w:b/>
          <w:sz w:val="24"/>
          <w:szCs w:val="24"/>
        </w:rPr>
        <w:t>07490/INFOEM/IP/RR/2024</w:t>
      </w:r>
      <w:r w:rsidR="00477E02">
        <w:rPr>
          <w:rFonts w:ascii="Palatino Linotype" w:hAnsi="Palatino Linotype" w:cs="Arial"/>
          <w:b/>
          <w:sz w:val="24"/>
          <w:szCs w:val="24"/>
        </w:rPr>
        <w:t xml:space="preserve">, </w:t>
      </w:r>
      <w:r w:rsidR="00477E02">
        <w:rPr>
          <w:rFonts w:ascii="Palatino Linotype" w:hAnsi="Palatino Linotype" w:cs="Arial"/>
          <w:bCs/>
          <w:sz w:val="24"/>
          <w:szCs w:val="24"/>
        </w:rPr>
        <w:t xml:space="preserve">en el cual arguye las siguientes manifestaciones: </w:t>
      </w:r>
    </w:p>
    <w:p w14:paraId="51A41FE2" w14:textId="77777777" w:rsidR="00C53D02" w:rsidRDefault="00C53D02" w:rsidP="00C53D02">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206801FC" w14:textId="271E6E9E" w:rsidR="00C53D02" w:rsidRPr="003406C5" w:rsidRDefault="00C53D02" w:rsidP="00C53D02">
      <w:pPr>
        <w:pStyle w:val="Citas"/>
        <w:rPr>
          <w:b/>
          <w:bCs/>
          <w:sz w:val="24"/>
        </w:rPr>
      </w:pPr>
      <w:r w:rsidRPr="00C53D02">
        <w:lastRenderedPageBreak/>
        <w:t>“</w:t>
      </w:r>
      <w:r w:rsidR="00477E02" w:rsidRPr="00477E02">
        <w:t>¿Cuántas y cuáles medidas de apremio se le impusieron al Ayuntamiento de Nextlalpan, Administración 2019 - 2021 por parte del Departamento de Medidas de Apremio de la Dirección de Cumplimientos del Instituto de Transparencia, Acceso a la Información Pública y Protección de Datos Personales del Estado de México y Municipios</w:t>
      </w:r>
      <w:r w:rsidR="00477E02">
        <w:t>?</w:t>
      </w:r>
      <w:r w:rsidRPr="00C53D02">
        <w:t xml:space="preserve">” </w:t>
      </w:r>
      <w:r>
        <w:rPr>
          <w:b/>
          <w:bCs/>
        </w:rPr>
        <w:t>(Sic)</w:t>
      </w:r>
    </w:p>
    <w:p w14:paraId="5120F511" w14:textId="77777777" w:rsidR="00C53D02" w:rsidRDefault="00C53D02" w:rsidP="00C53D02">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786662D1" w14:textId="2AC0039B" w:rsidR="00C53D02" w:rsidRPr="003406C5" w:rsidRDefault="00C53D02" w:rsidP="00C53D02">
      <w:pPr>
        <w:pStyle w:val="Citas"/>
        <w:rPr>
          <w:b/>
          <w:bCs/>
        </w:rPr>
      </w:pPr>
      <w:r w:rsidRPr="00C53D02">
        <w:t>“</w:t>
      </w:r>
      <w:r w:rsidR="00477E02" w:rsidRPr="00477E02">
        <w:t>Dicen ser no competentes para dar respuesta a lo solicitado; sin embargo creo que de haber sido el caso de que la Dirección de Cumplimientos del Instituto de Transparencia, Acceso a la Información Pública y Protección de Datos Personales del Estado de México y Municipios les haya impuesto medidas de apremio mínimo el sujeto obligado debe de tener una estadística de cuantas medidas le han impuesto, de igual forma el comité de transparencia del sujeto obligado debió de haber tomado medidas pertinentes para que no se les impongan tantas medidas de apremio</w:t>
      </w:r>
      <w:r w:rsidRPr="00C53D02">
        <w:t>”</w:t>
      </w:r>
      <w:r>
        <w:t xml:space="preserve"> </w:t>
      </w:r>
      <w:r>
        <w:rPr>
          <w:b/>
          <w:bCs/>
        </w:rPr>
        <w:t>(Sic)</w:t>
      </w:r>
    </w:p>
    <w:p w14:paraId="0AE9DD5F" w14:textId="77777777" w:rsidR="00C53D02" w:rsidRPr="00AA207C" w:rsidRDefault="00C53D02" w:rsidP="00C53D02">
      <w:pPr>
        <w:pStyle w:val="Citas"/>
        <w:ind w:left="0"/>
        <w:rPr>
          <w:b/>
        </w:rPr>
      </w:pPr>
    </w:p>
    <w:p w14:paraId="48DE3949" w14:textId="05D2AC2D" w:rsidR="00C53D02" w:rsidRDefault="00477E02" w:rsidP="00C53D02">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C53D02" w:rsidRPr="008551ED">
        <w:rPr>
          <w:rFonts w:ascii="Palatino Linotype" w:hAnsi="Palatino Linotype" w:cs="Arial"/>
          <w:b/>
          <w:sz w:val="24"/>
          <w:szCs w:val="24"/>
        </w:rPr>
        <w:t xml:space="preserve">. </w:t>
      </w:r>
      <w:r w:rsidR="00C53D02" w:rsidRPr="0087163A">
        <w:rPr>
          <w:rFonts w:ascii="Palatino Linotype" w:hAnsi="Palatino Linotype" w:cs="Arial"/>
          <w:b/>
          <w:sz w:val="28"/>
          <w:szCs w:val="28"/>
        </w:rPr>
        <w:t>Del turno del recurso de revisión.</w:t>
      </w:r>
    </w:p>
    <w:p w14:paraId="10489311" w14:textId="60C176EF" w:rsidR="00C53D02" w:rsidRDefault="00C53D02" w:rsidP="00C53D0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fecha </w:t>
      </w:r>
      <w:r w:rsidR="00477E02">
        <w:rPr>
          <w:rFonts w:ascii="Palatino Linotype" w:hAnsi="Palatino Linotype" w:cs="Arial"/>
          <w:b/>
          <w:bCs/>
          <w:sz w:val="24"/>
          <w:szCs w:val="24"/>
        </w:rPr>
        <w:t>cinco de diciembre del presente</w:t>
      </w:r>
      <w:r>
        <w:rPr>
          <w:rFonts w:ascii="Palatino Linotype" w:hAnsi="Palatino Linotype" w:cs="Arial"/>
          <w:b/>
          <w:bCs/>
          <w:sz w:val="24"/>
          <w:szCs w:val="24"/>
        </w:rPr>
        <w:t xml:space="preserve">, </w:t>
      </w:r>
      <w:r>
        <w:rPr>
          <w:rFonts w:ascii="Palatino Linotype" w:hAnsi="Palatino Linotype" w:cs="Arial"/>
          <w:sz w:val="24"/>
          <w:szCs w:val="24"/>
        </w:rPr>
        <w:t>determinándose en él, un plazo de siete días para que las partes manifestaran lo que a su derecho corresponda en términos del numeral ya citado.</w:t>
      </w:r>
    </w:p>
    <w:p w14:paraId="4B3EBC15" w14:textId="77777777" w:rsidR="00C53D02" w:rsidRDefault="00C53D02" w:rsidP="00C53D02">
      <w:pPr>
        <w:spacing w:before="240" w:line="360" w:lineRule="auto"/>
        <w:jc w:val="both"/>
        <w:rPr>
          <w:rFonts w:ascii="Palatino Linotype" w:hAnsi="Palatino Linotype" w:cs="Arial"/>
          <w:sz w:val="24"/>
          <w:szCs w:val="24"/>
        </w:rPr>
      </w:pPr>
    </w:p>
    <w:p w14:paraId="40C2415A" w14:textId="751F3D8F" w:rsidR="00C53D02" w:rsidRPr="00B07D6D" w:rsidRDefault="00747F01" w:rsidP="00C53D02">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QUINTO</w:t>
      </w:r>
      <w:r w:rsidR="00C53D02" w:rsidRPr="00B07D6D">
        <w:rPr>
          <w:rFonts w:ascii="Palatino Linotype" w:hAnsi="Palatino Linotype" w:cs="Arial"/>
          <w:b/>
          <w:sz w:val="24"/>
          <w:szCs w:val="24"/>
        </w:rPr>
        <w:t xml:space="preserve">. </w:t>
      </w:r>
      <w:r w:rsidR="00C53D02" w:rsidRPr="00B07D6D">
        <w:rPr>
          <w:rFonts w:ascii="Palatino Linotype" w:hAnsi="Palatino Linotype" w:cs="Arial"/>
          <w:b/>
          <w:sz w:val="28"/>
          <w:szCs w:val="28"/>
        </w:rPr>
        <w:t>De la etapa de instrucción.</w:t>
      </w:r>
    </w:p>
    <w:p w14:paraId="7751FDB9" w14:textId="77777777" w:rsidR="00C53D02" w:rsidRPr="00F42452" w:rsidRDefault="00C53D02" w:rsidP="00C53D02">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Pr>
          <w:rFonts w:ascii="Palatino Linotype" w:hAnsi="Palatino Linotype" w:cs="Arial"/>
          <w:bCs/>
          <w:sz w:val="24"/>
          <w:szCs w:val="24"/>
        </w:rPr>
        <w:t xml:space="preserve">fue omiso en rendir su informe justificado. </w:t>
      </w:r>
      <w:r>
        <w:rPr>
          <w:rFonts w:ascii="Palatino Linotype" w:hAnsi="Palatino Linotype" w:cs="Arial"/>
          <w:b/>
          <w:sz w:val="24"/>
          <w:szCs w:val="24"/>
        </w:rPr>
        <w:t xml:space="preserve"> </w:t>
      </w:r>
    </w:p>
    <w:p w14:paraId="1F7F8EDB" w14:textId="68A973A7" w:rsidR="00C53D02" w:rsidRDefault="00C53D02" w:rsidP="00C53D02">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477E02">
        <w:rPr>
          <w:rFonts w:ascii="Palatino Linotype" w:hAnsi="Palatino Linotype" w:cs="Arial"/>
          <w:b/>
          <w:sz w:val="24"/>
          <w:szCs w:val="24"/>
        </w:rPr>
        <w:t>diecisiete</w:t>
      </w:r>
      <w:r>
        <w:rPr>
          <w:rFonts w:ascii="Palatino Linotype" w:hAnsi="Palatino Linotype" w:cs="Arial"/>
          <w:b/>
          <w:sz w:val="24"/>
          <w:szCs w:val="24"/>
        </w:rPr>
        <w:t xml:space="preserve"> de </w:t>
      </w:r>
      <w:r w:rsidR="00477E02">
        <w:rPr>
          <w:rFonts w:ascii="Palatino Linotype" w:hAnsi="Palatino Linotype" w:cs="Arial"/>
          <w:b/>
          <w:sz w:val="24"/>
          <w:szCs w:val="24"/>
        </w:rPr>
        <w:t>diciembre de dos mil veinticuatro</w:t>
      </w:r>
      <w:r>
        <w:rPr>
          <w:rFonts w:ascii="Palatino Linotype" w:hAnsi="Palatino Linotype" w:cs="Arial"/>
          <w:b/>
          <w:sz w:val="24"/>
          <w:szCs w:val="24"/>
        </w:rPr>
        <w:t xml:space="preserve">, </w:t>
      </w:r>
      <w:r w:rsidRPr="00E008E2">
        <w:rPr>
          <w:rFonts w:ascii="Palatino Linotype" w:hAnsi="Palatino Linotype" w:cs="Arial"/>
          <w:bCs/>
          <w:sz w:val="24"/>
          <w:szCs w:val="24"/>
        </w:rPr>
        <w:t>e</w:t>
      </w:r>
      <w:r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75C06F8C" w14:textId="77777777" w:rsidR="00321484" w:rsidRDefault="00321484" w:rsidP="00844569">
      <w:pPr>
        <w:spacing w:before="240" w:line="360" w:lineRule="auto"/>
        <w:jc w:val="center"/>
        <w:rPr>
          <w:rFonts w:ascii="Palatino Linotype" w:hAnsi="Palatino Linotype" w:cs="Arial"/>
          <w:b/>
          <w:sz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359AD7C1" w14:textId="77777777" w:rsidR="00477E02" w:rsidRDefault="00477E02" w:rsidP="00477E02">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1053CF92" w14:textId="77777777" w:rsidR="00477E02" w:rsidRPr="00F6461C" w:rsidRDefault="00477E02" w:rsidP="00477E02">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F0059D2" w14:textId="77777777" w:rsidR="00477E02" w:rsidRDefault="00477E02" w:rsidP="00477E02">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B829167" w14:textId="77777777" w:rsidR="00477E02" w:rsidRDefault="00477E02" w:rsidP="00477E02">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2B10D42B" w14:textId="77777777" w:rsidR="00477E02" w:rsidRDefault="00477E02" w:rsidP="00477E02">
      <w:pPr>
        <w:pStyle w:val="Prrafodelista"/>
        <w:autoSpaceDE w:val="0"/>
        <w:autoSpaceDN w:val="0"/>
        <w:adjustRightInd w:val="0"/>
        <w:spacing w:before="240" w:after="160" w:line="360" w:lineRule="auto"/>
        <w:ind w:left="0"/>
        <w:jc w:val="both"/>
        <w:rPr>
          <w:rFonts w:ascii="Palatino Linotype" w:hAnsi="Palatino Linotype" w:cs="Arial"/>
        </w:rPr>
      </w:pPr>
    </w:p>
    <w:p w14:paraId="3FA82E7E" w14:textId="77777777" w:rsidR="00477E02" w:rsidRPr="007822E6" w:rsidRDefault="00477E02" w:rsidP="00477E02">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320C6C72" w14:textId="77777777" w:rsidR="00477E02" w:rsidRPr="007822E6" w:rsidRDefault="00477E02" w:rsidP="00477E02">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1A90EA2" w14:textId="77777777" w:rsidR="00477E02" w:rsidRPr="007822E6" w:rsidRDefault="00477E02" w:rsidP="00477E02">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w:t>
      </w:r>
      <w:r w:rsidRPr="007822E6">
        <w:rPr>
          <w:rFonts w:ascii="Palatino Linotype" w:hAnsi="Palatino Linotype" w:cs="Arial"/>
          <w:lang w:val="es-MX"/>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6DA31FAF" w14:textId="77777777" w:rsidR="00477E02" w:rsidRDefault="00477E02" w:rsidP="00477E02">
      <w:pPr>
        <w:tabs>
          <w:tab w:val="left" w:pos="709"/>
        </w:tabs>
        <w:spacing w:before="240" w:line="360" w:lineRule="auto"/>
        <w:ind w:right="51"/>
        <w:jc w:val="both"/>
        <w:rPr>
          <w:rFonts w:ascii="Palatino Linotype" w:hAnsi="Palatino Linotype"/>
          <w:b/>
          <w:sz w:val="28"/>
          <w:szCs w:val="28"/>
        </w:rPr>
      </w:pPr>
    </w:p>
    <w:p w14:paraId="26037DAD" w14:textId="77777777" w:rsidR="00477E02" w:rsidRDefault="00477E02" w:rsidP="00477E02">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6EF92E7C" w14:textId="77777777" w:rsidR="00477E02" w:rsidRDefault="00477E02" w:rsidP="00477E02">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w:t>
      </w:r>
      <w:r>
        <w:rPr>
          <w:rFonts w:ascii="Palatino Linotype" w:hAnsi="Palatino Linotype" w:cs="Arial"/>
        </w:rPr>
        <w:lastRenderedPageBreak/>
        <w:t xml:space="preserve">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687946AD" w14:textId="77777777" w:rsidR="00477E02" w:rsidRPr="002869E1" w:rsidRDefault="00477E02" w:rsidP="00477E02">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F994FF7"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79D668A"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736B43"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32E6CCD9"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5B4D5CB3"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EA1DE3"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D8965A8" w14:textId="77777777" w:rsidR="00477E02" w:rsidRPr="006010FE" w:rsidRDefault="00477E02" w:rsidP="00477E02">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2B0DAFDB"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7202585"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74C4BAA"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4FF8543"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9A82046" w14:textId="77777777" w:rsidR="00477E02" w:rsidRDefault="00477E02" w:rsidP="00477E02">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21EAFB78" w14:textId="77777777" w:rsidR="00477E02" w:rsidRDefault="00477E02" w:rsidP="00477E02">
      <w:pPr>
        <w:spacing w:after="0" w:line="360" w:lineRule="auto"/>
        <w:jc w:val="both"/>
        <w:rPr>
          <w:rFonts w:ascii="Palatino Linotype" w:eastAsia="Times New Roman" w:hAnsi="Palatino Linotype" w:cs="Times New Roman"/>
          <w:sz w:val="24"/>
          <w:szCs w:val="24"/>
          <w:lang w:eastAsia="es-ES"/>
        </w:rPr>
      </w:pPr>
    </w:p>
    <w:p w14:paraId="4EBDDC7F" w14:textId="77777777" w:rsidR="00477E02" w:rsidRPr="006010FE" w:rsidRDefault="00477E02" w:rsidP="00477E02">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64C0CCED" w14:textId="77777777" w:rsidR="00477E02" w:rsidRDefault="00477E02" w:rsidP="00477E02">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656065E4" w14:textId="77777777" w:rsidR="00CB7611" w:rsidRDefault="00CB7611" w:rsidP="00CB7611">
      <w:pPr>
        <w:pStyle w:val="Citas"/>
        <w:rPr>
          <w:b/>
        </w:rPr>
      </w:pPr>
    </w:p>
    <w:p w14:paraId="3E31CE05" w14:textId="0C54109E" w:rsidR="00CB7611" w:rsidRDefault="00CB7611" w:rsidP="00CB7611">
      <w:pPr>
        <w:spacing w:before="240" w:line="360" w:lineRule="auto"/>
        <w:jc w:val="both"/>
        <w:rPr>
          <w:rFonts w:ascii="Palatino Linotype" w:hAnsi="Palatino Linotype" w:cs="Arial"/>
          <w:sz w:val="24"/>
          <w:szCs w:val="24"/>
        </w:rPr>
      </w:pPr>
      <w:r w:rsidRPr="00A279CF">
        <w:rPr>
          <w:rFonts w:ascii="Palatino Linotype" w:hAnsi="Palatino Linotype"/>
          <w:sz w:val="24"/>
          <w:szCs w:val="24"/>
        </w:rPr>
        <w:t xml:space="preserve">Una vez sentado lo anterior, </w:t>
      </w:r>
      <w:r>
        <w:rPr>
          <w:rFonts w:ascii="Palatino Linotype" w:hAnsi="Palatino Linotype" w:cs="Arial"/>
          <w:sz w:val="24"/>
          <w:szCs w:val="24"/>
        </w:rPr>
        <w:t xml:space="preserve">de una interpretación literal a la solicitud de información </w:t>
      </w:r>
      <w:r w:rsidR="00477E02">
        <w:rPr>
          <w:rFonts w:ascii="Palatino Linotype" w:hAnsi="Palatino Linotype" w:cs="Arial"/>
          <w:b/>
          <w:bCs/>
          <w:sz w:val="24"/>
          <w:szCs w:val="24"/>
        </w:rPr>
        <w:t>00084/NEXTLAL/IP/2024</w:t>
      </w:r>
      <w:r>
        <w:rPr>
          <w:rFonts w:ascii="Palatino Linotype" w:hAnsi="Palatino Linotype" w:cs="Arial"/>
          <w:b/>
          <w:bCs/>
          <w:sz w:val="24"/>
          <w:szCs w:val="24"/>
        </w:rPr>
        <w:t xml:space="preserve">, </w:t>
      </w:r>
      <w:r>
        <w:rPr>
          <w:rFonts w:ascii="Palatino Linotype" w:hAnsi="Palatino Linotype" w:cs="Arial"/>
          <w:sz w:val="24"/>
          <w:szCs w:val="24"/>
        </w:rPr>
        <w:t xml:space="preserve">se desprenden las siguientes consideraciones: </w:t>
      </w:r>
    </w:p>
    <w:p w14:paraId="17B968C4" w14:textId="77777777" w:rsidR="00CB7611" w:rsidRPr="00690743" w:rsidRDefault="00CB7611" w:rsidP="00754771">
      <w:pPr>
        <w:pStyle w:val="Prrafodelista"/>
        <w:numPr>
          <w:ilvl w:val="0"/>
          <w:numId w:val="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0998A885" w14:textId="31A29D03" w:rsidR="00477E02" w:rsidRDefault="00CB7611" w:rsidP="00754771">
      <w:pPr>
        <w:pStyle w:val="Prrafodelista"/>
        <w:numPr>
          <w:ilvl w:val="0"/>
          <w:numId w:val="6"/>
        </w:numPr>
        <w:spacing w:before="240" w:line="360" w:lineRule="auto"/>
        <w:jc w:val="both"/>
        <w:rPr>
          <w:rFonts w:ascii="Palatino Linotype" w:hAnsi="Palatino Linotype" w:cs="Arial"/>
        </w:rPr>
      </w:pPr>
      <w:r>
        <w:rPr>
          <w:rFonts w:ascii="Palatino Linotype" w:hAnsi="Palatino Linotype" w:cs="Arial"/>
        </w:rPr>
        <w:t xml:space="preserve">Que fue formulado </w:t>
      </w:r>
      <w:r>
        <w:rPr>
          <w:rFonts w:ascii="Palatino Linotype" w:hAnsi="Palatino Linotype" w:cs="Arial"/>
          <w:b/>
          <w:bCs/>
        </w:rPr>
        <w:t xml:space="preserve">1 -un- </w:t>
      </w:r>
      <w:r>
        <w:rPr>
          <w:rFonts w:ascii="Palatino Linotype" w:hAnsi="Palatino Linotype" w:cs="Arial"/>
        </w:rPr>
        <w:t xml:space="preserve">requerimiento respecto del cual </w:t>
      </w:r>
      <w:r w:rsidR="00477E02">
        <w:rPr>
          <w:rFonts w:ascii="Palatino Linotype" w:hAnsi="Palatino Linotype" w:cs="Arial"/>
        </w:rPr>
        <w:t xml:space="preserve">fue delimitado como elemento temporal </w:t>
      </w:r>
      <w:r w:rsidR="00477E02">
        <w:rPr>
          <w:rFonts w:ascii="Palatino Linotype" w:hAnsi="Palatino Linotype" w:cs="Arial"/>
          <w:i/>
          <w:iCs/>
        </w:rPr>
        <w:t xml:space="preserve">“Administración 2019 – 2021”, </w:t>
      </w:r>
      <w:r w:rsidR="00477E02">
        <w:rPr>
          <w:rFonts w:ascii="Palatino Linotype" w:hAnsi="Palatino Linotype" w:cs="Arial"/>
        </w:rPr>
        <w:t xml:space="preserve">es decir, el parámetro de inicio y conclusión para efectos de búsqueda de la información corresponde del uno de enero de dos mil diecinueve al treinta y uno de diciembre de dos mil veintiuno. </w:t>
      </w:r>
    </w:p>
    <w:p w14:paraId="5876685B" w14:textId="2EEE93C9" w:rsidR="00477E02" w:rsidRPr="00334899" w:rsidRDefault="00351F32" w:rsidP="00754771">
      <w:pPr>
        <w:pStyle w:val="Prrafodelista"/>
        <w:numPr>
          <w:ilvl w:val="0"/>
          <w:numId w:val="3"/>
        </w:numPr>
        <w:autoSpaceDE w:val="0"/>
        <w:autoSpaceDN w:val="0"/>
        <w:adjustRightInd w:val="0"/>
        <w:spacing w:before="240" w:line="360" w:lineRule="auto"/>
        <w:jc w:val="both"/>
        <w:rPr>
          <w:rFonts w:ascii="Palatino Linotype" w:hAnsi="Palatino Linotype"/>
        </w:rPr>
      </w:pPr>
      <w:r w:rsidRPr="00334899">
        <w:rPr>
          <w:rFonts w:ascii="Palatino Linotype" w:hAnsi="Palatino Linotype"/>
        </w:rPr>
        <w:t>Que,</w:t>
      </w:r>
      <w:r w:rsidR="00477E02" w:rsidRPr="00334899">
        <w:rPr>
          <w:rFonts w:ascii="Palatino Linotype" w:hAnsi="Palatino Linotype"/>
        </w:rPr>
        <w:t xml:space="preserve"> </w:t>
      </w:r>
      <w:r w:rsidR="00477E02">
        <w:rPr>
          <w:rFonts w:ascii="Palatino Linotype" w:hAnsi="Palatino Linotype"/>
        </w:rPr>
        <w:t>respecto de la información requerida,</w:t>
      </w:r>
      <w:r w:rsidR="00477E02">
        <w:rPr>
          <w:rFonts w:ascii="Palatino Linotype" w:hAnsi="Palatino Linotype"/>
          <w:b/>
          <w:bCs/>
        </w:rPr>
        <w:t xml:space="preserve"> </w:t>
      </w:r>
      <w:r w:rsidR="00477E02">
        <w:rPr>
          <w:rFonts w:ascii="Palatino Linotype" w:hAnsi="Palatino Linotype"/>
        </w:rPr>
        <w:t xml:space="preserve">resulta óbice señalar que cuando los particulares </w:t>
      </w:r>
      <w:r w:rsidR="00477E02" w:rsidRPr="00334899">
        <w:rPr>
          <w:rFonts w:ascii="Palatino Linotype" w:hAnsi="Palatino Linotype"/>
        </w:rPr>
        <w:t>no identifica</w:t>
      </w:r>
      <w:r w:rsidR="00477E02">
        <w:rPr>
          <w:rFonts w:ascii="Palatino Linotype" w:hAnsi="Palatino Linotype"/>
        </w:rPr>
        <w:t>n</w:t>
      </w:r>
      <w:r w:rsidR="00477E02" w:rsidRPr="00334899">
        <w:rPr>
          <w:rFonts w:ascii="Palatino Linotype" w:hAnsi="Palatino Linotype"/>
        </w:rPr>
        <w:t xml:space="preserve"> de forma precisa el documento requerido, bastará </w:t>
      </w:r>
      <w:r w:rsidR="00477E02" w:rsidRPr="00334899">
        <w:rPr>
          <w:rFonts w:ascii="Palatino Linotype" w:hAnsi="Palatino Linotype"/>
        </w:rPr>
        <w:lastRenderedPageBreak/>
        <w:t xml:space="preserve">con que se remita cualquiera que refleje la información requerida. Al respecto, cobra relevancia el criterio emitido por el Órgano Garante Nacional con número </w:t>
      </w:r>
      <w:r w:rsidR="00477E02" w:rsidRPr="00334899">
        <w:rPr>
          <w:rFonts w:ascii="Palatino Linotype" w:hAnsi="Palatino Linotype"/>
          <w:b/>
          <w:bCs/>
        </w:rPr>
        <w:t xml:space="preserve">16/17 </w:t>
      </w:r>
      <w:r w:rsidR="00477E02" w:rsidRPr="00334899">
        <w:rPr>
          <w:rFonts w:ascii="Palatino Linotype" w:hAnsi="Palatino Linotype"/>
        </w:rPr>
        <w:t>cuyo rubro y texto disponen a la literalidad lo siguiente:</w:t>
      </w:r>
    </w:p>
    <w:p w14:paraId="518E4319" w14:textId="77777777" w:rsidR="00477E02" w:rsidRPr="00AB5B4A" w:rsidRDefault="00477E02" w:rsidP="00477E02">
      <w:pPr>
        <w:pStyle w:val="Citas"/>
        <w:jc w:val="center"/>
        <w:rPr>
          <w:b/>
          <w:bCs/>
          <w:sz w:val="24"/>
          <w:szCs w:val="24"/>
        </w:rPr>
      </w:pPr>
      <w:r w:rsidRPr="00AB5B4A">
        <w:rPr>
          <w:b/>
          <w:bCs/>
          <w:sz w:val="24"/>
          <w:szCs w:val="24"/>
        </w:rPr>
        <w:t>“EXPRESIÓN DOCUMENTAL.</w:t>
      </w:r>
    </w:p>
    <w:p w14:paraId="59B10054" w14:textId="77777777" w:rsidR="00477E02" w:rsidRPr="00AB5B4A" w:rsidRDefault="00477E02" w:rsidP="00477E02">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76668615" w14:textId="77777777" w:rsidR="00477E02" w:rsidRPr="00AB5B4A" w:rsidRDefault="00477E02" w:rsidP="00477E02">
      <w:pPr>
        <w:pStyle w:val="Citas"/>
        <w:rPr>
          <w:b/>
        </w:rPr>
      </w:pPr>
      <w:r w:rsidRPr="00AB5B4A">
        <w:rPr>
          <w:b/>
        </w:rPr>
        <w:t>Precedentes:</w:t>
      </w:r>
    </w:p>
    <w:p w14:paraId="5632BF3A" w14:textId="77777777" w:rsidR="00477E02" w:rsidRPr="00AB5B4A" w:rsidRDefault="00477E02" w:rsidP="00754771">
      <w:pPr>
        <w:pStyle w:val="Citas"/>
        <w:numPr>
          <w:ilvl w:val="0"/>
          <w:numId w:val="4"/>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73DEE79D" w14:textId="77777777" w:rsidR="00477E02" w:rsidRPr="00AB5B4A" w:rsidRDefault="00477E02" w:rsidP="00754771">
      <w:pPr>
        <w:pStyle w:val="Citas"/>
        <w:numPr>
          <w:ilvl w:val="0"/>
          <w:numId w:val="4"/>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4968602E" w14:textId="77777777" w:rsidR="00477E02" w:rsidRPr="00AB5B4A" w:rsidRDefault="00477E02" w:rsidP="00754771">
      <w:pPr>
        <w:pStyle w:val="Citas"/>
        <w:numPr>
          <w:ilvl w:val="0"/>
          <w:numId w:val="4"/>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69FA922D" w14:textId="6B904724" w:rsidR="00CB7611" w:rsidRPr="0051062B" w:rsidRDefault="00477E02" w:rsidP="00CB7611">
      <w:pPr>
        <w:spacing w:before="240" w:line="360" w:lineRule="auto"/>
        <w:jc w:val="both"/>
        <w:rPr>
          <w:rFonts w:ascii="Palatino Linotype" w:hAnsi="Palatino Linotype"/>
          <w:sz w:val="24"/>
          <w:szCs w:val="24"/>
        </w:rPr>
      </w:pPr>
      <w:r>
        <w:rPr>
          <w:rFonts w:ascii="Palatino Linotype" w:hAnsi="Palatino Linotype"/>
          <w:sz w:val="24"/>
          <w:szCs w:val="24"/>
        </w:rPr>
        <w:lastRenderedPageBreak/>
        <w:t>Dichas precisiones</w:t>
      </w:r>
      <w:r w:rsidR="00CB7611" w:rsidRPr="00A44FBE">
        <w:rPr>
          <w:rFonts w:ascii="Palatino Linotype" w:hAnsi="Palatino Linotype"/>
          <w:sz w:val="24"/>
          <w:szCs w:val="24"/>
        </w:rPr>
        <w:t xml:space="preserve">, con fundamento </w:t>
      </w:r>
      <w:r w:rsidR="00CB7611" w:rsidRPr="0051062B">
        <w:rPr>
          <w:rFonts w:ascii="Palatino Linotype" w:hAnsi="Palatino Linotype"/>
          <w:sz w:val="24"/>
          <w:szCs w:val="24"/>
        </w:rPr>
        <w:t xml:space="preserve">en los artículos 13 y 181 cuarto párrafo de la Ley en materia, los cuales a la letra rezan: </w:t>
      </w:r>
    </w:p>
    <w:p w14:paraId="4CC6B585" w14:textId="77777777" w:rsidR="00CB7611" w:rsidRPr="0051062B" w:rsidRDefault="00CB7611" w:rsidP="00CB7611">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7E2E7BBD" w14:textId="77777777" w:rsidR="00CB7611" w:rsidRPr="0051062B" w:rsidRDefault="00CB7611" w:rsidP="00CB7611">
      <w:pPr>
        <w:pStyle w:val="Citas"/>
        <w:rPr>
          <w:b/>
        </w:rPr>
      </w:pPr>
      <w:r w:rsidRPr="0051062B">
        <w:rPr>
          <w:b/>
        </w:rPr>
        <w:t xml:space="preserve">Artículo 181. … </w:t>
      </w:r>
    </w:p>
    <w:p w14:paraId="584E0C5A" w14:textId="77777777" w:rsidR="00CB7611" w:rsidRDefault="00CB7611" w:rsidP="00CB7611">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0DCC2C65" w14:textId="77777777" w:rsidR="00CB7611" w:rsidRDefault="00CB7611" w:rsidP="00CB7611">
      <w:pPr>
        <w:spacing w:before="240" w:line="360" w:lineRule="auto"/>
        <w:jc w:val="both"/>
        <w:rPr>
          <w:rFonts w:ascii="Palatino Linotype" w:hAnsi="Palatino Linotype"/>
          <w:sz w:val="24"/>
          <w:szCs w:val="24"/>
        </w:rPr>
      </w:pPr>
    </w:p>
    <w:p w14:paraId="453CBAED" w14:textId="1ED934D2" w:rsidR="00CB7611" w:rsidRDefault="00CB7611" w:rsidP="00CB7611">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45DBF4F5" w14:textId="090C0D6D" w:rsidR="00CB7611" w:rsidRPr="00B27F33" w:rsidRDefault="00477E02" w:rsidP="00754771">
      <w:pPr>
        <w:pStyle w:val="Prrafodelista"/>
        <w:numPr>
          <w:ilvl w:val="0"/>
          <w:numId w:val="7"/>
        </w:numPr>
        <w:spacing w:before="240" w:line="360" w:lineRule="auto"/>
        <w:jc w:val="both"/>
        <w:rPr>
          <w:rFonts w:ascii="Palatino Linotype" w:hAnsi="Palatino Linotype" w:cs="Arial"/>
        </w:rPr>
      </w:pPr>
      <w:r>
        <w:rPr>
          <w:rFonts w:ascii="Palatino Linotype" w:hAnsi="Palatino Linotype" w:cs="Arial"/>
        </w:rPr>
        <w:t xml:space="preserve">El o los documentos donde consten las medidas de apremio impuestas al Ayuntamiento de Nextlalpan, por parte del departamento de medidas de apremio de la dirección de cumplimientos del Instituto de Transparencia, Acceso a la Información Pública y Protección de Datos Personales del Estado de México y Municipios, del periodo comprendido del uno de enero de dos mil diecinueve al treinta y uno de diciembre de dos mil veintiuno. </w:t>
      </w:r>
    </w:p>
    <w:p w14:paraId="22513332" w14:textId="77777777" w:rsidR="00CB7611" w:rsidRDefault="00CB7611" w:rsidP="00CB7611">
      <w:pPr>
        <w:spacing w:before="240" w:line="360" w:lineRule="auto"/>
        <w:jc w:val="both"/>
        <w:rPr>
          <w:rFonts w:ascii="Palatino Linotype" w:hAnsi="Palatino Linotype" w:cs="Arial"/>
          <w:sz w:val="24"/>
          <w:szCs w:val="24"/>
        </w:rPr>
      </w:pPr>
    </w:p>
    <w:p w14:paraId="2025D6FD" w14:textId="77777777" w:rsidR="00CB7611" w:rsidRDefault="00CB7611" w:rsidP="00CB7611">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lastRenderedPageBreak/>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66B568DF" w14:textId="77777777" w:rsidR="00CB7611" w:rsidRPr="009535E0" w:rsidRDefault="00CB7611" w:rsidP="00CB7611">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58851F5B" w14:textId="77777777" w:rsidR="00CB7611" w:rsidRPr="009535E0" w:rsidRDefault="00CB7611" w:rsidP="00CB7611">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0610D8ED" w14:textId="77777777" w:rsidR="00CB7611" w:rsidRPr="009535E0" w:rsidRDefault="00CB7611" w:rsidP="00CB7611">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F5EC108" w14:textId="77777777" w:rsidR="00CB7611" w:rsidRPr="00A94BBE" w:rsidRDefault="00CB7611" w:rsidP="00CB7611">
      <w:pPr>
        <w:pStyle w:val="INFOEM0"/>
        <w:rPr>
          <w:b/>
        </w:rPr>
      </w:pPr>
      <w:r>
        <w:t xml:space="preserve">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 (…)” </w:t>
      </w:r>
      <w:r>
        <w:rPr>
          <w:b/>
        </w:rPr>
        <w:t xml:space="preserve">[Sic] </w:t>
      </w:r>
    </w:p>
    <w:p w14:paraId="1BF6FF3A" w14:textId="77777777" w:rsidR="00747F01" w:rsidRDefault="00747F01" w:rsidP="00CB7611">
      <w:pPr>
        <w:spacing w:line="360" w:lineRule="auto"/>
        <w:jc w:val="both"/>
        <w:rPr>
          <w:rFonts w:ascii="Palatino Linotype" w:hAnsi="Palatino Linotype" w:cs="Arial"/>
          <w:noProof/>
          <w:sz w:val="24"/>
          <w:szCs w:val="24"/>
        </w:rPr>
      </w:pPr>
    </w:p>
    <w:p w14:paraId="4A8F4ED1" w14:textId="317CDA2D" w:rsidR="00CB7611" w:rsidRDefault="00747F01" w:rsidP="00CB7611">
      <w:pPr>
        <w:spacing w:line="360" w:lineRule="auto"/>
        <w:jc w:val="both"/>
        <w:rPr>
          <w:rFonts w:ascii="Palatino Linotype" w:hAnsi="Palatino Linotype" w:cs="Arial"/>
          <w:noProof/>
          <w:sz w:val="24"/>
          <w:szCs w:val="24"/>
        </w:rPr>
      </w:pPr>
      <w:r>
        <w:rPr>
          <w:rFonts w:ascii="Palatino Linotype" w:hAnsi="Palatino Linotype" w:cs="Arial"/>
          <w:noProof/>
          <w:sz w:val="24"/>
          <w:szCs w:val="24"/>
          <w:lang w:eastAsia="es-MX"/>
        </w:rPr>
        <mc:AlternateContent>
          <mc:Choice Requires="wps">
            <w:drawing>
              <wp:anchor distT="0" distB="0" distL="114300" distR="114300" simplePos="0" relativeHeight="251664384" behindDoc="0" locked="0" layoutInCell="1" allowOverlap="1" wp14:anchorId="1DCABB0E" wp14:editId="2D52BF5A">
                <wp:simplePos x="0" y="0"/>
                <wp:positionH relativeFrom="column">
                  <wp:posOffset>-224351</wp:posOffset>
                </wp:positionH>
                <wp:positionV relativeFrom="paragraph">
                  <wp:posOffset>454904</wp:posOffset>
                </wp:positionV>
                <wp:extent cx="6148753" cy="937846"/>
                <wp:effectExtent l="0" t="0" r="23495" b="34290"/>
                <wp:wrapNone/>
                <wp:docPr id="1372126144" name="Straight Connector 4"/>
                <wp:cNvGraphicFramePr/>
                <a:graphic xmlns:a="http://schemas.openxmlformats.org/drawingml/2006/main">
                  <a:graphicData uri="http://schemas.microsoft.com/office/word/2010/wordprocessingShape">
                    <wps:wsp>
                      <wps:cNvCnPr/>
                      <wps:spPr>
                        <a:xfrm>
                          <a:off x="0" y="0"/>
                          <a:ext cx="6148753" cy="9378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D5709"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5pt,35.8pt" to="466.5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" strokecolor="#5b9bd5 [3204]" strokeweight=".5pt">
                <v:stroke joinstyle="miter"/>
              </v:line>
            </w:pict>
          </mc:Fallback>
        </mc:AlternateContent>
      </w:r>
      <w:r w:rsidR="00CB7611">
        <w:rPr>
          <w:rFonts w:ascii="Palatino Linotype" w:hAnsi="Palatino Linotype" w:cs="Arial"/>
          <w:noProof/>
          <w:sz w:val="24"/>
          <w:szCs w:val="24"/>
        </w:rPr>
        <w:t>Al respecto, sirven de sustento las siguientes imágenes ilustrativas:</w:t>
      </w:r>
    </w:p>
    <w:p w14:paraId="76CF80B7" w14:textId="43ABA158" w:rsidR="00CB7611" w:rsidRDefault="00591D7E" w:rsidP="00CB7611">
      <w:pPr>
        <w:spacing w:before="24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657214" behindDoc="0" locked="0" layoutInCell="1" allowOverlap="1" wp14:anchorId="2BFA49BA" wp14:editId="2B097091">
            <wp:simplePos x="0" y="0"/>
            <wp:positionH relativeFrom="margin">
              <wp:align>left</wp:align>
            </wp:positionH>
            <wp:positionV relativeFrom="paragraph">
              <wp:posOffset>364490</wp:posOffset>
            </wp:positionV>
            <wp:extent cx="5732780" cy="3244850"/>
            <wp:effectExtent l="19050" t="19050" r="20320" b="12700"/>
            <wp:wrapThrough wrapText="bothSides">
              <wp:wrapPolygon edited="0">
                <wp:start x="-72" y="-127"/>
                <wp:lineTo x="-72" y="21558"/>
                <wp:lineTo x="21605" y="21558"/>
                <wp:lineTo x="21605" y="-127"/>
                <wp:lineTo x="-72" y="-127"/>
              </wp:wrapPolygon>
            </wp:wrapThrough>
            <wp:docPr id="11364634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780" cy="32448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189DB27" w14:textId="004880B1" w:rsidR="00CB7611" w:rsidRDefault="00591D7E" w:rsidP="00CB7611">
      <w:pPr>
        <w:spacing w:before="240" w:line="360" w:lineRule="auto"/>
        <w:jc w:val="both"/>
        <w:rPr>
          <w:rFonts w:ascii="Palatino Linotype" w:hAnsi="Palatino Linotype" w:cs="Arial"/>
          <w:sz w:val="24"/>
          <w:szCs w:val="24"/>
        </w:rPr>
      </w:pPr>
      <w:r>
        <w:rPr>
          <w:rFonts w:ascii="Palatino Linotype" w:hAnsi="Palatino Linotype" w:cs="Arial"/>
          <w:noProof/>
          <w:sz w:val="24"/>
          <w:szCs w:val="24"/>
          <w:lang w:eastAsia="es-MX"/>
        </w:rPr>
        <w:drawing>
          <wp:anchor distT="0" distB="0" distL="114300" distR="114300" simplePos="0" relativeHeight="251663360" behindDoc="0" locked="0" layoutInCell="1" allowOverlap="1" wp14:anchorId="52573B1A" wp14:editId="787DAE76">
            <wp:simplePos x="0" y="0"/>
            <wp:positionH relativeFrom="page">
              <wp:align>center</wp:align>
            </wp:positionH>
            <wp:positionV relativeFrom="paragraph">
              <wp:posOffset>3486150</wp:posOffset>
            </wp:positionV>
            <wp:extent cx="2165350" cy="1041400"/>
            <wp:effectExtent l="19050" t="19050" r="25400" b="25400"/>
            <wp:wrapThrough wrapText="bothSides">
              <wp:wrapPolygon edited="0">
                <wp:start x="-190" y="-395"/>
                <wp:lineTo x="-190" y="21732"/>
                <wp:lineTo x="21663" y="21732"/>
                <wp:lineTo x="21663" y="-395"/>
                <wp:lineTo x="-190" y="-395"/>
              </wp:wrapPolygon>
            </wp:wrapThrough>
            <wp:docPr id="2060240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5350" cy="1041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97481A4" w14:textId="153BEAF1" w:rsidR="00CB7611" w:rsidRDefault="00CB7611" w:rsidP="00CB7611">
      <w:pPr>
        <w:spacing w:before="240" w:line="360" w:lineRule="auto"/>
        <w:jc w:val="both"/>
        <w:rPr>
          <w:rFonts w:ascii="Palatino Linotype" w:hAnsi="Palatino Linotype" w:cs="Arial"/>
          <w:sz w:val="24"/>
          <w:szCs w:val="24"/>
        </w:rPr>
      </w:pPr>
    </w:p>
    <w:p w14:paraId="6377699A" w14:textId="1BF77B79" w:rsidR="00CB7611" w:rsidRDefault="00CB7611" w:rsidP="00CB7611">
      <w:pPr>
        <w:spacing w:before="240" w:line="360" w:lineRule="auto"/>
        <w:jc w:val="both"/>
        <w:rPr>
          <w:rFonts w:ascii="Palatino Linotype" w:hAnsi="Palatino Linotype" w:cs="Arial"/>
          <w:sz w:val="24"/>
          <w:szCs w:val="24"/>
        </w:rPr>
      </w:pPr>
    </w:p>
    <w:p w14:paraId="35A3EE18" w14:textId="77777777" w:rsidR="00591D7E" w:rsidRDefault="00591D7E" w:rsidP="00CB7611">
      <w:pPr>
        <w:pStyle w:val="Prrafodelista"/>
        <w:autoSpaceDE w:val="0"/>
        <w:autoSpaceDN w:val="0"/>
        <w:adjustRightInd w:val="0"/>
        <w:spacing w:before="240" w:after="160" w:line="360" w:lineRule="auto"/>
        <w:ind w:left="0"/>
        <w:jc w:val="both"/>
        <w:rPr>
          <w:rFonts w:ascii="Palatino Linotype" w:hAnsi="Palatino Linotype" w:cs="Arial"/>
        </w:rPr>
      </w:pPr>
    </w:p>
    <w:p w14:paraId="39D0666D" w14:textId="14E3BE8F" w:rsidR="00CB7611" w:rsidRDefault="00CB7611" w:rsidP="00CB7611">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 lo expuesto con anterioridad, se desprende que </w:t>
      </w:r>
      <w:r>
        <w:rPr>
          <w:rFonts w:ascii="Palatino Linotype" w:hAnsi="Palatino Linotype" w:cs="Arial"/>
          <w:b/>
          <w:bCs/>
        </w:rPr>
        <w:t xml:space="preserve">El Sujeto Obligado </w:t>
      </w:r>
      <w:r>
        <w:rPr>
          <w:rFonts w:ascii="Palatino Linotype" w:hAnsi="Palatino Linotype" w:cs="Arial"/>
        </w:rPr>
        <w:t xml:space="preserve">se auxilia de diversas Direcciones, Subdirecciones, Departamentos y Unidades Administrativas para cumplir con sus fines y objetivos, resultando de nuestro más amplio interés la Unidad de </w:t>
      </w:r>
      <w:r w:rsidR="00591D7E">
        <w:rPr>
          <w:rFonts w:ascii="Palatino Linotype" w:hAnsi="Palatino Linotype" w:cs="Arial"/>
        </w:rPr>
        <w:t xml:space="preserve">transparencia, acceso a la información pública y protección de datos personales. </w:t>
      </w:r>
    </w:p>
    <w:p w14:paraId="0F66B8DF" w14:textId="6399BD99" w:rsidR="00D03485" w:rsidRDefault="00CB7611" w:rsidP="00CB7611">
      <w:pPr>
        <w:spacing w:before="240" w:line="360" w:lineRule="auto"/>
        <w:jc w:val="both"/>
        <w:rPr>
          <w:rFonts w:ascii="Palatino Linotype" w:hAnsi="Palatino Linotype" w:cs="Arial"/>
          <w:sz w:val="24"/>
          <w:szCs w:val="24"/>
        </w:rPr>
      </w:pPr>
      <w:r w:rsidRPr="007B1D30">
        <w:rPr>
          <w:rFonts w:ascii="Palatino Linotype" w:hAnsi="Palatino Linotype" w:cs="Arial"/>
          <w:sz w:val="24"/>
          <w:szCs w:val="24"/>
        </w:rPr>
        <w:lastRenderedPageBreak/>
        <w:t xml:space="preserve">De manera complementaria, a efecto de ilustrar la esfera competencial de la unidad administrativa en cita, resulta oportuno traer a colación </w:t>
      </w:r>
      <w:r w:rsidR="009D4EE5">
        <w:rPr>
          <w:rFonts w:ascii="Palatino Linotype" w:hAnsi="Palatino Linotype" w:cs="Arial"/>
          <w:sz w:val="24"/>
          <w:szCs w:val="24"/>
        </w:rPr>
        <w:t>los artículos 3, fracción XLIV, 50, 214</w:t>
      </w:r>
      <w:r w:rsidR="006C2549">
        <w:rPr>
          <w:rFonts w:ascii="Palatino Linotype" w:hAnsi="Palatino Linotype" w:cs="Arial"/>
          <w:sz w:val="24"/>
          <w:szCs w:val="24"/>
        </w:rPr>
        <w:t xml:space="preserve">, </w:t>
      </w:r>
      <w:r w:rsidR="009D4EE5">
        <w:rPr>
          <w:rFonts w:ascii="Palatino Linotype" w:hAnsi="Palatino Linotype" w:cs="Arial"/>
          <w:sz w:val="24"/>
          <w:szCs w:val="24"/>
        </w:rPr>
        <w:t>217</w:t>
      </w:r>
      <w:r w:rsidR="006C2549">
        <w:rPr>
          <w:rFonts w:ascii="Palatino Linotype" w:hAnsi="Palatino Linotype" w:cs="Arial"/>
          <w:sz w:val="24"/>
          <w:szCs w:val="24"/>
        </w:rPr>
        <w:t xml:space="preserve"> y 223</w:t>
      </w:r>
      <w:r w:rsidR="009D4EE5">
        <w:rPr>
          <w:rFonts w:ascii="Palatino Linotype" w:hAnsi="Palatino Linotype" w:cs="Arial"/>
          <w:sz w:val="24"/>
          <w:szCs w:val="24"/>
        </w:rPr>
        <w:t xml:space="preserve"> de la Ley de Transparencia y Acceso a la Información Pública del Estado de México y Municipios; </w:t>
      </w:r>
      <w:r w:rsidR="00D03485">
        <w:rPr>
          <w:rFonts w:ascii="Palatino Linotype" w:hAnsi="Palatino Linotype" w:cs="Arial"/>
          <w:sz w:val="24"/>
          <w:szCs w:val="24"/>
        </w:rPr>
        <w:t>el numeral 288 del Bando Municipal de Nextlalpan</w:t>
      </w:r>
      <w:r w:rsidR="006856A8">
        <w:rPr>
          <w:rFonts w:ascii="Palatino Linotype" w:hAnsi="Palatino Linotype" w:cs="Arial"/>
          <w:sz w:val="24"/>
          <w:szCs w:val="24"/>
        </w:rPr>
        <w:t xml:space="preserve">; </w:t>
      </w:r>
      <w:r w:rsidR="006856A8" w:rsidRPr="006856A8">
        <w:rPr>
          <w:rFonts w:ascii="Palatino Linotype" w:hAnsi="Palatino Linotype" w:cs="Arial"/>
          <w:sz w:val="24"/>
          <w:szCs w:val="24"/>
          <w:highlight w:val="cyan"/>
        </w:rPr>
        <w:t xml:space="preserve">así como el artículo 25 del Reglamento Interior del Instituto de Transparencia, Acceso a la Información Pública y Protección de Datos Personales del Estado de México y Municipios (publicado el 4 de noviembre de 2016 y abrogado el 7 de febrero de 2019), </w:t>
      </w:r>
      <w:r w:rsidR="00D03485" w:rsidRPr="006856A8">
        <w:rPr>
          <w:rFonts w:ascii="Palatino Linotype" w:hAnsi="Palatino Linotype" w:cs="Arial"/>
          <w:sz w:val="24"/>
          <w:szCs w:val="24"/>
          <w:highlight w:val="cyan"/>
        </w:rPr>
        <w:t>porciones normativas que disponen a la literalidad lo siguiente:</w:t>
      </w:r>
    </w:p>
    <w:p w14:paraId="7D3CB2D7" w14:textId="6AE05A1B" w:rsidR="009D4EE5" w:rsidRPr="00983A0B" w:rsidRDefault="009D4EE5" w:rsidP="00983A0B">
      <w:pPr>
        <w:pStyle w:val="Citas"/>
        <w:rPr>
          <w:b/>
          <w:bCs/>
          <w:i w:val="0"/>
          <w:iCs/>
        </w:rPr>
      </w:pPr>
      <w:r w:rsidRPr="00983A0B">
        <w:rPr>
          <w:b/>
          <w:bCs/>
          <w:i w:val="0"/>
          <w:iCs/>
        </w:rPr>
        <w:t>LEY DE TRANSPARENCIA Y ACCESO A LA INFORMACIÓN PÚBLICA DEL ESTADO DE MÉXICO Y MUNICIPIOS</w:t>
      </w:r>
    </w:p>
    <w:p w14:paraId="2D0A6C88" w14:textId="1CD84CEC" w:rsidR="009D4EE5" w:rsidRDefault="009D4EE5" w:rsidP="009D4EE5">
      <w:pPr>
        <w:pStyle w:val="Citas"/>
      </w:pPr>
      <w:r>
        <w:rPr>
          <w:sz w:val="24"/>
          <w:szCs w:val="24"/>
        </w:rPr>
        <w:t>“</w:t>
      </w:r>
      <w:r>
        <w:t>Artículo 3. Para los efectos de la presente Ley se entenderá por:</w:t>
      </w:r>
    </w:p>
    <w:p w14:paraId="4EA96FF0" w14:textId="5C4BD216" w:rsidR="009D4EE5" w:rsidRDefault="009D4EE5" w:rsidP="009D4EE5">
      <w:pPr>
        <w:pStyle w:val="Citas"/>
      </w:pPr>
      <w:r>
        <w:t>(…)</w:t>
      </w:r>
    </w:p>
    <w:p w14:paraId="77DD303C" w14:textId="05306EB4" w:rsidR="009D4EE5" w:rsidRDefault="009D4EE5" w:rsidP="009D4EE5">
      <w:pPr>
        <w:pStyle w:val="Citas"/>
      </w:pPr>
      <w:r>
        <w:t>XLIV. Unidad de transparencia: La establecida por los sujetos obligados para ingresar, actualizar y mantener vigente las obligaciones de información pública en sus respectivos portales de transparencia; tramitar las solicitudes de acceso a la información pública; y</w:t>
      </w:r>
    </w:p>
    <w:p w14:paraId="4C123655" w14:textId="135B6A3D" w:rsidR="009D4EE5" w:rsidRDefault="009D4EE5" w:rsidP="009D4EE5">
      <w:pPr>
        <w:pStyle w:val="Citas"/>
        <w:rPr>
          <w:sz w:val="24"/>
          <w:szCs w:val="24"/>
        </w:rPr>
      </w:pPr>
      <w:r>
        <w:rPr>
          <w:sz w:val="24"/>
          <w:szCs w:val="24"/>
        </w:rPr>
        <w:t>(…)</w:t>
      </w:r>
    </w:p>
    <w:p w14:paraId="659192CF" w14:textId="741CEF29" w:rsidR="009D4EE5" w:rsidRDefault="009D4EE5" w:rsidP="009D4EE5">
      <w:pPr>
        <w:pStyle w:val="Citas"/>
      </w:pPr>
      <w:r>
        <w:t>Artículo 50. Los sujetos obligados contarán con un área responsable para la atención de las solicitudes de información, a la que se le denominará Unidad de Transparencia.</w:t>
      </w:r>
    </w:p>
    <w:p w14:paraId="65CC3EF9" w14:textId="35075C69" w:rsidR="009D4EE5" w:rsidRPr="0058552C" w:rsidRDefault="009D4EE5" w:rsidP="009D4EE5">
      <w:pPr>
        <w:pStyle w:val="Citas"/>
      </w:pPr>
      <w:r w:rsidRPr="0058552C">
        <w:t xml:space="preserve">Artículo 214. El Instituto podrá imponer al servidor público encargado de cumplir con la resolución, o a los miembros de los sindicatos, partidos políticos o a la persona </w:t>
      </w:r>
      <w:r w:rsidRPr="0058552C">
        <w:lastRenderedPageBreak/>
        <w:t>física o jurídico colectiva responsable, las siguientes medidas de apremio para asegurar el cumplimiento, de sus determinaciones:</w:t>
      </w:r>
    </w:p>
    <w:p w14:paraId="6798BB15" w14:textId="77777777" w:rsidR="009D4EE5" w:rsidRPr="0058552C" w:rsidRDefault="009D4EE5" w:rsidP="009D4EE5">
      <w:pPr>
        <w:pStyle w:val="Citas"/>
      </w:pPr>
      <w:r w:rsidRPr="0058552C">
        <w:t xml:space="preserve">I. Apercibimiento; </w:t>
      </w:r>
    </w:p>
    <w:p w14:paraId="694E12A8" w14:textId="77777777" w:rsidR="009D4EE5" w:rsidRPr="0058552C" w:rsidRDefault="009D4EE5" w:rsidP="009D4EE5">
      <w:pPr>
        <w:pStyle w:val="Citas"/>
      </w:pPr>
      <w:r w:rsidRPr="0058552C">
        <w:t xml:space="preserve">II. Amonestación pública; y </w:t>
      </w:r>
    </w:p>
    <w:p w14:paraId="732EA4CC" w14:textId="77777777" w:rsidR="009D4EE5" w:rsidRPr="00591D7E" w:rsidRDefault="009D4EE5" w:rsidP="009D4EE5">
      <w:pPr>
        <w:pStyle w:val="Citas"/>
      </w:pPr>
      <w:r w:rsidRPr="00591D7E">
        <w:t xml:space="preserve">III. Multa, de ciento cincuenta hasta mil quinientas veces la UMA. </w:t>
      </w:r>
    </w:p>
    <w:p w14:paraId="5F752A48" w14:textId="39BAC7AA" w:rsidR="009D4EE5" w:rsidRPr="00591D7E" w:rsidRDefault="009D4EE5" w:rsidP="009D4EE5">
      <w:pPr>
        <w:pStyle w:val="Citas"/>
      </w:pPr>
      <w:r w:rsidRPr="00591D7E">
        <w:t>La multa mínima se impondrá cuando la conducta sea por primera vez y ésta se incrementará en un tanto por cada reincidencia, hasta llegar al límite superior.</w:t>
      </w:r>
    </w:p>
    <w:p w14:paraId="583B590A" w14:textId="376EE4D7" w:rsidR="009D4EE5" w:rsidRDefault="009D4EE5" w:rsidP="009D4EE5">
      <w:pPr>
        <w:pStyle w:val="Citas"/>
      </w:pPr>
      <w:r>
        <w:t xml:space="preserve">Artículo 217. Las medidas de apremio a que se refiere el presente Capítulo, deberán ser impuestas por el Instituto, de conformidad con los procedimientos que establezcan las disposiciones jurídicas aplicables. </w:t>
      </w:r>
    </w:p>
    <w:p w14:paraId="2795D377" w14:textId="3D4B940F" w:rsidR="009D4EE5" w:rsidRPr="002E5E93" w:rsidRDefault="009D4EE5" w:rsidP="009D4EE5">
      <w:pPr>
        <w:pStyle w:val="Citas"/>
      </w:pPr>
      <w:r w:rsidRPr="002E5E93">
        <w:t>Las multas que fije el Instituto se harán efectivas ante la Secretaría de Finanzas del Gobierno del Estado de México según corresponda, a través de los procedimientos que las leyes establezcan y el mecanismo implementado para ello.</w:t>
      </w:r>
    </w:p>
    <w:p w14:paraId="2EEA0540" w14:textId="77777777" w:rsidR="006C2549" w:rsidRDefault="006C2549" w:rsidP="009D4EE5">
      <w:pPr>
        <w:pStyle w:val="Citas"/>
      </w:pPr>
      <w:r>
        <w:t xml:space="preserve">Artículo 223. El Instituto dará vista al Órgano Interno de Control en términos de la Ley de Responsabilidades Administrativas del Estado de México y Municipios, para que determine el grado de responsabilidad de quienes incumplan con las obligaciones de la presente Ley. </w:t>
      </w:r>
    </w:p>
    <w:p w14:paraId="0267453E" w14:textId="51B52F72" w:rsidR="006C2549" w:rsidRDefault="006C2549" w:rsidP="009D4EE5">
      <w:pPr>
        <w:pStyle w:val="Citas"/>
      </w:pPr>
      <w:r>
        <w:t>El Instituto emitirá las resoluciones que impongan sanciones para efectos de registro a la Secretaría de la Contraloría del Gobierno del Estado de México y a las instancias homólogas de los demás sujetos obligados.</w:t>
      </w:r>
    </w:p>
    <w:p w14:paraId="6C4DEE2F" w14:textId="77777777" w:rsidR="006C2549" w:rsidRDefault="006C2549" w:rsidP="009D4EE5">
      <w:pPr>
        <w:pStyle w:val="Citas"/>
      </w:pPr>
      <w:r>
        <w:lastRenderedPageBreak/>
        <w:t xml:space="preserve">El Instituto, por acuerdo del Pleno podrá realizar un extrañamiento público al sujeto obligado que actualice alguna de las causas de responsabilidad administrativa, establecidas en esta Ley y en la Ley de Responsabilidades Administrativas del Estado de México y Municipios, sin necesidad de que inicie el procedimiento administrativo disciplinario. </w:t>
      </w:r>
    </w:p>
    <w:p w14:paraId="0AFC1FC1" w14:textId="77777777" w:rsidR="006C2549" w:rsidRPr="00591D7E" w:rsidRDefault="006C2549" w:rsidP="009D4EE5">
      <w:pPr>
        <w:pStyle w:val="Citas"/>
      </w:pPr>
      <w:r w:rsidRPr="00591D7E">
        <w:t xml:space="preserve">Las sanciones de carácter económico no podrán ser cubiertas con recursos públicos. </w:t>
      </w:r>
    </w:p>
    <w:p w14:paraId="1DB9DA8A" w14:textId="367A6D9E" w:rsidR="006C2549" w:rsidRPr="006C2549" w:rsidRDefault="006C2549" w:rsidP="009D4EE5">
      <w:pPr>
        <w:pStyle w:val="Citas"/>
        <w:rPr>
          <w:b/>
          <w:bCs/>
        </w:rPr>
      </w:pPr>
      <w:r>
        <w:t xml:space="preserve">Las conductas a que se refiere este artículo serán sancionadas por el Instituto, de conformidad con lo previsto en la Ley de Responsabilidades Administrativas del Estado de México y Municipios. En su caso, darán vista a la autoridad competente para que imponga o ejecute la sanción” </w:t>
      </w:r>
      <w:r>
        <w:rPr>
          <w:b/>
          <w:bCs/>
        </w:rPr>
        <w:t>(Sic)</w:t>
      </w:r>
    </w:p>
    <w:p w14:paraId="0787E10E" w14:textId="77777777" w:rsidR="009D4EE5" w:rsidRDefault="009D4EE5" w:rsidP="00CB7611">
      <w:pPr>
        <w:spacing w:before="240" w:line="360" w:lineRule="auto"/>
        <w:jc w:val="both"/>
        <w:rPr>
          <w:rFonts w:ascii="Palatino Linotype" w:hAnsi="Palatino Linotype" w:cs="Arial"/>
          <w:sz w:val="24"/>
          <w:szCs w:val="24"/>
        </w:rPr>
      </w:pPr>
    </w:p>
    <w:p w14:paraId="67365937" w14:textId="31C94EE8" w:rsidR="00591D7E" w:rsidRPr="00983A0B" w:rsidRDefault="00983A0B" w:rsidP="00983A0B">
      <w:pPr>
        <w:pStyle w:val="Citas"/>
        <w:jc w:val="center"/>
        <w:rPr>
          <w:b/>
          <w:bCs/>
          <w:i w:val="0"/>
          <w:iCs/>
        </w:rPr>
      </w:pPr>
      <w:r w:rsidRPr="00983A0B">
        <w:rPr>
          <w:b/>
          <w:bCs/>
          <w:i w:val="0"/>
          <w:iCs/>
        </w:rPr>
        <w:t>BANDO MUNICIPAL DE NEXTLALPAN 2024</w:t>
      </w:r>
    </w:p>
    <w:p w14:paraId="2C874F47" w14:textId="321297BE" w:rsidR="00CB7611" w:rsidRPr="00983A0B" w:rsidRDefault="00983A0B" w:rsidP="00983A0B">
      <w:pPr>
        <w:pStyle w:val="Citas"/>
        <w:rPr>
          <w:b/>
          <w:bCs/>
        </w:rPr>
      </w:pPr>
      <w:r>
        <w:t>“</w:t>
      </w:r>
      <w:r w:rsidR="00591D7E" w:rsidRPr="00983A0B">
        <w:t>Artículo 288.- Las Personas Físicas o Jurídico Colectivas, podrán acceder a los registros y documentos que forman parte de un expediente; o bien, a los archivos administrativos, cualquiera que sea la forma de expresión ya sea gráfica, sonora o en imagen o el tipo de soporte o material en que figuren, siempre que tales expedientes correspondan a procedimientos terminados a la fecha de la presentación de la solicitud, con excepción de aquellos que sean clasificados como información con carácter de reservada o confidencial. Lo anterior, de conformidad con la Ley General de Transparencia y Acceso a la Información Pública y Ley de Transparencia y Acceso a la Información Pública del Estado de México y Municipios</w:t>
      </w:r>
      <w:r>
        <w:t xml:space="preserve">” </w:t>
      </w:r>
      <w:r>
        <w:rPr>
          <w:b/>
          <w:bCs/>
        </w:rPr>
        <w:t>(Sic)</w:t>
      </w:r>
    </w:p>
    <w:p w14:paraId="10287492" w14:textId="77777777" w:rsidR="00591D7E" w:rsidRDefault="00591D7E" w:rsidP="009D4EE5">
      <w:pPr>
        <w:pStyle w:val="Citas"/>
        <w:ind w:left="0"/>
        <w:rPr>
          <w:i w:val="0"/>
          <w:iCs/>
          <w:sz w:val="24"/>
          <w:szCs w:val="24"/>
        </w:rPr>
      </w:pPr>
    </w:p>
    <w:p w14:paraId="2E03C0FA" w14:textId="472A475D" w:rsidR="006856A8" w:rsidRPr="0074485A" w:rsidRDefault="006856A8" w:rsidP="006856A8">
      <w:pPr>
        <w:pStyle w:val="Citas"/>
        <w:rPr>
          <w:b/>
          <w:bCs/>
          <w:i w:val="0"/>
          <w:iCs/>
          <w:highlight w:val="cyan"/>
        </w:rPr>
      </w:pPr>
      <w:r w:rsidRPr="0074485A">
        <w:rPr>
          <w:b/>
          <w:bCs/>
          <w:i w:val="0"/>
          <w:iCs/>
          <w:highlight w:val="cyan"/>
        </w:rPr>
        <w:lastRenderedPageBreak/>
        <w:t xml:space="preserve">REGLAMENTO INTERIOR DEL INSTITUTO DE TRANSPARENCIA, ACCESO A LA INFORMACIÓN PÚBLICA Y PROTECCIÓN DE DATOS PERSONALES DEL ESTADO DE MÉXICO Y MUNICIPIOS (PUBLICADO EL 4 DE NOVIEMBRE DE 2016 Y ABROGADO EL 7 DE FEBRERO DE 2019) </w:t>
      </w:r>
    </w:p>
    <w:p w14:paraId="7ACEACC3" w14:textId="7697686B" w:rsidR="006856A8" w:rsidRPr="006856A8" w:rsidRDefault="006856A8" w:rsidP="006856A8">
      <w:pPr>
        <w:pStyle w:val="Citas"/>
        <w:rPr>
          <w:highlight w:val="cyan"/>
        </w:rPr>
      </w:pPr>
      <w:r w:rsidRPr="006856A8">
        <w:rPr>
          <w:highlight w:val="cyan"/>
        </w:rPr>
        <w:t>“Artículo 25. Corresponde a la Contraloría Interna y Órgano de Control y Vigilancia ejercer las atribuciones siguientes:</w:t>
      </w:r>
    </w:p>
    <w:p w14:paraId="2F00948E" w14:textId="59807F94" w:rsidR="006856A8" w:rsidRPr="006856A8" w:rsidRDefault="006856A8" w:rsidP="006856A8">
      <w:pPr>
        <w:pStyle w:val="Citas"/>
        <w:rPr>
          <w:highlight w:val="cyan"/>
        </w:rPr>
      </w:pPr>
      <w:r w:rsidRPr="006856A8">
        <w:rPr>
          <w:highlight w:val="cyan"/>
        </w:rPr>
        <w:t>(…)</w:t>
      </w:r>
    </w:p>
    <w:p w14:paraId="13093A62" w14:textId="1BB9BC7B" w:rsidR="006856A8" w:rsidRPr="006856A8" w:rsidRDefault="006856A8" w:rsidP="006856A8">
      <w:pPr>
        <w:pStyle w:val="Citas"/>
        <w:rPr>
          <w:highlight w:val="cyan"/>
        </w:rPr>
      </w:pPr>
      <w:r w:rsidRPr="006856A8">
        <w:rPr>
          <w:highlight w:val="cyan"/>
        </w:rPr>
        <w:t>XXV. Promover ante los órganos internos de control o equivalentes de los Sujetos Obligados, las acciones y responsabilidades a que hubiera lugar;</w:t>
      </w:r>
    </w:p>
    <w:p w14:paraId="2B3148A0" w14:textId="33020A79" w:rsidR="006856A8" w:rsidRPr="006856A8" w:rsidRDefault="006856A8" w:rsidP="006856A8">
      <w:pPr>
        <w:pStyle w:val="Citas"/>
        <w:rPr>
          <w:highlight w:val="cyan"/>
        </w:rPr>
      </w:pPr>
      <w:r w:rsidRPr="006856A8">
        <w:rPr>
          <w:highlight w:val="cyan"/>
        </w:rPr>
        <w:t>XXVI. Promover ante la autoridad competente la ejecución de las medidas de apremio a que haya lugar, de conformidad con el Código Financiero del Estado de México y Municipios;</w:t>
      </w:r>
    </w:p>
    <w:p w14:paraId="65616935" w14:textId="1629A821" w:rsidR="006856A8" w:rsidRPr="006856A8" w:rsidRDefault="006856A8" w:rsidP="006856A8">
      <w:pPr>
        <w:pStyle w:val="Citas"/>
        <w:rPr>
          <w:highlight w:val="cyan"/>
        </w:rPr>
      </w:pPr>
      <w:r w:rsidRPr="006856A8">
        <w:rPr>
          <w:highlight w:val="cyan"/>
        </w:rPr>
        <w:t>XXVII. Cuando lo estime necesario, la Contraloría Interna coordinará sus acciones con los órganos internos de control o equivalentes de los Sujetos Obligados;</w:t>
      </w:r>
    </w:p>
    <w:p w14:paraId="4191CC87" w14:textId="3EC8E4C3" w:rsidR="006856A8" w:rsidRPr="006856A8" w:rsidRDefault="006856A8" w:rsidP="006856A8">
      <w:pPr>
        <w:pStyle w:val="Citas"/>
        <w:rPr>
          <w:b/>
          <w:bCs/>
        </w:rPr>
      </w:pPr>
      <w:r w:rsidRPr="006856A8">
        <w:rPr>
          <w:highlight w:val="cyan"/>
        </w:rPr>
        <w:t xml:space="preserve">(…)” </w:t>
      </w:r>
      <w:r w:rsidRPr="006856A8">
        <w:rPr>
          <w:b/>
          <w:bCs/>
          <w:highlight w:val="cyan"/>
        </w:rPr>
        <w:t>(Sic)</w:t>
      </w:r>
    </w:p>
    <w:p w14:paraId="199063EE" w14:textId="77777777" w:rsidR="006856A8" w:rsidRPr="006856A8" w:rsidRDefault="006856A8" w:rsidP="006856A8">
      <w:pPr>
        <w:pStyle w:val="Citas"/>
        <w:rPr>
          <w:i w:val="0"/>
          <w:iCs/>
          <w:sz w:val="24"/>
          <w:szCs w:val="24"/>
        </w:rPr>
      </w:pPr>
    </w:p>
    <w:p w14:paraId="043DB55A" w14:textId="14F462A1" w:rsidR="009D4EE5" w:rsidRPr="0058552C" w:rsidRDefault="009D4EE5" w:rsidP="009D4EE5">
      <w:pPr>
        <w:spacing w:before="240" w:line="360" w:lineRule="auto"/>
        <w:jc w:val="both"/>
        <w:rPr>
          <w:rFonts w:ascii="Palatino Linotype" w:hAnsi="Palatino Linotype" w:cs="Arial"/>
          <w:sz w:val="24"/>
          <w:szCs w:val="24"/>
        </w:rPr>
      </w:pPr>
      <w:r w:rsidRPr="0058552C">
        <w:rPr>
          <w:rFonts w:ascii="Palatino Linotype" w:hAnsi="Palatino Linotype"/>
          <w:sz w:val="24"/>
          <w:szCs w:val="24"/>
        </w:rPr>
        <w:t xml:space="preserve">Ciertamente, del análisis sistemático y armónico de la normatividad previamente plasmada se desprende que para vencer la </w:t>
      </w:r>
      <w:r w:rsidRPr="0058552C">
        <w:rPr>
          <w:rFonts w:ascii="Palatino Linotype" w:hAnsi="Palatino Linotype" w:cs="Arial"/>
          <w:sz w:val="24"/>
          <w:szCs w:val="24"/>
        </w:rPr>
        <w:t xml:space="preserve">contumacia de los sujetos obligados y asegurar el cumplimiento de sus determinaciones, la esfera competencial del Órgano Garante local </w:t>
      </w:r>
      <w:r w:rsidR="001C0F57" w:rsidRPr="001C0F57">
        <w:rPr>
          <w:rFonts w:ascii="Palatino Linotype" w:hAnsi="Palatino Linotype" w:cs="Arial"/>
          <w:b/>
          <w:bCs/>
          <w:sz w:val="24"/>
          <w:szCs w:val="24"/>
          <w:highlight w:val="cyan"/>
        </w:rPr>
        <w:t>VIGENTE</w:t>
      </w:r>
      <w:r w:rsidR="001C0F57">
        <w:rPr>
          <w:rFonts w:ascii="Palatino Linotype" w:hAnsi="Palatino Linotype" w:cs="Arial"/>
          <w:b/>
          <w:bCs/>
          <w:sz w:val="24"/>
          <w:szCs w:val="24"/>
        </w:rPr>
        <w:t xml:space="preserve"> </w:t>
      </w:r>
      <w:r w:rsidRPr="0058552C">
        <w:rPr>
          <w:rFonts w:ascii="Palatino Linotype" w:hAnsi="Palatino Linotype" w:cs="Arial"/>
          <w:sz w:val="24"/>
          <w:szCs w:val="24"/>
        </w:rPr>
        <w:t xml:space="preserve">le faculta para imponer diversas medidas de apremio, las </w:t>
      </w:r>
      <w:r w:rsidRPr="0058552C">
        <w:rPr>
          <w:rFonts w:ascii="Palatino Linotype" w:hAnsi="Palatino Linotype" w:cs="Arial"/>
          <w:sz w:val="24"/>
          <w:szCs w:val="24"/>
        </w:rPr>
        <w:lastRenderedPageBreak/>
        <w:t xml:space="preserve">cuales podrán ser impuestas en cualquier orden, atendiendo a las condiciones de la falta, la gravedad de la infracción, pertinencia de la medida y reincidencia. </w:t>
      </w:r>
    </w:p>
    <w:p w14:paraId="39A446C1" w14:textId="29770A21" w:rsidR="006856A8" w:rsidRPr="00983A0B" w:rsidRDefault="00983A0B" w:rsidP="009D4EE5">
      <w:pPr>
        <w:spacing w:before="240" w:line="360" w:lineRule="auto"/>
        <w:jc w:val="both"/>
        <w:rPr>
          <w:rFonts w:ascii="Palatino Linotype" w:hAnsi="Palatino Linotype" w:cs="Arial"/>
          <w:sz w:val="24"/>
          <w:szCs w:val="24"/>
        </w:rPr>
      </w:pPr>
      <w:r w:rsidRPr="001C0F57">
        <w:rPr>
          <w:rFonts w:ascii="Palatino Linotype" w:hAnsi="Palatino Linotype" w:cs="Arial"/>
          <w:sz w:val="24"/>
          <w:szCs w:val="24"/>
          <w:highlight w:val="cyan"/>
        </w:rPr>
        <w:t xml:space="preserve">Precisando que </w:t>
      </w:r>
      <w:r w:rsidR="006856A8" w:rsidRPr="001C0F57">
        <w:rPr>
          <w:rFonts w:ascii="Palatino Linotype" w:hAnsi="Palatino Linotype" w:cs="Arial"/>
          <w:sz w:val="24"/>
          <w:szCs w:val="24"/>
          <w:highlight w:val="cyan"/>
        </w:rPr>
        <w:t xml:space="preserve">en términos del reglamento interior del órgano garante (publicado el 4 de noviembre de 2016 y </w:t>
      </w:r>
      <w:r w:rsidR="001C0F57" w:rsidRPr="001C0F57">
        <w:rPr>
          <w:rFonts w:ascii="Palatino Linotype" w:hAnsi="Palatino Linotype" w:cs="Arial"/>
          <w:b/>
          <w:bCs/>
          <w:sz w:val="24"/>
          <w:szCs w:val="24"/>
          <w:highlight w:val="cyan"/>
        </w:rPr>
        <w:t>ABROGADO</w:t>
      </w:r>
      <w:r w:rsidR="001C0F57" w:rsidRPr="001C0F57">
        <w:rPr>
          <w:rFonts w:ascii="Palatino Linotype" w:hAnsi="Palatino Linotype" w:cs="Arial"/>
          <w:sz w:val="24"/>
          <w:szCs w:val="24"/>
          <w:highlight w:val="cyan"/>
        </w:rPr>
        <w:t xml:space="preserve"> </w:t>
      </w:r>
      <w:r w:rsidR="006856A8" w:rsidRPr="001C0F57">
        <w:rPr>
          <w:rFonts w:ascii="Palatino Linotype" w:hAnsi="Palatino Linotype" w:cs="Arial"/>
          <w:sz w:val="24"/>
          <w:szCs w:val="24"/>
          <w:highlight w:val="cyan"/>
        </w:rPr>
        <w:t xml:space="preserve">el 7 de febrero de 2019), la autoridad competente en materia de transparencia para validar el cumplimiento de resoluciones era el Órgano Interno de Control del órgano garante, </w:t>
      </w:r>
      <w:r w:rsidR="001C0F57" w:rsidRPr="001C0F57">
        <w:rPr>
          <w:rFonts w:ascii="Palatino Linotype" w:hAnsi="Palatino Linotype" w:cs="Arial"/>
          <w:sz w:val="24"/>
          <w:szCs w:val="24"/>
          <w:highlight w:val="cyan"/>
        </w:rPr>
        <w:t xml:space="preserve">mientras que la imposición de las medidas de apremio se trataba de una facultad reservada al órgano interno de control del </w:t>
      </w:r>
      <w:r w:rsidR="001C0F57" w:rsidRPr="001C0F57">
        <w:rPr>
          <w:rFonts w:ascii="Palatino Linotype" w:hAnsi="Palatino Linotype" w:cs="Arial"/>
          <w:b/>
          <w:bCs/>
          <w:sz w:val="24"/>
          <w:szCs w:val="24"/>
          <w:highlight w:val="cyan"/>
        </w:rPr>
        <w:t>Sujeto Obligado.</w:t>
      </w:r>
      <w:r w:rsidR="001C0F57">
        <w:rPr>
          <w:rFonts w:ascii="Palatino Linotype" w:hAnsi="Palatino Linotype" w:cs="Arial"/>
          <w:sz w:val="24"/>
          <w:szCs w:val="24"/>
        </w:rPr>
        <w:t xml:space="preserve"> </w:t>
      </w:r>
    </w:p>
    <w:p w14:paraId="3A48C9D6" w14:textId="05D37294" w:rsidR="00983A0B" w:rsidRDefault="00CB7611" w:rsidP="00CB7611">
      <w:pPr>
        <w:pStyle w:val="Prrafodelista"/>
        <w:autoSpaceDE w:val="0"/>
        <w:autoSpaceDN w:val="0"/>
        <w:adjustRightInd w:val="0"/>
        <w:spacing w:before="240" w:after="160" w:line="360" w:lineRule="auto"/>
        <w:ind w:left="0"/>
        <w:jc w:val="both"/>
        <w:rPr>
          <w:rFonts w:ascii="Palatino Linotype" w:hAnsi="Palatino Linotype" w:cs="Arial"/>
          <w:lang w:val="es-MX"/>
        </w:rPr>
      </w:pPr>
      <w:r>
        <w:rPr>
          <w:rFonts w:ascii="Palatino Linotype" w:hAnsi="Palatino Linotype" w:cs="Arial"/>
          <w:lang w:val="es-MX"/>
        </w:rPr>
        <w:t xml:space="preserve">Una vez sentado lo anterior, como se mencionó en el antecedente </w:t>
      </w:r>
      <w:r w:rsidR="00983A0B">
        <w:rPr>
          <w:rFonts w:ascii="Palatino Linotype" w:hAnsi="Palatino Linotype" w:cs="Arial"/>
          <w:lang w:val="es-MX"/>
        </w:rPr>
        <w:t>segundo</w:t>
      </w:r>
      <w:r>
        <w:rPr>
          <w:rFonts w:ascii="Palatino Linotype" w:hAnsi="Palatino Linotype" w:cs="Arial"/>
          <w:lang w:val="es-MX"/>
        </w:rPr>
        <w:t xml:space="preserve">, </w:t>
      </w:r>
      <w:r>
        <w:rPr>
          <w:rFonts w:ascii="Palatino Linotype" w:hAnsi="Palatino Linotype" w:cs="Arial"/>
          <w:b/>
          <w:bCs/>
          <w:lang w:val="es-MX"/>
        </w:rPr>
        <w:t xml:space="preserve">El Sujeto Obligado </w:t>
      </w:r>
      <w:r>
        <w:rPr>
          <w:rFonts w:ascii="Palatino Linotype" w:hAnsi="Palatino Linotype" w:cs="Arial"/>
          <w:lang w:val="es-MX"/>
        </w:rPr>
        <w:t xml:space="preserve">en fecha </w:t>
      </w:r>
      <w:r w:rsidR="00983A0B">
        <w:rPr>
          <w:rFonts w:ascii="Palatino Linotype" w:hAnsi="Palatino Linotype" w:cs="Arial"/>
          <w:b/>
          <w:bCs/>
          <w:lang w:val="es-MX"/>
        </w:rPr>
        <w:t xml:space="preserve">cuatro de diciembre de dos mil veinticuatro, </w:t>
      </w:r>
      <w:r w:rsidR="00983A0B">
        <w:rPr>
          <w:rFonts w:ascii="Palatino Linotype" w:hAnsi="Palatino Linotype" w:cs="Arial"/>
          <w:lang w:val="es-MX"/>
        </w:rPr>
        <w:t>rindió su respuesta a la solicitud de información, adjuntando para tal efecto lo siguiente:</w:t>
      </w:r>
    </w:p>
    <w:p w14:paraId="6216C705" w14:textId="38528E16" w:rsidR="00983A0B" w:rsidRPr="00983A0B" w:rsidRDefault="00983A0B" w:rsidP="00754771">
      <w:pPr>
        <w:pStyle w:val="Prrafodelista"/>
        <w:numPr>
          <w:ilvl w:val="0"/>
          <w:numId w:val="8"/>
        </w:numPr>
        <w:autoSpaceDE w:val="0"/>
        <w:autoSpaceDN w:val="0"/>
        <w:adjustRightInd w:val="0"/>
        <w:spacing w:before="240" w:after="160" w:line="360" w:lineRule="auto"/>
        <w:jc w:val="both"/>
        <w:rPr>
          <w:rFonts w:ascii="Palatino Linotype" w:hAnsi="Palatino Linotype" w:cs="Arial"/>
          <w:b/>
          <w:bCs/>
          <w:lang w:val="es-MX"/>
        </w:rPr>
      </w:pPr>
      <w:r>
        <w:rPr>
          <w:rFonts w:ascii="Palatino Linotype" w:hAnsi="Palatino Linotype" w:cs="Arial"/>
          <w:b/>
          <w:bCs/>
          <w:lang w:val="es-MX"/>
        </w:rPr>
        <w:t xml:space="preserve">“RESPUESTA-SOLICITUD-00084-2024.pdf”: </w:t>
      </w:r>
      <w:r>
        <w:rPr>
          <w:rFonts w:ascii="Palatino Linotype" w:hAnsi="Palatino Linotype" w:cs="Arial"/>
          <w:lang w:val="es-MX"/>
        </w:rPr>
        <w:t xml:space="preserve">Oficio número </w:t>
      </w:r>
      <w:r>
        <w:rPr>
          <w:rFonts w:ascii="Palatino Linotype" w:hAnsi="Palatino Linotype" w:cs="Arial"/>
          <w:b/>
          <w:bCs/>
          <w:lang w:val="es-MX"/>
        </w:rPr>
        <w:t xml:space="preserve">NEXUTAIP/167/2024 </w:t>
      </w:r>
      <w:r>
        <w:rPr>
          <w:rFonts w:ascii="Palatino Linotype" w:hAnsi="Palatino Linotype" w:cs="Arial"/>
          <w:lang w:val="es-MX"/>
        </w:rPr>
        <w:t>signado por la titular de la unidad de transparencia, dirigido al particular, de fecha tres de diciembre de dos mil veinticuatro, resulta de nuestro interés el siguiente extracto:</w:t>
      </w:r>
    </w:p>
    <w:p w14:paraId="74605E57" w14:textId="5D173C05" w:rsidR="00983A0B" w:rsidRPr="00D510BB" w:rsidRDefault="00983A0B" w:rsidP="00983A0B">
      <w:pPr>
        <w:pStyle w:val="Prrafodelista"/>
        <w:autoSpaceDE w:val="0"/>
        <w:autoSpaceDN w:val="0"/>
        <w:adjustRightInd w:val="0"/>
        <w:spacing w:before="240" w:after="160" w:line="360" w:lineRule="auto"/>
        <w:ind w:left="720"/>
        <w:jc w:val="both"/>
        <w:rPr>
          <w:rFonts w:ascii="Palatino Linotype" w:hAnsi="Palatino Linotype" w:cs="Arial"/>
          <w:b/>
          <w:bCs/>
          <w:i/>
          <w:iCs/>
          <w:lang w:val="es-MX"/>
        </w:rPr>
      </w:pPr>
      <w:r>
        <w:rPr>
          <w:rFonts w:ascii="Palatino Linotype" w:hAnsi="Palatino Linotype" w:cs="Arial"/>
          <w:i/>
          <w:iCs/>
          <w:lang w:val="es-MX"/>
        </w:rPr>
        <w:t>“Se informa que la presente solicitud NO ES COMPETENCIA del Ayuntamiento de Nextlalpan; por lo que se orienta al solicitante</w:t>
      </w:r>
      <w:r w:rsidR="00D510BB">
        <w:rPr>
          <w:rFonts w:ascii="Palatino Linotype" w:hAnsi="Palatino Linotype" w:cs="Arial"/>
          <w:i/>
          <w:iCs/>
          <w:lang w:val="es-MX"/>
        </w:rPr>
        <w:t xml:space="preserve"> a presentar la solicitud, al Instituto de Transparencia, Acceso a la Información Pública y Protección de Datos Personales del Estado de México y Municipios (INFOEM); en el siguiente link: </w:t>
      </w:r>
      <w:hyperlink r:id="rId11" w:history="1">
        <w:r w:rsidR="00D510BB" w:rsidRPr="006F7DB2">
          <w:rPr>
            <w:rStyle w:val="Hipervnculo"/>
            <w:rFonts w:ascii="Palatino Linotype" w:hAnsi="Palatino Linotype" w:cs="Arial"/>
            <w:i/>
            <w:iCs/>
            <w:lang w:val="es-MX"/>
          </w:rPr>
          <w:t>https://www.infoem.org.mx</w:t>
        </w:r>
      </w:hyperlink>
      <w:r w:rsidR="00D510BB">
        <w:rPr>
          <w:rFonts w:ascii="Palatino Linotype" w:hAnsi="Palatino Linotype" w:cs="Arial"/>
          <w:i/>
          <w:iCs/>
          <w:lang w:val="es-MX"/>
        </w:rPr>
        <w:t xml:space="preserve">” </w:t>
      </w:r>
      <w:r w:rsidR="00D510BB">
        <w:rPr>
          <w:rFonts w:ascii="Palatino Linotype" w:hAnsi="Palatino Linotype" w:cs="Arial"/>
          <w:b/>
          <w:bCs/>
          <w:i/>
          <w:iCs/>
          <w:lang w:val="es-MX"/>
        </w:rPr>
        <w:t>(Sic)</w:t>
      </w:r>
    </w:p>
    <w:p w14:paraId="057827BD" w14:textId="77777777" w:rsidR="00747F01" w:rsidRDefault="00747F01" w:rsidP="001D5474">
      <w:pPr>
        <w:spacing w:before="240" w:line="360" w:lineRule="auto"/>
        <w:jc w:val="both"/>
        <w:rPr>
          <w:rFonts w:ascii="Palatino Linotype" w:hAnsi="Palatino Linotype" w:cs="Arial"/>
          <w:color w:val="000000"/>
          <w:sz w:val="24"/>
          <w:lang w:val="es-ES_tradnl"/>
        </w:rPr>
      </w:pPr>
    </w:p>
    <w:p w14:paraId="77FD3CB0" w14:textId="5A839857" w:rsidR="00D510BB" w:rsidRDefault="00D510BB" w:rsidP="001D5474">
      <w:pPr>
        <w:spacing w:before="240" w:line="360" w:lineRule="auto"/>
        <w:jc w:val="both"/>
        <w:rPr>
          <w:rFonts w:ascii="Palatino Linotype" w:hAnsi="Palatino Linotype" w:cs="Arial"/>
          <w:color w:val="000000"/>
          <w:sz w:val="24"/>
          <w:lang w:val="es-ES_tradnl"/>
        </w:rPr>
      </w:pPr>
      <w:r>
        <w:rPr>
          <w:rFonts w:ascii="Palatino Linotype" w:hAnsi="Palatino Linotype" w:cs="Arial"/>
          <w:color w:val="000000"/>
          <w:sz w:val="24"/>
          <w:lang w:val="es-ES_tradnl"/>
        </w:rPr>
        <w:lastRenderedPageBreak/>
        <w:t xml:space="preserve">Bajo este contexto, es conveniente acotar que la postura inicial del </w:t>
      </w:r>
      <w:r>
        <w:rPr>
          <w:rFonts w:ascii="Palatino Linotype" w:hAnsi="Palatino Linotype" w:cs="Arial"/>
          <w:b/>
          <w:bCs/>
          <w:color w:val="000000"/>
          <w:sz w:val="24"/>
          <w:lang w:val="es-ES_tradnl"/>
        </w:rPr>
        <w:t xml:space="preserve">Sujeto Obligado </w:t>
      </w:r>
      <w:r>
        <w:rPr>
          <w:rFonts w:ascii="Palatino Linotype" w:hAnsi="Palatino Linotype" w:cs="Arial"/>
          <w:color w:val="000000"/>
          <w:sz w:val="24"/>
          <w:lang w:val="es-ES_tradnl"/>
        </w:rPr>
        <w:t xml:space="preserve">redundó en declinar competencia de forma oportuna a favor del órgano garante local. </w:t>
      </w:r>
    </w:p>
    <w:p w14:paraId="288FCC96" w14:textId="77777777" w:rsidR="00D510BB" w:rsidRPr="00394872" w:rsidRDefault="00D510BB" w:rsidP="00D510BB">
      <w:pPr>
        <w:spacing w:line="360" w:lineRule="auto"/>
        <w:ind w:right="39"/>
        <w:jc w:val="both"/>
        <w:rPr>
          <w:rFonts w:ascii="Palatino Linotype" w:eastAsia="Palatino Linotype" w:hAnsi="Palatino Linotype" w:cs="Palatino Linotype"/>
          <w:sz w:val="24"/>
          <w:szCs w:val="24"/>
          <w:lang w:val="es-ES_tradnl"/>
        </w:rPr>
      </w:pPr>
      <w:r w:rsidRPr="00394872">
        <w:rPr>
          <w:rFonts w:ascii="Palatino Linotype" w:eastAsia="Palatino Linotype" w:hAnsi="Palatino Linotype" w:cs="Palatino Linotype"/>
          <w:sz w:val="24"/>
          <w:szCs w:val="24"/>
          <w:lang w:val="es-ES_tradnl"/>
        </w:rPr>
        <w:t>Ante dicha situación, la Ley de Transparencia estatal prevé en su artículo 167, lo siguiente:</w:t>
      </w:r>
    </w:p>
    <w:p w14:paraId="2FA862C5" w14:textId="77777777" w:rsidR="00D510BB" w:rsidRPr="00394872" w:rsidRDefault="00D510BB" w:rsidP="00D510BB">
      <w:pPr>
        <w:spacing w:line="360" w:lineRule="auto"/>
        <w:ind w:left="567" w:right="606"/>
        <w:jc w:val="both"/>
        <w:rPr>
          <w:rFonts w:ascii="Palatino Linotype" w:eastAsia="Palatino Linotype" w:hAnsi="Palatino Linotype" w:cs="Palatino Linotype"/>
          <w:b/>
          <w:bCs/>
          <w:i/>
          <w:iCs/>
          <w:sz w:val="24"/>
          <w:szCs w:val="24"/>
        </w:rPr>
      </w:pPr>
      <w:r>
        <w:rPr>
          <w:rFonts w:ascii="Palatino Linotype" w:eastAsia="Palatino Linotype" w:hAnsi="Palatino Linotype" w:cs="Palatino Linotype"/>
          <w:b/>
          <w:i/>
          <w:iCs/>
          <w:sz w:val="24"/>
          <w:szCs w:val="24"/>
        </w:rPr>
        <w:t>“</w:t>
      </w:r>
      <w:r w:rsidRPr="00394872">
        <w:rPr>
          <w:rFonts w:ascii="Palatino Linotype" w:eastAsia="Palatino Linotype" w:hAnsi="Palatino Linotype" w:cs="Palatino Linotype"/>
          <w:b/>
          <w:i/>
          <w:iCs/>
          <w:sz w:val="24"/>
          <w:szCs w:val="24"/>
        </w:rPr>
        <w:t xml:space="preserve">Artículo 167. </w:t>
      </w:r>
      <w:r w:rsidRPr="00394872">
        <w:rPr>
          <w:rFonts w:ascii="Palatino Linotype" w:eastAsia="Palatino Linotype" w:hAnsi="Palatino Linotype" w:cs="Palatino Linotype"/>
          <w:b/>
          <w:bCs/>
          <w:i/>
          <w:iCs/>
          <w:sz w:val="24"/>
          <w:szCs w:val="24"/>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69E1F5F5" w14:textId="77777777" w:rsidR="00D510BB" w:rsidRPr="00394872" w:rsidRDefault="00D510BB" w:rsidP="00D510BB">
      <w:pPr>
        <w:spacing w:line="360" w:lineRule="auto"/>
        <w:ind w:left="567" w:right="606"/>
        <w:jc w:val="both"/>
        <w:rPr>
          <w:rFonts w:ascii="Palatino Linotype" w:eastAsia="Palatino Linotype" w:hAnsi="Palatino Linotype" w:cs="Palatino Linotype"/>
          <w:i/>
          <w:iCs/>
          <w:sz w:val="24"/>
          <w:szCs w:val="24"/>
        </w:rPr>
      </w:pPr>
      <w:r w:rsidRPr="00394872">
        <w:rPr>
          <w:rFonts w:ascii="Palatino Linotype" w:eastAsia="Palatino Linotype" w:hAnsi="Palatino Linotype" w:cs="Palatino Linotype"/>
          <w:i/>
          <w:iCs/>
          <w:sz w:val="24"/>
          <w:szCs w:val="24"/>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1CA5A268" w14:textId="77777777" w:rsidR="00D510BB" w:rsidRPr="00394872" w:rsidRDefault="00D510BB" w:rsidP="00D510BB">
      <w:pPr>
        <w:spacing w:line="360" w:lineRule="auto"/>
        <w:ind w:left="567" w:right="606"/>
        <w:jc w:val="both"/>
        <w:rPr>
          <w:rFonts w:ascii="Palatino Linotype" w:eastAsia="Palatino Linotype" w:hAnsi="Palatino Linotype" w:cs="Palatino Linotype"/>
          <w:b/>
          <w:bCs/>
          <w:i/>
          <w:iCs/>
          <w:sz w:val="24"/>
          <w:szCs w:val="24"/>
        </w:rPr>
      </w:pPr>
      <w:r w:rsidRPr="00394872">
        <w:rPr>
          <w:rFonts w:ascii="Palatino Linotype" w:eastAsia="Palatino Linotype" w:hAnsi="Palatino Linotype" w:cs="Palatino Linotype"/>
          <w:i/>
          <w:iCs/>
          <w:sz w:val="24"/>
          <w:szCs w:val="24"/>
        </w:rPr>
        <w:t>Si transcurrido el plazo señalado en el primer párrafo de este artículo, el sujeto obligado no declina la competencia en los términos establecidos, podrá canalizar la solicitud ante el sujeto obligado competente.</w:t>
      </w:r>
      <w:r>
        <w:rPr>
          <w:rFonts w:ascii="Palatino Linotype" w:eastAsia="Palatino Linotype" w:hAnsi="Palatino Linotype" w:cs="Palatino Linotype"/>
          <w:i/>
          <w:iCs/>
          <w:sz w:val="24"/>
          <w:szCs w:val="24"/>
        </w:rPr>
        <w:t xml:space="preserve">” </w:t>
      </w:r>
      <w:r>
        <w:rPr>
          <w:rFonts w:ascii="Palatino Linotype" w:eastAsia="Palatino Linotype" w:hAnsi="Palatino Linotype" w:cs="Palatino Linotype"/>
          <w:b/>
          <w:bCs/>
          <w:i/>
          <w:iCs/>
          <w:sz w:val="24"/>
          <w:szCs w:val="24"/>
        </w:rPr>
        <w:t>(Sic)</w:t>
      </w:r>
    </w:p>
    <w:p w14:paraId="19542090" w14:textId="77777777" w:rsidR="00D510BB" w:rsidRDefault="00D510BB" w:rsidP="00D510BB">
      <w:pPr>
        <w:spacing w:line="360" w:lineRule="auto"/>
        <w:ind w:right="39"/>
        <w:jc w:val="both"/>
        <w:rPr>
          <w:rFonts w:ascii="Palatino Linotype" w:eastAsia="Palatino Linotype" w:hAnsi="Palatino Linotype" w:cs="Palatino Linotype"/>
          <w:sz w:val="24"/>
          <w:szCs w:val="24"/>
          <w:lang w:val="es-ES_tradnl"/>
        </w:rPr>
      </w:pPr>
    </w:p>
    <w:p w14:paraId="4B71F14E" w14:textId="77777777" w:rsidR="00D510BB" w:rsidRPr="00394872" w:rsidRDefault="00D510BB" w:rsidP="00D510BB">
      <w:pPr>
        <w:spacing w:line="360" w:lineRule="auto"/>
        <w:ind w:right="39"/>
        <w:jc w:val="both"/>
        <w:rPr>
          <w:rFonts w:ascii="Palatino Linotype" w:eastAsia="Palatino Linotype" w:hAnsi="Palatino Linotype" w:cs="Palatino Linotype"/>
          <w:sz w:val="24"/>
          <w:szCs w:val="24"/>
          <w:lang w:val="es-ES_tradnl"/>
        </w:rPr>
      </w:pPr>
      <w:r w:rsidRPr="00394872">
        <w:rPr>
          <w:rFonts w:ascii="Palatino Linotype" w:eastAsia="Palatino Linotype" w:hAnsi="Palatino Linotype" w:cs="Palatino Linotype"/>
          <w:sz w:val="24"/>
          <w:szCs w:val="24"/>
          <w:lang w:val="es-ES_tradnl"/>
        </w:rPr>
        <w:t>Del artículo en cita se desprenden las siguientes premisas:</w:t>
      </w:r>
    </w:p>
    <w:p w14:paraId="6D4311A1" w14:textId="77777777" w:rsidR="00D510BB" w:rsidRPr="00394872" w:rsidRDefault="00D510BB" w:rsidP="00754771">
      <w:pPr>
        <w:pStyle w:val="Prrafodelista"/>
        <w:numPr>
          <w:ilvl w:val="0"/>
          <w:numId w:val="9"/>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 xml:space="preserve">Que en los supuestos en los que las unidades de transparencia determinen una </w:t>
      </w:r>
      <w:r w:rsidRPr="00374BDC">
        <w:rPr>
          <w:rFonts w:ascii="Palatino Linotype" w:eastAsia="Palatino Linotype" w:hAnsi="Palatino Linotype" w:cs="Palatino Linotype"/>
          <w:lang w:val="es-ES_tradnl"/>
        </w:rPr>
        <w:t>notoria incompetencia,</w:t>
      </w:r>
      <w:r w:rsidRPr="00394872">
        <w:rPr>
          <w:rFonts w:ascii="Palatino Linotype" w:eastAsia="Palatino Linotype" w:hAnsi="Palatino Linotype" w:cs="Palatino Linotype"/>
          <w:lang w:val="es-ES_tradnl"/>
        </w:rPr>
        <w:t xml:space="preserve"> esta situación se deberá hacer del conocimiento del Recurrente en un término de tres días hábiles posteriores al ingreso de la </w:t>
      </w:r>
      <w:r w:rsidRPr="00394872">
        <w:rPr>
          <w:rFonts w:ascii="Palatino Linotype" w:eastAsia="Palatino Linotype" w:hAnsi="Palatino Linotype" w:cs="Palatino Linotype"/>
          <w:lang w:val="es-ES_tradnl"/>
        </w:rPr>
        <w:lastRenderedPageBreak/>
        <w:t>solicitud y, de ser posible, orientarlo para que dirija su solicitud ante el sujeto obligado competente.</w:t>
      </w:r>
    </w:p>
    <w:p w14:paraId="41083497" w14:textId="77777777" w:rsidR="00D510BB" w:rsidRDefault="00D510BB" w:rsidP="00754771">
      <w:pPr>
        <w:pStyle w:val="Prrafodelista"/>
        <w:numPr>
          <w:ilvl w:val="0"/>
          <w:numId w:val="9"/>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Que si los sujetos obligados están facultados parcialmente para atender la solicitud están constreñidos a atender dicha parte y notificar la incompetencia en los términos señalados.</w:t>
      </w:r>
    </w:p>
    <w:p w14:paraId="72D65C4B" w14:textId="77777777" w:rsidR="00D510BB" w:rsidRPr="00394872" w:rsidRDefault="00D510BB" w:rsidP="00754771">
      <w:pPr>
        <w:pStyle w:val="Prrafodelista"/>
        <w:numPr>
          <w:ilvl w:val="0"/>
          <w:numId w:val="9"/>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Que una vez transcurridos los tres días establecidos y el sujeto obligado no ha declinado la competencia, puede canalizar la solicitud ante el sujeto obligado competente; empero, esto es potestativo.</w:t>
      </w:r>
    </w:p>
    <w:p w14:paraId="249FA87A" w14:textId="77777777" w:rsidR="00D510BB" w:rsidRDefault="00D510BB" w:rsidP="00D510BB">
      <w:pPr>
        <w:spacing w:line="360" w:lineRule="auto"/>
        <w:ind w:right="39"/>
        <w:jc w:val="both"/>
        <w:rPr>
          <w:rFonts w:ascii="Palatino Linotype" w:eastAsia="Palatino Linotype" w:hAnsi="Palatino Linotype" w:cs="Palatino Linotype"/>
          <w:sz w:val="24"/>
          <w:szCs w:val="24"/>
          <w:lang w:val="es-ES_tradnl"/>
        </w:rPr>
      </w:pPr>
    </w:p>
    <w:p w14:paraId="1C0F1448" w14:textId="77777777" w:rsidR="00D510BB" w:rsidRPr="00394872" w:rsidRDefault="00D510BB" w:rsidP="00D510BB">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sz w:val="24"/>
          <w:szCs w:val="24"/>
          <w:lang w:val="es-ES_tradnl"/>
        </w:rPr>
        <w:t xml:space="preserve">En ese sentido, dicho artículo indica a los sujetos obligado el procedimiento que deben seguir en los supuestos en los que la incompetencia sea notoria o se trate de una incompetencia parcial; sin embargo, conviene resaltar el significado de «notorio», el cual el </w:t>
      </w:r>
      <w:r w:rsidRPr="00394872">
        <w:rPr>
          <w:rFonts w:ascii="Palatino Linotype" w:eastAsia="Palatino Linotype" w:hAnsi="Palatino Linotype" w:cs="Palatino Linotype"/>
          <w:bCs/>
          <w:sz w:val="24"/>
          <w:szCs w:val="24"/>
        </w:rPr>
        <w:t>Diccionario de la Real Academia Española</w:t>
      </w:r>
      <w:r w:rsidRPr="00394872">
        <w:rPr>
          <w:rFonts w:ascii="Palatino Linotype" w:eastAsia="Palatino Linotype" w:hAnsi="Palatino Linotype" w:cs="Palatino Linotype"/>
          <w:bCs/>
          <w:sz w:val="24"/>
          <w:szCs w:val="24"/>
          <w:vertAlign w:val="superscript"/>
        </w:rPr>
        <w:footnoteReference w:id="2"/>
      </w:r>
      <w:r w:rsidRPr="00394872">
        <w:rPr>
          <w:rFonts w:ascii="Palatino Linotype" w:eastAsia="Palatino Linotype" w:hAnsi="Palatino Linotype" w:cs="Palatino Linotype"/>
          <w:bCs/>
          <w:sz w:val="24"/>
          <w:szCs w:val="24"/>
        </w:rPr>
        <w:t xml:space="preserve"> determinó lo siguiente:</w:t>
      </w:r>
    </w:p>
    <w:p w14:paraId="0989DE55" w14:textId="77777777" w:rsidR="00D510BB" w:rsidRPr="00394872" w:rsidRDefault="00D510BB" w:rsidP="00D510BB">
      <w:pPr>
        <w:spacing w:line="360" w:lineRule="auto"/>
        <w:ind w:left="567" w:right="39"/>
        <w:jc w:val="both"/>
        <w:rPr>
          <w:rFonts w:ascii="Palatino Linotype" w:eastAsia="Palatino Linotype" w:hAnsi="Palatino Linotype" w:cs="Palatino Linotype"/>
          <w:b/>
          <w:bCs/>
          <w:i/>
          <w:sz w:val="24"/>
          <w:szCs w:val="24"/>
        </w:rPr>
      </w:pPr>
      <w:r>
        <w:rPr>
          <w:rFonts w:ascii="Palatino Linotype" w:eastAsia="Palatino Linotype" w:hAnsi="Palatino Linotype" w:cs="Palatino Linotype"/>
          <w:b/>
          <w:bCs/>
          <w:i/>
          <w:sz w:val="24"/>
          <w:szCs w:val="24"/>
        </w:rPr>
        <w:t>“</w:t>
      </w:r>
      <w:r w:rsidRPr="00394872">
        <w:rPr>
          <w:rFonts w:ascii="Palatino Linotype" w:eastAsia="Palatino Linotype" w:hAnsi="Palatino Linotype" w:cs="Palatino Linotype"/>
          <w:b/>
          <w:bCs/>
          <w:i/>
          <w:sz w:val="24"/>
          <w:szCs w:val="24"/>
        </w:rPr>
        <w:t xml:space="preserve">notorio, </w:t>
      </w:r>
      <w:proofErr w:type="spellStart"/>
      <w:r w:rsidRPr="00394872">
        <w:rPr>
          <w:rFonts w:ascii="Palatino Linotype" w:eastAsia="Palatino Linotype" w:hAnsi="Palatino Linotype" w:cs="Palatino Linotype"/>
          <w:b/>
          <w:bCs/>
          <w:i/>
          <w:sz w:val="24"/>
          <w:szCs w:val="24"/>
        </w:rPr>
        <w:t>ria</w:t>
      </w:r>
      <w:proofErr w:type="spellEnd"/>
    </w:p>
    <w:p w14:paraId="092323FF" w14:textId="77777777" w:rsidR="00D510BB" w:rsidRPr="00394872" w:rsidRDefault="00D510BB" w:rsidP="00D510BB">
      <w:pPr>
        <w:spacing w:line="360" w:lineRule="auto"/>
        <w:ind w:left="567" w:right="39"/>
        <w:jc w:val="both"/>
        <w:rPr>
          <w:rFonts w:ascii="Palatino Linotype" w:eastAsia="Palatino Linotype" w:hAnsi="Palatino Linotype" w:cs="Palatino Linotype"/>
          <w:bCs/>
          <w:i/>
          <w:sz w:val="24"/>
          <w:szCs w:val="24"/>
        </w:rPr>
      </w:pPr>
      <w:r w:rsidRPr="00394872">
        <w:rPr>
          <w:rFonts w:ascii="Palatino Linotype" w:eastAsia="Palatino Linotype" w:hAnsi="Palatino Linotype" w:cs="Palatino Linotype"/>
          <w:bCs/>
          <w:i/>
          <w:sz w:val="24"/>
          <w:szCs w:val="24"/>
        </w:rPr>
        <w:t xml:space="preserve">Del bajo latín </w:t>
      </w:r>
      <w:proofErr w:type="spellStart"/>
      <w:r w:rsidRPr="00394872">
        <w:rPr>
          <w:rFonts w:ascii="Palatino Linotype" w:eastAsia="Palatino Linotype" w:hAnsi="Palatino Linotype" w:cs="Palatino Linotype"/>
          <w:bCs/>
          <w:sz w:val="24"/>
          <w:szCs w:val="24"/>
        </w:rPr>
        <w:t>notorius</w:t>
      </w:r>
      <w:proofErr w:type="spellEnd"/>
      <w:r w:rsidRPr="00394872">
        <w:rPr>
          <w:rFonts w:ascii="Palatino Linotype" w:eastAsia="Palatino Linotype" w:hAnsi="Palatino Linotype" w:cs="Palatino Linotype"/>
          <w:bCs/>
          <w:i/>
          <w:iCs/>
          <w:sz w:val="24"/>
          <w:szCs w:val="24"/>
        </w:rPr>
        <w:t>.</w:t>
      </w:r>
    </w:p>
    <w:p w14:paraId="24289B32" w14:textId="77777777" w:rsidR="00D510BB" w:rsidRPr="00394872" w:rsidRDefault="00D510BB" w:rsidP="00754771">
      <w:pPr>
        <w:numPr>
          <w:ilvl w:val="0"/>
          <w:numId w:val="10"/>
        </w:numPr>
        <w:spacing w:after="0" w:line="360" w:lineRule="auto"/>
        <w:ind w:left="993" w:right="39"/>
        <w:jc w:val="both"/>
        <w:rPr>
          <w:rFonts w:ascii="Palatino Linotype" w:eastAsia="Palatino Linotype" w:hAnsi="Palatino Linotype" w:cs="Palatino Linotype"/>
          <w:bCs/>
          <w:i/>
          <w:sz w:val="24"/>
          <w:szCs w:val="24"/>
        </w:rPr>
      </w:pPr>
      <w:r w:rsidRPr="00394872">
        <w:rPr>
          <w:rFonts w:ascii="Palatino Linotype" w:eastAsia="Palatino Linotype" w:hAnsi="Palatino Linotype" w:cs="Palatino Linotype"/>
          <w:bCs/>
          <w:i/>
          <w:sz w:val="24"/>
          <w:szCs w:val="24"/>
        </w:rPr>
        <w:t>adj. Público y sabido por todos.</w:t>
      </w:r>
    </w:p>
    <w:p w14:paraId="44D6916C" w14:textId="77777777" w:rsidR="00D510BB" w:rsidRPr="00394872" w:rsidRDefault="00D510BB" w:rsidP="00754771">
      <w:pPr>
        <w:numPr>
          <w:ilvl w:val="0"/>
          <w:numId w:val="10"/>
        </w:numPr>
        <w:spacing w:after="0" w:line="360" w:lineRule="auto"/>
        <w:ind w:left="993" w:right="39"/>
        <w:jc w:val="both"/>
        <w:rPr>
          <w:rFonts w:ascii="Palatino Linotype" w:eastAsia="Palatino Linotype" w:hAnsi="Palatino Linotype" w:cs="Palatino Linotype"/>
          <w:bCs/>
          <w:i/>
          <w:sz w:val="24"/>
          <w:szCs w:val="24"/>
        </w:rPr>
      </w:pPr>
      <w:r w:rsidRPr="00394872">
        <w:rPr>
          <w:rFonts w:ascii="Palatino Linotype" w:eastAsia="Palatino Linotype" w:hAnsi="Palatino Linotype" w:cs="Palatino Linotype"/>
          <w:bCs/>
          <w:i/>
          <w:sz w:val="24"/>
          <w:szCs w:val="24"/>
        </w:rPr>
        <w:t xml:space="preserve">adj. </w:t>
      </w:r>
      <w:r w:rsidRPr="00394872">
        <w:rPr>
          <w:rFonts w:ascii="Palatino Linotype" w:eastAsia="Palatino Linotype" w:hAnsi="Palatino Linotype" w:cs="Palatino Linotype"/>
          <w:b/>
          <w:i/>
          <w:sz w:val="24"/>
          <w:szCs w:val="24"/>
          <w:u w:val="single"/>
        </w:rPr>
        <w:t>Claro, evidente</w:t>
      </w:r>
      <w:r w:rsidRPr="00394872">
        <w:rPr>
          <w:rFonts w:ascii="Palatino Linotype" w:eastAsia="Palatino Linotype" w:hAnsi="Palatino Linotype" w:cs="Palatino Linotype"/>
          <w:bCs/>
          <w:i/>
          <w:sz w:val="24"/>
          <w:szCs w:val="24"/>
        </w:rPr>
        <w:t>.</w:t>
      </w:r>
    </w:p>
    <w:p w14:paraId="7695C847" w14:textId="77777777" w:rsidR="00D510BB" w:rsidRPr="00394872" w:rsidRDefault="00D510BB" w:rsidP="00754771">
      <w:pPr>
        <w:numPr>
          <w:ilvl w:val="0"/>
          <w:numId w:val="10"/>
        </w:numPr>
        <w:spacing w:after="0" w:line="360" w:lineRule="auto"/>
        <w:ind w:left="993" w:right="39"/>
        <w:jc w:val="both"/>
        <w:rPr>
          <w:rFonts w:ascii="Palatino Linotype" w:eastAsia="Palatino Linotype" w:hAnsi="Palatino Linotype" w:cs="Palatino Linotype"/>
          <w:bCs/>
          <w:i/>
          <w:sz w:val="24"/>
          <w:szCs w:val="24"/>
        </w:rPr>
      </w:pPr>
      <w:r w:rsidRPr="00394872">
        <w:rPr>
          <w:rFonts w:ascii="Palatino Linotype" w:eastAsia="Palatino Linotype" w:hAnsi="Palatino Linotype" w:cs="Palatino Linotype"/>
          <w:bCs/>
          <w:i/>
          <w:sz w:val="24"/>
          <w:szCs w:val="24"/>
        </w:rPr>
        <w:t>adj. Importante, relevante o famoso.</w:t>
      </w:r>
      <w:r>
        <w:rPr>
          <w:rFonts w:ascii="Palatino Linotype" w:eastAsia="Palatino Linotype" w:hAnsi="Palatino Linotype" w:cs="Palatino Linotype"/>
          <w:bCs/>
          <w:i/>
          <w:sz w:val="24"/>
          <w:szCs w:val="24"/>
        </w:rPr>
        <w:t xml:space="preserve">” </w:t>
      </w:r>
      <w:r>
        <w:rPr>
          <w:rFonts w:ascii="Palatino Linotype" w:eastAsia="Palatino Linotype" w:hAnsi="Palatino Linotype" w:cs="Palatino Linotype"/>
          <w:b/>
          <w:i/>
          <w:sz w:val="24"/>
          <w:szCs w:val="24"/>
        </w:rPr>
        <w:t>(Sic)</w:t>
      </w:r>
    </w:p>
    <w:p w14:paraId="6B314925" w14:textId="77777777" w:rsidR="00D510BB" w:rsidRPr="00394872" w:rsidRDefault="00D510BB" w:rsidP="00D510BB">
      <w:pPr>
        <w:spacing w:line="360" w:lineRule="auto"/>
        <w:ind w:right="39"/>
        <w:jc w:val="both"/>
        <w:rPr>
          <w:rFonts w:ascii="Palatino Linotype" w:eastAsia="Palatino Linotype" w:hAnsi="Palatino Linotype" w:cs="Palatino Linotype"/>
          <w:bCs/>
          <w:sz w:val="24"/>
          <w:szCs w:val="24"/>
        </w:rPr>
      </w:pPr>
    </w:p>
    <w:p w14:paraId="5CD00C4C" w14:textId="77777777" w:rsidR="00D510BB" w:rsidRPr="00394872" w:rsidRDefault="00D510BB" w:rsidP="00D510BB">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 xml:space="preserve">Así, la segunda acepción de notorio es lo que resulta claro y evidente, por lo que se estima que existe una laguna legal debido a que </w:t>
      </w:r>
      <w:r w:rsidRPr="0013058C">
        <w:rPr>
          <w:rFonts w:ascii="Palatino Linotype" w:eastAsia="Palatino Linotype" w:hAnsi="Palatino Linotype" w:cs="Palatino Linotype"/>
          <w:bCs/>
          <w:sz w:val="24"/>
          <w:szCs w:val="24"/>
        </w:rPr>
        <w:t xml:space="preserve">la Ley de Transparencia Local no </w:t>
      </w:r>
      <w:r w:rsidRPr="0013058C">
        <w:rPr>
          <w:rFonts w:ascii="Palatino Linotype" w:eastAsia="Palatino Linotype" w:hAnsi="Palatino Linotype" w:cs="Palatino Linotype"/>
          <w:bCs/>
          <w:sz w:val="24"/>
          <w:szCs w:val="24"/>
        </w:rPr>
        <w:lastRenderedPageBreak/>
        <w:t>establece qué se debe llevar a cabo cuando la incompetencia no sea notoria, o bien cuando existan facultades concurrentes entre dos o más sujetos obligados para generar la información solicitada por los particulares.</w:t>
      </w:r>
    </w:p>
    <w:p w14:paraId="3474A331" w14:textId="77777777" w:rsidR="00D510BB" w:rsidRPr="00394872" w:rsidRDefault="00D510BB" w:rsidP="00D510BB">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Ante dicha laguna, el Pleno del Instituto realizó una interpretación a lo dispuesto en los artículos 49 fracción II y 167 de la Ley de la materia y se emitió el criterio reiterado 01/19, en el que se estableció lo siguiente:</w:t>
      </w:r>
    </w:p>
    <w:p w14:paraId="79A551A2" w14:textId="77777777" w:rsidR="00D510BB" w:rsidRPr="00394872" w:rsidRDefault="00D510BB" w:rsidP="00D510BB">
      <w:pPr>
        <w:spacing w:line="360" w:lineRule="auto"/>
        <w:ind w:left="567" w:right="606"/>
        <w:jc w:val="both"/>
        <w:rPr>
          <w:rFonts w:ascii="Palatino Linotype" w:eastAsia="Palatino Linotype" w:hAnsi="Palatino Linotype" w:cs="Palatino Linotype"/>
          <w:b/>
          <w:i/>
          <w:iCs/>
          <w:sz w:val="24"/>
          <w:szCs w:val="24"/>
        </w:rPr>
      </w:pPr>
      <w:r>
        <w:rPr>
          <w:rFonts w:ascii="Palatino Linotype" w:eastAsia="Palatino Linotype" w:hAnsi="Palatino Linotype" w:cs="Palatino Linotype"/>
          <w:b/>
          <w:i/>
          <w:iCs/>
          <w:sz w:val="24"/>
          <w:szCs w:val="24"/>
        </w:rPr>
        <w:t>“</w:t>
      </w:r>
      <w:r w:rsidRPr="00394872">
        <w:rPr>
          <w:rFonts w:ascii="Palatino Linotype" w:eastAsia="Palatino Linotype" w:hAnsi="Palatino Linotype" w:cs="Palatino Linotype"/>
          <w:b/>
          <w:i/>
          <w:iCs/>
          <w:sz w:val="24"/>
          <w:szCs w:val="24"/>
        </w:rPr>
        <w:t>DECLARATORIA DE INCOMPETENCIA DEL SUJETO OBLIGADO. SUPUESTO PARA CONFIRMARLA POR ACUERDO DEL COMITÉ DE TRANSPARENCIA.</w:t>
      </w:r>
    </w:p>
    <w:p w14:paraId="5639B4F4" w14:textId="77777777" w:rsidR="00D510BB" w:rsidRPr="00394872" w:rsidRDefault="00D510BB" w:rsidP="00D510BB">
      <w:pPr>
        <w:spacing w:line="360" w:lineRule="auto"/>
        <w:ind w:left="567" w:right="606"/>
        <w:jc w:val="both"/>
        <w:rPr>
          <w:rFonts w:ascii="Palatino Linotype" w:eastAsia="Palatino Linotype" w:hAnsi="Palatino Linotype" w:cs="Palatino Linotype"/>
          <w:b/>
          <w:i/>
          <w:iCs/>
          <w:sz w:val="24"/>
          <w:szCs w:val="24"/>
        </w:rPr>
      </w:pPr>
      <w:r w:rsidRPr="00BD7B0E">
        <w:rPr>
          <w:rFonts w:ascii="Palatino Linotype" w:eastAsia="Palatino Linotype" w:hAnsi="Palatino Linotype" w:cs="Palatino Linotype"/>
          <w:bCs/>
          <w:i/>
          <w:iCs/>
          <w:sz w:val="24"/>
          <w:szCs w:val="24"/>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394872">
        <w:rPr>
          <w:rFonts w:ascii="Palatino Linotype" w:eastAsia="Palatino Linotype" w:hAnsi="Palatino Linotype" w:cs="Palatino Linotype"/>
          <w:bCs/>
          <w:i/>
          <w:iCs/>
          <w:sz w:val="24"/>
          <w:szCs w:val="24"/>
        </w:rPr>
        <w:t xml:space="preserve">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r>
        <w:rPr>
          <w:rFonts w:ascii="Palatino Linotype" w:eastAsia="Palatino Linotype" w:hAnsi="Palatino Linotype" w:cs="Palatino Linotype"/>
          <w:bCs/>
          <w:i/>
          <w:iCs/>
          <w:sz w:val="24"/>
          <w:szCs w:val="24"/>
        </w:rPr>
        <w:t xml:space="preserve">” </w:t>
      </w:r>
      <w:r>
        <w:rPr>
          <w:rFonts w:ascii="Palatino Linotype" w:eastAsia="Palatino Linotype" w:hAnsi="Palatino Linotype" w:cs="Palatino Linotype"/>
          <w:b/>
          <w:i/>
          <w:iCs/>
          <w:sz w:val="24"/>
          <w:szCs w:val="24"/>
        </w:rPr>
        <w:t>(Sic)</w:t>
      </w:r>
    </w:p>
    <w:p w14:paraId="7EDFCD47" w14:textId="77777777" w:rsidR="00D510BB" w:rsidRPr="00394872" w:rsidRDefault="00D510BB" w:rsidP="00D510BB">
      <w:pPr>
        <w:spacing w:line="360" w:lineRule="auto"/>
        <w:ind w:right="39"/>
        <w:jc w:val="both"/>
        <w:rPr>
          <w:rFonts w:ascii="Palatino Linotype" w:eastAsia="Palatino Linotype" w:hAnsi="Palatino Linotype" w:cs="Palatino Linotype"/>
          <w:bCs/>
          <w:sz w:val="24"/>
          <w:szCs w:val="24"/>
        </w:rPr>
      </w:pPr>
    </w:p>
    <w:p w14:paraId="6AD3186C" w14:textId="77777777" w:rsidR="00D510BB" w:rsidRPr="00394872" w:rsidRDefault="00D510BB" w:rsidP="00D510BB">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lastRenderedPageBreak/>
        <w:t xml:space="preserve">Asimismo, se determinó viable adoptar el criterio con clave de control </w:t>
      </w:r>
      <w:r w:rsidRPr="00210D86">
        <w:rPr>
          <w:rFonts w:ascii="Palatino Linotype" w:eastAsia="Palatino Linotype" w:hAnsi="Palatino Linotype" w:cs="Palatino Linotype"/>
          <w:b/>
          <w:sz w:val="24"/>
          <w:szCs w:val="24"/>
        </w:rPr>
        <w:t>SO/002/2020</w:t>
      </w:r>
      <w:r w:rsidRPr="00394872">
        <w:rPr>
          <w:rFonts w:ascii="Palatino Linotype" w:eastAsia="Palatino Linotype" w:hAnsi="Palatino Linotype" w:cs="Palatino Linotype"/>
          <w:bCs/>
          <w:sz w:val="24"/>
          <w:szCs w:val="24"/>
        </w:rPr>
        <w:t xml:space="preserve"> emitido por el Instituto Nacional de Transparencia, Acceso a la Información y Protección de Datos Personales (INAI), que a la letra estipula lo siguiente:</w:t>
      </w:r>
    </w:p>
    <w:p w14:paraId="3F5CDC59" w14:textId="77777777" w:rsidR="00D510BB" w:rsidRDefault="00D510BB" w:rsidP="00D510BB">
      <w:pPr>
        <w:spacing w:line="360" w:lineRule="auto"/>
        <w:ind w:left="567" w:right="606"/>
        <w:jc w:val="both"/>
        <w:rPr>
          <w:rFonts w:ascii="Palatino Linotype" w:eastAsia="Palatino Linotype" w:hAnsi="Palatino Linotype" w:cs="Palatino Linotype"/>
          <w:bCs/>
          <w:i/>
          <w:sz w:val="24"/>
          <w:szCs w:val="24"/>
        </w:rPr>
      </w:pPr>
      <w:r>
        <w:rPr>
          <w:rFonts w:ascii="Palatino Linotype" w:eastAsia="Palatino Linotype" w:hAnsi="Palatino Linotype" w:cs="Palatino Linotype"/>
          <w:b/>
          <w:bCs/>
          <w:i/>
          <w:sz w:val="24"/>
          <w:szCs w:val="24"/>
        </w:rPr>
        <w:t>“</w:t>
      </w:r>
      <w:r w:rsidRPr="00394872">
        <w:rPr>
          <w:rFonts w:ascii="Palatino Linotype" w:eastAsia="Palatino Linotype" w:hAnsi="Palatino Linotype" w:cs="Palatino Linotype"/>
          <w:b/>
          <w:bCs/>
          <w:i/>
          <w:sz w:val="24"/>
          <w:szCs w:val="24"/>
        </w:rPr>
        <w:t xml:space="preserve">DECLARACIÓN DE INCOMPETENCIA POR PARTE DEL COMITÉ, CUANDO NO SEA NOTORIA O MANIFIESTA. </w:t>
      </w:r>
      <w:r w:rsidRPr="00394872">
        <w:rPr>
          <w:rFonts w:ascii="Palatino Linotype" w:eastAsia="Palatino Linotype" w:hAnsi="Palatino Linotype" w:cs="Palatino Linotype"/>
          <w:bCs/>
          <w:i/>
          <w:sz w:val="24"/>
          <w:szCs w:val="24"/>
        </w:rPr>
        <w:t xml:space="preserve"> </w:t>
      </w:r>
    </w:p>
    <w:p w14:paraId="687E1893" w14:textId="77777777" w:rsidR="00D510BB" w:rsidRPr="00394872" w:rsidRDefault="00D510BB" w:rsidP="00D510BB">
      <w:pPr>
        <w:spacing w:line="360" w:lineRule="auto"/>
        <w:ind w:left="567" w:right="606"/>
        <w:jc w:val="both"/>
        <w:rPr>
          <w:rFonts w:ascii="Palatino Linotype" w:eastAsia="Palatino Linotype" w:hAnsi="Palatino Linotype" w:cs="Palatino Linotype"/>
          <w:b/>
          <w:i/>
          <w:sz w:val="24"/>
          <w:szCs w:val="24"/>
          <w:u w:val="single"/>
        </w:rPr>
      </w:pPr>
      <w:r w:rsidRPr="00394872">
        <w:rPr>
          <w:rFonts w:ascii="Palatino Linotype" w:eastAsia="Palatino Linotype" w:hAnsi="Palatino Linotype" w:cs="Palatino Linotype"/>
          <w:bCs/>
          <w:i/>
          <w:sz w:val="24"/>
          <w:szCs w:val="24"/>
        </w:rPr>
        <w:t xml:space="preserve">Cuando la normatividad que prevé las atribuciones del sujeto </w:t>
      </w:r>
      <w:r w:rsidRPr="00394872">
        <w:rPr>
          <w:rFonts w:ascii="Palatino Linotype" w:eastAsia="Palatino Linotype" w:hAnsi="Palatino Linotype" w:cs="Palatino Linotype"/>
          <w:b/>
          <w:i/>
          <w:sz w:val="24"/>
          <w:szCs w:val="24"/>
          <w:u w:val="single"/>
        </w:rPr>
        <w:t>obligado no sea clara en delimitar su competencia respecto a lo requerido por la persona solicitante y resulte necesario efectuar un análisis mayor para determinar la incompetencia, ésta debe ser declarada por el Comité de Transparencia.</w:t>
      </w:r>
      <w:r>
        <w:rPr>
          <w:rFonts w:ascii="Palatino Linotype" w:eastAsia="Palatino Linotype" w:hAnsi="Palatino Linotype" w:cs="Palatino Linotype"/>
          <w:b/>
          <w:i/>
          <w:sz w:val="24"/>
          <w:szCs w:val="24"/>
          <w:u w:val="single"/>
        </w:rPr>
        <w:t>” (Sic)</w:t>
      </w:r>
    </w:p>
    <w:p w14:paraId="48819BDD" w14:textId="77777777" w:rsidR="00D510BB" w:rsidRPr="00394872" w:rsidRDefault="00D510BB" w:rsidP="00D510BB">
      <w:pPr>
        <w:spacing w:line="360" w:lineRule="auto"/>
        <w:ind w:right="39"/>
        <w:jc w:val="both"/>
        <w:rPr>
          <w:rFonts w:ascii="Palatino Linotype" w:eastAsia="Palatino Linotype" w:hAnsi="Palatino Linotype" w:cs="Palatino Linotype"/>
          <w:bCs/>
          <w:sz w:val="24"/>
          <w:szCs w:val="24"/>
        </w:rPr>
      </w:pPr>
    </w:p>
    <w:p w14:paraId="2F454CAC" w14:textId="77777777" w:rsidR="00D510BB" w:rsidRPr="00722F41" w:rsidRDefault="00D510BB" w:rsidP="00D510BB">
      <w:pPr>
        <w:spacing w:line="360" w:lineRule="auto"/>
        <w:ind w:right="39"/>
        <w:jc w:val="both"/>
        <w:rPr>
          <w:rFonts w:ascii="Palatino Linotype" w:eastAsia="Palatino Linotype" w:hAnsi="Palatino Linotype" w:cs="Palatino Linotype"/>
          <w:bCs/>
          <w:sz w:val="24"/>
          <w:szCs w:val="24"/>
        </w:rPr>
      </w:pPr>
      <w:r w:rsidRPr="00722F41">
        <w:rPr>
          <w:rFonts w:ascii="Palatino Linotype" w:eastAsia="Palatino Linotype" w:hAnsi="Palatino Linotype" w:cs="Palatino Linotype"/>
          <w:bCs/>
          <w:sz w:val="24"/>
          <w:szCs w:val="24"/>
        </w:rPr>
        <w:t>Así, del contenido de ambos criterios se ha concluido que 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109B1EBB" w14:textId="77777777" w:rsidR="00D510BB" w:rsidRDefault="00D510BB" w:rsidP="00D510BB">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 xml:space="preserve">Cabe señalar que este Instituto también ordenaba la entrega del acuerdo del Comité de Transparencia también se ordena cuando los sujetos obligados no hacen del conocimiento la incompetencia dentro del término de tres días establecido en el </w:t>
      </w:r>
      <w:r w:rsidRPr="00394872">
        <w:rPr>
          <w:rFonts w:ascii="Palatino Linotype" w:eastAsia="Palatino Linotype" w:hAnsi="Palatino Linotype" w:cs="Palatino Linotype"/>
          <w:bCs/>
          <w:sz w:val="24"/>
          <w:szCs w:val="24"/>
        </w:rPr>
        <w:lastRenderedPageBreak/>
        <w:t xml:space="preserve">artículo 167 referido anteriormente; no obstante, dado que la Ley de la materia no establece expresamente qué se debe realizar ante dicha situación, </w:t>
      </w:r>
      <w:r w:rsidRPr="00394872">
        <w:rPr>
          <w:rFonts w:ascii="Palatino Linotype" w:eastAsia="Palatino Linotype" w:hAnsi="Palatino Linotype" w:cs="Palatino Linotype"/>
          <w:b/>
          <w:sz w:val="24"/>
          <w:szCs w:val="24"/>
        </w:rPr>
        <w:t xml:space="preserve">se estima </w:t>
      </w:r>
      <w:r w:rsidRPr="00722F41">
        <w:rPr>
          <w:rFonts w:ascii="Palatino Linotype" w:eastAsia="Palatino Linotype" w:hAnsi="Palatino Linotype" w:cs="Palatino Linotype"/>
          <w:bCs/>
          <w:sz w:val="24"/>
          <w:szCs w:val="24"/>
        </w:rPr>
        <w:t>innecesario continuar con el criterio de ordenar la entrega del acuerdo del Comité de Transparencia cuando los sujetos obligados rebasen los tres días y la incompetencia sea notoria, puesto que ordenar a los sujetos obligados emitir dicho acuerdo implica una carga a las autoridades en virtud de que la incompetencia ya fue declarada y ésta es clara y evidente.</w:t>
      </w:r>
    </w:p>
    <w:p w14:paraId="29F6A0E9" w14:textId="77777777" w:rsidR="00D510BB" w:rsidRPr="007A3032" w:rsidRDefault="00D510BB" w:rsidP="00D510BB">
      <w:pPr>
        <w:spacing w:line="360" w:lineRule="auto"/>
        <w:ind w:right="39"/>
        <w:jc w:val="both"/>
        <w:rPr>
          <w:rFonts w:ascii="Palatino Linotype" w:eastAsia="Palatino Linotype" w:hAnsi="Palatino Linotype" w:cs="Palatino Linotype"/>
          <w:bCs/>
          <w:sz w:val="24"/>
          <w:szCs w:val="24"/>
          <w:lang w:val="es-ES"/>
        </w:rPr>
      </w:pPr>
      <w:r w:rsidRPr="007A3032">
        <w:rPr>
          <w:rFonts w:ascii="Palatino Linotype" w:eastAsia="Palatino Linotype" w:hAnsi="Palatino Linotype" w:cs="Palatino Linotype"/>
          <w:bCs/>
          <w:sz w:val="24"/>
          <w:szCs w:val="24"/>
          <w:lang w:val="es-ES"/>
        </w:rPr>
        <w:t>En conclusión, se estima que el acuerdo del Comité de Transparencia sólo debe ser ordenado cuando la incompetencia no sea notoria, o bien, cuando mediante el estudio correspondiente del caso en concreto se determine que existen facultades concurrentes entre dos o más sujetos obligados para generar, poseer o administrar la información solicitada.</w:t>
      </w:r>
    </w:p>
    <w:p w14:paraId="258B7743" w14:textId="79762AE9" w:rsidR="00A03607" w:rsidRPr="00747F01" w:rsidRDefault="00D510BB" w:rsidP="001D5474">
      <w:pPr>
        <w:spacing w:before="240" w:line="360" w:lineRule="auto"/>
        <w:jc w:val="both"/>
        <w:rPr>
          <w:rFonts w:ascii="Palatino Linotype" w:eastAsia="Palatino Linotype" w:hAnsi="Palatino Linotype" w:cs="Palatino Linotype"/>
          <w:b/>
          <w:color w:val="000000"/>
          <w:sz w:val="24"/>
          <w:szCs w:val="24"/>
          <w:u w:val="single"/>
          <w:lang w:val="es-ES"/>
        </w:rPr>
      </w:pPr>
      <w:r w:rsidRPr="00747F01">
        <w:rPr>
          <w:rFonts w:ascii="Palatino Linotype" w:eastAsia="Palatino Linotype" w:hAnsi="Palatino Linotype" w:cs="Palatino Linotype"/>
          <w:b/>
          <w:color w:val="000000"/>
          <w:sz w:val="24"/>
          <w:szCs w:val="24"/>
          <w:u w:val="single"/>
          <w:lang w:val="es-ES"/>
        </w:rPr>
        <w:t xml:space="preserve">De esta manera, en el caso en particular, </w:t>
      </w:r>
      <w:r w:rsidR="00A03607" w:rsidRPr="00747F01">
        <w:rPr>
          <w:rFonts w:ascii="Palatino Linotype" w:eastAsia="Palatino Linotype" w:hAnsi="Palatino Linotype" w:cs="Palatino Linotype"/>
          <w:b/>
          <w:color w:val="000000"/>
          <w:sz w:val="24"/>
          <w:szCs w:val="24"/>
          <w:u w:val="single"/>
          <w:lang w:val="es-ES"/>
        </w:rPr>
        <w:t>se estima que la postura adoptada por El Sujeto Obligado no es susceptible de colmar el derecho de acceso a la información pública, al tomar en consideración que la información requerida se traduce en concurrencia de facultades, es decir, puede ser requerida de forma indistinta al Ayuntamiento de Nextlalpan, así como al Instituto de Transparencia local.</w:t>
      </w:r>
    </w:p>
    <w:p w14:paraId="131252B3" w14:textId="2C369766" w:rsidR="00D510BB" w:rsidRDefault="00A03607" w:rsidP="001D5474">
      <w:pPr>
        <w:spacing w:before="240" w:line="360" w:lineRule="auto"/>
        <w:jc w:val="both"/>
        <w:rPr>
          <w:rFonts w:ascii="Palatino Linotype" w:hAnsi="Palatino Linotype" w:cs="Arial"/>
          <w:noProof/>
          <w:color w:val="000000"/>
          <w:sz w:val="24"/>
          <w:lang w:val="es-ES" w:eastAsia="es-MX"/>
        </w:rPr>
      </w:pPr>
      <w:r>
        <w:rPr>
          <w:rFonts w:ascii="Palatino Linotype" w:eastAsia="Palatino Linotype" w:hAnsi="Palatino Linotype" w:cs="Palatino Linotype"/>
          <w:bCs/>
          <w:color w:val="000000"/>
          <w:sz w:val="24"/>
          <w:szCs w:val="24"/>
          <w:lang w:val="es-ES"/>
        </w:rPr>
        <w:t xml:space="preserve">Dicho en otras palabras, la respuesta primigenia inobservó el primer párrafo del numeral 166 de la ley de transparencia local, cuyo contenido dispone a la literalidad lo siguiente: </w:t>
      </w:r>
    </w:p>
    <w:p w14:paraId="40E285B0" w14:textId="2633FDC1" w:rsidR="00D510BB" w:rsidRDefault="00A03607" w:rsidP="00A03607">
      <w:pPr>
        <w:pStyle w:val="Citas"/>
        <w:rPr>
          <w:noProof/>
          <w:lang w:eastAsia="es-MX"/>
        </w:rPr>
      </w:pPr>
      <w:r>
        <w:rPr>
          <w:noProof/>
          <w:lang w:eastAsia="es-MX"/>
        </w:rPr>
        <w:t>“</w:t>
      </w:r>
      <w:r w:rsidRPr="00A03607">
        <w:rPr>
          <w:noProof/>
          <w:lang w:eastAsia="es-MX"/>
        </w:rPr>
        <w:t>Artículo 166. La obligación de acceso a la información pública se tendrá por cumplida cuando el solicitante tenga a su disposición la información requerida, o cuando realice la consulta de la misma en el lugar en el que ésta se localice.</w:t>
      </w:r>
    </w:p>
    <w:p w14:paraId="4F594245" w14:textId="2061F963" w:rsidR="00A03607" w:rsidRPr="00A03607" w:rsidRDefault="00A03607" w:rsidP="00A03607">
      <w:pPr>
        <w:pStyle w:val="Citas"/>
        <w:rPr>
          <w:b/>
          <w:bCs/>
          <w:noProof/>
          <w:lang w:val="es-ES" w:eastAsia="es-MX"/>
        </w:rPr>
      </w:pPr>
      <w:r>
        <w:rPr>
          <w:noProof/>
          <w:lang w:eastAsia="es-MX"/>
        </w:rPr>
        <w:lastRenderedPageBreak/>
        <w:t xml:space="preserve">(…)” </w:t>
      </w:r>
      <w:r>
        <w:rPr>
          <w:b/>
          <w:bCs/>
          <w:noProof/>
          <w:lang w:eastAsia="es-MX"/>
        </w:rPr>
        <w:t>(Sic)</w:t>
      </w:r>
    </w:p>
    <w:p w14:paraId="34B7DCC9" w14:textId="77777777" w:rsidR="00D510BB" w:rsidRDefault="00D510BB" w:rsidP="001D5474">
      <w:pPr>
        <w:spacing w:before="240" w:line="360" w:lineRule="auto"/>
        <w:jc w:val="both"/>
        <w:rPr>
          <w:rFonts w:ascii="Palatino Linotype" w:hAnsi="Palatino Linotype" w:cs="Arial"/>
          <w:noProof/>
          <w:color w:val="000000"/>
          <w:sz w:val="24"/>
          <w:lang w:val="es-ES" w:eastAsia="es-MX"/>
        </w:rPr>
      </w:pPr>
    </w:p>
    <w:p w14:paraId="16358432" w14:textId="1CBAD576" w:rsidR="00A03607" w:rsidRDefault="001D5474" w:rsidP="001D5474">
      <w:pPr>
        <w:spacing w:before="240" w:line="360" w:lineRule="auto"/>
        <w:jc w:val="both"/>
        <w:rPr>
          <w:rFonts w:ascii="Palatino Linotype" w:hAnsi="Palatino Linotype"/>
          <w:sz w:val="24"/>
          <w:szCs w:val="24"/>
        </w:rPr>
      </w:pPr>
      <w:r>
        <w:rPr>
          <w:rFonts w:ascii="Palatino Linotype" w:hAnsi="Palatino Linotype" w:cs="Arial"/>
          <w:noProof/>
          <w:color w:val="000000"/>
          <w:sz w:val="24"/>
          <w:lang w:val="es-ES" w:eastAsia="es-MX"/>
        </w:rPr>
        <w:t xml:space="preserve">Inconforme con la respuesta del </w:t>
      </w:r>
      <w:r>
        <w:rPr>
          <w:rFonts w:ascii="Palatino Linotype" w:hAnsi="Palatino Linotype"/>
          <w:b/>
          <w:bCs/>
          <w:sz w:val="24"/>
          <w:szCs w:val="24"/>
        </w:rPr>
        <w:t xml:space="preserve">Sujeto Obligado, </w:t>
      </w:r>
      <w:r w:rsidR="00923C4D">
        <w:rPr>
          <w:rFonts w:ascii="Palatino Linotype" w:hAnsi="Palatino Linotype"/>
          <w:b/>
          <w:bCs/>
          <w:sz w:val="24"/>
          <w:szCs w:val="24"/>
        </w:rPr>
        <w:t>El</w:t>
      </w:r>
      <w:r>
        <w:rPr>
          <w:rFonts w:ascii="Palatino Linotype" w:hAnsi="Palatino Linotype"/>
          <w:b/>
          <w:bCs/>
          <w:sz w:val="24"/>
          <w:szCs w:val="24"/>
        </w:rPr>
        <w:t xml:space="preserve"> Recurrente </w:t>
      </w:r>
      <w:r>
        <w:rPr>
          <w:rFonts w:ascii="Palatino Linotype" w:hAnsi="Palatino Linotype"/>
          <w:sz w:val="24"/>
          <w:szCs w:val="24"/>
        </w:rPr>
        <w:t xml:space="preserve">interpuso recurso de revisión en fecha </w:t>
      </w:r>
      <w:r w:rsidR="00A03607">
        <w:rPr>
          <w:rFonts w:ascii="Palatino Linotype" w:hAnsi="Palatino Linotype"/>
          <w:b/>
          <w:bCs/>
          <w:sz w:val="24"/>
          <w:szCs w:val="24"/>
        </w:rPr>
        <w:t xml:space="preserve">cuatro de diciembre, </w:t>
      </w:r>
      <w:r w:rsidR="00A03607">
        <w:rPr>
          <w:rFonts w:ascii="Palatino Linotype" w:hAnsi="Palatino Linotype"/>
          <w:sz w:val="24"/>
          <w:szCs w:val="24"/>
        </w:rPr>
        <w:t xml:space="preserve">admitiéndose el </w:t>
      </w:r>
      <w:r w:rsidR="00A03607">
        <w:rPr>
          <w:rFonts w:ascii="Palatino Linotype" w:hAnsi="Palatino Linotype"/>
          <w:b/>
          <w:bCs/>
          <w:sz w:val="24"/>
          <w:szCs w:val="24"/>
        </w:rPr>
        <w:t xml:space="preserve">cinco de diciembre, ambos de dos mil veinticuatro. </w:t>
      </w:r>
      <w:r w:rsidR="00A03607">
        <w:rPr>
          <w:rFonts w:ascii="Palatino Linotype" w:hAnsi="Palatino Linotype"/>
          <w:sz w:val="24"/>
          <w:szCs w:val="24"/>
        </w:rPr>
        <w:t>Señalando como razones o motivos de inconformidad:</w:t>
      </w:r>
    </w:p>
    <w:p w14:paraId="60377D6D" w14:textId="636B03FA" w:rsidR="00A03607" w:rsidRPr="00A03607" w:rsidRDefault="00A03607" w:rsidP="00A03607">
      <w:pPr>
        <w:pStyle w:val="Citas"/>
        <w:rPr>
          <w:b/>
          <w:bCs/>
        </w:rPr>
      </w:pPr>
      <w:r>
        <w:t>“</w:t>
      </w:r>
      <w:r w:rsidRPr="00A03607">
        <w:t>Dicen ser no competentes para dar respuesta a lo solicitado; sin embargo creo que de haber sido el caso de que la Dirección de Cumplimientos del Instituto de Transparencia, Acceso a la Información Pública y Protección de Datos Personales del Estado de México y Municipios les haya impuesto medidas de apremio mínimo el sujeto obligado debe de tener una estadística de cuantas medidas le han impuesto, de igual forma el comité de transparencia del sujeto obligado debió de haber tomado medidas pertinentes para que no se les impongan tantas medidas de aprem</w:t>
      </w:r>
      <w:r>
        <w:t xml:space="preserve">io” </w:t>
      </w:r>
      <w:r>
        <w:rPr>
          <w:b/>
          <w:bCs/>
        </w:rPr>
        <w:t>(Sic)</w:t>
      </w:r>
    </w:p>
    <w:p w14:paraId="60FD21F2" w14:textId="77777777" w:rsidR="00A03607" w:rsidRDefault="00A03607" w:rsidP="001D5474">
      <w:pPr>
        <w:spacing w:before="240" w:line="360" w:lineRule="auto"/>
        <w:jc w:val="both"/>
        <w:rPr>
          <w:rFonts w:ascii="Palatino Linotype" w:hAnsi="Palatino Linotype"/>
          <w:sz w:val="24"/>
          <w:szCs w:val="24"/>
        </w:rPr>
      </w:pPr>
    </w:p>
    <w:p w14:paraId="308269CD" w14:textId="2AD38398" w:rsidR="00E9655A" w:rsidRDefault="00E9655A" w:rsidP="00E9655A">
      <w:pPr>
        <w:pStyle w:val="infoemcitas"/>
        <w:tabs>
          <w:tab w:val="left" w:pos="7655"/>
        </w:tabs>
        <w:ind w:left="0" w:right="0"/>
        <w:rPr>
          <w:rFonts w:cs="Arial"/>
          <w:i w:val="0"/>
          <w:noProof/>
          <w:color w:val="000000"/>
          <w:sz w:val="24"/>
          <w:lang w:eastAsia="es-MX"/>
        </w:rPr>
      </w:pPr>
      <w:r w:rsidRPr="00EA378A">
        <w:rPr>
          <w:i w:val="0"/>
          <w:sz w:val="24"/>
          <w:szCs w:val="24"/>
        </w:rPr>
        <w:t xml:space="preserve">Así las cosas, hasta aquí lo expuesto, resulta inconcuso que </w:t>
      </w:r>
      <w:r w:rsidRPr="00EA378A">
        <w:rPr>
          <w:bCs/>
          <w:i w:val="0"/>
          <w:sz w:val="24"/>
          <w:szCs w:val="24"/>
        </w:rPr>
        <w:t>los motivos de inconformidad aducidos por</w:t>
      </w:r>
      <w:r w:rsidRPr="00EA378A">
        <w:rPr>
          <w:rFonts w:cs="Arial"/>
          <w:i w:val="0"/>
          <w:noProof/>
          <w:color w:val="000000"/>
          <w:sz w:val="24"/>
          <w:lang w:eastAsia="es-MX"/>
        </w:rPr>
        <w:t xml:space="preserve"> </w:t>
      </w:r>
      <w:r w:rsidR="00923C4D">
        <w:rPr>
          <w:rFonts w:cs="Arial"/>
          <w:b/>
          <w:i w:val="0"/>
          <w:noProof/>
          <w:color w:val="000000"/>
          <w:sz w:val="24"/>
          <w:lang w:eastAsia="es-MX"/>
        </w:rPr>
        <w:t>El</w:t>
      </w:r>
      <w:r w:rsidRPr="00EA378A">
        <w:rPr>
          <w:rFonts w:cs="Arial"/>
          <w:b/>
          <w:i w:val="0"/>
          <w:noProof/>
          <w:color w:val="000000"/>
          <w:sz w:val="24"/>
          <w:lang w:eastAsia="es-MX"/>
        </w:rPr>
        <w:t xml:space="preserve"> Recurrente, </w:t>
      </w:r>
      <w:r w:rsidRPr="00EA378A">
        <w:rPr>
          <w:rFonts w:cs="Arial"/>
          <w:i w:val="0"/>
          <w:noProof/>
          <w:color w:val="000000"/>
          <w:sz w:val="24"/>
          <w:lang w:eastAsia="es-MX"/>
        </w:rPr>
        <w:t>actualizan</w:t>
      </w:r>
      <w:r w:rsidRPr="00535EDD">
        <w:rPr>
          <w:rFonts w:cs="Arial"/>
          <w:i w:val="0"/>
          <w:noProof/>
          <w:color w:val="000000"/>
          <w:sz w:val="24"/>
          <w:lang w:eastAsia="es-MX"/>
        </w:rPr>
        <w:t xml:space="preserve"> la hipotesis normativa prevista en el artículo 179, </w:t>
      </w:r>
      <w:r w:rsidR="00A03607">
        <w:rPr>
          <w:rFonts w:cs="Arial"/>
          <w:i w:val="0"/>
          <w:noProof/>
          <w:color w:val="000000"/>
          <w:sz w:val="24"/>
          <w:lang w:eastAsia="es-MX"/>
        </w:rPr>
        <w:t>fracciones I y IV</w:t>
      </w:r>
      <w:r>
        <w:rPr>
          <w:rFonts w:cs="Arial"/>
          <w:i w:val="0"/>
          <w:noProof/>
          <w:color w:val="000000"/>
          <w:sz w:val="24"/>
          <w:lang w:eastAsia="es-MX"/>
        </w:rPr>
        <w:t xml:space="preserve"> de la Ley de Transparencia y Acceso a la Información Pública del Estado de Mexico y Municipios, cuyo contenido literal es el siguiente: </w:t>
      </w:r>
    </w:p>
    <w:p w14:paraId="1621B0CC" w14:textId="77777777" w:rsidR="00E9655A" w:rsidRDefault="00E9655A" w:rsidP="00E9655A">
      <w:pPr>
        <w:pStyle w:val="Citas"/>
      </w:pPr>
      <w:r>
        <w:t xml:space="preserve"> “Artículo 179. El recurso de revisión es un medio de protección que la Ley otorga a los particulares, para hacer valer su derecho de acceso a la información pública, y procederá en contra de las siguientes causas:</w:t>
      </w:r>
    </w:p>
    <w:p w14:paraId="75658E32" w14:textId="77777777" w:rsidR="00E9655A" w:rsidRDefault="00E9655A" w:rsidP="00E9655A">
      <w:pPr>
        <w:pStyle w:val="Citas"/>
      </w:pPr>
      <w:r>
        <w:t xml:space="preserve">I. La negativa a la información solicitada. </w:t>
      </w:r>
    </w:p>
    <w:p w14:paraId="79E09897" w14:textId="0C55E1D4" w:rsidR="00A03607" w:rsidRDefault="00A03607" w:rsidP="00E9655A">
      <w:pPr>
        <w:pStyle w:val="Citas"/>
      </w:pPr>
      <w:r>
        <w:lastRenderedPageBreak/>
        <w:t>(…)</w:t>
      </w:r>
    </w:p>
    <w:p w14:paraId="0D060D64" w14:textId="1723D8E7" w:rsidR="00A03607" w:rsidRDefault="00A03607" w:rsidP="00E9655A">
      <w:pPr>
        <w:pStyle w:val="Citas"/>
      </w:pPr>
      <w:r w:rsidRPr="00A03607">
        <w:t>IV. La declaración de incompetencia por el sujeto obligado;</w:t>
      </w:r>
    </w:p>
    <w:p w14:paraId="540D0E85" w14:textId="77777777" w:rsidR="00E9655A" w:rsidRPr="005A12AE" w:rsidRDefault="00E9655A" w:rsidP="00E9655A">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7C13BC0A" w14:textId="77777777" w:rsidR="00E9655A" w:rsidRDefault="00E9655A" w:rsidP="00CB7611">
      <w:pPr>
        <w:spacing w:line="360" w:lineRule="auto"/>
        <w:jc w:val="both"/>
        <w:rPr>
          <w:rFonts w:ascii="Palatino Linotype" w:hAnsi="Palatino Linotype" w:cs="Arial"/>
          <w:sz w:val="24"/>
          <w:szCs w:val="24"/>
        </w:rPr>
      </w:pPr>
    </w:p>
    <w:p w14:paraId="267DD7F6" w14:textId="77777777" w:rsidR="00A03607" w:rsidRDefault="00E9655A" w:rsidP="00A03607">
      <w:pPr>
        <w:spacing w:line="360" w:lineRule="auto"/>
        <w:jc w:val="both"/>
        <w:rPr>
          <w:rFonts w:ascii="Palatino Linotype" w:hAnsi="Palatino Linotype" w:cs="Arial"/>
          <w:sz w:val="24"/>
          <w:szCs w:val="24"/>
        </w:rPr>
      </w:pPr>
      <w:r>
        <w:rPr>
          <w:rFonts w:ascii="Palatino Linotype" w:hAnsi="Palatino Linotype" w:cs="Arial"/>
          <w:sz w:val="24"/>
          <w:szCs w:val="24"/>
        </w:rPr>
        <w:t xml:space="preserve">Por otra parte, en etapa de manifestaciones,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fue omiso en rendir su informe justificado. </w:t>
      </w:r>
      <w:r w:rsidR="00A03607">
        <w:rPr>
          <w:rFonts w:ascii="Palatino Linotype" w:hAnsi="Palatino Linotype" w:cs="Arial"/>
          <w:sz w:val="24"/>
          <w:szCs w:val="24"/>
        </w:rPr>
        <w:t>De ahí que deba arribarse a la conclusión de que fueron requeridos soportes documentales que encuadran dentro de las fronteras conceptuales de las facultades concurrentes.</w:t>
      </w:r>
    </w:p>
    <w:p w14:paraId="5828D526" w14:textId="77777777" w:rsidR="00A03607" w:rsidRDefault="00A03607" w:rsidP="00A03607">
      <w:pPr>
        <w:spacing w:line="360" w:lineRule="auto"/>
        <w:jc w:val="both"/>
        <w:rPr>
          <w:rFonts w:ascii="Palatino Linotype" w:hAnsi="Palatino Linotype" w:cs="Arial"/>
          <w:sz w:val="24"/>
          <w:szCs w:val="24"/>
        </w:rPr>
      </w:pPr>
      <w:r>
        <w:rPr>
          <w:rFonts w:ascii="Palatino Linotype" w:hAnsi="Palatino Linotype" w:cs="Arial"/>
          <w:sz w:val="24"/>
          <w:szCs w:val="24"/>
        </w:rPr>
        <w:t>En suma, resulta procedente ordenar una búsqueda exhaustiva y razonable, para hacer entrega de la siguiente información:</w:t>
      </w:r>
    </w:p>
    <w:p w14:paraId="00709537" w14:textId="1D5C142C" w:rsidR="00E9655A" w:rsidRPr="00A03607" w:rsidRDefault="00A03607" w:rsidP="00754771">
      <w:pPr>
        <w:pStyle w:val="Prrafodelista"/>
        <w:numPr>
          <w:ilvl w:val="0"/>
          <w:numId w:val="11"/>
        </w:numPr>
        <w:spacing w:before="240" w:line="360" w:lineRule="auto"/>
        <w:jc w:val="both"/>
        <w:rPr>
          <w:b/>
          <w:bCs/>
          <w:u w:val="single"/>
        </w:rPr>
      </w:pPr>
      <w:r w:rsidRPr="00A03607">
        <w:rPr>
          <w:rFonts w:ascii="Palatino Linotype" w:hAnsi="Palatino Linotype" w:cs="Arial"/>
        </w:rPr>
        <w:t xml:space="preserve">El o los documentos donde consten las medidas de apremio impuestas al Ayuntamiento de Nextlalpan, </w:t>
      </w:r>
      <w:r w:rsidRPr="001C0F57">
        <w:rPr>
          <w:rFonts w:ascii="Palatino Linotype" w:hAnsi="Palatino Linotype" w:cs="Arial"/>
          <w:highlight w:val="cyan"/>
        </w:rPr>
        <w:t xml:space="preserve">por parte </w:t>
      </w:r>
      <w:r w:rsidR="001C0F57" w:rsidRPr="001C0F57">
        <w:rPr>
          <w:rFonts w:ascii="Palatino Linotype" w:hAnsi="Palatino Linotype" w:cs="Arial"/>
          <w:highlight w:val="cyan"/>
        </w:rPr>
        <w:t>de la autoridad competente,</w:t>
      </w:r>
      <w:r w:rsidRPr="00A03607">
        <w:rPr>
          <w:rFonts w:ascii="Palatino Linotype" w:hAnsi="Palatino Linotype" w:cs="Arial"/>
        </w:rPr>
        <w:t xml:space="preserve"> del periodo comprendido del uno de enero de dos mil diecinueve al treinta y uno de diciembre de dos mil veintiuno.</w:t>
      </w:r>
    </w:p>
    <w:p w14:paraId="63DFF97B" w14:textId="77777777" w:rsidR="00A03607" w:rsidRDefault="00A03607" w:rsidP="00A03607">
      <w:pPr>
        <w:spacing w:before="240" w:line="360" w:lineRule="auto"/>
        <w:jc w:val="both"/>
        <w:rPr>
          <w:b/>
          <w:bCs/>
          <w:u w:val="single"/>
        </w:rPr>
      </w:pPr>
    </w:p>
    <w:p w14:paraId="1582B023" w14:textId="77777777" w:rsidR="00A03607" w:rsidRPr="005778AD" w:rsidRDefault="00A03607" w:rsidP="00A03607">
      <w:pPr>
        <w:pStyle w:val="Citas"/>
        <w:ind w:left="0" w:right="-18"/>
        <w:rPr>
          <w:i w:val="0"/>
          <w:iCs/>
          <w:sz w:val="24"/>
          <w:szCs w:val="24"/>
        </w:rPr>
      </w:pPr>
      <w:r w:rsidRPr="005778AD">
        <w:rPr>
          <w:i w:val="0"/>
          <w:iCs/>
          <w:sz w:val="24"/>
          <w:szCs w:val="24"/>
        </w:rPr>
        <w:t xml:space="preserve">Por otra parte, resulta óbice señalar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51ABFBA1" w14:textId="77777777" w:rsidR="00A03607" w:rsidRPr="005778AD" w:rsidRDefault="00A03607" w:rsidP="00A03607">
      <w:pPr>
        <w:spacing w:line="360" w:lineRule="auto"/>
        <w:jc w:val="both"/>
        <w:rPr>
          <w:sz w:val="24"/>
          <w:szCs w:val="24"/>
          <w:lang w:val="es-ES_tradnl"/>
        </w:rPr>
      </w:pPr>
      <w:r w:rsidRPr="005778AD">
        <w:rPr>
          <w:rFonts w:ascii="Palatino Linotype" w:hAnsi="Palatino Linotype"/>
          <w:iCs/>
          <w:sz w:val="24"/>
          <w:szCs w:val="24"/>
        </w:rPr>
        <w:lastRenderedPageBreak/>
        <w:t xml:space="preserve">Robustece lo anterior, el criterio </w:t>
      </w:r>
      <w:r w:rsidRPr="005778AD">
        <w:rPr>
          <w:rFonts w:ascii="Palatino Linotype" w:hAnsi="Palatino Linotype" w:cs="Arial"/>
          <w:color w:val="000000"/>
          <w:sz w:val="24"/>
          <w:szCs w:val="24"/>
          <w:lang w:val="es-ES_tradnl"/>
        </w:rPr>
        <w:t xml:space="preserve">03-17, emitido por </w:t>
      </w:r>
      <w:r w:rsidRPr="005778AD">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4DE12791" w14:textId="77777777" w:rsidR="00A03607" w:rsidRPr="005778AD" w:rsidRDefault="00A03607" w:rsidP="00A03607">
      <w:pPr>
        <w:pStyle w:val="Citas"/>
        <w:rPr>
          <w:b/>
          <w:spacing w:val="18"/>
        </w:rPr>
      </w:pPr>
      <w:r w:rsidRPr="005778AD">
        <w:rPr>
          <w:b/>
        </w:rPr>
        <w:t xml:space="preserve">“NO EXISTE OBLIGACIÓN DE ELABORAR </w:t>
      </w:r>
      <w:r w:rsidRPr="005778AD">
        <w:rPr>
          <w:b/>
          <w:spacing w:val="-3"/>
        </w:rPr>
        <w:t>D</w:t>
      </w:r>
      <w:r w:rsidRPr="005778AD">
        <w:rPr>
          <w:b/>
        </w:rPr>
        <w:t>OCUM</w:t>
      </w:r>
      <w:r w:rsidRPr="005778AD">
        <w:rPr>
          <w:b/>
          <w:spacing w:val="1"/>
        </w:rPr>
        <w:t>E</w:t>
      </w:r>
      <w:r w:rsidRPr="005778AD">
        <w:rPr>
          <w:b/>
        </w:rPr>
        <w:t>N</w:t>
      </w:r>
      <w:r w:rsidRPr="005778AD">
        <w:rPr>
          <w:b/>
          <w:spacing w:val="-1"/>
        </w:rPr>
        <w:t>T</w:t>
      </w:r>
      <w:r w:rsidRPr="005778AD">
        <w:rPr>
          <w:b/>
        </w:rPr>
        <w:t>OS</w:t>
      </w:r>
      <w:r w:rsidRPr="005778AD">
        <w:rPr>
          <w:b/>
          <w:spacing w:val="14"/>
        </w:rPr>
        <w:t xml:space="preserve"> </w:t>
      </w:r>
      <w:r w:rsidRPr="005778AD">
        <w:rPr>
          <w:b/>
          <w:spacing w:val="-1"/>
        </w:rPr>
        <w:t xml:space="preserve">AD </w:t>
      </w:r>
      <w:r w:rsidRPr="005778AD">
        <w:rPr>
          <w:b/>
        </w:rPr>
        <w:t>HOC</w:t>
      </w:r>
      <w:r w:rsidRPr="005778AD">
        <w:rPr>
          <w:b/>
          <w:spacing w:val="11"/>
        </w:rPr>
        <w:t xml:space="preserve"> </w:t>
      </w:r>
      <w:r w:rsidRPr="005778AD">
        <w:rPr>
          <w:b/>
        </w:rPr>
        <w:t>PARA</w:t>
      </w:r>
      <w:r w:rsidRPr="005778AD">
        <w:rPr>
          <w:b/>
          <w:spacing w:val="10"/>
        </w:rPr>
        <w:t xml:space="preserve"> </w:t>
      </w:r>
      <w:r w:rsidRPr="005778AD">
        <w:rPr>
          <w:b/>
        </w:rPr>
        <w:t>ATENDER LAS SOL</w:t>
      </w:r>
      <w:r w:rsidRPr="005778AD">
        <w:rPr>
          <w:b/>
          <w:spacing w:val="-2"/>
        </w:rPr>
        <w:t>I</w:t>
      </w:r>
      <w:r w:rsidRPr="005778AD">
        <w:rPr>
          <w:b/>
          <w:spacing w:val="1"/>
        </w:rPr>
        <w:t>C</w:t>
      </w:r>
      <w:r w:rsidRPr="005778AD">
        <w:rPr>
          <w:b/>
        </w:rPr>
        <w:t>ITUDES</w:t>
      </w:r>
      <w:r w:rsidRPr="005778AD">
        <w:rPr>
          <w:b/>
          <w:spacing w:val="10"/>
        </w:rPr>
        <w:t xml:space="preserve"> </w:t>
      </w:r>
      <w:r w:rsidRPr="005778AD">
        <w:rPr>
          <w:b/>
        </w:rPr>
        <w:t>DE</w:t>
      </w:r>
      <w:r w:rsidRPr="005778AD">
        <w:rPr>
          <w:b/>
          <w:spacing w:val="9"/>
        </w:rPr>
        <w:t xml:space="preserve"> </w:t>
      </w:r>
      <w:r w:rsidRPr="005778AD">
        <w:rPr>
          <w:b/>
          <w:spacing w:val="1"/>
        </w:rPr>
        <w:t>AC</w:t>
      </w:r>
      <w:r w:rsidRPr="005778AD">
        <w:rPr>
          <w:b/>
          <w:spacing w:val="-1"/>
        </w:rPr>
        <w:t>C</w:t>
      </w:r>
      <w:r w:rsidRPr="005778AD">
        <w:rPr>
          <w:b/>
          <w:spacing w:val="1"/>
        </w:rPr>
        <w:t>ES</w:t>
      </w:r>
      <w:r w:rsidRPr="005778AD">
        <w:rPr>
          <w:b/>
        </w:rPr>
        <w:t>O</w:t>
      </w:r>
      <w:r w:rsidRPr="005778AD">
        <w:rPr>
          <w:b/>
          <w:spacing w:val="11"/>
        </w:rPr>
        <w:t xml:space="preserve"> </w:t>
      </w:r>
      <w:r w:rsidRPr="005778AD">
        <w:rPr>
          <w:b/>
        </w:rPr>
        <w:t>A</w:t>
      </w:r>
      <w:r w:rsidRPr="005778AD">
        <w:rPr>
          <w:b/>
          <w:spacing w:val="9"/>
        </w:rPr>
        <w:t xml:space="preserve"> </w:t>
      </w:r>
      <w:r w:rsidRPr="005778AD">
        <w:rPr>
          <w:b/>
        </w:rPr>
        <w:t>LA</w:t>
      </w:r>
      <w:r w:rsidRPr="005778AD">
        <w:rPr>
          <w:b/>
          <w:spacing w:val="10"/>
        </w:rPr>
        <w:t xml:space="preserve"> </w:t>
      </w:r>
      <w:r w:rsidRPr="005778AD">
        <w:rPr>
          <w:b/>
        </w:rPr>
        <w:t>INFORMA</w:t>
      </w:r>
      <w:r w:rsidRPr="005778AD">
        <w:rPr>
          <w:b/>
          <w:spacing w:val="1"/>
        </w:rPr>
        <w:t>C</w:t>
      </w:r>
      <w:r w:rsidRPr="005778AD">
        <w:rPr>
          <w:b/>
        </w:rPr>
        <w:t>IÓ</w:t>
      </w:r>
      <w:r w:rsidRPr="005778AD">
        <w:rPr>
          <w:b/>
          <w:spacing w:val="-2"/>
        </w:rPr>
        <w:t>N</w:t>
      </w:r>
      <w:r w:rsidRPr="005778AD">
        <w:rPr>
          <w:b/>
        </w:rPr>
        <w:t>.</w:t>
      </w:r>
      <w:r w:rsidRPr="005778AD">
        <w:rPr>
          <w:b/>
          <w:spacing w:val="18"/>
        </w:rPr>
        <w:t xml:space="preserve"> </w:t>
      </w:r>
    </w:p>
    <w:p w14:paraId="51B7C030" w14:textId="77777777" w:rsidR="00A03607" w:rsidRPr="005778AD" w:rsidRDefault="00A03607" w:rsidP="00A03607">
      <w:pPr>
        <w:pStyle w:val="Citas"/>
      </w:pPr>
      <w:r w:rsidRPr="005778AD">
        <w:rPr>
          <w:spacing w:val="18"/>
        </w:rPr>
        <w:t>L</w:t>
      </w:r>
      <w:r w:rsidRPr="005778AD">
        <w:rPr>
          <w:spacing w:val="-1"/>
        </w:rPr>
        <w:t xml:space="preserve">os </w:t>
      </w:r>
      <w:r w:rsidRPr="005778AD">
        <w:rPr>
          <w:spacing w:val="1"/>
        </w:rPr>
        <w:t>a</w:t>
      </w:r>
      <w:r w:rsidRPr="005778AD">
        <w:t>rt</w:t>
      </w:r>
      <w:r w:rsidRPr="005778AD">
        <w:rPr>
          <w:spacing w:val="-2"/>
        </w:rPr>
        <w:t>í</w:t>
      </w:r>
      <w:r w:rsidRPr="005778AD">
        <w:t>c</w:t>
      </w:r>
      <w:r w:rsidRPr="005778AD">
        <w:rPr>
          <w:spacing w:val="1"/>
        </w:rPr>
        <w:t>u</w:t>
      </w:r>
      <w:r w:rsidRPr="005778AD">
        <w:t>los</w:t>
      </w:r>
      <w:r w:rsidRPr="005778AD">
        <w:rPr>
          <w:spacing w:val="8"/>
        </w:rPr>
        <w:t xml:space="preserve"> 129 </w:t>
      </w:r>
      <w:r w:rsidRPr="005778AD">
        <w:rPr>
          <w:spacing w:val="1"/>
        </w:rPr>
        <w:t>d</w:t>
      </w:r>
      <w:r w:rsidRPr="005778AD">
        <w:t>e</w:t>
      </w:r>
      <w:r w:rsidRPr="005778AD">
        <w:rPr>
          <w:spacing w:val="9"/>
        </w:rPr>
        <w:t xml:space="preserve"> </w:t>
      </w:r>
      <w:r w:rsidRPr="005778AD">
        <w:t>la</w:t>
      </w:r>
      <w:r w:rsidRPr="005778AD">
        <w:rPr>
          <w:spacing w:val="10"/>
        </w:rPr>
        <w:t xml:space="preserve"> </w:t>
      </w:r>
      <w:r w:rsidRPr="005778AD">
        <w:rPr>
          <w:spacing w:val="-1"/>
        </w:rPr>
        <w:t>L</w:t>
      </w:r>
      <w:r w:rsidRPr="005778AD">
        <w:rPr>
          <w:spacing w:val="1"/>
        </w:rPr>
        <w:t>e</w:t>
      </w:r>
      <w:r w:rsidRPr="005778AD">
        <w:t>y</w:t>
      </w:r>
      <w:r w:rsidRPr="005778AD">
        <w:rPr>
          <w:spacing w:val="8"/>
        </w:rPr>
        <w:t xml:space="preserve"> </w:t>
      </w:r>
      <w:r w:rsidRPr="005778AD">
        <w:t>General</w:t>
      </w:r>
      <w:r w:rsidRPr="005778AD">
        <w:rPr>
          <w:spacing w:val="10"/>
        </w:rPr>
        <w:t xml:space="preserve"> </w:t>
      </w:r>
      <w:r w:rsidRPr="005778AD">
        <w:rPr>
          <w:spacing w:val="-1"/>
        </w:rPr>
        <w:t>d</w:t>
      </w:r>
      <w:r w:rsidRPr="005778AD">
        <w:t>e</w:t>
      </w:r>
      <w:r w:rsidRPr="005778AD">
        <w:rPr>
          <w:spacing w:val="9"/>
        </w:rPr>
        <w:t xml:space="preserve"> </w:t>
      </w:r>
      <w:r w:rsidRPr="005778AD">
        <w:rPr>
          <w:spacing w:val="2"/>
        </w:rPr>
        <w:t>T</w:t>
      </w:r>
      <w:r w:rsidRPr="005778AD">
        <w:t>r</w:t>
      </w:r>
      <w:r w:rsidRPr="005778AD">
        <w:rPr>
          <w:spacing w:val="-2"/>
        </w:rPr>
        <w:t>a</w:t>
      </w:r>
      <w:r w:rsidRPr="005778AD">
        <w:rPr>
          <w:spacing w:val="1"/>
        </w:rPr>
        <w:t>n</w:t>
      </w:r>
      <w:r w:rsidRPr="005778AD">
        <w:t>s</w:t>
      </w:r>
      <w:r w:rsidRPr="005778AD">
        <w:rPr>
          <w:spacing w:val="1"/>
        </w:rPr>
        <w:t>pa</w:t>
      </w:r>
      <w:r w:rsidRPr="005778AD">
        <w:t>r</w:t>
      </w:r>
      <w:r w:rsidRPr="005778AD">
        <w:rPr>
          <w:spacing w:val="-2"/>
        </w:rPr>
        <w:t>e</w:t>
      </w:r>
      <w:r w:rsidRPr="005778AD">
        <w:rPr>
          <w:spacing w:val="1"/>
        </w:rPr>
        <w:t>n</w:t>
      </w:r>
      <w:r w:rsidRPr="005778AD">
        <w:t>cia y Acc</w:t>
      </w:r>
      <w:r w:rsidRPr="005778AD">
        <w:rPr>
          <w:spacing w:val="1"/>
        </w:rPr>
        <w:t>e</w:t>
      </w:r>
      <w:r w:rsidRPr="005778AD">
        <w:t>so</w:t>
      </w:r>
      <w:r w:rsidRPr="005778AD">
        <w:rPr>
          <w:spacing w:val="3"/>
        </w:rPr>
        <w:t xml:space="preserve"> </w:t>
      </w:r>
      <w:r w:rsidRPr="005778AD">
        <w:t>a</w:t>
      </w:r>
      <w:r w:rsidRPr="005778AD">
        <w:rPr>
          <w:spacing w:val="1"/>
        </w:rPr>
        <w:t xml:space="preserve"> </w:t>
      </w:r>
      <w:r w:rsidRPr="005778AD">
        <w:t>la I</w:t>
      </w:r>
      <w:r w:rsidRPr="005778AD">
        <w:rPr>
          <w:spacing w:val="-1"/>
        </w:rPr>
        <w:t>n</w:t>
      </w:r>
      <w:r w:rsidRPr="005778AD">
        <w:t>f</w:t>
      </w:r>
      <w:r w:rsidRPr="005778AD">
        <w:rPr>
          <w:spacing w:val="1"/>
        </w:rPr>
        <w:t>o</w:t>
      </w:r>
      <w:r w:rsidRPr="005778AD">
        <w:rPr>
          <w:spacing w:val="-3"/>
        </w:rPr>
        <w:t>r</w:t>
      </w:r>
      <w:r w:rsidRPr="005778AD">
        <w:rPr>
          <w:spacing w:val="1"/>
        </w:rPr>
        <w:t>ma</w:t>
      </w:r>
      <w:r w:rsidRPr="005778AD">
        <w:t>ci</w:t>
      </w:r>
      <w:r w:rsidRPr="005778AD">
        <w:rPr>
          <w:spacing w:val="-2"/>
        </w:rPr>
        <w:t>ó</w:t>
      </w:r>
      <w:r w:rsidRPr="005778AD">
        <w:t>n</w:t>
      </w:r>
      <w:r w:rsidRPr="005778AD">
        <w:rPr>
          <w:spacing w:val="6"/>
        </w:rPr>
        <w:t xml:space="preserve"> </w:t>
      </w:r>
      <w:r w:rsidRPr="005778AD">
        <w:rPr>
          <w:spacing w:val="-2"/>
        </w:rPr>
        <w:t>P</w:t>
      </w:r>
      <w:r w:rsidRPr="005778AD">
        <w:rPr>
          <w:spacing w:val="1"/>
        </w:rPr>
        <w:t>úb</w:t>
      </w:r>
      <w:r w:rsidRPr="005778AD">
        <w:t>l</w:t>
      </w:r>
      <w:r w:rsidRPr="005778AD">
        <w:rPr>
          <w:spacing w:val="-1"/>
        </w:rPr>
        <w:t>i</w:t>
      </w:r>
      <w:r w:rsidRPr="005778AD">
        <w:t xml:space="preserve">ca y </w:t>
      </w:r>
      <w:r w:rsidRPr="005778AD">
        <w:rPr>
          <w:spacing w:val="8"/>
        </w:rPr>
        <w:t xml:space="preserve">130, párrafo cuarto, </w:t>
      </w:r>
      <w:r w:rsidRPr="005778AD">
        <w:rPr>
          <w:spacing w:val="1"/>
        </w:rPr>
        <w:t>d</w:t>
      </w:r>
      <w:r w:rsidRPr="005778AD">
        <w:t>e</w:t>
      </w:r>
      <w:r w:rsidRPr="005778AD">
        <w:rPr>
          <w:spacing w:val="9"/>
        </w:rPr>
        <w:t xml:space="preserve"> </w:t>
      </w:r>
      <w:r w:rsidRPr="005778AD">
        <w:t>la</w:t>
      </w:r>
      <w:r w:rsidRPr="005778AD">
        <w:rPr>
          <w:spacing w:val="10"/>
        </w:rPr>
        <w:t xml:space="preserve"> </w:t>
      </w:r>
      <w:r w:rsidRPr="005778AD">
        <w:rPr>
          <w:spacing w:val="-1"/>
        </w:rPr>
        <w:t>L</w:t>
      </w:r>
      <w:r w:rsidRPr="005778AD">
        <w:rPr>
          <w:spacing w:val="1"/>
        </w:rPr>
        <w:t>e</w:t>
      </w:r>
      <w:r w:rsidRPr="005778AD">
        <w:t>y</w:t>
      </w:r>
      <w:r w:rsidRPr="005778AD">
        <w:rPr>
          <w:spacing w:val="8"/>
        </w:rPr>
        <w:t xml:space="preserve"> </w:t>
      </w:r>
      <w:r w:rsidRPr="005778AD">
        <w:t>Fe</w:t>
      </w:r>
      <w:r w:rsidRPr="005778AD">
        <w:rPr>
          <w:spacing w:val="1"/>
        </w:rPr>
        <w:t>de</w:t>
      </w:r>
      <w:r w:rsidRPr="005778AD">
        <w:t>ral</w:t>
      </w:r>
      <w:r w:rsidRPr="005778AD">
        <w:rPr>
          <w:spacing w:val="10"/>
        </w:rPr>
        <w:t xml:space="preserve"> </w:t>
      </w:r>
      <w:r w:rsidRPr="005778AD">
        <w:rPr>
          <w:spacing w:val="-1"/>
        </w:rPr>
        <w:t>d</w:t>
      </w:r>
      <w:r w:rsidRPr="005778AD">
        <w:t>e</w:t>
      </w:r>
      <w:r w:rsidRPr="005778AD">
        <w:rPr>
          <w:spacing w:val="9"/>
        </w:rPr>
        <w:t xml:space="preserve"> </w:t>
      </w:r>
      <w:r w:rsidRPr="005778AD">
        <w:rPr>
          <w:spacing w:val="2"/>
        </w:rPr>
        <w:t>T</w:t>
      </w:r>
      <w:r w:rsidRPr="005778AD">
        <w:t>r</w:t>
      </w:r>
      <w:r w:rsidRPr="005778AD">
        <w:rPr>
          <w:spacing w:val="-2"/>
        </w:rPr>
        <w:t>a</w:t>
      </w:r>
      <w:r w:rsidRPr="005778AD">
        <w:rPr>
          <w:spacing w:val="1"/>
        </w:rPr>
        <w:t>n</w:t>
      </w:r>
      <w:r w:rsidRPr="005778AD">
        <w:t>s</w:t>
      </w:r>
      <w:r w:rsidRPr="005778AD">
        <w:rPr>
          <w:spacing w:val="1"/>
        </w:rPr>
        <w:t>pa</w:t>
      </w:r>
      <w:r w:rsidRPr="005778AD">
        <w:t>r</w:t>
      </w:r>
      <w:r w:rsidRPr="005778AD">
        <w:rPr>
          <w:spacing w:val="-2"/>
        </w:rPr>
        <w:t>e</w:t>
      </w:r>
      <w:r w:rsidRPr="005778AD">
        <w:rPr>
          <w:spacing w:val="1"/>
        </w:rPr>
        <w:t>n</w:t>
      </w:r>
      <w:r w:rsidRPr="005778AD">
        <w:t>cia y Acc</w:t>
      </w:r>
      <w:r w:rsidRPr="005778AD">
        <w:rPr>
          <w:spacing w:val="1"/>
        </w:rPr>
        <w:t>e</w:t>
      </w:r>
      <w:r w:rsidRPr="005778AD">
        <w:t>so</w:t>
      </w:r>
      <w:r w:rsidRPr="005778AD">
        <w:rPr>
          <w:spacing w:val="3"/>
        </w:rPr>
        <w:t xml:space="preserve"> </w:t>
      </w:r>
      <w:r w:rsidRPr="005778AD">
        <w:t>a</w:t>
      </w:r>
      <w:r w:rsidRPr="005778AD">
        <w:rPr>
          <w:spacing w:val="1"/>
        </w:rPr>
        <w:t xml:space="preserve"> </w:t>
      </w:r>
      <w:r w:rsidRPr="005778AD">
        <w:t>la I</w:t>
      </w:r>
      <w:r w:rsidRPr="005778AD">
        <w:rPr>
          <w:spacing w:val="-1"/>
        </w:rPr>
        <w:t>n</w:t>
      </w:r>
      <w:r w:rsidRPr="005778AD">
        <w:t>f</w:t>
      </w:r>
      <w:r w:rsidRPr="005778AD">
        <w:rPr>
          <w:spacing w:val="1"/>
        </w:rPr>
        <w:t>o</w:t>
      </w:r>
      <w:r w:rsidRPr="005778AD">
        <w:rPr>
          <w:spacing w:val="-3"/>
        </w:rPr>
        <w:t>r</w:t>
      </w:r>
      <w:r w:rsidRPr="005778AD">
        <w:rPr>
          <w:spacing w:val="1"/>
        </w:rPr>
        <w:t>ma</w:t>
      </w:r>
      <w:r w:rsidRPr="005778AD">
        <w:t>ci</w:t>
      </w:r>
      <w:r w:rsidRPr="005778AD">
        <w:rPr>
          <w:spacing w:val="-2"/>
        </w:rPr>
        <w:t>ó</w:t>
      </w:r>
      <w:r w:rsidRPr="005778AD">
        <w:t>n</w:t>
      </w:r>
      <w:r w:rsidRPr="005778AD">
        <w:rPr>
          <w:spacing w:val="6"/>
        </w:rPr>
        <w:t xml:space="preserve"> </w:t>
      </w:r>
      <w:r w:rsidRPr="005778AD">
        <w:rPr>
          <w:spacing w:val="-2"/>
        </w:rPr>
        <w:t>P</w:t>
      </w:r>
      <w:r w:rsidRPr="005778AD">
        <w:rPr>
          <w:spacing w:val="1"/>
        </w:rPr>
        <w:t>úb</w:t>
      </w:r>
      <w:r w:rsidRPr="005778AD">
        <w:t>l</w:t>
      </w:r>
      <w:r w:rsidRPr="005778AD">
        <w:rPr>
          <w:spacing w:val="-1"/>
        </w:rPr>
        <w:t>i</w:t>
      </w:r>
      <w:r w:rsidRPr="005778AD">
        <w:t xml:space="preserve">ca, </w:t>
      </w:r>
      <w:r w:rsidRPr="005778AD">
        <w:rPr>
          <w:spacing w:val="-1"/>
        </w:rPr>
        <w:t>señalan</w:t>
      </w:r>
      <w:r w:rsidRPr="005778AD">
        <w:rPr>
          <w:spacing w:val="1"/>
        </w:rPr>
        <w:t xml:space="preserve"> </w:t>
      </w:r>
      <w:r w:rsidRPr="005778AD">
        <w:rPr>
          <w:spacing w:val="-1"/>
        </w:rPr>
        <w:t>q</w:t>
      </w:r>
      <w:r w:rsidRPr="005778AD">
        <w:rPr>
          <w:spacing w:val="1"/>
        </w:rPr>
        <w:t>u</w:t>
      </w:r>
      <w:r w:rsidRPr="005778AD">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5778AD">
        <w:rPr>
          <w:spacing w:val="-1"/>
        </w:rPr>
        <w:t xml:space="preserve"> sin necesidad de</w:t>
      </w:r>
      <w:r w:rsidRPr="005778AD">
        <w:rPr>
          <w:spacing w:val="1"/>
        </w:rPr>
        <w:t xml:space="preserve"> e</w:t>
      </w:r>
      <w:r w:rsidRPr="005778AD">
        <w:t>la</w:t>
      </w:r>
      <w:r w:rsidRPr="005778AD">
        <w:rPr>
          <w:spacing w:val="1"/>
        </w:rPr>
        <w:t>bo</w:t>
      </w:r>
      <w:r w:rsidRPr="005778AD">
        <w:t xml:space="preserve">rar </w:t>
      </w:r>
      <w:r w:rsidRPr="005778AD">
        <w:rPr>
          <w:spacing w:val="1"/>
        </w:rPr>
        <w:t>do</w:t>
      </w:r>
      <w:r w:rsidRPr="005778AD">
        <w:rPr>
          <w:spacing w:val="-2"/>
        </w:rPr>
        <w:t>c</w:t>
      </w:r>
      <w:r w:rsidRPr="005778AD">
        <w:rPr>
          <w:spacing w:val="1"/>
        </w:rPr>
        <w:t>u</w:t>
      </w:r>
      <w:r w:rsidRPr="005778AD">
        <w:rPr>
          <w:spacing w:val="-1"/>
        </w:rPr>
        <w:t>m</w:t>
      </w:r>
      <w:r w:rsidRPr="005778AD">
        <w:rPr>
          <w:spacing w:val="1"/>
        </w:rPr>
        <w:t>en</w:t>
      </w:r>
      <w:r w:rsidRPr="005778AD">
        <w:rPr>
          <w:spacing w:val="-2"/>
        </w:rPr>
        <w:t>t</w:t>
      </w:r>
      <w:r w:rsidRPr="005778AD">
        <w:rPr>
          <w:spacing w:val="1"/>
        </w:rPr>
        <w:t>o</w:t>
      </w:r>
      <w:r w:rsidRPr="005778AD">
        <w:t>s</w:t>
      </w:r>
      <w:r w:rsidRPr="005778AD">
        <w:rPr>
          <w:spacing w:val="3"/>
        </w:rPr>
        <w:t xml:space="preserve"> </w:t>
      </w:r>
      <w:r w:rsidRPr="005778AD">
        <w:rPr>
          <w:spacing w:val="1"/>
        </w:rPr>
        <w:t>a</w:t>
      </w:r>
      <w:r w:rsidRPr="005778AD">
        <w:t>d</w:t>
      </w:r>
      <w:r w:rsidRPr="005778AD">
        <w:rPr>
          <w:spacing w:val="1"/>
        </w:rPr>
        <w:t xml:space="preserve"> ho</w:t>
      </w:r>
      <w:r w:rsidRPr="005778AD">
        <w:t>c</w:t>
      </w:r>
      <w:r w:rsidRPr="005778AD">
        <w:rPr>
          <w:spacing w:val="2"/>
        </w:rPr>
        <w:t xml:space="preserve"> </w:t>
      </w:r>
      <w:r w:rsidRPr="005778AD">
        <w:rPr>
          <w:spacing w:val="1"/>
        </w:rPr>
        <w:t>pa</w:t>
      </w:r>
      <w:r w:rsidRPr="005778AD">
        <w:t xml:space="preserve">ra </w:t>
      </w:r>
      <w:r w:rsidRPr="005778AD">
        <w:rPr>
          <w:spacing w:val="1"/>
        </w:rPr>
        <w:t>a</w:t>
      </w:r>
      <w:r w:rsidRPr="005778AD">
        <w:t>t</w:t>
      </w:r>
      <w:r w:rsidRPr="005778AD">
        <w:rPr>
          <w:spacing w:val="-1"/>
        </w:rPr>
        <w:t>e</w:t>
      </w:r>
      <w:r w:rsidRPr="005778AD">
        <w:rPr>
          <w:spacing w:val="1"/>
        </w:rPr>
        <w:t>n</w:t>
      </w:r>
      <w:r w:rsidRPr="005778AD">
        <w:rPr>
          <w:spacing w:val="-1"/>
        </w:rPr>
        <w:t>d</w:t>
      </w:r>
      <w:r w:rsidRPr="005778AD">
        <w:rPr>
          <w:spacing w:val="1"/>
        </w:rPr>
        <w:t>e</w:t>
      </w:r>
      <w:r w:rsidRPr="005778AD">
        <w:t>r</w:t>
      </w:r>
      <w:r w:rsidRPr="005778AD">
        <w:rPr>
          <w:spacing w:val="2"/>
        </w:rPr>
        <w:t xml:space="preserve"> </w:t>
      </w:r>
      <w:r w:rsidRPr="005778AD">
        <w:t>l</w:t>
      </w:r>
      <w:r w:rsidRPr="005778AD">
        <w:rPr>
          <w:spacing w:val="-2"/>
        </w:rPr>
        <w:t>a</w:t>
      </w:r>
      <w:r w:rsidRPr="005778AD">
        <w:t>s</w:t>
      </w:r>
      <w:r w:rsidRPr="005778AD">
        <w:rPr>
          <w:spacing w:val="2"/>
        </w:rPr>
        <w:t xml:space="preserve"> </w:t>
      </w:r>
      <w:r w:rsidRPr="005778AD">
        <w:t>s</w:t>
      </w:r>
      <w:r w:rsidRPr="005778AD">
        <w:rPr>
          <w:spacing w:val="1"/>
        </w:rPr>
        <w:t>o</w:t>
      </w:r>
      <w:r w:rsidRPr="005778AD">
        <w:t>l</w:t>
      </w:r>
      <w:r w:rsidRPr="005778AD">
        <w:rPr>
          <w:spacing w:val="-1"/>
        </w:rPr>
        <w:t>i</w:t>
      </w:r>
      <w:r w:rsidRPr="005778AD">
        <w:t>cit</w:t>
      </w:r>
      <w:r w:rsidRPr="005778AD">
        <w:rPr>
          <w:spacing w:val="1"/>
        </w:rPr>
        <w:t>ude</w:t>
      </w:r>
      <w:r w:rsidRPr="005778AD">
        <w:t>s</w:t>
      </w:r>
      <w:r w:rsidRPr="005778AD">
        <w:rPr>
          <w:spacing w:val="4"/>
        </w:rPr>
        <w:t xml:space="preserve"> </w:t>
      </w:r>
      <w:r w:rsidRPr="005778AD">
        <w:rPr>
          <w:spacing w:val="-1"/>
        </w:rPr>
        <w:t>d</w:t>
      </w:r>
      <w:r w:rsidRPr="005778AD">
        <w:t>e</w:t>
      </w:r>
      <w:r w:rsidRPr="005778AD">
        <w:rPr>
          <w:spacing w:val="3"/>
        </w:rPr>
        <w:t xml:space="preserve"> </w:t>
      </w:r>
      <w:r w:rsidRPr="005778AD">
        <w:t>i</w:t>
      </w:r>
      <w:r w:rsidRPr="005778AD">
        <w:rPr>
          <w:spacing w:val="-2"/>
        </w:rPr>
        <w:t>n</w:t>
      </w:r>
      <w:r w:rsidRPr="005778AD">
        <w:t>f</w:t>
      </w:r>
      <w:r w:rsidRPr="005778AD">
        <w:rPr>
          <w:spacing w:val="1"/>
        </w:rPr>
        <w:t>o</w:t>
      </w:r>
      <w:r w:rsidRPr="005778AD">
        <w:t>r</w:t>
      </w:r>
      <w:r w:rsidRPr="005778AD">
        <w:rPr>
          <w:spacing w:val="-1"/>
        </w:rPr>
        <w:t>m</w:t>
      </w:r>
      <w:r w:rsidRPr="005778AD">
        <w:rPr>
          <w:spacing w:val="1"/>
        </w:rPr>
        <w:t>a</w:t>
      </w:r>
      <w:r w:rsidRPr="005778AD">
        <w:t>ció</w:t>
      </w:r>
      <w:r w:rsidRPr="005778AD">
        <w:rPr>
          <w:spacing w:val="1"/>
        </w:rPr>
        <w:t>n</w:t>
      </w:r>
      <w:r w:rsidRPr="005778AD">
        <w:t>.</w:t>
      </w:r>
    </w:p>
    <w:p w14:paraId="1154DB77" w14:textId="77777777" w:rsidR="00A03607" w:rsidRPr="005778AD" w:rsidRDefault="00A03607" w:rsidP="00A03607">
      <w:pPr>
        <w:pStyle w:val="Citas"/>
        <w:rPr>
          <w:b/>
        </w:rPr>
      </w:pPr>
      <w:r w:rsidRPr="005778AD">
        <w:rPr>
          <w:b/>
        </w:rPr>
        <w:t>Resoluciones:</w:t>
      </w:r>
    </w:p>
    <w:p w14:paraId="7F741887" w14:textId="77777777" w:rsidR="00A03607" w:rsidRPr="005778AD" w:rsidRDefault="00A03607" w:rsidP="00A03607">
      <w:pPr>
        <w:pStyle w:val="Citas"/>
      </w:pPr>
      <w:r w:rsidRPr="005778AD">
        <w:rPr>
          <w:b/>
        </w:rPr>
        <w:t>RRA 0050/16.</w:t>
      </w:r>
      <w:r w:rsidRPr="005778AD">
        <w:t xml:space="preserve"> Instituto Nacional para la Evaluación de la Educación. 13 julio de 2016. Por unanimidad. Comisionado Ponente: Francisco Javier Acuña Llamas.</w:t>
      </w:r>
    </w:p>
    <w:p w14:paraId="23DDEB01" w14:textId="77777777" w:rsidR="00A03607" w:rsidRPr="005778AD" w:rsidRDefault="00A03607" w:rsidP="00A03607">
      <w:pPr>
        <w:pStyle w:val="Citas"/>
        <w:rPr>
          <w:rFonts w:ascii="Times New Roman" w:hAnsi="Times New Roman" w:cs="Times New Roman"/>
        </w:rPr>
      </w:pPr>
      <w:r w:rsidRPr="005778AD">
        <w:rPr>
          <w:b/>
        </w:rPr>
        <w:t xml:space="preserve">RRA 0310/16. </w:t>
      </w:r>
      <w:r w:rsidRPr="005778AD">
        <w:t>Instituto Nacional de Transparencia, Acceso a la Información y Protección de Datos Personales. 10 de agosto de 2016. Por unanimidad. Comisionada Ponente. Areli Cano Guadiana.</w:t>
      </w:r>
    </w:p>
    <w:p w14:paraId="138D57DD" w14:textId="77777777" w:rsidR="00A03607" w:rsidRPr="005778AD" w:rsidRDefault="00A03607" w:rsidP="00A03607">
      <w:pPr>
        <w:pStyle w:val="Citas"/>
        <w:rPr>
          <w:b/>
        </w:rPr>
      </w:pPr>
      <w:r w:rsidRPr="005778AD">
        <w:rPr>
          <w:b/>
        </w:rPr>
        <w:t xml:space="preserve">RRA 1889/16. </w:t>
      </w:r>
      <w:r w:rsidRPr="005778AD">
        <w:t xml:space="preserve">Secretaría de Hacienda y Crédito Público. 05 de octubre de 2016. Por unanimidad. Comisionada Ponente. Ximena Puente de la Mora” </w:t>
      </w:r>
      <w:r w:rsidRPr="005778AD">
        <w:rPr>
          <w:b/>
        </w:rPr>
        <w:t>[Sic]</w:t>
      </w:r>
    </w:p>
    <w:p w14:paraId="63F5276A" w14:textId="27B8C715" w:rsidR="00A03607" w:rsidRDefault="00A03607" w:rsidP="00A03607">
      <w:pPr>
        <w:autoSpaceDE w:val="0"/>
        <w:autoSpaceDN w:val="0"/>
        <w:adjustRightInd w:val="0"/>
        <w:spacing w:before="240" w:line="360" w:lineRule="auto"/>
        <w:jc w:val="both"/>
        <w:rPr>
          <w:rFonts w:ascii="Palatino Linotype" w:hAnsi="Palatino Linotype" w:cs="Arial"/>
          <w:noProof/>
          <w:color w:val="000000"/>
          <w:sz w:val="24"/>
          <w:lang w:val="es-ES" w:eastAsia="es-MX"/>
        </w:rPr>
      </w:pPr>
      <w:r>
        <w:rPr>
          <w:rFonts w:ascii="Palatino Linotype" w:hAnsi="Palatino Linotype" w:cs="Arial"/>
          <w:noProof/>
          <w:color w:val="000000"/>
          <w:sz w:val="24"/>
          <w:lang w:val="es-ES" w:eastAsia="es-MX"/>
        </w:rPr>
        <w:lastRenderedPageBreak/>
        <w:t xml:space="preserve">En todo caso, una vez realizada la búsqueda exhaustiva y razonable, </w:t>
      </w:r>
      <w:r w:rsidR="00234F51">
        <w:rPr>
          <w:rFonts w:ascii="Palatino Linotype" w:hAnsi="Palatino Linotype" w:cs="Arial"/>
          <w:noProof/>
          <w:color w:val="000000"/>
          <w:sz w:val="24"/>
          <w:lang w:val="es-ES" w:eastAsia="es-MX"/>
        </w:rPr>
        <w:t xml:space="preserve">para el caso de no contar con la información requerida, bastará con que así lo manifieste en etapa de cumplimiento. </w:t>
      </w:r>
    </w:p>
    <w:p w14:paraId="583AEBF7" w14:textId="263DC2FA" w:rsidR="00234F51" w:rsidRPr="00093709" w:rsidRDefault="00234F51" w:rsidP="00234F51">
      <w:pPr>
        <w:tabs>
          <w:tab w:val="left" w:pos="709"/>
        </w:tabs>
        <w:spacing w:before="240" w:line="360" w:lineRule="auto"/>
        <w:ind w:right="51"/>
        <w:jc w:val="both"/>
        <w:rPr>
          <w:rFonts w:ascii="Palatino Linotype" w:eastAsia="Times New Roman" w:hAnsi="Palatino Linotype" w:cs="Arial"/>
          <w:bCs/>
          <w:sz w:val="24"/>
          <w:szCs w:val="24"/>
          <w:lang w:eastAsia="es-ES"/>
        </w:rPr>
      </w:pPr>
      <w:r w:rsidRPr="000F5B7E">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Pr>
          <w:rFonts w:ascii="Palatino Linotype" w:eastAsia="Times New Roman" w:hAnsi="Palatino Linotype" w:cs="Times New Roman"/>
          <w:b/>
          <w:bCs/>
          <w:sz w:val="24"/>
          <w:szCs w:val="24"/>
          <w:lang w:eastAsia="es-ES"/>
        </w:rPr>
        <w:t>El</w:t>
      </w:r>
      <w:r w:rsidRPr="000F5B7E">
        <w:rPr>
          <w:rFonts w:ascii="Palatino Linotype" w:eastAsia="Times New Roman" w:hAnsi="Palatino Linotype" w:cs="Times New Roman"/>
          <w:b/>
          <w:sz w:val="24"/>
          <w:szCs w:val="24"/>
          <w:lang w:eastAsia="es-ES"/>
        </w:rPr>
        <w:t xml:space="preserve"> Recurrente</w:t>
      </w:r>
      <w:r w:rsidRPr="000F5B7E">
        <w:rPr>
          <w:rFonts w:ascii="Palatino Linotype" w:eastAsia="Times New Roman" w:hAnsi="Palatino Linotype" w:cs="Times New Roman"/>
          <w:sz w:val="24"/>
          <w:szCs w:val="24"/>
          <w:lang w:eastAsia="es-ES"/>
        </w:rPr>
        <w:t xml:space="preserve"> en su medio de impugnación que fue materia de estudio, por ello </w:t>
      </w:r>
      <w:r w:rsidRPr="000F5B7E">
        <w:rPr>
          <w:rFonts w:ascii="Palatino Linotype" w:eastAsia="Times New Roman" w:hAnsi="Palatino Linotype" w:cs="Arial"/>
          <w:sz w:val="24"/>
          <w:szCs w:val="24"/>
          <w:lang w:eastAsia="es-ES"/>
        </w:rPr>
        <w:t>con fundamento en la</w:t>
      </w:r>
      <w:r w:rsidRPr="000F5B7E">
        <w:rPr>
          <w:rFonts w:ascii="Palatino Linotype" w:eastAsia="Times New Roman" w:hAnsi="Palatino Linotype" w:cs="Arial"/>
          <w:b/>
          <w:sz w:val="24"/>
          <w:szCs w:val="24"/>
          <w:lang w:eastAsia="es-ES"/>
        </w:rPr>
        <w:t xml:space="preserve"> </w:t>
      </w:r>
      <w:r w:rsidRPr="003B3A02">
        <w:rPr>
          <w:rFonts w:ascii="Palatino Linotype" w:eastAsia="Times New Roman" w:hAnsi="Palatino Linotype" w:cs="Arial"/>
          <w:b/>
          <w:bCs/>
          <w:i/>
          <w:sz w:val="24"/>
          <w:szCs w:val="24"/>
          <w:lang w:eastAsia="es-ES"/>
        </w:rPr>
        <w:t>primera hipótesis</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de la fracción</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III, del artículo 186,</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0F5B7E">
        <w:rPr>
          <w:rFonts w:ascii="Palatino Linotype" w:eastAsia="Times New Roman" w:hAnsi="Palatino Linotype" w:cs="Arial"/>
          <w:b/>
          <w:sz w:val="24"/>
          <w:szCs w:val="24"/>
          <w:lang w:eastAsia="es-ES"/>
        </w:rPr>
        <w:t>REVOCA</w:t>
      </w:r>
      <w:r>
        <w:rPr>
          <w:rFonts w:ascii="Palatino Linotype" w:eastAsia="Times New Roman" w:hAnsi="Palatino Linotype" w:cs="Arial"/>
          <w:b/>
          <w:sz w:val="24"/>
          <w:szCs w:val="24"/>
          <w:lang w:eastAsia="es-ES"/>
        </w:rPr>
        <w:t xml:space="preserve"> </w:t>
      </w:r>
      <w:r>
        <w:rPr>
          <w:rFonts w:ascii="Palatino Linotype" w:eastAsia="Times New Roman" w:hAnsi="Palatino Linotype" w:cs="Arial"/>
          <w:bCs/>
          <w:sz w:val="24"/>
          <w:szCs w:val="24"/>
          <w:lang w:eastAsia="es-ES"/>
        </w:rPr>
        <w:t xml:space="preserve">la respuesta a la solicitud de información número </w:t>
      </w:r>
      <w:r>
        <w:rPr>
          <w:rFonts w:ascii="Palatino Linotype" w:eastAsia="Times New Roman" w:hAnsi="Palatino Linotype" w:cs="Arial"/>
          <w:b/>
          <w:sz w:val="24"/>
          <w:szCs w:val="24"/>
          <w:lang w:eastAsia="es-ES"/>
        </w:rPr>
        <w:t xml:space="preserve">00084/NEXTLAL/IP/2024 </w:t>
      </w:r>
      <w:r>
        <w:rPr>
          <w:rFonts w:ascii="Palatino Linotype" w:eastAsia="Times New Roman" w:hAnsi="Palatino Linotype" w:cs="Arial"/>
          <w:bCs/>
          <w:sz w:val="24"/>
          <w:szCs w:val="24"/>
          <w:lang w:eastAsia="es-ES"/>
        </w:rPr>
        <w:t xml:space="preserve">que ha sido materia del presente fallo. </w:t>
      </w:r>
    </w:p>
    <w:p w14:paraId="677B4F60" w14:textId="77777777" w:rsidR="00234F51" w:rsidRDefault="00234F51" w:rsidP="00234F51">
      <w:pPr>
        <w:pStyle w:val="Prrafodelista"/>
        <w:spacing w:before="240" w:after="240" w:line="360" w:lineRule="auto"/>
        <w:ind w:left="0"/>
        <w:jc w:val="both"/>
        <w:rPr>
          <w:rFonts w:ascii="Palatino Linotype" w:hAnsi="Palatino Linotype"/>
        </w:rPr>
      </w:pPr>
      <w:r w:rsidRPr="00D5257A">
        <w:rPr>
          <w:rFonts w:ascii="Palatino Linotype" w:hAnsi="Palatino Linotype"/>
        </w:rPr>
        <w:t>Por lo antes expuesto y fundado es de resolverse y,</w:t>
      </w:r>
      <w:r w:rsidRPr="00F458CF">
        <w:rPr>
          <w:rFonts w:ascii="Palatino Linotype" w:hAnsi="Palatino Linotype"/>
        </w:rPr>
        <w:t xml:space="preserve"> </w:t>
      </w:r>
    </w:p>
    <w:p w14:paraId="2BFF3DBB" w14:textId="77777777" w:rsidR="00234F51" w:rsidRDefault="00234F51" w:rsidP="00234F51">
      <w:pPr>
        <w:spacing w:before="240" w:line="360" w:lineRule="auto"/>
        <w:jc w:val="center"/>
        <w:rPr>
          <w:rFonts w:ascii="Palatino Linotype" w:eastAsia="Times New Roman" w:hAnsi="Palatino Linotype"/>
          <w:b/>
          <w:bCs/>
          <w:spacing w:val="60"/>
          <w:sz w:val="24"/>
          <w:szCs w:val="24"/>
          <w:lang w:val="es-ES_tradnl"/>
        </w:rPr>
      </w:pPr>
    </w:p>
    <w:p w14:paraId="00A0FE41" w14:textId="7CE30337" w:rsidR="00234F51" w:rsidRPr="00D05C83" w:rsidRDefault="00234F51" w:rsidP="00234F51">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3B46B810" w14:textId="64B9D795" w:rsidR="00234F51" w:rsidRPr="006D1C87" w:rsidRDefault="00234F51" w:rsidP="00234F51">
      <w:pPr>
        <w:spacing w:before="240" w:line="360" w:lineRule="auto"/>
        <w:jc w:val="both"/>
        <w:rPr>
          <w:rFonts w:ascii="Palatino Linotype" w:hAnsi="Palatino Linotype" w:cs="Arial"/>
          <w:sz w:val="24"/>
          <w:szCs w:val="24"/>
        </w:rPr>
      </w:pPr>
      <w:r w:rsidRPr="006D1C87">
        <w:rPr>
          <w:rFonts w:ascii="Palatino Linotype" w:hAnsi="Palatino Linotype" w:cs="Arial"/>
          <w:b/>
          <w:sz w:val="24"/>
          <w:szCs w:val="24"/>
          <w:lang w:val="es-ES_tradnl"/>
        </w:rPr>
        <w:t>PRIMERO.</w:t>
      </w:r>
      <w:r w:rsidRPr="006D1C87">
        <w:rPr>
          <w:rFonts w:ascii="Palatino Linotype" w:hAnsi="Palatino Linotype" w:cs="Arial"/>
          <w:sz w:val="24"/>
          <w:szCs w:val="24"/>
          <w:lang w:val="es-ES_tradnl"/>
        </w:rPr>
        <w:t xml:space="preserve"> </w:t>
      </w:r>
      <w:r w:rsidRPr="006D1C87">
        <w:rPr>
          <w:rFonts w:ascii="Palatino Linotype" w:hAnsi="Palatino Linotype" w:cs="Arial"/>
          <w:sz w:val="24"/>
          <w:szCs w:val="24"/>
        </w:rPr>
        <w:t xml:space="preserve">Se </w:t>
      </w:r>
      <w:r w:rsidRPr="006D1C87">
        <w:rPr>
          <w:rFonts w:ascii="Palatino Linotype" w:hAnsi="Palatino Linotype" w:cs="Arial"/>
          <w:b/>
          <w:sz w:val="24"/>
          <w:szCs w:val="24"/>
        </w:rPr>
        <w:t>REVOCA</w:t>
      </w:r>
      <w:r>
        <w:rPr>
          <w:rFonts w:ascii="Palatino Linotype" w:hAnsi="Palatino Linotype" w:cs="Arial"/>
          <w:b/>
          <w:sz w:val="24"/>
          <w:szCs w:val="24"/>
        </w:rPr>
        <w:t xml:space="preserve"> </w:t>
      </w:r>
      <w:r>
        <w:rPr>
          <w:rFonts w:ascii="Palatino Linotype" w:hAnsi="Palatino Linotype" w:cs="Arial"/>
          <w:bCs/>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bCs/>
          <w:sz w:val="24"/>
          <w:szCs w:val="24"/>
        </w:rPr>
        <w:t xml:space="preserve">a la solicitud de información número </w:t>
      </w:r>
      <w:r>
        <w:rPr>
          <w:rFonts w:ascii="Palatino Linotype" w:eastAsia="Times New Roman" w:hAnsi="Palatino Linotype" w:cs="Arial"/>
          <w:b/>
          <w:sz w:val="24"/>
          <w:szCs w:val="24"/>
          <w:lang w:eastAsia="es-ES"/>
        </w:rPr>
        <w:t xml:space="preserve">00084/NEXTLAL/IP/2024 </w:t>
      </w:r>
      <w:r w:rsidRPr="006D1C87">
        <w:rPr>
          <w:rFonts w:ascii="Palatino Linotype" w:hAnsi="Palatino Linotype" w:cs="Arial"/>
          <w:sz w:val="24"/>
          <w:szCs w:val="24"/>
        </w:rPr>
        <w:t xml:space="preserve">por resultar fundados los motivos de inconformidad que arguye </w:t>
      </w:r>
      <w:r w:rsidRPr="006D1C87">
        <w:rPr>
          <w:rFonts w:ascii="Palatino Linotype" w:hAnsi="Palatino Linotype" w:cs="Arial"/>
          <w:b/>
          <w:sz w:val="24"/>
          <w:szCs w:val="24"/>
        </w:rPr>
        <w:t xml:space="preserve">EL RECURRENTE, </w:t>
      </w:r>
      <w:r w:rsidRPr="006D1C87">
        <w:rPr>
          <w:rFonts w:ascii="Palatino Linotype" w:hAnsi="Palatino Linotype" w:cs="Arial"/>
          <w:sz w:val="24"/>
          <w:szCs w:val="24"/>
        </w:rPr>
        <w:t xml:space="preserve">en términos del considerando </w:t>
      </w:r>
      <w:r w:rsidRPr="006D1C87">
        <w:rPr>
          <w:rFonts w:ascii="Palatino Linotype" w:hAnsi="Palatino Linotype" w:cs="Arial"/>
          <w:b/>
          <w:sz w:val="24"/>
          <w:szCs w:val="24"/>
        </w:rPr>
        <w:t xml:space="preserve">CUARTO </w:t>
      </w:r>
      <w:r w:rsidRPr="006D1C87">
        <w:rPr>
          <w:rFonts w:ascii="Palatino Linotype" w:hAnsi="Palatino Linotype" w:cs="Arial"/>
          <w:sz w:val="24"/>
          <w:szCs w:val="24"/>
        </w:rPr>
        <w:t xml:space="preserve">de la presente resolución. </w:t>
      </w:r>
    </w:p>
    <w:p w14:paraId="23101D59" w14:textId="77777777" w:rsidR="00234F51" w:rsidRPr="006D1C87" w:rsidRDefault="00234F51" w:rsidP="00234F51">
      <w:pPr>
        <w:autoSpaceDE w:val="0"/>
        <w:autoSpaceDN w:val="0"/>
        <w:adjustRightInd w:val="0"/>
        <w:spacing w:before="240" w:line="360" w:lineRule="auto"/>
        <w:ind w:right="49"/>
        <w:jc w:val="both"/>
        <w:rPr>
          <w:rFonts w:ascii="Palatino Linotype" w:hAnsi="Palatino Linotype" w:cs="Arial"/>
          <w:b/>
          <w:sz w:val="24"/>
          <w:szCs w:val="24"/>
        </w:rPr>
      </w:pPr>
    </w:p>
    <w:p w14:paraId="3C42B4FA" w14:textId="480A9D1D" w:rsidR="00234F51" w:rsidRPr="00AF17B1" w:rsidRDefault="00234F51" w:rsidP="00234F51">
      <w:pPr>
        <w:autoSpaceDE w:val="0"/>
        <w:autoSpaceDN w:val="0"/>
        <w:adjustRightInd w:val="0"/>
        <w:spacing w:before="240" w:line="360" w:lineRule="auto"/>
        <w:ind w:right="49"/>
        <w:jc w:val="both"/>
        <w:rPr>
          <w:rFonts w:ascii="Palatino Linotype" w:hAnsi="Palatino Linotype" w:cs="Arial"/>
          <w:sz w:val="24"/>
          <w:szCs w:val="24"/>
        </w:rPr>
      </w:pPr>
      <w:r w:rsidRPr="00234F51">
        <w:rPr>
          <w:rFonts w:ascii="Palatino Linotype" w:hAnsi="Palatino Linotype" w:cs="Arial"/>
          <w:b/>
          <w:sz w:val="24"/>
          <w:szCs w:val="24"/>
        </w:rPr>
        <w:t>SEGUNDO.</w:t>
      </w:r>
      <w:r w:rsidRPr="00234F51">
        <w:rPr>
          <w:rFonts w:ascii="Palatino Linotype" w:hAnsi="Palatino Linotype" w:cs="Arial"/>
          <w:sz w:val="24"/>
          <w:szCs w:val="24"/>
        </w:rPr>
        <w:t xml:space="preserve"> Se </w:t>
      </w:r>
      <w:r w:rsidRPr="00234F51">
        <w:rPr>
          <w:rFonts w:ascii="Palatino Linotype" w:hAnsi="Palatino Linotype" w:cs="Arial"/>
          <w:b/>
          <w:sz w:val="24"/>
          <w:szCs w:val="24"/>
        </w:rPr>
        <w:t>ORDENA</w:t>
      </w:r>
      <w:r w:rsidRPr="00234F51">
        <w:rPr>
          <w:rFonts w:ascii="Palatino Linotype" w:hAnsi="Palatino Linotype" w:cs="Arial"/>
          <w:sz w:val="24"/>
          <w:szCs w:val="24"/>
        </w:rPr>
        <w:t xml:space="preserve"> al </w:t>
      </w:r>
      <w:r w:rsidRPr="00234F51">
        <w:rPr>
          <w:rFonts w:ascii="Palatino Linotype" w:hAnsi="Palatino Linotype" w:cs="Arial"/>
          <w:b/>
          <w:sz w:val="24"/>
          <w:szCs w:val="24"/>
        </w:rPr>
        <w:t>SUJETO OBLIGADO</w:t>
      </w:r>
      <w:r w:rsidRPr="00234F51">
        <w:rPr>
          <w:rFonts w:ascii="Palatino Linotype" w:hAnsi="Palatino Linotype" w:cs="Arial"/>
          <w:sz w:val="24"/>
          <w:szCs w:val="24"/>
        </w:rPr>
        <w:t xml:space="preserve"> realizar una búsqueda exhaustiva y razonable a fin de entregar a </w:t>
      </w:r>
      <w:r w:rsidRPr="00234F51">
        <w:rPr>
          <w:rFonts w:ascii="Palatino Linotype" w:hAnsi="Palatino Linotype" w:cs="Arial"/>
          <w:b/>
          <w:bCs/>
          <w:sz w:val="24"/>
          <w:szCs w:val="24"/>
        </w:rPr>
        <w:t>LA</w:t>
      </w:r>
      <w:r w:rsidRPr="00234F51">
        <w:rPr>
          <w:rFonts w:ascii="Palatino Linotype" w:hAnsi="Palatino Linotype" w:cs="Arial"/>
          <w:sz w:val="24"/>
          <w:szCs w:val="24"/>
        </w:rPr>
        <w:t xml:space="preserve"> </w:t>
      </w:r>
      <w:r w:rsidRPr="00234F51">
        <w:rPr>
          <w:rFonts w:ascii="Palatino Linotype" w:hAnsi="Palatino Linotype" w:cs="Arial"/>
          <w:b/>
          <w:bCs/>
          <w:sz w:val="24"/>
          <w:szCs w:val="24"/>
        </w:rPr>
        <w:t xml:space="preserve">RECURRENTE, </w:t>
      </w:r>
      <w:r w:rsidRPr="00234F51">
        <w:rPr>
          <w:rFonts w:ascii="Palatino Linotype" w:eastAsia="Times New Roman" w:hAnsi="Palatino Linotype" w:cs="Arial"/>
          <w:b/>
          <w:sz w:val="24"/>
          <w:szCs w:val="24"/>
          <w:lang w:eastAsia="es-ES"/>
        </w:rPr>
        <w:t xml:space="preserve">vía </w:t>
      </w:r>
      <w:r w:rsidRPr="00234F51">
        <w:rPr>
          <w:rFonts w:ascii="Palatino Linotype" w:hAnsi="Palatino Linotype" w:cs="Arial"/>
          <w:sz w:val="24"/>
          <w:szCs w:val="24"/>
        </w:rPr>
        <w:t xml:space="preserve">Sistema de Acceso a la Información Mexiquense </w:t>
      </w:r>
      <w:r w:rsidRPr="00234F51">
        <w:rPr>
          <w:rFonts w:ascii="Palatino Linotype" w:hAnsi="Palatino Linotype" w:cs="Arial"/>
          <w:b/>
          <w:sz w:val="24"/>
          <w:szCs w:val="24"/>
        </w:rPr>
        <w:t>(SAIMEX),</w:t>
      </w:r>
      <w:r w:rsidRPr="00234F51">
        <w:rPr>
          <w:rFonts w:ascii="Palatino Linotype" w:hAnsi="Palatino Linotype" w:cs="Arial"/>
          <w:b/>
          <w:bCs/>
          <w:sz w:val="24"/>
          <w:szCs w:val="24"/>
        </w:rPr>
        <w:t xml:space="preserve"> </w:t>
      </w:r>
      <w:r w:rsidRPr="00234F51">
        <w:rPr>
          <w:rFonts w:ascii="Palatino Linotype" w:hAnsi="Palatino Linotype" w:cs="Arial"/>
          <w:sz w:val="24"/>
          <w:szCs w:val="24"/>
        </w:rPr>
        <w:t xml:space="preserve">en términos del Considerando </w:t>
      </w:r>
      <w:r w:rsidRPr="00234F51">
        <w:rPr>
          <w:rFonts w:ascii="Palatino Linotype" w:hAnsi="Palatino Linotype" w:cs="Arial"/>
          <w:b/>
          <w:sz w:val="24"/>
          <w:szCs w:val="24"/>
        </w:rPr>
        <w:t xml:space="preserve">CUARTO </w:t>
      </w:r>
      <w:r w:rsidRPr="00234F51">
        <w:rPr>
          <w:rFonts w:ascii="Palatino Linotype" w:hAnsi="Palatino Linotype" w:cs="Arial"/>
          <w:sz w:val="24"/>
          <w:szCs w:val="24"/>
        </w:rPr>
        <w:t xml:space="preserve">de esta </w:t>
      </w:r>
      <w:r w:rsidRPr="00FE0F12">
        <w:rPr>
          <w:rFonts w:ascii="Palatino Linotype" w:hAnsi="Palatino Linotype" w:cs="Arial"/>
          <w:sz w:val="24"/>
          <w:szCs w:val="24"/>
          <w:highlight w:val="cyan"/>
        </w:rPr>
        <w:t>resolución</w:t>
      </w:r>
      <w:r w:rsidRPr="00FE0F12">
        <w:rPr>
          <w:rFonts w:ascii="Palatino Linotype" w:hAnsi="Palatino Linotype" w:cs="Arial"/>
          <w:b/>
          <w:sz w:val="24"/>
          <w:szCs w:val="24"/>
          <w:highlight w:val="cyan"/>
        </w:rPr>
        <w:t xml:space="preserve">, </w:t>
      </w:r>
      <w:r w:rsidRPr="00FE0F12">
        <w:rPr>
          <w:rFonts w:ascii="Palatino Linotype" w:hAnsi="Palatino Linotype" w:cs="Arial"/>
          <w:sz w:val="24"/>
          <w:szCs w:val="24"/>
          <w:highlight w:val="cyan"/>
        </w:rPr>
        <w:t>de lo</w:t>
      </w:r>
      <w:r w:rsidRPr="00234F51">
        <w:rPr>
          <w:rFonts w:ascii="Palatino Linotype" w:hAnsi="Palatino Linotype" w:cs="Arial"/>
          <w:sz w:val="24"/>
          <w:szCs w:val="24"/>
        </w:rPr>
        <w:t xml:space="preserve"> siguiente:</w:t>
      </w:r>
    </w:p>
    <w:p w14:paraId="558BE692" w14:textId="228274A6" w:rsidR="00234F51" w:rsidRPr="00234F51" w:rsidRDefault="00234F51" w:rsidP="00754771">
      <w:pPr>
        <w:pStyle w:val="Prrafodelista"/>
        <w:numPr>
          <w:ilvl w:val="0"/>
          <w:numId w:val="12"/>
        </w:numPr>
        <w:autoSpaceDE w:val="0"/>
        <w:autoSpaceDN w:val="0"/>
        <w:adjustRightInd w:val="0"/>
        <w:spacing w:before="240" w:line="360" w:lineRule="auto"/>
        <w:jc w:val="both"/>
        <w:rPr>
          <w:rFonts w:ascii="Palatino Linotype" w:hAnsi="Palatino Linotype"/>
          <w:i/>
          <w:iCs/>
        </w:rPr>
      </w:pPr>
      <w:bookmarkStart w:id="1" w:name="_Hlk171937297"/>
      <w:r w:rsidRPr="00234F51">
        <w:rPr>
          <w:rFonts w:ascii="Palatino Linotype" w:hAnsi="Palatino Linotype" w:cs="Arial"/>
          <w:i/>
          <w:iCs/>
        </w:rPr>
        <w:lastRenderedPageBreak/>
        <w:t xml:space="preserve">El o los documentos donde consten las medidas de apremio impuestas al Ayuntamiento de Nextlalpan, </w:t>
      </w:r>
      <w:r w:rsidR="001C0F57" w:rsidRPr="001C0F57">
        <w:rPr>
          <w:rFonts w:ascii="Palatino Linotype" w:hAnsi="Palatino Linotype" w:cs="Arial"/>
          <w:i/>
          <w:iCs/>
          <w:highlight w:val="cyan"/>
        </w:rPr>
        <w:t>por parte de la autoridad competente</w:t>
      </w:r>
      <w:r w:rsidRPr="001C0F57">
        <w:rPr>
          <w:rFonts w:ascii="Palatino Linotype" w:hAnsi="Palatino Linotype" w:cs="Arial"/>
          <w:i/>
          <w:iCs/>
          <w:highlight w:val="cyan"/>
        </w:rPr>
        <w:t>,</w:t>
      </w:r>
      <w:r w:rsidRPr="00234F51">
        <w:rPr>
          <w:rFonts w:ascii="Palatino Linotype" w:hAnsi="Palatino Linotype" w:cs="Arial"/>
          <w:i/>
          <w:iCs/>
        </w:rPr>
        <w:t xml:space="preserve"> del periodo comprendido del uno de enero de dos mil diecinueve al treinta y uno de diciembre de dos mil veintiuno</w:t>
      </w:r>
    </w:p>
    <w:bookmarkEnd w:id="1"/>
    <w:p w14:paraId="13E5A549" w14:textId="77777777" w:rsidR="00234F51" w:rsidRDefault="00234F51" w:rsidP="00234F51">
      <w:pPr>
        <w:pStyle w:val="Prrafodelista"/>
        <w:spacing w:before="240" w:line="360" w:lineRule="auto"/>
        <w:ind w:left="782"/>
        <w:jc w:val="both"/>
        <w:rPr>
          <w:rFonts w:ascii="Palatino Linotype" w:hAnsi="Palatino Linotype" w:cs="Arial"/>
          <w:i/>
        </w:rPr>
      </w:pPr>
      <w:r w:rsidRPr="00A44917">
        <w:rPr>
          <w:rFonts w:ascii="Palatino Linotype" w:hAnsi="Palatino Linotype" w:cs="Arial"/>
          <w:i/>
        </w:rPr>
        <w:t>Una vez realizada la búsqueda exhaustiva y razonable, para el caso de no contar con la información referida bastará con que lo haga de conocimiento en etapa de cumplimiento</w:t>
      </w:r>
      <w:r>
        <w:rPr>
          <w:rFonts w:ascii="Palatino Linotype" w:hAnsi="Palatino Linotype" w:cs="Arial"/>
          <w:i/>
        </w:rPr>
        <w:t xml:space="preserve">. </w:t>
      </w:r>
    </w:p>
    <w:p w14:paraId="06F4B1F8" w14:textId="77777777" w:rsidR="00234F51" w:rsidRPr="00234F51" w:rsidRDefault="00234F51" w:rsidP="00234F51">
      <w:pPr>
        <w:pStyle w:val="Sinespaciado"/>
        <w:spacing w:line="360" w:lineRule="auto"/>
        <w:ind w:left="782"/>
        <w:jc w:val="both"/>
        <w:rPr>
          <w:rFonts w:ascii="Palatino Linotype" w:hAnsi="Palatino Linotype" w:cs="Arial"/>
          <w:i/>
          <w:lang w:val="es-ES"/>
        </w:rPr>
      </w:pPr>
    </w:p>
    <w:p w14:paraId="19201E53" w14:textId="77777777" w:rsidR="00234F51" w:rsidRPr="00FE0F12" w:rsidRDefault="00234F51" w:rsidP="00234F51">
      <w:pPr>
        <w:pStyle w:val="Prrafodelista"/>
        <w:tabs>
          <w:tab w:val="left" w:pos="7470"/>
          <w:tab w:val="left" w:pos="7920"/>
          <w:tab w:val="left" w:pos="8370"/>
        </w:tabs>
        <w:spacing w:line="360" w:lineRule="auto"/>
        <w:ind w:left="706" w:right="72"/>
        <w:jc w:val="both"/>
        <w:rPr>
          <w:rFonts w:ascii="Palatino Linotype" w:hAnsi="Palatino Linotype" w:cs="Arial"/>
          <w:i/>
        </w:rPr>
      </w:pPr>
    </w:p>
    <w:p w14:paraId="0274248B" w14:textId="77777777" w:rsidR="00234F51" w:rsidRPr="006D1C87" w:rsidRDefault="00234F51" w:rsidP="00234F51">
      <w:pPr>
        <w:spacing w:line="360" w:lineRule="auto"/>
        <w:jc w:val="both"/>
        <w:rPr>
          <w:rFonts w:ascii="Palatino Linotype" w:hAnsi="Palatino Linotype" w:cs="Tahoma"/>
          <w:bCs/>
          <w:sz w:val="24"/>
          <w:szCs w:val="24"/>
        </w:rPr>
      </w:pPr>
      <w:r w:rsidRPr="006D1C87">
        <w:rPr>
          <w:rFonts w:ascii="Palatino Linotype" w:hAnsi="Palatino Linotype" w:cs="Arial"/>
          <w:b/>
          <w:sz w:val="24"/>
          <w:szCs w:val="24"/>
        </w:rPr>
        <w:t>TERCERO.</w:t>
      </w:r>
      <w:r w:rsidRPr="006D1C87">
        <w:rPr>
          <w:rFonts w:ascii="Palatino Linotype" w:hAnsi="Palatino Linotype" w:cs="Arial"/>
          <w:sz w:val="24"/>
          <w:szCs w:val="24"/>
        </w:rPr>
        <w:t xml:space="preserve"> </w:t>
      </w:r>
      <w:r w:rsidRPr="006D1C87">
        <w:rPr>
          <w:rFonts w:ascii="Palatino Linotype" w:hAnsi="Palatino Linotype" w:cs="Tahoma"/>
          <w:b/>
          <w:sz w:val="24"/>
          <w:szCs w:val="24"/>
        </w:rPr>
        <w:t xml:space="preserve">NOTIFÍQUESE </w:t>
      </w:r>
      <w:r w:rsidRPr="006D1C87">
        <w:rPr>
          <w:rFonts w:ascii="Palatino Linotype" w:hAnsi="Palatino Linotype" w:cs="Arial"/>
          <w:sz w:val="24"/>
          <w:szCs w:val="24"/>
        </w:rPr>
        <w:t xml:space="preserve">a través del Sistema de Acceso a la Información Mexiquense </w:t>
      </w:r>
      <w:r w:rsidRPr="006D1C87">
        <w:rPr>
          <w:rFonts w:ascii="Palatino Linotype" w:hAnsi="Palatino Linotype" w:cs="Arial"/>
          <w:b/>
          <w:sz w:val="24"/>
          <w:szCs w:val="24"/>
        </w:rPr>
        <w:t>(SAIMEX)</w:t>
      </w:r>
      <w:r w:rsidRPr="006D1C87">
        <w:rPr>
          <w:rFonts w:ascii="Palatino Linotype" w:hAnsi="Palatino Linotype" w:cs="Arial"/>
          <w:sz w:val="24"/>
          <w:szCs w:val="24"/>
        </w:rPr>
        <w:t xml:space="preserve">, </w:t>
      </w:r>
      <w:r w:rsidRPr="006D1C87">
        <w:rPr>
          <w:rFonts w:ascii="Palatino Linotype" w:hAnsi="Palatino Linotype" w:cs="Tahoma"/>
          <w:sz w:val="24"/>
          <w:szCs w:val="24"/>
        </w:rPr>
        <w:t xml:space="preserve">la presente Resolución al Titular de la Unidad de Transparencia del </w:t>
      </w:r>
      <w:r w:rsidRPr="006D1C87">
        <w:rPr>
          <w:rFonts w:ascii="Palatino Linotype" w:hAnsi="Palatino Linotype" w:cs="Tahoma"/>
          <w:b/>
          <w:sz w:val="24"/>
          <w:szCs w:val="24"/>
        </w:rPr>
        <w:t>Sujeto Obligado</w:t>
      </w:r>
      <w:r w:rsidRPr="006D1C87">
        <w:rPr>
          <w:rFonts w:ascii="Palatino Linotype" w:hAnsi="Palatino Linotype" w:cs="Tahoma"/>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6D1C87">
        <w:rPr>
          <w:rFonts w:ascii="Palatino Linotype" w:eastAsia="Palatino Linotype" w:hAnsi="Palatino Linotype" w:cs="Palatino Linotype"/>
          <w:bCs/>
          <w:color w:val="000000"/>
          <w:sz w:val="24"/>
          <w:szCs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AA898B" w14:textId="77777777" w:rsidR="00234F51" w:rsidRPr="006D1C87" w:rsidRDefault="00234F51" w:rsidP="00234F51">
      <w:pPr>
        <w:spacing w:line="360" w:lineRule="auto"/>
        <w:ind w:right="-595"/>
        <w:jc w:val="both"/>
        <w:rPr>
          <w:rFonts w:ascii="Palatino Linotype" w:hAnsi="Palatino Linotype" w:cs="Tahoma"/>
          <w:bCs/>
          <w:sz w:val="24"/>
          <w:szCs w:val="24"/>
        </w:rPr>
      </w:pPr>
    </w:p>
    <w:p w14:paraId="756B5F51" w14:textId="77777777" w:rsidR="00234F51" w:rsidRPr="006D1C87" w:rsidRDefault="00234F51" w:rsidP="00234F51">
      <w:pPr>
        <w:autoSpaceDE w:val="0"/>
        <w:autoSpaceDN w:val="0"/>
        <w:adjustRightInd w:val="0"/>
        <w:spacing w:line="360" w:lineRule="auto"/>
        <w:jc w:val="both"/>
        <w:rPr>
          <w:rFonts w:ascii="Palatino Linotype" w:hAnsi="Palatino Linotype" w:cs="Arial"/>
          <w:sz w:val="24"/>
          <w:szCs w:val="24"/>
        </w:rPr>
      </w:pPr>
      <w:r w:rsidRPr="006D1C87">
        <w:rPr>
          <w:rFonts w:ascii="Palatino Linotype" w:hAnsi="Palatino Linotype" w:cs="Arial"/>
          <w:b/>
          <w:sz w:val="24"/>
          <w:szCs w:val="24"/>
        </w:rPr>
        <w:t xml:space="preserve">CUARTO. </w:t>
      </w:r>
      <w:r w:rsidRPr="006D1C87">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6D1C87">
        <w:rPr>
          <w:rFonts w:ascii="Palatino Linotype" w:hAnsi="Palatino Linotype" w:cs="Arial"/>
          <w:b/>
          <w:sz w:val="24"/>
          <w:szCs w:val="24"/>
        </w:rPr>
        <w:t>Sujeto Obligado</w:t>
      </w:r>
      <w:r w:rsidRPr="006D1C87">
        <w:rPr>
          <w:rFonts w:ascii="Palatino Linotype" w:hAnsi="Palatino Linotype" w:cs="Arial"/>
          <w:sz w:val="24"/>
          <w:szCs w:val="24"/>
        </w:rPr>
        <w:t xml:space="preserve"> de manera fundada y motivada, podrá solicitar una ampliación de plazo para el cumplimiento de la presente resolución.</w:t>
      </w:r>
    </w:p>
    <w:p w14:paraId="01D5CF1C" w14:textId="77777777" w:rsidR="00234F51" w:rsidRPr="006D1C87" w:rsidRDefault="00234F51" w:rsidP="00234F51">
      <w:pPr>
        <w:autoSpaceDE w:val="0"/>
        <w:autoSpaceDN w:val="0"/>
        <w:adjustRightInd w:val="0"/>
        <w:spacing w:line="360" w:lineRule="auto"/>
        <w:jc w:val="both"/>
        <w:rPr>
          <w:rFonts w:ascii="Palatino Linotype" w:hAnsi="Palatino Linotype" w:cs="Arial"/>
          <w:sz w:val="24"/>
          <w:szCs w:val="24"/>
        </w:rPr>
      </w:pPr>
      <w:r w:rsidRPr="006D1C87">
        <w:rPr>
          <w:rFonts w:ascii="Palatino Linotype" w:hAnsi="Palatino Linotype"/>
          <w:b/>
          <w:sz w:val="24"/>
          <w:szCs w:val="24"/>
        </w:rPr>
        <w:lastRenderedPageBreak/>
        <w:t xml:space="preserve">QUINTO. </w:t>
      </w:r>
      <w:r w:rsidRPr="006D1C87">
        <w:rPr>
          <w:rFonts w:ascii="Palatino Linotype" w:hAnsi="Palatino Linotype" w:cs="Arial"/>
          <w:b/>
          <w:sz w:val="24"/>
          <w:szCs w:val="24"/>
        </w:rPr>
        <w:t>NOTIFÍQUESE</w:t>
      </w:r>
      <w:r w:rsidRPr="006D1C87">
        <w:rPr>
          <w:rFonts w:ascii="Palatino Linotype" w:hAnsi="Palatino Linotype" w:cs="Arial"/>
          <w:sz w:val="24"/>
          <w:szCs w:val="24"/>
        </w:rPr>
        <w:t xml:space="preserve"> a través del Sistema de Acceso a la Información Mexiquense </w:t>
      </w:r>
      <w:r w:rsidRPr="006D1C87">
        <w:rPr>
          <w:rFonts w:ascii="Palatino Linotype" w:hAnsi="Palatino Linotype" w:cs="Arial"/>
          <w:b/>
          <w:bCs/>
          <w:sz w:val="24"/>
          <w:szCs w:val="24"/>
        </w:rPr>
        <w:t>(SAIMEX),</w:t>
      </w:r>
      <w:r w:rsidRPr="006D1C87">
        <w:rPr>
          <w:rFonts w:ascii="Palatino Linotype" w:hAnsi="Palatino Linotype" w:cs="Arial"/>
          <w:sz w:val="24"/>
          <w:szCs w:val="24"/>
        </w:rPr>
        <w:t xml:space="preserve"> al </w:t>
      </w:r>
      <w:r w:rsidRPr="006D1C87">
        <w:rPr>
          <w:rFonts w:ascii="Palatino Linotype" w:hAnsi="Palatino Linotype" w:cs="Arial"/>
          <w:b/>
          <w:sz w:val="24"/>
          <w:szCs w:val="24"/>
        </w:rPr>
        <w:t>RECURRENTE</w:t>
      </w:r>
      <w:r w:rsidRPr="006D1C87">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5E2B953" w14:textId="77777777" w:rsidR="00923C4D" w:rsidRPr="00234F51" w:rsidRDefault="00923C4D" w:rsidP="00CB7611">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63DB63C" w14:textId="102D12DD" w:rsidR="001278EB" w:rsidRPr="00276868" w:rsidRDefault="001278EB" w:rsidP="001278EB">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 xml:space="preserve">LUIS GUSTAVO PARRA NORIEGA Y GUADALUPE </w:t>
      </w:r>
      <w:r w:rsidR="002C3B83" w:rsidRPr="00276868">
        <w:rPr>
          <w:rFonts w:ascii="Palatino Linotype" w:hAnsi="Palatino Linotype" w:cs="Arial"/>
          <w:sz w:val="23"/>
          <w:szCs w:val="23"/>
        </w:rPr>
        <w:t>RAMÍREZ PEÑA</w:t>
      </w:r>
      <w:r w:rsidR="002C3B83">
        <w:rPr>
          <w:rFonts w:ascii="Palatino Linotype" w:hAnsi="Palatino Linotype" w:cs="Arial"/>
          <w:sz w:val="23"/>
          <w:szCs w:val="23"/>
        </w:rPr>
        <w:t xml:space="preserve">, </w:t>
      </w:r>
      <w:r w:rsidR="002C3B83" w:rsidRPr="00276868">
        <w:rPr>
          <w:rFonts w:ascii="Palatino Linotype" w:hAnsi="Palatino Linotype" w:cs="Arial"/>
          <w:sz w:val="23"/>
          <w:szCs w:val="23"/>
        </w:rPr>
        <w:t xml:space="preserve">EN LA </w:t>
      </w:r>
      <w:r w:rsidR="002C3B83">
        <w:rPr>
          <w:rFonts w:ascii="Palatino Linotype" w:hAnsi="Palatino Linotype" w:cs="Arial"/>
          <w:sz w:val="23"/>
          <w:szCs w:val="23"/>
        </w:rPr>
        <w:t xml:space="preserve">PRIMERA SESIÓN ORDINARIA CELEBRADA EL QUINCE DE ENERO DE DOS MIL VEINTICINCO, </w:t>
      </w:r>
      <w:r w:rsidRPr="00276868">
        <w:rPr>
          <w:rFonts w:ascii="Palatino Linotype" w:hAnsi="Palatino Linotype" w:cs="Arial"/>
          <w:sz w:val="23"/>
          <w:szCs w:val="23"/>
        </w:rPr>
        <w:t xml:space="preserve">ANTE EL SECRETARIO TÉCNICO DEL PLENO, ALEXIS TAPIA RAMÍREZ. </w:t>
      </w:r>
    </w:p>
    <w:p w14:paraId="1884F9AF" w14:textId="77777777" w:rsidR="001278EB" w:rsidRDefault="001278EB" w:rsidP="001278EB">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sz w:val="18"/>
          <w:szCs w:val="18"/>
        </w:rPr>
        <w:t>CCR/J</w:t>
      </w:r>
      <w:r w:rsidRPr="00280B8B">
        <w:rPr>
          <w:rFonts w:ascii="Palatino Linotype" w:hAnsi="Palatino Linotype"/>
          <w:bCs/>
          <w:sz w:val="18"/>
          <w:szCs w:val="18"/>
        </w:rPr>
        <w:t>CMA</w:t>
      </w:r>
    </w:p>
    <w:p w14:paraId="350001F5" w14:textId="0BE00A08" w:rsidR="00923C4D" w:rsidRDefault="001278E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noProof/>
          <w:sz w:val="18"/>
          <w:szCs w:val="18"/>
          <w:lang w:val="es-MX" w:eastAsia="es-MX"/>
        </w:rPr>
        <mc:AlternateContent>
          <mc:Choice Requires="wps">
            <w:drawing>
              <wp:anchor distT="0" distB="0" distL="114300" distR="114300" simplePos="0" relativeHeight="251665408" behindDoc="0" locked="0" layoutInCell="1" allowOverlap="1" wp14:anchorId="2CED9233" wp14:editId="30B32B11">
                <wp:simplePos x="0" y="0"/>
                <wp:positionH relativeFrom="column">
                  <wp:posOffset>-249555</wp:posOffset>
                </wp:positionH>
                <wp:positionV relativeFrom="paragraph">
                  <wp:posOffset>205105</wp:posOffset>
                </wp:positionV>
                <wp:extent cx="6370320" cy="2194560"/>
                <wp:effectExtent l="0" t="0" r="30480" b="34290"/>
                <wp:wrapNone/>
                <wp:docPr id="33800111" name="Straight Connector 5"/>
                <wp:cNvGraphicFramePr/>
                <a:graphic xmlns:a="http://schemas.openxmlformats.org/drawingml/2006/main">
                  <a:graphicData uri="http://schemas.microsoft.com/office/word/2010/wordprocessingShape">
                    <wps:wsp>
                      <wps:cNvCnPr/>
                      <wps:spPr>
                        <a:xfrm>
                          <a:off x="0" y="0"/>
                          <a:ext cx="6370320" cy="2194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6808DC"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16.15pt" to="481.9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" strokecolor="#5b9bd5 [3204]" strokeweight=".5pt">
                <v:stroke joinstyle="miter"/>
              </v:line>
            </w:pict>
          </mc:Fallback>
        </mc:AlternateContent>
      </w:r>
    </w:p>
    <w:p w14:paraId="32E21970" w14:textId="77777777" w:rsidR="00923C4D" w:rsidRDefault="00923C4D"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F2E2745" w14:textId="77777777" w:rsidR="00923C4D" w:rsidRDefault="00923C4D"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BE8D7C3" w14:textId="77777777" w:rsidR="00923C4D" w:rsidRDefault="00923C4D"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D53BD1" w14:textId="77777777" w:rsidR="00923C4D" w:rsidRDefault="00923C4D"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65F133F" w14:textId="77777777" w:rsidR="00923C4D" w:rsidRDefault="00923C4D"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CBAF163" w14:textId="77777777" w:rsidR="00CB7611" w:rsidRDefault="00CB7611" w:rsidP="00CB7611">
      <w:pPr>
        <w:spacing w:before="240" w:line="360" w:lineRule="auto"/>
        <w:jc w:val="both"/>
        <w:rPr>
          <w:rFonts w:ascii="Palatino Linotype" w:hAnsi="Palatino Linotype"/>
          <w:sz w:val="24"/>
          <w:szCs w:val="24"/>
        </w:rPr>
      </w:pPr>
    </w:p>
    <w:p w14:paraId="2ACB6591" w14:textId="77777777" w:rsidR="00CB7611" w:rsidRDefault="00CB7611" w:rsidP="00CB7611">
      <w:pPr>
        <w:spacing w:before="240" w:line="360" w:lineRule="auto"/>
        <w:jc w:val="both"/>
        <w:rPr>
          <w:rFonts w:ascii="Palatino Linotype" w:hAnsi="Palatino Linotype"/>
          <w:sz w:val="24"/>
          <w:szCs w:val="24"/>
        </w:rPr>
      </w:pPr>
    </w:p>
    <w:p w14:paraId="5804363A" w14:textId="77777777" w:rsidR="00CB7611" w:rsidRDefault="00CB7611" w:rsidP="00CB7611">
      <w:pPr>
        <w:spacing w:before="240" w:line="360" w:lineRule="auto"/>
        <w:jc w:val="both"/>
        <w:rPr>
          <w:rFonts w:ascii="Palatino Linotype" w:hAnsi="Palatino Linotype"/>
          <w:sz w:val="24"/>
          <w:szCs w:val="24"/>
        </w:rPr>
      </w:pPr>
    </w:p>
    <w:p w14:paraId="34A14502" w14:textId="77777777" w:rsidR="00CB7611" w:rsidRDefault="00CB7611" w:rsidP="00CB7611">
      <w:pPr>
        <w:spacing w:before="240" w:line="360" w:lineRule="auto"/>
        <w:jc w:val="both"/>
        <w:rPr>
          <w:rFonts w:ascii="Palatino Linotype" w:hAnsi="Palatino Linotype"/>
          <w:sz w:val="24"/>
          <w:szCs w:val="24"/>
        </w:rPr>
      </w:pPr>
    </w:p>
    <w:p w14:paraId="29E133D2" w14:textId="77777777" w:rsidR="00CB7611" w:rsidRDefault="00CB7611" w:rsidP="00CB7611">
      <w:pPr>
        <w:spacing w:before="240" w:line="360" w:lineRule="auto"/>
        <w:jc w:val="both"/>
        <w:rPr>
          <w:rFonts w:ascii="Palatino Linotype" w:hAnsi="Palatino Linotype"/>
          <w:sz w:val="24"/>
          <w:szCs w:val="24"/>
        </w:rPr>
      </w:pPr>
    </w:p>
    <w:p w14:paraId="3F8DCDD0" w14:textId="77777777" w:rsidR="00CB7611" w:rsidRDefault="00CB7611" w:rsidP="00CB7611">
      <w:pPr>
        <w:spacing w:before="240" w:line="360" w:lineRule="auto"/>
        <w:jc w:val="both"/>
        <w:rPr>
          <w:rFonts w:ascii="Palatino Linotype" w:hAnsi="Palatino Linotype"/>
          <w:sz w:val="24"/>
          <w:szCs w:val="24"/>
        </w:rPr>
      </w:pPr>
    </w:p>
    <w:p w14:paraId="3E1D8C30" w14:textId="77777777" w:rsidR="00CB7611" w:rsidRDefault="00CB7611" w:rsidP="00CB7611">
      <w:pPr>
        <w:spacing w:before="240" w:line="360" w:lineRule="auto"/>
        <w:jc w:val="both"/>
        <w:rPr>
          <w:rFonts w:ascii="Palatino Linotype" w:hAnsi="Palatino Linotype"/>
          <w:sz w:val="24"/>
          <w:szCs w:val="24"/>
        </w:rPr>
      </w:pPr>
    </w:p>
    <w:p w14:paraId="0E97EF4C" w14:textId="77777777" w:rsidR="00CB7611" w:rsidRDefault="00CB7611" w:rsidP="00CB7611">
      <w:pPr>
        <w:spacing w:before="240" w:line="360" w:lineRule="auto"/>
        <w:jc w:val="both"/>
        <w:rPr>
          <w:rFonts w:ascii="Palatino Linotype" w:hAnsi="Palatino Linotype"/>
          <w:sz w:val="24"/>
          <w:szCs w:val="24"/>
        </w:rPr>
      </w:pPr>
    </w:p>
    <w:p w14:paraId="0CECB184" w14:textId="66927CC1" w:rsidR="00CB7611" w:rsidRPr="00514E66" w:rsidRDefault="00CB7611" w:rsidP="000D3518">
      <w:pPr>
        <w:pStyle w:val="Prrafodelista"/>
        <w:autoSpaceDE w:val="0"/>
        <w:autoSpaceDN w:val="0"/>
        <w:adjustRightInd w:val="0"/>
        <w:spacing w:line="360" w:lineRule="auto"/>
        <w:ind w:left="0"/>
        <w:jc w:val="both"/>
        <w:rPr>
          <w:rFonts w:ascii="Palatino Linotype" w:hAnsi="Palatino Linotype" w:cs="Arial"/>
        </w:rPr>
      </w:pPr>
    </w:p>
    <w:sectPr w:rsidR="00CB7611" w:rsidRPr="00514E66" w:rsidSect="00FB4AAD">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273F4" w14:textId="77777777" w:rsidR="008A7CFE" w:rsidRDefault="008A7CFE" w:rsidP="006168E4">
      <w:pPr>
        <w:spacing w:after="0" w:line="240" w:lineRule="auto"/>
      </w:pPr>
      <w:r>
        <w:separator/>
      </w:r>
    </w:p>
  </w:endnote>
  <w:endnote w:type="continuationSeparator" w:id="0">
    <w:p w14:paraId="45B0EF3D" w14:textId="77777777" w:rsidR="008A7CFE" w:rsidRDefault="008A7CFE"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54771">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54771">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5477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54771">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D3455" w14:textId="77777777" w:rsidR="008A7CFE" w:rsidRDefault="008A7CFE" w:rsidP="006168E4">
      <w:pPr>
        <w:spacing w:after="0" w:line="240" w:lineRule="auto"/>
      </w:pPr>
      <w:r>
        <w:separator/>
      </w:r>
    </w:p>
  </w:footnote>
  <w:footnote w:type="continuationSeparator" w:id="0">
    <w:p w14:paraId="1C248809" w14:textId="77777777" w:rsidR="008A7CFE" w:rsidRDefault="008A7CFE" w:rsidP="006168E4">
      <w:pPr>
        <w:spacing w:after="0" w:line="240" w:lineRule="auto"/>
      </w:pPr>
      <w:r>
        <w:continuationSeparator/>
      </w:r>
    </w:p>
  </w:footnote>
  <w:footnote w:id="1">
    <w:p w14:paraId="5382834D" w14:textId="77777777" w:rsidR="00477E02" w:rsidRPr="007822E6" w:rsidRDefault="00477E02" w:rsidP="00477E02">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0F40DB1" w14:textId="77777777" w:rsidR="00477E02" w:rsidRPr="005552A8" w:rsidRDefault="00477E02" w:rsidP="00477E02">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587CE3A" w14:textId="77777777" w:rsidR="00D510BB" w:rsidRDefault="00D510BB" w:rsidP="00D510BB">
      <w:pPr>
        <w:pStyle w:val="Textonotapie"/>
      </w:pPr>
      <w:r>
        <w:rPr>
          <w:rStyle w:val="Refdenotaalpie"/>
        </w:rPr>
        <w:footnoteRef/>
      </w:r>
      <w:r>
        <w:t xml:space="preserve"> Consultado en </w:t>
      </w:r>
      <w:hyperlink r:id="rId3" w:history="1">
        <w:r w:rsidRPr="00BA0135">
          <w:rPr>
            <w:rStyle w:val="Hipervnculo"/>
          </w:rPr>
          <w:t>https://dle.rae.es/notorio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21A25B38"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6723B">
            <w:rPr>
              <w:rFonts w:ascii="Palatino Linotype" w:hAnsi="Palatino Linotype" w:cs="Arial"/>
              <w:bCs/>
              <w:sz w:val="24"/>
              <w:lang w:eastAsia="es-MX"/>
            </w:rPr>
            <w:t>7490</w:t>
          </w:r>
          <w:r>
            <w:rPr>
              <w:rFonts w:ascii="Palatino Linotype" w:hAnsi="Palatino Linotype" w:cs="Arial"/>
              <w:bCs/>
              <w:sz w:val="24"/>
              <w:lang w:eastAsia="es-MX"/>
            </w:rPr>
            <w:t>/INFOEM/IP/RR/202</w:t>
          </w:r>
          <w:r w:rsidR="0006723B">
            <w:rPr>
              <w:rFonts w:ascii="Palatino Linotype" w:hAnsi="Palatino Linotype" w:cs="Arial"/>
              <w:bCs/>
              <w:sz w:val="24"/>
              <w:lang w:eastAsia="es-MX"/>
            </w:rPr>
            <w:t>4</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5D09E097" w:rsidR="00FC2D20" w:rsidRPr="00F06FED" w:rsidRDefault="00F0571D" w:rsidP="001B1CE0">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r w:rsidR="0006723B">
            <w:rPr>
              <w:rFonts w:ascii="Palatino Linotype" w:hAnsi="Palatino Linotype" w:cs="Arial"/>
            </w:rPr>
            <w:t>Nextlalpan</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4990ED64"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6723B">
            <w:rPr>
              <w:rFonts w:ascii="Palatino Linotype" w:hAnsi="Palatino Linotype" w:cs="Arial"/>
              <w:bCs/>
              <w:sz w:val="24"/>
              <w:lang w:eastAsia="es-MX"/>
            </w:rPr>
            <w:t>7490</w:t>
          </w:r>
          <w:r>
            <w:rPr>
              <w:rFonts w:ascii="Palatino Linotype" w:hAnsi="Palatino Linotype" w:cs="Arial"/>
              <w:bCs/>
              <w:sz w:val="24"/>
              <w:lang w:eastAsia="es-MX"/>
            </w:rPr>
            <w:t>/INFOEM/IP/RR/202</w:t>
          </w:r>
          <w:r w:rsidR="0006723B">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059F942B" w:rsidR="00FC2D20" w:rsidRPr="00E93E68" w:rsidRDefault="00FC2D20" w:rsidP="00754771">
          <w:pPr>
            <w:spacing w:after="120" w:line="256" w:lineRule="auto"/>
            <w:ind w:left="634" w:right="215" w:hanging="634"/>
            <w:jc w:val="both"/>
            <w:rPr>
              <w:rFonts w:ascii="Palatino Linotype" w:hAnsi="Palatino Linotype" w:cs="Arial"/>
            </w:rPr>
          </w:pPr>
          <w:r>
            <w:rPr>
              <w:rFonts w:ascii="Palatino Linotype" w:hAnsi="Palatino Linotype" w:cs="Arial"/>
            </w:rPr>
            <w:t xml:space="preserve">            </w:t>
          </w:r>
          <w:r w:rsidR="00754771">
            <w:rPr>
              <w:rFonts w:ascii="Palatino Linotype" w:hAnsi="Palatino Linotype" w:cs="Arial"/>
            </w:rPr>
            <w:t>XXXXXXXXXXXXXXXXXX</w:t>
          </w:r>
          <w:r w:rsidR="0006723B">
            <w:rPr>
              <w:rFonts w:ascii="Palatino Linotype" w:hAnsi="Palatino Linotype" w:cs="Arial"/>
            </w:rPr>
            <w:t xml:space="preserve"> </w:t>
          </w:r>
          <w:r w:rsidR="00754771">
            <w:rPr>
              <w:rFonts w:ascii="Palatino Linotype" w:hAnsi="Palatino Linotype" w:cs="Arial"/>
            </w:rPr>
            <w:t>XXXXXX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04B8CF3B" w:rsidR="00FC2D20" w:rsidRDefault="00F0571D"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06723B">
            <w:rPr>
              <w:rFonts w:ascii="Palatino Linotype" w:hAnsi="Palatino Linotype" w:cs="Arial"/>
              <w:szCs w:val="20"/>
            </w:rPr>
            <w:t>Nextlalpan</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0276"/>
    <w:multiLevelType w:val="hybridMultilevel"/>
    <w:tmpl w:val="1D8CDC68"/>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3DD5634E"/>
    <w:multiLevelType w:val="hybridMultilevel"/>
    <w:tmpl w:val="B8A8B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966B2C"/>
    <w:multiLevelType w:val="hybridMultilevel"/>
    <w:tmpl w:val="A4BAE3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5160AC"/>
    <w:multiLevelType w:val="hybridMultilevel"/>
    <w:tmpl w:val="00A2A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9"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12C6BFB"/>
    <w:multiLevelType w:val="hybridMultilevel"/>
    <w:tmpl w:val="C74C66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1"/>
  </w:num>
  <w:num w:numId="5">
    <w:abstractNumId w:val="9"/>
  </w:num>
  <w:num w:numId="6">
    <w:abstractNumId w:val="5"/>
  </w:num>
  <w:num w:numId="7">
    <w:abstractNumId w:val="6"/>
  </w:num>
  <w:num w:numId="8">
    <w:abstractNumId w:val="10"/>
  </w:num>
  <w:num w:numId="9">
    <w:abstractNumId w:val="7"/>
  </w:num>
  <w:num w:numId="10">
    <w:abstractNumId w:val="4"/>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3DE9"/>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3A1"/>
    <w:rsid w:val="00032762"/>
    <w:rsid w:val="00032896"/>
    <w:rsid w:val="000329BE"/>
    <w:rsid w:val="00033125"/>
    <w:rsid w:val="000364EB"/>
    <w:rsid w:val="00037EBF"/>
    <w:rsid w:val="0004186E"/>
    <w:rsid w:val="000420E2"/>
    <w:rsid w:val="00044314"/>
    <w:rsid w:val="00044D01"/>
    <w:rsid w:val="000451BE"/>
    <w:rsid w:val="00045379"/>
    <w:rsid w:val="00045CB8"/>
    <w:rsid w:val="0005080D"/>
    <w:rsid w:val="000508FA"/>
    <w:rsid w:val="0005171D"/>
    <w:rsid w:val="000518AC"/>
    <w:rsid w:val="00053936"/>
    <w:rsid w:val="00055224"/>
    <w:rsid w:val="00055C1D"/>
    <w:rsid w:val="000569A5"/>
    <w:rsid w:val="00056D2A"/>
    <w:rsid w:val="00056E4F"/>
    <w:rsid w:val="00057E37"/>
    <w:rsid w:val="000612BD"/>
    <w:rsid w:val="00061821"/>
    <w:rsid w:val="000623F9"/>
    <w:rsid w:val="00063035"/>
    <w:rsid w:val="00063A10"/>
    <w:rsid w:val="00064EA6"/>
    <w:rsid w:val="000662F8"/>
    <w:rsid w:val="00066E86"/>
    <w:rsid w:val="0006723B"/>
    <w:rsid w:val="00070E99"/>
    <w:rsid w:val="000720CA"/>
    <w:rsid w:val="00073E78"/>
    <w:rsid w:val="00073FC2"/>
    <w:rsid w:val="000740DB"/>
    <w:rsid w:val="00076AE0"/>
    <w:rsid w:val="0007756F"/>
    <w:rsid w:val="0008151E"/>
    <w:rsid w:val="000821BF"/>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B33"/>
    <w:rsid w:val="000C2602"/>
    <w:rsid w:val="000C2A35"/>
    <w:rsid w:val="000C48B5"/>
    <w:rsid w:val="000C5B8B"/>
    <w:rsid w:val="000C7ED3"/>
    <w:rsid w:val="000D0F48"/>
    <w:rsid w:val="000D1A4E"/>
    <w:rsid w:val="000D1B50"/>
    <w:rsid w:val="000D1B55"/>
    <w:rsid w:val="000D20C9"/>
    <w:rsid w:val="000D24CD"/>
    <w:rsid w:val="000D3518"/>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0EF0"/>
    <w:rsid w:val="0011113A"/>
    <w:rsid w:val="00111DCD"/>
    <w:rsid w:val="00112C29"/>
    <w:rsid w:val="00114965"/>
    <w:rsid w:val="00114CF9"/>
    <w:rsid w:val="00116FA7"/>
    <w:rsid w:val="00120642"/>
    <w:rsid w:val="001228AB"/>
    <w:rsid w:val="001233A3"/>
    <w:rsid w:val="001235C3"/>
    <w:rsid w:val="00124807"/>
    <w:rsid w:val="00124855"/>
    <w:rsid w:val="001254F5"/>
    <w:rsid w:val="00125561"/>
    <w:rsid w:val="001272C6"/>
    <w:rsid w:val="001278EB"/>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75E89"/>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5B1C"/>
    <w:rsid w:val="001A659C"/>
    <w:rsid w:val="001A7216"/>
    <w:rsid w:val="001A7C9B"/>
    <w:rsid w:val="001B05B9"/>
    <w:rsid w:val="001B1180"/>
    <w:rsid w:val="001B18A5"/>
    <w:rsid w:val="001B1CE0"/>
    <w:rsid w:val="001B3222"/>
    <w:rsid w:val="001B37B1"/>
    <w:rsid w:val="001B6410"/>
    <w:rsid w:val="001B7B88"/>
    <w:rsid w:val="001B7FA2"/>
    <w:rsid w:val="001C0F57"/>
    <w:rsid w:val="001C166A"/>
    <w:rsid w:val="001C1CAF"/>
    <w:rsid w:val="001C2ECC"/>
    <w:rsid w:val="001C3EE0"/>
    <w:rsid w:val="001C50EE"/>
    <w:rsid w:val="001C588A"/>
    <w:rsid w:val="001C5B6E"/>
    <w:rsid w:val="001C64DF"/>
    <w:rsid w:val="001C7319"/>
    <w:rsid w:val="001C7D87"/>
    <w:rsid w:val="001D0109"/>
    <w:rsid w:val="001D23B4"/>
    <w:rsid w:val="001D2949"/>
    <w:rsid w:val="001D3E11"/>
    <w:rsid w:val="001D3E87"/>
    <w:rsid w:val="001D491D"/>
    <w:rsid w:val="001D49A2"/>
    <w:rsid w:val="001D5474"/>
    <w:rsid w:val="001D627A"/>
    <w:rsid w:val="001D6B60"/>
    <w:rsid w:val="001E07F4"/>
    <w:rsid w:val="001E0C3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32E"/>
    <w:rsid w:val="002227C6"/>
    <w:rsid w:val="00223CAE"/>
    <w:rsid w:val="002248AC"/>
    <w:rsid w:val="00225FB3"/>
    <w:rsid w:val="00226AF5"/>
    <w:rsid w:val="002305CB"/>
    <w:rsid w:val="00230F7C"/>
    <w:rsid w:val="002315A1"/>
    <w:rsid w:val="002317D3"/>
    <w:rsid w:val="0023373D"/>
    <w:rsid w:val="00233904"/>
    <w:rsid w:val="0023423C"/>
    <w:rsid w:val="00234F51"/>
    <w:rsid w:val="002363F6"/>
    <w:rsid w:val="00241038"/>
    <w:rsid w:val="002417A0"/>
    <w:rsid w:val="002420E3"/>
    <w:rsid w:val="002432D3"/>
    <w:rsid w:val="00243925"/>
    <w:rsid w:val="002448CB"/>
    <w:rsid w:val="00245C21"/>
    <w:rsid w:val="0024633A"/>
    <w:rsid w:val="0024703B"/>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457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4689"/>
    <w:rsid w:val="002B5DBD"/>
    <w:rsid w:val="002B710C"/>
    <w:rsid w:val="002B7AC8"/>
    <w:rsid w:val="002C07C4"/>
    <w:rsid w:val="002C1B76"/>
    <w:rsid w:val="002C254D"/>
    <w:rsid w:val="002C2C20"/>
    <w:rsid w:val="002C3B83"/>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5E93"/>
    <w:rsid w:val="002E6E6D"/>
    <w:rsid w:val="002F0742"/>
    <w:rsid w:val="002F098B"/>
    <w:rsid w:val="002F0D85"/>
    <w:rsid w:val="002F14AA"/>
    <w:rsid w:val="002F2198"/>
    <w:rsid w:val="002F37BE"/>
    <w:rsid w:val="002F3F85"/>
    <w:rsid w:val="002F4577"/>
    <w:rsid w:val="002F4E06"/>
    <w:rsid w:val="002F6424"/>
    <w:rsid w:val="00300966"/>
    <w:rsid w:val="00300D0B"/>
    <w:rsid w:val="00303522"/>
    <w:rsid w:val="00304D88"/>
    <w:rsid w:val="003056A2"/>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1F32"/>
    <w:rsid w:val="003551AD"/>
    <w:rsid w:val="00355A06"/>
    <w:rsid w:val="0035731E"/>
    <w:rsid w:val="003618D7"/>
    <w:rsid w:val="00361B9C"/>
    <w:rsid w:val="003622D5"/>
    <w:rsid w:val="00363737"/>
    <w:rsid w:val="003640B1"/>
    <w:rsid w:val="00365C45"/>
    <w:rsid w:val="00366BCD"/>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53AC"/>
    <w:rsid w:val="003E55DB"/>
    <w:rsid w:val="003E7555"/>
    <w:rsid w:val="003E7FD3"/>
    <w:rsid w:val="003F0EB3"/>
    <w:rsid w:val="003F1A98"/>
    <w:rsid w:val="003F332C"/>
    <w:rsid w:val="003F3E41"/>
    <w:rsid w:val="003F6008"/>
    <w:rsid w:val="003F659A"/>
    <w:rsid w:val="003F7355"/>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B9"/>
    <w:rsid w:val="00454CE6"/>
    <w:rsid w:val="00456FFF"/>
    <w:rsid w:val="00457A9F"/>
    <w:rsid w:val="00460632"/>
    <w:rsid w:val="0046133D"/>
    <w:rsid w:val="00462881"/>
    <w:rsid w:val="00462B0D"/>
    <w:rsid w:val="004642A1"/>
    <w:rsid w:val="0046475C"/>
    <w:rsid w:val="004653BB"/>
    <w:rsid w:val="004702BF"/>
    <w:rsid w:val="00470F88"/>
    <w:rsid w:val="004711D5"/>
    <w:rsid w:val="00472649"/>
    <w:rsid w:val="00474273"/>
    <w:rsid w:val="00475574"/>
    <w:rsid w:val="00475F48"/>
    <w:rsid w:val="00477430"/>
    <w:rsid w:val="00477CC2"/>
    <w:rsid w:val="00477E02"/>
    <w:rsid w:val="0048180A"/>
    <w:rsid w:val="00481C7A"/>
    <w:rsid w:val="004821D4"/>
    <w:rsid w:val="004836B3"/>
    <w:rsid w:val="0048464D"/>
    <w:rsid w:val="00484F88"/>
    <w:rsid w:val="00485906"/>
    <w:rsid w:val="004867DB"/>
    <w:rsid w:val="00487713"/>
    <w:rsid w:val="004903D5"/>
    <w:rsid w:val="0049063B"/>
    <w:rsid w:val="004906C8"/>
    <w:rsid w:val="00491A1C"/>
    <w:rsid w:val="00491BAB"/>
    <w:rsid w:val="00492EC7"/>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078"/>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3393"/>
    <w:rsid w:val="004F402B"/>
    <w:rsid w:val="004F41DA"/>
    <w:rsid w:val="004F4792"/>
    <w:rsid w:val="004F4DF1"/>
    <w:rsid w:val="004F6476"/>
    <w:rsid w:val="004F698D"/>
    <w:rsid w:val="004F76FC"/>
    <w:rsid w:val="00500601"/>
    <w:rsid w:val="00500BA6"/>
    <w:rsid w:val="0050182F"/>
    <w:rsid w:val="00502DC5"/>
    <w:rsid w:val="00502F50"/>
    <w:rsid w:val="00503655"/>
    <w:rsid w:val="0050375C"/>
    <w:rsid w:val="00503CA0"/>
    <w:rsid w:val="00504408"/>
    <w:rsid w:val="00505759"/>
    <w:rsid w:val="0050578D"/>
    <w:rsid w:val="00510BCE"/>
    <w:rsid w:val="0051107C"/>
    <w:rsid w:val="005115C9"/>
    <w:rsid w:val="0051235E"/>
    <w:rsid w:val="005124EC"/>
    <w:rsid w:val="005130C0"/>
    <w:rsid w:val="0051313D"/>
    <w:rsid w:val="00513CB3"/>
    <w:rsid w:val="00513DE2"/>
    <w:rsid w:val="00514187"/>
    <w:rsid w:val="00515090"/>
    <w:rsid w:val="00517889"/>
    <w:rsid w:val="005178ED"/>
    <w:rsid w:val="00521E57"/>
    <w:rsid w:val="00521F80"/>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198"/>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1D7E"/>
    <w:rsid w:val="00593E91"/>
    <w:rsid w:val="00595600"/>
    <w:rsid w:val="0059597D"/>
    <w:rsid w:val="005961AA"/>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2999"/>
    <w:rsid w:val="005C300C"/>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161D"/>
    <w:rsid w:val="005E482F"/>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FDA"/>
    <w:rsid w:val="00607414"/>
    <w:rsid w:val="0060762F"/>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1C97"/>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56A8"/>
    <w:rsid w:val="00686FC2"/>
    <w:rsid w:val="00687018"/>
    <w:rsid w:val="006918CC"/>
    <w:rsid w:val="00691DB1"/>
    <w:rsid w:val="006925C1"/>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549"/>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26C2"/>
    <w:rsid w:val="0070368E"/>
    <w:rsid w:val="0070371E"/>
    <w:rsid w:val="00703BAE"/>
    <w:rsid w:val="00704AB7"/>
    <w:rsid w:val="00705F8F"/>
    <w:rsid w:val="007064F6"/>
    <w:rsid w:val="0070748D"/>
    <w:rsid w:val="007078A3"/>
    <w:rsid w:val="00711536"/>
    <w:rsid w:val="00712203"/>
    <w:rsid w:val="007129C0"/>
    <w:rsid w:val="007142B5"/>
    <w:rsid w:val="00714663"/>
    <w:rsid w:val="00714C96"/>
    <w:rsid w:val="00716BFE"/>
    <w:rsid w:val="0072048E"/>
    <w:rsid w:val="007234D1"/>
    <w:rsid w:val="00723C12"/>
    <w:rsid w:val="00724441"/>
    <w:rsid w:val="00725B1D"/>
    <w:rsid w:val="0072666C"/>
    <w:rsid w:val="00731428"/>
    <w:rsid w:val="0073157A"/>
    <w:rsid w:val="00731690"/>
    <w:rsid w:val="007338D5"/>
    <w:rsid w:val="00735209"/>
    <w:rsid w:val="00740F93"/>
    <w:rsid w:val="0074395D"/>
    <w:rsid w:val="007444E2"/>
    <w:rsid w:val="0074485A"/>
    <w:rsid w:val="00744D68"/>
    <w:rsid w:val="00744E29"/>
    <w:rsid w:val="00744EEF"/>
    <w:rsid w:val="00747F01"/>
    <w:rsid w:val="007517D1"/>
    <w:rsid w:val="0075229E"/>
    <w:rsid w:val="007524CA"/>
    <w:rsid w:val="00753476"/>
    <w:rsid w:val="00754771"/>
    <w:rsid w:val="00754B44"/>
    <w:rsid w:val="00754CAE"/>
    <w:rsid w:val="00756CE9"/>
    <w:rsid w:val="00757992"/>
    <w:rsid w:val="00761B5E"/>
    <w:rsid w:val="007622D6"/>
    <w:rsid w:val="00763998"/>
    <w:rsid w:val="00763FEE"/>
    <w:rsid w:val="0076467C"/>
    <w:rsid w:val="007658D5"/>
    <w:rsid w:val="00767724"/>
    <w:rsid w:val="00772BA8"/>
    <w:rsid w:val="007736D6"/>
    <w:rsid w:val="00774266"/>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620D"/>
    <w:rsid w:val="0079666D"/>
    <w:rsid w:val="00796CA6"/>
    <w:rsid w:val="00797118"/>
    <w:rsid w:val="00797B4F"/>
    <w:rsid w:val="00797F7C"/>
    <w:rsid w:val="007A006A"/>
    <w:rsid w:val="007A139A"/>
    <w:rsid w:val="007A1C9E"/>
    <w:rsid w:val="007A21C7"/>
    <w:rsid w:val="007A312D"/>
    <w:rsid w:val="007A3B58"/>
    <w:rsid w:val="007A3BB5"/>
    <w:rsid w:val="007A4967"/>
    <w:rsid w:val="007A6BD1"/>
    <w:rsid w:val="007A7354"/>
    <w:rsid w:val="007B29F3"/>
    <w:rsid w:val="007B2C77"/>
    <w:rsid w:val="007B34C6"/>
    <w:rsid w:val="007B621F"/>
    <w:rsid w:val="007B7A6F"/>
    <w:rsid w:val="007C2C6B"/>
    <w:rsid w:val="007C368A"/>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078D5"/>
    <w:rsid w:val="00810845"/>
    <w:rsid w:val="008111EB"/>
    <w:rsid w:val="00811205"/>
    <w:rsid w:val="008112E3"/>
    <w:rsid w:val="00811D16"/>
    <w:rsid w:val="00812C48"/>
    <w:rsid w:val="008146F9"/>
    <w:rsid w:val="00814D55"/>
    <w:rsid w:val="00815093"/>
    <w:rsid w:val="00816506"/>
    <w:rsid w:val="0081682C"/>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517E"/>
    <w:rsid w:val="00846539"/>
    <w:rsid w:val="008468AD"/>
    <w:rsid w:val="0084766D"/>
    <w:rsid w:val="00847D23"/>
    <w:rsid w:val="00851545"/>
    <w:rsid w:val="00854DB6"/>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A7CFE"/>
    <w:rsid w:val="008B00D5"/>
    <w:rsid w:val="008B14D0"/>
    <w:rsid w:val="008B1720"/>
    <w:rsid w:val="008B4658"/>
    <w:rsid w:val="008B4E07"/>
    <w:rsid w:val="008B5E38"/>
    <w:rsid w:val="008B74DC"/>
    <w:rsid w:val="008C0050"/>
    <w:rsid w:val="008C0799"/>
    <w:rsid w:val="008C0DDD"/>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A26"/>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2FDB"/>
    <w:rsid w:val="00923C4D"/>
    <w:rsid w:val="00923DBE"/>
    <w:rsid w:val="0092403D"/>
    <w:rsid w:val="00930D7A"/>
    <w:rsid w:val="00931123"/>
    <w:rsid w:val="00932888"/>
    <w:rsid w:val="009331C2"/>
    <w:rsid w:val="0093555F"/>
    <w:rsid w:val="00936DCF"/>
    <w:rsid w:val="009402DB"/>
    <w:rsid w:val="00940F59"/>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182D"/>
    <w:rsid w:val="00983A0B"/>
    <w:rsid w:val="009845ED"/>
    <w:rsid w:val="00985C4C"/>
    <w:rsid w:val="0098704B"/>
    <w:rsid w:val="0099059B"/>
    <w:rsid w:val="00991E43"/>
    <w:rsid w:val="00993821"/>
    <w:rsid w:val="00994280"/>
    <w:rsid w:val="0099517B"/>
    <w:rsid w:val="009970B5"/>
    <w:rsid w:val="009979A2"/>
    <w:rsid w:val="009A0D0A"/>
    <w:rsid w:val="009A0FAE"/>
    <w:rsid w:val="009A1D94"/>
    <w:rsid w:val="009A200B"/>
    <w:rsid w:val="009A2418"/>
    <w:rsid w:val="009A3184"/>
    <w:rsid w:val="009A3F82"/>
    <w:rsid w:val="009A5659"/>
    <w:rsid w:val="009A64BD"/>
    <w:rsid w:val="009A686F"/>
    <w:rsid w:val="009A6ACC"/>
    <w:rsid w:val="009B1636"/>
    <w:rsid w:val="009B33A8"/>
    <w:rsid w:val="009B3487"/>
    <w:rsid w:val="009B3978"/>
    <w:rsid w:val="009B4510"/>
    <w:rsid w:val="009B5029"/>
    <w:rsid w:val="009B5F5A"/>
    <w:rsid w:val="009B7C61"/>
    <w:rsid w:val="009C0DC9"/>
    <w:rsid w:val="009C1104"/>
    <w:rsid w:val="009C2170"/>
    <w:rsid w:val="009C3793"/>
    <w:rsid w:val="009C451F"/>
    <w:rsid w:val="009C5E96"/>
    <w:rsid w:val="009C726D"/>
    <w:rsid w:val="009D317E"/>
    <w:rsid w:val="009D3186"/>
    <w:rsid w:val="009D3697"/>
    <w:rsid w:val="009D4EE5"/>
    <w:rsid w:val="009D5EBA"/>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07"/>
    <w:rsid w:val="00A036BE"/>
    <w:rsid w:val="00A03C4B"/>
    <w:rsid w:val="00A03DF1"/>
    <w:rsid w:val="00A04C52"/>
    <w:rsid w:val="00A06819"/>
    <w:rsid w:val="00A075FB"/>
    <w:rsid w:val="00A07627"/>
    <w:rsid w:val="00A10583"/>
    <w:rsid w:val="00A11AE6"/>
    <w:rsid w:val="00A12205"/>
    <w:rsid w:val="00A131EA"/>
    <w:rsid w:val="00A13253"/>
    <w:rsid w:val="00A14C82"/>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35E3"/>
    <w:rsid w:val="00A540E1"/>
    <w:rsid w:val="00A54B16"/>
    <w:rsid w:val="00A560C7"/>
    <w:rsid w:val="00A570A7"/>
    <w:rsid w:val="00A572E9"/>
    <w:rsid w:val="00A57B77"/>
    <w:rsid w:val="00A625E2"/>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5B8"/>
    <w:rsid w:val="00AC7C82"/>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E7D68"/>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46DA"/>
    <w:rsid w:val="00B25262"/>
    <w:rsid w:val="00B26532"/>
    <w:rsid w:val="00B272A6"/>
    <w:rsid w:val="00B304B7"/>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66D88"/>
    <w:rsid w:val="00B705ED"/>
    <w:rsid w:val="00B70E50"/>
    <w:rsid w:val="00B72E36"/>
    <w:rsid w:val="00B73C99"/>
    <w:rsid w:val="00B75A2C"/>
    <w:rsid w:val="00B75E7F"/>
    <w:rsid w:val="00B77811"/>
    <w:rsid w:val="00B80129"/>
    <w:rsid w:val="00B80734"/>
    <w:rsid w:val="00B813AC"/>
    <w:rsid w:val="00B8219B"/>
    <w:rsid w:val="00B8376C"/>
    <w:rsid w:val="00B84260"/>
    <w:rsid w:val="00B8471F"/>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D7F1F"/>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3D02"/>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A00C0"/>
    <w:rsid w:val="00CA190D"/>
    <w:rsid w:val="00CA1C79"/>
    <w:rsid w:val="00CA2A2E"/>
    <w:rsid w:val="00CA30DB"/>
    <w:rsid w:val="00CA3159"/>
    <w:rsid w:val="00CA491B"/>
    <w:rsid w:val="00CA6D58"/>
    <w:rsid w:val="00CA6FDA"/>
    <w:rsid w:val="00CA7073"/>
    <w:rsid w:val="00CA764C"/>
    <w:rsid w:val="00CA7E48"/>
    <w:rsid w:val="00CB3B6F"/>
    <w:rsid w:val="00CB3D57"/>
    <w:rsid w:val="00CB427A"/>
    <w:rsid w:val="00CB4843"/>
    <w:rsid w:val="00CB72F4"/>
    <w:rsid w:val="00CB7611"/>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50CA"/>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48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3119"/>
    <w:rsid w:val="00D25AA8"/>
    <w:rsid w:val="00D2737E"/>
    <w:rsid w:val="00D274A9"/>
    <w:rsid w:val="00D275C1"/>
    <w:rsid w:val="00D27F98"/>
    <w:rsid w:val="00D30750"/>
    <w:rsid w:val="00D316BD"/>
    <w:rsid w:val="00D32644"/>
    <w:rsid w:val="00D3357A"/>
    <w:rsid w:val="00D33619"/>
    <w:rsid w:val="00D3586F"/>
    <w:rsid w:val="00D40C02"/>
    <w:rsid w:val="00D427A6"/>
    <w:rsid w:val="00D42AFE"/>
    <w:rsid w:val="00D45390"/>
    <w:rsid w:val="00D46323"/>
    <w:rsid w:val="00D47571"/>
    <w:rsid w:val="00D475A2"/>
    <w:rsid w:val="00D5015D"/>
    <w:rsid w:val="00D510BB"/>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530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874F8"/>
    <w:rsid w:val="00D91271"/>
    <w:rsid w:val="00D91F4E"/>
    <w:rsid w:val="00D93AF6"/>
    <w:rsid w:val="00D93F28"/>
    <w:rsid w:val="00D955A3"/>
    <w:rsid w:val="00D95998"/>
    <w:rsid w:val="00D95C7F"/>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6CBE"/>
    <w:rsid w:val="00DD74C3"/>
    <w:rsid w:val="00DD7977"/>
    <w:rsid w:val="00DE0119"/>
    <w:rsid w:val="00DE07ED"/>
    <w:rsid w:val="00DE24E0"/>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2AE8"/>
    <w:rsid w:val="00E033F2"/>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2B94"/>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5E1D"/>
    <w:rsid w:val="00E4736B"/>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35A7"/>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5294"/>
    <w:rsid w:val="00E86140"/>
    <w:rsid w:val="00E86936"/>
    <w:rsid w:val="00E86D59"/>
    <w:rsid w:val="00E87407"/>
    <w:rsid w:val="00E87CDE"/>
    <w:rsid w:val="00E91243"/>
    <w:rsid w:val="00E9258F"/>
    <w:rsid w:val="00E93E68"/>
    <w:rsid w:val="00E944BC"/>
    <w:rsid w:val="00E958D7"/>
    <w:rsid w:val="00E9655A"/>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C76FA"/>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71D"/>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5EFF"/>
    <w:rsid w:val="00F46CE7"/>
    <w:rsid w:val="00F510DB"/>
    <w:rsid w:val="00F5260F"/>
    <w:rsid w:val="00F546CD"/>
    <w:rsid w:val="00F5595C"/>
    <w:rsid w:val="00F5694B"/>
    <w:rsid w:val="00F604E0"/>
    <w:rsid w:val="00F61FDB"/>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5ED4"/>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707E"/>
    <w:rsid w:val="00FC7A08"/>
    <w:rsid w:val="00FD01CA"/>
    <w:rsid w:val="00FD21A8"/>
    <w:rsid w:val="00FD4599"/>
    <w:rsid w:val="00FD4784"/>
    <w:rsid w:val="00FD4FE7"/>
    <w:rsid w:val="00FD65FE"/>
    <w:rsid w:val="00FD6B22"/>
    <w:rsid w:val="00FD725C"/>
    <w:rsid w:val="00FE0F12"/>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1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em.org.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le.rae.es/notorio"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BA472-B98E-4FDC-970E-02F8E77C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31</Pages>
  <Words>6279</Words>
  <Characters>34536</Characters>
  <Application>Microsoft Office Word</Application>
  <DocSecurity>0</DocSecurity>
  <Lines>287</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12</cp:revision>
  <cp:lastPrinted>2018-12-04T20:35:00Z</cp:lastPrinted>
  <dcterms:created xsi:type="dcterms:W3CDTF">2024-12-11T02:47:00Z</dcterms:created>
  <dcterms:modified xsi:type="dcterms:W3CDTF">2025-01-21T17:51:00Z</dcterms:modified>
</cp:coreProperties>
</file>