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C2BD" w14:textId="77777777" w:rsidR="00151A7F" w:rsidRDefault="00151A7F">
      <w:pPr>
        <w:widowControl w:val="0"/>
        <w:pBdr>
          <w:top w:val="nil"/>
          <w:left w:val="nil"/>
          <w:bottom w:val="nil"/>
          <w:right w:val="nil"/>
          <w:between w:val="nil"/>
        </w:pBdr>
        <w:spacing w:after="0" w:line="276" w:lineRule="auto"/>
        <w:jc w:val="left"/>
      </w:pPr>
    </w:p>
    <w:p w14:paraId="5DF7C12C" w14:textId="77777777" w:rsidR="00151A7F" w:rsidRDefault="00564AFD">
      <w:pPr>
        <w:keepNext/>
        <w:keepLines/>
        <w:pBdr>
          <w:top w:val="nil"/>
          <w:left w:val="nil"/>
          <w:bottom w:val="nil"/>
          <w:right w:val="nil"/>
          <w:between w:val="nil"/>
        </w:pBdr>
        <w:spacing w:after="0" w:line="360" w:lineRule="auto"/>
        <w:jc w:val="center"/>
        <w:rPr>
          <w:rFonts w:ascii="Calibri" w:eastAsia="Calibri" w:hAnsi="Calibri" w:cs="Calibri"/>
          <w:color w:val="2F5496"/>
          <w:sz w:val="32"/>
          <w:szCs w:val="32"/>
        </w:rPr>
      </w:pPr>
      <w:r>
        <w:rPr>
          <w:color w:val="000000"/>
        </w:rPr>
        <w:t>RESOLUCIÓN DEL RECURSO DE REVISIÓN 09506/INFOEM/IP/RR/2025</w:t>
      </w:r>
    </w:p>
    <w:sdt>
      <w:sdtPr>
        <w:rPr>
          <w:rFonts w:ascii="Palatino Linotype" w:eastAsia="Palatino Linotype" w:hAnsi="Palatino Linotype" w:cs="Palatino Linotype"/>
          <w:color w:val="auto"/>
          <w:sz w:val="22"/>
          <w:szCs w:val="22"/>
          <w:lang w:val="es-ES"/>
        </w:rPr>
        <w:id w:val="1983572872"/>
        <w:docPartObj>
          <w:docPartGallery w:val="Table of Contents"/>
          <w:docPartUnique/>
        </w:docPartObj>
      </w:sdtPr>
      <w:sdtEndPr>
        <w:rPr>
          <w:b/>
          <w:bCs/>
        </w:rPr>
      </w:sdtEndPr>
      <w:sdtContent>
        <w:p w14:paraId="2BC13C75" w14:textId="474EA07B" w:rsidR="00DF653C" w:rsidRDefault="00DF653C">
          <w:pPr>
            <w:pStyle w:val="TtuloTDC"/>
          </w:pPr>
        </w:p>
        <w:p w14:paraId="57BA0964" w14:textId="125ED552" w:rsidR="00DF653C" w:rsidRDefault="00DF653C">
          <w:pPr>
            <w:pStyle w:val="TDC1"/>
            <w:tabs>
              <w:tab w:val="right" w:leader="dot" w:pos="9204"/>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7894237" w:history="1">
            <w:r w:rsidRPr="00223EA4">
              <w:rPr>
                <w:rStyle w:val="Hipervnculo"/>
                <w:noProof/>
              </w:rPr>
              <w:t>A N T E C E D E N T E S</w:t>
            </w:r>
            <w:r>
              <w:rPr>
                <w:noProof/>
                <w:webHidden/>
              </w:rPr>
              <w:tab/>
            </w:r>
            <w:r>
              <w:rPr>
                <w:noProof/>
                <w:webHidden/>
              </w:rPr>
              <w:fldChar w:fldCharType="begin"/>
            </w:r>
            <w:r>
              <w:rPr>
                <w:noProof/>
                <w:webHidden/>
              </w:rPr>
              <w:instrText xml:space="preserve"> PAGEREF _Toc207894237 \h </w:instrText>
            </w:r>
            <w:r>
              <w:rPr>
                <w:noProof/>
                <w:webHidden/>
              </w:rPr>
            </w:r>
            <w:r>
              <w:rPr>
                <w:noProof/>
                <w:webHidden/>
              </w:rPr>
              <w:fldChar w:fldCharType="separate"/>
            </w:r>
            <w:r w:rsidR="009678F6">
              <w:rPr>
                <w:noProof/>
                <w:webHidden/>
              </w:rPr>
              <w:t>2</w:t>
            </w:r>
            <w:r>
              <w:rPr>
                <w:noProof/>
                <w:webHidden/>
              </w:rPr>
              <w:fldChar w:fldCharType="end"/>
            </w:r>
          </w:hyperlink>
        </w:p>
        <w:p w14:paraId="17071926" w14:textId="49DF3E5E" w:rsidR="00DF653C" w:rsidRDefault="00DF653C">
          <w:pPr>
            <w:pStyle w:val="TDC2"/>
            <w:rPr>
              <w:rFonts w:asciiTheme="minorHAnsi" w:eastAsiaTheme="minorEastAsia" w:hAnsiTheme="minorHAnsi" w:cstheme="minorBidi"/>
              <w:noProof/>
              <w:kern w:val="2"/>
              <w14:ligatures w14:val="standardContextual"/>
            </w:rPr>
          </w:pPr>
          <w:hyperlink w:anchor="_Toc207894238" w:history="1">
            <w:r w:rsidRPr="00223EA4">
              <w:rPr>
                <w:rStyle w:val="Hipervnculo"/>
                <w:noProof/>
              </w:rPr>
              <w:t>I. Presentación de la solicitud</w:t>
            </w:r>
            <w:r>
              <w:rPr>
                <w:noProof/>
                <w:webHidden/>
              </w:rPr>
              <w:tab/>
            </w:r>
            <w:r>
              <w:rPr>
                <w:noProof/>
                <w:webHidden/>
              </w:rPr>
              <w:fldChar w:fldCharType="begin"/>
            </w:r>
            <w:r>
              <w:rPr>
                <w:noProof/>
                <w:webHidden/>
              </w:rPr>
              <w:instrText xml:space="preserve"> PAGEREF _Toc207894238 \h </w:instrText>
            </w:r>
            <w:r>
              <w:rPr>
                <w:noProof/>
                <w:webHidden/>
              </w:rPr>
            </w:r>
            <w:r>
              <w:rPr>
                <w:noProof/>
                <w:webHidden/>
              </w:rPr>
              <w:fldChar w:fldCharType="separate"/>
            </w:r>
            <w:r w:rsidR="009678F6">
              <w:rPr>
                <w:noProof/>
                <w:webHidden/>
              </w:rPr>
              <w:t>2</w:t>
            </w:r>
            <w:r>
              <w:rPr>
                <w:noProof/>
                <w:webHidden/>
              </w:rPr>
              <w:fldChar w:fldCharType="end"/>
            </w:r>
          </w:hyperlink>
        </w:p>
        <w:p w14:paraId="065C75CA" w14:textId="089CC467" w:rsidR="00DF653C" w:rsidRDefault="00DF653C">
          <w:pPr>
            <w:pStyle w:val="TDC2"/>
            <w:rPr>
              <w:rFonts w:asciiTheme="minorHAnsi" w:eastAsiaTheme="minorEastAsia" w:hAnsiTheme="minorHAnsi" w:cstheme="minorBidi"/>
              <w:noProof/>
              <w:kern w:val="2"/>
              <w14:ligatures w14:val="standardContextual"/>
            </w:rPr>
          </w:pPr>
          <w:hyperlink w:anchor="_Toc207894239" w:history="1">
            <w:r w:rsidRPr="00223EA4">
              <w:rPr>
                <w:rStyle w:val="Hipervnculo"/>
                <w:noProof/>
              </w:rPr>
              <w:t>II. Respuesta del Sujeto Obligado</w:t>
            </w:r>
            <w:r>
              <w:rPr>
                <w:noProof/>
                <w:webHidden/>
              </w:rPr>
              <w:tab/>
            </w:r>
            <w:r>
              <w:rPr>
                <w:noProof/>
                <w:webHidden/>
              </w:rPr>
              <w:fldChar w:fldCharType="begin"/>
            </w:r>
            <w:r>
              <w:rPr>
                <w:noProof/>
                <w:webHidden/>
              </w:rPr>
              <w:instrText xml:space="preserve"> PAGEREF _Toc207894239 \h </w:instrText>
            </w:r>
            <w:r>
              <w:rPr>
                <w:noProof/>
                <w:webHidden/>
              </w:rPr>
            </w:r>
            <w:r>
              <w:rPr>
                <w:noProof/>
                <w:webHidden/>
              </w:rPr>
              <w:fldChar w:fldCharType="separate"/>
            </w:r>
            <w:r w:rsidR="009678F6">
              <w:rPr>
                <w:noProof/>
                <w:webHidden/>
              </w:rPr>
              <w:t>2</w:t>
            </w:r>
            <w:r>
              <w:rPr>
                <w:noProof/>
                <w:webHidden/>
              </w:rPr>
              <w:fldChar w:fldCharType="end"/>
            </w:r>
          </w:hyperlink>
        </w:p>
        <w:p w14:paraId="241F7597" w14:textId="5CAAC775" w:rsidR="00DF653C" w:rsidRDefault="00DF653C">
          <w:pPr>
            <w:pStyle w:val="TDC2"/>
            <w:rPr>
              <w:rFonts w:asciiTheme="minorHAnsi" w:eastAsiaTheme="minorEastAsia" w:hAnsiTheme="minorHAnsi" w:cstheme="minorBidi"/>
              <w:noProof/>
              <w:kern w:val="2"/>
              <w14:ligatures w14:val="standardContextual"/>
            </w:rPr>
          </w:pPr>
          <w:hyperlink w:anchor="_Toc207894240" w:history="1">
            <w:r w:rsidRPr="00223EA4">
              <w:rPr>
                <w:rStyle w:val="Hipervnculo"/>
                <w:noProof/>
              </w:rPr>
              <w:t>III. Interposición del Recurso de Revisión</w:t>
            </w:r>
            <w:r>
              <w:rPr>
                <w:noProof/>
                <w:webHidden/>
              </w:rPr>
              <w:tab/>
            </w:r>
            <w:r>
              <w:rPr>
                <w:noProof/>
                <w:webHidden/>
              </w:rPr>
              <w:fldChar w:fldCharType="begin"/>
            </w:r>
            <w:r>
              <w:rPr>
                <w:noProof/>
                <w:webHidden/>
              </w:rPr>
              <w:instrText xml:space="preserve"> PAGEREF _Toc207894240 \h </w:instrText>
            </w:r>
            <w:r>
              <w:rPr>
                <w:noProof/>
                <w:webHidden/>
              </w:rPr>
            </w:r>
            <w:r>
              <w:rPr>
                <w:noProof/>
                <w:webHidden/>
              </w:rPr>
              <w:fldChar w:fldCharType="separate"/>
            </w:r>
            <w:r w:rsidR="009678F6">
              <w:rPr>
                <w:noProof/>
                <w:webHidden/>
              </w:rPr>
              <w:t>3</w:t>
            </w:r>
            <w:r>
              <w:rPr>
                <w:noProof/>
                <w:webHidden/>
              </w:rPr>
              <w:fldChar w:fldCharType="end"/>
            </w:r>
          </w:hyperlink>
        </w:p>
        <w:p w14:paraId="65EEE5F7" w14:textId="4A5FE732" w:rsidR="00DF653C" w:rsidRDefault="00DF653C">
          <w:pPr>
            <w:pStyle w:val="TDC2"/>
            <w:rPr>
              <w:rFonts w:asciiTheme="minorHAnsi" w:eastAsiaTheme="minorEastAsia" w:hAnsiTheme="minorHAnsi" w:cstheme="minorBidi"/>
              <w:noProof/>
              <w:kern w:val="2"/>
              <w14:ligatures w14:val="standardContextual"/>
            </w:rPr>
          </w:pPr>
          <w:hyperlink w:anchor="_Toc207894241" w:history="1">
            <w:r w:rsidRPr="00223EA4">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_Toc207894241 \h </w:instrText>
            </w:r>
            <w:r>
              <w:rPr>
                <w:noProof/>
                <w:webHidden/>
              </w:rPr>
            </w:r>
            <w:r>
              <w:rPr>
                <w:noProof/>
                <w:webHidden/>
              </w:rPr>
              <w:fldChar w:fldCharType="separate"/>
            </w:r>
            <w:r w:rsidR="009678F6">
              <w:rPr>
                <w:noProof/>
                <w:webHidden/>
              </w:rPr>
              <w:t>4</w:t>
            </w:r>
            <w:r>
              <w:rPr>
                <w:noProof/>
                <w:webHidden/>
              </w:rPr>
              <w:fldChar w:fldCharType="end"/>
            </w:r>
          </w:hyperlink>
        </w:p>
        <w:p w14:paraId="18F912D8" w14:textId="02F3880E" w:rsidR="00DF653C" w:rsidRDefault="00DF653C">
          <w:pPr>
            <w:pStyle w:val="TDC1"/>
            <w:tabs>
              <w:tab w:val="right" w:leader="dot" w:pos="9204"/>
            </w:tabs>
            <w:rPr>
              <w:rFonts w:asciiTheme="minorHAnsi" w:eastAsiaTheme="minorEastAsia" w:hAnsiTheme="minorHAnsi" w:cstheme="minorBidi"/>
              <w:noProof/>
              <w:kern w:val="2"/>
              <w14:ligatures w14:val="standardContextual"/>
            </w:rPr>
          </w:pPr>
          <w:hyperlink w:anchor="_Toc207894242" w:history="1">
            <w:r w:rsidRPr="00223EA4">
              <w:rPr>
                <w:rStyle w:val="Hipervnculo"/>
                <w:noProof/>
              </w:rPr>
              <w:t>C O N S I D E R A N D O S</w:t>
            </w:r>
            <w:r>
              <w:rPr>
                <w:noProof/>
                <w:webHidden/>
              </w:rPr>
              <w:tab/>
            </w:r>
            <w:r>
              <w:rPr>
                <w:noProof/>
                <w:webHidden/>
              </w:rPr>
              <w:fldChar w:fldCharType="begin"/>
            </w:r>
            <w:r>
              <w:rPr>
                <w:noProof/>
                <w:webHidden/>
              </w:rPr>
              <w:instrText xml:space="preserve"> PAGEREF _Toc207894242 \h </w:instrText>
            </w:r>
            <w:r>
              <w:rPr>
                <w:noProof/>
                <w:webHidden/>
              </w:rPr>
            </w:r>
            <w:r>
              <w:rPr>
                <w:noProof/>
                <w:webHidden/>
              </w:rPr>
              <w:fldChar w:fldCharType="separate"/>
            </w:r>
            <w:r w:rsidR="009678F6">
              <w:rPr>
                <w:noProof/>
                <w:webHidden/>
              </w:rPr>
              <w:t>5</w:t>
            </w:r>
            <w:r>
              <w:rPr>
                <w:noProof/>
                <w:webHidden/>
              </w:rPr>
              <w:fldChar w:fldCharType="end"/>
            </w:r>
          </w:hyperlink>
        </w:p>
        <w:p w14:paraId="2654A157" w14:textId="377C3D92" w:rsidR="00DF653C" w:rsidRDefault="00DF653C">
          <w:pPr>
            <w:pStyle w:val="TDC2"/>
            <w:rPr>
              <w:rFonts w:asciiTheme="minorHAnsi" w:eastAsiaTheme="minorEastAsia" w:hAnsiTheme="minorHAnsi" w:cstheme="minorBidi"/>
              <w:noProof/>
              <w:kern w:val="2"/>
              <w14:ligatures w14:val="standardContextual"/>
            </w:rPr>
          </w:pPr>
          <w:hyperlink w:anchor="_Toc207894243" w:history="1">
            <w:r w:rsidRPr="00223EA4">
              <w:rPr>
                <w:rStyle w:val="Hipervnculo"/>
                <w:noProof/>
              </w:rPr>
              <w:t>PRIMERO. Competencia</w:t>
            </w:r>
            <w:r>
              <w:rPr>
                <w:noProof/>
                <w:webHidden/>
              </w:rPr>
              <w:tab/>
            </w:r>
            <w:r>
              <w:rPr>
                <w:noProof/>
                <w:webHidden/>
              </w:rPr>
              <w:fldChar w:fldCharType="begin"/>
            </w:r>
            <w:r>
              <w:rPr>
                <w:noProof/>
                <w:webHidden/>
              </w:rPr>
              <w:instrText xml:space="preserve"> PAGEREF _Toc207894243 \h </w:instrText>
            </w:r>
            <w:r>
              <w:rPr>
                <w:noProof/>
                <w:webHidden/>
              </w:rPr>
            </w:r>
            <w:r>
              <w:rPr>
                <w:noProof/>
                <w:webHidden/>
              </w:rPr>
              <w:fldChar w:fldCharType="separate"/>
            </w:r>
            <w:r w:rsidR="009678F6">
              <w:rPr>
                <w:noProof/>
                <w:webHidden/>
              </w:rPr>
              <w:t>5</w:t>
            </w:r>
            <w:r>
              <w:rPr>
                <w:noProof/>
                <w:webHidden/>
              </w:rPr>
              <w:fldChar w:fldCharType="end"/>
            </w:r>
          </w:hyperlink>
        </w:p>
        <w:p w14:paraId="17BE5B47" w14:textId="6C924E2C" w:rsidR="00DF653C" w:rsidRDefault="00DF653C">
          <w:pPr>
            <w:pStyle w:val="TDC2"/>
            <w:rPr>
              <w:rFonts w:asciiTheme="minorHAnsi" w:eastAsiaTheme="minorEastAsia" w:hAnsiTheme="minorHAnsi" w:cstheme="minorBidi"/>
              <w:noProof/>
              <w:kern w:val="2"/>
              <w14:ligatures w14:val="standardContextual"/>
            </w:rPr>
          </w:pPr>
          <w:hyperlink w:anchor="_Toc207894244" w:history="1">
            <w:r w:rsidRPr="00223EA4">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_Toc207894244 \h </w:instrText>
            </w:r>
            <w:r>
              <w:rPr>
                <w:noProof/>
                <w:webHidden/>
              </w:rPr>
            </w:r>
            <w:r>
              <w:rPr>
                <w:noProof/>
                <w:webHidden/>
              </w:rPr>
              <w:fldChar w:fldCharType="separate"/>
            </w:r>
            <w:r w:rsidR="009678F6">
              <w:rPr>
                <w:noProof/>
                <w:webHidden/>
              </w:rPr>
              <w:t>5</w:t>
            </w:r>
            <w:r>
              <w:rPr>
                <w:noProof/>
                <w:webHidden/>
              </w:rPr>
              <w:fldChar w:fldCharType="end"/>
            </w:r>
          </w:hyperlink>
        </w:p>
        <w:p w14:paraId="7CC07002" w14:textId="4D4EA3BC" w:rsidR="00DF653C" w:rsidRDefault="00DF653C">
          <w:pPr>
            <w:pStyle w:val="TDC2"/>
            <w:rPr>
              <w:rFonts w:asciiTheme="minorHAnsi" w:eastAsiaTheme="minorEastAsia" w:hAnsiTheme="minorHAnsi" w:cstheme="minorBidi"/>
              <w:noProof/>
              <w:kern w:val="2"/>
              <w14:ligatures w14:val="standardContextual"/>
            </w:rPr>
          </w:pPr>
          <w:hyperlink w:anchor="_Toc207894245" w:history="1">
            <w:r w:rsidRPr="00223EA4">
              <w:rPr>
                <w:rStyle w:val="Hipervnculo"/>
                <w:noProof/>
              </w:rPr>
              <w:t>TERCERO. Determinación de la Controversia.</w:t>
            </w:r>
            <w:r>
              <w:rPr>
                <w:noProof/>
                <w:webHidden/>
              </w:rPr>
              <w:tab/>
            </w:r>
            <w:r>
              <w:rPr>
                <w:noProof/>
                <w:webHidden/>
              </w:rPr>
              <w:fldChar w:fldCharType="begin"/>
            </w:r>
            <w:r>
              <w:rPr>
                <w:noProof/>
                <w:webHidden/>
              </w:rPr>
              <w:instrText xml:space="preserve"> PAGEREF _Toc207894245 \h </w:instrText>
            </w:r>
            <w:r>
              <w:rPr>
                <w:noProof/>
                <w:webHidden/>
              </w:rPr>
            </w:r>
            <w:r>
              <w:rPr>
                <w:noProof/>
                <w:webHidden/>
              </w:rPr>
              <w:fldChar w:fldCharType="separate"/>
            </w:r>
            <w:r w:rsidR="009678F6">
              <w:rPr>
                <w:noProof/>
                <w:webHidden/>
              </w:rPr>
              <w:t>7</w:t>
            </w:r>
            <w:r>
              <w:rPr>
                <w:noProof/>
                <w:webHidden/>
              </w:rPr>
              <w:fldChar w:fldCharType="end"/>
            </w:r>
          </w:hyperlink>
        </w:p>
        <w:p w14:paraId="7D95E5EC" w14:textId="6E3FD5E4" w:rsidR="00DF653C" w:rsidRDefault="00DF653C">
          <w:pPr>
            <w:pStyle w:val="TDC2"/>
            <w:rPr>
              <w:rFonts w:asciiTheme="minorHAnsi" w:eastAsiaTheme="minorEastAsia" w:hAnsiTheme="minorHAnsi" w:cstheme="minorBidi"/>
              <w:noProof/>
              <w:kern w:val="2"/>
              <w14:ligatures w14:val="standardContextual"/>
            </w:rPr>
          </w:pPr>
          <w:hyperlink w:anchor="_Toc207894246" w:history="1">
            <w:r w:rsidRPr="00223EA4">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_Toc207894246 \h </w:instrText>
            </w:r>
            <w:r>
              <w:rPr>
                <w:noProof/>
                <w:webHidden/>
              </w:rPr>
            </w:r>
            <w:r>
              <w:rPr>
                <w:noProof/>
                <w:webHidden/>
              </w:rPr>
              <w:fldChar w:fldCharType="separate"/>
            </w:r>
            <w:r w:rsidR="009678F6">
              <w:rPr>
                <w:noProof/>
                <w:webHidden/>
              </w:rPr>
              <w:t>9</w:t>
            </w:r>
            <w:r>
              <w:rPr>
                <w:noProof/>
                <w:webHidden/>
              </w:rPr>
              <w:fldChar w:fldCharType="end"/>
            </w:r>
          </w:hyperlink>
        </w:p>
        <w:p w14:paraId="7AA28FD5" w14:textId="17733AC3" w:rsidR="00DF653C" w:rsidRDefault="00DF653C">
          <w:pPr>
            <w:pStyle w:val="TDC2"/>
            <w:rPr>
              <w:rFonts w:asciiTheme="minorHAnsi" w:eastAsiaTheme="minorEastAsia" w:hAnsiTheme="minorHAnsi" w:cstheme="minorBidi"/>
              <w:noProof/>
              <w:kern w:val="2"/>
              <w14:ligatures w14:val="standardContextual"/>
            </w:rPr>
          </w:pPr>
          <w:hyperlink w:anchor="_Toc207894247" w:history="1">
            <w:r w:rsidRPr="00223EA4">
              <w:rPr>
                <w:rStyle w:val="Hipervnculo"/>
                <w:smallCaps/>
                <w:noProof/>
              </w:rPr>
              <w:t>QUINTO.</w:t>
            </w:r>
            <w:r w:rsidRPr="00223EA4">
              <w:rPr>
                <w:rStyle w:val="Hipervnculo"/>
                <w:noProof/>
              </w:rPr>
              <w:t xml:space="preserve"> Estudio de Fondo</w:t>
            </w:r>
            <w:r>
              <w:rPr>
                <w:noProof/>
                <w:webHidden/>
              </w:rPr>
              <w:tab/>
            </w:r>
            <w:r>
              <w:rPr>
                <w:noProof/>
                <w:webHidden/>
              </w:rPr>
              <w:fldChar w:fldCharType="begin"/>
            </w:r>
            <w:r>
              <w:rPr>
                <w:noProof/>
                <w:webHidden/>
              </w:rPr>
              <w:instrText xml:space="preserve"> PAGEREF _Toc207894247 \h </w:instrText>
            </w:r>
            <w:r>
              <w:rPr>
                <w:noProof/>
                <w:webHidden/>
              </w:rPr>
            </w:r>
            <w:r>
              <w:rPr>
                <w:noProof/>
                <w:webHidden/>
              </w:rPr>
              <w:fldChar w:fldCharType="separate"/>
            </w:r>
            <w:r w:rsidR="009678F6">
              <w:rPr>
                <w:noProof/>
                <w:webHidden/>
              </w:rPr>
              <w:t>10</w:t>
            </w:r>
            <w:r>
              <w:rPr>
                <w:noProof/>
                <w:webHidden/>
              </w:rPr>
              <w:fldChar w:fldCharType="end"/>
            </w:r>
          </w:hyperlink>
        </w:p>
        <w:p w14:paraId="4974DD62" w14:textId="748950E1" w:rsidR="00DF653C" w:rsidRDefault="00DF653C">
          <w:pPr>
            <w:pStyle w:val="TDC1"/>
            <w:tabs>
              <w:tab w:val="right" w:leader="dot" w:pos="9204"/>
            </w:tabs>
            <w:rPr>
              <w:rFonts w:asciiTheme="minorHAnsi" w:eastAsiaTheme="minorEastAsia" w:hAnsiTheme="minorHAnsi" w:cstheme="minorBidi"/>
              <w:noProof/>
              <w:kern w:val="2"/>
              <w14:ligatures w14:val="standardContextual"/>
            </w:rPr>
          </w:pPr>
          <w:hyperlink w:anchor="_Toc207894248" w:history="1">
            <w:r w:rsidRPr="00223EA4">
              <w:rPr>
                <w:rStyle w:val="Hipervnculo"/>
                <w:noProof/>
              </w:rPr>
              <w:t>R E S U E L V E</w:t>
            </w:r>
            <w:r>
              <w:rPr>
                <w:noProof/>
                <w:webHidden/>
              </w:rPr>
              <w:tab/>
            </w:r>
            <w:r>
              <w:rPr>
                <w:noProof/>
                <w:webHidden/>
              </w:rPr>
              <w:fldChar w:fldCharType="begin"/>
            </w:r>
            <w:r>
              <w:rPr>
                <w:noProof/>
                <w:webHidden/>
              </w:rPr>
              <w:instrText xml:space="preserve"> PAGEREF _Toc207894248 \h </w:instrText>
            </w:r>
            <w:r>
              <w:rPr>
                <w:noProof/>
                <w:webHidden/>
              </w:rPr>
            </w:r>
            <w:r>
              <w:rPr>
                <w:noProof/>
                <w:webHidden/>
              </w:rPr>
              <w:fldChar w:fldCharType="separate"/>
            </w:r>
            <w:r w:rsidR="009678F6">
              <w:rPr>
                <w:noProof/>
                <w:webHidden/>
              </w:rPr>
              <w:t>15</w:t>
            </w:r>
            <w:r>
              <w:rPr>
                <w:noProof/>
                <w:webHidden/>
              </w:rPr>
              <w:fldChar w:fldCharType="end"/>
            </w:r>
          </w:hyperlink>
        </w:p>
        <w:p w14:paraId="2F39256E" w14:textId="1892FBD7" w:rsidR="00DF653C" w:rsidRDefault="00DF653C">
          <w:r>
            <w:rPr>
              <w:b/>
              <w:bCs/>
              <w:lang w:val="es-ES"/>
            </w:rPr>
            <w:fldChar w:fldCharType="end"/>
          </w:r>
        </w:p>
      </w:sdtContent>
    </w:sdt>
    <w:p w14:paraId="2AA5A6E7" w14:textId="77777777" w:rsidR="00151A7F" w:rsidRDefault="00564AFD">
      <w:pPr>
        <w:widowControl w:val="0"/>
        <w:pBdr>
          <w:top w:val="nil"/>
          <w:left w:val="nil"/>
          <w:bottom w:val="nil"/>
          <w:right w:val="nil"/>
          <w:between w:val="nil"/>
        </w:pBdr>
        <w:spacing w:after="0" w:line="360" w:lineRule="auto"/>
        <w:jc w:val="left"/>
      </w:pPr>
      <w:r>
        <w:br w:type="column"/>
      </w:r>
    </w:p>
    <w:p w14:paraId="3000A40A" w14:textId="64C4E14C" w:rsidR="00151A7F" w:rsidRDefault="00564AFD">
      <w:pPr>
        <w:spacing w:after="0" w:line="360" w:lineRule="auto"/>
      </w:pPr>
      <w:r>
        <w:t>Resolución del Pleno del Instituto de Transparencia, Acceso a la Información Pública y Protección de Datos Personales del Estado de México y Municipios, con domicilio en Metepec, Estado de México, de fecha tres de septiembre de dos mil veinticinco.</w:t>
      </w:r>
    </w:p>
    <w:p w14:paraId="23A1EF59" w14:textId="77777777" w:rsidR="00151A7F" w:rsidRDefault="00151A7F">
      <w:pPr>
        <w:spacing w:after="0" w:line="360" w:lineRule="auto"/>
        <w:rPr>
          <w:b/>
        </w:rPr>
      </w:pPr>
    </w:p>
    <w:p w14:paraId="1667E966" w14:textId="77777777" w:rsidR="00151A7F" w:rsidRDefault="00564AFD">
      <w:pPr>
        <w:spacing w:after="0" w:line="360" w:lineRule="auto"/>
      </w:pPr>
      <w:r>
        <w:rPr>
          <w:b/>
        </w:rPr>
        <w:t>VISTO</w:t>
      </w:r>
      <w:r>
        <w:t xml:space="preserve"> el expediente conformado con motivo del Recurso de Revisión </w:t>
      </w:r>
      <w:r w:rsidRPr="008816A2">
        <w:rPr>
          <w:b/>
          <w:bCs/>
        </w:rPr>
        <w:t>09506/INFOEM/IP/RR/2025,</w:t>
      </w:r>
      <w:r>
        <w:t xml:space="preserve"> interpuesto por la persona Recurrente o Particular, en contra de la respuesta del Sujeto Obligado, </w:t>
      </w:r>
      <w:r w:rsidRPr="008816A2">
        <w:rPr>
          <w:b/>
          <w:bCs/>
        </w:rPr>
        <w:t>Ayuntamiento de Tepotzotlán</w:t>
      </w:r>
      <w:r>
        <w:t xml:space="preserve">, a la solicitud de acceso a la información </w:t>
      </w:r>
      <w:r w:rsidRPr="00A56E09">
        <w:rPr>
          <w:bCs/>
          <w:color w:val="0D0D0D"/>
        </w:rPr>
        <w:t>00312/TEPOTZOT/IP/2025</w:t>
      </w:r>
      <w:r>
        <w:t>, se emite la presente Resolución, con base en los Antecedentes y Considerandos que se exponen a continuación:</w:t>
      </w:r>
    </w:p>
    <w:p w14:paraId="2B71AD25" w14:textId="77777777" w:rsidR="00151A7F" w:rsidRDefault="00151A7F">
      <w:pPr>
        <w:spacing w:after="0" w:line="360" w:lineRule="auto"/>
      </w:pPr>
    </w:p>
    <w:p w14:paraId="430C3C08" w14:textId="77777777" w:rsidR="00151A7F" w:rsidRDefault="00564AFD">
      <w:pPr>
        <w:pStyle w:val="Ttulo1"/>
        <w:spacing w:before="0" w:after="0"/>
      </w:pPr>
      <w:bookmarkStart w:id="0" w:name="_Toc207894237"/>
      <w:r>
        <w:t>A N T E C E D E N T E S</w:t>
      </w:r>
      <w:bookmarkEnd w:id="0"/>
    </w:p>
    <w:p w14:paraId="4767E5B5" w14:textId="77777777" w:rsidR="00151A7F" w:rsidRDefault="00151A7F">
      <w:pPr>
        <w:spacing w:after="0" w:line="360" w:lineRule="auto"/>
      </w:pPr>
    </w:p>
    <w:p w14:paraId="77E432AF" w14:textId="77777777" w:rsidR="00151A7F" w:rsidRDefault="00564AFD">
      <w:pPr>
        <w:pStyle w:val="Ttulo2"/>
        <w:spacing w:before="0" w:after="0"/>
      </w:pPr>
      <w:bookmarkStart w:id="1" w:name="_Toc207894238"/>
      <w:r>
        <w:t>I. Presentación de la solicitud</w:t>
      </w:r>
      <w:bookmarkEnd w:id="1"/>
    </w:p>
    <w:p w14:paraId="08794CED" w14:textId="77777777" w:rsidR="00151A7F" w:rsidRDefault="00151A7F">
      <w:pPr>
        <w:tabs>
          <w:tab w:val="left" w:pos="567"/>
        </w:tabs>
        <w:spacing w:after="0" w:line="360" w:lineRule="auto"/>
      </w:pPr>
    </w:p>
    <w:p w14:paraId="3088E28F" w14:textId="0199BEE9" w:rsidR="00151A7F" w:rsidRDefault="00564AFD">
      <w:pPr>
        <w:spacing w:after="0" w:line="360" w:lineRule="auto"/>
      </w:pPr>
      <w:r>
        <w:t xml:space="preserve">Con fecha diecisiete de junio de dos mil veinticinco, el Particular presentó una solicitud de acceso a la información </w:t>
      </w:r>
      <w:r w:rsidR="00DF653C">
        <w:t>pública a</w:t>
      </w:r>
      <w:r>
        <w:t xml:space="preserve"> través del Sistema de Acceso a la Información Mexiquense (SAIMEX), ante el Sujeto Obligado, en los siguientes términos: </w:t>
      </w:r>
    </w:p>
    <w:p w14:paraId="0E686636" w14:textId="77777777" w:rsidR="00151A7F" w:rsidRDefault="00151A7F">
      <w:pPr>
        <w:spacing w:after="0" w:line="360" w:lineRule="auto"/>
      </w:pPr>
    </w:p>
    <w:p w14:paraId="5625EC6C" w14:textId="77777777" w:rsidR="00151A7F" w:rsidRDefault="00564AFD">
      <w:pPr>
        <w:tabs>
          <w:tab w:val="left" w:pos="4667"/>
        </w:tabs>
        <w:spacing w:after="0" w:line="360" w:lineRule="auto"/>
        <w:ind w:left="567" w:right="567"/>
        <w:rPr>
          <w:b/>
          <w:i/>
          <w:sz w:val="20"/>
          <w:szCs w:val="20"/>
        </w:rPr>
      </w:pPr>
      <w:r>
        <w:rPr>
          <w:b/>
          <w:i/>
          <w:sz w:val="20"/>
          <w:szCs w:val="20"/>
        </w:rPr>
        <w:t>“DESCRIPCIÓN CLARA Y PRECISA DE LA INFORMACIÓN SOLICITADA.</w:t>
      </w:r>
    </w:p>
    <w:p w14:paraId="07EBDE07" w14:textId="77777777" w:rsidR="00151A7F" w:rsidRDefault="00564AFD">
      <w:pPr>
        <w:tabs>
          <w:tab w:val="left" w:pos="4667"/>
        </w:tabs>
        <w:spacing w:after="0" w:line="360" w:lineRule="auto"/>
        <w:ind w:left="567" w:right="567"/>
        <w:rPr>
          <w:i/>
          <w:sz w:val="20"/>
          <w:szCs w:val="20"/>
        </w:rPr>
      </w:pPr>
      <w:r>
        <w:rPr>
          <w:i/>
          <w:sz w:val="20"/>
          <w:szCs w:val="20"/>
        </w:rPr>
        <w:t xml:space="preserve">En </w:t>
      </w:r>
      <w:proofErr w:type="spellStart"/>
      <w:r>
        <w:rPr>
          <w:i/>
          <w:sz w:val="20"/>
          <w:szCs w:val="20"/>
        </w:rPr>
        <w:t>pdf</w:t>
      </w:r>
      <w:proofErr w:type="spellEnd"/>
      <w:r>
        <w:rPr>
          <w:i/>
          <w:sz w:val="20"/>
          <w:szCs w:val="20"/>
        </w:rPr>
        <w:t xml:space="preserve"> el listado de sueldos autorizado para el 2025 y el acta donde se </w:t>
      </w:r>
      <w:proofErr w:type="gramStart"/>
      <w:r>
        <w:rPr>
          <w:i/>
          <w:sz w:val="20"/>
          <w:szCs w:val="20"/>
        </w:rPr>
        <w:t>aprobó..</w:t>
      </w:r>
      <w:proofErr w:type="gramEnd"/>
      <w:r>
        <w:rPr>
          <w:i/>
          <w:sz w:val="20"/>
          <w:szCs w:val="20"/>
        </w:rPr>
        <w:t xml:space="preserve">” </w:t>
      </w:r>
    </w:p>
    <w:p w14:paraId="7EB17081" w14:textId="77777777" w:rsidR="00151A7F" w:rsidRDefault="00151A7F">
      <w:pPr>
        <w:tabs>
          <w:tab w:val="left" w:pos="4667"/>
        </w:tabs>
        <w:spacing w:after="0" w:line="360" w:lineRule="auto"/>
        <w:ind w:left="567" w:right="567"/>
        <w:rPr>
          <w:b/>
          <w:i/>
          <w:sz w:val="20"/>
          <w:szCs w:val="20"/>
        </w:rPr>
      </w:pPr>
    </w:p>
    <w:p w14:paraId="78360D61" w14:textId="77777777" w:rsidR="00151A7F" w:rsidRDefault="00564AFD">
      <w:pPr>
        <w:tabs>
          <w:tab w:val="left" w:pos="4667"/>
        </w:tabs>
        <w:spacing w:after="0" w:line="360" w:lineRule="auto"/>
        <w:ind w:left="567" w:right="567"/>
        <w:rPr>
          <w:b/>
          <w:i/>
          <w:sz w:val="20"/>
          <w:szCs w:val="20"/>
        </w:rPr>
      </w:pPr>
      <w:r>
        <w:rPr>
          <w:b/>
          <w:i/>
          <w:sz w:val="20"/>
          <w:szCs w:val="20"/>
        </w:rPr>
        <w:t>“MODALIDAD DE ENTREGA</w:t>
      </w:r>
    </w:p>
    <w:p w14:paraId="4CAC40A4" w14:textId="77777777" w:rsidR="00151A7F" w:rsidRDefault="00564AFD">
      <w:pPr>
        <w:spacing w:after="0" w:line="360" w:lineRule="auto"/>
        <w:ind w:left="567" w:right="567"/>
        <w:rPr>
          <w:i/>
          <w:sz w:val="20"/>
          <w:szCs w:val="20"/>
        </w:rPr>
      </w:pPr>
      <w:r>
        <w:rPr>
          <w:i/>
          <w:sz w:val="20"/>
          <w:szCs w:val="20"/>
        </w:rPr>
        <w:t>A través del SAIMEX”</w:t>
      </w:r>
    </w:p>
    <w:p w14:paraId="0738BDE8" w14:textId="77777777" w:rsidR="00151A7F" w:rsidRDefault="00151A7F">
      <w:pPr>
        <w:spacing w:after="0" w:line="360" w:lineRule="auto"/>
        <w:rPr>
          <w:b/>
        </w:rPr>
      </w:pPr>
    </w:p>
    <w:p w14:paraId="0A8A234D" w14:textId="77777777" w:rsidR="00151A7F" w:rsidRDefault="00564AFD">
      <w:pPr>
        <w:pStyle w:val="Ttulo2"/>
        <w:spacing w:before="0" w:after="0"/>
      </w:pPr>
      <w:bookmarkStart w:id="2" w:name="_Toc207894239"/>
      <w:r>
        <w:t>II. Respuesta del Sujeto Obligado</w:t>
      </w:r>
      <w:bookmarkEnd w:id="2"/>
    </w:p>
    <w:p w14:paraId="7079053B" w14:textId="77777777" w:rsidR="00151A7F" w:rsidRDefault="00151A7F">
      <w:pPr>
        <w:spacing w:after="0" w:line="360" w:lineRule="auto"/>
        <w:rPr>
          <w:b/>
        </w:rPr>
      </w:pPr>
    </w:p>
    <w:p w14:paraId="6DCA947A" w14:textId="77777777" w:rsidR="00151A7F" w:rsidRDefault="00564AFD">
      <w:pPr>
        <w:spacing w:after="0" w:line="360" w:lineRule="auto"/>
      </w:pPr>
      <w:r>
        <w:lastRenderedPageBreak/>
        <w:t>Con fecha seis de agosto de dos mil veinticinco, el Sujeto Obligado notificó, a través del Sistema de Acceso a la Información Mexiquense (SAIMEX), la respuesta a la solicitud de acceso a la información pública, a través de los documentos siguientes:</w:t>
      </w:r>
    </w:p>
    <w:p w14:paraId="0FAF09D4" w14:textId="77777777" w:rsidR="00151A7F" w:rsidRDefault="00151A7F">
      <w:pPr>
        <w:spacing w:after="0" w:line="360" w:lineRule="auto"/>
      </w:pPr>
    </w:p>
    <w:p w14:paraId="4918C715" w14:textId="77777777" w:rsidR="00151A7F" w:rsidRDefault="00564AFD">
      <w:pPr>
        <w:numPr>
          <w:ilvl w:val="0"/>
          <w:numId w:val="1"/>
        </w:numPr>
        <w:pBdr>
          <w:top w:val="nil"/>
          <w:left w:val="nil"/>
          <w:bottom w:val="nil"/>
          <w:right w:val="nil"/>
          <w:between w:val="nil"/>
        </w:pBdr>
        <w:spacing w:after="0" w:line="360" w:lineRule="auto"/>
      </w:pPr>
      <w:r>
        <w:rPr>
          <w:color w:val="000000"/>
        </w:rPr>
        <w:t xml:space="preserve">Gaceta Municipal de fecha veinticinco de febrero de dos mil veinticinco, mediante la cual se aprueba el presupuesto definitivo de Ingresos y Egresos para el ejercicio fiscal 2025 del Municipio de Tepotzotlán. </w:t>
      </w:r>
    </w:p>
    <w:p w14:paraId="569A4BE4" w14:textId="77777777" w:rsidR="00151A7F" w:rsidRDefault="00564AFD">
      <w:pPr>
        <w:numPr>
          <w:ilvl w:val="0"/>
          <w:numId w:val="1"/>
        </w:numPr>
        <w:pBdr>
          <w:top w:val="nil"/>
          <w:left w:val="nil"/>
          <w:bottom w:val="nil"/>
          <w:right w:val="nil"/>
          <w:between w:val="nil"/>
        </w:pBdr>
        <w:spacing w:after="0" w:line="360" w:lineRule="auto"/>
      </w:pPr>
      <w:r>
        <w:rPr>
          <w:color w:val="000000"/>
        </w:rPr>
        <w:t xml:space="preserve">Oficio número 00312/TEPOTZOT/IP/2025, de fecha diez de julio de dos mil veinticinco, signado por el </w:t>
      </w:r>
      <w:proofErr w:type="gramStart"/>
      <w:r>
        <w:rPr>
          <w:color w:val="000000"/>
        </w:rPr>
        <w:t>Director</w:t>
      </w:r>
      <w:proofErr w:type="gramEnd"/>
      <w:r>
        <w:rPr>
          <w:color w:val="000000"/>
        </w:rPr>
        <w:t xml:space="preserve"> de Administración, mediante el cual informa que, se envía el listado de sueldos autorizados para el año dos mil veinticinco y, su acta de aprobación. </w:t>
      </w:r>
    </w:p>
    <w:p w14:paraId="785E4CCE" w14:textId="77777777" w:rsidR="00151A7F" w:rsidRDefault="00564AFD">
      <w:pPr>
        <w:numPr>
          <w:ilvl w:val="0"/>
          <w:numId w:val="1"/>
        </w:numPr>
        <w:pBdr>
          <w:top w:val="nil"/>
          <w:left w:val="nil"/>
          <w:bottom w:val="nil"/>
          <w:right w:val="nil"/>
          <w:between w:val="nil"/>
        </w:pBdr>
        <w:spacing w:after="0" w:line="360" w:lineRule="auto"/>
      </w:pPr>
      <w:r>
        <w:rPr>
          <w:color w:val="000000"/>
        </w:rPr>
        <w:t xml:space="preserve">Tabulador de Sueldos del uno de enero al treinta y uno de diciembre de dos mil veinticinco. </w:t>
      </w:r>
    </w:p>
    <w:p w14:paraId="54B57904" w14:textId="77777777" w:rsidR="00151A7F" w:rsidRDefault="00151A7F">
      <w:pPr>
        <w:pBdr>
          <w:top w:val="nil"/>
          <w:left w:val="nil"/>
          <w:bottom w:val="nil"/>
          <w:right w:val="nil"/>
          <w:between w:val="nil"/>
        </w:pBdr>
        <w:spacing w:after="0" w:line="360" w:lineRule="auto"/>
        <w:ind w:left="720"/>
        <w:rPr>
          <w:color w:val="000000"/>
        </w:rPr>
      </w:pPr>
    </w:p>
    <w:p w14:paraId="50F063CC" w14:textId="77777777" w:rsidR="00151A7F" w:rsidRDefault="00564AFD">
      <w:pPr>
        <w:pStyle w:val="Ttulo2"/>
        <w:spacing w:before="0" w:after="0"/>
      </w:pPr>
      <w:bookmarkStart w:id="3" w:name="_Toc207894240"/>
      <w:r>
        <w:t>III. Interposición del Recurso de Revisión</w:t>
      </w:r>
      <w:bookmarkEnd w:id="3"/>
    </w:p>
    <w:p w14:paraId="31315EAE" w14:textId="77777777" w:rsidR="00151A7F" w:rsidRDefault="00151A7F">
      <w:pPr>
        <w:spacing w:after="0" w:line="360" w:lineRule="auto"/>
        <w:rPr>
          <w:b/>
        </w:rPr>
      </w:pPr>
    </w:p>
    <w:p w14:paraId="4E09FD52" w14:textId="77777777" w:rsidR="00151A7F" w:rsidRDefault="00564AFD">
      <w:pPr>
        <w:spacing w:after="0" w:line="360" w:lineRule="auto"/>
      </w:pPr>
      <w:r>
        <w:t>Con fecha trece de agosto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704810E5" w14:textId="77777777" w:rsidR="00151A7F" w:rsidRDefault="00151A7F">
      <w:pPr>
        <w:spacing w:after="0" w:line="360" w:lineRule="auto"/>
      </w:pPr>
    </w:p>
    <w:p w14:paraId="17BD26CB" w14:textId="77777777" w:rsidR="00151A7F" w:rsidRDefault="00564AFD">
      <w:pPr>
        <w:spacing w:after="0" w:line="360" w:lineRule="auto"/>
        <w:ind w:left="567" w:right="567"/>
        <w:rPr>
          <w:i/>
          <w:sz w:val="20"/>
          <w:szCs w:val="20"/>
        </w:rPr>
      </w:pPr>
      <w:r>
        <w:rPr>
          <w:b/>
          <w:i/>
          <w:sz w:val="20"/>
          <w:szCs w:val="20"/>
        </w:rPr>
        <w:t>“ACTO IMPUGNADO</w:t>
      </w:r>
    </w:p>
    <w:p w14:paraId="4E85E820" w14:textId="77777777" w:rsidR="00151A7F" w:rsidRDefault="00564AFD">
      <w:pPr>
        <w:spacing w:after="0" w:line="360" w:lineRule="auto"/>
        <w:ind w:left="567" w:right="567"/>
        <w:rPr>
          <w:i/>
          <w:sz w:val="20"/>
          <w:szCs w:val="20"/>
        </w:rPr>
      </w:pPr>
      <w:r>
        <w:rPr>
          <w:i/>
          <w:sz w:val="20"/>
          <w:szCs w:val="20"/>
        </w:rPr>
        <w:t xml:space="preserve">La información proporcionada es ilegible, de forma grosera ponen la información de manera ilegible para decir que la pondrán a disposición en el lugar físico donde la guardan y enterarse de quien pide esa información con lo que violan el derecho a la información”. </w:t>
      </w:r>
    </w:p>
    <w:p w14:paraId="2CF1C310" w14:textId="77777777" w:rsidR="00151A7F" w:rsidRDefault="00151A7F">
      <w:pPr>
        <w:spacing w:after="0" w:line="360" w:lineRule="auto"/>
        <w:ind w:left="567" w:right="567"/>
        <w:rPr>
          <w:i/>
          <w:sz w:val="20"/>
          <w:szCs w:val="20"/>
        </w:rPr>
      </w:pPr>
    </w:p>
    <w:p w14:paraId="51D517ED" w14:textId="77777777" w:rsidR="00151A7F" w:rsidRDefault="00564AFD">
      <w:pPr>
        <w:spacing w:after="0" w:line="360" w:lineRule="auto"/>
        <w:ind w:left="567" w:right="567"/>
        <w:rPr>
          <w:b/>
          <w:i/>
          <w:sz w:val="20"/>
          <w:szCs w:val="20"/>
        </w:rPr>
      </w:pPr>
      <w:r>
        <w:rPr>
          <w:b/>
          <w:i/>
          <w:sz w:val="20"/>
          <w:szCs w:val="20"/>
        </w:rPr>
        <w:t>“RAZONES O MOTIVOS DE LA INCONFORMIDAD”</w:t>
      </w:r>
    </w:p>
    <w:p w14:paraId="7703CB24" w14:textId="77777777" w:rsidR="00151A7F" w:rsidRDefault="00564AFD">
      <w:pPr>
        <w:spacing w:after="0" w:line="360" w:lineRule="auto"/>
        <w:ind w:left="567" w:right="567"/>
        <w:rPr>
          <w:i/>
          <w:sz w:val="20"/>
          <w:szCs w:val="20"/>
        </w:rPr>
      </w:pPr>
      <w:r>
        <w:rPr>
          <w:i/>
          <w:color w:val="000000"/>
          <w:sz w:val="20"/>
          <w:szCs w:val="20"/>
        </w:rPr>
        <w:t xml:space="preserve">ponen la información ilegible para que no pueda accederse a ella. </w:t>
      </w:r>
      <w:r>
        <w:rPr>
          <w:i/>
          <w:sz w:val="20"/>
          <w:szCs w:val="20"/>
        </w:rPr>
        <w:t>(Sic.)</w:t>
      </w:r>
    </w:p>
    <w:p w14:paraId="6795216E" w14:textId="77777777" w:rsidR="00151A7F" w:rsidRDefault="00151A7F">
      <w:pPr>
        <w:spacing w:after="0" w:line="360" w:lineRule="auto"/>
      </w:pPr>
    </w:p>
    <w:p w14:paraId="5F3074D1" w14:textId="77777777" w:rsidR="00151A7F" w:rsidRDefault="00564AFD">
      <w:pPr>
        <w:pStyle w:val="Ttulo2"/>
        <w:spacing w:before="0" w:after="0"/>
      </w:pPr>
      <w:bookmarkStart w:id="4" w:name="_Toc207894241"/>
      <w:r>
        <w:lastRenderedPageBreak/>
        <w:t>IV. Trámite del Recurso de Revisión ante este Instituto</w:t>
      </w:r>
      <w:bookmarkEnd w:id="4"/>
    </w:p>
    <w:p w14:paraId="60FE596E" w14:textId="77777777" w:rsidR="00151A7F" w:rsidRDefault="00151A7F">
      <w:pPr>
        <w:spacing w:after="0" w:line="360" w:lineRule="auto"/>
        <w:rPr>
          <w:b/>
        </w:rPr>
      </w:pPr>
    </w:p>
    <w:p w14:paraId="18B9B332" w14:textId="62FEC8BB" w:rsidR="00151A7F" w:rsidRDefault="00564AFD">
      <w:pPr>
        <w:spacing w:after="0" w:line="360" w:lineRule="auto"/>
        <w:rPr>
          <w:b/>
        </w:rPr>
      </w:pPr>
      <w:r>
        <w:rPr>
          <w:b/>
        </w:rPr>
        <w:t>a) Turno del Medio de Impugnación.</w:t>
      </w:r>
      <w:r>
        <w:t xml:space="preserve"> El </w:t>
      </w:r>
      <w:r w:rsidR="00A56E09">
        <w:t>trece de agosto</w:t>
      </w:r>
      <w:r>
        <w:t xml:space="preserve"> de dos mil veinticinco, el Sistema de Acceso a la Información Mexiquense (SAIMEX), asignó el número de expediente </w:t>
      </w:r>
      <w:r>
        <w:rPr>
          <w:b/>
        </w:rPr>
        <w:t>09506/INFOEM/IP/RR/2025</w:t>
      </w:r>
      <w: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14:paraId="271C3DA9" w14:textId="77777777" w:rsidR="00151A7F" w:rsidRDefault="00151A7F">
      <w:pPr>
        <w:spacing w:after="0" w:line="360" w:lineRule="auto"/>
      </w:pPr>
    </w:p>
    <w:p w14:paraId="01765497" w14:textId="77777777" w:rsidR="00151A7F" w:rsidRDefault="00564AFD">
      <w:pPr>
        <w:spacing w:after="0" w:line="360" w:lineRule="auto"/>
      </w:pPr>
      <w:r>
        <w:rPr>
          <w:b/>
        </w:rPr>
        <w:t>b) Admisión del Recurso de Revisión.</w:t>
      </w:r>
      <w:r>
        <w:t xml:space="preserve"> El dieciocho de agosto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 </w:t>
      </w:r>
    </w:p>
    <w:p w14:paraId="3397D051" w14:textId="77777777" w:rsidR="00151A7F" w:rsidRDefault="00151A7F">
      <w:pPr>
        <w:spacing w:after="0" w:line="360" w:lineRule="auto"/>
        <w:rPr>
          <w:b/>
        </w:rPr>
      </w:pPr>
    </w:p>
    <w:p w14:paraId="621F7463" w14:textId="77777777" w:rsidR="00151A7F" w:rsidRDefault="00564AFD">
      <w:pPr>
        <w:spacing w:after="0" w:line="360" w:lineRule="auto"/>
      </w:pPr>
      <w:r>
        <w:rPr>
          <w:b/>
          <w:color w:val="000000"/>
        </w:rPr>
        <w:t xml:space="preserve">c) </w:t>
      </w:r>
      <w:r>
        <w:rPr>
          <w:b/>
        </w:rPr>
        <w:t xml:space="preserve">Informe Justificado o Manifestaciones. </w:t>
      </w:r>
      <w:r>
        <w:t>Los partes fueron omisos en emitir alguna manifestación o alegato.</w:t>
      </w:r>
    </w:p>
    <w:p w14:paraId="6BC0F1CF" w14:textId="77777777" w:rsidR="00151A7F" w:rsidRDefault="00151A7F">
      <w:pPr>
        <w:spacing w:after="0" w:line="360" w:lineRule="auto"/>
      </w:pPr>
    </w:p>
    <w:p w14:paraId="640993AC" w14:textId="142BC292" w:rsidR="00151A7F" w:rsidRDefault="00564AFD">
      <w:pPr>
        <w:spacing w:after="0" w:line="360" w:lineRule="auto"/>
        <w:rPr>
          <w:b/>
        </w:rPr>
      </w:pPr>
      <w:r>
        <w:rPr>
          <w:b/>
        </w:rPr>
        <w:t>d) Cierre de instrucción.</w:t>
      </w:r>
      <w:r>
        <w:t xml:space="preserve"> El </w:t>
      </w:r>
      <w:r w:rsidR="00A56E09">
        <w:t>dos de septiembre</w:t>
      </w:r>
      <w: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5E7328E4" w14:textId="77777777" w:rsidR="00151A7F" w:rsidRDefault="00151A7F">
      <w:pPr>
        <w:spacing w:after="0" w:line="360" w:lineRule="auto"/>
      </w:pPr>
    </w:p>
    <w:p w14:paraId="02F492E4" w14:textId="77777777" w:rsidR="00151A7F" w:rsidRDefault="00564AFD">
      <w:pPr>
        <w:spacing w:after="0" w:line="360" w:lineRule="auto"/>
      </w:pPr>
      <w:proofErr w:type="gramStart"/>
      <w:r>
        <w:lastRenderedPageBreak/>
        <w:t>En razón de</w:t>
      </w:r>
      <w:proofErr w:type="gramEnd"/>
      <w:r>
        <w:t xml:space="preserve"> que fue debidamente sustanciado e integrado el expediente electrónico y no existe diligencia pendiente de desahogo, se emite la resolución que conforme a Derecho proceda, </w:t>
      </w:r>
      <w:proofErr w:type="gramStart"/>
      <w:r>
        <w:t>de acuerdo a</w:t>
      </w:r>
      <w:proofErr w:type="gramEnd"/>
      <w:r>
        <w:t xml:space="preserve"> los siguientes: </w:t>
      </w:r>
    </w:p>
    <w:p w14:paraId="7BB3E30E" w14:textId="77777777" w:rsidR="00151A7F" w:rsidRDefault="00151A7F">
      <w:pPr>
        <w:spacing w:after="0" w:line="360" w:lineRule="auto"/>
      </w:pPr>
    </w:p>
    <w:p w14:paraId="3F1A9310" w14:textId="77777777" w:rsidR="00151A7F" w:rsidRDefault="00564AFD">
      <w:pPr>
        <w:pStyle w:val="Ttulo1"/>
        <w:spacing w:before="0" w:after="0"/>
      </w:pPr>
      <w:bookmarkStart w:id="5" w:name="_Toc207894242"/>
      <w:r>
        <w:t>C O N S I D E R A N D O S</w:t>
      </w:r>
      <w:bookmarkEnd w:id="5"/>
    </w:p>
    <w:p w14:paraId="7988AAD8" w14:textId="77777777" w:rsidR="00151A7F" w:rsidRDefault="00151A7F">
      <w:pPr>
        <w:spacing w:after="0" w:line="360" w:lineRule="auto"/>
        <w:rPr>
          <w:b/>
        </w:rPr>
      </w:pPr>
    </w:p>
    <w:p w14:paraId="0B0F1F1A" w14:textId="77777777" w:rsidR="00151A7F" w:rsidRDefault="00564AFD">
      <w:pPr>
        <w:pStyle w:val="Ttulo2"/>
        <w:spacing w:before="0" w:after="0"/>
      </w:pPr>
      <w:bookmarkStart w:id="6" w:name="_Toc207894243"/>
      <w:r>
        <w:t>PRIMERO. Competencia</w:t>
      </w:r>
      <w:bookmarkEnd w:id="6"/>
    </w:p>
    <w:p w14:paraId="5E28DB05" w14:textId="77777777" w:rsidR="00151A7F" w:rsidRDefault="00151A7F">
      <w:pPr>
        <w:spacing w:after="0" w:line="360" w:lineRule="auto"/>
        <w:rPr>
          <w:b/>
        </w:rPr>
      </w:pPr>
    </w:p>
    <w:p w14:paraId="60673FF5" w14:textId="77777777" w:rsidR="00151A7F" w:rsidRDefault="00564AFD">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40D7E7B" w14:textId="77777777" w:rsidR="00151A7F" w:rsidRDefault="00151A7F">
      <w:pPr>
        <w:spacing w:after="0" w:line="360" w:lineRule="auto"/>
      </w:pPr>
    </w:p>
    <w:p w14:paraId="44BA24C7" w14:textId="77777777" w:rsidR="00151A7F" w:rsidRDefault="00564AFD">
      <w:pPr>
        <w:pStyle w:val="Ttulo2"/>
        <w:spacing w:before="0" w:after="0"/>
      </w:pPr>
      <w:bookmarkStart w:id="7" w:name="_Toc207894244"/>
      <w:r>
        <w:t>SEGUNDO. Causales de improcedencia y sobreseimiento</w:t>
      </w:r>
      <w:bookmarkEnd w:id="7"/>
    </w:p>
    <w:p w14:paraId="3421B5F1" w14:textId="77777777" w:rsidR="00151A7F" w:rsidRDefault="00151A7F">
      <w:pPr>
        <w:spacing w:after="0" w:line="360" w:lineRule="auto"/>
      </w:pPr>
    </w:p>
    <w:p w14:paraId="0C4DBB9D" w14:textId="77777777" w:rsidR="00151A7F" w:rsidRDefault="00564AFD">
      <w:pPr>
        <w:spacing w:after="0" w:line="360" w:lineRule="auto"/>
      </w:pPr>
      <w:r>
        <w:t xml:space="preserve">De las constancias que forma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1D234071" w14:textId="77777777" w:rsidR="00151A7F" w:rsidRDefault="00151A7F">
      <w:pPr>
        <w:spacing w:after="0" w:line="360" w:lineRule="auto"/>
        <w:rPr>
          <w:b/>
        </w:rPr>
      </w:pPr>
    </w:p>
    <w:p w14:paraId="6C6BF0B0" w14:textId="77777777" w:rsidR="00151A7F" w:rsidRDefault="00564AFD">
      <w:pPr>
        <w:spacing w:after="0" w:line="360" w:lineRule="auto"/>
        <w:rPr>
          <w:b/>
        </w:rPr>
      </w:pPr>
      <w:r>
        <w:rPr>
          <w:b/>
        </w:rPr>
        <w:t>Causales de improcedencia</w:t>
      </w:r>
    </w:p>
    <w:p w14:paraId="03FD6E47" w14:textId="77777777" w:rsidR="00151A7F" w:rsidRDefault="00151A7F">
      <w:pPr>
        <w:spacing w:after="0" w:line="360" w:lineRule="auto"/>
      </w:pPr>
    </w:p>
    <w:p w14:paraId="2C7C4148" w14:textId="77777777" w:rsidR="00151A7F" w:rsidRDefault="00564AFD">
      <w:pPr>
        <w:spacing w:after="0" w:line="360" w:lineRule="auto"/>
      </w:pPr>
      <w: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E1366E" w14:textId="77777777" w:rsidR="00151A7F" w:rsidRDefault="00151A7F">
      <w:pPr>
        <w:spacing w:after="0" w:line="360" w:lineRule="auto"/>
      </w:pPr>
    </w:p>
    <w:p w14:paraId="1BF1FA8C" w14:textId="77777777" w:rsidR="00151A7F" w:rsidRDefault="00564AFD">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D258582" w14:textId="77777777" w:rsidR="00151A7F" w:rsidRDefault="00151A7F">
      <w:pPr>
        <w:spacing w:after="0" w:line="360" w:lineRule="auto"/>
        <w:rPr>
          <w:b/>
        </w:rPr>
      </w:pPr>
    </w:p>
    <w:p w14:paraId="137F8BFE" w14:textId="77777777" w:rsidR="00151A7F" w:rsidRDefault="00564AFD">
      <w:pPr>
        <w:spacing w:after="0" w:line="360" w:lineRule="auto"/>
        <w:rPr>
          <w:b/>
        </w:rPr>
      </w:pPr>
      <w:r>
        <w:t xml:space="preserve">Asimismo, se actualiza la causal de procedencia del Recurso de Revisión señalada en el artículo 179, fracciones IX, de la Ley en cita, pues la Recurrente se inconformó por la entrega de la información en un formato incomprensible y/o no accesible para el solicitante. </w:t>
      </w:r>
    </w:p>
    <w:p w14:paraId="1F2A58DB" w14:textId="77777777" w:rsidR="00151A7F" w:rsidRDefault="00151A7F">
      <w:pPr>
        <w:spacing w:after="0" w:line="360" w:lineRule="auto"/>
        <w:rPr>
          <w:b/>
        </w:rPr>
      </w:pPr>
    </w:p>
    <w:p w14:paraId="369F8B46" w14:textId="52C585FE" w:rsidR="00151A7F" w:rsidRDefault="001E2589">
      <w:pPr>
        <w:spacing w:after="0" w:line="360" w:lineRule="auto"/>
        <w:ind w:right="-28"/>
        <w:rPr>
          <w:b/>
          <w:color w:val="000000"/>
        </w:rPr>
      </w:pPr>
      <w:r>
        <w:rPr>
          <w:b/>
          <w:color w:val="000000"/>
        </w:rPr>
        <w:t>Causales de sobreseimiento</w:t>
      </w:r>
    </w:p>
    <w:p w14:paraId="21AEBB5F" w14:textId="77777777" w:rsidR="00151A7F" w:rsidRDefault="00151A7F">
      <w:pPr>
        <w:spacing w:after="0" w:line="360" w:lineRule="auto"/>
        <w:ind w:right="-28"/>
        <w:rPr>
          <w:b/>
          <w:color w:val="000000"/>
        </w:rPr>
      </w:pPr>
    </w:p>
    <w:p w14:paraId="4756F52B" w14:textId="77777777" w:rsidR="00151A7F" w:rsidRDefault="00564AFD">
      <w:pPr>
        <w:spacing w:after="0" w:line="360" w:lineRule="auto"/>
        <w:rPr>
          <w:color w:val="000000"/>
        </w:rPr>
      </w:pPr>
      <w:r>
        <w:rPr>
          <w:color w:val="000000"/>
        </w:rPr>
        <w:t>Por ser de previo y especial pronunciamiento, este Instituto analiza si se actualiza alguna causal de sobreseimiento.</w:t>
      </w:r>
    </w:p>
    <w:p w14:paraId="6E083B4D" w14:textId="77777777" w:rsidR="00151A7F" w:rsidRDefault="00151A7F">
      <w:pPr>
        <w:spacing w:after="0" w:line="360" w:lineRule="auto"/>
        <w:rPr>
          <w:color w:val="000000"/>
        </w:rPr>
      </w:pPr>
    </w:p>
    <w:p w14:paraId="4CD7DA27" w14:textId="77777777" w:rsidR="00151A7F" w:rsidRDefault="00564AFD">
      <w:pPr>
        <w:spacing w:after="0" w:line="360" w:lineRule="auto"/>
        <w:rPr>
          <w:color w:val="000000"/>
        </w:rPr>
      </w:pPr>
      <w:r>
        <w:rPr>
          <w:color w:val="0D0D0D"/>
        </w:rPr>
        <w:t>Sobre el tema, e</w:t>
      </w:r>
      <w:r>
        <w:rPr>
          <w:color w:val="000000"/>
        </w:rPr>
        <w:t xml:space="preserve">l artículo 192 de la Ley Transparencia y Acceso a la Información Pública del Estado de México y Municipios, señala las causales por las cuales se puede sobreseer en todo o </w:t>
      </w:r>
      <w:r>
        <w:rPr>
          <w:color w:val="000000"/>
        </w:rPr>
        <w:lastRenderedPageBreak/>
        <w:t>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FD8FAA3" w14:textId="77777777" w:rsidR="00151A7F" w:rsidRDefault="00151A7F">
      <w:pPr>
        <w:spacing w:after="0" w:line="360" w:lineRule="auto"/>
        <w:rPr>
          <w:color w:val="0D0D0D"/>
        </w:rPr>
      </w:pPr>
    </w:p>
    <w:p w14:paraId="12140B58" w14:textId="77777777" w:rsidR="00151A7F" w:rsidRDefault="00564AFD">
      <w:pPr>
        <w:spacing w:after="0" w:line="360" w:lineRule="auto"/>
        <w:rPr>
          <w:color w:val="0D0D0D"/>
        </w:rPr>
      </w:pPr>
      <w:r>
        <w:rPr>
          <w:color w:val="0D0D0D"/>
        </w:rPr>
        <w:t>Por tales motivos, se considera procedente entrar al fondo del presente asunto.</w:t>
      </w:r>
    </w:p>
    <w:p w14:paraId="2603F76D" w14:textId="77777777" w:rsidR="00151A7F" w:rsidRDefault="00151A7F">
      <w:pPr>
        <w:spacing w:after="0" w:line="360" w:lineRule="auto"/>
        <w:rPr>
          <w:color w:val="000000"/>
        </w:rPr>
      </w:pPr>
    </w:p>
    <w:p w14:paraId="0137DCE1" w14:textId="7843A8EA" w:rsidR="00151A7F" w:rsidRDefault="00564AFD">
      <w:pPr>
        <w:pStyle w:val="Ttulo2"/>
        <w:spacing w:before="0" w:after="0"/>
      </w:pPr>
      <w:bookmarkStart w:id="8" w:name="_Toc207894245"/>
      <w:r>
        <w:t>TERCERO. Determinación de la Controversia</w:t>
      </w:r>
      <w:bookmarkEnd w:id="8"/>
    </w:p>
    <w:p w14:paraId="572153C4" w14:textId="77777777" w:rsidR="00151A7F" w:rsidRDefault="00151A7F">
      <w:pPr>
        <w:spacing w:after="0" w:line="360" w:lineRule="auto"/>
        <w:rPr>
          <w:b/>
        </w:rPr>
      </w:pPr>
    </w:p>
    <w:p w14:paraId="3497709A" w14:textId="77777777" w:rsidR="00151A7F" w:rsidRDefault="00564AFD">
      <w:pPr>
        <w:widowControl w:val="0"/>
        <w:spacing w:after="0" w:line="360" w:lineRule="auto"/>
        <w:rPr>
          <w:color w:val="000000"/>
        </w:rPr>
      </w:pPr>
      <w:r>
        <w:t>Una vez realizado el estudio de las constancias que integran el expediente en que se actúa, se desprende que el Recurrente requirió</w:t>
      </w:r>
      <w:r>
        <w:rPr>
          <w:color w:val="000000"/>
        </w:rPr>
        <w:t xml:space="preserve"> el listado de sueldos autorizados para el dos mil veinticinco y el acta donde se aprobó. </w:t>
      </w:r>
    </w:p>
    <w:p w14:paraId="30C7A68D" w14:textId="77777777" w:rsidR="00151A7F" w:rsidRDefault="00151A7F">
      <w:pPr>
        <w:widowControl w:val="0"/>
        <w:spacing w:after="0" w:line="360" w:lineRule="auto"/>
        <w:rPr>
          <w:color w:val="000000"/>
        </w:rPr>
      </w:pPr>
    </w:p>
    <w:p w14:paraId="764D4A8F" w14:textId="77777777" w:rsidR="00151A7F" w:rsidRDefault="00564AFD">
      <w:pPr>
        <w:widowControl w:val="0"/>
        <w:spacing w:after="0" w:line="360" w:lineRule="auto"/>
      </w:pPr>
      <w:r>
        <w:rPr>
          <w:color w:val="000000"/>
        </w:rPr>
        <w:t xml:space="preserve">En respuesta, </w:t>
      </w:r>
      <w:r>
        <w:t xml:space="preserve">el </w:t>
      </w:r>
      <w:proofErr w:type="gramStart"/>
      <w:r>
        <w:t>Director</w:t>
      </w:r>
      <w:proofErr w:type="gramEnd"/>
      <w:r>
        <w:t xml:space="preserve"> de Administración y Finanzas remitió el Tabulador de Sueldos 2025 y la Gaceta Municipal donde se llevó publicó.</w:t>
      </w:r>
    </w:p>
    <w:p w14:paraId="0E3239E7" w14:textId="77777777" w:rsidR="00151A7F" w:rsidRDefault="00151A7F">
      <w:pPr>
        <w:widowControl w:val="0"/>
        <w:spacing w:after="0" w:line="360" w:lineRule="auto"/>
      </w:pPr>
    </w:p>
    <w:p w14:paraId="37E40066" w14:textId="77777777" w:rsidR="00151A7F" w:rsidRDefault="00564AFD">
      <w:pPr>
        <w:widowControl w:val="0"/>
        <w:spacing w:after="0" w:line="360" w:lineRule="auto"/>
        <w:rPr>
          <w:color w:val="000000"/>
        </w:rPr>
      </w:pPr>
      <w:r>
        <w:t>Ante dicha circunstancia, el Particular se inconformó arguyendo la entrega de información ilegible</w:t>
      </w:r>
      <w:r>
        <w:rPr>
          <w:color w:val="000000"/>
        </w:rPr>
        <w:t xml:space="preserve">. Durante la sustanciación del Recurso de Revisión, las partes fueron omisas en emitir alguna manifestación o alegato, lo cual actualiza el supuesto de procedencia establecido en el artículo 179, fracción IX, de la </w:t>
      </w:r>
      <w:r>
        <w:t>Ley de Transparencia y Acceso a la Información Pública del Estado de México y Municipios</w:t>
      </w:r>
      <w:r>
        <w:rPr>
          <w:color w:val="000000"/>
        </w:rPr>
        <w:t xml:space="preserve">. </w:t>
      </w:r>
    </w:p>
    <w:p w14:paraId="40F02CB6" w14:textId="77777777" w:rsidR="00151A7F" w:rsidRDefault="00151A7F">
      <w:pPr>
        <w:spacing w:after="0" w:line="360" w:lineRule="auto"/>
        <w:rPr>
          <w:color w:val="000000"/>
        </w:rPr>
      </w:pPr>
    </w:p>
    <w:p w14:paraId="58F00BEC" w14:textId="77777777" w:rsidR="00151A7F" w:rsidRDefault="00564AFD">
      <w:pPr>
        <w:spacing w:after="0" w:line="360" w:lineRule="auto"/>
        <w:rPr>
          <w:color w:val="000000"/>
        </w:rPr>
      </w:pPr>
      <w:r>
        <w:rPr>
          <w:color w:val="000000"/>
        </w:rPr>
        <w:t xml:space="preserve">Conforme a lo analizado, se puede advertir que la ahora Recurrente se inconformó únicamente por el documento que le fue entregado de forma ilegible correspondiente al Tabulador de Sueldos 2025 y, no por el acta donde se aprobó, por lo que, se puede advertir que </w:t>
      </w:r>
      <w:r>
        <w:t>tuvo</w:t>
      </w:r>
      <w:r>
        <w:rPr>
          <w:color w:val="000000"/>
        </w:rPr>
        <w:t xml:space="preserve"> por satisfecho el requerimiento relativo al acta, al no señalar inconformidad respecto a lo </w:t>
      </w:r>
      <w:r>
        <w:rPr>
          <w:color w:val="000000"/>
        </w:rPr>
        <w:lastRenderedPageBreak/>
        <w:t>proporcionado por el Ente Recurrido para este; por lo que, no se hará pronunciamiento alguno de conformidad con el artículo 195 de la Ley de Transparencia y Acceso a la Información Pública</w:t>
      </w:r>
      <w:r>
        <w:t xml:space="preserve"> </w:t>
      </w:r>
      <w:r>
        <w:rPr>
          <w:color w:val="000000"/>
        </w:rPr>
        <w:t xml:space="preserve">del Estado de México y Municipios, con relación con el diverso 195, fracción IV, </w:t>
      </w:r>
      <w:r>
        <w:t>del Código</w:t>
      </w:r>
      <w:r>
        <w:rPr>
          <w:color w:val="000000"/>
        </w:rPr>
        <w:t xml:space="preserve"> de</w:t>
      </w:r>
      <w:r>
        <w:t xml:space="preserve"> </w:t>
      </w:r>
      <w:r>
        <w:rPr>
          <w:color w:val="000000"/>
        </w:rPr>
        <w:t xml:space="preserve">Procedimientos Administrativos del Estado de México, que establece que será improcedente el recurso contra los actos que se hayan consentido tácitamente, entendiéndose por </w:t>
      </w:r>
      <w:r>
        <w:t>éstos</w:t>
      </w:r>
      <w:r>
        <w:rPr>
          <w:color w:val="000000"/>
        </w:rPr>
        <w:t xml:space="preserve"> cuando el agravio no se haya promovido en el plazo señalado para el efecto.</w:t>
      </w:r>
    </w:p>
    <w:p w14:paraId="0C06335B" w14:textId="77777777" w:rsidR="00151A7F" w:rsidRDefault="00151A7F">
      <w:pPr>
        <w:spacing w:after="0" w:line="360" w:lineRule="auto"/>
        <w:rPr>
          <w:color w:val="000000"/>
        </w:rPr>
      </w:pPr>
    </w:p>
    <w:p w14:paraId="64ECDCA2" w14:textId="77777777" w:rsidR="00151A7F" w:rsidRDefault="00564AFD">
      <w:pPr>
        <w:spacing w:after="0" w:line="360" w:lineRule="auto"/>
        <w:rPr>
          <w:color w:val="000000"/>
        </w:rPr>
      </w:pPr>
      <w:r>
        <w:rPr>
          <w:color w:val="000000"/>
        </w:rPr>
        <w:t>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DD923FE" w14:textId="77777777" w:rsidR="00151A7F" w:rsidRDefault="00151A7F">
      <w:pPr>
        <w:spacing w:after="0" w:line="360" w:lineRule="auto"/>
        <w:rPr>
          <w:color w:val="000000"/>
        </w:rPr>
      </w:pPr>
    </w:p>
    <w:p w14:paraId="3E46ABC1" w14:textId="77777777" w:rsidR="00151A7F" w:rsidRDefault="00564AFD">
      <w:pPr>
        <w:spacing w:after="0" w:line="360" w:lineRule="auto"/>
        <w:rPr>
          <w:color w:val="000000"/>
        </w:rPr>
      </w:pPr>
      <w:r>
        <w:rPr>
          <w:color w:val="000000"/>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3837D4EB" w14:textId="77777777" w:rsidR="00151A7F" w:rsidRDefault="00151A7F">
      <w:pPr>
        <w:spacing w:after="0" w:line="360" w:lineRule="auto"/>
        <w:rPr>
          <w:color w:val="000000"/>
        </w:rPr>
      </w:pPr>
    </w:p>
    <w:p w14:paraId="50F011FD" w14:textId="3A74E255" w:rsidR="00151A7F" w:rsidRDefault="00564AFD">
      <w:pPr>
        <w:spacing w:after="0" w:line="360" w:lineRule="auto"/>
        <w:rPr>
          <w:color w:val="000000"/>
        </w:rPr>
      </w:pPr>
      <w:r>
        <w:rPr>
          <w:color w:val="000000"/>
        </w:rPr>
        <w:t>Asimismo, resulta relevante traer a colación el Criterio</w:t>
      </w:r>
      <w:r w:rsidR="00A56E09">
        <w:rPr>
          <w:color w:val="000000"/>
        </w:rPr>
        <w:t xml:space="preserve"> Orientado, con clave de control SO/0</w:t>
      </w:r>
      <w:r>
        <w:rPr>
          <w:color w:val="000000"/>
        </w:rPr>
        <w:t>01/</w:t>
      </w:r>
      <w:r w:rsidR="00A56E09">
        <w:rPr>
          <w:color w:val="000000"/>
        </w:rPr>
        <w:t>20</w:t>
      </w:r>
      <w:r>
        <w:rPr>
          <w:color w:val="000000"/>
        </w:rPr>
        <w:t xml:space="preserve">20, emitido por el </w:t>
      </w:r>
      <w:r w:rsidR="00A56E09">
        <w:rPr>
          <w:color w:val="000000"/>
        </w:rPr>
        <w:t xml:space="preserve">entonces </w:t>
      </w:r>
      <w:r>
        <w:rPr>
          <w:color w:val="000000"/>
        </w:rPr>
        <w:t>Instituto Nacional de Transparencia, Acceso a la Información y Protección de Datos Personales, que establece lo siguiente:</w:t>
      </w:r>
    </w:p>
    <w:p w14:paraId="13D6715F" w14:textId="77777777" w:rsidR="00E9425A" w:rsidRDefault="00E9425A">
      <w:pPr>
        <w:spacing w:after="0" w:line="360" w:lineRule="auto"/>
        <w:rPr>
          <w:color w:val="000000"/>
        </w:rPr>
      </w:pPr>
    </w:p>
    <w:p w14:paraId="24EEEFDA" w14:textId="77777777" w:rsidR="00151A7F" w:rsidRPr="00E9425A" w:rsidRDefault="00564AFD" w:rsidP="00E9425A">
      <w:pPr>
        <w:spacing w:after="0" w:line="360" w:lineRule="auto"/>
        <w:ind w:left="567" w:right="709"/>
        <w:rPr>
          <w:i/>
          <w:color w:val="000000"/>
          <w:sz w:val="20"/>
          <w:szCs w:val="20"/>
        </w:rPr>
      </w:pPr>
      <w:r w:rsidRPr="00E9425A">
        <w:rPr>
          <w:i/>
          <w:color w:val="000000"/>
          <w:sz w:val="20"/>
          <w:szCs w:val="20"/>
        </w:rPr>
        <w:t>“</w:t>
      </w:r>
      <w:r w:rsidRPr="00E9425A">
        <w:rPr>
          <w:b/>
          <w:i/>
          <w:color w:val="000000"/>
          <w:sz w:val="20"/>
          <w:szCs w:val="20"/>
        </w:rPr>
        <w:t>Actos consentidos tácitamente. Improcedencia de su análisis.</w:t>
      </w:r>
      <w:r w:rsidRPr="00E9425A">
        <w:rPr>
          <w:i/>
          <w:color w:val="000000"/>
          <w:sz w:val="20"/>
          <w:szCs w:val="2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2BCE2F8" w14:textId="5FC1E14E" w:rsidR="00151A7F" w:rsidRDefault="00564AFD">
      <w:pPr>
        <w:spacing w:after="0" w:line="360" w:lineRule="auto"/>
        <w:rPr>
          <w:color w:val="000000"/>
        </w:rPr>
      </w:pPr>
      <w:r>
        <w:rPr>
          <w:color w:val="000000"/>
        </w:rPr>
        <w:lastRenderedPageBreak/>
        <w:t>Conforme al Criterio establecido, es improcedente entrar al análisis de las partes de la respuesta del Sujeto Obligado que no fueron impugnadas por el Recurrente; por lo que, en el presente caso, se tienen por consentido, la información proporcionada por el Ente Recurrido, para atender lo relativo al acta donde se aprobó el Tabulador de Sueldos 2025. Así, en el presente caso, la inconformidad del Recurrente únicamente radica con la entrega de información ilegible</w:t>
      </w:r>
      <w:r w:rsidR="00E9425A">
        <w:rPr>
          <w:color w:val="000000"/>
        </w:rPr>
        <w:t>.</w:t>
      </w:r>
    </w:p>
    <w:p w14:paraId="735BFDA3" w14:textId="77777777" w:rsidR="00151A7F" w:rsidRDefault="00151A7F">
      <w:pPr>
        <w:spacing w:after="0" w:line="360" w:lineRule="auto"/>
        <w:rPr>
          <w:color w:val="000000"/>
        </w:rPr>
      </w:pPr>
    </w:p>
    <w:p w14:paraId="2B1E4EBD" w14:textId="77777777" w:rsidR="00151A7F" w:rsidRDefault="00564AFD">
      <w:pPr>
        <w:spacing w:after="0" w:line="360" w:lineRule="auto"/>
      </w:pPr>
      <w:r>
        <w:t xml:space="preserve">Lo anterior, se desprende de las documentales que obran en los expedientes de referencia, materia de la presente resolución, consistente en: la solicitud de acceso a la información; la respuesta del Sujeto Obligado;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44BF75E9" w14:textId="77777777" w:rsidR="00151A7F" w:rsidRDefault="00151A7F">
      <w:pPr>
        <w:spacing w:after="0" w:line="360" w:lineRule="auto"/>
      </w:pPr>
    </w:p>
    <w:p w14:paraId="001B4FE7" w14:textId="77777777" w:rsidR="00151A7F" w:rsidRDefault="00564AFD">
      <w:pPr>
        <w:pStyle w:val="Ttulo2"/>
        <w:spacing w:before="0" w:after="0"/>
      </w:pPr>
      <w:bookmarkStart w:id="9" w:name="_Toc207894246"/>
      <w:r>
        <w:t>CUARTO. Marco normativo aplicable en materia de transparencia y acceso a la información pública</w:t>
      </w:r>
      <w:bookmarkEnd w:id="9"/>
    </w:p>
    <w:p w14:paraId="32D505BE" w14:textId="77777777" w:rsidR="00151A7F" w:rsidRDefault="00151A7F">
      <w:pPr>
        <w:spacing w:after="0" w:line="360" w:lineRule="auto"/>
        <w:rPr>
          <w:color w:val="000000"/>
        </w:rPr>
      </w:pPr>
    </w:p>
    <w:p w14:paraId="314A260A" w14:textId="77777777" w:rsidR="00151A7F" w:rsidRDefault="00564AFD">
      <w:pPr>
        <w:spacing w:after="0" w:line="360" w:lineRule="auto"/>
      </w:pPr>
      <w:r>
        <w:t xml:space="preserve">El artículo 6°, Apartado A), fracción I, de la Constitución Política de los Estados Unidos Mexicanos, establece que toda la información en posesión de cualquier </w:t>
      </w:r>
      <w:proofErr w:type="gramStart"/>
      <w:r>
        <w:t>autoridad,</w:t>
      </w:r>
      <w:proofErr w:type="gramEnd"/>
      <w:r>
        <w:t xml:space="preserve"> es pública y sólo podrá ser reservada temporalmente por razones de interés público.</w:t>
      </w:r>
    </w:p>
    <w:p w14:paraId="04A21199" w14:textId="77777777" w:rsidR="00151A7F" w:rsidRDefault="00151A7F">
      <w:pPr>
        <w:spacing w:after="0" w:line="360" w:lineRule="auto"/>
      </w:pPr>
    </w:p>
    <w:p w14:paraId="5889C464" w14:textId="77777777" w:rsidR="00151A7F" w:rsidRDefault="00564AFD">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CD2F37" w14:textId="77777777" w:rsidR="00A56E09" w:rsidRDefault="00A56E09">
      <w:pPr>
        <w:spacing w:after="0" w:line="360" w:lineRule="auto"/>
      </w:pPr>
    </w:p>
    <w:p w14:paraId="384017CE" w14:textId="77777777" w:rsidR="00151A7F" w:rsidRDefault="00564AFD">
      <w:pPr>
        <w:spacing w:after="0" w:line="360" w:lineRule="auto"/>
      </w:pPr>
      <w:r>
        <w:lastRenderedPageBreak/>
        <w:t>Por su parte, la Ley de Transparencia y Acceso a la Información Pública del Estado de México y Municipios (Reglamentaria del artículo 5° de la Constitución Local), establece lo siguiente:</w:t>
      </w:r>
    </w:p>
    <w:p w14:paraId="0DDE0DC2" w14:textId="77777777" w:rsidR="00151A7F" w:rsidRDefault="00151A7F">
      <w:pPr>
        <w:spacing w:after="0" w:line="360" w:lineRule="auto"/>
      </w:pPr>
    </w:p>
    <w:p w14:paraId="1AC28FBD" w14:textId="77777777" w:rsidR="00151A7F" w:rsidRDefault="00564AFD">
      <w:pPr>
        <w:spacing w:after="0" w:line="360" w:lineRule="auto"/>
      </w:pPr>
      <w:r>
        <w:t>El artículo 12 dice que, quienes generen, recopilen, administren, manejen, procesen, archiven o conserven información pública serán responsables de la misma.</w:t>
      </w:r>
    </w:p>
    <w:p w14:paraId="35110B58" w14:textId="77777777" w:rsidR="00151A7F" w:rsidRDefault="00151A7F">
      <w:pPr>
        <w:spacing w:after="0" w:line="360" w:lineRule="auto"/>
      </w:pPr>
    </w:p>
    <w:p w14:paraId="69ED05F5" w14:textId="77777777" w:rsidR="00151A7F" w:rsidRDefault="00564AFD">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450A83C9" w14:textId="77777777" w:rsidR="00151A7F" w:rsidRDefault="00151A7F">
      <w:pPr>
        <w:spacing w:after="0" w:line="360" w:lineRule="auto"/>
      </w:pPr>
    </w:p>
    <w:p w14:paraId="3F6E928E" w14:textId="77777777" w:rsidR="00151A7F" w:rsidRDefault="00564AFD">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F937F1" w14:textId="77777777" w:rsidR="00151A7F" w:rsidRDefault="00151A7F">
      <w:pPr>
        <w:spacing w:after="0" w:line="360" w:lineRule="auto"/>
      </w:pPr>
    </w:p>
    <w:p w14:paraId="66E3D0AC" w14:textId="77777777" w:rsidR="00151A7F" w:rsidRDefault="00564AFD">
      <w:pPr>
        <w:pStyle w:val="Ttulo2"/>
        <w:spacing w:before="0" w:after="0"/>
      </w:pPr>
      <w:bookmarkStart w:id="10" w:name="_Toc207894247"/>
      <w:r>
        <w:rPr>
          <w:smallCaps/>
        </w:rPr>
        <w:t>QUINTO.</w:t>
      </w:r>
      <w:r>
        <w:t xml:space="preserve"> Estudio de Fondo</w:t>
      </w:r>
      <w:bookmarkEnd w:id="10"/>
    </w:p>
    <w:p w14:paraId="4CC93232" w14:textId="77777777" w:rsidR="00151A7F" w:rsidRDefault="00151A7F">
      <w:pPr>
        <w:spacing w:after="0"/>
      </w:pPr>
    </w:p>
    <w:p w14:paraId="5D978E97" w14:textId="77777777" w:rsidR="00151A7F" w:rsidRDefault="00564AFD">
      <w:pPr>
        <w:widowControl w:val="0"/>
        <w:spacing w:after="0" w:line="360" w:lineRule="auto"/>
        <w:rPr>
          <w:color w:val="000000"/>
        </w:rPr>
      </w:pPr>
      <w:r>
        <w:rPr>
          <w:color w:val="000000"/>
        </w:rPr>
        <w:t xml:space="preserve">Expuestas las posturas de las partes, se procede a realizar el análisis del agravio hecho valer por el ahora Recurrente, referente a la ilegibilidad del documento proporcionado en respuesta, para lo cual resulta necesario contextualizar la solicitud de información relacionada con el Tabulador de Sueldos 2025. </w:t>
      </w:r>
    </w:p>
    <w:p w14:paraId="1A461C50" w14:textId="77777777" w:rsidR="00151A7F" w:rsidRDefault="00151A7F">
      <w:pPr>
        <w:widowControl w:val="0"/>
        <w:spacing w:after="0" w:line="360" w:lineRule="auto"/>
        <w:rPr>
          <w:color w:val="000000"/>
        </w:rPr>
      </w:pPr>
    </w:p>
    <w:p w14:paraId="0EB8DA4B" w14:textId="77777777" w:rsidR="00151A7F" w:rsidRDefault="00564AFD">
      <w:pPr>
        <w:widowControl w:val="0"/>
        <w:spacing w:after="0" w:line="360" w:lineRule="auto"/>
        <w:rPr>
          <w:color w:val="000000"/>
        </w:rPr>
      </w:pPr>
      <w:r>
        <w:rPr>
          <w:color w:val="000000"/>
        </w:rPr>
        <w:t xml:space="preserve">Sobre el tema, el artículo 47 de la Ley de Fiscalización Superior del Estado de México establece que, los presidentes municipales y los síndicos estarán obligados a informar al Órgano Superior, a más tardar el veinticinco de febrero de cada año, el Presupuesto de Egresos Municipal que haya aprobado el Ayuntamiento correspondiente. </w:t>
      </w:r>
    </w:p>
    <w:p w14:paraId="649B2FAF" w14:textId="77777777" w:rsidR="00151A7F" w:rsidRDefault="00151A7F">
      <w:pPr>
        <w:widowControl w:val="0"/>
        <w:spacing w:after="0" w:line="360" w:lineRule="auto"/>
        <w:rPr>
          <w:color w:val="000000"/>
        </w:rPr>
      </w:pPr>
    </w:p>
    <w:p w14:paraId="4B26401F" w14:textId="77777777" w:rsidR="00E9425A" w:rsidRDefault="00E9425A">
      <w:pPr>
        <w:widowControl w:val="0"/>
        <w:spacing w:after="0" w:line="360" w:lineRule="auto"/>
        <w:rPr>
          <w:color w:val="000000"/>
        </w:rPr>
      </w:pPr>
    </w:p>
    <w:p w14:paraId="30812E82" w14:textId="77777777" w:rsidR="00151A7F" w:rsidRDefault="00564AFD">
      <w:pPr>
        <w:widowControl w:val="0"/>
        <w:spacing w:after="0" w:line="360" w:lineRule="auto"/>
        <w:rPr>
          <w:color w:val="000000"/>
        </w:rPr>
      </w:pPr>
      <w:r>
        <w:rPr>
          <w:color w:val="000000"/>
        </w:rPr>
        <w:lastRenderedPageBreak/>
        <w:t xml:space="preserve">Asimismo, el artículo 351, segundo párrafo del Código Financiero del Estado de México y Municipios establece que, los ayuntamientos al aprobar en forma definitiva su presupuesto de egresos deberán publicar en la Gaceta Municipal, todas y cada una de las partidas que lo integran, las remuneraciones de todo tipo aprobadas para los miembros del Ayuntamiento y para los servidores públicos en general, incluyendo mando medios y superiores de la administración municipal a más tardar el veinticinco de febrero del año para lo cual habrá de aplicar dicho presupuesto. </w:t>
      </w:r>
    </w:p>
    <w:p w14:paraId="66E1F436" w14:textId="77777777" w:rsidR="00151A7F" w:rsidRDefault="00151A7F">
      <w:pPr>
        <w:widowControl w:val="0"/>
        <w:spacing w:after="0" w:line="360" w:lineRule="auto"/>
        <w:rPr>
          <w:color w:val="000000"/>
        </w:rPr>
      </w:pPr>
    </w:p>
    <w:p w14:paraId="0562A44C" w14:textId="77777777" w:rsidR="00151A7F" w:rsidRDefault="00564AFD">
      <w:pPr>
        <w:widowControl w:val="0"/>
        <w:spacing w:after="0" w:line="360" w:lineRule="auto"/>
        <w:rPr>
          <w:color w:val="000000"/>
        </w:rPr>
      </w:pPr>
      <w:r>
        <w:rPr>
          <w:color w:val="000000"/>
        </w:rPr>
        <w:t>De lo anterior, se advierte que el presupuesto de egresos será aprobado por los ayuntamientos con base en los ingresos disponibles y corresponde al titular del ente público promulgar y publicar el presupuesto de egresos municipal a más tardar el veinticinco de febrero de cada año debiendo enviar el mismo, al Órgano Superior de Fiscalización, el cual debe ser publicado en la Gaceta Municipal.</w:t>
      </w:r>
    </w:p>
    <w:p w14:paraId="3445A192" w14:textId="77777777" w:rsidR="00151A7F" w:rsidRDefault="00151A7F">
      <w:pPr>
        <w:widowControl w:val="0"/>
        <w:spacing w:after="0" w:line="360" w:lineRule="auto"/>
        <w:rPr>
          <w:color w:val="000000"/>
        </w:rPr>
      </w:pPr>
    </w:p>
    <w:p w14:paraId="6E542D16" w14:textId="77777777" w:rsidR="00151A7F" w:rsidRDefault="00564AFD">
      <w:pPr>
        <w:widowControl w:val="0"/>
        <w:spacing w:after="0" w:line="360" w:lineRule="auto"/>
        <w:rPr>
          <w:color w:val="000000"/>
        </w:rPr>
      </w:pPr>
      <w:r>
        <w:rPr>
          <w:color w:val="000000"/>
        </w:rPr>
        <w:t>Ahora bien, el Manual para la Planeación, Programación y Presupuesto de Egresos Municipal para el presente Ejercicio Fiscal, establece como información vinculada al presupuesto de egresos, el Tabulador de Sueldos PbRM-05, el cual es un documento que establece los rangos salariales para cada puesto existente dentro de los entes públicos y, que se conforma con la siguiente información:</w:t>
      </w:r>
    </w:p>
    <w:p w14:paraId="1B81F09C" w14:textId="77777777" w:rsidR="00E9425A" w:rsidRDefault="00E9425A">
      <w:pPr>
        <w:widowControl w:val="0"/>
        <w:spacing w:after="0" w:line="360" w:lineRule="auto"/>
        <w:rPr>
          <w:color w:val="000000"/>
        </w:rPr>
      </w:pPr>
    </w:p>
    <w:p w14:paraId="2E529709" w14:textId="77777777" w:rsidR="00151A7F" w:rsidRDefault="00564AFD">
      <w:pPr>
        <w:widowControl w:val="0"/>
        <w:spacing w:after="0" w:line="360" w:lineRule="auto"/>
        <w:rPr>
          <w:color w:val="000000"/>
        </w:rPr>
      </w:pPr>
      <w:r>
        <w:rPr>
          <w:noProof/>
          <w:color w:val="000000"/>
        </w:rPr>
        <w:drawing>
          <wp:inline distT="0" distB="0" distL="0" distR="0" wp14:anchorId="1125786B" wp14:editId="13F86397">
            <wp:extent cx="1884385" cy="5859061"/>
            <wp:effectExtent l="0" t="6032" r="2222" b="2223"/>
            <wp:docPr id="14618771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8"/>
                    <a:srcRect r="58901"/>
                    <a:stretch/>
                  </pic:blipFill>
                  <pic:spPr bwMode="auto">
                    <a:xfrm rot="5400000">
                      <a:off x="0" y="0"/>
                      <a:ext cx="1885735" cy="5863257"/>
                    </a:xfrm>
                    <a:prstGeom prst="rect">
                      <a:avLst/>
                    </a:prstGeom>
                    <a:ln>
                      <a:noFill/>
                    </a:ln>
                    <a:extLst>
                      <a:ext uri="{53640926-AAD7-44D8-BBD7-CCE9431645EC}">
                        <a14:shadowObscured xmlns:a14="http://schemas.microsoft.com/office/drawing/2010/main"/>
                      </a:ext>
                    </a:extLst>
                  </pic:spPr>
                </pic:pic>
              </a:graphicData>
            </a:graphic>
          </wp:inline>
        </w:drawing>
      </w:r>
    </w:p>
    <w:p w14:paraId="3178F96E" w14:textId="77777777" w:rsidR="00151A7F" w:rsidRDefault="00564AFD">
      <w:pPr>
        <w:widowControl w:val="0"/>
        <w:spacing w:after="0" w:line="360" w:lineRule="auto"/>
        <w:rPr>
          <w:color w:val="000000"/>
        </w:rPr>
      </w:pPr>
      <w:r>
        <w:rPr>
          <w:color w:val="000000"/>
        </w:rPr>
        <w:lastRenderedPageBreak/>
        <w:t xml:space="preserve">Por lo que, en el presente caso, se considera que el Tabulador de Sueldos es el documento que da cuenta de la pretensión del Particular. </w:t>
      </w:r>
    </w:p>
    <w:p w14:paraId="0905BD8B" w14:textId="77777777" w:rsidR="00151A7F" w:rsidRDefault="00151A7F">
      <w:pPr>
        <w:widowControl w:val="0"/>
        <w:spacing w:after="0" w:line="360" w:lineRule="auto"/>
        <w:rPr>
          <w:color w:val="000000"/>
        </w:rPr>
      </w:pPr>
    </w:p>
    <w:p w14:paraId="3C452309" w14:textId="77777777" w:rsidR="00151A7F" w:rsidRDefault="00564AFD">
      <w:pPr>
        <w:widowControl w:val="0"/>
        <w:spacing w:after="0" w:line="360" w:lineRule="auto"/>
        <w:rPr>
          <w:color w:val="000000"/>
        </w:rPr>
      </w:pPr>
      <w:r>
        <w:rPr>
          <w:color w:val="000000"/>
        </w:rPr>
        <w:t xml:space="preserve">Ahora bien, en lo que respecta al Sujeto Obligado, el Manual de Organización de la Dirección de Administración y Finanzas tiene como objetivo el obtener, administrar y erogar responsablemente los recursos públicos con base a la disciplina presupuestaria, así como, planear y coordinar la ejecución de las acciones que permitan la recaudación y control de los ingresos. </w:t>
      </w:r>
    </w:p>
    <w:p w14:paraId="435DEA2F" w14:textId="77777777" w:rsidR="00151A7F" w:rsidRDefault="00151A7F">
      <w:pPr>
        <w:widowControl w:val="0"/>
        <w:spacing w:after="0" w:line="360" w:lineRule="auto"/>
        <w:rPr>
          <w:color w:val="000000"/>
        </w:rPr>
      </w:pPr>
    </w:p>
    <w:p w14:paraId="04EDE5B8" w14:textId="77777777" w:rsidR="00151A7F" w:rsidRDefault="00564AFD">
      <w:pPr>
        <w:widowControl w:val="0"/>
        <w:spacing w:after="0" w:line="360" w:lineRule="auto"/>
        <w:rPr>
          <w:color w:val="000000"/>
        </w:rPr>
      </w:pPr>
      <w:r>
        <w:rPr>
          <w:color w:val="000000"/>
        </w:rPr>
        <w:t>En ese sentido, dentro de las atribuciones de la Dirección de Administración y Finanzas, se encuentra la de integrar la póliza de egresos, de tal manera que, se advierte que el Sujeto Obligado</w:t>
      </w:r>
      <w:r>
        <w:rPr>
          <w:color w:val="0D0D0D"/>
        </w:rPr>
        <w:t>, turnó la solicitud de información a la unidad administrativa competente</w:t>
      </w:r>
      <w:r>
        <w:rPr>
          <w:color w:val="000000"/>
        </w:rPr>
        <w:t xml:space="preserve">; </w:t>
      </w:r>
      <w:r>
        <w:t>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59272C0" w14:textId="77777777" w:rsidR="00151A7F" w:rsidRDefault="00151A7F">
      <w:pPr>
        <w:spacing w:after="0" w:line="360" w:lineRule="auto"/>
        <w:ind w:left="720"/>
      </w:pPr>
    </w:p>
    <w:p w14:paraId="4E48FE59" w14:textId="77777777" w:rsidR="00151A7F" w:rsidRDefault="00564AFD">
      <w:pPr>
        <w:widowControl w:val="0"/>
        <w:spacing w:after="0" w:line="360" w:lineRule="auto"/>
        <w:rPr>
          <w:color w:val="000000"/>
        </w:rPr>
      </w:pPr>
      <w:r>
        <w:rPr>
          <w:color w:val="000000"/>
        </w:rPr>
        <w:t xml:space="preserve">Así, de lo plasmado en párrafos anteriores, </w:t>
      </w:r>
      <w:r>
        <w:t xml:space="preserve">se logra colegir que el Sujeto Obligado cumplió con el procedimiento de búsqueda </w:t>
      </w:r>
      <w:r>
        <w:rPr>
          <w:color w:val="000000"/>
        </w:rPr>
        <w:t>establecido en el artículo 162 de la Ley de Transparencia y Acceso a la Información Pública del Estado de México y Municipios, toda vez, que gestionó el requerimiento de información a las áreas competentes para conocer de lo peticionado.</w:t>
      </w:r>
    </w:p>
    <w:p w14:paraId="61528AED" w14:textId="77777777" w:rsidR="00151A7F" w:rsidRDefault="00151A7F">
      <w:pPr>
        <w:widowControl w:val="0"/>
        <w:spacing w:after="0" w:line="360" w:lineRule="auto"/>
        <w:rPr>
          <w:color w:val="000000"/>
        </w:rPr>
      </w:pPr>
    </w:p>
    <w:p w14:paraId="36A883D5" w14:textId="77777777" w:rsidR="00151A7F" w:rsidRDefault="00564AFD">
      <w:pPr>
        <w:widowControl w:val="0"/>
        <w:spacing w:after="0" w:line="360" w:lineRule="auto"/>
        <w:rPr>
          <w:color w:val="000000"/>
        </w:rPr>
      </w:pPr>
      <w:r>
        <w:rPr>
          <w:color w:val="000000"/>
        </w:rPr>
        <w:t xml:space="preserve">Señalado lo anterior, en </w:t>
      </w:r>
      <w:r>
        <w:t>cuanto</w:t>
      </w:r>
      <w:r>
        <w:rPr>
          <w:color w:val="000000"/>
        </w:rPr>
        <w:t xml:space="preserve"> hace a los agravios hechos valer por el particular, relativos a la entrega de información en un formato ilegible, específicamente respecto del Tabulador de </w:t>
      </w:r>
      <w:r>
        <w:rPr>
          <w:color w:val="000000"/>
        </w:rPr>
        <w:lastRenderedPageBreak/>
        <w:t>Sueldos, es de señalar que, del análisis realizado al documento proporcionado en respuesta, se advierte que, en efecto, este documento no puede ser completamente visualizado por el Particular debido a que, existen partes que resultan incomprensibles, tal como se logra observar a continuación:</w:t>
      </w:r>
    </w:p>
    <w:p w14:paraId="79D66522" w14:textId="77777777" w:rsidR="00151A7F" w:rsidRDefault="00151A7F">
      <w:pPr>
        <w:widowControl w:val="0"/>
        <w:spacing w:after="0" w:line="360" w:lineRule="auto"/>
        <w:rPr>
          <w:color w:val="000000"/>
        </w:rPr>
      </w:pPr>
    </w:p>
    <w:p w14:paraId="30F2B2A1" w14:textId="77777777" w:rsidR="00151A7F" w:rsidRDefault="00564AFD">
      <w:pPr>
        <w:widowControl w:val="0"/>
        <w:spacing w:after="0" w:line="360" w:lineRule="auto"/>
        <w:rPr>
          <w:color w:val="000000"/>
        </w:rPr>
      </w:pPr>
      <w:r>
        <w:rPr>
          <w:noProof/>
          <w:color w:val="000000"/>
        </w:rPr>
        <w:drawing>
          <wp:inline distT="0" distB="0" distL="0" distR="0" wp14:anchorId="625E5604" wp14:editId="5816CD2A">
            <wp:extent cx="5922129" cy="680211"/>
            <wp:effectExtent l="0" t="0" r="0" b="0"/>
            <wp:docPr id="1461877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22129" cy="680211"/>
                    </a:xfrm>
                    <a:prstGeom prst="rect">
                      <a:avLst/>
                    </a:prstGeom>
                    <a:ln/>
                  </pic:spPr>
                </pic:pic>
              </a:graphicData>
            </a:graphic>
          </wp:inline>
        </w:drawing>
      </w:r>
    </w:p>
    <w:p w14:paraId="69BB85E7" w14:textId="77777777" w:rsidR="00151A7F" w:rsidRDefault="00564AFD">
      <w:pPr>
        <w:widowControl w:val="0"/>
        <w:spacing w:after="0" w:line="360" w:lineRule="auto"/>
        <w:jc w:val="center"/>
        <w:rPr>
          <w:color w:val="000000"/>
        </w:rPr>
      </w:pPr>
      <w:r>
        <w:rPr>
          <w:color w:val="000000"/>
        </w:rPr>
        <w:t>…</w:t>
      </w:r>
    </w:p>
    <w:p w14:paraId="5A0CF0B1" w14:textId="6568FFF8" w:rsidR="00151A7F" w:rsidRDefault="00A56E09">
      <w:pPr>
        <w:widowControl w:val="0"/>
        <w:spacing w:after="0" w:line="360" w:lineRule="auto"/>
        <w:jc w:val="center"/>
        <w:rPr>
          <w:color w:val="000000"/>
        </w:rPr>
      </w:pPr>
      <w:r>
        <w:rPr>
          <w:noProof/>
        </w:rPr>
        <mc:AlternateContent>
          <mc:Choice Requires="wps">
            <w:drawing>
              <wp:anchor distT="0" distB="0" distL="114300" distR="114300" simplePos="0" relativeHeight="251658240" behindDoc="0" locked="0" layoutInCell="1" hidden="0" allowOverlap="1" wp14:anchorId="38D6D592" wp14:editId="210EF05E">
                <wp:simplePos x="0" y="0"/>
                <wp:positionH relativeFrom="column">
                  <wp:posOffset>3051175</wp:posOffset>
                </wp:positionH>
                <wp:positionV relativeFrom="paragraph">
                  <wp:posOffset>1111250</wp:posOffset>
                </wp:positionV>
                <wp:extent cx="1820851" cy="447392"/>
                <wp:effectExtent l="0" t="0" r="0" b="0"/>
                <wp:wrapNone/>
                <wp:docPr id="1461877110" name="Rectángulo 1461877110"/>
                <wp:cNvGraphicFramePr/>
                <a:graphic xmlns:a="http://schemas.openxmlformats.org/drawingml/2006/main">
                  <a:graphicData uri="http://schemas.microsoft.com/office/word/2010/wordprocessingShape">
                    <wps:wsp>
                      <wps:cNvSpPr/>
                      <wps:spPr>
                        <a:xfrm>
                          <a:off x="0" y="0"/>
                          <a:ext cx="1820851" cy="447392"/>
                        </a:xfrm>
                        <a:prstGeom prst="rect">
                          <a:avLst/>
                        </a:prstGeom>
                        <a:noFill/>
                        <a:ln w="38100" cap="flat" cmpd="sng">
                          <a:solidFill>
                            <a:srgbClr val="FF0000"/>
                          </a:solidFill>
                          <a:prstDash val="solid"/>
                          <a:miter lim="800000"/>
                          <a:headEnd type="none" w="sm" len="sm"/>
                          <a:tailEnd type="none" w="sm" len="sm"/>
                        </a:ln>
                      </wps:spPr>
                      <wps:txbx>
                        <w:txbxContent>
                          <w:p w14:paraId="2F8D23A4" w14:textId="77777777" w:rsidR="00151A7F" w:rsidRDefault="00151A7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38D6D592" id="Rectángulo 1461877110" o:spid="_x0000_s1026" style="position:absolute;left:0;text-align:left;margin-left:240.25pt;margin-top:87.5pt;width:143.35pt;height:3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" filled="f" strokecolor="red" strokeweight="3pt">
                <v:stroke startarrowwidth="narrow" startarrowlength="short" endarrowwidth="narrow" endarrowlength="short"/>
                <v:textbox inset="2.53958mm,2.53958mm,2.53958mm,2.53958mm">
                  <w:txbxContent>
                    <w:p w14:paraId="2F8D23A4" w14:textId="77777777" w:rsidR="00151A7F" w:rsidRDefault="00151A7F">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36ACE86" wp14:editId="0A982AC4">
                <wp:simplePos x="0" y="0"/>
                <wp:positionH relativeFrom="column">
                  <wp:posOffset>3013075</wp:posOffset>
                </wp:positionH>
                <wp:positionV relativeFrom="paragraph">
                  <wp:posOffset>1606550</wp:posOffset>
                </wp:positionV>
                <wp:extent cx="1820851" cy="447392"/>
                <wp:effectExtent l="0" t="0" r="0" b="0"/>
                <wp:wrapNone/>
                <wp:docPr id="1461877111" name="Rectángulo 1461877111"/>
                <wp:cNvGraphicFramePr/>
                <a:graphic xmlns:a="http://schemas.openxmlformats.org/drawingml/2006/main">
                  <a:graphicData uri="http://schemas.microsoft.com/office/word/2010/wordprocessingShape">
                    <wps:wsp>
                      <wps:cNvSpPr/>
                      <wps:spPr>
                        <a:xfrm>
                          <a:off x="0" y="0"/>
                          <a:ext cx="1820851" cy="447392"/>
                        </a:xfrm>
                        <a:prstGeom prst="rect">
                          <a:avLst/>
                        </a:prstGeom>
                        <a:noFill/>
                        <a:ln w="38100" cap="flat" cmpd="sng">
                          <a:solidFill>
                            <a:srgbClr val="FF0000"/>
                          </a:solidFill>
                          <a:prstDash val="solid"/>
                          <a:miter lim="800000"/>
                          <a:headEnd type="none" w="sm" len="sm"/>
                          <a:tailEnd type="none" w="sm" len="sm"/>
                        </a:ln>
                      </wps:spPr>
                      <wps:txbx>
                        <w:txbxContent>
                          <w:p w14:paraId="28E76CF0" w14:textId="77777777" w:rsidR="00151A7F" w:rsidRDefault="00151A7F">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36ACE86" id="Rectángulo 1461877111" o:spid="_x0000_s1027" style="position:absolute;left:0;text-align:left;margin-left:237.25pt;margin-top:126.5pt;width:143.3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" filled="f" strokecolor="red" strokeweight="3pt">
                <v:stroke startarrowwidth="narrow" startarrowlength="short" endarrowwidth="narrow" endarrowlength="short"/>
                <v:textbox inset="2.53958mm,2.53958mm,2.53958mm,2.53958mm">
                  <w:txbxContent>
                    <w:p w14:paraId="28E76CF0" w14:textId="77777777" w:rsidR="00151A7F" w:rsidRDefault="00151A7F">
                      <w:pPr>
                        <w:spacing w:after="0" w:line="240" w:lineRule="auto"/>
                        <w:jc w:val="left"/>
                        <w:textDirection w:val="btLr"/>
                      </w:pPr>
                    </w:p>
                  </w:txbxContent>
                </v:textbox>
              </v:rect>
            </w:pict>
          </mc:Fallback>
        </mc:AlternateContent>
      </w:r>
      <w:r>
        <w:rPr>
          <w:noProof/>
          <w:color w:val="000000"/>
        </w:rPr>
        <w:drawing>
          <wp:inline distT="0" distB="0" distL="0" distR="0" wp14:anchorId="7DC9ABCE" wp14:editId="3F2CEA5A">
            <wp:extent cx="3943350" cy="2619375"/>
            <wp:effectExtent l="0" t="0" r="0" b="9525"/>
            <wp:docPr id="14618771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943918" cy="2619752"/>
                    </a:xfrm>
                    <a:prstGeom prst="rect">
                      <a:avLst/>
                    </a:prstGeom>
                    <a:ln/>
                  </pic:spPr>
                </pic:pic>
              </a:graphicData>
            </a:graphic>
          </wp:inline>
        </w:drawing>
      </w:r>
    </w:p>
    <w:p w14:paraId="3D7AA738" w14:textId="77777777" w:rsidR="00151A7F" w:rsidRDefault="00151A7F">
      <w:pPr>
        <w:tabs>
          <w:tab w:val="left" w:pos="4962"/>
        </w:tabs>
        <w:spacing w:after="0" w:line="360" w:lineRule="auto"/>
        <w:jc w:val="center"/>
        <w:rPr>
          <w:color w:val="0D0D0D"/>
        </w:rPr>
      </w:pPr>
    </w:p>
    <w:p w14:paraId="256DDEEB" w14:textId="77777777" w:rsidR="00151A7F" w:rsidRDefault="00564AFD">
      <w:pPr>
        <w:tabs>
          <w:tab w:val="left" w:pos="4962"/>
        </w:tabs>
        <w:spacing w:after="0" w:line="360" w:lineRule="auto"/>
        <w:rPr>
          <w:color w:val="0D0D0D"/>
        </w:rPr>
      </w:pPr>
      <w:r>
        <w:rPr>
          <w:color w:val="0D0D0D"/>
        </w:rPr>
        <w:t xml:space="preserve">Es así </w:t>
      </w:r>
      <w:proofErr w:type="gramStart"/>
      <w:r>
        <w:rPr>
          <w:color w:val="0D0D0D"/>
        </w:rPr>
        <w:t>que</w:t>
      </w:r>
      <w:proofErr w:type="gramEnd"/>
      <w:r>
        <w:rPr>
          <w:color w:val="0D0D0D"/>
        </w:rPr>
        <w:t xml:space="preserve">, si bien, el Sujeto Obligado hizo entrega del documento que da cuenta de lo solicitado, también lo es que lo remitió en un formato ilegible, situación que transgrede el ejercicio del derecho de acceso a la información del Particular, por lo que, se colige que, los agravios hechos valer por la parte Recurrente devienen </w:t>
      </w:r>
      <w:r>
        <w:rPr>
          <w:b/>
          <w:color w:val="0D0D0D"/>
        </w:rPr>
        <w:t xml:space="preserve">FUNDADOS. </w:t>
      </w:r>
    </w:p>
    <w:p w14:paraId="030DB378" w14:textId="77777777" w:rsidR="00151A7F" w:rsidRDefault="00151A7F">
      <w:pPr>
        <w:tabs>
          <w:tab w:val="left" w:pos="4962"/>
        </w:tabs>
        <w:spacing w:after="0" w:line="360" w:lineRule="auto"/>
        <w:rPr>
          <w:b/>
          <w:color w:val="0D0D0D"/>
        </w:rPr>
      </w:pPr>
    </w:p>
    <w:p w14:paraId="3FAAAAC1" w14:textId="77777777" w:rsidR="00151A7F" w:rsidRDefault="00564AFD">
      <w:pPr>
        <w:tabs>
          <w:tab w:val="left" w:pos="4962"/>
        </w:tabs>
        <w:spacing w:after="0" w:line="360" w:lineRule="auto"/>
      </w:pPr>
      <w: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w:t>
      </w:r>
      <w:r>
        <w:lastRenderedPageBreak/>
        <w:t>en que esta se encuentre; por lo que, la entrega no comprende el procesamiento de la misma, ni presentarla conforme al interés del Solicitante, además, que tampoco deberá generarla, resumirla, efectuar cálculos o practicar investigaciones.</w:t>
      </w:r>
    </w:p>
    <w:p w14:paraId="116595BF" w14:textId="77777777" w:rsidR="00151A7F" w:rsidRDefault="00151A7F">
      <w:pPr>
        <w:tabs>
          <w:tab w:val="left" w:pos="4962"/>
        </w:tabs>
        <w:spacing w:after="0" w:line="360" w:lineRule="auto"/>
      </w:pPr>
    </w:p>
    <w:p w14:paraId="012E6C86" w14:textId="77777777" w:rsidR="00151A7F" w:rsidRDefault="00564AFD">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D0603A1" w14:textId="77777777" w:rsidR="00151A7F" w:rsidRDefault="00151A7F">
      <w:pPr>
        <w:spacing w:after="0" w:line="360" w:lineRule="auto"/>
      </w:pPr>
    </w:p>
    <w:p w14:paraId="1AC6251D" w14:textId="18AFAE7E" w:rsidR="00151A7F" w:rsidRDefault="00564AFD">
      <w:pPr>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C661EC">
        <w:t xml:space="preserve">lo </w:t>
      </w:r>
      <w:proofErr w:type="gramStart"/>
      <w:r w:rsidR="00C661EC">
        <w:t>cual</w:t>
      </w:r>
      <w:proofErr w:type="gramEnd"/>
      <w:r w:rsidR="00C661EC">
        <w:t xml:space="preserve"> si bien aconteció, no fue entregado en un formato accesible al particular, por lo que, deberá entregarlo de manera legible.</w:t>
      </w:r>
    </w:p>
    <w:p w14:paraId="3E8A7EA9" w14:textId="77777777" w:rsidR="00151A7F" w:rsidRDefault="00151A7F">
      <w:pPr>
        <w:spacing w:after="0" w:line="360" w:lineRule="auto"/>
        <w:rPr>
          <w:color w:val="000000"/>
        </w:rPr>
      </w:pPr>
    </w:p>
    <w:p w14:paraId="6229EAEA" w14:textId="77777777" w:rsidR="00151A7F" w:rsidRDefault="00564AFD">
      <w:pPr>
        <w:spacing w:after="0" w:line="360" w:lineRule="auto"/>
        <w:rPr>
          <w:b/>
        </w:rPr>
      </w:pPr>
      <w:r>
        <w:rPr>
          <w:b/>
        </w:rPr>
        <w:t>SEXTO. Decisión</w:t>
      </w:r>
    </w:p>
    <w:p w14:paraId="7D2604D2" w14:textId="77777777" w:rsidR="00151A7F" w:rsidRDefault="00151A7F">
      <w:pPr>
        <w:spacing w:after="0" w:line="360" w:lineRule="auto"/>
      </w:pPr>
    </w:p>
    <w:p w14:paraId="3693E91F" w14:textId="77777777" w:rsidR="00151A7F" w:rsidRDefault="00564AFD">
      <w:pPr>
        <w:spacing w:after="0" w:line="360" w:lineRule="auto"/>
      </w:pPr>
      <w:r>
        <w:t xml:space="preserve">Con fundamento en el artículo 186, fracción III, de la Ley de Transparencia y Acceso a la Información Pública del Estado de México y Municipios, este Instituto considera procedente </w:t>
      </w:r>
      <w:r>
        <w:rPr>
          <w:b/>
        </w:rPr>
        <w:t>MODIFICAR</w:t>
      </w:r>
      <w:r>
        <w:t xml:space="preserve"> la respuesta otorgada a la solicitud de información 00312/TEPOTZOT/IP/2025, a efecto de que proporcione el Tabulador de Sueldos 2025, digitalizado correctamente. </w:t>
      </w:r>
    </w:p>
    <w:p w14:paraId="6363156A" w14:textId="77777777" w:rsidR="00151A7F" w:rsidRDefault="00151A7F">
      <w:pPr>
        <w:tabs>
          <w:tab w:val="left" w:pos="4962"/>
        </w:tabs>
        <w:spacing w:after="0" w:line="360" w:lineRule="auto"/>
      </w:pPr>
    </w:p>
    <w:p w14:paraId="6B396476" w14:textId="77777777" w:rsidR="00151A7F" w:rsidRDefault="00564AFD">
      <w:pPr>
        <w:spacing w:after="0" w:line="360" w:lineRule="auto"/>
        <w:rPr>
          <w:b/>
        </w:rPr>
      </w:pPr>
      <w:r>
        <w:rPr>
          <w:b/>
        </w:rPr>
        <w:t>Términos de la Resolución para conocimiento del Particular</w:t>
      </w:r>
    </w:p>
    <w:p w14:paraId="13D004B9" w14:textId="77777777" w:rsidR="00151A7F" w:rsidRDefault="00151A7F">
      <w:pPr>
        <w:spacing w:after="0" w:line="360" w:lineRule="auto"/>
      </w:pPr>
    </w:p>
    <w:p w14:paraId="55F6B827" w14:textId="77777777" w:rsidR="00E9425A" w:rsidRDefault="00E9425A">
      <w:pPr>
        <w:spacing w:after="0" w:line="360" w:lineRule="auto"/>
      </w:pPr>
    </w:p>
    <w:p w14:paraId="2422BCC8" w14:textId="77777777" w:rsidR="00E9425A" w:rsidRDefault="00E9425A">
      <w:pPr>
        <w:spacing w:after="0" w:line="360" w:lineRule="auto"/>
      </w:pPr>
    </w:p>
    <w:p w14:paraId="2E51D871" w14:textId="77777777" w:rsidR="00151A7F" w:rsidRDefault="00564AFD">
      <w:pPr>
        <w:spacing w:after="0" w:line="360" w:lineRule="auto"/>
      </w:pPr>
      <w:r>
        <w:t xml:space="preserve">Se le hace del conocimiento a la Particular, que, en el presente caso, se le concede la razón, toda vez que el Sujeto Obligado le entregó un documento ilegible. </w:t>
      </w:r>
    </w:p>
    <w:p w14:paraId="14E9397A" w14:textId="77777777" w:rsidR="00151A7F" w:rsidRDefault="00151A7F">
      <w:pPr>
        <w:spacing w:after="0" w:line="360" w:lineRule="auto"/>
      </w:pPr>
    </w:p>
    <w:p w14:paraId="524EA94D" w14:textId="77777777" w:rsidR="00151A7F" w:rsidRDefault="00564AFD">
      <w:pPr>
        <w:spacing w:after="0" w:line="360" w:lineRule="auto"/>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EC1E0B7" w14:textId="77777777" w:rsidR="00151A7F" w:rsidRDefault="00151A7F">
      <w:pPr>
        <w:spacing w:after="0" w:line="360" w:lineRule="auto"/>
        <w:rPr>
          <w:color w:val="000000"/>
        </w:rPr>
      </w:pPr>
    </w:p>
    <w:p w14:paraId="5ED69BFA" w14:textId="77777777" w:rsidR="00151A7F" w:rsidRDefault="00564AFD">
      <w:pPr>
        <w:spacing w:after="0" w:line="360" w:lineRule="auto"/>
      </w:pPr>
      <w:r>
        <w:t>Por lo expuesto y fundado, este Pleno:</w:t>
      </w:r>
    </w:p>
    <w:p w14:paraId="08C14F39" w14:textId="77777777" w:rsidR="00151A7F" w:rsidRDefault="00151A7F">
      <w:pPr>
        <w:spacing w:after="0" w:line="360" w:lineRule="auto"/>
        <w:ind w:left="720" w:hanging="720"/>
      </w:pPr>
    </w:p>
    <w:p w14:paraId="7B08FCB8" w14:textId="77777777" w:rsidR="00151A7F" w:rsidRDefault="00564AFD">
      <w:pPr>
        <w:pStyle w:val="Ttulo1"/>
        <w:spacing w:before="0" w:after="0"/>
        <w:rPr>
          <w:b w:val="0"/>
          <w:color w:val="000000"/>
          <w:sz w:val="22"/>
          <w:szCs w:val="22"/>
        </w:rPr>
      </w:pPr>
      <w:bookmarkStart w:id="11" w:name="_Toc207894248"/>
      <w:r>
        <w:rPr>
          <w:color w:val="000000"/>
          <w:sz w:val="22"/>
          <w:szCs w:val="22"/>
        </w:rPr>
        <w:t>R E S U E L V E</w:t>
      </w:r>
      <w:bookmarkEnd w:id="11"/>
    </w:p>
    <w:p w14:paraId="22D415D5" w14:textId="77777777" w:rsidR="00151A7F" w:rsidRDefault="00151A7F">
      <w:pPr>
        <w:spacing w:after="0" w:line="360" w:lineRule="auto"/>
        <w:jc w:val="center"/>
        <w:rPr>
          <w:b/>
        </w:rPr>
      </w:pPr>
    </w:p>
    <w:p w14:paraId="3D5650F0" w14:textId="77777777" w:rsidR="00151A7F" w:rsidRDefault="00564AFD">
      <w:pPr>
        <w:spacing w:after="0" w:line="360" w:lineRule="auto"/>
      </w:pPr>
      <w:r>
        <w:rPr>
          <w:b/>
        </w:rPr>
        <w:t>PRIMERO.</w:t>
      </w:r>
      <w:r>
        <w:t xml:space="preserve"> Se </w:t>
      </w:r>
      <w:r>
        <w:rPr>
          <w:b/>
        </w:rPr>
        <w:t>MODIFICA</w:t>
      </w:r>
      <w:r>
        <w:t xml:space="preserve"> la respuesta entregada por el Ayuntamiento de Tepotzotlán a la solicitud de información 00312/TEPOTZOT/IP/2025, por resultar </w:t>
      </w:r>
      <w:r>
        <w:rPr>
          <w:b/>
        </w:rPr>
        <w:t xml:space="preserve">FUNDADAS </w:t>
      </w:r>
      <w:r>
        <w:t>las razones o motivos de inconformidad hechos valer por el Recurrente, en términos de los considerandos QUINTO y SEXTO de la presente Resolución.</w:t>
      </w:r>
    </w:p>
    <w:p w14:paraId="336BE8BF" w14:textId="77777777" w:rsidR="00151A7F" w:rsidRDefault="00151A7F">
      <w:pPr>
        <w:spacing w:after="0" w:line="360" w:lineRule="auto"/>
        <w:jc w:val="left"/>
        <w:rPr>
          <w:b/>
        </w:rPr>
      </w:pPr>
    </w:p>
    <w:p w14:paraId="4DCCADE5" w14:textId="7918CA0B" w:rsidR="00151A7F" w:rsidRDefault="00564AFD">
      <w:pPr>
        <w:spacing w:after="0" w:line="360" w:lineRule="auto"/>
      </w:pPr>
      <w:r>
        <w:rPr>
          <w:b/>
        </w:rPr>
        <w:t>SEGUNDO</w:t>
      </w:r>
      <w:r>
        <w:t xml:space="preserve">. Se </w:t>
      </w:r>
      <w:r>
        <w:rPr>
          <w:b/>
        </w:rPr>
        <w:t>ORDENA</w:t>
      </w:r>
      <w:r>
        <w:t xml:space="preserve"> al Sujeto Obligado, a efecto de que, entregue a través del Sistema de Acceso a la Información Mexiquense (SAIMEX), </w:t>
      </w:r>
      <w:r w:rsidR="00C661EC">
        <w:t xml:space="preserve">en versión íntegra, </w:t>
      </w:r>
      <w:r>
        <w:t>el Tabulador de Sueldos 2025</w:t>
      </w:r>
      <w:r w:rsidR="00C661EC">
        <w:t>,</w:t>
      </w:r>
      <w:r>
        <w:t xml:space="preserve"> </w:t>
      </w:r>
      <w:r w:rsidR="00E9425A">
        <w:t>de manera</w:t>
      </w:r>
      <w:r>
        <w:t xml:space="preserve"> legible</w:t>
      </w:r>
      <w:r w:rsidR="00E9425A">
        <w:t xml:space="preserve">, </w:t>
      </w:r>
      <w:r w:rsidR="00E9425A" w:rsidRPr="00A56E09">
        <w:t>en formato “PDF” o en aquel que se haya generado.</w:t>
      </w:r>
    </w:p>
    <w:p w14:paraId="4038011C" w14:textId="77777777" w:rsidR="00151A7F" w:rsidRDefault="00151A7F">
      <w:pPr>
        <w:spacing w:after="0" w:line="360" w:lineRule="auto"/>
      </w:pPr>
    </w:p>
    <w:p w14:paraId="3F8F5D9F" w14:textId="18A8EDB7" w:rsidR="00151A7F" w:rsidRDefault="00564AFD">
      <w:pPr>
        <w:spacing w:after="0" w:line="360" w:lineRule="auto"/>
      </w:pPr>
      <w:r>
        <w:rPr>
          <w:b/>
        </w:rPr>
        <w:t>TERCERO. NOTIFÍQUESE</w:t>
      </w:r>
      <w:r>
        <w:t xml:space="preserve"> </w:t>
      </w:r>
      <w:r>
        <w:rPr>
          <w:b/>
        </w:rPr>
        <w:t>VÍA SAIMEX</w:t>
      </w:r>
      <w: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w:t>
      </w:r>
      <w:r>
        <w:lastRenderedPageBreak/>
        <w:t xml:space="preserve">a la presente, se le apercibe que en caso de negarse a cumplir la presente resolución o hacerlo de manera parcial, se le impondrá una medida de apremio de conformidad con lo previsto en los artículos 198, 200, fracción III, 214, 215 y 216 de la </w:t>
      </w:r>
      <w:r w:rsidR="00E9425A">
        <w:t>Ley de Transparencia y Acceso a la Información Pública del Estado de México y Municipios</w:t>
      </w:r>
      <w:r>
        <w:t>.</w:t>
      </w:r>
    </w:p>
    <w:p w14:paraId="7A077D6A" w14:textId="77777777" w:rsidR="00151A7F" w:rsidRDefault="00151A7F">
      <w:pPr>
        <w:spacing w:after="0" w:line="360" w:lineRule="auto"/>
      </w:pPr>
    </w:p>
    <w:p w14:paraId="0C6357DA" w14:textId="77777777" w:rsidR="00151A7F" w:rsidRDefault="00564AFD">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2E01E9" w14:textId="77777777" w:rsidR="00151A7F" w:rsidRDefault="00151A7F">
      <w:pPr>
        <w:spacing w:after="0" w:line="360" w:lineRule="auto"/>
      </w:pPr>
    </w:p>
    <w:p w14:paraId="320C3EEE" w14:textId="77777777" w:rsidR="00151A7F" w:rsidRDefault="00564AFD">
      <w:pPr>
        <w:spacing w:after="0" w:line="360" w:lineRule="auto"/>
      </w:pPr>
      <w:r>
        <w:rPr>
          <w:b/>
        </w:rPr>
        <w:t>CUARTO. NOTIFÍQUESE</w:t>
      </w:r>
      <w:r>
        <w:t xml:space="preserve"> </w:t>
      </w:r>
      <w:r>
        <w:rPr>
          <w:b/>
        </w:rPr>
        <w:t>VÍA SAIMEX</w:t>
      </w:r>
      <w: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AD710E5" w14:textId="77777777" w:rsidR="00151A7F" w:rsidRDefault="00151A7F">
      <w:pPr>
        <w:spacing w:after="0" w:line="360" w:lineRule="auto"/>
      </w:pPr>
    </w:p>
    <w:p w14:paraId="47AFF244" w14:textId="0A1AD5FD" w:rsidR="00151A7F" w:rsidRDefault="00564AFD">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w:t>
      </w:r>
      <w:r w:rsidR="00A56E09">
        <w:t xml:space="preserve"> </w:t>
      </w:r>
      <w:r w:rsidR="008816A2">
        <w:t>(</w:t>
      </w:r>
      <w:r w:rsidR="00A56E09">
        <w:t>A</w:t>
      </w:r>
      <w:r w:rsidR="008816A2">
        <w:t>USE</w:t>
      </w:r>
      <w:r w:rsidR="00A56E09">
        <w:t>NCIA JUSTIFICADA)</w:t>
      </w:r>
      <w:r>
        <w:t>, SHARON CRISTINA MORALES MARTÍNEZ, LUIS GUSTAVO PARRA NORIEGA Y GUADALUPE RAMÍREZ PEÑA, EN LA TRIGÉSIMA PRIMERA SESIÓN ORDINARIA, CELEBRADA EL TRES DE SEPTIEMBRE DE DOS MIL VEINTICINCO, ANTE EL SECRETARIO TÉCNICO DEL PLENO, ALEXIS TAPIA RAMÍREZ.</w:t>
      </w:r>
    </w:p>
    <w:p w14:paraId="43EDE2B6" w14:textId="77777777" w:rsidR="00151A7F" w:rsidRDefault="00151A7F">
      <w:pPr>
        <w:spacing w:after="0" w:line="360" w:lineRule="auto"/>
        <w:rPr>
          <w:color w:val="000000"/>
        </w:rPr>
      </w:pPr>
    </w:p>
    <w:p w14:paraId="181F28F3" w14:textId="77777777" w:rsidR="00151A7F" w:rsidRDefault="00151A7F">
      <w:pPr>
        <w:spacing w:after="0" w:line="360" w:lineRule="auto"/>
      </w:pPr>
    </w:p>
    <w:p w14:paraId="7E72BB07" w14:textId="77777777" w:rsidR="00151A7F" w:rsidRDefault="00151A7F">
      <w:pPr>
        <w:spacing w:after="0" w:line="360" w:lineRule="auto"/>
      </w:pPr>
    </w:p>
    <w:p w14:paraId="127E0A0F" w14:textId="77777777" w:rsidR="00151A7F" w:rsidRDefault="00151A7F">
      <w:pPr>
        <w:spacing w:after="0" w:line="360" w:lineRule="auto"/>
      </w:pPr>
    </w:p>
    <w:p w14:paraId="0854A783" w14:textId="77777777" w:rsidR="00151A7F" w:rsidRDefault="00151A7F">
      <w:pPr>
        <w:spacing w:after="0" w:line="360" w:lineRule="auto"/>
      </w:pPr>
    </w:p>
    <w:p w14:paraId="32AAF9B3" w14:textId="77777777" w:rsidR="00151A7F" w:rsidRDefault="00151A7F">
      <w:pPr>
        <w:spacing w:after="0" w:line="360" w:lineRule="auto"/>
      </w:pPr>
    </w:p>
    <w:p w14:paraId="643A08D7" w14:textId="77777777" w:rsidR="00151A7F" w:rsidRDefault="00151A7F">
      <w:pPr>
        <w:spacing w:after="0" w:line="360" w:lineRule="auto"/>
      </w:pPr>
    </w:p>
    <w:p w14:paraId="2171FE84" w14:textId="77777777" w:rsidR="00151A7F" w:rsidRDefault="00151A7F">
      <w:pPr>
        <w:spacing w:after="0" w:line="360" w:lineRule="auto"/>
      </w:pPr>
    </w:p>
    <w:p w14:paraId="2D3DE2B3" w14:textId="77777777" w:rsidR="00151A7F" w:rsidRDefault="00151A7F">
      <w:pPr>
        <w:spacing w:after="0" w:line="360" w:lineRule="auto"/>
      </w:pPr>
    </w:p>
    <w:p w14:paraId="3A2EB136" w14:textId="77777777" w:rsidR="00151A7F" w:rsidRDefault="00151A7F">
      <w:pPr>
        <w:spacing w:after="0" w:line="360" w:lineRule="auto"/>
      </w:pPr>
    </w:p>
    <w:p w14:paraId="2C5149B2" w14:textId="77777777" w:rsidR="00151A7F" w:rsidRDefault="00151A7F">
      <w:pPr>
        <w:spacing w:after="0" w:line="360" w:lineRule="auto"/>
      </w:pPr>
    </w:p>
    <w:p w14:paraId="45850CC7" w14:textId="77777777" w:rsidR="00151A7F" w:rsidRDefault="00151A7F">
      <w:pPr>
        <w:spacing w:after="0" w:line="360" w:lineRule="auto"/>
      </w:pPr>
    </w:p>
    <w:p w14:paraId="1C480357" w14:textId="77777777" w:rsidR="00151A7F" w:rsidRDefault="00151A7F">
      <w:pPr>
        <w:spacing w:after="0" w:line="360" w:lineRule="auto"/>
      </w:pPr>
    </w:p>
    <w:p w14:paraId="11B4DA4E" w14:textId="77777777" w:rsidR="00151A7F" w:rsidRDefault="00151A7F">
      <w:pPr>
        <w:spacing w:after="0" w:line="360" w:lineRule="auto"/>
      </w:pPr>
    </w:p>
    <w:p w14:paraId="62279091" w14:textId="77777777" w:rsidR="00151A7F" w:rsidRDefault="00151A7F">
      <w:pPr>
        <w:spacing w:after="0" w:line="360" w:lineRule="auto"/>
      </w:pPr>
    </w:p>
    <w:p w14:paraId="22E1E74A" w14:textId="77777777" w:rsidR="00151A7F" w:rsidRDefault="00151A7F">
      <w:pPr>
        <w:spacing w:after="0" w:line="360" w:lineRule="auto"/>
      </w:pPr>
    </w:p>
    <w:p w14:paraId="4F72C8D7" w14:textId="77777777" w:rsidR="00151A7F" w:rsidRDefault="00151A7F">
      <w:pPr>
        <w:spacing w:after="0" w:line="360" w:lineRule="auto"/>
      </w:pPr>
    </w:p>
    <w:p w14:paraId="018FBA79" w14:textId="77777777" w:rsidR="00151A7F" w:rsidRDefault="00151A7F">
      <w:pPr>
        <w:spacing w:after="0" w:line="360" w:lineRule="auto"/>
      </w:pPr>
    </w:p>
    <w:p w14:paraId="01F169AF" w14:textId="77777777" w:rsidR="00151A7F" w:rsidRDefault="00151A7F">
      <w:pPr>
        <w:spacing w:after="0" w:line="360" w:lineRule="auto"/>
      </w:pPr>
    </w:p>
    <w:p w14:paraId="25701B1F" w14:textId="77777777" w:rsidR="00151A7F" w:rsidRDefault="00151A7F">
      <w:pPr>
        <w:spacing w:after="0" w:line="360" w:lineRule="auto"/>
      </w:pPr>
    </w:p>
    <w:p w14:paraId="58CD2A3E" w14:textId="77777777" w:rsidR="00151A7F" w:rsidRDefault="00151A7F">
      <w:pPr>
        <w:spacing w:after="0" w:line="360" w:lineRule="auto"/>
      </w:pPr>
    </w:p>
    <w:p w14:paraId="51DA83FF" w14:textId="77777777" w:rsidR="00151A7F" w:rsidRDefault="00151A7F">
      <w:pPr>
        <w:spacing w:after="0" w:line="360" w:lineRule="auto"/>
      </w:pPr>
    </w:p>
    <w:p w14:paraId="4706AC59" w14:textId="77777777" w:rsidR="00151A7F" w:rsidRDefault="00151A7F">
      <w:pPr>
        <w:spacing w:after="0" w:line="360" w:lineRule="auto"/>
      </w:pPr>
    </w:p>
    <w:p w14:paraId="660E9C95" w14:textId="77777777" w:rsidR="00151A7F" w:rsidRDefault="00151A7F">
      <w:pPr>
        <w:spacing w:after="0" w:line="360" w:lineRule="auto"/>
      </w:pPr>
    </w:p>
    <w:p w14:paraId="599A008E" w14:textId="77777777" w:rsidR="00151A7F" w:rsidRDefault="00151A7F">
      <w:pPr>
        <w:spacing w:after="0" w:line="360" w:lineRule="auto"/>
      </w:pPr>
    </w:p>
    <w:p w14:paraId="04142E2B" w14:textId="77777777" w:rsidR="00151A7F" w:rsidRDefault="00151A7F">
      <w:pPr>
        <w:spacing w:after="0" w:line="360" w:lineRule="auto"/>
      </w:pPr>
    </w:p>
    <w:p w14:paraId="153BCE49" w14:textId="77777777" w:rsidR="00151A7F" w:rsidRDefault="00151A7F">
      <w:pPr>
        <w:spacing w:after="0" w:line="360" w:lineRule="auto"/>
      </w:pPr>
    </w:p>
    <w:p w14:paraId="326595DF" w14:textId="77777777" w:rsidR="00151A7F" w:rsidRDefault="00151A7F">
      <w:pPr>
        <w:spacing w:after="0" w:line="360" w:lineRule="auto"/>
      </w:pPr>
    </w:p>
    <w:p w14:paraId="7E334D32" w14:textId="77777777" w:rsidR="00151A7F" w:rsidRDefault="00151A7F">
      <w:pPr>
        <w:spacing w:after="0" w:line="360" w:lineRule="auto"/>
      </w:pPr>
    </w:p>
    <w:sectPr w:rsidR="00151A7F">
      <w:headerReference w:type="even" r:id="rId11"/>
      <w:headerReference w:type="default" r:id="rId12"/>
      <w:footerReference w:type="even" r:id="rId13"/>
      <w:footerReference w:type="default" r:id="rId14"/>
      <w:headerReference w:type="first" r:id="rId15"/>
      <w:footerReference w:type="first" r:id="rId16"/>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F9EF" w14:textId="77777777" w:rsidR="003717BA" w:rsidRDefault="003717BA">
      <w:pPr>
        <w:spacing w:after="0" w:line="240" w:lineRule="auto"/>
      </w:pPr>
      <w:r>
        <w:separator/>
      </w:r>
    </w:p>
  </w:endnote>
  <w:endnote w:type="continuationSeparator" w:id="0">
    <w:p w14:paraId="5E1107A6" w14:textId="77777777" w:rsidR="003717BA" w:rsidRDefault="0037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8EE" w14:textId="22649BAA" w:rsidR="00151A7F" w:rsidRDefault="00564A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9678F6">
      <w:rPr>
        <w:b/>
        <w:color w:val="000000"/>
        <w:sz w:val="24"/>
        <w:szCs w:val="24"/>
      </w:rPr>
      <w:fldChar w:fldCharType="separate"/>
    </w:r>
    <w:r w:rsidR="009678F6">
      <w:rPr>
        <w:b/>
        <w:noProof/>
        <w:color w:val="000000"/>
        <w:sz w:val="24"/>
        <w:szCs w:val="24"/>
      </w:rPr>
      <w:t>17</w:t>
    </w:r>
    <w:r>
      <w:rPr>
        <w:b/>
        <w:color w:val="000000"/>
        <w:sz w:val="24"/>
        <w:szCs w:val="24"/>
      </w:rPr>
      <w:fldChar w:fldCharType="end"/>
    </w:r>
  </w:p>
  <w:p w14:paraId="0D654AEC" w14:textId="77777777" w:rsidR="00151A7F" w:rsidRDefault="00151A7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E7B3" w14:textId="77777777" w:rsidR="00151A7F" w:rsidRDefault="00564A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258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2589">
      <w:rPr>
        <w:b/>
        <w:noProof/>
        <w:color w:val="000000"/>
        <w:sz w:val="24"/>
        <w:szCs w:val="24"/>
      </w:rPr>
      <w:t>17</w:t>
    </w:r>
    <w:r>
      <w:rPr>
        <w:b/>
        <w:color w:val="000000"/>
        <w:sz w:val="24"/>
        <w:szCs w:val="24"/>
      </w:rPr>
      <w:fldChar w:fldCharType="end"/>
    </w:r>
  </w:p>
  <w:p w14:paraId="7B928210" w14:textId="77777777" w:rsidR="00151A7F" w:rsidRDefault="00151A7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7958" w14:textId="77777777" w:rsidR="00151A7F" w:rsidRDefault="00564AF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258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2589">
      <w:rPr>
        <w:b/>
        <w:noProof/>
        <w:color w:val="000000"/>
        <w:sz w:val="24"/>
        <w:szCs w:val="24"/>
      </w:rPr>
      <w:t>17</w:t>
    </w:r>
    <w:r>
      <w:rPr>
        <w:b/>
        <w:color w:val="000000"/>
        <w:sz w:val="24"/>
        <w:szCs w:val="24"/>
      </w:rPr>
      <w:fldChar w:fldCharType="end"/>
    </w:r>
  </w:p>
  <w:p w14:paraId="348D18BC" w14:textId="77777777" w:rsidR="00151A7F" w:rsidRDefault="00151A7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C0F6" w14:textId="77777777" w:rsidR="003717BA" w:rsidRDefault="003717BA">
      <w:pPr>
        <w:spacing w:after="0" w:line="240" w:lineRule="auto"/>
      </w:pPr>
      <w:r>
        <w:separator/>
      </w:r>
    </w:p>
  </w:footnote>
  <w:footnote w:type="continuationSeparator" w:id="0">
    <w:p w14:paraId="11CA459E" w14:textId="77777777" w:rsidR="003717BA" w:rsidRDefault="00371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AA4F" w14:textId="77777777" w:rsidR="00151A7F" w:rsidRDefault="00151A7F">
    <w:pPr>
      <w:widowControl w:val="0"/>
      <w:pBdr>
        <w:top w:val="nil"/>
        <w:left w:val="nil"/>
        <w:bottom w:val="nil"/>
        <w:right w:val="nil"/>
        <w:between w:val="nil"/>
      </w:pBdr>
      <w:spacing w:after="0" w:line="276" w:lineRule="auto"/>
      <w:jc w:val="left"/>
      <w:rPr>
        <w:color w:val="000000"/>
      </w:rPr>
    </w:pPr>
  </w:p>
  <w:tbl>
    <w:tblPr>
      <w:tblStyle w:val="a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151A7F" w14:paraId="1F0564C5" w14:textId="77777777">
      <w:trPr>
        <w:trHeight w:val="141"/>
      </w:trPr>
      <w:tc>
        <w:tcPr>
          <w:tcW w:w="2404" w:type="dxa"/>
        </w:tcPr>
        <w:p w14:paraId="5F42771C" w14:textId="77777777" w:rsidR="00151A7F" w:rsidRDefault="00564AFD">
          <w:pPr>
            <w:tabs>
              <w:tab w:val="right" w:pos="8838"/>
            </w:tabs>
            <w:ind w:right="-105"/>
            <w:rPr>
              <w:b/>
            </w:rPr>
          </w:pPr>
          <w:r>
            <w:rPr>
              <w:b/>
            </w:rPr>
            <w:t>Recurso de Revisión:</w:t>
          </w:r>
        </w:p>
      </w:tc>
      <w:tc>
        <w:tcPr>
          <w:tcW w:w="3587" w:type="dxa"/>
        </w:tcPr>
        <w:p w14:paraId="13E04D62" w14:textId="77777777" w:rsidR="00151A7F" w:rsidRDefault="00564AFD">
          <w:pPr>
            <w:tabs>
              <w:tab w:val="right" w:pos="8838"/>
            </w:tabs>
            <w:ind w:left="-28" w:right="683"/>
          </w:pPr>
          <w:r>
            <w:t>04196/INFOEM/IP/RR/2020</w:t>
          </w:r>
        </w:p>
      </w:tc>
    </w:tr>
    <w:tr w:rsidR="00151A7F" w14:paraId="7447FF82" w14:textId="77777777">
      <w:trPr>
        <w:trHeight w:val="276"/>
      </w:trPr>
      <w:tc>
        <w:tcPr>
          <w:tcW w:w="2404" w:type="dxa"/>
        </w:tcPr>
        <w:p w14:paraId="2CF7ADF0" w14:textId="77777777" w:rsidR="00151A7F" w:rsidRDefault="00564AFD">
          <w:pPr>
            <w:tabs>
              <w:tab w:val="right" w:pos="8838"/>
            </w:tabs>
            <w:ind w:right="-105"/>
            <w:rPr>
              <w:b/>
            </w:rPr>
          </w:pPr>
          <w:r>
            <w:rPr>
              <w:b/>
            </w:rPr>
            <w:t>Sujeto Obligado:</w:t>
          </w:r>
        </w:p>
      </w:tc>
      <w:tc>
        <w:tcPr>
          <w:tcW w:w="3587" w:type="dxa"/>
        </w:tcPr>
        <w:p w14:paraId="34D897E5" w14:textId="77777777" w:rsidR="00151A7F" w:rsidRDefault="00564AFD">
          <w:pPr>
            <w:tabs>
              <w:tab w:val="right" w:pos="8838"/>
            </w:tabs>
            <w:ind w:right="116"/>
          </w:pPr>
          <w:r>
            <w:t>Ayuntamiento de Chapultepec</w:t>
          </w:r>
        </w:p>
      </w:tc>
    </w:tr>
    <w:tr w:rsidR="00151A7F" w14:paraId="19F737FD" w14:textId="77777777">
      <w:trPr>
        <w:trHeight w:val="276"/>
      </w:trPr>
      <w:tc>
        <w:tcPr>
          <w:tcW w:w="2404" w:type="dxa"/>
        </w:tcPr>
        <w:p w14:paraId="09221DD5" w14:textId="77777777" w:rsidR="00151A7F" w:rsidRDefault="00564AFD">
          <w:pPr>
            <w:tabs>
              <w:tab w:val="right" w:pos="8838"/>
            </w:tabs>
            <w:ind w:right="-105"/>
            <w:rPr>
              <w:b/>
            </w:rPr>
          </w:pPr>
          <w:r>
            <w:rPr>
              <w:b/>
            </w:rPr>
            <w:t>Comisionado Ponente:</w:t>
          </w:r>
        </w:p>
      </w:tc>
      <w:tc>
        <w:tcPr>
          <w:tcW w:w="3587" w:type="dxa"/>
        </w:tcPr>
        <w:p w14:paraId="7CDF34BD" w14:textId="77777777" w:rsidR="00151A7F" w:rsidRDefault="00564AFD">
          <w:pPr>
            <w:tabs>
              <w:tab w:val="right" w:pos="8838"/>
            </w:tabs>
            <w:ind w:right="-32"/>
          </w:pPr>
          <w:r>
            <w:t>Luis Gustavo Parra Noriega</w:t>
          </w:r>
        </w:p>
      </w:tc>
    </w:tr>
  </w:tbl>
  <w:p w14:paraId="3C2BAC2B" w14:textId="77777777" w:rsidR="00151A7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2007B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7CBE" w14:textId="77777777" w:rsidR="00151A7F" w:rsidRDefault="00151A7F">
    <w:pPr>
      <w:rPr>
        <w:sz w:val="16"/>
        <w:szCs w:val="16"/>
      </w:rPr>
    </w:pPr>
  </w:p>
  <w:tbl>
    <w:tblPr>
      <w:tblStyle w:val="a4"/>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151A7F" w14:paraId="63A625D9" w14:textId="77777777">
      <w:trPr>
        <w:trHeight w:val="141"/>
      </w:trPr>
      <w:tc>
        <w:tcPr>
          <w:tcW w:w="2404" w:type="dxa"/>
        </w:tcPr>
        <w:p w14:paraId="36604324" w14:textId="77777777" w:rsidR="00151A7F" w:rsidRDefault="00564AFD">
          <w:pPr>
            <w:tabs>
              <w:tab w:val="right" w:pos="8838"/>
            </w:tabs>
            <w:ind w:left="-395" w:right="-105" w:firstLine="395"/>
            <w:rPr>
              <w:b/>
            </w:rPr>
          </w:pPr>
          <w:r>
            <w:rPr>
              <w:b/>
            </w:rPr>
            <w:t>Recurso de Revisión:</w:t>
          </w:r>
        </w:p>
      </w:tc>
      <w:tc>
        <w:tcPr>
          <w:tcW w:w="4684" w:type="dxa"/>
        </w:tcPr>
        <w:p w14:paraId="25FC85CF" w14:textId="77777777" w:rsidR="00151A7F" w:rsidRDefault="00564AFD">
          <w:pPr>
            <w:tabs>
              <w:tab w:val="right" w:pos="8838"/>
            </w:tabs>
            <w:ind w:left="-28" w:right="454"/>
          </w:pPr>
          <w:r>
            <w:t>09506/INFOEM/IP/RR/2025</w:t>
          </w:r>
        </w:p>
      </w:tc>
    </w:tr>
    <w:tr w:rsidR="00151A7F" w14:paraId="6DA7604B" w14:textId="77777777">
      <w:trPr>
        <w:trHeight w:val="276"/>
      </w:trPr>
      <w:tc>
        <w:tcPr>
          <w:tcW w:w="2404" w:type="dxa"/>
        </w:tcPr>
        <w:p w14:paraId="7806D2E4" w14:textId="77777777" w:rsidR="00151A7F" w:rsidRDefault="00564AFD">
          <w:pPr>
            <w:tabs>
              <w:tab w:val="right" w:pos="8838"/>
            </w:tabs>
            <w:ind w:right="-105"/>
            <w:rPr>
              <w:b/>
            </w:rPr>
          </w:pPr>
          <w:r>
            <w:rPr>
              <w:b/>
            </w:rPr>
            <w:t>Sujeto Obligado:</w:t>
          </w:r>
        </w:p>
      </w:tc>
      <w:tc>
        <w:tcPr>
          <w:tcW w:w="4684" w:type="dxa"/>
        </w:tcPr>
        <w:p w14:paraId="38D56599" w14:textId="77777777" w:rsidR="00151A7F" w:rsidRDefault="00564AFD">
          <w:pPr>
            <w:tabs>
              <w:tab w:val="left" w:pos="3158"/>
              <w:tab w:val="left" w:pos="4292"/>
              <w:tab w:val="right" w:pos="8838"/>
            </w:tabs>
            <w:ind w:right="601"/>
          </w:pPr>
          <w:r>
            <w:t>Ayuntamiento de Tepotzotlán</w:t>
          </w:r>
        </w:p>
      </w:tc>
    </w:tr>
    <w:tr w:rsidR="00151A7F" w14:paraId="7B8E146A" w14:textId="77777777">
      <w:trPr>
        <w:trHeight w:val="276"/>
      </w:trPr>
      <w:tc>
        <w:tcPr>
          <w:tcW w:w="2404" w:type="dxa"/>
        </w:tcPr>
        <w:p w14:paraId="4926028D" w14:textId="77777777" w:rsidR="00151A7F" w:rsidRDefault="00564AFD">
          <w:pPr>
            <w:tabs>
              <w:tab w:val="right" w:pos="8838"/>
            </w:tabs>
            <w:ind w:right="-105"/>
            <w:rPr>
              <w:b/>
            </w:rPr>
          </w:pPr>
          <w:r>
            <w:rPr>
              <w:b/>
            </w:rPr>
            <w:t>Comisionado Ponente:</w:t>
          </w:r>
        </w:p>
      </w:tc>
      <w:tc>
        <w:tcPr>
          <w:tcW w:w="4684" w:type="dxa"/>
        </w:tcPr>
        <w:p w14:paraId="523CA4E0" w14:textId="77777777" w:rsidR="00151A7F" w:rsidRDefault="00564AFD">
          <w:pPr>
            <w:tabs>
              <w:tab w:val="right" w:pos="8838"/>
            </w:tabs>
            <w:ind w:right="454"/>
          </w:pPr>
          <w:r>
            <w:t>Luis Gustavo Parra Noriega</w:t>
          </w:r>
        </w:p>
      </w:tc>
    </w:tr>
  </w:tbl>
  <w:p w14:paraId="14B22E0E" w14:textId="77777777" w:rsidR="00151A7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4050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left:0;text-align:left;margin-left:0;margin-top:0;width:663.5pt;height:12in;z-index:-251659264;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CA71" w14:textId="25767D74" w:rsidR="00151A7F" w:rsidRDefault="00000000">
    <w:pPr>
      <w:widowControl w:val="0"/>
      <w:pBdr>
        <w:top w:val="nil"/>
        <w:left w:val="nil"/>
        <w:bottom w:val="nil"/>
        <w:right w:val="nil"/>
        <w:between w:val="nil"/>
      </w:pBdr>
      <w:spacing w:after="0" w:line="276" w:lineRule="auto"/>
      <w:jc w:val="left"/>
      <w:rPr>
        <w:color w:val="000000"/>
      </w:rPr>
    </w:pPr>
    <w:r>
      <w:rPr>
        <w:color w:val="000000"/>
      </w:rPr>
      <w:pict w14:anchorId="0C25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MARCA DE AGUA - HOJA RESOLUCIÓN" style="position:absolute;margin-left:-71.55pt;margin-top:-139.4pt;width:663.5pt;height:12in;z-index:-251656192;mso-wrap-edited:f;mso-width-percent:0;mso-height-percent:0;mso-position-horizontal-relative:margin;mso-position-vertical-relative:margin;mso-width-percent:0;mso-height-percent:0">
          <v:imagedata r:id="rId1" o:title="image1"/>
          <w10:wrap anchorx="margin" anchory="margin"/>
        </v:shape>
      </w:pict>
    </w:r>
  </w:p>
  <w:tbl>
    <w:tblPr>
      <w:tblStyle w:val="a5"/>
      <w:tblW w:w="9214" w:type="dxa"/>
      <w:tblInd w:w="0" w:type="dxa"/>
      <w:tblLayout w:type="fixed"/>
      <w:tblLook w:val="0400" w:firstRow="0" w:lastRow="0" w:firstColumn="0" w:lastColumn="0" w:noHBand="0" w:noVBand="1"/>
    </w:tblPr>
    <w:tblGrid>
      <w:gridCol w:w="2127"/>
      <w:gridCol w:w="7087"/>
    </w:tblGrid>
    <w:tr w:rsidR="00151A7F" w14:paraId="66F76085" w14:textId="77777777" w:rsidTr="00E9425A">
      <w:trPr>
        <w:trHeight w:val="1546"/>
      </w:trPr>
      <w:tc>
        <w:tcPr>
          <w:tcW w:w="2127" w:type="dxa"/>
        </w:tcPr>
        <w:p w14:paraId="5961341B" w14:textId="42D94D47" w:rsidR="00151A7F" w:rsidRDefault="00151A7F">
          <w:pPr>
            <w:tabs>
              <w:tab w:val="right" w:pos="4273"/>
            </w:tabs>
            <w:rPr>
              <w:rFonts w:ascii="Garamond" w:eastAsia="Garamond" w:hAnsi="Garamond" w:cs="Garamond"/>
              <w:sz w:val="16"/>
              <w:szCs w:val="16"/>
            </w:rPr>
          </w:pPr>
        </w:p>
      </w:tc>
      <w:tc>
        <w:tcPr>
          <w:tcW w:w="7087" w:type="dxa"/>
        </w:tcPr>
        <w:tbl>
          <w:tblPr>
            <w:tblStyle w:val="a6"/>
            <w:tblW w:w="6379" w:type="dxa"/>
            <w:tblInd w:w="1442"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151A7F" w14:paraId="0EB194BB" w14:textId="77777777" w:rsidTr="00E9425A">
            <w:trPr>
              <w:trHeight w:val="141"/>
            </w:trPr>
            <w:tc>
              <w:tcPr>
                <w:tcW w:w="2404" w:type="dxa"/>
                <w:vAlign w:val="bottom"/>
              </w:tcPr>
              <w:p w14:paraId="2FBA6E71" w14:textId="77777777" w:rsidR="00151A7F" w:rsidRDefault="00564AFD">
                <w:pPr>
                  <w:tabs>
                    <w:tab w:val="right" w:pos="8838"/>
                  </w:tabs>
                  <w:ind w:right="-105"/>
                  <w:rPr>
                    <w:b/>
                  </w:rPr>
                </w:pPr>
                <w:r>
                  <w:rPr>
                    <w:b/>
                  </w:rPr>
                  <w:t>Recurso de Revisión:</w:t>
                </w:r>
              </w:p>
            </w:tc>
            <w:tc>
              <w:tcPr>
                <w:tcW w:w="3975" w:type="dxa"/>
              </w:tcPr>
              <w:p w14:paraId="1E2BBAFF" w14:textId="77777777" w:rsidR="00151A7F" w:rsidRDefault="00564AFD">
                <w:pPr>
                  <w:tabs>
                    <w:tab w:val="right" w:pos="8838"/>
                  </w:tabs>
                  <w:ind w:left="-28" w:right="-107"/>
                </w:pPr>
                <w:r>
                  <w:t>09506/INFOEM/IP/RR/2025</w:t>
                </w:r>
              </w:p>
            </w:tc>
          </w:tr>
          <w:tr w:rsidR="00151A7F" w14:paraId="6BEF3ABC" w14:textId="77777777" w:rsidTr="00E9425A">
            <w:trPr>
              <w:trHeight w:val="141"/>
            </w:trPr>
            <w:tc>
              <w:tcPr>
                <w:tcW w:w="2404" w:type="dxa"/>
              </w:tcPr>
              <w:p w14:paraId="4DA37BB9" w14:textId="77777777" w:rsidR="00151A7F" w:rsidRDefault="00564AFD">
                <w:pPr>
                  <w:tabs>
                    <w:tab w:val="right" w:pos="8838"/>
                  </w:tabs>
                  <w:ind w:right="-105"/>
                  <w:rPr>
                    <w:b/>
                  </w:rPr>
                </w:pPr>
                <w:r>
                  <w:rPr>
                    <w:b/>
                  </w:rPr>
                  <w:t>Recurrente:</w:t>
                </w:r>
              </w:p>
            </w:tc>
            <w:tc>
              <w:tcPr>
                <w:tcW w:w="3975" w:type="dxa"/>
              </w:tcPr>
              <w:p w14:paraId="13CE49BB" w14:textId="77777777" w:rsidR="00151A7F" w:rsidRDefault="00151A7F">
                <w:pPr>
                  <w:tabs>
                    <w:tab w:val="right" w:pos="8838"/>
                  </w:tabs>
                  <w:ind w:right="-107"/>
                </w:pPr>
              </w:p>
            </w:tc>
          </w:tr>
          <w:tr w:rsidR="00151A7F" w14:paraId="158E0197" w14:textId="77777777" w:rsidTr="00E9425A">
            <w:trPr>
              <w:trHeight w:val="276"/>
            </w:trPr>
            <w:tc>
              <w:tcPr>
                <w:tcW w:w="2404" w:type="dxa"/>
              </w:tcPr>
              <w:p w14:paraId="53AD3A27" w14:textId="77777777" w:rsidR="00151A7F" w:rsidRDefault="00564AFD">
                <w:pPr>
                  <w:tabs>
                    <w:tab w:val="right" w:pos="8838"/>
                  </w:tabs>
                  <w:ind w:right="-105"/>
                  <w:rPr>
                    <w:b/>
                  </w:rPr>
                </w:pPr>
                <w:r>
                  <w:rPr>
                    <w:b/>
                  </w:rPr>
                  <w:t>Sujeto Obligado:</w:t>
                </w:r>
              </w:p>
            </w:tc>
            <w:tc>
              <w:tcPr>
                <w:tcW w:w="3975" w:type="dxa"/>
              </w:tcPr>
              <w:p w14:paraId="379CCDC0" w14:textId="77777777" w:rsidR="00151A7F" w:rsidRDefault="00564AFD">
                <w:pPr>
                  <w:tabs>
                    <w:tab w:val="right" w:pos="8838"/>
                  </w:tabs>
                  <w:ind w:right="33"/>
                </w:pPr>
                <w:r>
                  <w:t>Ayuntamiento de Tepotzotlán</w:t>
                </w:r>
              </w:p>
            </w:tc>
          </w:tr>
          <w:tr w:rsidR="00151A7F" w14:paraId="291A804D" w14:textId="77777777" w:rsidTr="00E9425A">
            <w:trPr>
              <w:trHeight w:val="276"/>
            </w:trPr>
            <w:tc>
              <w:tcPr>
                <w:tcW w:w="2404" w:type="dxa"/>
              </w:tcPr>
              <w:p w14:paraId="03DFB23C" w14:textId="77777777" w:rsidR="00151A7F" w:rsidRDefault="00564AFD">
                <w:pPr>
                  <w:tabs>
                    <w:tab w:val="right" w:pos="8838"/>
                  </w:tabs>
                  <w:ind w:right="-105"/>
                  <w:rPr>
                    <w:b/>
                  </w:rPr>
                </w:pPr>
                <w:r>
                  <w:rPr>
                    <w:b/>
                  </w:rPr>
                  <w:t>Comisionado Ponente:</w:t>
                </w:r>
              </w:p>
            </w:tc>
            <w:tc>
              <w:tcPr>
                <w:tcW w:w="3975" w:type="dxa"/>
              </w:tcPr>
              <w:p w14:paraId="37C55A00" w14:textId="77777777" w:rsidR="00151A7F" w:rsidRDefault="00564AFD">
                <w:pPr>
                  <w:tabs>
                    <w:tab w:val="right" w:pos="8838"/>
                  </w:tabs>
                  <w:ind w:right="-107"/>
                </w:pPr>
                <w:r>
                  <w:t>Luis Gustavo Parra Noriega</w:t>
                </w:r>
              </w:p>
            </w:tc>
          </w:tr>
        </w:tbl>
        <w:p w14:paraId="78B8DCB1" w14:textId="77777777" w:rsidR="00151A7F" w:rsidRDefault="00151A7F">
          <w:pPr>
            <w:tabs>
              <w:tab w:val="right" w:pos="8838"/>
            </w:tabs>
            <w:ind w:left="-28"/>
            <w:rPr>
              <w:rFonts w:ascii="Arial" w:eastAsia="Arial" w:hAnsi="Arial" w:cs="Arial"/>
              <w:b/>
            </w:rPr>
          </w:pPr>
        </w:p>
      </w:tc>
    </w:tr>
  </w:tbl>
  <w:p w14:paraId="3B3EAFA6" w14:textId="77777777" w:rsidR="00151A7F" w:rsidRDefault="00151A7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1AA1"/>
    <w:multiLevelType w:val="multilevel"/>
    <w:tmpl w:val="738A177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0402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7F"/>
    <w:rsid w:val="00151A7F"/>
    <w:rsid w:val="001E2589"/>
    <w:rsid w:val="00207D9B"/>
    <w:rsid w:val="003717BA"/>
    <w:rsid w:val="00537AF2"/>
    <w:rsid w:val="00564AFD"/>
    <w:rsid w:val="008816A2"/>
    <w:rsid w:val="00903869"/>
    <w:rsid w:val="009678F6"/>
    <w:rsid w:val="00A56E09"/>
    <w:rsid w:val="00C2205E"/>
    <w:rsid w:val="00C661EC"/>
    <w:rsid w:val="00DF653C"/>
    <w:rsid w:val="00E465DE"/>
    <w:rsid w:val="00E94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FD50E"/>
  <w15:docId w15:val="{3F09561D-B30F-4920-A75A-A4695C7B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paragraph" w:customStyle="1" w:styleId="p1">
    <w:name w:val="p1"/>
    <w:basedOn w:val="Normal"/>
    <w:rsid w:val="00720E7D"/>
    <w:pPr>
      <w:spacing w:after="0" w:line="240" w:lineRule="auto"/>
      <w:jc w:val="left"/>
    </w:pPr>
    <w:rPr>
      <w:rFonts w:ascii="Bookman Old Style" w:eastAsia="Times New Roman" w:hAnsi="Bookman Old Style" w:cs="Times New Roman"/>
      <w:color w:val="000000"/>
      <w:sz w:val="15"/>
      <w:szCs w:val="15"/>
    </w:rPr>
  </w:style>
  <w:style w:type="paragraph" w:customStyle="1" w:styleId="p2">
    <w:name w:val="p2"/>
    <w:basedOn w:val="Normal"/>
    <w:rsid w:val="00720E7D"/>
    <w:pPr>
      <w:spacing w:after="0" w:line="240" w:lineRule="auto"/>
      <w:jc w:val="left"/>
    </w:pPr>
    <w:rPr>
      <w:rFonts w:ascii="Bookman Old Style" w:eastAsia="Times New Roman" w:hAnsi="Bookman Old Style" w:cs="Times New Roman"/>
      <w:color w:val="000000"/>
      <w:sz w:val="12"/>
      <w:szCs w:val="12"/>
    </w:rPr>
  </w:style>
  <w:style w:type="paragraph" w:customStyle="1" w:styleId="p3">
    <w:name w:val="p3"/>
    <w:basedOn w:val="Normal"/>
    <w:rsid w:val="00720E7D"/>
    <w:pPr>
      <w:spacing w:after="0" w:line="240" w:lineRule="auto"/>
      <w:jc w:val="left"/>
    </w:pPr>
    <w:rPr>
      <w:rFonts w:ascii="Bookman Old Style" w:eastAsia="Times New Roman" w:hAnsi="Bookman Old Style" w:cs="Times New Roman"/>
      <w:color w:val="355BB7"/>
      <w:sz w:val="12"/>
      <w:szCs w:val="12"/>
    </w:rPr>
  </w:style>
  <w:style w:type="character" w:customStyle="1" w:styleId="s1">
    <w:name w:val="s1"/>
    <w:basedOn w:val="Fuentedeprrafopredeter"/>
    <w:rsid w:val="00720E7D"/>
    <w:rPr>
      <w:rFonts w:ascii="Arial" w:hAnsi="Arial" w:cs="Arial" w:hint="default"/>
      <w:sz w:val="15"/>
      <w:szCs w:val="15"/>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jhxPKnRms2i427ECijn2h2Cg==">CgMxLjAyDmgudWdsNm4wdWo5c2x2Mg5oLnA1NTVvOGViMW5hbDINaC4zOHQ1ZDY3emxmOTIOaC5oYnBtbG14bWlhMG8yDmgucmIxYWF6OGZwZ2lqMg5oLjJwNGU1bThpOTN4dTIOaC5vd2FlNDNpY3p0b3kyDmgucnd6NWoxa3VhaHNvMg5oLmtmZ29sbW1xYWNudTIOaC5lcHQ0OHVnNzN6NHgyDmgudjllYnhwamkzaWQyMg5oLmMwOGtpd3UzcW5ldTgAciExckZHcG1CQU9oRHg2MUFPZ3RHb3dMWGppU0hIS0hCT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3885</Words>
  <Characters>21372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2025-09-05T03:57:00Z</cp:lastPrinted>
  <dcterms:created xsi:type="dcterms:W3CDTF">2025-09-05T03:57:00Z</dcterms:created>
  <dcterms:modified xsi:type="dcterms:W3CDTF">2025-09-05T03:59:00Z</dcterms:modified>
</cp:coreProperties>
</file>