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55C8E" w:rsidRDefault="00AE3DA7" w:rsidP="00906179">
          <w:pPr>
            <w:pStyle w:val="TtulodeTDC"/>
            <w:spacing w:before="0" w:line="240" w:lineRule="auto"/>
            <w:rPr>
              <w:rFonts w:ascii="Palatino Linotype" w:hAnsi="Palatino Linotype"/>
              <w:color w:val="auto"/>
              <w:sz w:val="24"/>
              <w:szCs w:val="24"/>
              <w:lang w:val="es-ES"/>
            </w:rPr>
          </w:pPr>
          <w:r w:rsidRPr="00B55C8E">
            <w:rPr>
              <w:rFonts w:ascii="Palatino Linotype" w:hAnsi="Palatino Linotype"/>
              <w:color w:val="auto"/>
              <w:sz w:val="24"/>
              <w:szCs w:val="24"/>
              <w:lang w:val="es-ES"/>
            </w:rPr>
            <w:t>Contenido</w:t>
          </w:r>
        </w:p>
        <w:p w14:paraId="3EB312A7" w14:textId="77777777" w:rsidR="00AA6EA9" w:rsidRPr="00B55C8E" w:rsidRDefault="00AA6EA9" w:rsidP="00906179">
          <w:pPr>
            <w:spacing w:line="240" w:lineRule="auto"/>
            <w:rPr>
              <w:sz w:val="16"/>
              <w:szCs w:val="16"/>
              <w:lang w:val="es-ES" w:eastAsia="es-MX"/>
            </w:rPr>
          </w:pPr>
        </w:p>
        <w:p w14:paraId="65E848E0" w14:textId="77777777" w:rsidR="00906179" w:rsidRPr="00B55C8E" w:rsidRDefault="00AE3DA7" w:rsidP="00906179">
          <w:pPr>
            <w:pStyle w:val="TDC1"/>
            <w:tabs>
              <w:tab w:val="right" w:leader="dot" w:pos="9034"/>
            </w:tabs>
            <w:rPr>
              <w:rFonts w:asciiTheme="minorHAnsi" w:eastAsiaTheme="minorEastAsia" w:hAnsiTheme="minorHAnsi" w:cstheme="minorBidi"/>
              <w:noProof/>
              <w:szCs w:val="22"/>
              <w:lang w:eastAsia="es-MX"/>
            </w:rPr>
          </w:pPr>
          <w:r w:rsidRPr="00B55C8E">
            <w:rPr>
              <w:sz w:val="16"/>
              <w:szCs w:val="16"/>
            </w:rPr>
            <w:fldChar w:fldCharType="begin"/>
          </w:r>
          <w:r w:rsidRPr="00B55C8E">
            <w:rPr>
              <w:sz w:val="16"/>
              <w:szCs w:val="16"/>
            </w:rPr>
            <w:instrText xml:space="preserve"> TOC \o "1-3" \h \z \u </w:instrText>
          </w:r>
          <w:r w:rsidRPr="00B55C8E">
            <w:rPr>
              <w:sz w:val="16"/>
              <w:szCs w:val="16"/>
            </w:rPr>
            <w:fldChar w:fldCharType="separate"/>
          </w:r>
          <w:hyperlink w:anchor="_Toc211447467" w:history="1">
            <w:r w:rsidR="00906179" w:rsidRPr="00B55C8E">
              <w:rPr>
                <w:rStyle w:val="Hipervnculo"/>
                <w:noProof/>
                <w:color w:val="auto"/>
              </w:rPr>
              <w:t>ANTECEDENTES</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_Toc211447467 \h </w:instrText>
            </w:r>
            <w:r w:rsidR="00906179" w:rsidRPr="00B55C8E">
              <w:rPr>
                <w:noProof/>
                <w:webHidden/>
              </w:rPr>
            </w:r>
            <w:r w:rsidR="00906179" w:rsidRPr="00B55C8E">
              <w:rPr>
                <w:noProof/>
                <w:webHidden/>
              </w:rPr>
              <w:fldChar w:fldCharType="separate"/>
            </w:r>
            <w:r w:rsidR="00B55C8E">
              <w:rPr>
                <w:noProof/>
                <w:webHidden/>
              </w:rPr>
              <w:t>1</w:t>
            </w:r>
            <w:r w:rsidR="00906179" w:rsidRPr="00B55C8E">
              <w:rPr>
                <w:noProof/>
                <w:webHidden/>
              </w:rPr>
              <w:fldChar w:fldCharType="end"/>
            </w:r>
          </w:hyperlink>
        </w:p>
        <w:p w14:paraId="1B40971D" w14:textId="77777777" w:rsidR="00906179" w:rsidRPr="00B55C8E" w:rsidRDefault="00EF18B3" w:rsidP="00906179">
          <w:pPr>
            <w:pStyle w:val="TDC2"/>
            <w:rPr>
              <w:rFonts w:asciiTheme="minorHAnsi" w:eastAsiaTheme="minorEastAsia" w:hAnsiTheme="minorHAnsi" w:cstheme="minorBidi"/>
              <w:noProof/>
              <w:szCs w:val="22"/>
              <w:lang w:eastAsia="es-MX"/>
            </w:rPr>
          </w:pPr>
          <w:hyperlink w:anchor="_Toc211447468" w:history="1">
            <w:r w:rsidR="00906179" w:rsidRPr="00B55C8E">
              <w:rPr>
                <w:rStyle w:val="Hipervnculo"/>
                <w:noProof/>
                <w:color w:val="auto"/>
              </w:rPr>
              <w:t>DE LA SOLICITUD DE INFORMACIÓN</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_Toc211447468 \h </w:instrText>
            </w:r>
            <w:r w:rsidR="00906179" w:rsidRPr="00B55C8E">
              <w:rPr>
                <w:noProof/>
                <w:webHidden/>
              </w:rPr>
            </w:r>
            <w:r w:rsidR="00906179" w:rsidRPr="00B55C8E">
              <w:rPr>
                <w:noProof/>
                <w:webHidden/>
              </w:rPr>
              <w:fldChar w:fldCharType="separate"/>
            </w:r>
            <w:r w:rsidR="00B55C8E">
              <w:rPr>
                <w:noProof/>
                <w:webHidden/>
              </w:rPr>
              <w:t>1</w:t>
            </w:r>
            <w:r w:rsidR="00906179" w:rsidRPr="00B55C8E">
              <w:rPr>
                <w:noProof/>
                <w:webHidden/>
              </w:rPr>
              <w:fldChar w:fldCharType="end"/>
            </w:r>
          </w:hyperlink>
        </w:p>
        <w:p w14:paraId="17F1EFEE"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69" w:history="1">
            <w:r w:rsidR="00906179" w:rsidRPr="00B55C8E">
              <w:rPr>
                <w:rStyle w:val="Hipervnculo"/>
                <w:noProof/>
                <w:color w:val="auto"/>
              </w:rPr>
              <w:t>a) Solicitud de información</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_Toc211447469 \h </w:instrText>
            </w:r>
            <w:r w:rsidR="00906179" w:rsidRPr="00B55C8E">
              <w:rPr>
                <w:noProof/>
                <w:webHidden/>
              </w:rPr>
            </w:r>
            <w:r w:rsidR="00906179" w:rsidRPr="00B55C8E">
              <w:rPr>
                <w:noProof/>
                <w:webHidden/>
              </w:rPr>
              <w:fldChar w:fldCharType="separate"/>
            </w:r>
            <w:r w:rsidR="00B55C8E">
              <w:rPr>
                <w:noProof/>
                <w:webHidden/>
              </w:rPr>
              <w:t>1</w:t>
            </w:r>
            <w:r w:rsidR="00906179" w:rsidRPr="00B55C8E">
              <w:rPr>
                <w:noProof/>
                <w:webHidden/>
              </w:rPr>
              <w:fldChar w:fldCharType="end"/>
            </w:r>
          </w:hyperlink>
        </w:p>
        <w:p w14:paraId="378E405F"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70" w:history="1">
            <w:r w:rsidR="00906179" w:rsidRPr="00B55C8E">
              <w:rPr>
                <w:rStyle w:val="Hipervnculo"/>
                <w:noProof/>
                <w:color w:val="auto"/>
                <w:lang w:val="es-ES"/>
              </w:rPr>
              <w:t>b) Solicitud de aclaración</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_Toc211447470 \h </w:instrText>
            </w:r>
            <w:r w:rsidR="00906179" w:rsidRPr="00B55C8E">
              <w:rPr>
                <w:noProof/>
                <w:webHidden/>
              </w:rPr>
            </w:r>
            <w:r w:rsidR="00906179" w:rsidRPr="00B55C8E">
              <w:rPr>
                <w:noProof/>
                <w:webHidden/>
              </w:rPr>
              <w:fldChar w:fldCharType="separate"/>
            </w:r>
            <w:r w:rsidR="00B55C8E">
              <w:rPr>
                <w:noProof/>
                <w:webHidden/>
              </w:rPr>
              <w:t>2</w:t>
            </w:r>
            <w:r w:rsidR="00906179" w:rsidRPr="00B55C8E">
              <w:rPr>
                <w:noProof/>
                <w:webHidden/>
              </w:rPr>
              <w:fldChar w:fldCharType="end"/>
            </w:r>
          </w:hyperlink>
        </w:p>
        <w:p w14:paraId="67485E37"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71" w:history="1">
            <w:r w:rsidR="00906179" w:rsidRPr="00B55C8E">
              <w:rPr>
                <w:rStyle w:val="Hipervnculo"/>
                <w:noProof/>
                <w:color w:val="auto"/>
                <w:lang w:val="es-ES"/>
              </w:rPr>
              <w:t>c) Aclaración</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_Toc211447471 \h </w:instrText>
            </w:r>
            <w:r w:rsidR="00906179" w:rsidRPr="00B55C8E">
              <w:rPr>
                <w:noProof/>
                <w:webHidden/>
              </w:rPr>
            </w:r>
            <w:r w:rsidR="00906179" w:rsidRPr="00B55C8E">
              <w:rPr>
                <w:noProof/>
                <w:webHidden/>
              </w:rPr>
              <w:fldChar w:fldCharType="separate"/>
            </w:r>
            <w:r w:rsidR="00B55C8E">
              <w:rPr>
                <w:noProof/>
                <w:webHidden/>
              </w:rPr>
              <w:t>2</w:t>
            </w:r>
            <w:r w:rsidR="00906179" w:rsidRPr="00B55C8E">
              <w:rPr>
                <w:noProof/>
                <w:webHidden/>
              </w:rPr>
              <w:fldChar w:fldCharType="end"/>
            </w:r>
          </w:hyperlink>
        </w:p>
        <w:p w14:paraId="5E535EC9"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72" w:history="1">
            <w:r w:rsidR="00906179" w:rsidRPr="00B55C8E">
              <w:rPr>
                <w:rStyle w:val="Hipervnculo"/>
                <w:noProof/>
                <w:color w:val="auto"/>
              </w:rPr>
              <w:t xml:space="preserve">d) </w:t>
            </w:r>
            <w:r w:rsidR="00906179" w:rsidRPr="00B55C8E">
              <w:rPr>
                <w:rStyle w:val="Hipervnculo"/>
                <w:noProof/>
                <w:color w:val="auto"/>
                <w:lang w:val="es-ES"/>
              </w:rPr>
              <w:t xml:space="preserve">Respuesta </w:t>
            </w:r>
            <w:r w:rsidR="00906179" w:rsidRPr="00B55C8E">
              <w:rPr>
                <w:rStyle w:val="Hipervnculo"/>
                <w:rFonts w:eastAsia="Calibri"/>
                <w:noProof/>
                <w:color w:val="auto"/>
                <w:lang w:eastAsia="en-US"/>
              </w:rPr>
              <w:t>del Sujeto Obligado</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_Toc211447472 \h </w:instrText>
            </w:r>
            <w:r w:rsidR="00906179" w:rsidRPr="00B55C8E">
              <w:rPr>
                <w:noProof/>
                <w:webHidden/>
              </w:rPr>
            </w:r>
            <w:r w:rsidR="00906179" w:rsidRPr="00B55C8E">
              <w:rPr>
                <w:noProof/>
                <w:webHidden/>
              </w:rPr>
              <w:fldChar w:fldCharType="separate"/>
            </w:r>
            <w:r w:rsidR="00B55C8E">
              <w:rPr>
                <w:noProof/>
                <w:webHidden/>
              </w:rPr>
              <w:t>3</w:t>
            </w:r>
            <w:r w:rsidR="00906179" w:rsidRPr="00B55C8E">
              <w:rPr>
                <w:noProof/>
                <w:webHidden/>
              </w:rPr>
              <w:fldChar w:fldCharType="end"/>
            </w:r>
          </w:hyperlink>
        </w:p>
        <w:p w14:paraId="3F683A0F" w14:textId="77777777" w:rsidR="00906179" w:rsidRPr="00B55C8E" w:rsidRDefault="00EF18B3" w:rsidP="00906179">
          <w:pPr>
            <w:pStyle w:val="TDC2"/>
            <w:rPr>
              <w:rFonts w:asciiTheme="minorHAnsi" w:eastAsiaTheme="minorEastAsia" w:hAnsiTheme="minorHAnsi" w:cstheme="minorBidi"/>
              <w:noProof/>
              <w:szCs w:val="22"/>
              <w:lang w:eastAsia="es-MX"/>
            </w:rPr>
          </w:pPr>
          <w:hyperlink w:anchor="_Toc211447473" w:history="1">
            <w:r w:rsidR="00906179" w:rsidRPr="00B55C8E">
              <w:rPr>
                <w:rStyle w:val="Hipervnculo"/>
                <w:noProof/>
                <w:color w:val="auto"/>
              </w:rPr>
              <w:t>DEL RECURSO DE REVISIÓN</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_Toc211447473 \h </w:instrText>
            </w:r>
            <w:r w:rsidR="00906179" w:rsidRPr="00B55C8E">
              <w:rPr>
                <w:noProof/>
                <w:webHidden/>
              </w:rPr>
            </w:r>
            <w:r w:rsidR="00906179" w:rsidRPr="00B55C8E">
              <w:rPr>
                <w:noProof/>
                <w:webHidden/>
              </w:rPr>
              <w:fldChar w:fldCharType="separate"/>
            </w:r>
            <w:r w:rsidR="00B55C8E">
              <w:rPr>
                <w:noProof/>
                <w:webHidden/>
              </w:rPr>
              <w:t>4</w:t>
            </w:r>
            <w:r w:rsidR="00906179" w:rsidRPr="00B55C8E">
              <w:rPr>
                <w:noProof/>
                <w:webHidden/>
              </w:rPr>
              <w:fldChar w:fldCharType="end"/>
            </w:r>
          </w:hyperlink>
        </w:p>
        <w:p w14:paraId="1C8820A7"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74" w:history="1">
            <w:r w:rsidR="00906179" w:rsidRPr="00B55C8E">
              <w:rPr>
                <w:rStyle w:val="Hipervnculo"/>
                <w:noProof/>
                <w:color w:val="auto"/>
              </w:rPr>
              <w:t>a) Interposición del Recurso de Revisión</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_Toc211447474 \h </w:instrText>
            </w:r>
            <w:r w:rsidR="00906179" w:rsidRPr="00B55C8E">
              <w:rPr>
                <w:noProof/>
                <w:webHidden/>
              </w:rPr>
            </w:r>
            <w:r w:rsidR="00906179" w:rsidRPr="00B55C8E">
              <w:rPr>
                <w:noProof/>
                <w:webHidden/>
              </w:rPr>
              <w:fldChar w:fldCharType="separate"/>
            </w:r>
            <w:r w:rsidR="00B55C8E">
              <w:rPr>
                <w:noProof/>
                <w:webHidden/>
              </w:rPr>
              <w:t>4</w:t>
            </w:r>
            <w:r w:rsidR="00906179" w:rsidRPr="00B55C8E">
              <w:rPr>
                <w:noProof/>
                <w:webHidden/>
              </w:rPr>
              <w:fldChar w:fldCharType="end"/>
            </w:r>
          </w:hyperlink>
        </w:p>
        <w:p w14:paraId="2D5959EC"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75" w:history="1">
            <w:r w:rsidR="00906179" w:rsidRPr="00B55C8E">
              <w:rPr>
                <w:rStyle w:val="Hipervnculo"/>
                <w:noProof/>
                <w:color w:val="auto"/>
              </w:rPr>
              <w:t>b) Turno del Recurso de Revisión</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_Toc211447475 \h </w:instrText>
            </w:r>
            <w:r w:rsidR="00906179" w:rsidRPr="00B55C8E">
              <w:rPr>
                <w:noProof/>
                <w:webHidden/>
              </w:rPr>
            </w:r>
            <w:r w:rsidR="00906179" w:rsidRPr="00B55C8E">
              <w:rPr>
                <w:noProof/>
                <w:webHidden/>
              </w:rPr>
              <w:fldChar w:fldCharType="separate"/>
            </w:r>
            <w:r w:rsidR="00B55C8E">
              <w:rPr>
                <w:noProof/>
                <w:webHidden/>
              </w:rPr>
              <w:t>5</w:t>
            </w:r>
            <w:r w:rsidR="00906179" w:rsidRPr="00B55C8E">
              <w:rPr>
                <w:noProof/>
                <w:webHidden/>
              </w:rPr>
              <w:fldChar w:fldCharType="end"/>
            </w:r>
          </w:hyperlink>
        </w:p>
        <w:p w14:paraId="57DB6F80"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76" w:history="1">
            <w:r w:rsidR="00906179" w:rsidRPr="00B55C8E">
              <w:rPr>
                <w:rStyle w:val="Hipervnculo"/>
                <w:noProof/>
                <w:color w:val="auto"/>
              </w:rPr>
              <w:t>c) Admisión del Recurso de Revisión</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_Toc211447476 \h </w:instrText>
            </w:r>
            <w:r w:rsidR="00906179" w:rsidRPr="00B55C8E">
              <w:rPr>
                <w:noProof/>
                <w:webHidden/>
              </w:rPr>
            </w:r>
            <w:r w:rsidR="00906179" w:rsidRPr="00B55C8E">
              <w:rPr>
                <w:noProof/>
                <w:webHidden/>
              </w:rPr>
              <w:fldChar w:fldCharType="separate"/>
            </w:r>
            <w:r w:rsidR="00B55C8E">
              <w:rPr>
                <w:noProof/>
                <w:webHidden/>
              </w:rPr>
              <w:t>5</w:t>
            </w:r>
            <w:r w:rsidR="00906179" w:rsidRPr="00B55C8E">
              <w:rPr>
                <w:noProof/>
                <w:webHidden/>
              </w:rPr>
              <w:fldChar w:fldCharType="end"/>
            </w:r>
          </w:hyperlink>
        </w:p>
        <w:p w14:paraId="18516741"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77" w:history="1">
            <w:r w:rsidR="00906179" w:rsidRPr="00B55C8E">
              <w:rPr>
                <w:rStyle w:val="Hipervnculo"/>
                <w:noProof/>
                <w:color w:val="auto"/>
              </w:rPr>
              <w:t>d) Informe Justificado del Sujeto Obligado</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_Toc211447477 \h </w:instrText>
            </w:r>
            <w:r w:rsidR="00906179" w:rsidRPr="00B55C8E">
              <w:rPr>
                <w:noProof/>
                <w:webHidden/>
              </w:rPr>
            </w:r>
            <w:r w:rsidR="00906179" w:rsidRPr="00B55C8E">
              <w:rPr>
                <w:noProof/>
                <w:webHidden/>
              </w:rPr>
              <w:fldChar w:fldCharType="separate"/>
            </w:r>
            <w:r w:rsidR="00B55C8E">
              <w:rPr>
                <w:noProof/>
                <w:webHidden/>
              </w:rPr>
              <w:t>5</w:t>
            </w:r>
            <w:r w:rsidR="00906179" w:rsidRPr="00B55C8E">
              <w:rPr>
                <w:noProof/>
                <w:webHidden/>
              </w:rPr>
              <w:fldChar w:fldCharType="end"/>
            </w:r>
          </w:hyperlink>
        </w:p>
        <w:p w14:paraId="05F2F5B8"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78" w:history="1">
            <w:r w:rsidR="00906179" w:rsidRPr="00B55C8E">
              <w:rPr>
                <w:rStyle w:val="Hipervnculo"/>
                <w:rFonts w:eastAsia="Calibri"/>
                <w:bCs/>
                <w:noProof/>
                <w:color w:val="auto"/>
                <w:lang w:eastAsia="en-US"/>
              </w:rPr>
              <w:t>e)</w:t>
            </w:r>
            <w:r w:rsidR="00906179" w:rsidRPr="00B55C8E">
              <w:rPr>
                <w:rStyle w:val="Hipervnculo"/>
                <w:noProof/>
                <w:color w:val="auto"/>
              </w:rPr>
              <w:t xml:space="preserve"> </w:t>
            </w:r>
            <w:r w:rsidR="00906179" w:rsidRPr="00B55C8E">
              <w:rPr>
                <w:rStyle w:val="Hipervnculo"/>
                <w:noProof/>
                <w:color w:val="auto"/>
                <w:lang w:val="es-ES"/>
              </w:rPr>
              <w:t>Manifestaciones de la Parte Recurrente</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_Toc211447478 \h </w:instrText>
            </w:r>
            <w:r w:rsidR="00906179" w:rsidRPr="00B55C8E">
              <w:rPr>
                <w:noProof/>
                <w:webHidden/>
              </w:rPr>
            </w:r>
            <w:r w:rsidR="00906179" w:rsidRPr="00B55C8E">
              <w:rPr>
                <w:noProof/>
                <w:webHidden/>
              </w:rPr>
              <w:fldChar w:fldCharType="separate"/>
            </w:r>
            <w:r w:rsidR="00B55C8E">
              <w:rPr>
                <w:noProof/>
                <w:webHidden/>
              </w:rPr>
              <w:t>5</w:t>
            </w:r>
            <w:r w:rsidR="00906179" w:rsidRPr="00B55C8E">
              <w:rPr>
                <w:noProof/>
                <w:webHidden/>
              </w:rPr>
              <w:fldChar w:fldCharType="end"/>
            </w:r>
          </w:hyperlink>
        </w:p>
        <w:p w14:paraId="54C943CC"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79" w:history="1">
            <w:r w:rsidR="00906179" w:rsidRPr="00B55C8E">
              <w:rPr>
                <w:rStyle w:val="Hipervnculo"/>
                <w:noProof/>
                <w:color w:val="auto"/>
                <w:lang w:val="es-ES"/>
              </w:rPr>
              <w:t xml:space="preserve">f) </w:t>
            </w:r>
            <w:r w:rsidR="00906179" w:rsidRPr="00B55C8E">
              <w:rPr>
                <w:rStyle w:val="Hipervnculo"/>
                <w:noProof/>
                <w:color w:val="auto"/>
              </w:rPr>
              <w:t>Cierre de instrucción</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_Toc211447479 \h </w:instrText>
            </w:r>
            <w:r w:rsidR="00906179" w:rsidRPr="00B55C8E">
              <w:rPr>
                <w:noProof/>
                <w:webHidden/>
              </w:rPr>
            </w:r>
            <w:r w:rsidR="00906179" w:rsidRPr="00B55C8E">
              <w:rPr>
                <w:noProof/>
                <w:webHidden/>
              </w:rPr>
              <w:fldChar w:fldCharType="separate"/>
            </w:r>
            <w:r w:rsidR="00B55C8E">
              <w:rPr>
                <w:noProof/>
                <w:webHidden/>
              </w:rPr>
              <w:t>5</w:t>
            </w:r>
            <w:r w:rsidR="00906179" w:rsidRPr="00B55C8E">
              <w:rPr>
                <w:noProof/>
                <w:webHidden/>
              </w:rPr>
              <w:fldChar w:fldCharType="end"/>
            </w:r>
          </w:hyperlink>
        </w:p>
        <w:p w14:paraId="483ACC8A" w14:textId="77777777" w:rsidR="00906179" w:rsidRPr="00B55C8E" w:rsidRDefault="00EF18B3" w:rsidP="00906179">
          <w:pPr>
            <w:pStyle w:val="TDC1"/>
            <w:tabs>
              <w:tab w:val="right" w:leader="dot" w:pos="9034"/>
            </w:tabs>
            <w:rPr>
              <w:rFonts w:asciiTheme="minorHAnsi" w:eastAsiaTheme="minorEastAsia" w:hAnsiTheme="minorHAnsi" w:cstheme="minorBidi"/>
              <w:noProof/>
              <w:szCs w:val="22"/>
              <w:lang w:eastAsia="es-MX"/>
            </w:rPr>
          </w:pPr>
          <w:hyperlink w:anchor="_Toc211447480" w:history="1">
            <w:r w:rsidR="00906179" w:rsidRPr="00B55C8E">
              <w:rPr>
                <w:rStyle w:val="Hipervnculo"/>
                <w:rFonts w:eastAsiaTheme="minorHAnsi"/>
                <w:noProof/>
                <w:color w:val="auto"/>
                <w:lang w:eastAsia="en-US"/>
              </w:rPr>
              <w:t>CONSIDERANDOS</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_Toc211447480 \h </w:instrText>
            </w:r>
            <w:r w:rsidR="00906179" w:rsidRPr="00B55C8E">
              <w:rPr>
                <w:noProof/>
                <w:webHidden/>
              </w:rPr>
            </w:r>
            <w:r w:rsidR="00906179" w:rsidRPr="00B55C8E">
              <w:rPr>
                <w:noProof/>
                <w:webHidden/>
              </w:rPr>
              <w:fldChar w:fldCharType="separate"/>
            </w:r>
            <w:r w:rsidR="00B55C8E">
              <w:rPr>
                <w:noProof/>
                <w:webHidden/>
              </w:rPr>
              <w:t>6</w:t>
            </w:r>
            <w:r w:rsidR="00906179" w:rsidRPr="00B55C8E">
              <w:rPr>
                <w:noProof/>
                <w:webHidden/>
              </w:rPr>
              <w:fldChar w:fldCharType="end"/>
            </w:r>
          </w:hyperlink>
        </w:p>
        <w:p w14:paraId="12C5A566" w14:textId="77777777" w:rsidR="00906179" w:rsidRPr="00B55C8E" w:rsidRDefault="00EF18B3" w:rsidP="00906179">
          <w:pPr>
            <w:pStyle w:val="TDC2"/>
            <w:rPr>
              <w:rFonts w:asciiTheme="minorHAnsi" w:eastAsiaTheme="minorEastAsia" w:hAnsiTheme="minorHAnsi" w:cstheme="minorBidi"/>
              <w:noProof/>
              <w:szCs w:val="22"/>
              <w:lang w:eastAsia="es-MX"/>
            </w:rPr>
          </w:pPr>
          <w:hyperlink w:anchor="_Toc211447481" w:history="1">
            <w:r w:rsidR="00906179" w:rsidRPr="00B55C8E">
              <w:rPr>
                <w:rStyle w:val="Hipervnculo"/>
                <w:rFonts w:eastAsia="Batang"/>
                <w:noProof/>
                <w:color w:val="auto"/>
              </w:rPr>
              <w:t>PRIMERO. Procedibilidad</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_Toc211447481 \h </w:instrText>
            </w:r>
            <w:r w:rsidR="00906179" w:rsidRPr="00B55C8E">
              <w:rPr>
                <w:noProof/>
                <w:webHidden/>
              </w:rPr>
            </w:r>
            <w:r w:rsidR="00906179" w:rsidRPr="00B55C8E">
              <w:rPr>
                <w:noProof/>
                <w:webHidden/>
              </w:rPr>
              <w:fldChar w:fldCharType="separate"/>
            </w:r>
            <w:r w:rsidR="00B55C8E">
              <w:rPr>
                <w:noProof/>
                <w:webHidden/>
              </w:rPr>
              <w:t>6</w:t>
            </w:r>
            <w:r w:rsidR="00906179" w:rsidRPr="00B55C8E">
              <w:rPr>
                <w:noProof/>
                <w:webHidden/>
              </w:rPr>
              <w:fldChar w:fldCharType="end"/>
            </w:r>
          </w:hyperlink>
        </w:p>
        <w:p w14:paraId="4366F6AC"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82" w:history="1">
            <w:r w:rsidR="00906179" w:rsidRPr="00B55C8E">
              <w:rPr>
                <w:rStyle w:val="Hipervnculo"/>
                <w:noProof/>
                <w:color w:val="auto"/>
              </w:rPr>
              <w:t>a) Competencia del Instituto</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_Toc211447482 \h </w:instrText>
            </w:r>
            <w:r w:rsidR="00906179" w:rsidRPr="00B55C8E">
              <w:rPr>
                <w:noProof/>
                <w:webHidden/>
              </w:rPr>
            </w:r>
            <w:r w:rsidR="00906179" w:rsidRPr="00B55C8E">
              <w:rPr>
                <w:noProof/>
                <w:webHidden/>
              </w:rPr>
              <w:fldChar w:fldCharType="separate"/>
            </w:r>
            <w:r w:rsidR="00B55C8E">
              <w:rPr>
                <w:noProof/>
                <w:webHidden/>
              </w:rPr>
              <w:t>6</w:t>
            </w:r>
            <w:r w:rsidR="00906179" w:rsidRPr="00B55C8E">
              <w:rPr>
                <w:noProof/>
                <w:webHidden/>
              </w:rPr>
              <w:fldChar w:fldCharType="end"/>
            </w:r>
          </w:hyperlink>
        </w:p>
        <w:p w14:paraId="6011FC4C"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83" w:history="1">
            <w:r w:rsidR="00906179" w:rsidRPr="00B55C8E">
              <w:rPr>
                <w:rStyle w:val="Hipervnculo"/>
                <w:noProof/>
                <w:color w:val="auto"/>
              </w:rPr>
              <w:t>b) Legitimidad de la parte recurrente</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_Toc211447483 \h </w:instrText>
            </w:r>
            <w:r w:rsidR="00906179" w:rsidRPr="00B55C8E">
              <w:rPr>
                <w:noProof/>
                <w:webHidden/>
              </w:rPr>
            </w:r>
            <w:r w:rsidR="00906179" w:rsidRPr="00B55C8E">
              <w:rPr>
                <w:noProof/>
                <w:webHidden/>
              </w:rPr>
              <w:fldChar w:fldCharType="separate"/>
            </w:r>
            <w:r w:rsidR="00B55C8E">
              <w:rPr>
                <w:noProof/>
                <w:webHidden/>
              </w:rPr>
              <w:t>6</w:t>
            </w:r>
            <w:r w:rsidR="00906179" w:rsidRPr="00B55C8E">
              <w:rPr>
                <w:noProof/>
                <w:webHidden/>
              </w:rPr>
              <w:fldChar w:fldCharType="end"/>
            </w:r>
          </w:hyperlink>
        </w:p>
        <w:p w14:paraId="2D08EB51"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84" w:history="1">
            <w:r w:rsidR="00906179" w:rsidRPr="00B55C8E">
              <w:rPr>
                <w:rStyle w:val="Hipervnculo"/>
                <w:rFonts w:eastAsia="Calibri"/>
                <w:noProof/>
                <w:color w:val="auto"/>
                <w:lang w:eastAsia="es-ES_tradnl"/>
              </w:rPr>
              <w:t>c) Plazo para interponer el recurso</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_Toc211447484 \h </w:instrText>
            </w:r>
            <w:r w:rsidR="00906179" w:rsidRPr="00B55C8E">
              <w:rPr>
                <w:noProof/>
                <w:webHidden/>
              </w:rPr>
            </w:r>
            <w:r w:rsidR="00906179" w:rsidRPr="00B55C8E">
              <w:rPr>
                <w:noProof/>
                <w:webHidden/>
              </w:rPr>
              <w:fldChar w:fldCharType="separate"/>
            </w:r>
            <w:r w:rsidR="00B55C8E">
              <w:rPr>
                <w:noProof/>
                <w:webHidden/>
              </w:rPr>
              <w:t>7</w:t>
            </w:r>
            <w:r w:rsidR="00906179" w:rsidRPr="00B55C8E">
              <w:rPr>
                <w:noProof/>
                <w:webHidden/>
              </w:rPr>
              <w:fldChar w:fldCharType="end"/>
            </w:r>
          </w:hyperlink>
        </w:p>
        <w:p w14:paraId="4A3857FE"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85" w:history="1">
            <w:r w:rsidR="00906179" w:rsidRPr="00B55C8E">
              <w:rPr>
                <w:rStyle w:val="Hipervnculo"/>
                <w:rFonts w:eastAsia="Calibri"/>
                <w:noProof/>
                <w:color w:val="auto"/>
                <w:lang w:eastAsia="es-ES_tradnl"/>
              </w:rPr>
              <w:t>d) Causal de procedencia</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_Toc211447485 \h </w:instrText>
            </w:r>
            <w:r w:rsidR="00906179" w:rsidRPr="00B55C8E">
              <w:rPr>
                <w:noProof/>
                <w:webHidden/>
              </w:rPr>
            </w:r>
            <w:r w:rsidR="00906179" w:rsidRPr="00B55C8E">
              <w:rPr>
                <w:noProof/>
                <w:webHidden/>
              </w:rPr>
              <w:fldChar w:fldCharType="separate"/>
            </w:r>
            <w:r w:rsidR="00B55C8E">
              <w:rPr>
                <w:noProof/>
                <w:webHidden/>
              </w:rPr>
              <w:t>8</w:t>
            </w:r>
            <w:r w:rsidR="00906179" w:rsidRPr="00B55C8E">
              <w:rPr>
                <w:noProof/>
                <w:webHidden/>
              </w:rPr>
              <w:fldChar w:fldCharType="end"/>
            </w:r>
          </w:hyperlink>
        </w:p>
        <w:p w14:paraId="6E9495BE"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86" w:history="1">
            <w:r w:rsidR="00906179" w:rsidRPr="00B55C8E">
              <w:rPr>
                <w:rStyle w:val="Hipervnculo"/>
                <w:noProof/>
                <w:color w:val="auto"/>
              </w:rPr>
              <w:t>e) Requisitos formales para la interposición del recurso</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_Toc211447486 \h </w:instrText>
            </w:r>
            <w:r w:rsidR="00906179" w:rsidRPr="00B55C8E">
              <w:rPr>
                <w:noProof/>
                <w:webHidden/>
              </w:rPr>
            </w:r>
            <w:r w:rsidR="00906179" w:rsidRPr="00B55C8E">
              <w:rPr>
                <w:noProof/>
                <w:webHidden/>
              </w:rPr>
              <w:fldChar w:fldCharType="separate"/>
            </w:r>
            <w:r w:rsidR="00B55C8E">
              <w:rPr>
                <w:noProof/>
                <w:webHidden/>
              </w:rPr>
              <w:t>8</w:t>
            </w:r>
            <w:r w:rsidR="00906179" w:rsidRPr="00B55C8E">
              <w:rPr>
                <w:noProof/>
                <w:webHidden/>
              </w:rPr>
              <w:fldChar w:fldCharType="end"/>
            </w:r>
          </w:hyperlink>
        </w:p>
        <w:p w14:paraId="55419E7F" w14:textId="77777777" w:rsidR="00906179" w:rsidRPr="00B55C8E" w:rsidRDefault="00EF18B3" w:rsidP="00906179">
          <w:pPr>
            <w:pStyle w:val="TDC2"/>
            <w:rPr>
              <w:rFonts w:asciiTheme="minorHAnsi" w:eastAsiaTheme="minorEastAsia" w:hAnsiTheme="minorHAnsi" w:cstheme="minorBidi"/>
              <w:noProof/>
              <w:szCs w:val="22"/>
              <w:lang w:eastAsia="es-MX"/>
            </w:rPr>
          </w:pPr>
          <w:hyperlink w:anchor="_Toc211447487" w:history="1">
            <w:r w:rsidR="00906179" w:rsidRPr="00B55C8E">
              <w:rPr>
                <w:rStyle w:val="Hipervnculo"/>
                <w:noProof/>
                <w:color w:val="auto"/>
              </w:rPr>
              <w:t>SEGUNDO. Estudio de Fondo</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_Toc211447487 \h </w:instrText>
            </w:r>
            <w:r w:rsidR="00906179" w:rsidRPr="00B55C8E">
              <w:rPr>
                <w:noProof/>
                <w:webHidden/>
              </w:rPr>
            </w:r>
            <w:r w:rsidR="00906179" w:rsidRPr="00B55C8E">
              <w:rPr>
                <w:noProof/>
                <w:webHidden/>
              </w:rPr>
              <w:fldChar w:fldCharType="separate"/>
            </w:r>
            <w:r w:rsidR="00B55C8E">
              <w:rPr>
                <w:noProof/>
                <w:webHidden/>
              </w:rPr>
              <w:t>8</w:t>
            </w:r>
            <w:r w:rsidR="00906179" w:rsidRPr="00B55C8E">
              <w:rPr>
                <w:noProof/>
                <w:webHidden/>
              </w:rPr>
              <w:fldChar w:fldCharType="end"/>
            </w:r>
          </w:hyperlink>
        </w:p>
        <w:p w14:paraId="516A4D5F"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88" w:history="1">
            <w:r w:rsidR="00906179" w:rsidRPr="00B55C8E">
              <w:rPr>
                <w:rStyle w:val="Hipervnculo"/>
                <w:noProof/>
                <w:color w:val="auto"/>
              </w:rPr>
              <w:t>a) Mandato de transparencia y responsabilidad del Sujeto Obligado</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_Toc211447488 \h </w:instrText>
            </w:r>
            <w:r w:rsidR="00906179" w:rsidRPr="00B55C8E">
              <w:rPr>
                <w:noProof/>
                <w:webHidden/>
              </w:rPr>
            </w:r>
            <w:r w:rsidR="00906179" w:rsidRPr="00B55C8E">
              <w:rPr>
                <w:noProof/>
                <w:webHidden/>
              </w:rPr>
              <w:fldChar w:fldCharType="separate"/>
            </w:r>
            <w:r w:rsidR="00B55C8E">
              <w:rPr>
                <w:noProof/>
                <w:webHidden/>
              </w:rPr>
              <w:t>8</w:t>
            </w:r>
            <w:r w:rsidR="00906179" w:rsidRPr="00B55C8E">
              <w:rPr>
                <w:noProof/>
                <w:webHidden/>
              </w:rPr>
              <w:fldChar w:fldCharType="end"/>
            </w:r>
          </w:hyperlink>
        </w:p>
        <w:p w14:paraId="76270A2D"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89" w:history="1">
            <w:r w:rsidR="00906179" w:rsidRPr="00B55C8E">
              <w:rPr>
                <w:rStyle w:val="Hipervnculo"/>
                <w:rFonts w:eastAsia="Calibri"/>
                <w:noProof/>
                <w:color w:val="auto"/>
                <w:lang w:eastAsia="es-ES_tradnl"/>
              </w:rPr>
              <w:t>b) Controversia a resolver</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_Toc211447489 \h </w:instrText>
            </w:r>
            <w:r w:rsidR="00906179" w:rsidRPr="00B55C8E">
              <w:rPr>
                <w:noProof/>
                <w:webHidden/>
              </w:rPr>
            </w:r>
            <w:r w:rsidR="00906179" w:rsidRPr="00B55C8E">
              <w:rPr>
                <w:noProof/>
                <w:webHidden/>
              </w:rPr>
              <w:fldChar w:fldCharType="separate"/>
            </w:r>
            <w:r w:rsidR="00B55C8E">
              <w:rPr>
                <w:noProof/>
                <w:webHidden/>
              </w:rPr>
              <w:t>11</w:t>
            </w:r>
            <w:r w:rsidR="00906179" w:rsidRPr="00B55C8E">
              <w:rPr>
                <w:noProof/>
                <w:webHidden/>
              </w:rPr>
              <w:fldChar w:fldCharType="end"/>
            </w:r>
          </w:hyperlink>
        </w:p>
        <w:p w14:paraId="52BE6A4A"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90" w:history="1">
            <w:r w:rsidR="00906179" w:rsidRPr="00B55C8E">
              <w:rPr>
                <w:rStyle w:val="Hipervnculo"/>
                <w:noProof/>
                <w:color w:val="auto"/>
              </w:rPr>
              <w:t>c) Estudio de la controversia</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_Toc211447490 \h </w:instrText>
            </w:r>
            <w:r w:rsidR="00906179" w:rsidRPr="00B55C8E">
              <w:rPr>
                <w:noProof/>
                <w:webHidden/>
              </w:rPr>
            </w:r>
            <w:r w:rsidR="00906179" w:rsidRPr="00B55C8E">
              <w:rPr>
                <w:noProof/>
                <w:webHidden/>
              </w:rPr>
              <w:fldChar w:fldCharType="separate"/>
            </w:r>
            <w:r w:rsidR="00B55C8E">
              <w:rPr>
                <w:noProof/>
                <w:webHidden/>
              </w:rPr>
              <w:t>12</w:t>
            </w:r>
            <w:r w:rsidR="00906179" w:rsidRPr="00B55C8E">
              <w:rPr>
                <w:noProof/>
                <w:webHidden/>
              </w:rPr>
              <w:fldChar w:fldCharType="end"/>
            </w:r>
          </w:hyperlink>
        </w:p>
        <w:p w14:paraId="6E008228"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91" w:history="1">
            <w:r w:rsidR="00906179" w:rsidRPr="00B55C8E">
              <w:rPr>
                <w:rStyle w:val="Hipervnculo"/>
                <w:noProof/>
                <w:color w:val="auto"/>
              </w:rPr>
              <w:t>d) Versión pública</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_Toc211447491 \h </w:instrText>
            </w:r>
            <w:r w:rsidR="00906179" w:rsidRPr="00B55C8E">
              <w:rPr>
                <w:noProof/>
                <w:webHidden/>
              </w:rPr>
            </w:r>
            <w:r w:rsidR="00906179" w:rsidRPr="00B55C8E">
              <w:rPr>
                <w:noProof/>
                <w:webHidden/>
              </w:rPr>
              <w:fldChar w:fldCharType="separate"/>
            </w:r>
            <w:r w:rsidR="00B55C8E">
              <w:rPr>
                <w:noProof/>
                <w:webHidden/>
              </w:rPr>
              <w:t>22</w:t>
            </w:r>
            <w:r w:rsidR="00906179" w:rsidRPr="00B55C8E">
              <w:rPr>
                <w:noProof/>
                <w:webHidden/>
              </w:rPr>
              <w:fldChar w:fldCharType="end"/>
            </w:r>
          </w:hyperlink>
        </w:p>
        <w:p w14:paraId="248E1A3D" w14:textId="77777777" w:rsidR="00906179" w:rsidRPr="00B55C8E" w:rsidRDefault="00EF18B3" w:rsidP="00906179">
          <w:pPr>
            <w:pStyle w:val="TDC3"/>
            <w:rPr>
              <w:rFonts w:asciiTheme="minorHAnsi" w:eastAsiaTheme="minorEastAsia" w:hAnsiTheme="minorHAnsi" w:cstheme="minorBidi"/>
              <w:noProof/>
              <w:szCs w:val="22"/>
              <w:lang w:eastAsia="es-MX"/>
            </w:rPr>
          </w:pPr>
          <w:hyperlink w:anchor="_Toc211447492" w:history="1">
            <w:r w:rsidR="00906179" w:rsidRPr="00B55C8E">
              <w:rPr>
                <w:rStyle w:val="Hipervnculo"/>
                <w:noProof/>
                <w:color w:val="auto"/>
              </w:rPr>
              <w:t>e) Conclusión</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_Toc211447492 \h </w:instrText>
            </w:r>
            <w:r w:rsidR="00906179" w:rsidRPr="00B55C8E">
              <w:rPr>
                <w:noProof/>
                <w:webHidden/>
              </w:rPr>
            </w:r>
            <w:r w:rsidR="00906179" w:rsidRPr="00B55C8E">
              <w:rPr>
                <w:noProof/>
                <w:webHidden/>
              </w:rPr>
              <w:fldChar w:fldCharType="separate"/>
            </w:r>
            <w:r w:rsidR="00B55C8E">
              <w:rPr>
                <w:noProof/>
                <w:webHidden/>
              </w:rPr>
              <w:t>38</w:t>
            </w:r>
            <w:r w:rsidR="00906179" w:rsidRPr="00B55C8E">
              <w:rPr>
                <w:noProof/>
                <w:webHidden/>
              </w:rPr>
              <w:fldChar w:fldCharType="end"/>
            </w:r>
          </w:hyperlink>
        </w:p>
        <w:p w14:paraId="0C82FD7A" w14:textId="45FC4774" w:rsidR="009B2945" w:rsidRPr="00B55C8E" w:rsidRDefault="00EF18B3" w:rsidP="00906179">
          <w:pPr>
            <w:pStyle w:val="TDC1"/>
            <w:tabs>
              <w:tab w:val="right" w:leader="dot" w:pos="9034"/>
            </w:tabs>
            <w:rPr>
              <w:b/>
              <w:bCs/>
              <w:lang w:val="es-ES"/>
            </w:rPr>
          </w:pPr>
          <w:hyperlink w:anchor="_Toc211447493" w:history="1">
            <w:r w:rsidR="00906179" w:rsidRPr="00B55C8E">
              <w:rPr>
                <w:rStyle w:val="Hipervnculo"/>
                <w:noProof/>
                <w:color w:val="auto"/>
              </w:rPr>
              <w:t>RESUELVE</w:t>
            </w:r>
            <w:r w:rsidR="00906179" w:rsidRPr="00B55C8E">
              <w:rPr>
                <w:noProof/>
                <w:webHidden/>
              </w:rPr>
              <w:tab/>
            </w:r>
            <w:r w:rsidR="00906179" w:rsidRPr="00B55C8E">
              <w:rPr>
                <w:noProof/>
                <w:webHidden/>
              </w:rPr>
              <w:fldChar w:fldCharType="begin"/>
            </w:r>
            <w:r w:rsidR="00906179" w:rsidRPr="00B55C8E">
              <w:rPr>
                <w:noProof/>
                <w:webHidden/>
              </w:rPr>
              <w:instrText xml:space="preserve"> PAGEREF _Toc211447493 \h </w:instrText>
            </w:r>
            <w:r w:rsidR="00906179" w:rsidRPr="00B55C8E">
              <w:rPr>
                <w:noProof/>
                <w:webHidden/>
              </w:rPr>
            </w:r>
            <w:r w:rsidR="00906179" w:rsidRPr="00B55C8E">
              <w:rPr>
                <w:noProof/>
                <w:webHidden/>
              </w:rPr>
              <w:fldChar w:fldCharType="separate"/>
            </w:r>
            <w:r w:rsidR="00B55C8E">
              <w:rPr>
                <w:noProof/>
                <w:webHidden/>
              </w:rPr>
              <w:t>38</w:t>
            </w:r>
            <w:r w:rsidR="00906179" w:rsidRPr="00B55C8E">
              <w:rPr>
                <w:noProof/>
                <w:webHidden/>
              </w:rPr>
              <w:fldChar w:fldCharType="end"/>
            </w:r>
          </w:hyperlink>
          <w:r w:rsidR="00AE3DA7" w:rsidRPr="00B55C8E">
            <w:rPr>
              <w:b/>
              <w:bCs/>
              <w:sz w:val="16"/>
              <w:szCs w:val="16"/>
              <w:lang w:val="es-ES"/>
            </w:rPr>
            <w:fldChar w:fldCharType="end"/>
          </w:r>
        </w:p>
      </w:sdtContent>
    </w:sdt>
    <w:p w14:paraId="603A07E2" w14:textId="77777777" w:rsidR="00646436" w:rsidRPr="00B55C8E" w:rsidRDefault="00646436" w:rsidP="00906179">
      <w:pPr>
        <w:rPr>
          <w:rFonts w:cs="Tahoma"/>
          <w:szCs w:val="22"/>
        </w:rPr>
        <w:sectPr w:rsidR="00646436" w:rsidRPr="00B55C8E"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82302C6" w:rsidR="00775BFC" w:rsidRPr="00B55C8E" w:rsidRDefault="00775BFC" w:rsidP="00906179">
      <w:r w:rsidRPr="00B55C8E">
        <w:lastRenderedPageBreak/>
        <w:t>Resolución del Pleno del Instituto de Transparencia, Acceso a la Información Pública y Protección de Datos Personales del Estado de México y Municipios, con domicilio e</w:t>
      </w:r>
      <w:r w:rsidR="004D0573" w:rsidRPr="00B55C8E">
        <w:t>n Metepec, Estado de México, de</w:t>
      </w:r>
      <w:r w:rsidR="00906179" w:rsidRPr="00B55C8E">
        <w:t>l</w:t>
      </w:r>
      <w:r w:rsidR="004D0573" w:rsidRPr="00B55C8E">
        <w:t xml:space="preserve"> </w:t>
      </w:r>
      <w:r w:rsidR="000E0258" w:rsidRPr="00B55C8E">
        <w:rPr>
          <w:b/>
        </w:rPr>
        <w:t>quince</w:t>
      </w:r>
      <w:r w:rsidR="00DA3CF6" w:rsidRPr="00B55C8E">
        <w:rPr>
          <w:b/>
        </w:rPr>
        <w:t xml:space="preserve"> de octubre </w:t>
      </w:r>
      <w:r w:rsidR="006E7E69" w:rsidRPr="00B55C8E">
        <w:rPr>
          <w:b/>
        </w:rPr>
        <w:t>de dos mil veinticinco</w:t>
      </w:r>
      <w:r w:rsidRPr="00B55C8E">
        <w:t>.</w:t>
      </w:r>
    </w:p>
    <w:p w14:paraId="0AF3AAC4" w14:textId="77777777" w:rsidR="00775BFC" w:rsidRPr="00B55C8E" w:rsidRDefault="00775BFC" w:rsidP="00906179"/>
    <w:p w14:paraId="40EAE038" w14:textId="2AACE28D" w:rsidR="00775BFC" w:rsidRPr="00B55C8E" w:rsidRDefault="00775BFC" w:rsidP="00906179">
      <w:r w:rsidRPr="00B55C8E">
        <w:rPr>
          <w:b/>
        </w:rPr>
        <w:t xml:space="preserve">VISTO </w:t>
      </w:r>
      <w:r w:rsidRPr="00B55C8E">
        <w:t xml:space="preserve">el expediente formado con motivo del Recurso de Revisión </w:t>
      </w:r>
      <w:r w:rsidR="000E0258" w:rsidRPr="00B55C8E">
        <w:rPr>
          <w:rFonts w:eastAsia="Calibri"/>
          <w:b/>
          <w:lang w:eastAsia="en-US"/>
        </w:rPr>
        <w:t>10952</w:t>
      </w:r>
      <w:r w:rsidR="006E7E69" w:rsidRPr="00B55C8E">
        <w:rPr>
          <w:rFonts w:eastAsia="Calibri"/>
          <w:b/>
          <w:lang w:eastAsia="en-US"/>
        </w:rPr>
        <w:t>/INFOEM/IP/RR/2025</w:t>
      </w:r>
      <w:r w:rsidRPr="00B55C8E">
        <w:rPr>
          <w:rFonts w:eastAsia="Calibri"/>
          <w:lang w:eastAsia="en-US"/>
        </w:rPr>
        <w:t xml:space="preserve"> </w:t>
      </w:r>
      <w:r w:rsidRPr="00B55C8E">
        <w:t xml:space="preserve">interpuesto por </w:t>
      </w:r>
      <w:bookmarkStart w:id="2" w:name="_GoBack"/>
      <w:r w:rsidR="00A10EE4">
        <w:rPr>
          <w:rFonts w:eastAsia="Calibri"/>
          <w:b/>
          <w:lang w:eastAsia="en-US"/>
        </w:rPr>
        <w:t>XXXXXX XXXXXX XXXXXXX</w:t>
      </w:r>
      <w:bookmarkEnd w:id="2"/>
      <w:r w:rsidRPr="00B55C8E">
        <w:rPr>
          <w:rFonts w:eastAsia="Calibri"/>
          <w:b/>
          <w:lang w:eastAsia="en-US"/>
        </w:rPr>
        <w:t>,</w:t>
      </w:r>
      <w:r w:rsidRPr="00B55C8E">
        <w:t xml:space="preserve"> a quien en lo subsecuente se le denominará </w:t>
      </w:r>
      <w:r w:rsidRPr="00B55C8E">
        <w:rPr>
          <w:b/>
          <w:bCs/>
        </w:rPr>
        <w:t>LA PARTE RECURRENTE</w:t>
      </w:r>
      <w:r w:rsidRPr="00B55C8E">
        <w:t xml:space="preserve">, en contra de la </w:t>
      </w:r>
      <w:r w:rsidR="00773DD6" w:rsidRPr="00B55C8E">
        <w:t xml:space="preserve">respuesta </w:t>
      </w:r>
      <w:r w:rsidR="00BA1AB6" w:rsidRPr="00B55C8E">
        <w:t>de</w:t>
      </w:r>
      <w:r w:rsidR="005A5BF2" w:rsidRPr="00B55C8E">
        <w:t>l</w:t>
      </w:r>
      <w:r w:rsidR="00773DD6" w:rsidRPr="00B55C8E">
        <w:t xml:space="preserve"> </w:t>
      </w:r>
      <w:r w:rsidR="000E0258" w:rsidRPr="00B55C8E">
        <w:rPr>
          <w:rFonts w:eastAsia="Calibri"/>
          <w:b/>
          <w:lang w:eastAsia="en-US"/>
        </w:rPr>
        <w:t>Ayuntamiento de Almoloya de Juárez</w:t>
      </w:r>
      <w:r w:rsidRPr="00B55C8E">
        <w:rPr>
          <w:rFonts w:eastAsia="Calibri"/>
          <w:b/>
          <w:lang w:eastAsia="en-US"/>
        </w:rPr>
        <w:t>,</w:t>
      </w:r>
      <w:r w:rsidRPr="00B55C8E">
        <w:t xml:space="preserve"> en adelante </w:t>
      </w:r>
      <w:r w:rsidRPr="00B55C8E">
        <w:rPr>
          <w:b/>
          <w:bCs/>
        </w:rPr>
        <w:t>EL SUJETO OBLIGADO</w:t>
      </w:r>
      <w:r w:rsidRPr="00B55C8E">
        <w:rPr>
          <w:rFonts w:eastAsia="Calibri"/>
          <w:lang w:eastAsia="en-US"/>
        </w:rPr>
        <w:t xml:space="preserve">, </w:t>
      </w:r>
      <w:r w:rsidRPr="00B55C8E">
        <w:t>se emite la presente Resolución con base en los Antecedentes y Considerandos que se exponen a continuación:</w:t>
      </w:r>
    </w:p>
    <w:p w14:paraId="2116968C" w14:textId="77777777" w:rsidR="00775BFC" w:rsidRPr="00B55C8E" w:rsidRDefault="00775BFC" w:rsidP="00906179"/>
    <w:p w14:paraId="5A444FB6" w14:textId="639D3567" w:rsidR="00664420" w:rsidRPr="00B55C8E" w:rsidRDefault="00664420" w:rsidP="00906179">
      <w:pPr>
        <w:pStyle w:val="Ttulo1"/>
      </w:pPr>
      <w:bookmarkStart w:id="3" w:name="_Toc211447467"/>
      <w:r w:rsidRPr="00B55C8E">
        <w:t>ANTECEDENTES</w:t>
      </w:r>
      <w:bookmarkEnd w:id="3"/>
    </w:p>
    <w:p w14:paraId="5CB5034E" w14:textId="77777777" w:rsidR="00AC2DB8" w:rsidRPr="00B55C8E" w:rsidRDefault="00AC2DB8" w:rsidP="00906179"/>
    <w:p w14:paraId="09B2D38F" w14:textId="6E49D146" w:rsidR="00664420" w:rsidRPr="00B55C8E" w:rsidRDefault="00E37A3F" w:rsidP="00906179">
      <w:pPr>
        <w:pStyle w:val="Ttulo2"/>
      </w:pPr>
      <w:bookmarkStart w:id="4" w:name="_Toc211447468"/>
      <w:r w:rsidRPr="00B55C8E">
        <w:t>DE LA SOLICITUD DE INFORMACIÓN</w:t>
      </w:r>
      <w:bookmarkEnd w:id="4"/>
    </w:p>
    <w:p w14:paraId="2C6AD1A5" w14:textId="0405B3CD" w:rsidR="00664420" w:rsidRPr="00B55C8E" w:rsidRDefault="00E37A3F" w:rsidP="00906179">
      <w:pPr>
        <w:pStyle w:val="Ttulo3"/>
      </w:pPr>
      <w:bookmarkStart w:id="5" w:name="_Toc211447469"/>
      <w:r w:rsidRPr="00B55C8E">
        <w:t xml:space="preserve">a) </w:t>
      </w:r>
      <w:r w:rsidR="006B10B0" w:rsidRPr="00B55C8E">
        <w:t>S</w:t>
      </w:r>
      <w:r w:rsidR="00664420" w:rsidRPr="00B55C8E">
        <w:t xml:space="preserve">olicitud de </w:t>
      </w:r>
      <w:r w:rsidR="006B10B0" w:rsidRPr="00B55C8E">
        <w:t>i</w:t>
      </w:r>
      <w:r w:rsidR="00664420" w:rsidRPr="00B55C8E">
        <w:t>nformación</w:t>
      </w:r>
      <w:bookmarkEnd w:id="5"/>
    </w:p>
    <w:p w14:paraId="6F73510B" w14:textId="6CF1DB07" w:rsidR="000F32E8" w:rsidRPr="00B55C8E" w:rsidRDefault="00B169A2" w:rsidP="00906179">
      <w:pPr>
        <w:pStyle w:val="Prrafodelista"/>
        <w:tabs>
          <w:tab w:val="left" w:pos="0"/>
        </w:tabs>
        <w:ind w:left="0"/>
        <w:contextualSpacing w:val="0"/>
        <w:rPr>
          <w:rFonts w:cs="Tahoma"/>
        </w:rPr>
      </w:pPr>
      <w:r w:rsidRPr="00B55C8E">
        <w:rPr>
          <w:rFonts w:cs="Tahoma"/>
        </w:rPr>
        <w:t xml:space="preserve">El </w:t>
      </w:r>
      <w:r w:rsidR="000E0258" w:rsidRPr="00B55C8E">
        <w:rPr>
          <w:rFonts w:cs="Tahoma"/>
          <w:b/>
          <w:bCs/>
        </w:rPr>
        <w:t xml:space="preserve">veintidós de agosto </w:t>
      </w:r>
      <w:r w:rsidR="006E7E69" w:rsidRPr="00B55C8E">
        <w:rPr>
          <w:rFonts w:cs="Tahoma"/>
          <w:b/>
          <w:bCs/>
        </w:rPr>
        <w:t>de dos mil veinticinco</w:t>
      </w:r>
      <w:r w:rsidRPr="00B55C8E">
        <w:rPr>
          <w:rFonts w:cs="Tahoma"/>
        </w:rPr>
        <w:t xml:space="preserve">, </w:t>
      </w:r>
      <w:r w:rsidRPr="00B55C8E">
        <w:rPr>
          <w:b/>
          <w:bCs/>
        </w:rPr>
        <w:t>LA PARTE RECURRENTE</w:t>
      </w:r>
      <w:r w:rsidRPr="00B55C8E">
        <w:rPr>
          <w:rFonts w:cs="Tahoma"/>
        </w:rPr>
        <w:t xml:space="preserve"> presentó una solicitud de acceso a la información pública ante el </w:t>
      </w:r>
      <w:r w:rsidRPr="00B55C8E">
        <w:rPr>
          <w:rFonts w:cs="Tahoma"/>
          <w:b/>
          <w:bCs/>
        </w:rPr>
        <w:t>SUJETO OBLIGADO</w:t>
      </w:r>
      <w:r w:rsidRPr="00B55C8E">
        <w:rPr>
          <w:rFonts w:cs="Tahoma"/>
        </w:rPr>
        <w:t xml:space="preserve">, a través </w:t>
      </w:r>
      <w:r w:rsidR="00B56734" w:rsidRPr="00B55C8E">
        <w:rPr>
          <w:rFonts w:cs="Tahoma"/>
        </w:rPr>
        <w:t xml:space="preserve">del </w:t>
      </w:r>
      <w:r w:rsidR="000F32E8" w:rsidRPr="00B55C8E">
        <w:rPr>
          <w:rFonts w:cs="Tahoma"/>
        </w:rPr>
        <w:t>Sistema de Acceso a la Información Mexiquense (</w:t>
      </w:r>
      <w:r w:rsidR="000F32E8" w:rsidRPr="00B55C8E">
        <w:rPr>
          <w:rFonts w:cs="Tahoma"/>
          <w:b/>
        </w:rPr>
        <w:t>SAIMEX</w:t>
      </w:r>
      <w:r w:rsidR="000F32E8" w:rsidRPr="00B55C8E">
        <w:rPr>
          <w:rFonts w:cs="Tahoma"/>
        </w:rPr>
        <w:t xml:space="preserve">). </w:t>
      </w:r>
      <w:r w:rsidRPr="00B55C8E">
        <w:rPr>
          <w:rFonts w:cs="Tahoma"/>
        </w:rPr>
        <w:t>Dicha solicitud quedó registrada con el número de folio</w:t>
      </w:r>
      <w:r w:rsidRPr="00B55C8E">
        <w:rPr>
          <w:rFonts w:cs="Tahoma"/>
          <w:b/>
          <w:bCs/>
        </w:rPr>
        <w:t xml:space="preserve"> </w:t>
      </w:r>
      <w:r w:rsidR="000E0258" w:rsidRPr="00B55C8E">
        <w:rPr>
          <w:rFonts w:cs="Tahoma"/>
          <w:b/>
        </w:rPr>
        <w:t>00389/ALMOJU/IP/2025</w:t>
      </w:r>
      <w:r w:rsidR="000E0258" w:rsidRPr="00B55C8E">
        <w:rPr>
          <w:rFonts w:cs="Tahoma"/>
        </w:rPr>
        <w:t xml:space="preserve"> </w:t>
      </w:r>
      <w:r w:rsidRPr="00B55C8E">
        <w:rPr>
          <w:rFonts w:cs="Tahoma"/>
        </w:rPr>
        <w:t>y en ella se requirió la siguiente información:</w:t>
      </w:r>
    </w:p>
    <w:p w14:paraId="0459D6AC" w14:textId="77777777" w:rsidR="00664420" w:rsidRPr="00B55C8E" w:rsidRDefault="00664420" w:rsidP="00906179">
      <w:pPr>
        <w:tabs>
          <w:tab w:val="left" w:pos="4667"/>
        </w:tabs>
        <w:ind w:left="567" w:right="567"/>
        <w:rPr>
          <w:rFonts w:cs="Tahoma"/>
          <w:b/>
          <w:bCs/>
        </w:rPr>
      </w:pPr>
    </w:p>
    <w:p w14:paraId="64B27DE3" w14:textId="709C656E" w:rsidR="00664420" w:rsidRPr="00B55C8E" w:rsidRDefault="002B1D44" w:rsidP="00906179">
      <w:pPr>
        <w:pStyle w:val="Puesto"/>
      </w:pPr>
      <w:r w:rsidRPr="00B55C8E">
        <w:t>“</w:t>
      </w:r>
      <w:r w:rsidR="000E0258" w:rsidRPr="00B55C8E">
        <w:t>Solicito la nómina de los trabajadores del ayuntamiento correspondiente al 30 de junio de 2025</w:t>
      </w:r>
      <w:r w:rsidRPr="00B55C8E">
        <w:t>”</w:t>
      </w:r>
      <w:r w:rsidR="00BA1AB6" w:rsidRPr="00B55C8E">
        <w:t xml:space="preserve"> (sic)</w:t>
      </w:r>
    </w:p>
    <w:p w14:paraId="07B1E1B5" w14:textId="77777777" w:rsidR="004D0573" w:rsidRPr="00B55C8E" w:rsidRDefault="004D0573" w:rsidP="00906179">
      <w:pPr>
        <w:pStyle w:val="Puesto"/>
      </w:pPr>
    </w:p>
    <w:p w14:paraId="04E0B884" w14:textId="3C135FCB" w:rsidR="00221455" w:rsidRPr="00B55C8E" w:rsidRDefault="00221455" w:rsidP="00906179">
      <w:pPr>
        <w:tabs>
          <w:tab w:val="left" w:pos="4667"/>
        </w:tabs>
        <w:ind w:right="567"/>
        <w:rPr>
          <w:rFonts w:cs="Tahoma"/>
          <w:bCs/>
          <w:szCs w:val="22"/>
        </w:rPr>
      </w:pPr>
      <w:r w:rsidRPr="00B55C8E">
        <w:rPr>
          <w:rFonts w:cs="Tahoma"/>
          <w:b/>
          <w:bCs/>
          <w:szCs w:val="22"/>
        </w:rPr>
        <w:t>Modalidad de entrega</w:t>
      </w:r>
      <w:r w:rsidRPr="00B55C8E">
        <w:rPr>
          <w:rFonts w:cs="Tahoma"/>
          <w:bCs/>
          <w:szCs w:val="22"/>
        </w:rPr>
        <w:t>: a</w:t>
      </w:r>
      <w:r w:rsidRPr="00B55C8E">
        <w:rPr>
          <w:rFonts w:cs="Tahoma"/>
          <w:bCs/>
          <w:i/>
          <w:szCs w:val="22"/>
        </w:rPr>
        <w:t xml:space="preserve"> través del </w:t>
      </w:r>
      <w:r w:rsidRPr="00B55C8E">
        <w:rPr>
          <w:rFonts w:cs="Tahoma"/>
          <w:b/>
          <w:bCs/>
          <w:i/>
          <w:szCs w:val="22"/>
        </w:rPr>
        <w:t>SAIMEX</w:t>
      </w:r>
      <w:r w:rsidRPr="00B55C8E">
        <w:rPr>
          <w:rFonts w:cs="Tahoma"/>
          <w:bCs/>
          <w:i/>
          <w:szCs w:val="22"/>
        </w:rPr>
        <w:t>.</w:t>
      </w:r>
    </w:p>
    <w:p w14:paraId="02BC941E" w14:textId="77777777" w:rsidR="00221455" w:rsidRPr="00B55C8E" w:rsidRDefault="00221455" w:rsidP="00906179">
      <w:pPr>
        <w:autoSpaceDE w:val="0"/>
        <w:autoSpaceDN w:val="0"/>
        <w:adjustRightInd w:val="0"/>
        <w:ind w:right="-28"/>
        <w:rPr>
          <w:rFonts w:cs="Tahoma"/>
          <w:bCs/>
          <w:i/>
          <w:iCs/>
          <w:szCs w:val="22"/>
        </w:rPr>
      </w:pPr>
    </w:p>
    <w:p w14:paraId="1A3E57D3" w14:textId="6E5134B2" w:rsidR="000E0258" w:rsidRPr="00B55C8E" w:rsidRDefault="00FF30FD" w:rsidP="00906179">
      <w:pPr>
        <w:pStyle w:val="Ttulo3"/>
        <w:rPr>
          <w:lang w:val="es-ES"/>
        </w:rPr>
      </w:pPr>
      <w:bookmarkStart w:id="6" w:name="_Toc165402858"/>
      <w:bookmarkStart w:id="7" w:name="_Toc211447470"/>
      <w:r w:rsidRPr="00B55C8E">
        <w:rPr>
          <w:lang w:val="es-ES"/>
        </w:rPr>
        <w:lastRenderedPageBreak/>
        <w:t>b</w:t>
      </w:r>
      <w:r w:rsidR="000E0258" w:rsidRPr="00B55C8E">
        <w:rPr>
          <w:lang w:val="es-ES"/>
        </w:rPr>
        <w:t>) Solicitud de aclaración</w:t>
      </w:r>
      <w:bookmarkEnd w:id="6"/>
      <w:bookmarkEnd w:id="7"/>
      <w:r w:rsidR="000E0258" w:rsidRPr="00B55C8E">
        <w:rPr>
          <w:lang w:val="es-ES"/>
        </w:rPr>
        <w:t xml:space="preserve"> </w:t>
      </w:r>
    </w:p>
    <w:p w14:paraId="64BC0999" w14:textId="738C1655" w:rsidR="000E0258" w:rsidRPr="00B55C8E" w:rsidRDefault="000E0258" w:rsidP="00906179">
      <w:pPr>
        <w:rPr>
          <w:lang w:val="es-ES"/>
        </w:rPr>
      </w:pPr>
      <w:r w:rsidRPr="00B55C8E">
        <w:rPr>
          <w:lang w:val="es-ES"/>
        </w:rPr>
        <w:t xml:space="preserve">De las constancias que obran en el expediente electrónico, se advierte que </w:t>
      </w:r>
      <w:r w:rsidRPr="00B55C8E">
        <w:rPr>
          <w:b/>
          <w:lang w:val="es-ES"/>
        </w:rPr>
        <w:t>el veintinueve de agosto de dos mil veinticinco</w:t>
      </w:r>
      <w:r w:rsidRPr="00B55C8E">
        <w:rPr>
          <w:lang w:val="es-ES"/>
        </w:rPr>
        <w:t xml:space="preserve">, </w:t>
      </w:r>
      <w:r w:rsidRPr="00B55C8E">
        <w:rPr>
          <w:b/>
          <w:bCs/>
          <w:lang w:val="es-ES"/>
        </w:rPr>
        <w:t>EL SUJETO OBLIGADO</w:t>
      </w:r>
      <w:r w:rsidRPr="00B55C8E">
        <w:rPr>
          <w:lang w:val="es-ES"/>
        </w:rPr>
        <w:t xml:space="preserve"> requirió a </w:t>
      </w:r>
      <w:r w:rsidRPr="00B55C8E">
        <w:rPr>
          <w:b/>
          <w:bCs/>
          <w:lang w:val="es-ES"/>
        </w:rPr>
        <w:t>LA PARTE RECURRENTE</w:t>
      </w:r>
      <w:r w:rsidRPr="00B55C8E">
        <w:rPr>
          <w:lang w:val="es-ES"/>
        </w:rPr>
        <w:t xml:space="preserve"> aclarar la solicitud de información pública planteada, en los siguientes términos:</w:t>
      </w:r>
    </w:p>
    <w:p w14:paraId="1CC92B85" w14:textId="77777777" w:rsidR="000E0258" w:rsidRPr="00B55C8E" w:rsidRDefault="000E0258" w:rsidP="00906179">
      <w:pPr>
        <w:rPr>
          <w:lang w:val="es-ES"/>
        </w:rPr>
      </w:pPr>
    </w:p>
    <w:p w14:paraId="051EAC85" w14:textId="77777777" w:rsidR="000E0258" w:rsidRPr="00B55C8E" w:rsidRDefault="000E0258" w:rsidP="00906179">
      <w:pPr>
        <w:pStyle w:val="Puesto"/>
        <w:rPr>
          <w:lang w:val="es-ES"/>
        </w:rPr>
      </w:pPr>
      <w:r w:rsidRPr="00B55C8E">
        <w:rPr>
          <w:lang w:val="es-ES"/>
        </w:rPr>
        <w:t>“Con fundamento en el articulo 159 de la Ley de Transparencia y Acceso a la Información Pública del Estado de México y Municipios, se le requiere para que dentro del plazo de diez días hábiles realice lo siguiente:</w:t>
      </w:r>
    </w:p>
    <w:p w14:paraId="2DB701E6" w14:textId="77777777" w:rsidR="000E0258" w:rsidRPr="00B55C8E" w:rsidRDefault="000E0258" w:rsidP="00906179">
      <w:pPr>
        <w:rPr>
          <w:lang w:val="es-ES"/>
        </w:rPr>
      </w:pPr>
    </w:p>
    <w:p w14:paraId="04CD2AAF" w14:textId="77777777" w:rsidR="000E0258" w:rsidRPr="00B55C8E" w:rsidRDefault="000E0258" w:rsidP="00906179">
      <w:pPr>
        <w:pStyle w:val="Puesto"/>
        <w:rPr>
          <w:lang w:val="es-ES"/>
        </w:rPr>
      </w:pPr>
      <w:r w:rsidRPr="00B55C8E">
        <w:rPr>
          <w:lang w:val="es-ES"/>
        </w:rPr>
        <w:t xml:space="preserve">En atención a su solicitud se le informa que la misma </w:t>
      </w:r>
      <w:r w:rsidRPr="00B55C8E">
        <w:rPr>
          <w:b/>
          <w:lang w:val="es-ES"/>
        </w:rPr>
        <w:t>no contiene los elementos indispensables para estar en posibilidad de dar trámite, en virtud de que no se precisa con claridad el tipo de documentos o información pública que requiere</w:t>
      </w:r>
      <w:r w:rsidRPr="00B55C8E">
        <w:rPr>
          <w:lang w:val="es-ES"/>
        </w:rPr>
        <w:t>. Por lo anterior, se solicita amablemente que aclare o detalle su petición, especificando de manera concreta los datos o la documentación a la que desea acceder. De igual forma se le hace de su conocimiento a la parte solicitante que, para el caso en que no se desahogue el requerimiento señalado, dentro del término establecido, se tendrá por no presentada la solicitud en términos de lo establecido en el marco normativo.</w:t>
      </w:r>
    </w:p>
    <w:p w14:paraId="60D091EB" w14:textId="77777777" w:rsidR="000E0258" w:rsidRPr="00B55C8E" w:rsidRDefault="000E0258" w:rsidP="00906179">
      <w:pPr>
        <w:rPr>
          <w:lang w:val="es-ES"/>
        </w:rPr>
      </w:pPr>
    </w:p>
    <w:p w14:paraId="4DEB302C" w14:textId="77777777" w:rsidR="000E0258" w:rsidRPr="00B55C8E" w:rsidRDefault="000E0258" w:rsidP="00906179">
      <w:pPr>
        <w:pStyle w:val="Puesto"/>
        <w:rPr>
          <w:lang w:val="es-ES"/>
        </w:rPr>
      </w:pPr>
      <w:r w:rsidRPr="00B55C8E">
        <w:rPr>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C7ADB82" w14:textId="77777777" w:rsidR="000E0258" w:rsidRPr="00B55C8E" w:rsidRDefault="000E0258" w:rsidP="00906179">
      <w:pPr>
        <w:rPr>
          <w:lang w:val="es-ES"/>
        </w:rPr>
      </w:pPr>
    </w:p>
    <w:p w14:paraId="52A3F574" w14:textId="77777777" w:rsidR="000E0258" w:rsidRPr="00B55C8E" w:rsidRDefault="000E0258" w:rsidP="00906179">
      <w:pPr>
        <w:pStyle w:val="Puesto"/>
        <w:rPr>
          <w:lang w:val="es-ES"/>
        </w:rPr>
      </w:pPr>
      <w:r w:rsidRPr="00B55C8E">
        <w:rPr>
          <w:lang w:val="es-ES"/>
        </w:rPr>
        <w:t>ATENTAMENTE</w:t>
      </w:r>
    </w:p>
    <w:p w14:paraId="158044FD" w14:textId="770C4B70" w:rsidR="000E0258" w:rsidRPr="00B55C8E" w:rsidRDefault="000E0258" w:rsidP="00906179">
      <w:pPr>
        <w:pStyle w:val="Puesto"/>
        <w:rPr>
          <w:lang w:val="es-ES"/>
        </w:rPr>
      </w:pPr>
      <w:r w:rsidRPr="00B55C8E">
        <w:rPr>
          <w:lang w:val="es-ES"/>
        </w:rPr>
        <w:t xml:space="preserve">LICENCIADO Christian Alejandro Arellano Serrano” (sic) </w:t>
      </w:r>
    </w:p>
    <w:p w14:paraId="74E36CF5" w14:textId="77777777" w:rsidR="000E0258" w:rsidRPr="00B55C8E" w:rsidRDefault="000E0258" w:rsidP="00906179">
      <w:pPr>
        <w:rPr>
          <w:lang w:val="es-ES"/>
        </w:rPr>
      </w:pPr>
    </w:p>
    <w:p w14:paraId="53D7E50B" w14:textId="38F7C9D0" w:rsidR="000E0258" w:rsidRPr="00B55C8E" w:rsidRDefault="00FF30FD" w:rsidP="00906179">
      <w:pPr>
        <w:pStyle w:val="Ttulo3"/>
        <w:rPr>
          <w:lang w:val="es-ES"/>
        </w:rPr>
      </w:pPr>
      <w:bookmarkStart w:id="8" w:name="_Toc165402859"/>
      <w:bookmarkStart w:id="9" w:name="_Toc211447471"/>
      <w:r w:rsidRPr="00B55C8E">
        <w:rPr>
          <w:lang w:val="es-ES"/>
        </w:rPr>
        <w:t>c</w:t>
      </w:r>
      <w:r w:rsidR="000E0258" w:rsidRPr="00B55C8E">
        <w:rPr>
          <w:lang w:val="es-ES"/>
        </w:rPr>
        <w:t>) Aclaración</w:t>
      </w:r>
      <w:bookmarkEnd w:id="8"/>
      <w:bookmarkEnd w:id="9"/>
      <w:r w:rsidR="000E0258" w:rsidRPr="00B55C8E">
        <w:rPr>
          <w:lang w:val="es-ES"/>
        </w:rPr>
        <w:t xml:space="preserve"> </w:t>
      </w:r>
    </w:p>
    <w:p w14:paraId="1C7AC285" w14:textId="259E9654" w:rsidR="000E0258" w:rsidRPr="00B55C8E" w:rsidRDefault="000E0258" w:rsidP="00906179">
      <w:pPr>
        <w:rPr>
          <w:b/>
          <w:lang w:val="es-ES"/>
        </w:rPr>
      </w:pPr>
      <w:r w:rsidRPr="00B55C8E">
        <w:rPr>
          <w:lang w:val="es-ES"/>
        </w:rPr>
        <w:t xml:space="preserve">El </w:t>
      </w:r>
      <w:r w:rsidRPr="00B55C8E">
        <w:rPr>
          <w:b/>
          <w:lang w:val="es-ES"/>
        </w:rPr>
        <w:t>veintinueve de agosto de dos mil veinticinco</w:t>
      </w:r>
      <w:r w:rsidRPr="00B55C8E">
        <w:rPr>
          <w:lang w:val="es-ES"/>
        </w:rPr>
        <w:t xml:space="preserve">, </w:t>
      </w:r>
      <w:r w:rsidRPr="00B55C8E">
        <w:rPr>
          <w:b/>
          <w:bCs/>
          <w:lang w:val="es-ES"/>
        </w:rPr>
        <w:t>LA PARTE RECURRENTE</w:t>
      </w:r>
      <w:r w:rsidRPr="00B55C8E">
        <w:rPr>
          <w:lang w:val="es-ES"/>
        </w:rPr>
        <w:t xml:space="preserve"> atendió la solicitud de aclaración de información pública, en los siguientes términos: </w:t>
      </w:r>
    </w:p>
    <w:p w14:paraId="2C8534E5" w14:textId="77777777" w:rsidR="000E0258" w:rsidRPr="00B55C8E" w:rsidRDefault="000E0258" w:rsidP="00906179">
      <w:pPr>
        <w:rPr>
          <w:lang w:val="es-ES"/>
        </w:rPr>
      </w:pPr>
    </w:p>
    <w:p w14:paraId="0D4B0119" w14:textId="242F34D7" w:rsidR="000E0258" w:rsidRPr="00B55C8E" w:rsidRDefault="000E0258" w:rsidP="00906179">
      <w:pPr>
        <w:pStyle w:val="Puesto"/>
      </w:pPr>
      <w:r w:rsidRPr="00B55C8E">
        <w:lastRenderedPageBreak/>
        <w:t>“Me refiero al listado de TODOS los empleados del ayuntamiento, de todas las categorías, de elección popular y por designación; con todos los datos que requiere la ley; tal y como debe estar publicado en ipomex y no lo están cumpliendo.”</w:t>
      </w:r>
    </w:p>
    <w:p w14:paraId="1175CFA3" w14:textId="77777777" w:rsidR="000E0258" w:rsidRPr="00B55C8E" w:rsidRDefault="000E0258" w:rsidP="00906179">
      <w:pPr>
        <w:autoSpaceDE w:val="0"/>
        <w:autoSpaceDN w:val="0"/>
        <w:adjustRightInd w:val="0"/>
        <w:ind w:right="-28"/>
        <w:rPr>
          <w:rFonts w:cs="Tahoma"/>
          <w:bCs/>
          <w:i/>
          <w:szCs w:val="22"/>
        </w:rPr>
      </w:pPr>
    </w:p>
    <w:p w14:paraId="6FAB527D" w14:textId="23260A77" w:rsidR="000E0258" w:rsidRPr="00B55C8E" w:rsidRDefault="00FF30FD" w:rsidP="00906179">
      <w:pPr>
        <w:pStyle w:val="Ttulo3"/>
      </w:pPr>
      <w:bookmarkStart w:id="10" w:name="_Toc192675139"/>
      <w:bookmarkStart w:id="11" w:name="_Toc196232680"/>
      <w:bookmarkStart w:id="12" w:name="_Toc211447472"/>
      <w:r w:rsidRPr="00B55C8E">
        <w:t>d</w:t>
      </w:r>
      <w:r w:rsidR="000E0258" w:rsidRPr="00B55C8E">
        <w:t xml:space="preserve">) </w:t>
      </w:r>
      <w:bookmarkEnd w:id="10"/>
      <w:r w:rsidR="000E0258" w:rsidRPr="00B55C8E">
        <w:rPr>
          <w:lang w:val="es-ES"/>
        </w:rPr>
        <w:t xml:space="preserve">Respuesta </w:t>
      </w:r>
      <w:r w:rsidR="000E0258" w:rsidRPr="00B55C8E">
        <w:rPr>
          <w:rFonts w:eastAsia="Calibri"/>
          <w:lang w:eastAsia="en-US"/>
        </w:rPr>
        <w:t>del Sujeto Obligado</w:t>
      </w:r>
      <w:bookmarkEnd w:id="11"/>
      <w:bookmarkEnd w:id="12"/>
    </w:p>
    <w:p w14:paraId="1A88810B" w14:textId="7BDE4143" w:rsidR="000E0258" w:rsidRPr="00B55C8E" w:rsidRDefault="000E0258" w:rsidP="00906179">
      <w:pPr>
        <w:rPr>
          <w:lang w:val="es-ES"/>
        </w:rPr>
      </w:pPr>
      <w:r w:rsidRPr="00B55C8E">
        <w:rPr>
          <w:lang w:val="es-ES"/>
        </w:rPr>
        <w:t xml:space="preserve">El </w:t>
      </w:r>
      <w:r w:rsidRPr="00B55C8E">
        <w:rPr>
          <w:b/>
          <w:bCs/>
          <w:lang w:val="es-ES"/>
        </w:rPr>
        <w:t>veintitrés de septiembre de dos mil veinticinco</w:t>
      </w:r>
      <w:r w:rsidRPr="00B55C8E">
        <w:rPr>
          <w:lang w:val="es-ES"/>
        </w:rPr>
        <w:t xml:space="preserve">, el Titular de la Unidad de Transparencia del </w:t>
      </w:r>
      <w:r w:rsidRPr="00B55C8E">
        <w:rPr>
          <w:b/>
          <w:lang w:val="es-ES"/>
        </w:rPr>
        <w:t>SUJETO OBLIGADO</w:t>
      </w:r>
      <w:r w:rsidRPr="00B55C8E">
        <w:rPr>
          <w:lang w:val="es-ES"/>
        </w:rPr>
        <w:t xml:space="preserve"> notificó la siguiente respuesta a través del </w:t>
      </w:r>
      <w:r w:rsidRPr="00B55C8E">
        <w:rPr>
          <w:b/>
          <w:lang w:val="es-ES"/>
        </w:rPr>
        <w:t>SAIMEX</w:t>
      </w:r>
      <w:r w:rsidRPr="00B55C8E">
        <w:rPr>
          <w:lang w:val="es-ES"/>
        </w:rPr>
        <w:t>:</w:t>
      </w:r>
    </w:p>
    <w:p w14:paraId="01CB51C0" w14:textId="77777777" w:rsidR="000E0258" w:rsidRPr="00B55C8E" w:rsidRDefault="000E0258" w:rsidP="00906179"/>
    <w:p w14:paraId="159496C1" w14:textId="77777777" w:rsidR="000E0258" w:rsidRPr="00B55C8E" w:rsidRDefault="000E0258" w:rsidP="00906179">
      <w:pPr>
        <w:pStyle w:val="Puesto"/>
      </w:pPr>
      <w:r w:rsidRPr="00B55C8E">
        <w:t>“Con fundamento en el artículo 163 de la Ley de Transparencia y Acceso a la Información Pública del Estado de México y Municipios, le contestamos que:</w:t>
      </w:r>
    </w:p>
    <w:p w14:paraId="6FF7F24D" w14:textId="77777777" w:rsidR="000E0258" w:rsidRPr="00B55C8E" w:rsidRDefault="000E0258" w:rsidP="00906179"/>
    <w:p w14:paraId="0068222A" w14:textId="77777777" w:rsidR="000E0258" w:rsidRPr="00B55C8E" w:rsidRDefault="000E0258" w:rsidP="00906179">
      <w:pPr>
        <w:pStyle w:val="Puesto"/>
      </w:pPr>
      <w:r w:rsidRPr="00B55C8E">
        <w:t>Con fundamento en lo establecido en los artículos 4, 12, 59 y 164 de la Ley de Transparencia y Acceso a la Información Pública del Estado de México y Municipios, se adjunta la respuesta proporcionada por autoridad competente. Se le hace de su conocimiento que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p>
    <w:p w14:paraId="161770A8" w14:textId="77777777" w:rsidR="000E0258" w:rsidRPr="00B55C8E" w:rsidRDefault="000E0258" w:rsidP="00906179"/>
    <w:p w14:paraId="35F353A4" w14:textId="77777777" w:rsidR="000E0258" w:rsidRPr="00B55C8E" w:rsidRDefault="000E0258" w:rsidP="00906179">
      <w:pPr>
        <w:pStyle w:val="Puesto"/>
      </w:pPr>
      <w:r w:rsidRPr="00B55C8E">
        <w:t>ATENTAMENTE</w:t>
      </w:r>
    </w:p>
    <w:p w14:paraId="1C499A1A" w14:textId="77777777" w:rsidR="000E0258" w:rsidRPr="00B55C8E" w:rsidRDefault="000E0258" w:rsidP="00906179"/>
    <w:p w14:paraId="001722A1" w14:textId="52DC7EC3" w:rsidR="000E0258" w:rsidRPr="00B55C8E" w:rsidRDefault="000E0258" w:rsidP="00906179">
      <w:pPr>
        <w:pStyle w:val="Puesto"/>
      </w:pPr>
      <w:r w:rsidRPr="00B55C8E">
        <w:t>LICENCIADO Christian Alejandro Arellano Serrano” (sic)</w:t>
      </w:r>
    </w:p>
    <w:p w14:paraId="12981936" w14:textId="77777777" w:rsidR="000E0258" w:rsidRPr="00B55C8E" w:rsidRDefault="000E0258" w:rsidP="00906179"/>
    <w:p w14:paraId="196D961D" w14:textId="77777777" w:rsidR="000E0258" w:rsidRPr="00B55C8E" w:rsidRDefault="000E0258" w:rsidP="00906179">
      <w:pPr>
        <w:ind w:right="-28"/>
      </w:pPr>
      <w:r w:rsidRPr="00B55C8E">
        <w:t xml:space="preserve">Asimismo, </w:t>
      </w:r>
      <w:r w:rsidRPr="00B55C8E">
        <w:rPr>
          <w:b/>
        </w:rPr>
        <w:t xml:space="preserve">EL SUJETO OBLIGADO </w:t>
      </w:r>
      <w:r w:rsidRPr="00B55C8E">
        <w:t xml:space="preserve">adjuntó a su respuesta el archivo electrónico denominado </w:t>
      </w:r>
      <w:r w:rsidRPr="00B55C8E">
        <w:rPr>
          <w:b/>
          <w:i/>
        </w:rPr>
        <w:t xml:space="preserve">Resp. Sol. 00389-2025.pdf, </w:t>
      </w:r>
      <w:r w:rsidRPr="00B55C8E">
        <w:t xml:space="preserve">el cual contiene los siguientes documentos: </w:t>
      </w:r>
    </w:p>
    <w:p w14:paraId="43EBA2F0" w14:textId="77777777" w:rsidR="000E0258" w:rsidRPr="00B55C8E" w:rsidRDefault="000E0258" w:rsidP="00906179">
      <w:pPr>
        <w:ind w:right="-28"/>
      </w:pPr>
    </w:p>
    <w:p w14:paraId="77A08FDF" w14:textId="6E722DBE" w:rsidR="000E0258" w:rsidRPr="00B55C8E" w:rsidRDefault="000E0258" w:rsidP="00906179">
      <w:pPr>
        <w:pStyle w:val="Prrafodelista"/>
        <w:numPr>
          <w:ilvl w:val="0"/>
          <w:numId w:val="29"/>
        </w:numPr>
        <w:ind w:right="-28"/>
      </w:pPr>
      <w:r w:rsidRPr="00B55C8E">
        <w:t xml:space="preserve">Oficio STGAJ/UT/486/2025 del tres de septiembre de dos mil veinticinco, por medio del cual el titular de la Unidad de Transparencia, turna la solicitud de información a la Coordinadora de Recursos Humanos. </w:t>
      </w:r>
    </w:p>
    <w:p w14:paraId="2D51C258" w14:textId="3E6FF99B" w:rsidR="000E0258" w:rsidRPr="00B55C8E" w:rsidRDefault="000E0258" w:rsidP="00906179">
      <w:pPr>
        <w:pStyle w:val="Prrafodelista"/>
        <w:numPr>
          <w:ilvl w:val="0"/>
          <w:numId w:val="29"/>
        </w:numPr>
        <w:ind w:right="-28"/>
      </w:pPr>
      <w:r w:rsidRPr="00B55C8E">
        <w:lastRenderedPageBreak/>
        <w:t>Oficio PMAJ/DA/LIQH/904/2025 del doce de septiembre de dos mil veinticinco, por medio del cual la Dirección de Administración precisa que en atención a la información solicita y dado cumplimiento al llenado de las fracciones solicitadas por el Portal de Información Pública de Oficio Mexiquense IPOMEX</w:t>
      </w:r>
      <w:r w:rsidR="00FF30FD" w:rsidRPr="00B55C8E">
        <w:t xml:space="preserve">, se puede consultar la fracción  VII denominado “Directorio de todos los servidores públicos”. </w:t>
      </w:r>
    </w:p>
    <w:p w14:paraId="677E6B3D" w14:textId="77777777" w:rsidR="000E0258" w:rsidRPr="00B55C8E" w:rsidRDefault="000E0258" w:rsidP="00906179">
      <w:pPr>
        <w:autoSpaceDE w:val="0"/>
        <w:autoSpaceDN w:val="0"/>
        <w:adjustRightInd w:val="0"/>
        <w:ind w:right="-28"/>
        <w:rPr>
          <w:rFonts w:cs="Tahoma"/>
          <w:bCs/>
          <w:i/>
          <w:iCs/>
          <w:szCs w:val="22"/>
        </w:rPr>
      </w:pPr>
    </w:p>
    <w:p w14:paraId="0F24A322" w14:textId="7F9E5F9A" w:rsidR="00B137E8" w:rsidRPr="00B55C8E" w:rsidRDefault="00B137E8" w:rsidP="00906179">
      <w:pPr>
        <w:pStyle w:val="Ttulo2"/>
        <w:jc w:val="left"/>
      </w:pPr>
      <w:bookmarkStart w:id="13" w:name="_Toc171527280"/>
      <w:bookmarkStart w:id="14" w:name="_Toc211447473"/>
      <w:r w:rsidRPr="00B55C8E">
        <w:t>DEL RECURSO DE REVISIÓN</w:t>
      </w:r>
      <w:bookmarkEnd w:id="13"/>
      <w:bookmarkEnd w:id="14"/>
    </w:p>
    <w:p w14:paraId="2B216813" w14:textId="61ADBB2B" w:rsidR="00664420" w:rsidRPr="00B55C8E" w:rsidRDefault="006E25BC" w:rsidP="00906179">
      <w:pPr>
        <w:pStyle w:val="Ttulo3"/>
      </w:pPr>
      <w:bookmarkStart w:id="15" w:name="_Toc211447474"/>
      <w:r w:rsidRPr="00B55C8E">
        <w:rPr>
          <w:szCs w:val="32"/>
        </w:rPr>
        <w:t>a)</w:t>
      </w:r>
      <w:r w:rsidRPr="00B55C8E">
        <w:t xml:space="preserve"> </w:t>
      </w:r>
      <w:r w:rsidR="00664420" w:rsidRPr="00B55C8E">
        <w:t>Interposición del Recurso de Revisión</w:t>
      </w:r>
      <w:bookmarkEnd w:id="15"/>
    </w:p>
    <w:p w14:paraId="6279C622" w14:textId="3DB7831B" w:rsidR="00664420" w:rsidRPr="00B55C8E" w:rsidRDefault="00664420" w:rsidP="00906179">
      <w:pPr>
        <w:autoSpaceDE w:val="0"/>
        <w:autoSpaceDN w:val="0"/>
        <w:adjustRightInd w:val="0"/>
        <w:ind w:right="-28"/>
        <w:rPr>
          <w:rFonts w:cs="Tahoma"/>
          <w:szCs w:val="22"/>
        </w:rPr>
      </w:pPr>
      <w:r w:rsidRPr="00B55C8E">
        <w:rPr>
          <w:rFonts w:cs="Tahoma"/>
          <w:szCs w:val="22"/>
        </w:rPr>
        <w:t xml:space="preserve">El </w:t>
      </w:r>
      <w:r w:rsidR="00FF30FD" w:rsidRPr="00B55C8E">
        <w:rPr>
          <w:rFonts w:cs="Tahoma"/>
          <w:b/>
          <w:bCs/>
          <w:szCs w:val="22"/>
        </w:rPr>
        <w:t xml:space="preserve">veintitrés de septiembre </w:t>
      </w:r>
      <w:r w:rsidR="00475FF6" w:rsidRPr="00B55C8E">
        <w:rPr>
          <w:rFonts w:cs="Tahoma"/>
          <w:b/>
          <w:bCs/>
          <w:szCs w:val="22"/>
        </w:rPr>
        <w:t xml:space="preserve">de </w:t>
      </w:r>
      <w:r w:rsidRPr="00B55C8E">
        <w:rPr>
          <w:rFonts w:cs="Tahoma"/>
          <w:b/>
          <w:bCs/>
          <w:szCs w:val="22"/>
        </w:rPr>
        <w:t>dos mil</w:t>
      </w:r>
      <w:r w:rsidR="00F45902" w:rsidRPr="00B55C8E">
        <w:rPr>
          <w:rFonts w:cs="Tahoma"/>
          <w:b/>
          <w:bCs/>
          <w:szCs w:val="22"/>
        </w:rPr>
        <w:t xml:space="preserve"> veintic</w:t>
      </w:r>
      <w:r w:rsidR="006E7E69" w:rsidRPr="00B55C8E">
        <w:rPr>
          <w:rFonts w:cs="Tahoma"/>
          <w:b/>
          <w:bCs/>
          <w:szCs w:val="22"/>
        </w:rPr>
        <w:t>inco</w:t>
      </w:r>
      <w:r w:rsidRPr="00B55C8E">
        <w:rPr>
          <w:rFonts w:cs="Tahoma"/>
          <w:szCs w:val="22"/>
        </w:rPr>
        <w:t xml:space="preserve"> </w:t>
      </w:r>
      <w:r w:rsidR="00F75D23" w:rsidRPr="00B55C8E">
        <w:rPr>
          <w:rFonts w:cs="Tahoma"/>
          <w:b/>
          <w:bCs/>
          <w:szCs w:val="22"/>
        </w:rPr>
        <w:t>LA PARTE RECURRENTE</w:t>
      </w:r>
      <w:r w:rsidR="00F75D23" w:rsidRPr="00B55C8E">
        <w:rPr>
          <w:rFonts w:cs="Tahoma"/>
          <w:szCs w:val="22"/>
        </w:rPr>
        <w:t xml:space="preserve"> interpuso el recurso de revisión en contra de la respuesta emitida por el </w:t>
      </w:r>
      <w:r w:rsidR="00F75D23" w:rsidRPr="00B55C8E">
        <w:rPr>
          <w:rFonts w:cs="Tahoma"/>
          <w:b/>
          <w:bCs/>
          <w:szCs w:val="22"/>
        </w:rPr>
        <w:t>SUJETO OBLIGADO</w:t>
      </w:r>
      <w:r w:rsidR="00953430" w:rsidRPr="00B55C8E">
        <w:rPr>
          <w:rFonts w:cs="Tahoma"/>
          <w:szCs w:val="22"/>
        </w:rPr>
        <w:t xml:space="preserve">, mismo que fue registrado en el </w:t>
      </w:r>
      <w:r w:rsidR="00953430" w:rsidRPr="00B55C8E">
        <w:rPr>
          <w:rFonts w:cs="Tahoma"/>
          <w:b/>
          <w:szCs w:val="22"/>
        </w:rPr>
        <w:t>SAIMEX</w:t>
      </w:r>
      <w:r w:rsidR="00953430" w:rsidRPr="00B55C8E">
        <w:rPr>
          <w:rFonts w:cs="Tahoma"/>
          <w:szCs w:val="22"/>
        </w:rPr>
        <w:t xml:space="preserve"> con el número de expediente </w:t>
      </w:r>
      <w:r w:rsidR="00FF30FD" w:rsidRPr="00B55C8E">
        <w:rPr>
          <w:rFonts w:cs="Tahoma"/>
          <w:b/>
          <w:bCs/>
          <w:szCs w:val="22"/>
        </w:rPr>
        <w:t>10952</w:t>
      </w:r>
      <w:r w:rsidR="006E7E69" w:rsidRPr="00B55C8E">
        <w:rPr>
          <w:rFonts w:cs="Tahoma"/>
          <w:b/>
          <w:bCs/>
          <w:szCs w:val="22"/>
        </w:rPr>
        <w:t>/INFOEM/IP/RR/2025</w:t>
      </w:r>
      <w:r w:rsidR="00953430" w:rsidRPr="00B55C8E">
        <w:rPr>
          <w:rFonts w:cs="Tahoma"/>
          <w:szCs w:val="22"/>
        </w:rPr>
        <w:t>, y en el cual manifiesta lo siguiente</w:t>
      </w:r>
      <w:r w:rsidRPr="00B55C8E">
        <w:rPr>
          <w:rFonts w:cs="Tahoma"/>
          <w:szCs w:val="22"/>
        </w:rPr>
        <w:t>:</w:t>
      </w:r>
    </w:p>
    <w:p w14:paraId="74B30008" w14:textId="77777777" w:rsidR="00664420" w:rsidRPr="00B55C8E" w:rsidRDefault="00664420" w:rsidP="00906179">
      <w:pPr>
        <w:tabs>
          <w:tab w:val="left" w:pos="4667"/>
        </w:tabs>
        <w:ind w:right="539"/>
        <w:rPr>
          <w:rFonts w:cs="Tahoma"/>
          <w:szCs w:val="22"/>
        </w:rPr>
      </w:pPr>
    </w:p>
    <w:p w14:paraId="3A3988B0" w14:textId="77777777" w:rsidR="001544A1" w:rsidRPr="00B55C8E" w:rsidRDefault="00664420" w:rsidP="00906179">
      <w:pPr>
        <w:tabs>
          <w:tab w:val="left" w:pos="4667"/>
        </w:tabs>
        <w:ind w:right="539"/>
        <w:rPr>
          <w:rFonts w:cs="Tahoma"/>
          <w:b/>
          <w:iCs/>
        </w:rPr>
      </w:pPr>
      <w:r w:rsidRPr="00B55C8E">
        <w:rPr>
          <w:rFonts w:cs="Tahoma"/>
          <w:b/>
          <w:iCs/>
        </w:rPr>
        <w:t>ACTO IMPUGNADO</w:t>
      </w:r>
      <w:r w:rsidR="001544A1" w:rsidRPr="00B55C8E">
        <w:rPr>
          <w:rFonts w:cs="Tahoma"/>
          <w:b/>
          <w:iCs/>
        </w:rPr>
        <w:t xml:space="preserve">: </w:t>
      </w:r>
    </w:p>
    <w:p w14:paraId="74BBD238" w14:textId="77777777" w:rsidR="001544A1" w:rsidRPr="00B55C8E" w:rsidRDefault="001544A1" w:rsidP="00906179">
      <w:pPr>
        <w:pStyle w:val="Puesto"/>
      </w:pPr>
    </w:p>
    <w:p w14:paraId="327EED5D" w14:textId="1B66B86A" w:rsidR="001544A1" w:rsidRPr="00B55C8E" w:rsidRDefault="001544A1" w:rsidP="00906179">
      <w:pPr>
        <w:pStyle w:val="Puesto"/>
      </w:pPr>
      <w:r w:rsidRPr="00B55C8E">
        <w:t>“</w:t>
      </w:r>
      <w:r w:rsidR="00FF30FD" w:rsidRPr="00B55C8E">
        <w:t>La respuesta del ayuntamiento de almoloya de Juárez</w:t>
      </w:r>
      <w:r w:rsidRPr="00B55C8E">
        <w:t xml:space="preserve">” (sic) </w:t>
      </w:r>
    </w:p>
    <w:p w14:paraId="1F180CCD" w14:textId="77777777" w:rsidR="001544A1" w:rsidRPr="00B55C8E" w:rsidRDefault="001544A1" w:rsidP="00906179">
      <w:pPr>
        <w:pStyle w:val="Puesto"/>
      </w:pPr>
    </w:p>
    <w:p w14:paraId="093C3F85" w14:textId="65D81CDC" w:rsidR="00CE3DBD" w:rsidRPr="00B55C8E" w:rsidRDefault="00CE3DBD" w:rsidP="00906179">
      <w:pPr>
        <w:tabs>
          <w:tab w:val="left" w:pos="4667"/>
        </w:tabs>
        <w:ind w:right="539"/>
        <w:rPr>
          <w:rFonts w:cs="Tahoma"/>
          <w:b/>
          <w:iCs/>
        </w:rPr>
      </w:pPr>
      <w:r w:rsidRPr="00B55C8E">
        <w:rPr>
          <w:rFonts w:cs="Tahoma"/>
          <w:b/>
          <w:iCs/>
        </w:rPr>
        <w:t xml:space="preserve">RAZONES O MOTIVOS DE INCONFORMIDAD </w:t>
      </w:r>
    </w:p>
    <w:p w14:paraId="177EE3D5" w14:textId="77777777" w:rsidR="00F45902" w:rsidRPr="00B55C8E" w:rsidRDefault="00F45902" w:rsidP="00906179">
      <w:pPr>
        <w:pStyle w:val="Puesto"/>
      </w:pPr>
    </w:p>
    <w:p w14:paraId="2F63422F" w14:textId="0D36ED8E" w:rsidR="004F165A" w:rsidRPr="00B55C8E" w:rsidRDefault="004F165A" w:rsidP="00906179">
      <w:pPr>
        <w:pStyle w:val="Puesto"/>
      </w:pPr>
      <w:r w:rsidRPr="00B55C8E">
        <w:t>“</w:t>
      </w:r>
      <w:r w:rsidR="00FF30FD" w:rsidRPr="00B55C8E">
        <w:t>Inicialmente se solicitó la NÓMINA del ayuntamiento, al titular de unidad le resultó incomprensible y se me requirió una aclaración; a lo que amplié diciendo que me refería al listado de todos los revisores públicos con los requisitos que obliga la ley y que no están cumpliendo en el portal ipomex. No me proporcionaron el link, pero si entiendo que me remitieron al listado de trabajadores; pero si de origen la solicitud versa sobre la NÓMINA, se sobre entiende que me estaba refiriendo al listado de trabajadores en donde se pueda observar sus percepciones (art 92 fracción viii a) mismo que no es público a pesar de ser una obligación. Estás acciones se traducen en una práctica amañada para ocultar información. Por lo que solicito se resuelva a mi favor, se proporcione la información y se imponga alguna de las sanciones previstas a los responsables de la información y de su entrega. Así como al servidor público que tenga a su cargo la obligación de mantener actualizado el portal de ipomex y no está cumpliendo</w:t>
      </w:r>
      <w:r w:rsidRPr="00B55C8E">
        <w:t xml:space="preserve">” (sic) </w:t>
      </w:r>
    </w:p>
    <w:p w14:paraId="6AE8EA9A" w14:textId="77777777" w:rsidR="00664420" w:rsidRPr="00B55C8E" w:rsidRDefault="00664420" w:rsidP="00906179">
      <w:pPr>
        <w:pStyle w:val="Puesto"/>
      </w:pPr>
    </w:p>
    <w:p w14:paraId="6804DEF1" w14:textId="1FD3227A" w:rsidR="00664420" w:rsidRPr="00B55C8E" w:rsidRDefault="006E25BC" w:rsidP="00906179">
      <w:pPr>
        <w:pStyle w:val="Ttulo3"/>
      </w:pPr>
      <w:bookmarkStart w:id="16" w:name="_Toc211447475"/>
      <w:r w:rsidRPr="00B55C8E">
        <w:t>b</w:t>
      </w:r>
      <w:r w:rsidR="00664420" w:rsidRPr="00B55C8E">
        <w:t>) Turno del Recurso de Revisión</w:t>
      </w:r>
      <w:bookmarkEnd w:id="16"/>
    </w:p>
    <w:p w14:paraId="1173671B" w14:textId="2E8E1BAB" w:rsidR="00C72DAA" w:rsidRPr="00B55C8E" w:rsidRDefault="00C72DAA" w:rsidP="00906179">
      <w:r w:rsidRPr="00B55C8E">
        <w:t>Con fundamento en el artículo 185, fracción I de la Ley de Transparencia y Acceso a la Información Pública del Estado de México y Municipios, el</w:t>
      </w:r>
      <w:r w:rsidRPr="00B55C8E">
        <w:rPr>
          <w:b/>
          <w:bCs/>
        </w:rPr>
        <w:t xml:space="preserve"> </w:t>
      </w:r>
      <w:r w:rsidR="00FF30FD" w:rsidRPr="00B55C8E">
        <w:rPr>
          <w:rFonts w:eastAsia="Palatino Linotype" w:cs="Palatino Linotype"/>
          <w:b/>
        </w:rPr>
        <w:t xml:space="preserve">veintitrés de septiembre </w:t>
      </w:r>
      <w:r w:rsidR="009A1340" w:rsidRPr="00B55C8E">
        <w:rPr>
          <w:rFonts w:eastAsia="Palatino Linotype" w:cs="Palatino Linotype"/>
          <w:b/>
        </w:rPr>
        <w:t xml:space="preserve">de dos mil veinticinco, </w:t>
      </w:r>
      <w:r w:rsidRPr="00B55C8E">
        <w:t>se turnó el recurso de revisión a través del</w:t>
      </w:r>
      <w:r w:rsidRPr="00B55C8E">
        <w:rPr>
          <w:rFonts w:eastAsia="Arial Unicode MS"/>
        </w:rPr>
        <w:t xml:space="preserve"> </w:t>
      </w:r>
      <w:r w:rsidRPr="00B55C8E">
        <w:rPr>
          <w:rFonts w:eastAsia="Arial Unicode MS"/>
          <w:b/>
          <w:bCs/>
        </w:rPr>
        <w:t>SAIMEX</w:t>
      </w:r>
      <w:r w:rsidRPr="00B55C8E">
        <w:t xml:space="preserve"> a la </w:t>
      </w:r>
      <w:r w:rsidRPr="00B55C8E">
        <w:rPr>
          <w:b/>
        </w:rPr>
        <w:t>Comisionada Sharon Cristina Morales Martínez</w:t>
      </w:r>
      <w:r w:rsidRPr="00B55C8E">
        <w:rPr>
          <w:bCs/>
        </w:rPr>
        <w:t xml:space="preserve">, </w:t>
      </w:r>
      <w:r w:rsidRPr="00B55C8E">
        <w:t xml:space="preserve">a efecto de decretar su admisión o desechamiento. </w:t>
      </w:r>
    </w:p>
    <w:p w14:paraId="18F305CB" w14:textId="77777777" w:rsidR="00664420" w:rsidRPr="00B55C8E" w:rsidRDefault="00664420" w:rsidP="00906179">
      <w:pPr>
        <w:rPr>
          <w:rFonts w:eastAsia="Batang" w:cs="Tahoma"/>
          <w:bCs/>
          <w:szCs w:val="22"/>
        </w:rPr>
      </w:pPr>
    </w:p>
    <w:p w14:paraId="3E31EC2D" w14:textId="295256A1" w:rsidR="00664420" w:rsidRPr="00B55C8E" w:rsidRDefault="006E25BC" w:rsidP="00906179">
      <w:pPr>
        <w:pStyle w:val="Ttulo3"/>
      </w:pPr>
      <w:bookmarkStart w:id="17" w:name="_Toc211447476"/>
      <w:r w:rsidRPr="00B55C8E">
        <w:t>c</w:t>
      </w:r>
      <w:r w:rsidR="00664420" w:rsidRPr="00B55C8E">
        <w:t>) Admisión del Recurso de Revisión</w:t>
      </w:r>
      <w:bookmarkEnd w:id="17"/>
    </w:p>
    <w:p w14:paraId="240447D5" w14:textId="4D4385EC" w:rsidR="000E09C4" w:rsidRPr="00B55C8E" w:rsidRDefault="000E09C4" w:rsidP="00906179">
      <w:pPr>
        <w:rPr>
          <w:rFonts w:cs="Arial"/>
        </w:rPr>
      </w:pPr>
      <w:r w:rsidRPr="00B55C8E">
        <w:rPr>
          <w:rFonts w:cs="Arial"/>
        </w:rPr>
        <w:t xml:space="preserve">El </w:t>
      </w:r>
      <w:r w:rsidR="00FF30FD" w:rsidRPr="00B55C8E">
        <w:rPr>
          <w:rFonts w:eastAsia="Palatino Linotype" w:cs="Palatino Linotype"/>
          <w:b/>
        </w:rPr>
        <w:t xml:space="preserve">veinticuatro de septiembre </w:t>
      </w:r>
      <w:r w:rsidR="00DA3CF6" w:rsidRPr="00B55C8E">
        <w:rPr>
          <w:rFonts w:eastAsia="Palatino Linotype" w:cs="Palatino Linotype"/>
          <w:b/>
        </w:rPr>
        <w:t>d</w:t>
      </w:r>
      <w:r w:rsidR="00657603" w:rsidRPr="00B55C8E">
        <w:rPr>
          <w:rFonts w:eastAsia="Palatino Linotype" w:cs="Palatino Linotype"/>
          <w:b/>
        </w:rPr>
        <w:t>e dos mil veintic</w:t>
      </w:r>
      <w:r w:rsidR="009A1340" w:rsidRPr="00B55C8E">
        <w:rPr>
          <w:rFonts w:eastAsia="Palatino Linotype" w:cs="Palatino Linotype"/>
          <w:b/>
        </w:rPr>
        <w:t>inco</w:t>
      </w:r>
      <w:r w:rsidRPr="00B55C8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55C8E">
        <w:rPr>
          <w:rFonts w:cs="Arial"/>
        </w:rPr>
        <w:t>, fracción II</w:t>
      </w:r>
      <w:r w:rsidRPr="00B55C8E">
        <w:rPr>
          <w:rFonts w:cs="Arial"/>
        </w:rPr>
        <w:t xml:space="preserve"> de la Ley de Transparencia y Acceso a la Información Pública del Estado de México y Municipios.</w:t>
      </w:r>
    </w:p>
    <w:p w14:paraId="34EC3F86" w14:textId="77777777" w:rsidR="00D2790D" w:rsidRPr="00B55C8E" w:rsidRDefault="00D2790D" w:rsidP="00906179">
      <w:pPr>
        <w:rPr>
          <w:rFonts w:cs="Arial"/>
        </w:rPr>
      </w:pPr>
    </w:p>
    <w:p w14:paraId="305F9725" w14:textId="77777777" w:rsidR="00FF30FD" w:rsidRPr="00B55C8E" w:rsidRDefault="00FF30FD" w:rsidP="00906179">
      <w:pPr>
        <w:pStyle w:val="Ttulo3"/>
      </w:pPr>
      <w:bookmarkStart w:id="18" w:name="_Toc198720108"/>
      <w:bookmarkStart w:id="19" w:name="_Toc211447477"/>
      <w:r w:rsidRPr="00B55C8E">
        <w:t>d) Informe Justificado del Sujeto Obligado</w:t>
      </w:r>
      <w:bookmarkEnd w:id="18"/>
      <w:bookmarkEnd w:id="19"/>
    </w:p>
    <w:p w14:paraId="5E363AA9" w14:textId="77777777" w:rsidR="00FF30FD" w:rsidRPr="00B55C8E" w:rsidRDefault="00FF30FD" w:rsidP="00906179">
      <w:pPr>
        <w:rPr>
          <w:rFonts w:eastAsia="Arial Unicode MS" w:cs="Arial"/>
        </w:rPr>
      </w:pPr>
      <w:r w:rsidRPr="00B55C8E">
        <w:rPr>
          <w:rFonts w:cs="Tahoma"/>
          <w:b/>
          <w:szCs w:val="24"/>
        </w:rPr>
        <w:t xml:space="preserve">EL SUJETO OBLIGADO </w:t>
      </w:r>
      <w:r w:rsidRPr="00B55C8E">
        <w:rPr>
          <w:rFonts w:eastAsia="Arial Unicode MS" w:cs="Arial"/>
        </w:rPr>
        <w:t>no rindió su informe justificado dentro del término legalmente concedido para tal efecto.</w:t>
      </w:r>
    </w:p>
    <w:p w14:paraId="61754587" w14:textId="77777777" w:rsidR="00FF30FD" w:rsidRPr="00B55C8E" w:rsidRDefault="00FF30FD" w:rsidP="00906179">
      <w:pPr>
        <w:rPr>
          <w:rFonts w:cs="Tahoma"/>
          <w:bCs/>
          <w:szCs w:val="24"/>
        </w:rPr>
      </w:pPr>
    </w:p>
    <w:p w14:paraId="6AF9279A" w14:textId="77777777" w:rsidR="00FF30FD" w:rsidRPr="00B55C8E" w:rsidRDefault="00FF30FD" w:rsidP="00906179">
      <w:pPr>
        <w:pStyle w:val="Ttulo3"/>
        <w:rPr>
          <w:lang w:val="es-ES"/>
        </w:rPr>
      </w:pPr>
      <w:bookmarkStart w:id="20" w:name="_Toc198720109"/>
      <w:bookmarkStart w:id="21" w:name="_Toc211447478"/>
      <w:r w:rsidRPr="00B55C8E">
        <w:rPr>
          <w:rFonts w:eastAsia="Calibri"/>
          <w:bCs/>
          <w:lang w:eastAsia="en-US"/>
        </w:rPr>
        <w:t>e)</w:t>
      </w:r>
      <w:r w:rsidRPr="00B55C8E">
        <w:t xml:space="preserve"> </w:t>
      </w:r>
      <w:r w:rsidRPr="00B55C8E">
        <w:rPr>
          <w:lang w:val="es-ES"/>
        </w:rPr>
        <w:t>Manifestaciones de la Parte Recurrente</w:t>
      </w:r>
      <w:bookmarkEnd w:id="20"/>
      <w:bookmarkEnd w:id="21"/>
    </w:p>
    <w:p w14:paraId="73713DCC" w14:textId="77777777" w:rsidR="00FF30FD" w:rsidRPr="00B55C8E" w:rsidRDefault="00FF30FD" w:rsidP="00906179">
      <w:pPr>
        <w:rPr>
          <w:rFonts w:eastAsia="Arial Unicode MS" w:cs="Arial"/>
        </w:rPr>
      </w:pPr>
      <w:r w:rsidRPr="00B55C8E">
        <w:rPr>
          <w:rFonts w:cs="Tahoma"/>
          <w:b/>
          <w:szCs w:val="24"/>
        </w:rPr>
        <w:t xml:space="preserve">LA PARTE RECURRENTE </w:t>
      </w:r>
      <w:r w:rsidRPr="00B55C8E">
        <w:rPr>
          <w:rFonts w:eastAsia="Arial Unicode MS" w:cs="Arial"/>
        </w:rPr>
        <w:t>no realizó manifestación alguna dentro del término legalmente concedido para tal efecto, ni presentó pruebas o alegatos.</w:t>
      </w:r>
    </w:p>
    <w:p w14:paraId="2CBB8164" w14:textId="77777777" w:rsidR="00FF30FD" w:rsidRPr="00B55C8E" w:rsidRDefault="00FF30FD" w:rsidP="00906179">
      <w:pPr>
        <w:rPr>
          <w:rFonts w:cs="Arial"/>
        </w:rPr>
      </w:pPr>
    </w:p>
    <w:p w14:paraId="0E651988" w14:textId="76499ED3" w:rsidR="00664420" w:rsidRPr="00B55C8E" w:rsidRDefault="00FF30FD" w:rsidP="00906179">
      <w:pPr>
        <w:pStyle w:val="Ttulo3"/>
      </w:pPr>
      <w:bookmarkStart w:id="22" w:name="_Toc172051809"/>
      <w:bookmarkStart w:id="23" w:name="_Toc178101309"/>
      <w:bookmarkStart w:id="24" w:name="_Toc211447479"/>
      <w:r w:rsidRPr="00B55C8E">
        <w:rPr>
          <w:lang w:val="es-ES"/>
        </w:rPr>
        <w:t>f</w:t>
      </w:r>
      <w:r w:rsidR="003F3B84" w:rsidRPr="00B55C8E">
        <w:rPr>
          <w:lang w:val="es-ES"/>
        </w:rPr>
        <w:t xml:space="preserve">) </w:t>
      </w:r>
      <w:bookmarkEnd w:id="22"/>
      <w:bookmarkEnd w:id="23"/>
      <w:r w:rsidR="00664420" w:rsidRPr="00B55C8E">
        <w:t>Cierre de instrucción</w:t>
      </w:r>
      <w:bookmarkEnd w:id="24"/>
    </w:p>
    <w:p w14:paraId="79AF95DC" w14:textId="3936022F" w:rsidR="00664420" w:rsidRPr="00B55C8E" w:rsidRDefault="00BF091A" w:rsidP="00906179">
      <w:r w:rsidRPr="00B55C8E">
        <w:rPr>
          <w:rFonts w:cs="Tahoma"/>
          <w:szCs w:val="22"/>
        </w:rPr>
        <w:t>Al no existir diligencias pendientes por desahogar</w:t>
      </w:r>
      <w:r w:rsidRPr="00B55C8E">
        <w:rPr>
          <w:rFonts w:cs="Arial"/>
        </w:rPr>
        <w:t xml:space="preserve">, el </w:t>
      </w:r>
      <w:bookmarkStart w:id="25" w:name="_Hlk104892386"/>
      <w:r w:rsidR="00331106" w:rsidRPr="00B55C8E">
        <w:rPr>
          <w:rFonts w:cs="Arial"/>
          <w:b/>
        </w:rPr>
        <w:t xml:space="preserve">siete de octubre </w:t>
      </w:r>
      <w:r w:rsidR="009A1340" w:rsidRPr="00B55C8E">
        <w:rPr>
          <w:rFonts w:cs="Arial"/>
          <w:b/>
        </w:rPr>
        <w:t xml:space="preserve">de dos mil veinticinco </w:t>
      </w:r>
      <w:bookmarkEnd w:id="25"/>
      <w:r w:rsidRPr="00B55C8E">
        <w:rPr>
          <w:rFonts w:cs="Arial"/>
        </w:rPr>
        <w:t xml:space="preserve">la </w:t>
      </w:r>
      <w:r w:rsidRPr="00B55C8E">
        <w:rPr>
          <w:rFonts w:cs="Arial"/>
          <w:b/>
          <w:bCs/>
        </w:rPr>
        <w:t xml:space="preserve">Comisionada </w:t>
      </w:r>
      <w:r w:rsidRPr="00B55C8E">
        <w:rPr>
          <w:b/>
        </w:rPr>
        <w:t xml:space="preserve">Sharon Cristina Morales Martínez </w:t>
      </w:r>
      <w:r w:rsidRPr="00B55C8E">
        <w:rPr>
          <w:rFonts w:cs="Arial"/>
        </w:rPr>
        <w:t>acordó el cierre de instrucción</w:t>
      </w:r>
      <w:r w:rsidR="0011350D" w:rsidRPr="00B55C8E">
        <w:rPr>
          <w:rFonts w:cs="Arial"/>
        </w:rPr>
        <w:t xml:space="preserve"> y</w:t>
      </w:r>
      <w:r w:rsidRPr="00B55C8E">
        <w:rPr>
          <w:rFonts w:cs="Arial"/>
        </w:rPr>
        <w:t xml:space="preserve"> </w:t>
      </w:r>
      <w:r w:rsidR="0011350D" w:rsidRPr="00B55C8E">
        <w:rPr>
          <w:rFonts w:cs="Arial"/>
        </w:rPr>
        <w:t xml:space="preserve">la </w:t>
      </w:r>
      <w:r w:rsidRPr="00B55C8E">
        <w:rPr>
          <w:rFonts w:cs="Arial"/>
        </w:rPr>
        <w:lastRenderedPageBreak/>
        <w:t>remisión del expediente a efecto de ser resuelto, de conformidad con lo establecido en el artículo 185 fracciones VI y VIII de la Ley de Transparencia y Acceso a la Información Pública del Estado de México y Municipios</w:t>
      </w:r>
      <w:r w:rsidRPr="00B55C8E">
        <w:t>.</w:t>
      </w:r>
      <w:r w:rsidR="0011350D" w:rsidRPr="00B55C8E">
        <w:t xml:space="preserve"> Dicho acuerdo </w:t>
      </w:r>
      <w:r w:rsidR="00664420" w:rsidRPr="00B55C8E">
        <w:rPr>
          <w:rFonts w:cs="Tahoma"/>
          <w:szCs w:val="22"/>
        </w:rPr>
        <w:t xml:space="preserve">fue notificado a las partes el mismo día a través del </w:t>
      </w:r>
      <w:r w:rsidR="00664420" w:rsidRPr="00B55C8E">
        <w:rPr>
          <w:rFonts w:cs="Tahoma"/>
          <w:szCs w:val="22"/>
          <w:lang w:val="es-ES"/>
        </w:rPr>
        <w:t>SAIMEX</w:t>
      </w:r>
      <w:r w:rsidR="00664420" w:rsidRPr="00B55C8E">
        <w:rPr>
          <w:rFonts w:cs="Tahoma"/>
          <w:szCs w:val="22"/>
        </w:rPr>
        <w:t>.</w:t>
      </w:r>
    </w:p>
    <w:p w14:paraId="741683E3" w14:textId="77777777" w:rsidR="0011350D" w:rsidRPr="00B55C8E" w:rsidRDefault="0011350D" w:rsidP="00906179">
      <w:pPr>
        <w:rPr>
          <w:rFonts w:cs="Tahoma"/>
          <w:szCs w:val="22"/>
        </w:rPr>
      </w:pPr>
    </w:p>
    <w:p w14:paraId="7A9629DE" w14:textId="77777777" w:rsidR="00664420" w:rsidRPr="00B55C8E" w:rsidRDefault="00664420" w:rsidP="00906179">
      <w:pPr>
        <w:pStyle w:val="Ttulo1"/>
        <w:rPr>
          <w:rFonts w:eastAsiaTheme="minorHAnsi"/>
          <w:lang w:eastAsia="en-US"/>
        </w:rPr>
      </w:pPr>
      <w:bookmarkStart w:id="26" w:name="_Toc211447480"/>
      <w:r w:rsidRPr="00B55C8E">
        <w:rPr>
          <w:rFonts w:eastAsiaTheme="minorHAnsi"/>
          <w:lang w:eastAsia="en-US"/>
        </w:rPr>
        <w:t>CONSIDERANDOS</w:t>
      </w:r>
      <w:bookmarkEnd w:id="26"/>
    </w:p>
    <w:p w14:paraId="6DD1243B" w14:textId="77777777" w:rsidR="00664420" w:rsidRPr="00B55C8E" w:rsidRDefault="00664420" w:rsidP="00906179">
      <w:pPr>
        <w:contextualSpacing/>
        <w:jc w:val="center"/>
        <w:rPr>
          <w:rFonts w:eastAsiaTheme="minorHAnsi" w:cs="Tahoma"/>
          <w:b/>
          <w:szCs w:val="22"/>
          <w:lang w:eastAsia="en-US"/>
        </w:rPr>
      </w:pPr>
    </w:p>
    <w:p w14:paraId="0B67CB92" w14:textId="2E307D3B" w:rsidR="00664420" w:rsidRPr="00B55C8E" w:rsidRDefault="00664420" w:rsidP="00906179">
      <w:pPr>
        <w:pStyle w:val="Ttulo2"/>
        <w:rPr>
          <w:rFonts w:eastAsia="Batang"/>
        </w:rPr>
      </w:pPr>
      <w:bookmarkStart w:id="27" w:name="_Toc211447481"/>
      <w:r w:rsidRPr="00B55C8E">
        <w:rPr>
          <w:rFonts w:eastAsia="Batang"/>
        </w:rPr>
        <w:t xml:space="preserve">PRIMERO. </w:t>
      </w:r>
      <w:r w:rsidR="00BA55A8" w:rsidRPr="00B55C8E">
        <w:rPr>
          <w:rFonts w:eastAsia="Batang"/>
        </w:rPr>
        <w:t>Procedibilidad</w:t>
      </w:r>
      <w:bookmarkEnd w:id="27"/>
    </w:p>
    <w:p w14:paraId="39C52BC1" w14:textId="56FCC20D" w:rsidR="00BA55A8" w:rsidRPr="00B55C8E" w:rsidRDefault="00BA55A8" w:rsidP="00906179">
      <w:pPr>
        <w:pStyle w:val="Ttulo3"/>
      </w:pPr>
      <w:bookmarkStart w:id="28" w:name="_Toc211447482"/>
      <w:r w:rsidRPr="00B55C8E">
        <w:t>a) Competencia</w:t>
      </w:r>
      <w:r w:rsidR="00150C49" w:rsidRPr="00B55C8E">
        <w:t xml:space="preserve"> del Instituto</w:t>
      </w:r>
      <w:bookmarkEnd w:id="28"/>
    </w:p>
    <w:p w14:paraId="56E64942" w14:textId="13ACDD75" w:rsidR="0011350D" w:rsidRPr="00B55C8E" w:rsidRDefault="0011350D" w:rsidP="00906179">
      <w:pPr>
        <w:rPr>
          <w:rFonts w:cs="Arial"/>
        </w:rPr>
      </w:pPr>
      <w:r w:rsidRPr="00B55C8E">
        <w:t xml:space="preserve">Este Instituto de Transparencia, Acceso a la Información Pública y Protección de Datos Personales del Estado de México y Municipios es competente para conocer y resolver </w:t>
      </w:r>
      <w:r w:rsidR="005F65B7" w:rsidRPr="00B55C8E">
        <w:t xml:space="preserve">el </w:t>
      </w:r>
      <w:r w:rsidRPr="00B55C8E">
        <w:t xml:space="preserve">presente Recurso de Revisión, conforme a lo dispuesto en los artículos 6, Apartado A de la Constitución Política de los Estados Unidos Mexicanos; 5, </w:t>
      </w:r>
      <w:r w:rsidR="00674AB3" w:rsidRPr="00B55C8E">
        <w:rPr>
          <w:bCs/>
        </w:rPr>
        <w:t xml:space="preserve">párrafos trigésimo noveno, cuadragésimo y cuadragésimo primero, fracciones IV y V, </w:t>
      </w:r>
      <w:r w:rsidRPr="00B55C8E">
        <w:t>de la Constitución Política del Estado Libre y Soberano de México; ordinal 2, fracción II, 13, 29, 36, fracciones I y II, 176, 178, 179, 181 párrafo tercero y 185 de la Ley de Transparencia y Acceso a la Información Pública del Estado de México y Municipios</w:t>
      </w:r>
      <w:r w:rsidRPr="00B55C8E">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B55C8E" w:rsidRDefault="00DB1C09" w:rsidP="00906179">
      <w:pPr>
        <w:rPr>
          <w:rFonts w:cs="Arial"/>
        </w:rPr>
      </w:pPr>
    </w:p>
    <w:p w14:paraId="517A2DD6" w14:textId="4169BE4D" w:rsidR="00664420" w:rsidRPr="00B55C8E" w:rsidRDefault="00BA55A8" w:rsidP="00906179">
      <w:pPr>
        <w:pStyle w:val="Ttulo3"/>
      </w:pPr>
      <w:bookmarkStart w:id="29" w:name="_Toc211447483"/>
      <w:r w:rsidRPr="00B55C8E">
        <w:t>b)</w:t>
      </w:r>
      <w:r w:rsidR="00664420" w:rsidRPr="00B55C8E">
        <w:t xml:space="preserve"> </w:t>
      </w:r>
      <w:r w:rsidR="00D91CB4" w:rsidRPr="00B55C8E">
        <w:t>Legitimidad</w:t>
      </w:r>
      <w:r w:rsidRPr="00B55C8E">
        <w:t xml:space="preserve"> de la parte recurrente</w:t>
      </w:r>
      <w:bookmarkEnd w:id="29"/>
    </w:p>
    <w:p w14:paraId="26FEA382" w14:textId="0B06695C" w:rsidR="00D91CB4" w:rsidRPr="00B55C8E" w:rsidRDefault="00D91CB4" w:rsidP="00906179">
      <w:pPr>
        <w:rPr>
          <w:rFonts w:cs="Arial"/>
          <w:bCs/>
        </w:rPr>
      </w:pPr>
      <w:r w:rsidRPr="00B55C8E">
        <w:rPr>
          <w:rFonts w:cs="Arial"/>
          <w:bCs/>
        </w:rPr>
        <w:t>El recurso de revisión fue interpuesto por parte legítima, ya que se presentó por la misma persona que formuló la solicitud de acceso a la Información Pública,</w:t>
      </w:r>
      <w:r w:rsidRPr="00B55C8E">
        <w:rPr>
          <w:rFonts w:cs="Arial"/>
          <w:b/>
          <w:bCs/>
        </w:rPr>
        <w:t xml:space="preserve"> </w:t>
      </w:r>
      <w:r w:rsidRPr="00B55C8E">
        <w:rPr>
          <w:rFonts w:cs="Arial"/>
        </w:rPr>
        <w:t>debido a que los datos de acceso</w:t>
      </w:r>
      <w:r w:rsidRPr="00B55C8E">
        <w:rPr>
          <w:rFonts w:cs="Arial"/>
          <w:b/>
          <w:bCs/>
        </w:rPr>
        <w:t xml:space="preserve"> </w:t>
      </w:r>
      <w:r w:rsidRPr="00B55C8E">
        <w:rPr>
          <w:rFonts w:cs="Arial"/>
          <w:b/>
        </w:rPr>
        <w:t>SAIMEX</w:t>
      </w:r>
      <w:r w:rsidRPr="00B55C8E">
        <w:rPr>
          <w:rFonts w:eastAsia="Calibri" w:cs="Arial"/>
          <w:lang w:eastAsia="en-US"/>
        </w:rPr>
        <w:t xml:space="preserve"> son personales e irrepetibles.</w:t>
      </w:r>
    </w:p>
    <w:p w14:paraId="2C367810" w14:textId="77777777" w:rsidR="00D91CB4" w:rsidRPr="00B55C8E" w:rsidRDefault="00D91CB4" w:rsidP="00906179"/>
    <w:p w14:paraId="5C5FA5A8" w14:textId="77777777" w:rsidR="004565C2" w:rsidRPr="00B55C8E" w:rsidRDefault="004565C2" w:rsidP="00906179">
      <w:pPr>
        <w:pStyle w:val="Ttulo3"/>
        <w:rPr>
          <w:rFonts w:eastAsia="Calibri"/>
          <w:lang w:eastAsia="es-ES_tradnl"/>
        </w:rPr>
      </w:pPr>
      <w:bookmarkStart w:id="30" w:name="_Toc170932820"/>
      <w:bookmarkStart w:id="31" w:name="_Toc211447484"/>
      <w:r w:rsidRPr="00B55C8E">
        <w:rPr>
          <w:rFonts w:eastAsia="Calibri"/>
          <w:lang w:eastAsia="es-ES_tradnl"/>
        </w:rPr>
        <w:lastRenderedPageBreak/>
        <w:t>c) Plazo para interponer el recurso</w:t>
      </w:r>
      <w:bookmarkEnd w:id="30"/>
      <w:bookmarkEnd w:id="31"/>
    </w:p>
    <w:p w14:paraId="5C63152A" w14:textId="71C573E9" w:rsidR="004565C2" w:rsidRPr="00B55C8E" w:rsidRDefault="004565C2" w:rsidP="00906179">
      <w:pPr>
        <w:rPr>
          <w:rFonts w:eastAsiaTheme="minorEastAsia" w:cs="Arial"/>
          <w:lang w:val="es-ES_tradnl"/>
        </w:rPr>
      </w:pPr>
      <w:r w:rsidRPr="00B55C8E">
        <w:rPr>
          <w:rFonts w:cs="Arial"/>
          <w:b/>
        </w:rPr>
        <w:t>EL SUJETO OBLIGADO</w:t>
      </w:r>
      <w:r w:rsidRPr="00B55C8E">
        <w:rPr>
          <w:rFonts w:cs="Arial"/>
        </w:rPr>
        <w:t xml:space="preserve"> notificó la respuesta a la solicitud de acceso a la Información Pública el </w:t>
      </w:r>
      <w:r w:rsidR="00FF30FD" w:rsidRPr="00B55C8E">
        <w:rPr>
          <w:rFonts w:eastAsia="Palatino Linotype" w:cs="Palatino Linotype"/>
          <w:b/>
        </w:rPr>
        <w:t xml:space="preserve">veintitrés de septiembre </w:t>
      </w:r>
      <w:r w:rsidR="00433C6C" w:rsidRPr="00B55C8E">
        <w:rPr>
          <w:rFonts w:eastAsia="Palatino Linotype" w:cs="Palatino Linotype"/>
          <w:b/>
        </w:rPr>
        <w:t>d</w:t>
      </w:r>
      <w:r w:rsidR="009A1340" w:rsidRPr="00B55C8E">
        <w:rPr>
          <w:rFonts w:eastAsia="Palatino Linotype" w:cs="Palatino Linotype"/>
          <w:b/>
        </w:rPr>
        <w:t xml:space="preserve">e dos mil veinticinco </w:t>
      </w:r>
      <w:r w:rsidRPr="00B55C8E">
        <w:rPr>
          <w:rFonts w:cs="Arial"/>
        </w:rPr>
        <w:t xml:space="preserve">y el recurso </w:t>
      </w:r>
      <w:r w:rsidRPr="00B55C8E">
        <w:rPr>
          <w:rFonts w:eastAsia="Palatino Linotype" w:cs="Palatino Linotype"/>
        </w:rPr>
        <w:t xml:space="preserve">que nos ocupa se </w:t>
      </w:r>
      <w:r w:rsidR="00E27023" w:rsidRPr="00B55C8E">
        <w:rPr>
          <w:rFonts w:eastAsia="Palatino Linotype" w:cs="Palatino Linotype"/>
        </w:rPr>
        <w:t xml:space="preserve">tuvo por </w:t>
      </w:r>
      <w:r w:rsidRPr="00B55C8E">
        <w:rPr>
          <w:rFonts w:eastAsia="Palatino Linotype" w:cs="Palatino Linotype"/>
        </w:rPr>
        <w:t>interpu</w:t>
      </w:r>
      <w:r w:rsidR="00E27023" w:rsidRPr="00B55C8E">
        <w:rPr>
          <w:rFonts w:eastAsia="Palatino Linotype" w:cs="Palatino Linotype"/>
        </w:rPr>
        <w:t>esto</w:t>
      </w:r>
      <w:r w:rsidRPr="00B55C8E">
        <w:rPr>
          <w:rFonts w:eastAsia="Palatino Linotype" w:cs="Palatino Linotype"/>
        </w:rPr>
        <w:t xml:space="preserve"> el </w:t>
      </w:r>
      <w:r w:rsidR="00FF30FD" w:rsidRPr="00B55C8E">
        <w:rPr>
          <w:rFonts w:eastAsia="Palatino Linotype" w:cs="Palatino Linotype"/>
          <w:b/>
        </w:rPr>
        <w:t xml:space="preserve">veintitrés de septiembre </w:t>
      </w:r>
      <w:r w:rsidR="009A1340" w:rsidRPr="00B55C8E">
        <w:rPr>
          <w:rFonts w:eastAsia="Palatino Linotype" w:cs="Palatino Linotype"/>
          <w:b/>
        </w:rPr>
        <w:t>de dos mil veinticinco</w:t>
      </w:r>
      <w:r w:rsidRPr="00B55C8E">
        <w:rPr>
          <w:rFonts w:eastAsia="Palatino Linotype" w:cs="Palatino Linotype"/>
          <w:bCs/>
        </w:rPr>
        <w:t>;</w:t>
      </w:r>
      <w:r w:rsidRPr="00B55C8E">
        <w:rPr>
          <w:rFonts w:eastAsia="Palatino Linotype" w:cs="Palatino Linotype"/>
        </w:rPr>
        <w:t xml:space="preserve"> por lo tanto, éste se encuentra dentro del margen temporal previsto en el artículo 178 de la </w:t>
      </w:r>
      <w:r w:rsidRPr="00B55C8E">
        <w:rPr>
          <w:rFonts w:cs="Arial"/>
        </w:rPr>
        <w:t>Ley de Transparencia y Acceso a la Información Pública del Estado de México y Municipios</w:t>
      </w:r>
      <w:r w:rsidRPr="00B55C8E">
        <w:rPr>
          <w:rFonts w:eastAsiaTheme="minorEastAsia" w:cs="Arial"/>
          <w:lang w:val="es-ES_tradnl"/>
        </w:rPr>
        <w:t>.</w:t>
      </w:r>
    </w:p>
    <w:p w14:paraId="41262D82" w14:textId="77777777" w:rsidR="00813497" w:rsidRPr="00B55C8E" w:rsidRDefault="00813497" w:rsidP="00906179"/>
    <w:p w14:paraId="61193B7A" w14:textId="77777777" w:rsidR="00FF30FD" w:rsidRPr="00B55C8E" w:rsidRDefault="00FF30FD" w:rsidP="00906179">
      <w:r w:rsidRPr="00B55C8E">
        <w:t xml:space="preserve">En ese tenor, se advierte que </w:t>
      </w:r>
      <w:r w:rsidRPr="00B55C8E">
        <w:rPr>
          <w:b/>
        </w:rPr>
        <w:t>LA PARTE RECURRENTE</w:t>
      </w:r>
      <w:r w:rsidRPr="00B55C8E">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200BA58B" w14:textId="77777777" w:rsidR="00FF30FD" w:rsidRPr="00B55C8E" w:rsidRDefault="00FF30FD" w:rsidP="00906179"/>
    <w:p w14:paraId="79DA8063" w14:textId="77777777" w:rsidR="00FF30FD" w:rsidRPr="00B55C8E" w:rsidRDefault="00FF30FD" w:rsidP="00906179">
      <w:r w:rsidRPr="00B55C8E">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4E7C4D53" w14:textId="77777777" w:rsidR="00FF30FD" w:rsidRPr="00B55C8E" w:rsidRDefault="00FF30FD" w:rsidP="00906179"/>
    <w:p w14:paraId="11AF50A2" w14:textId="77777777" w:rsidR="00FF30FD" w:rsidRPr="00B55C8E" w:rsidRDefault="00FF30FD" w:rsidP="00906179">
      <w:pPr>
        <w:spacing w:line="240" w:lineRule="auto"/>
        <w:ind w:left="567" w:right="567"/>
        <w:contextualSpacing/>
        <w:rPr>
          <w:i/>
          <w:kern w:val="28"/>
          <w:szCs w:val="56"/>
        </w:rPr>
      </w:pPr>
      <w:r w:rsidRPr="00B55C8E">
        <w:rPr>
          <w:i/>
          <w:kern w:val="28"/>
          <w:szCs w:val="56"/>
        </w:rPr>
        <w:t>“</w:t>
      </w:r>
      <w:r w:rsidRPr="00B55C8E">
        <w:rPr>
          <w:b/>
          <w:bCs/>
          <w:i/>
          <w:kern w:val="28"/>
          <w:szCs w:val="56"/>
        </w:rPr>
        <w:t>RECURSO DE RECLAMACIÓN. SU INTERPOSICIÓN NO ES EXTEMPORÁNEA SI SE REALIZA ANTES DE QUE INICIE EL PLAZO PARA HACERLO</w:t>
      </w:r>
      <w:r w:rsidRPr="00B55C8E">
        <w:rPr>
          <w:i/>
          <w:kern w:val="28"/>
          <w:szCs w:val="56"/>
        </w:rPr>
        <w:t xml:space="preserve">. Conforme al artículo 104, párrafo segundo, de la Ley de Amparo, el recurso de reclamación podrá interponerse por cualquiera de las partes, por escrito, dentro del </w:t>
      </w:r>
      <w:r w:rsidRPr="00B55C8E">
        <w:rPr>
          <w:i/>
          <w:kern w:val="28"/>
          <w:szCs w:val="56"/>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27DD9CB" w14:textId="77777777" w:rsidR="00FF30FD" w:rsidRPr="00B55C8E" w:rsidRDefault="00FF30FD" w:rsidP="00906179"/>
    <w:p w14:paraId="46C0EB3A" w14:textId="5A92AF42" w:rsidR="00A53315" w:rsidRPr="00B55C8E" w:rsidRDefault="00BA55A8" w:rsidP="00906179">
      <w:pPr>
        <w:pStyle w:val="Ttulo3"/>
        <w:rPr>
          <w:rFonts w:eastAsia="Calibri"/>
          <w:lang w:eastAsia="es-ES_tradnl"/>
        </w:rPr>
      </w:pPr>
      <w:bookmarkStart w:id="32" w:name="_Toc211447485"/>
      <w:r w:rsidRPr="00B55C8E">
        <w:rPr>
          <w:rFonts w:eastAsia="Calibri"/>
          <w:lang w:eastAsia="es-ES_tradnl"/>
        </w:rPr>
        <w:t>d)</w:t>
      </w:r>
      <w:r w:rsidR="00D91CB4" w:rsidRPr="00B55C8E">
        <w:rPr>
          <w:rFonts w:eastAsia="Calibri"/>
          <w:lang w:eastAsia="es-ES_tradnl"/>
        </w:rPr>
        <w:t xml:space="preserve"> </w:t>
      </w:r>
      <w:r w:rsidR="004565C2" w:rsidRPr="00B55C8E">
        <w:rPr>
          <w:rFonts w:eastAsia="Calibri"/>
          <w:lang w:eastAsia="es-ES_tradnl"/>
        </w:rPr>
        <w:t>Causal de procedencia</w:t>
      </w:r>
      <w:bookmarkEnd w:id="32"/>
    </w:p>
    <w:p w14:paraId="190404A6" w14:textId="31A38757" w:rsidR="00BA55A8" w:rsidRPr="00B55C8E" w:rsidRDefault="00BA55A8" w:rsidP="00906179">
      <w:r w:rsidRPr="00B55C8E">
        <w:rPr>
          <w:rFonts w:cs="Arial"/>
        </w:rPr>
        <w:t xml:space="preserve">Resulta procedente la interposición del recurso de revisión, ya que </w:t>
      </w:r>
      <w:r w:rsidRPr="00B55C8E">
        <w:rPr>
          <w:rFonts w:eastAsia="Calibri" w:cs="Tahoma"/>
          <w:szCs w:val="22"/>
          <w:lang w:eastAsia="es-MX"/>
        </w:rPr>
        <w:t>se actualiza la causal de procedencia señalada en el artículo 179, fracci</w:t>
      </w:r>
      <w:r w:rsidR="00FF30FD" w:rsidRPr="00B55C8E">
        <w:rPr>
          <w:rFonts w:eastAsia="Calibri" w:cs="Tahoma"/>
          <w:szCs w:val="22"/>
          <w:lang w:eastAsia="es-MX"/>
        </w:rPr>
        <w:t>ón VI</w:t>
      </w:r>
      <w:r w:rsidRPr="00B55C8E">
        <w:rPr>
          <w:rFonts w:cs="Arial"/>
        </w:rPr>
        <w:t xml:space="preserve"> de la </w:t>
      </w:r>
      <w:r w:rsidRPr="00B55C8E">
        <w:t>Ley de Transparencia y Acceso a la Información Pública del Estado de México y Municipios.</w:t>
      </w:r>
    </w:p>
    <w:p w14:paraId="0EFF7141" w14:textId="77777777" w:rsidR="00362A11" w:rsidRPr="00B55C8E" w:rsidRDefault="00362A11" w:rsidP="00906179"/>
    <w:p w14:paraId="2284D7EB" w14:textId="3EE1D036" w:rsidR="00BA55A8" w:rsidRPr="00B55C8E" w:rsidRDefault="00362A11" w:rsidP="00906179">
      <w:pPr>
        <w:pStyle w:val="Ttulo3"/>
      </w:pPr>
      <w:bookmarkStart w:id="33" w:name="_Toc211447486"/>
      <w:r w:rsidRPr="00B55C8E">
        <w:t>e) Requisitos formales para la interposición del recurso</w:t>
      </w:r>
      <w:bookmarkEnd w:id="33"/>
    </w:p>
    <w:p w14:paraId="677C7009" w14:textId="77777777" w:rsidR="00185C7C" w:rsidRPr="00B55C8E" w:rsidRDefault="00185C7C" w:rsidP="00906179">
      <w:pPr>
        <w:rPr>
          <w:rFonts w:cs="Arial"/>
        </w:rPr>
      </w:pPr>
      <w:r w:rsidRPr="00B55C8E">
        <w:rPr>
          <w:rFonts w:cs="Arial"/>
          <w:b/>
          <w:bCs/>
        </w:rPr>
        <w:t xml:space="preserve">LA PARTE RECURRENTE </w:t>
      </w:r>
      <w:r w:rsidRPr="00B55C8E">
        <w:rPr>
          <w:rFonts w:cs="Arial"/>
        </w:rPr>
        <w:t>acreditó todos y cada uno de los elementos formales exigidos por el artículo 180 de la misma normatividad.</w:t>
      </w:r>
    </w:p>
    <w:p w14:paraId="2BE2EBCD" w14:textId="77777777" w:rsidR="00185C7C" w:rsidRPr="00B55C8E" w:rsidRDefault="00185C7C" w:rsidP="00906179">
      <w:pPr>
        <w:rPr>
          <w:rFonts w:cs="Arial"/>
        </w:rPr>
      </w:pPr>
    </w:p>
    <w:p w14:paraId="457548E9" w14:textId="3F7AF03B" w:rsidR="00C71CEF" w:rsidRPr="00B55C8E" w:rsidRDefault="00C71CEF" w:rsidP="00906179">
      <w:pPr>
        <w:pStyle w:val="Ttulo2"/>
      </w:pPr>
      <w:bookmarkStart w:id="34" w:name="_Toc211447487"/>
      <w:r w:rsidRPr="00B55C8E">
        <w:t>SEGUNDO. Estudio de Fondo</w:t>
      </w:r>
      <w:bookmarkEnd w:id="34"/>
    </w:p>
    <w:p w14:paraId="2A308F59" w14:textId="0FF373F0" w:rsidR="00C049E2" w:rsidRPr="00B55C8E" w:rsidRDefault="00C71CEF" w:rsidP="00906179">
      <w:pPr>
        <w:pStyle w:val="Ttulo3"/>
      </w:pPr>
      <w:bookmarkStart w:id="35" w:name="_Toc211447488"/>
      <w:r w:rsidRPr="00B55C8E">
        <w:t>a</w:t>
      </w:r>
      <w:r w:rsidR="00C049E2" w:rsidRPr="00B55C8E">
        <w:t>) Mandato de transparencia y responsabilidad del Sujeto Obligado</w:t>
      </w:r>
      <w:bookmarkEnd w:id="35"/>
    </w:p>
    <w:p w14:paraId="6901A889" w14:textId="59EEDAE1" w:rsidR="00C049E2" w:rsidRPr="00B55C8E" w:rsidRDefault="00C049E2" w:rsidP="00906179">
      <w:pPr>
        <w:rPr>
          <w:rFonts w:eastAsia="Palatino Linotype"/>
        </w:rPr>
      </w:pPr>
      <w:r w:rsidRPr="00B55C8E">
        <w:rPr>
          <w:rFonts w:eastAsia="Palatino Linotype"/>
        </w:rPr>
        <w:t xml:space="preserve">El </w:t>
      </w:r>
      <w:r w:rsidR="00717E59" w:rsidRPr="00B55C8E">
        <w:rPr>
          <w:rFonts w:eastAsia="Palatino Linotype"/>
        </w:rPr>
        <w:t>d</w:t>
      </w:r>
      <w:r w:rsidRPr="00B55C8E">
        <w:rPr>
          <w:rFonts w:eastAsia="Palatino Linotype"/>
        </w:rPr>
        <w:t xml:space="preserve">erecho de </w:t>
      </w:r>
      <w:r w:rsidR="00717E59" w:rsidRPr="00B55C8E">
        <w:rPr>
          <w:rFonts w:eastAsia="Palatino Linotype"/>
        </w:rPr>
        <w:t>a</w:t>
      </w:r>
      <w:r w:rsidRPr="00B55C8E">
        <w:rPr>
          <w:rFonts w:eastAsia="Palatino Linotype"/>
        </w:rPr>
        <w:t xml:space="preserve">cceso a la </w:t>
      </w:r>
      <w:r w:rsidR="00717E59" w:rsidRPr="00B55C8E">
        <w:rPr>
          <w:rFonts w:eastAsia="Palatino Linotype"/>
        </w:rPr>
        <w:t>i</w:t>
      </w:r>
      <w:r w:rsidRPr="00B55C8E">
        <w:rPr>
          <w:rFonts w:eastAsia="Palatino Linotype"/>
        </w:rPr>
        <w:t xml:space="preserve">nformación </w:t>
      </w:r>
      <w:r w:rsidR="00717E59" w:rsidRPr="00B55C8E">
        <w:rPr>
          <w:rFonts w:eastAsia="Palatino Linotype"/>
        </w:rPr>
        <w:t>p</w:t>
      </w:r>
      <w:r w:rsidRPr="00B55C8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55C8E">
        <w:rPr>
          <w:rFonts w:eastAsia="Palatino Linotype"/>
        </w:rPr>
        <w:t>:</w:t>
      </w:r>
    </w:p>
    <w:p w14:paraId="7FAB8D32" w14:textId="77777777" w:rsidR="00C049E2" w:rsidRPr="00B55C8E" w:rsidRDefault="00C049E2" w:rsidP="00906179">
      <w:pPr>
        <w:rPr>
          <w:rFonts w:eastAsia="Palatino Linotype"/>
        </w:rPr>
      </w:pPr>
    </w:p>
    <w:p w14:paraId="05320813" w14:textId="77777777" w:rsidR="00C049E2" w:rsidRPr="00B55C8E" w:rsidRDefault="00C049E2" w:rsidP="00906179">
      <w:pPr>
        <w:pStyle w:val="Puesto"/>
        <w:rPr>
          <w:rFonts w:eastAsia="Palatino Linotype"/>
          <w:b/>
        </w:rPr>
      </w:pPr>
      <w:r w:rsidRPr="00B55C8E">
        <w:rPr>
          <w:rFonts w:eastAsia="Palatino Linotype"/>
          <w:b/>
        </w:rPr>
        <w:t>Constitución Política de los Estados Unidos Mexicanos</w:t>
      </w:r>
    </w:p>
    <w:p w14:paraId="6B6C67B6" w14:textId="77777777" w:rsidR="00C049E2" w:rsidRPr="00B55C8E" w:rsidRDefault="00C049E2" w:rsidP="00906179">
      <w:pPr>
        <w:pStyle w:val="Puesto"/>
        <w:rPr>
          <w:rFonts w:eastAsia="Palatino Linotype"/>
          <w:b/>
        </w:rPr>
      </w:pPr>
      <w:r w:rsidRPr="00B55C8E">
        <w:rPr>
          <w:rFonts w:eastAsia="Palatino Linotype"/>
        </w:rPr>
        <w:t>“</w:t>
      </w:r>
      <w:r w:rsidRPr="00B55C8E">
        <w:rPr>
          <w:rFonts w:eastAsia="Palatino Linotype"/>
          <w:b/>
        </w:rPr>
        <w:t>Artículo 6.</w:t>
      </w:r>
    </w:p>
    <w:p w14:paraId="38D3B4C4" w14:textId="77777777" w:rsidR="00C049E2" w:rsidRPr="00B55C8E" w:rsidRDefault="00C049E2" w:rsidP="00906179">
      <w:pPr>
        <w:pStyle w:val="Puesto"/>
        <w:rPr>
          <w:rFonts w:eastAsia="Palatino Linotype"/>
        </w:rPr>
      </w:pPr>
      <w:r w:rsidRPr="00B55C8E">
        <w:rPr>
          <w:rFonts w:eastAsia="Palatino Linotype"/>
        </w:rPr>
        <w:t>(…)</w:t>
      </w:r>
    </w:p>
    <w:p w14:paraId="2CCAA297" w14:textId="6602827B" w:rsidR="00C049E2" w:rsidRPr="00B55C8E" w:rsidRDefault="00C049E2" w:rsidP="00906179">
      <w:pPr>
        <w:pStyle w:val="Puesto"/>
        <w:rPr>
          <w:rFonts w:eastAsia="Palatino Linotype"/>
        </w:rPr>
      </w:pPr>
      <w:r w:rsidRPr="00B55C8E">
        <w:rPr>
          <w:rFonts w:eastAsia="Palatino Linotype"/>
        </w:rPr>
        <w:t>Para efectos de lo dispuesto en el presente artículo se observará lo siguiente:</w:t>
      </w:r>
    </w:p>
    <w:p w14:paraId="74CC3718" w14:textId="77777777" w:rsidR="00C049E2" w:rsidRPr="00B55C8E" w:rsidRDefault="00C049E2" w:rsidP="00906179">
      <w:pPr>
        <w:pStyle w:val="Puesto"/>
        <w:rPr>
          <w:rFonts w:eastAsia="Palatino Linotype"/>
        </w:rPr>
      </w:pPr>
      <w:r w:rsidRPr="00B55C8E">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B55C8E" w:rsidRDefault="00C049E2" w:rsidP="00906179">
      <w:pPr>
        <w:pStyle w:val="Puesto"/>
        <w:rPr>
          <w:rFonts w:eastAsia="Palatino Linotype"/>
        </w:rPr>
      </w:pPr>
      <w:r w:rsidRPr="00B55C8E">
        <w:rPr>
          <w:rFonts w:eastAsia="Palatino Linotype"/>
        </w:rPr>
        <w:lastRenderedPageBreak/>
        <w:t xml:space="preserve">I. </w:t>
      </w:r>
      <w:r w:rsidRPr="00B55C8E">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B55C8E" w:rsidRDefault="00C049E2" w:rsidP="00906179">
      <w:pPr>
        <w:pStyle w:val="Puesto"/>
        <w:rPr>
          <w:rFonts w:eastAsia="Palatino Linotype"/>
        </w:rPr>
      </w:pPr>
    </w:p>
    <w:p w14:paraId="504F12DB" w14:textId="77777777" w:rsidR="00C049E2" w:rsidRPr="00B55C8E" w:rsidRDefault="00C049E2" w:rsidP="00906179">
      <w:pPr>
        <w:pStyle w:val="Puesto"/>
        <w:rPr>
          <w:rFonts w:eastAsia="Palatino Linotype"/>
          <w:b/>
        </w:rPr>
      </w:pPr>
      <w:r w:rsidRPr="00B55C8E">
        <w:rPr>
          <w:rFonts w:eastAsia="Palatino Linotype"/>
          <w:b/>
        </w:rPr>
        <w:t>Constitución Política del Estado Libre y Soberano de México</w:t>
      </w:r>
    </w:p>
    <w:p w14:paraId="04932D29" w14:textId="77777777" w:rsidR="00C049E2" w:rsidRPr="00B55C8E" w:rsidRDefault="00C049E2" w:rsidP="00906179">
      <w:pPr>
        <w:pStyle w:val="Puesto"/>
        <w:rPr>
          <w:rFonts w:eastAsia="Palatino Linotype"/>
          <w:b/>
        </w:rPr>
      </w:pPr>
      <w:r w:rsidRPr="00B55C8E">
        <w:rPr>
          <w:rFonts w:eastAsia="Palatino Linotype"/>
        </w:rPr>
        <w:t>“</w:t>
      </w:r>
      <w:r w:rsidRPr="00B55C8E">
        <w:rPr>
          <w:rFonts w:eastAsia="Palatino Linotype"/>
          <w:b/>
        </w:rPr>
        <w:t xml:space="preserve">Artículo 5.- </w:t>
      </w:r>
    </w:p>
    <w:p w14:paraId="1D3829F4" w14:textId="77777777" w:rsidR="00C049E2" w:rsidRPr="00B55C8E" w:rsidRDefault="00C049E2" w:rsidP="00906179">
      <w:pPr>
        <w:pStyle w:val="Puesto"/>
        <w:rPr>
          <w:rFonts w:eastAsia="Palatino Linotype"/>
        </w:rPr>
      </w:pPr>
      <w:r w:rsidRPr="00B55C8E">
        <w:rPr>
          <w:rFonts w:eastAsia="Palatino Linotype"/>
        </w:rPr>
        <w:t>(…)</w:t>
      </w:r>
    </w:p>
    <w:p w14:paraId="0EAE47FD" w14:textId="77777777" w:rsidR="00C049E2" w:rsidRPr="00B55C8E" w:rsidRDefault="00C049E2" w:rsidP="00906179">
      <w:pPr>
        <w:pStyle w:val="Puesto"/>
        <w:rPr>
          <w:rFonts w:eastAsia="Palatino Linotype"/>
        </w:rPr>
      </w:pPr>
      <w:r w:rsidRPr="00B55C8E">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B55C8E" w:rsidRDefault="00C049E2" w:rsidP="00906179">
      <w:pPr>
        <w:pStyle w:val="Puesto"/>
        <w:rPr>
          <w:rFonts w:eastAsia="Palatino Linotype"/>
        </w:rPr>
      </w:pPr>
      <w:r w:rsidRPr="00B55C8E">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55C8E" w:rsidRDefault="00C049E2" w:rsidP="00906179">
      <w:pPr>
        <w:pStyle w:val="Puesto"/>
        <w:rPr>
          <w:rFonts w:eastAsia="Palatino Linotype"/>
        </w:rPr>
      </w:pPr>
      <w:r w:rsidRPr="00B55C8E">
        <w:rPr>
          <w:rFonts w:eastAsia="Palatino Linotype"/>
        </w:rPr>
        <w:t>Este derecho se regirá por los principios y bases siguientes:</w:t>
      </w:r>
    </w:p>
    <w:p w14:paraId="4A3E8CBA" w14:textId="77777777" w:rsidR="00C049E2" w:rsidRPr="00B55C8E" w:rsidRDefault="00C049E2" w:rsidP="00906179">
      <w:pPr>
        <w:pStyle w:val="Puesto"/>
        <w:rPr>
          <w:rFonts w:eastAsia="Palatino Linotype"/>
        </w:rPr>
      </w:pPr>
      <w:r w:rsidRPr="00B55C8E">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B55C8E" w:rsidRDefault="00C049E2" w:rsidP="00906179">
      <w:pPr>
        <w:rPr>
          <w:rFonts w:eastAsia="Palatino Linotype"/>
          <w:b/>
          <w:i/>
        </w:rPr>
      </w:pPr>
    </w:p>
    <w:p w14:paraId="6FC1BB3B" w14:textId="3BF4A33D" w:rsidR="00C049E2" w:rsidRPr="00B55C8E" w:rsidRDefault="00717E59" w:rsidP="00906179">
      <w:pPr>
        <w:rPr>
          <w:rFonts w:eastAsia="Palatino Linotype"/>
          <w:i/>
        </w:rPr>
      </w:pPr>
      <w:r w:rsidRPr="00B55C8E">
        <w:rPr>
          <w:rFonts w:eastAsia="Palatino Linotype"/>
        </w:rPr>
        <w:t xml:space="preserve">Asimismo, </w:t>
      </w:r>
      <w:r w:rsidR="00C049E2" w:rsidRPr="00B55C8E">
        <w:rPr>
          <w:rFonts w:eastAsia="Palatino Linotype"/>
        </w:rPr>
        <w:t>el artículo 150 de la Ley de Transparencia y Acceso a la Información Pública del Estado de México y Municipios</w:t>
      </w:r>
      <w:r w:rsidR="00057B2D" w:rsidRPr="00B55C8E">
        <w:rPr>
          <w:rFonts w:eastAsia="Palatino Linotype"/>
        </w:rPr>
        <w:t xml:space="preserve"> </w:t>
      </w:r>
      <w:r w:rsidR="00E9335C" w:rsidRPr="00B55C8E">
        <w:rPr>
          <w:rFonts w:eastAsia="Palatino Linotype"/>
        </w:rPr>
        <w:t xml:space="preserve">indica </w:t>
      </w:r>
      <w:r w:rsidR="00057B2D" w:rsidRPr="00B55C8E">
        <w:rPr>
          <w:rFonts w:eastAsia="Palatino Linotype"/>
        </w:rPr>
        <w:t>que</w:t>
      </w:r>
      <w:r w:rsidR="00C049E2" w:rsidRPr="00B55C8E">
        <w:rPr>
          <w:rFonts w:eastAsia="Palatino Linotype"/>
        </w:rPr>
        <w:t xml:space="preserve"> la solicitud es la garantía primaria del Derecho de </w:t>
      </w:r>
      <w:r w:rsidR="00C049E2" w:rsidRPr="00B55C8E">
        <w:rPr>
          <w:rFonts w:eastAsia="Palatino Linotype"/>
        </w:rPr>
        <w:lastRenderedPageBreak/>
        <w:t xml:space="preserve">Acceso a la Información, además, establece que se regirá </w:t>
      </w:r>
      <w:r w:rsidR="00C049E2" w:rsidRPr="00B55C8E">
        <w:rPr>
          <w:rFonts w:eastAsia="Palatino Linotype"/>
          <w:i/>
        </w:rPr>
        <w:t>por los principios de simplicidad, rapidez</w:t>
      </w:r>
      <w:r w:rsidR="005F65B7" w:rsidRPr="00B55C8E">
        <w:rPr>
          <w:rFonts w:eastAsia="Palatino Linotype"/>
          <w:i/>
        </w:rPr>
        <w:t>,</w:t>
      </w:r>
      <w:r w:rsidR="00C049E2" w:rsidRPr="00B55C8E">
        <w:rPr>
          <w:rFonts w:eastAsia="Palatino Linotype"/>
          <w:i/>
        </w:rPr>
        <w:t xml:space="preserve"> gratuidad del procedimiento, auxilio y orientación a los particulare</w:t>
      </w:r>
      <w:r w:rsidR="001A58B3" w:rsidRPr="00B55C8E">
        <w:rPr>
          <w:rFonts w:eastAsia="Palatino Linotype"/>
          <w:i/>
        </w:rPr>
        <w:t>s.</w:t>
      </w:r>
    </w:p>
    <w:p w14:paraId="033466A6" w14:textId="77777777" w:rsidR="001A58B3" w:rsidRPr="00B55C8E" w:rsidRDefault="001A58B3" w:rsidP="00906179">
      <w:pPr>
        <w:rPr>
          <w:rFonts w:eastAsia="Palatino Linotype"/>
          <w:i/>
        </w:rPr>
      </w:pPr>
    </w:p>
    <w:p w14:paraId="04ADA10B" w14:textId="574A944A" w:rsidR="001A58B3" w:rsidRPr="00B55C8E" w:rsidRDefault="00233F17" w:rsidP="00906179">
      <w:pPr>
        <w:rPr>
          <w:rFonts w:eastAsia="Palatino Linotype" w:cs="Palatino Linotype"/>
          <w:i/>
          <w:szCs w:val="22"/>
        </w:rPr>
      </w:pPr>
      <w:r w:rsidRPr="00B55C8E">
        <w:rPr>
          <w:rFonts w:eastAsia="Palatino Linotype" w:cs="Palatino Linotype"/>
        </w:rPr>
        <w:t xml:space="preserve">Por su parte, el artículo 4 de </w:t>
      </w:r>
      <w:r w:rsidR="001A58B3" w:rsidRPr="00B55C8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55C8E">
        <w:rPr>
          <w:rFonts w:eastAsia="Palatino Linotype" w:cs="Palatino Linotype"/>
        </w:rPr>
        <w:t>.</w:t>
      </w:r>
    </w:p>
    <w:p w14:paraId="1407DBB8" w14:textId="77777777" w:rsidR="001A58B3" w:rsidRPr="00B55C8E" w:rsidRDefault="001A58B3" w:rsidP="00906179">
      <w:pPr>
        <w:rPr>
          <w:rFonts w:eastAsia="Palatino Linotype" w:cs="Palatino Linotype"/>
        </w:rPr>
      </w:pPr>
    </w:p>
    <w:p w14:paraId="7552AA79" w14:textId="5C52E4A4" w:rsidR="001A58B3" w:rsidRPr="00B55C8E" w:rsidRDefault="001A58B3" w:rsidP="00906179">
      <w:pPr>
        <w:rPr>
          <w:rFonts w:eastAsia="Palatino Linotype" w:cs="Palatino Linotype"/>
        </w:rPr>
      </w:pPr>
      <w:r w:rsidRPr="00B55C8E">
        <w:rPr>
          <w:rFonts w:eastAsia="Palatino Linotype" w:cs="Palatino Linotype"/>
        </w:rPr>
        <w:t xml:space="preserve">Esto es, que los Sujetos Obligados </w:t>
      </w:r>
      <w:r w:rsidR="00FA5957" w:rsidRPr="00B55C8E">
        <w:rPr>
          <w:rFonts w:eastAsia="Palatino Linotype" w:cs="Palatino Linotype"/>
        </w:rPr>
        <w:t>deben</w:t>
      </w:r>
      <w:r w:rsidRPr="00B55C8E">
        <w:rPr>
          <w:rFonts w:eastAsia="Palatino Linotype" w:cs="Palatino Linotype"/>
        </w:rPr>
        <w:t xml:space="preserve"> atender las solicitudes de acceso a la información pública que se les </w:t>
      </w:r>
      <w:r w:rsidR="00FA5957" w:rsidRPr="00B55C8E">
        <w:rPr>
          <w:rFonts w:eastAsia="Palatino Linotype" w:cs="Palatino Linotype"/>
        </w:rPr>
        <w:t>sean realizadas,</w:t>
      </w:r>
      <w:r w:rsidRPr="00B55C8E">
        <w:rPr>
          <w:rFonts w:eastAsia="Palatino Linotype" w:cs="Palatino Linotype"/>
        </w:rPr>
        <w:t xml:space="preserve"> y proporcionar la información pública que obre en su poder</w:t>
      </w:r>
      <w:r w:rsidR="00FA5957" w:rsidRPr="00B55C8E">
        <w:rPr>
          <w:rFonts w:eastAsia="Palatino Linotype" w:cs="Palatino Linotype"/>
        </w:rPr>
        <w:t>,</w:t>
      </w:r>
      <w:r w:rsidRPr="00B55C8E">
        <w:rPr>
          <w:rFonts w:eastAsia="Palatino Linotype" w:cs="Palatino Linotype"/>
        </w:rPr>
        <w:t xml:space="preserve"> conforme </w:t>
      </w:r>
      <w:r w:rsidR="00FA5957" w:rsidRPr="00B55C8E">
        <w:rPr>
          <w:rFonts w:eastAsia="Palatino Linotype" w:cs="Palatino Linotype"/>
        </w:rPr>
        <w:t>a</w:t>
      </w:r>
      <w:r w:rsidRPr="00B55C8E">
        <w:rPr>
          <w:rFonts w:eastAsia="Palatino Linotype" w:cs="Palatino Linotype"/>
        </w:rPr>
        <w:t xml:space="preserve">l estado </w:t>
      </w:r>
      <w:r w:rsidR="00FA5957" w:rsidRPr="00B55C8E">
        <w:rPr>
          <w:rFonts w:eastAsia="Palatino Linotype" w:cs="Palatino Linotype"/>
        </w:rPr>
        <w:t xml:space="preserve">en </w:t>
      </w:r>
      <w:r w:rsidRPr="00B55C8E">
        <w:rPr>
          <w:rFonts w:eastAsia="Palatino Linotype" w:cs="Palatino Linotype"/>
        </w:rPr>
        <w:t>que se encuentr</w:t>
      </w:r>
      <w:r w:rsidR="00FA5957" w:rsidRPr="00B55C8E">
        <w:rPr>
          <w:rFonts w:eastAsia="Palatino Linotype" w:cs="Palatino Linotype"/>
        </w:rPr>
        <w:t>e, sin que sea necesario</w:t>
      </w:r>
      <w:r w:rsidRPr="00B55C8E">
        <w:rPr>
          <w:rFonts w:eastAsia="Palatino Linotype" w:cs="Palatino Linotype"/>
        </w:rPr>
        <w:t xml:space="preserve"> </w:t>
      </w:r>
      <w:r w:rsidR="00FA5957" w:rsidRPr="00B55C8E">
        <w:rPr>
          <w:rFonts w:eastAsia="Palatino Linotype" w:cs="Palatino Linotype"/>
        </w:rPr>
        <w:t>procesar</w:t>
      </w:r>
      <w:r w:rsidRPr="00B55C8E">
        <w:rPr>
          <w:rFonts w:eastAsia="Palatino Linotype" w:cs="Palatino Linotype"/>
        </w:rPr>
        <w:t xml:space="preserve"> la misma, ni presentarla conforme al interés del solicitante; </w:t>
      </w:r>
      <w:r w:rsidR="00FA5957" w:rsidRPr="00B55C8E">
        <w:rPr>
          <w:rFonts w:eastAsia="Palatino Linotype" w:cs="Palatino Linotype"/>
        </w:rPr>
        <w:t>tal y como</w:t>
      </w:r>
      <w:r w:rsidRPr="00B55C8E">
        <w:rPr>
          <w:rFonts w:eastAsia="Palatino Linotype" w:cs="Palatino Linotype"/>
        </w:rPr>
        <w:t xml:space="preserve"> lo establece el artículo 12 de la Ley de Transparencia y Acceso a la Información Pública del Estado de México y Municipios</w:t>
      </w:r>
      <w:r w:rsidR="00970EB3" w:rsidRPr="00B55C8E">
        <w:rPr>
          <w:rFonts w:eastAsia="Palatino Linotype" w:cs="Palatino Linotype"/>
        </w:rPr>
        <w:t>.</w:t>
      </w:r>
    </w:p>
    <w:p w14:paraId="73245195" w14:textId="77777777" w:rsidR="00970EB3" w:rsidRPr="00B55C8E" w:rsidRDefault="00970EB3" w:rsidP="00906179">
      <w:pPr>
        <w:rPr>
          <w:rFonts w:eastAsia="Palatino Linotype" w:cs="Palatino Linotype"/>
        </w:rPr>
      </w:pPr>
    </w:p>
    <w:p w14:paraId="7F62D4DF" w14:textId="775730E1" w:rsidR="001A58B3" w:rsidRPr="00B55C8E" w:rsidRDefault="001A58B3" w:rsidP="00906179">
      <w:pPr>
        <w:rPr>
          <w:rFonts w:eastAsia="Palatino Linotype" w:cs="Palatino Linotype"/>
        </w:rPr>
      </w:pPr>
      <w:r w:rsidRPr="00B55C8E">
        <w:rPr>
          <w:rFonts w:eastAsia="Palatino Linotype" w:cs="Palatino Linotype"/>
        </w:rPr>
        <w:t>Es decir, que todo sujeto obligado que genere, recopile, administre, procese, archive, posea o conserven, son responsables de la misma</w:t>
      </w:r>
      <w:r w:rsidR="00970EB3" w:rsidRPr="00B55C8E">
        <w:rPr>
          <w:rFonts w:eastAsia="Palatino Linotype" w:cs="Palatino Linotype"/>
        </w:rPr>
        <w:t>,</w:t>
      </w:r>
      <w:r w:rsidRPr="00B55C8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55C8E">
        <w:rPr>
          <w:rFonts w:eastAsia="Palatino Linotype" w:cs="Palatino Linotype"/>
        </w:rPr>
        <w:t>o</w:t>
      </w:r>
      <w:r w:rsidRPr="00B55C8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55C8E" w:rsidRDefault="001A58B3" w:rsidP="00906179">
      <w:pPr>
        <w:rPr>
          <w:rFonts w:eastAsia="Palatino Linotype" w:cs="Palatino Linotype"/>
        </w:rPr>
      </w:pPr>
    </w:p>
    <w:p w14:paraId="04E42DFE" w14:textId="573F1198" w:rsidR="001A58B3" w:rsidRPr="00B55C8E" w:rsidRDefault="001A58B3" w:rsidP="00906179">
      <w:pPr>
        <w:rPr>
          <w:rFonts w:eastAsia="Palatino Linotype" w:cs="Palatino Linotype"/>
        </w:rPr>
      </w:pPr>
      <w:r w:rsidRPr="00B55C8E">
        <w:rPr>
          <w:rFonts w:eastAsia="Palatino Linotype" w:cs="Palatino Linotype"/>
        </w:rPr>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B55C8E">
        <w:rPr>
          <w:rFonts w:eastAsia="Palatino Linotype" w:cs="Palatino Linotype"/>
        </w:rPr>
        <w:lastRenderedPageBreak/>
        <w:t>garantizar el Derecho de Acceso a la Información Pública</w:t>
      </w:r>
      <w:r w:rsidR="00331F35" w:rsidRPr="00B55C8E">
        <w:rPr>
          <w:rFonts w:eastAsia="Palatino Linotype" w:cs="Palatino Linotype"/>
        </w:rPr>
        <w:t>, s</w:t>
      </w:r>
      <w:r w:rsidRPr="00B55C8E">
        <w:rPr>
          <w:rFonts w:eastAsia="Palatino Linotype" w:cs="Palatino Linotype"/>
        </w:rPr>
        <w:t xml:space="preserve">iempre y cuando no se trate de información reservada o </w:t>
      </w:r>
      <w:r w:rsidR="00331F35" w:rsidRPr="00B55C8E">
        <w:rPr>
          <w:rFonts w:eastAsia="Palatino Linotype" w:cs="Palatino Linotype"/>
        </w:rPr>
        <w:t>confidencial.</w:t>
      </w:r>
    </w:p>
    <w:p w14:paraId="40C5219F" w14:textId="77777777" w:rsidR="001A58B3" w:rsidRPr="00B55C8E" w:rsidRDefault="001A58B3" w:rsidP="00906179">
      <w:pPr>
        <w:rPr>
          <w:rFonts w:eastAsia="Palatino Linotype" w:cs="Palatino Linotype"/>
        </w:rPr>
      </w:pPr>
    </w:p>
    <w:p w14:paraId="2E629608" w14:textId="01727E15" w:rsidR="00C049E2" w:rsidRPr="00B55C8E" w:rsidRDefault="006067C7" w:rsidP="00906179">
      <w:pPr>
        <w:rPr>
          <w:rFonts w:eastAsia="Palatino Linotype"/>
        </w:rPr>
      </w:pPr>
      <w:bookmarkStart w:id="36" w:name="_heading=h.2s8eyo1" w:colFirst="0" w:colLast="0"/>
      <w:bookmarkEnd w:id="36"/>
      <w:r w:rsidRPr="00B55C8E">
        <w:rPr>
          <w:rFonts w:eastAsia="Palatino Linotype"/>
        </w:rPr>
        <w:t>Con base en lo anterior</w:t>
      </w:r>
      <w:r w:rsidR="00B22A80" w:rsidRPr="00B55C8E">
        <w:rPr>
          <w:rFonts w:eastAsia="Palatino Linotype"/>
        </w:rPr>
        <w:t>, se considera que</w:t>
      </w:r>
      <w:r w:rsidR="00C049E2" w:rsidRPr="00B55C8E">
        <w:rPr>
          <w:rFonts w:eastAsia="Palatino Linotype"/>
        </w:rPr>
        <w:t xml:space="preserve"> </w:t>
      </w:r>
      <w:r w:rsidR="00B22A80" w:rsidRPr="00B55C8E">
        <w:rPr>
          <w:rFonts w:eastAsia="Palatino Linotype"/>
          <w:b/>
          <w:bCs/>
        </w:rPr>
        <w:t>EL</w:t>
      </w:r>
      <w:r w:rsidR="00C049E2" w:rsidRPr="00B55C8E">
        <w:rPr>
          <w:rFonts w:eastAsia="Palatino Linotype"/>
        </w:rPr>
        <w:t xml:space="preserve"> </w:t>
      </w:r>
      <w:r w:rsidR="00C049E2" w:rsidRPr="00B55C8E">
        <w:rPr>
          <w:rFonts w:eastAsia="Palatino Linotype"/>
          <w:b/>
        </w:rPr>
        <w:t>SUJETO OBLIGADO</w:t>
      </w:r>
      <w:r w:rsidR="00C049E2" w:rsidRPr="00B55C8E">
        <w:rPr>
          <w:rFonts w:eastAsia="Palatino Linotype"/>
        </w:rPr>
        <w:t xml:space="preserve"> </w:t>
      </w:r>
      <w:r w:rsidR="00B22A80" w:rsidRPr="00B55C8E">
        <w:rPr>
          <w:rFonts w:eastAsia="Palatino Linotype"/>
        </w:rPr>
        <w:t xml:space="preserve">se </w:t>
      </w:r>
      <w:r w:rsidR="00717E59" w:rsidRPr="00B55C8E">
        <w:rPr>
          <w:rFonts w:eastAsia="Palatino Linotype"/>
        </w:rPr>
        <w:t>encontraba</w:t>
      </w:r>
      <w:r w:rsidR="00B22A80" w:rsidRPr="00B55C8E">
        <w:rPr>
          <w:rFonts w:eastAsia="Palatino Linotype"/>
        </w:rPr>
        <w:t xml:space="preserve"> compelido a</w:t>
      </w:r>
      <w:r w:rsidR="00C049E2" w:rsidRPr="00B55C8E">
        <w:rPr>
          <w:rFonts w:eastAsia="Palatino Linotype"/>
        </w:rPr>
        <w:t xml:space="preserve"> atender la solicitud de acceso a la información </w:t>
      </w:r>
      <w:r w:rsidR="00B22A80" w:rsidRPr="00B55C8E">
        <w:rPr>
          <w:rFonts w:eastAsia="Palatino Linotype"/>
        </w:rPr>
        <w:t xml:space="preserve">realizada por </w:t>
      </w:r>
      <w:r w:rsidR="00B22A80" w:rsidRPr="00B55C8E">
        <w:rPr>
          <w:rFonts w:eastAsia="Palatino Linotype"/>
          <w:b/>
          <w:bCs/>
        </w:rPr>
        <w:t>LA PARTE RECURRENTE</w:t>
      </w:r>
      <w:r w:rsidR="00331F35" w:rsidRPr="00B55C8E">
        <w:rPr>
          <w:rFonts w:eastAsia="Palatino Linotype"/>
        </w:rPr>
        <w:t>.</w:t>
      </w:r>
    </w:p>
    <w:p w14:paraId="1611F147" w14:textId="77777777" w:rsidR="00BD5A7C" w:rsidRPr="00B55C8E" w:rsidRDefault="00BD5A7C" w:rsidP="00906179">
      <w:pPr>
        <w:rPr>
          <w:rFonts w:eastAsia="Palatino Linotype"/>
        </w:rPr>
      </w:pPr>
    </w:p>
    <w:p w14:paraId="51A0E8B4" w14:textId="676DCA47" w:rsidR="00664420" w:rsidRPr="00B55C8E" w:rsidRDefault="00C71CEF" w:rsidP="00906179">
      <w:pPr>
        <w:pStyle w:val="Ttulo3"/>
        <w:rPr>
          <w:rFonts w:eastAsia="Calibri"/>
          <w:lang w:eastAsia="es-ES_tradnl"/>
        </w:rPr>
      </w:pPr>
      <w:bookmarkStart w:id="37" w:name="_Toc211447489"/>
      <w:r w:rsidRPr="00B55C8E">
        <w:rPr>
          <w:rFonts w:eastAsia="Calibri"/>
          <w:lang w:eastAsia="es-ES_tradnl"/>
        </w:rPr>
        <w:t>b)</w:t>
      </w:r>
      <w:r w:rsidR="00A53315" w:rsidRPr="00B55C8E">
        <w:rPr>
          <w:rFonts w:eastAsia="Calibri"/>
          <w:lang w:eastAsia="es-ES_tradnl"/>
        </w:rPr>
        <w:t xml:space="preserve"> </w:t>
      </w:r>
      <w:r w:rsidR="00A21A20" w:rsidRPr="00B55C8E">
        <w:rPr>
          <w:rFonts w:eastAsia="Calibri"/>
          <w:lang w:eastAsia="es-ES_tradnl"/>
        </w:rPr>
        <w:t>Controversia a resolver</w:t>
      </w:r>
      <w:bookmarkEnd w:id="37"/>
    </w:p>
    <w:p w14:paraId="166ED419" w14:textId="2555F8C7" w:rsidR="00C80359" w:rsidRPr="00B55C8E" w:rsidRDefault="00664420" w:rsidP="00906179">
      <w:pPr>
        <w:rPr>
          <w:rFonts w:eastAsia="Calibri"/>
          <w:lang w:eastAsia="es-ES_tradnl"/>
        </w:rPr>
      </w:pPr>
      <w:r w:rsidRPr="00B55C8E">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B55C8E">
        <w:rPr>
          <w:rFonts w:eastAsia="Calibri"/>
          <w:b/>
          <w:bCs/>
          <w:lang w:eastAsia="es-ES_tradnl"/>
        </w:rPr>
        <w:t>LA PARTE RECURRENTE</w:t>
      </w:r>
      <w:r w:rsidR="004565C2" w:rsidRPr="00B55C8E">
        <w:rPr>
          <w:rFonts w:eastAsia="Calibri"/>
          <w:lang w:eastAsia="es-ES_tradnl"/>
        </w:rPr>
        <w:t xml:space="preserve"> solicitó</w:t>
      </w:r>
      <w:r w:rsidR="00CA0628" w:rsidRPr="00B55C8E">
        <w:rPr>
          <w:rFonts w:eastAsia="Calibri"/>
          <w:lang w:eastAsia="es-ES_tradnl"/>
        </w:rPr>
        <w:t xml:space="preserve"> </w:t>
      </w:r>
      <w:r w:rsidR="008A790F" w:rsidRPr="00B55C8E">
        <w:rPr>
          <w:rFonts w:eastAsia="Calibri"/>
          <w:lang w:eastAsia="es-ES_tradnl"/>
        </w:rPr>
        <w:t xml:space="preserve">la nómina de los trabajadores del ayuntamiento correspondiente al 30 de junio de 2025. </w:t>
      </w:r>
    </w:p>
    <w:p w14:paraId="17A1FC68" w14:textId="77777777" w:rsidR="00221455" w:rsidRPr="00B55C8E" w:rsidRDefault="00221455" w:rsidP="00906179">
      <w:pPr>
        <w:rPr>
          <w:rFonts w:eastAsia="Calibri"/>
          <w:lang w:eastAsia="es-ES_tradnl"/>
        </w:rPr>
      </w:pPr>
    </w:p>
    <w:p w14:paraId="6D5296BF" w14:textId="77777777" w:rsidR="008A790F" w:rsidRPr="00B55C8E" w:rsidRDefault="008A790F" w:rsidP="00906179">
      <w:pPr>
        <w:rPr>
          <w:rFonts w:eastAsia="Calibri"/>
          <w:lang w:eastAsia="es-ES_tradnl"/>
        </w:rPr>
      </w:pPr>
      <w:r w:rsidRPr="00B55C8E">
        <w:rPr>
          <w:rFonts w:eastAsia="Calibri"/>
          <w:lang w:eastAsia="es-ES_tradnl"/>
        </w:rPr>
        <w:t xml:space="preserve">Al respecto, </w:t>
      </w:r>
      <w:r w:rsidRPr="00B55C8E">
        <w:rPr>
          <w:rFonts w:eastAsia="Calibri"/>
          <w:b/>
          <w:lang w:eastAsia="es-ES_tradnl"/>
        </w:rPr>
        <w:t>EL SUJETO OBLIGADO</w:t>
      </w:r>
      <w:r w:rsidRPr="00B55C8E">
        <w:rPr>
          <w:rFonts w:ascii="Verdana" w:hAnsi="Verdana"/>
          <w:sz w:val="18"/>
          <w:szCs w:val="18"/>
        </w:rPr>
        <w:t xml:space="preserve"> </w:t>
      </w:r>
      <w:r w:rsidRPr="00B55C8E">
        <w:rPr>
          <w:rFonts w:eastAsia="Calibri"/>
          <w:lang w:eastAsia="es-ES_tradnl"/>
        </w:rPr>
        <w:t xml:space="preserve">requirió a </w:t>
      </w:r>
      <w:r w:rsidRPr="00B55C8E">
        <w:rPr>
          <w:rFonts w:eastAsia="Calibri"/>
          <w:b/>
          <w:lang w:eastAsia="es-ES_tradnl"/>
        </w:rPr>
        <w:t xml:space="preserve">LA PARTE RECURRENTE </w:t>
      </w:r>
      <w:r w:rsidRPr="00B55C8E">
        <w:rPr>
          <w:rFonts w:eastAsia="Calibri"/>
          <w:lang w:eastAsia="es-ES_tradnl"/>
        </w:rPr>
        <w:t xml:space="preserve">a fin de que precisara con claridad el tipo de documentos o información pública que requería. </w:t>
      </w:r>
    </w:p>
    <w:p w14:paraId="159386FD" w14:textId="77777777" w:rsidR="008A790F" w:rsidRPr="00B55C8E" w:rsidRDefault="008A790F" w:rsidP="00906179">
      <w:pPr>
        <w:rPr>
          <w:rFonts w:eastAsia="Calibri"/>
          <w:lang w:eastAsia="es-ES_tradnl"/>
        </w:rPr>
      </w:pPr>
    </w:p>
    <w:p w14:paraId="08A0D616" w14:textId="44657FAE" w:rsidR="008A790F" w:rsidRPr="00B55C8E" w:rsidRDefault="008A790F" w:rsidP="00906179">
      <w:pPr>
        <w:rPr>
          <w:rFonts w:eastAsia="Calibri"/>
          <w:lang w:eastAsia="es-ES_tradnl"/>
        </w:rPr>
      </w:pPr>
      <w:r w:rsidRPr="00B55C8E">
        <w:rPr>
          <w:rFonts w:eastAsia="Calibri"/>
          <w:lang w:eastAsia="es-ES_tradnl"/>
        </w:rPr>
        <w:t xml:space="preserve">En atención a lo anterior, </w:t>
      </w:r>
      <w:r w:rsidRPr="00B55C8E">
        <w:rPr>
          <w:rFonts w:eastAsia="Calibri"/>
          <w:b/>
          <w:lang w:eastAsia="es-ES_tradnl"/>
        </w:rPr>
        <w:t xml:space="preserve">LA PARTE RECURRENTE </w:t>
      </w:r>
      <w:r w:rsidRPr="00B55C8E">
        <w:rPr>
          <w:rFonts w:eastAsia="Calibri"/>
          <w:lang w:eastAsia="es-ES_tradnl"/>
        </w:rPr>
        <w:t>refirió que se refería al listado de los empleados del ayuntamiento, de todas las categorías, de elección popular y por designación; con todos los datos que requiere la ley; tal y como debía estar publicado en IPOMEX.</w:t>
      </w:r>
    </w:p>
    <w:p w14:paraId="5E4FA8BD" w14:textId="77777777" w:rsidR="008A790F" w:rsidRPr="00B55C8E" w:rsidRDefault="008A790F" w:rsidP="00906179">
      <w:pPr>
        <w:rPr>
          <w:rFonts w:eastAsia="Calibri"/>
          <w:lang w:eastAsia="es-ES_tradnl"/>
        </w:rPr>
      </w:pPr>
    </w:p>
    <w:p w14:paraId="7A8446D2" w14:textId="52942C71" w:rsidR="008A790F" w:rsidRPr="00B55C8E" w:rsidRDefault="000E1C40" w:rsidP="00906179">
      <w:pPr>
        <w:autoSpaceDE w:val="0"/>
        <w:autoSpaceDN w:val="0"/>
        <w:adjustRightInd w:val="0"/>
        <w:ind w:right="-28"/>
        <w:rPr>
          <w:rFonts w:eastAsiaTheme="minorHAnsi" w:cs="Tahoma"/>
          <w:bCs/>
          <w:iCs/>
          <w:szCs w:val="22"/>
          <w:lang w:eastAsia="en-US"/>
        </w:rPr>
      </w:pPr>
      <w:r w:rsidRPr="00B55C8E">
        <w:rPr>
          <w:rFonts w:eastAsiaTheme="minorHAnsi" w:cs="Tahoma"/>
          <w:bCs/>
          <w:iCs/>
          <w:szCs w:val="22"/>
          <w:lang w:eastAsia="en-US"/>
        </w:rPr>
        <w:t xml:space="preserve">Por su parte, </w:t>
      </w:r>
      <w:r w:rsidR="005D5A50" w:rsidRPr="00B55C8E">
        <w:rPr>
          <w:rFonts w:eastAsiaTheme="minorHAnsi" w:cs="Tahoma"/>
          <w:b/>
          <w:iCs/>
          <w:szCs w:val="22"/>
          <w:lang w:eastAsia="en-US"/>
        </w:rPr>
        <w:t>EL SUJETO OBLIGADO</w:t>
      </w:r>
      <w:r w:rsidR="00E11AA0" w:rsidRPr="00B55C8E">
        <w:rPr>
          <w:rFonts w:eastAsiaTheme="minorHAnsi" w:cs="Tahoma"/>
          <w:bCs/>
          <w:iCs/>
          <w:szCs w:val="22"/>
          <w:lang w:eastAsia="en-US"/>
        </w:rPr>
        <w:t xml:space="preserve"> </w:t>
      </w:r>
      <w:r w:rsidRPr="00B55C8E">
        <w:rPr>
          <w:rFonts w:eastAsiaTheme="minorHAnsi" w:cs="Tahoma"/>
          <w:bCs/>
          <w:iCs/>
          <w:szCs w:val="22"/>
          <w:lang w:eastAsia="en-US"/>
        </w:rPr>
        <w:t xml:space="preserve"> al responder la solicitud de acceso a la información </w:t>
      </w:r>
      <w:r w:rsidR="0073203E" w:rsidRPr="00B55C8E">
        <w:rPr>
          <w:rFonts w:eastAsiaTheme="minorHAnsi" w:cs="Tahoma"/>
          <w:bCs/>
          <w:iCs/>
          <w:szCs w:val="22"/>
          <w:lang w:eastAsia="en-US"/>
        </w:rPr>
        <w:t>adjuntó</w:t>
      </w:r>
      <w:r w:rsidRPr="00B55C8E">
        <w:rPr>
          <w:rFonts w:eastAsiaTheme="minorHAnsi" w:cs="Tahoma"/>
          <w:bCs/>
          <w:iCs/>
          <w:szCs w:val="22"/>
          <w:lang w:eastAsia="en-US"/>
        </w:rPr>
        <w:t xml:space="preserve"> </w:t>
      </w:r>
      <w:r w:rsidR="008A790F" w:rsidRPr="00B55C8E">
        <w:rPr>
          <w:rFonts w:eastAsiaTheme="minorHAnsi" w:cs="Tahoma"/>
          <w:bCs/>
          <w:iCs/>
          <w:szCs w:val="22"/>
          <w:lang w:eastAsia="en-US"/>
        </w:rPr>
        <w:t xml:space="preserve">oficio por medio del cual la </w:t>
      </w:r>
      <w:r w:rsidR="008A790F" w:rsidRPr="00B55C8E">
        <w:t>Dirección de Administración refirió que la información se podía consultar en IPOMEX en la fracción  VII denominado “Directorio de todos los servidores públicos”.</w:t>
      </w:r>
    </w:p>
    <w:p w14:paraId="3F9DD230" w14:textId="77777777" w:rsidR="008A790F" w:rsidRPr="00B55C8E" w:rsidRDefault="008A790F" w:rsidP="00906179">
      <w:pPr>
        <w:autoSpaceDE w:val="0"/>
        <w:autoSpaceDN w:val="0"/>
        <w:adjustRightInd w:val="0"/>
        <w:ind w:right="-28"/>
        <w:rPr>
          <w:rFonts w:eastAsiaTheme="minorHAnsi" w:cs="Tahoma"/>
          <w:bCs/>
          <w:iCs/>
          <w:szCs w:val="22"/>
          <w:lang w:eastAsia="en-US"/>
        </w:rPr>
      </w:pPr>
    </w:p>
    <w:p w14:paraId="7975E17D" w14:textId="79545B7F" w:rsidR="008530DB" w:rsidRPr="00B55C8E" w:rsidRDefault="00CF7586" w:rsidP="00906179">
      <w:pPr>
        <w:tabs>
          <w:tab w:val="left" w:pos="4962"/>
        </w:tabs>
        <w:contextualSpacing/>
        <w:rPr>
          <w:rFonts w:eastAsiaTheme="minorHAnsi" w:cs="Tahoma"/>
          <w:bCs/>
          <w:iCs/>
          <w:szCs w:val="22"/>
          <w:lang w:eastAsia="en-US"/>
        </w:rPr>
      </w:pPr>
      <w:r w:rsidRPr="00B55C8E">
        <w:rPr>
          <w:rFonts w:eastAsiaTheme="minorHAnsi" w:cs="Tahoma"/>
          <w:bCs/>
          <w:iCs/>
          <w:szCs w:val="22"/>
          <w:lang w:eastAsia="en-US"/>
        </w:rPr>
        <w:lastRenderedPageBreak/>
        <w:t xml:space="preserve">Ahora bien, en la interposición del presente recurso </w:t>
      </w:r>
      <w:r w:rsidRPr="00B55C8E">
        <w:rPr>
          <w:rFonts w:eastAsiaTheme="minorHAnsi" w:cs="Tahoma"/>
          <w:b/>
          <w:iCs/>
          <w:szCs w:val="22"/>
          <w:lang w:eastAsia="en-US"/>
        </w:rPr>
        <w:t>LA PARTE RECURRENTE</w:t>
      </w:r>
      <w:r w:rsidR="00237120" w:rsidRPr="00B55C8E">
        <w:rPr>
          <w:rFonts w:eastAsiaTheme="minorHAnsi" w:cs="Tahoma"/>
          <w:bCs/>
          <w:iCs/>
          <w:szCs w:val="22"/>
          <w:lang w:eastAsia="en-US"/>
        </w:rPr>
        <w:t xml:space="preserve"> s</w:t>
      </w:r>
      <w:r w:rsidR="00E11AA0" w:rsidRPr="00B55C8E">
        <w:rPr>
          <w:rFonts w:eastAsiaTheme="minorHAnsi" w:cs="Tahoma"/>
          <w:bCs/>
          <w:iCs/>
          <w:szCs w:val="22"/>
          <w:lang w:eastAsia="en-US"/>
        </w:rPr>
        <w:t xml:space="preserve">e inconformó medularmente </w:t>
      </w:r>
      <w:r w:rsidR="00473225" w:rsidRPr="00B55C8E">
        <w:rPr>
          <w:rFonts w:eastAsiaTheme="minorHAnsi" w:cs="Tahoma"/>
          <w:bCs/>
          <w:iCs/>
          <w:szCs w:val="22"/>
          <w:lang w:eastAsia="en-US"/>
        </w:rPr>
        <w:t>por</w:t>
      </w:r>
      <w:r w:rsidR="00C80359" w:rsidRPr="00B55C8E">
        <w:rPr>
          <w:rFonts w:eastAsiaTheme="minorHAnsi" w:cs="Tahoma"/>
          <w:bCs/>
          <w:iCs/>
          <w:szCs w:val="22"/>
          <w:lang w:eastAsia="en-US"/>
        </w:rPr>
        <w:t xml:space="preserve"> </w:t>
      </w:r>
      <w:r w:rsidR="008A790F" w:rsidRPr="00B55C8E">
        <w:rPr>
          <w:rFonts w:eastAsiaTheme="minorHAnsi" w:cs="Tahoma"/>
          <w:bCs/>
          <w:iCs/>
          <w:szCs w:val="22"/>
          <w:lang w:eastAsia="en-US"/>
        </w:rPr>
        <w:t xml:space="preserve">considerar que la información entregada no corresponde a la nómina que inicialmente solicitó. </w:t>
      </w:r>
    </w:p>
    <w:p w14:paraId="62D736AD" w14:textId="77777777" w:rsidR="00DA54C1" w:rsidRPr="00B55C8E" w:rsidRDefault="00DA54C1" w:rsidP="00906179">
      <w:pPr>
        <w:tabs>
          <w:tab w:val="left" w:pos="4962"/>
        </w:tabs>
        <w:contextualSpacing/>
        <w:rPr>
          <w:rFonts w:eastAsiaTheme="minorHAnsi" w:cs="Tahoma"/>
          <w:bCs/>
          <w:iCs/>
          <w:szCs w:val="22"/>
          <w:lang w:eastAsia="en-US"/>
        </w:rPr>
      </w:pPr>
    </w:p>
    <w:p w14:paraId="46FA3127" w14:textId="77777777" w:rsidR="008A790F" w:rsidRPr="00B55C8E" w:rsidRDefault="008A790F" w:rsidP="00906179">
      <w:pPr>
        <w:pStyle w:val="Prrafodelista"/>
        <w:widowControl w:val="0"/>
        <w:autoSpaceDE w:val="0"/>
        <w:autoSpaceDN w:val="0"/>
        <w:adjustRightInd w:val="0"/>
        <w:ind w:left="0"/>
      </w:pPr>
      <w:r w:rsidRPr="00B55C8E">
        <w:rPr>
          <w:rFonts w:eastAsiaTheme="minorHAnsi" w:cs="Tahoma"/>
          <w:bCs/>
          <w:iCs/>
          <w:szCs w:val="22"/>
          <w:lang w:eastAsia="en-US"/>
        </w:rPr>
        <w:t>Asimismo</w:t>
      </w:r>
      <w:r w:rsidRPr="00B55C8E">
        <w:t xml:space="preserve">, es importante señalar que </w:t>
      </w:r>
      <w:r w:rsidRPr="00B55C8E">
        <w:rPr>
          <w:b/>
          <w:iCs/>
        </w:rPr>
        <w:t>LA PARTE RECURRENTE</w:t>
      </w:r>
      <w:r w:rsidRPr="00B55C8E">
        <w:rPr>
          <w:bCs/>
          <w:iCs/>
        </w:rPr>
        <w:t xml:space="preserve"> </w:t>
      </w:r>
      <w:r w:rsidRPr="00B55C8E">
        <w:t xml:space="preserve">no realizó manifestaciones, alegatos o pruebas y por su parte </w:t>
      </w:r>
      <w:r w:rsidRPr="00B55C8E">
        <w:rPr>
          <w:b/>
        </w:rPr>
        <w:t>EL SUJETO OBLIGADO</w:t>
      </w:r>
      <w:r w:rsidRPr="00B55C8E">
        <w:rPr>
          <w:rFonts w:cs="Arial"/>
        </w:rPr>
        <w:t xml:space="preserve"> omitió rendir su </w:t>
      </w:r>
      <w:r w:rsidRPr="00B55C8E">
        <w:t xml:space="preserve">Informe Justificado, en el término establecido en el numeral 185, fracción II de la Ley de Transparencia y Acceso a la Información Pública del Estado de México y Municipios. </w:t>
      </w:r>
    </w:p>
    <w:p w14:paraId="7527E765" w14:textId="77777777" w:rsidR="008530DB" w:rsidRPr="00B55C8E" w:rsidRDefault="008530DB" w:rsidP="00906179">
      <w:pPr>
        <w:pStyle w:val="Prrafodelista"/>
        <w:widowControl w:val="0"/>
        <w:autoSpaceDE w:val="0"/>
        <w:autoSpaceDN w:val="0"/>
        <w:adjustRightInd w:val="0"/>
        <w:ind w:left="0"/>
      </w:pPr>
    </w:p>
    <w:p w14:paraId="22A6AC1B" w14:textId="77777777" w:rsidR="008A790F" w:rsidRPr="00B55C8E" w:rsidRDefault="008A790F" w:rsidP="00906179">
      <w:pPr>
        <w:tabs>
          <w:tab w:val="left" w:pos="4962"/>
        </w:tabs>
      </w:pPr>
      <w:r w:rsidRPr="00B55C8E">
        <w:t xml:space="preserve">Derivado de lo anterior, el estudio se centrará en determinar si la respuesta otorgada colma el derecho de acceso a la información ejercido por </w:t>
      </w:r>
      <w:r w:rsidRPr="00B55C8E">
        <w:rPr>
          <w:b/>
        </w:rPr>
        <w:t>LA PARTE RECURRENTE</w:t>
      </w:r>
      <w:r w:rsidRPr="00B55C8E">
        <w:t>.</w:t>
      </w:r>
    </w:p>
    <w:p w14:paraId="6F255D86" w14:textId="77777777" w:rsidR="008A790F" w:rsidRPr="00B55C8E" w:rsidRDefault="008A790F" w:rsidP="00906179">
      <w:pPr>
        <w:tabs>
          <w:tab w:val="left" w:pos="4962"/>
        </w:tabs>
      </w:pPr>
    </w:p>
    <w:p w14:paraId="414FD2D5" w14:textId="4408E416" w:rsidR="00664420" w:rsidRPr="00B55C8E" w:rsidRDefault="00A21A20" w:rsidP="00906179">
      <w:pPr>
        <w:pStyle w:val="Ttulo3"/>
      </w:pPr>
      <w:bookmarkStart w:id="38" w:name="_Toc211447490"/>
      <w:r w:rsidRPr="00B55C8E">
        <w:t>c)</w:t>
      </w:r>
      <w:r w:rsidR="00664420" w:rsidRPr="00B55C8E">
        <w:t xml:space="preserve"> </w:t>
      </w:r>
      <w:r w:rsidRPr="00B55C8E">
        <w:t>Estudio de la controversia</w:t>
      </w:r>
      <w:bookmarkEnd w:id="38"/>
    </w:p>
    <w:p w14:paraId="1CB08238" w14:textId="77777777" w:rsidR="00811AFE" w:rsidRPr="00B55C8E" w:rsidRDefault="00811AFE" w:rsidP="00906179">
      <w:pPr>
        <w:rPr>
          <w:rFonts w:eastAsia="Calibri" w:cs="Tahoma"/>
          <w:bCs/>
          <w:iCs/>
          <w:szCs w:val="22"/>
          <w:lang w:val="es-ES" w:eastAsia="es-ES_tradnl"/>
        </w:rPr>
      </w:pPr>
      <w:bookmarkStart w:id="39" w:name="_Hlk210209806"/>
      <w:bookmarkStart w:id="40" w:name="_Toc195007310"/>
      <w:r w:rsidRPr="00B55C8E">
        <w:rPr>
          <w:rFonts w:cs="Arial"/>
        </w:rPr>
        <w:t>Primero, es necesario destacar que e</w:t>
      </w:r>
      <w:r w:rsidRPr="00B55C8E">
        <w:rPr>
          <w:rFonts w:eastAsia="Calibri" w:cs="Tahoma"/>
          <w:bCs/>
          <w:iCs/>
          <w:szCs w:val="22"/>
          <w:lang w:val="es-ES" w:eastAsia="es-ES_tradnl"/>
        </w:rPr>
        <w:t xml:space="preserve">l artículo 155, fracciones III y IV, de la </w:t>
      </w:r>
      <w:r w:rsidRPr="00B55C8E">
        <w:rPr>
          <w:rFonts w:eastAsia="Palatino Linotype" w:cs="Palatino Linotype"/>
        </w:rPr>
        <w:t>Ley de Transparencia y Acceso a la Información Pública del Estado de México y Municipios</w:t>
      </w:r>
      <w:r w:rsidRPr="00B55C8E">
        <w:rPr>
          <w:rFonts w:eastAsia="Calibri" w:cs="Tahoma"/>
          <w:bCs/>
          <w:iCs/>
          <w:szCs w:val="22"/>
          <w:lang w:val="es-ES" w:eastAsia="es-ES_tradnl"/>
        </w:rPr>
        <w:t>, establece que, en una solicitud de acceso a la información pública, se debe precisar la descripción de la información solicitada y cualquier otro dato que facilite la búsqueda y localización de la información.</w:t>
      </w:r>
    </w:p>
    <w:p w14:paraId="3A805049" w14:textId="77777777" w:rsidR="00811AFE" w:rsidRPr="00B55C8E" w:rsidRDefault="00811AFE" w:rsidP="00906179">
      <w:pPr>
        <w:rPr>
          <w:rFonts w:eastAsia="Calibri" w:cs="Tahoma"/>
          <w:bCs/>
          <w:iCs/>
          <w:szCs w:val="22"/>
          <w:lang w:val="es-ES" w:eastAsia="es-ES_tradnl"/>
        </w:rPr>
      </w:pPr>
    </w:p>
    <w:p w14:paraId="6794C99C" w14:textId="77777777" w:rsidR="00811AFE" w:rsidRPr="00B55C8E" w:rsidRDefault="00811AFE" w:rsidP="00906179">
      <w:r w:rsidRPr="00B55C8E">
        <w:t xml:space="preserve">Por su parte, el artículo 159 de la Ley de Transparencia y Acceso a la Información Pública del Estado de México y Municipios, dispone lo siguiente: </w:t>
      </w:r>
    </w:p>
    <w:p w14:paraId="520759F6" w14:textId="77777777" w:rsidR="00811AFE" w:rsidRPr="00B55C8E" w:rsidRDefault="00811AFE" w:rsidP="00906179">
      <w:pPr>
        <w:rPr>
          <w:i/>
        </w:rPr>
      </w:pPr>
    </w:p>
    <w:p w14:paraId="7F13089B" w14:textId="77777777" w:rsidR="00811AFE" w:rsidRPr="00B55C8E" w:rsidRDefault="00811AFE" w:rsidP="00906179">
      <w:pPr>
        <w:spacing w:line="240" w:lineRule="auto"/>
        <w:ind w:left="567" w:right="567"/>
        <w:contextualSpacing/>
        <w:rPr>
          <w:b/>
          <w:i/>
          <w:kern w:val="28"/>
          <w:szCs w:val="56"/>
          <w14:ligatures w14:val="standardContextual"/>
        </w:rPr>
      </w:pPr>
      <w:r w:rsidRPr="00B55C8E">
        <w:rPr>
          <w:i/>
          <w:kern w:val="28"/>
          <w:szCs w:val="56"/>
          <w14:ligatures w14:val="standardContextual"/>
        </w:rPr>
        <w:t>“</w:t>
      </w:r>
      <w:r w:rsidRPr="00B55C8E">
        <w:rPr>
          <w:b/>
          <w:i/>
          <w:kern w:val="28"/>
          <w:szCs w:val="56"/>
          <w14:ligatures w14:val="standardContextual"/>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w:t>
      </w:r>
      <w:r w:rsidRPr="00B55C8E">
        <w:rPr>
          <w:b/>
          <w:i/>
          <w:kern w:val="28"/>
          <w:szCs w:val="56"/>
          <w14:ligatures w14:val="standardContextual"/>
        </w:rPr>
        <w:lastRenderedPageBreak/>
        <w:t xml:space="preserve">complementen, corrijan o amplíen los datos proporcionados o bien, precise uno o varios requerimientos de información. </w:t>
      </w:r>
    </w:p>
    <w:p w14:paraId="183E2523" w14:textId="77777777" w:rsidR="00811AFE" w:rsidRPr="00B55C8E" w:rsidRDefault="00811AFE" w:rsidP="00906179">
      <w:pPr>
        <w:spacing w:line="240" w:lineRule="auto"/>
        <w:ind w:left="567" w:right="567"/>
        <w:contextualSpacing/>
        <w:rPr>
          <w:i/>
          <w:kern w:val="28"/>
          <w:szCs w:val="56"/>
          <w14:ligatures w14:val="standardContextual"/>
        </w:rPr>
      </w:pPr>
      <w:r w:rsidRPr="00B55C8E">
        <w:rPr>
          <w:i/>
          <w:kern w:val="28"/>
          <w:szCs w:val="56"/>
          <w14:ligatures w14:val="standardContextual"/>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232368E3" w14:textId="77777777" w:rsidR="00811AFE" w:rsidRPr="00B55C8E" w:rsidRDefault="00811AFE" w:rsidP="00906179">
      <w:pPr>
        <w:spacing w:line="240" w:lineRule="auto"/>
        <w:ind w:left="567" w:right="567"/>
        <w:contextualSpacing/>
        <w:rPr>
          <w:i/>
          <w:kern w:val="28"/>
          <w:szCs w:val="56"/>
          <w14:ligatures w14:val="standardContextual"/>
        </w:rPr>
      </w:pPr>
      <w:r w:rsidRPr="00B55C8E">
        <w:rPr>
          <w:i/>
          <w:kern w:val="28"/>
          <w:szCs w:val="56"/>
          <w14:ligatures w14:val="standardContextual"/>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207B96A5" w14:textId="77777777" w:rsidR="00811AFE" w:rsidRPr="00B55C8E" w:rsidRDefault="00811AFE" w:rsidP="00906179">
      <w:pPr>
        <w:spacing w:line="240" w:lineRule="auto"/>
        <w:ind w:left="567" w:right="567"/>
        <w:contextualSpacing/>
        <w:rPr>
          <w:i/>
          <w:kern w:val="28"/>
          <w:szCs w:val="56"/>
          <w14:ligatures w14:val="standardContextual"/>
        </w:rPr>
      </w:pPr>
      <w:r w:rsidRPr="00B55C8E">
        <w:rPr>
          <w:i/>
          <w:kern w:val="28"/>
          <w:szCs w:val="56"/>
          <w14:ligatures w14:val="standardContextual"/>
        </w:rPr>
        <w:t xml:space="preserve">En el caso de requerimientos parciales no desahogados, se tendrá por presentada la solicitud por lo que respecta a los contenidos de información que no formaron parte del requerimiento.” </w:t>
      </w:r>
    </w:p>
    <w:p w14:paraId="404F0B0A" w14:textId="77777777" w:rsidR="00811AFE" w:rsidRPr="00B55C8E" w:rsidRDefault="00811AFE" w:rsidP="00906179">
      <w:pPr>
        <w:spacing w:line="240" w:lineRule="auto"/>
        <w:ind w:left="567" w:right="567"/>
        <w:contextualSpacing/>
        <w:rPr>
          <w:i/>
          <w:kern w:val="28"/>
          <w:szCs w:val="56"/>
          <w14:ligatures w14:val="standardContextual"/>
        </w:rPr>
      </w:pPr>
      <w:r w:rsidRPr="00B55C8E">
        <w:rPr>
          <w:i/>
          <w:kern w:val="28"/>
          <w:szCs w:val="56"/>
          <w14:ligatures w14:val="standardContextual"/>
        </w:rPr>
        <w:t>(Énfasis añadido)</w:t>
      </w:r>
    </w:p>
    <w:p w14:paraId="336742F8" w14:textId="77777777" w:rsidR="00811AFE" w:rsidRPr="00B55C8E" w:rsidRDefault="00811AFE" w:rsidP="00906179">
      <w:pPr>
        <w:rPr>
          <w:i/>
        </w:rPr>
      </w:pPr>
    </w:p>
    <w:p w14:paraId="1B80F0BF" w14:textId="77777777" w:rsidR="00811AFE" w:rsidRPr="00B55C8E" w:rsidRDefault="00811AFE" w:rsidP="00906179">
      <w:r w:rsidRPr="00B55C8E">
        <w:t>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w:t>
      </w:r>
    </w:p>
    <w:p w14:paraId="3CA0A242" w14:textId="77777777" w:rsidR="00811AFE" w:rsidRPr="00B55C8E" w:rsidRDefault="00811AFE" w:rsidP="00906179">
      <w:pPr>
        <w:rPr>
          <w:rFonts w:cs="Arial"/>
        </w:rPr>
      </w:pPr>
    </w:p>
    <w:p w14:paraId="797D93C4" w14:textId="2C0B00B8" w:rsidR="00811AFE" w:rsidRPr="00B55C8E" w:rsidRDefault="00811AFE" w:rsidP="00906179">
      <w:r w:rsidRPr="00B55C8E">
        <w:rPr>
          <w:rFonts w:eastAsia="Calibri" w:cs="Tahoma"/>
          <w:bCs/>
          <w:iCs/>
          <w:szCs w:val="22"/>
          <w:lang w:val="es-ES" w:eastAsia="es-ES_tradnl"/>
        </w:rPr>
        <w:t xml:space="preserve">En este contexto, si bien </w:t>
      </w:r>
      <w:r w:rsidRPr="00B55C8E">
        <w:rPr>
          <w:rFonts w:eastAsia="Calibri" w:cs="Tahoma"/>
          <w:b/>
          <w:iCs/>
          <w:szCs w:val="22"/>
          <w:lang w:val="es-ES" w:eastAsia="es-ES_tradnl"/>
        </w:rPr>
        <w:t xml:space="preserve">EL SUJETO OBLIGADO </w:t>
      </w:r>
      <w:r w:rsidRPr="00B55C8E">
        <w:rPr>
          <w:rFonts w:eastAsia="Calibri" w:cs="Tahoma"/>
          <w:bCs/>
          <w:iCs/>
          <w:szCs w:val="22"/>
          <w:lang w:val="es-ES" w:eastAsia="es-ES_tradnl"/>
        </w:rPr>
        <w:t xml:space="preserve">requirió a </w:t>
      </w:r>
      <w:r w:rsidRPr="00B55C8E">
        <w:rPr>
          <w:rFonts w:eastAsia="Calibri" w:cs="Tahoma"/>
          <w:b/>
          <w:iCs/>
          <w:szCs w:val="22"/>
          <w:lang w:val="es-ES" w:eastAsia="es-ES_tradnl"/>
        </w:rPr>
        <w:t xml:space="preserve">LA PARTE RECURRENTE </w:t>
      </w:r>
      <w:r w:rsidRPr="00B55C8E">
        <w:rPr>
          <w:rFonts w:eastAsia="Calibri" w:cs="Tahoma"/>
          <w:bCs/>
          <w:iCs/>
          <w:szCs w:val="22"/>
          <w:lang w:val="es-ES" w:eastAsia="es-ES_tradnl"/>
        </w:rPr>
        <w:t xml:space="preserve">precisara con claridad el tipo de documentos o información pública se requería; lo cierto es que este Órgano Garante advierte que </w:t>
      </w:r>
      <w:r w:rsidRPr="00B55C8E">
        <w:t xml:space="preserve">existen elementos suficientes para determinar que la  información que pretendía acceder </w:t>
      </w:r>
      <w:r w:rsidRPr="00B55C8E">
        <w:rPr>
          <w:b/>
          <w:bCs/>
        </w:rPr>
        <w:t xml:space="preserve">LA PARTE RECURRENTE, </w:t>
      </w:r>
      <w:r w:rsidRPr="00B55C8E">
        <w:rPr>
          <w:bCs/>
        </w:rPr>
        <w:t>era la conciliación de nómina</w:t>
      </w:r>
      <w:r w:rsidR="00204C5A" w:rsidRPr="00B55C8E">
        <w:rPr>
          <w:bCs/>
        </w:rPr>
        <w:t xml:space="preserve"> correspondiente a la segunda quincena de junio de dos mil veinticinco</w:t>
      </w:r>
      <w:r w:rsidRPr="00B55C8E">
        <w:rPr>
          <w:bCs/>
        </w:rPr>
        <w:t>, pues de la misma se conforma con el listado de servidores públicos que contiene sus remuneraciones brutas y netas</w:t>
      </w:r>
      <w:r w:rsidR="00204C5A" w:rsidRPr="00B55C8E">
        <w:rPr>
          <w:bCs/>
        </w:rPr>
        <w:t xml:space="preserve"> </w:t>
      </w:r>
      <w:r w:rsidRPr="00B55C8E">
        <w:rPr>
          <w:bCs/>
        </w:rPr>
        <w:t xml:space="preserve">que el </w:t>
      </w:r>
      <w:r w:rsidRPr="00B55C8E">
        <w:rPr>
          <w:b/>
          <w:bCs/>
        </w:rPr>
        <w:t xml:space="preserve">SUJETO OBLIGADO </w:t>
      </w:r>
      <w:r w:rsidRPr="00B55C8E">
        <w:rPr>
          <w:bCs/>
        </w:rPr>
        <w:t xml:space="preserve">debe publicar en IPOMEX. </w:t>
      </w:r>
    </w:p>
    <w:p w14:paraId="0095AA59" w14:textId="77777777" w:rsidR="00811AFE" w:rsidRPr="00B55C8E" w:rsidRDefault="00811AFE" w:rsidP="00906179">
      <w:pPr>
        <w:rPr>
          <w:rFonts w:eastAsia="Palatino Linotype" w:cs="Palatino Linotype"/>
          <w:szCs w:val="22"/>
        </w:rPr>
      </w:pPr>
    </w:p>
    <w:p w14:paraId="08B4D733" w14:textId="77777777" w:rsidR="00811AFE" w:rsidRPr="00B55C8E" w:rsidRDefault="00811AFE" w:rsidP="00906179">
      <w:pPr>
        <w:rPr>
          <w:rFonts w:eastAsia="Palatino Linotype" w:cs="Palatino Linotype"/>
          <w:szCs w:val="22"/>
        </w:rPr>
      </w:pPr>
    </w:p>
    <w:p w14:paraId="63FAE272" w14:textId="6B02307F" w:rsidR="00811AFE" w:rsidRPr="00B55C8E" w:rsidRDefault="00811AFE" w:rsidP="00906179">
      <w:pPr>
        <w:rPr>
          <w:rFonts w:eastAsia="Palatino Linotype" w:cs="Palatino Linotype"/>
        </w:rPr>
      </w:pPr>
      <w:r w:rsidRPr="00B55C8E">
        <w:rPr>
          <w:rFonts w:eastAsia="Palatino Linotype" w:cs="Palatino Linotype"/>
          <w:szCs w:val="22"/>
        </w:rPr>
        <w:lastRenderedPageBreak/>
        <w:t xml:space="preserve">Una vez precisado lo anterior, </w:t>
      </w:r>
      <w:r w:rsidRPr="00B55C8E">
        <w:rPr>
          <w:rFonts w:cs="Arial"/>
        </w:rPr>
        <w:t xml:space="preserve">se considera necesario </w:t>
      </w:r>
      <w:r w:rsidRPr="00B55C8E">
        <w:rPr>
          <w:rFonts w:eastAsia="Palatino Linotype" w:cs="Palatino Linotype"/>
        </w:rPr>
        <w:t xml:space="preserve">traer a colación el contenido del artículo 147 de la Constitución Política del Estado Libre y Soberano de México, el cual establece lo siguiente: </w:t>
      </w:r>
    </w:p>
    <w:p w14:paraId="2ACE214F" w14:textId="77777777" w:rsidR="00811AFE" w:rsidRPr="00B55C8E" w:rsidRDefault="00811AFE" w:rsidP="00906179"/>
    <w:p w14:paraId="40E08AC6" w14:textId="77777777" w:rsidR="00811AFE" w:rsidRPr="00B55C8E" w:rsidRDefault="00811AFE" w:rsidP="00906179">
      <w:pPr>
        <w:spacing w:line="240" w:lineRule="auto"/>
        <w:ind w:left="567" w:right="567"/>
        <w:contextualSpacing/>
        <w:rPr>
          <w:rFonts w:eastAsia="Palatino Linotype"/>
          <w:b/>
          <w:i/>
          <w:kern w:val="28"/>
          <w:szCs w:val="56"/>
        </w:rPr>
      </w:pPr>
      <w:r w:rsidRPr="00B55C8E">
        <w:rPr>
          <w:i/>
          <w:kern w:val="28"/>
          <w:szCs w:val="56"/>
        </w:rPr>
        <w:t>“</w:t>
      </w:r>
      <w:r w:rsidRPr="00B55C8E">
        <w:rPr>
          <w:b/>
          <w:i/>
          <w:kern w:val="28"/>
          <w:szCs w:val="56"/>
        </w:rPr>
        <w:t>Artículo 147.-</w:t>
      </w:r>
      <w:r w:rsidRPr="00B55C8E">
        <w:rPr>
          <w:i/>
          <w:kern w:val="28"/>
          <w:szCs w:val="56"/>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B55C8E">
        <w:rPr>
          <w:b/>
          <w:i/>
          <w:kern w:val="28"/>
          <w:szCs w:val="56"/>
        </w:rPr>
        <w:t>así como los miembros de los ayuntamientos</w:t>
      </w:r>
      <w:r w:rsidRPr="00B55C8E">
        <w:rPr>
          <w:i/>
          <w:kern w:val="28"/>
          <w:szCs w:val="56"/>
        </w:rPr>
        <w:t xml:space="preserve"> y demás servidores públicos municipales </w:t>
      </w:r>
      <w:r w:rsidRPr="00B55C8E">
        <w:rPr>
          <w:b/>
          <w:i/>
          <w:kern w:val="28"/>
          <w:szCs w:val="56"/>
        </w:rPr>
        <w:t xml:space="preserve">recibirán una retribución adecuada e irrenunciable por el desempeño de su empleo, cargo o comisión, que será determinada en el presupuesto de egresos que corresponda. </w:t>
      </w:r>
    </w:p>
    <w:p w14:paraId="013894D1" w14:textId="77777777" w:rsidR="00811AFE" w:rsidRPr="00B55C8E" w:rsidRDefault="00811AFE" w:rsidP="00906179">
      <w:pPr>
        <w:spacing w:line="240" w:lineRule="auto"/>
        <w:ind w:left="567" w:right="567"/>
        <w:contextualSpacing/>
        <w:rPr>
          <w:rFonts w:eastAsia="Palatino Linotype"/>
          <w:i/>
          <w:kern w:val="28"/>
          <w:szCs w:val="56"/>
        </w:rPr>
      </w:pPr>
      <w:r w:rsidRPr="00B55C8E">
        <w:rPr>
          <w:rFonts w:eastAsia="Palatino Linotype"/>
          <w:i/>
          <w:kern w:val="28"/>
          <w:szCs w:val="56"/>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72B1C2F4" w14:textId="77777777" w:rsidR="00811AFE" w:rsidRPr="00B55C8E" w:rsidRDefault="00811AFE" w:rsidP="00906179">
      <w:pPr>
        <w:spacing w:line="240" w:lineRule="auto"/>
        <w:ind w:left="567" w:right="567"/>
        <w:contextualSpacing/>
        <w:rPr>
          <w:rFonts w:eastAsia="Palatino Linotype"/>
          <w:i/>
          <w:kern w:val="28"/>
          <w:szCs w:val="56"/>
        </w:rPr>
      </w:pPr>
      <w:r w:rsidRPr="00B55C8E">
        <w:rPr>
          <w:rFonts w:eastAsia="Palatino Linotype"/>
          <w:i/>
          <w:kern w:val="28"/>
          <w:szCs w:val="56"/>
        </w:rPr>
        <w:t>La remuneración será determinada anual y equitativamente en el Presupuesto de Egresos correspondiente bajo las bases siguientes:</w:t>
      </w:r>
    </w:p>
    <w:p w14:paraId="28911137" w14:textId="77777777" w:rsidR="00811AFE" w:rsidRPr="00B55C8E" w:rsidRDefault="00811AFE" w:rsidP="00906179">
      <w:pPr>
        <w:spacing w:line="240" w:lineRule="auto"/>
        <w:ind w:left="567" w:right="567"/>
        <w:contextualSpacing/>
        <w:rPr>
          <w:rFonts w:eastAsia="Palatino Linotype"/>
          <w:i/>
          <w:kern w:val="28"/>
          <w:szCs w:val="56"/>
        </w:rPr>
      </w:pPr>
      <w:r w:rsidRPr="00B55C8E">
        <w:rPr>
          <w:rFonts w:eastAsia="Palatino Linotype"/>
          <w:i/>
          <w:kern w:val="28"/>
          <w:szCs w:val="56"/>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604E32AF" w14:textId="77777777" w:rsidR="00811AFE" w:rsidRPr="00B55C8E" w:rsidRDefault="00811AFE" w:rsidP="00906179">
      <w:pPr>
        <w:spacing w:line="240" w:lineRule="auto"/>
        <w:ind w:left="567" w:right="567"/>
        <w:contextualSpacing/>
        <w:rPr>
          <w:rFonts w:eastAsia="Palatino Linotype"/>
          <w:i/>
          <w:kern w:val="28"/>
          <w:szCs w:val="56"/>
        </w:rPr>
      </w:pPr>
      <w:r w:rsidRPr="00B55C8E">
        <w:rPr>
          <w:rFonts w:eastAsia="Palatino Linotype"/>
          <w:i/>
          <w:kern w:val="28"/>
          <w:szCs w:val="56"/>
        </w:rPr>
        <w:t xml:space="preserve">II. Ningún servidor público podrá recibir remuneración, en términos de la fracción anterior, por el desempeño de su función, empleo, cargo o comisión, mayor a la establecida; </w:t>
      </w:r>
    </w:p>
    <w:p w14:paraId="32FB5D42" w14:textId="77777777" w:rsidR="00811AFE" w:rsidRPr="00B55C8E" w:rsidRDefault="00811AFE" w:rsidP="00906179">
      <w:pPr>
        <w:spacing w:line="240" w:lineRule="auto"/>
        <w:ind w:left="567" w:right="567"/>
        <w:contextualSpacing/>
        <w:rPr>
          <w:rFonts w:eastAsia="Palatino Linotype"/>
          <w:i/>
          <w:kern w:val="28"/>
          <w:szCs w:val="56"/>
        </w:rPr>
      </w:pPr>
      <w:r w:rsidRPr="00B55C8E">
        <w:rPr>
          <w:rFonts w:eastAsia="Palatino Linotype"/>
          <w:i/>
          <w:kern w:val="28"/>
          <w:szCs w:val="56"/>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70358637" w14:textId="77777777" w:rsidR="00811AFE" w:rsidRPr="00B55C8E" w:rsidRDefault="00811AFE" w:rsidP="00906179">
      <w:pPr>
        <w:spacing w:line="240" w:lineRule="auto"/>
        <w:ind w:left="567" w:right="567"/>
        <w:contextualSpacing/>
        <w:rPr>
          <w:rFonts w:eastAsia="Palatino Linotype"/>
          <w:i/>
          <w:kern w:val="28"/>
          <w:szCs w:val="56"/>
        </w:rPr>
      </w:pPr>
      <w:r w:rsidRPr="00B55C8E">
        <w:rPr>
          <w:rFonts w:eastAsia="Palatino Linotype"/>
          <w:i/>
          <w:kern w:val="28"/>
          <w:szCs w:val="56"/>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506AD2A2" w14:textId="77777777" w:rsidR="00811AFE" w:rsidRPr="00B55C8E" w:rsidRDefault="00811AFE" w:rsidP="00906179">
      <w:pPr>
        <w:spacing w:line="240" w:lineRule="auto"/>
        <w:ind w:left="567" w:right="567"/>
        <w:contextualSpacing/>
        <w:rPr>
          <w:rFonts w:eastAsia="Palatino Linotype"/>
          <w:i/>
          <w:kern w:val="28"/>
          <w:szCs w:val="56"/>
        </w:rPr>
      </w:pPr>
      <w:r w:rsidRPr="00B55C8E">
        <w:rPr>
          <w:rFonts w:eastAsia="Palatino Linotype"/>
          <w:i/>
          <w:kern w:val="28"/>
          <w:szCs w:val="56"/>
        </w:rPr>
        <w:lastRenderedPageBreak/>
        <w:t>V. Las remuneraciones y sus tabuladores serán públicos, y deberán especificar y diferenciar la totalidad de sus elementos fijos y variables tanto en efectivo como en especie”</w:t>
      </w:r>
    </w:p>
    <w:p w14:paraId="2D1F64FF" w14:textId="77777777" w:rsidR="00811AFE" w:rsidRPr="00B55C8E" w:rsidRDefault="00811AFE" w:rsidP="00906179">
      <w:pPr>
        <w:spacing w:line="240" w:lineRule="auto"/>
        <w:ind w:left="567" w:right="567"/>
        <w:contextualSpacing/>
        <w:rPr>
          <w:rFonts w:eastAsia="Palatino Linotype"/>
          <w:i/>
          <w:kern w:val="28"/>
          <w:szCs w:val="56"/>
        </w:rPr>
      </w:pPr>
      <w:r w:rsidRPr="00B55C8E">
        <w:rPr>
          <w:rFonts w:eastAsia="Palatino Linotype"/>
          <w:i/>
          <w:kern w:val="28"/>
          <w:szCs w:val="56"/>
        </w:rPr>
        <w:t>(Énfasis añadido)</w:t>
      </w:r>
    </w:p>
    <w:p w14:paraId="287263CE" w14:textId="77777777" w:rsidR="00811AFE" w:rsidRPr="00B55C8E" w:rsidRDefault="00811AFE" w:rsidP="00906179">
      <w:pPr>
        <w:ind w:left="851" w:right="899"/>
        <w:rPr>
          <w:rFonts w:eastAsia="Palatino Linotype" w:cs="Palatino Linotype"/>
          <w:i/>
          <w:szCs w:val="22"/>
        </w:rPr>
      </w:pPr>
    </w:p>
    <w:p w14:paraId="5A5CDAA9" w14:textId="77777777" w:rsidR="00811AFE" w:rsidRPr="00B55C8E" w:rsidRDefault="00811AFE" w:rsidP="00906179">
      <w:pPr>
        <w:rPr>
          <w:rFonts w:eastAsia="Palatino Linotype" w:cs="Palatino Linotype"/>
        </w:rPr>
      </w:pPr>
      <w:r w:rsidRPr="00B55C8E">
        <w:rPr>
          <w:rFonts w:eastAsia="Palatino Linotype" w:cs="Palatino Linotype"/>
        </w:rPr>
        <w:t>En este orden de ideas, el artículo 3°, fracción XXXII, del Código Financiero del Estado de México y Municipios</w:t>
      </w:r>
      <w:r w:rsidRPr="00B55C8E">
        <w:rPr>
          <w:rFonts w:eastAsia="Palatino Linotype" w:cs="Palatino Linotype"/>
          <w:vertAlign w:val="superscript"/>
        </w:rPr>
        <w:footnoteReference w:id="1"/>
      </w:r>
      <w:r w:rsidRPr="00B55C8E">
        <w:rPr>
          <w:rFonts w:eastAsia="Palatino Linotype" w:cs="Palatino Linotype"/>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373D7603" w14:textId="77777777" w:rsidR="00811AFE" w:rsidRPr="00B55C8E" w:rsidRDefault="00811AFE" w:rsidP="00906179">
      <w:pPr>
        <w:rPr>
          <w:rFonts w:eastAsia="Palatino Linotype" w:cs="Palatino Linotype"/>
        </w:rPr>
      </w:pPr>
    </w:p>
    <w:p w14:paraId="4BE52B27" w14:textId="77777777" w:rsidR="00811AFE" w:rsidRPr="00B55C8E" w:rsidRDefault="00811AFE" w:rsidP="00906179">
      <w:pPr>
        <w:ind w:right="49"/>
        <w:rPr>
          <w:rFonts w:eastAsia="Palatino Linotype" w:cs="Palatino Linotype"/>
        </w:rPr>
      </w:pPr>
      <w:r w:rsidRPr="00B55C8E">
        <w:rPr>
          <w:rFonts w:eastAsia="Palatino Linotype" w:cs="Palatino Linotype"/>
        </w:rPr>
        <w:t xml:space="preserve">Resulta importante señalar que por cuanto hace a las percepciones, la Ley Federal del Trabajo que en su artículo 84 establece lo siguiente: </w:t>
      </w:r>
    </w:p>
    <w:p w14:paraId="31B55DBF" w14:textId="77777777" w:rsidR="00811AFE" w:rsidRPr="00B55C8E" w:rsidRDefault="00811AFE" w:rsidP="00906179">
      <w:pPr>
        <w:ind w:right="49"/>
        <w:rPr>
          <w:rFonts w:eastAsia="Palatino Linotype" w:cs="Palatino Linotype"/>
        </w:rPr>
      </w:pPr>
    </w:p>
    <w:p w14:paraId="15DA356A" w14:textId="77777777" w:rsidR="00811AFE" w:rsidRPr="00B55C8E" w:rsidRDefault="00811AFE" w:rsidP="00906179">
      <w:pPr>
        <w:pStyle w:val="Puesto"/>
      </w:pPr>
      <w:bookmarkStart w:id="41" w:name="bookmark=id.gjdgxs"/>
      <w:bookmarkEnd w:id="41"/>
      <w:r w:rsidRPr="00B55C8E">
        <w:t>“</w:t>
      </w:r>
      <w:r w:rsidRPr="00B55C8E">
        <w:rPr>
          <w:b/>
          <w:bCs/>
        </w:rPr>
        <w:t>Artículo 84.-</w:t>
      </w:r>
      <w:r w:rsidRPr="00B55C8E">
        <w:t xml:space="preserve"> El salario se integra con los pagos hechos en efectivo por cuota diaria, gratificaciones, percepciones, habitación, primas, comisiones, prestaciones en especie y cualquiera otra cantidad o prestación que se entregue al trabajador por su trabajo.”</w:t>
      </w:r>
    </w:p>
    <w:p w14:paraId="6F3FF2DB" w14:textId="77777777" w:rsidR="00811AFE" w:rsidRPr="00B55C8E" w:rsidRDefault="00811AFE" w:rsidP="00906179">
      <w:pPr>
        <w:ind w:left="567" w:right="900"/>
        <w:rPr>
          <w:rFonts w:eastAsia="Palatino Linotype" w:cs="Palatino Linotype"/>
          <w:i/>
          <w:szCs w:val="22"/>
        </w:rPr>
      </w:pPr>
    </w:p>
    <w:p w14:paraId="0354A31D" w14:textId="77777777" w:rsidR="00811AFE" w:rsidRPr="00B55C8E" w:rsidRDefault="00811AFE" w:rsidP="00906179">
      <w:pPr>
        <w:pStyle w:val="NormalWeb"/>
        <w:spacing w:before="0" w:beforeAutospacing="0" w:after="0" w:afterAutospacing="0" w:line="360" w:lineRule="auto"/>
        <w:jc w:val="both"/>
        <w:rPr>
          <w:sz w:val="22"/>
          <w:szCs w:val="22"/>
        </w:rPr>
      </w:pPr>
      <w:bookmarkStart w:id="42" w:name="_heading=h.gjdgxs"/>
      <w:bookmarkEnd w:id="42"/>
      <w:r w:rsidRPr="00B55C8E">
        <w:rPr>
          <w:rFonts w:ascii="Palatino Linotype" w:hAnsi="Palatino Linotype"/>
          <w:sz w:val="22"/>
          <w:szCs w:val="22"/>
        </w:rPr>
        <w:t>Por su parte el artículo 804, fracción II de la Ley Federal del Trabajo prevé lo siguiente:</w:t>
      </w:r>
    </w:p>
    <w:p w14:paraId="61024435" w14:textId="77777777" w:rsidR="00811AFE" w:rsidRPr="00B55C8E" w:rsidRDefault="00811AFE" w:rsidP="00906179">
      <w:pPr>
        <w:pStyle w:val="Puesto"/>
      </w:pPr>
    </w:p>
    <w:p w14:paraId="2EFF99B2" w14:textId="77777777" w:rsidR="00811AFE" w:rsidRPr="00B55C8E" w:rsidRDefault="00811AFE" w:rsidP="00906179">
      <w:pPr>
        <w:pStyle w:val="Puesto"/>
      </w:pPr>
      <w:r w:rsidRPr="00B55C8E">
        <w:rPr>
          <w:iCs/>
        </w:rPr>
        <w:t>“</w:t>
      </w:r>
      <w:r w:rsidRPr="00B55C8E">
        <w:rPr>
          <w:b/>
          <w:bCs/>
          <w:iCs/>
        </w:rPr>
        <w:t>Artículo 804.- El patrón tiene obligación de conservar y exhibir en juicio los documentos que a continuación se precisan:</w:t>
      </w:r>
    </w:p>
    <w:p w14:paraId="1EB8167C" w14:textId="77777777" w:rsidR="00811AFE" w:rsidRPr="00B55C8E" w:rsidRDefault="00811AFE" w:rsidP="00906179">
      <w:pPr>
        <w:pStyle w:val="Puesto"/>
      </w:pPr>
      <w:r w:rsidRPr="00B55C8E">
        <w:rPr>
          <w:iCs/>
        </w:rPr>
        <w:t>(…)</w:t>
      </w:r>
    </w:p>
    <w:p w14:paraId="17435E34" w14:textId="77777777" w:rsidR="00811AFE" w:rsidRPr="00B55C8E" w:rsidRDefault="00811AFE" w:rsidP="00906179">
      <w:pPr>
        <w:pStyle w:val="Puesto"/>
      </w:pPr>
      <w:r w:rsidRPr="00B55C8E">
        <w:rPr>
          <w:b/>
          <w:bCs/>
          <w:iCs/>
        </w:rPr>
        <w:t>II. Listas de raya o nómina de personal, cuando se lleven en el centro de trabajo; o recibos de pagos de salarios;”</w:t>
      </w:r>
    </w:p>
    <w:p w14:paraId="0E81AB7D" w14:textId="77777777" w:rsidR="00811AFE" w:rsidRPr="00B55C8E" w:rsidRDefault="00811AFE" w:rsidP="00906179">
      <w:pPr>
        <w:pStyle w:val="Prrafodelista"/>
        <w:widowControl w:val="0"/>
        <w:autoSpaceDE w:val="0"/>
        <w:autoSpaceDN w:val="0"/>
        <w:adjustRightInd w:val="0"/>
        <w:ind w:left="0"/>
        <w:rPr>
          <w:rFonts w:eastAsia="MS Mincho" w:cs="Tahoma"/>
        </w:rPr>
      </w:pPr>
    </w:p>
    <w:p w14:paraId="1F9C8F89" w14:textId="77777777" w:rsidR="00811AFE" w:rsidRPr="00B55C8E" w:rsidRDefault="00811AFE" w:rsidP="00906179">
      <w:pPr>
        <w:widowControl w:val="0"/>
        <w:pBdr>
          <w:top w:val="nil"/>
          <w:left w:val="nil"/>
          <w:bottom w:val="nil"/>
          <w:right w:val="nil"/>
          <w:between w:val="nil"/>
        </w:pBdr>
      </w:pPr>
      <w:r w:rsidRPr="00B55C8E">
        <w:t xml:space="preserve">Asimismo, es necesario destacar que el Órgano Superior de Fiscalización del Estado de México, (OSFEM) emite cada año diversas disposiciones de carácter general para el ejercicio de fiscalización de las cuentas públicas, así como los informes trimestrales, en términos de la </w:t>
      </w:r>
      <w:r w:rsidRPr="00B55C8E">
        <w:lastRenderedPageBreak/>
        <w:t xml:space="preserve">fracción XI, del artículo 8, de la Ley de Fiscalización Superior del Estado de México, que señala: </w:t>
      </w:r>
    </w:p>
    <w:p w14:paraId="543B4C4A" w14:textId="77777777" w:rsidR="00811AFE" w:rsidRPr="00B55C8E" w:rsidRDefault="00811AFE" w:rsidP="00906179">
      <w:pPr>
        <w:tabs>
          <w:tab w:val="right" w:pos="8505"/>
        </w:tabs>
      </w:pPr>
    </w:p>
    <w:p w14:paraId="01EAA4B4" w14:textId="77777777" w:rsidR="00811AFE" w:rsidRPr="00B55C8E" w:rsidRDefault="00811AFE" w:rsidP="00906179">
      <w:pPr>
        <w:pStyle w:val="Puesto"/>
      </w:pPr>
      <w:r w:rsidRPr="00B55C8E">
        <w:rPr>
          <w:b/>
        </w:rPr>
        <w:t xml:space="preserve">“Artículo 8. </w:t>
      </w:r>
      <w:r w:rsidRPr="00B55C8E">
        <w:t>El Órgano Superior tendrá las siguientes atribuciones:</w:t>
      </w:r>
    </w:p>
    <w:p w14:paraId="21BD3D7F" w14:textId="77777777" w:rsidR="00811AFE" w:rsidRPr="00B55C8E" w:rsidRDefault="00811AFE" w:rsidP="00906179">
      <w:pPr>
        <w:pStyle w:val="Puesto"/>
      </w:pPr>
      <w:r w:rsidRPr="00B55C8E">
        <w:t>…</w:t>
      </w:r>
    </w:p>
    <w:p w14:paraId="73ECFC24" w14:textId="77777777" w:rsidR="00811AFE" w:rsidRPr="00B55C8E" w:rsidRDefault="00811AFE" w:rsidP="00906179">
      <w:pPr>
        <w:pStyle w:val="Puesto"/>
      </w:pPr>
      <w:r w:rsidRPr="00B55C8E">
        <w:rPr>
          <w:b/>
        </w:rPr>
        <w:t xml:space="preserve">XI. </w:t>
      </w:r>
      <w:r w:rsidRPr="00B55C8E">
        <w:t>Establecer los lineamientos, criterios, procedimientos, métodos y sistemas para las acciones de control y evaluación, necesarios para la fiscalización de las cuentas públicas y los informes trimestrales;” (Sic)</w:t>
      </w:r>
    </w:p>
    <w:p w14:paraId="6591DB1A" w14:textId="77777777" w:rsidR="00811AFE" w:rsidRPr="00B55C8E" w:rsidRDefault="00811AFE" w:rsidP="00906179"/>
    <w:p w14:paraId="278F4F2F" w14:textId="77777777" w:rsidR="00811AFE" w:rsidRPr="00B55C8E" w:rsidRDefault="00811AFE" w:rsidP="00906179">
      <w:r w:rsidRPr="00B55C8E">
        <w:t>De esta forma, el OSFEM emite documentos de apoyo entre los cuales se encuentra el denominado Instructivo Módulo 4</w:t>
      </w:r>
      <w:r w:rsidRPr="00B55C8E">
        <w:rPr>
          <w:rStyle w:val="Refdenotaalpie"/>
        </w:rPr>
        <w:footnoteReference w:id="2"/>
      </w:r>
      <w:r w:rsidRPr="00B55C8E">
        <w:t xml:space="preserve"> el cual contiene el correspondiente a la Conciliación de Nómina, el cual contiene tiene como finalidad presentar el concentrado mensual de las cifras derivadas de todas las erogaciones realizadas por concepto de remuneraciones al trabajo, registradas en la nómina; las cuales deben de coincidir con las contenidas en los registros contables, por concepto de remuneraciones al trabajo personal, para mayor referencia se insertan las siguientes imágenes: </w:t>
      </w:r>
    </w:p>
    <w:p w14:paraId="3FDD96A4" w14:textId="77777777" w:rsidR="00811AFE" w:rsidRPr="00B55C8E" w:rsidRDefault="00811AFE" w:rsidP="00906179">
      <w:pPr>
        <w:jc w:val="center"/>
      </w:pPr>
      <w:r w:rsidRPr="00B55C8E">
        <w:rPr>
          <w:noProof/>
          <w:lang w:eastAsia="es-MX"/>
        </w:rPr>
        <w:lastRenderedPageBreak/>
        <w:drawing>
          <wp:inline distT="0" distB="0" distL="0" distR="0" wp14:anchorId="7C0C1A7E" wp14:editId="7A296BA8">
            <wp:extent cx="5391150" cy="707769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4448" cy="7095152"/>
                    </a:xfrm>
                    <a:prstGeom prst="rect">
                      <a:avLst/>
                    </a:prstGeom>
                  </pic:spPr>
                </pic:pic>
              </a:graphicData>
            </a:graphic>
          </wp:inline>
        </w:drawing>
      </w:r>
    </w:p>
    <w:p w14:paraId="32E8DFE1" w14:textId="77777777" w:rsidR="00811AFE" w:rsidRPr="00B55C8E" w:rsidRDefault="00811AFE" w:rsidP="00906179">
      <w:pPr>
        <w:jc w:val="center"/>
      </w:pPr>
      <w:r w:rsidRPr="00B55C8E">
        <w:rPr>
          <w:noProof/>
          <w:lang w:eastAsia="es-MX"/>
        </w:rPr>
        <w:lastRenderedPageBreak/>
        <w:drawing>
          <wp:inline distT="0" distB="0" distL="0" distR="0" wp14:anchorId="69334E58" wp14:editId="70517C21">
            <wp:extent cx="5363091" cy="721042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71586" cy="7221846"/>
                    </a:xfrm>
                    <a:prstGeom prst="rect">
                      <a:avLst/>
                    </a:prstGeom>
                  </pic:spPr>
                </pic:pic>
              </a:graphicData>
            </a:graphic>
          </wp:inline>
        </w:drawing>
      </w:r>
    </w:p>
    <w:p w14:paraId="2AE18D76" w14:textId="77777777" w:rsidR="00811AFE" w:rsidRPr="00B55C8E" w:rsidRDefault="00811AFE" w:rsidP="00906179">
      <w:pPr>
        <w:jc w:val="center"/>
      </w:pPr>
      <w:r w:rsidRPr="00B55C8E">
        <w:rPr>
          <w:noProof/>
          <w:lang w:eastAsia="es-MX"/>
        </w:rPr>
        <w:lastRenderedPageBreak/>
        <w:drawing>
          <wp:inline distT="0" distB="0" distL="0" distR="0" wp14:anchorId="0113E8FD" wp14:editId="73DDF412">
            <wp:extent cx="5410200" cy="5419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37108" cy="5446680"/>
                    </a:xfrm>
                    <a:prstGeom prst="rect">
                      <a:avLst/>
                    </a:prstGeom>
                  </pic:spPr>
                </pic:pic>
              </a:graphicData>
            </a:graphic>
          </wp:inline>
        </w:drawing>
      </w:r>
    </w:p>
    <w:p w14:paraId="29FCAFBA" w14:textId="77777777" w:rsidR="00811AFE" w:rsidRPr="00B55C8E" w:rsidRDefault="00811AFE" w:rsidP="00906179">
      <w:pPr>
        <w:jc w:val="center"/>
      </w:pPr>
      <w:r w:rsidRPr="00B55C8E">
        <w:rPr>
          <w:noProof/>
          <w:lang w:eastAsia="es-MX"/>
        </w:rPr>
        <w:drawing>
          <wp:inline distT="0" distB="0" distL="0" distR="0" wp14:anchorId="24E93F4B" wp14:editId="232DDCB7">
            <wp:extent cx="5343525" cy="16002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44293" cy="1600430"/>
                    </a:xfrm>
                    <a:prstGeom prst="rect">
                      <a:avLst/>
                    </a:prstGeom>
                  </pic:spPr>
                </pic:pic>
              </a:graphicData>
            </a:graphic>
          </wp:inline>
        </w:drawing>
      </w:r>
    </w:p>
    <w:p w14:paraId="5DEE2D76" w14:textId="77777777" w:rsidR="00811AFE" w:rsidRPr="00B55C8E" w:rsidRDefault="00811AFE" w:rsidP="00906179">
      <w:pPr>
        <w:spacing w:before="280"/>
      </w:pPr>
      <w:r w:rsidRPr="00B55C8E">
        <w:lastRenderedPageBreak/>
        <w:t xml:space="preserve">Atento a lo anterior, resulta evidente la existencia de la fuente obligacional que constriñe al </w:t>
      </w:r>
      <w:r w:rsidRPr="00B55C8E">
        <w:rPr>
          <w:b/>
        </w:rPr>
        <w:t>SUJETO OBLIGADO</w:t>
      </w:r>
      <w:r w:rsidRPr="00B55C8E">
        <w:t xml:space="preserve">, para generar la información requerida por </w:t>
      </w:r>
      <w:r w:rsidRPr="00B55C8E">
        <w:rPr>
          <w:b/>
        </w:rPr>
        <w:t>LA PARTE RECURRENTE</w:t>
      </w:r>
      <w:r w:rsidRPr="00B55C8E">
        <w:t>.</w:t>
      </w:r>
    </w:p>
    <w:p w14:paraId="1552FF3B" w14:textId="77777777" w:rsidR="00811AFE" w:rsidRPr="00B55C8E" w:rsidRDefault="00811AFE" w:rsidP="00906179"/>
    <w:p w14:paraId="2C163B79" w14:textId="77777777" w:rsidR="00811AFE" w:rsidRPr="00B55C8E" w:rsidRDefault="00811AFE" w:rsidP="00906179">
      <w:pPr>
        <w:rPr>
          <w:rFonts w:cs="Arial"/>
          <w:bCs/>
          <w:lang w:val="es-ES"/>
        </w:rPr>
      </w:pPr>
      <w:r w:rsidRPr="00B55C8E">
        <w:rPr>
          <w:lang w:val="es-ES"/>
        </w:rPr>
        <w:t xml:space="preserve">Asimismo, es </w:t>
      </w:r>
      <w:r w:rsidRPr="00B55C8E">
        <w:rPr>
          <w:rFonts w:cs="Arial"/>
          <w:lang w:val="es-ES"/>
        </w:rPr>
        <w:t>importante señalar que de acuerdo a la naturaleza de la información solicitada, ésta es de</w:t>
      </w:r>
      <w:r w:rsidRPr="00B55C8E">
        <w:rPr>
          <w:rFonts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55C8E">
        <w:rPr>
          <w:rFonts w:cs="Arial"/>
          <w:lang w:val="es-ES"/>
        </w:rPr>
        <w:t xml:space="preserve"> </w:t>
      </w:r>
      <w:r w:rsidRPr="00B55C8E">
        <w:rPr>
          <w:rFonts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6BF45DE8" w14:textId="77777777" w:rsidR="00811AFE" w:rsidRPr="00B55C8E" w:rsidRDefault="00811AFE" w:rsidP="00906179">
      <w:pPr>
        <w:rPr>
          <w:rFonts w:cs="Arial"/>
          <w:bCs/>
          <w:szCs w:val="22"/>
          <w:lang w:val="es-ES"/>
        </w:rPr>
      </w:pPr>
    </w:p>
    <w:p w14:paraId="18C37C07" w14:textId="77777777" w:rsidR="00811AFE" w:rsidRPr="00B55C8E" w:rsidRDefault="00811AFE" w:rsidP="00906179">
      <w:pPr>
        <w:pStyle w:val="Puesto"/>
        <w:rPr>
          <w:lang w:val="es-ES"/>
        </w:rPr>
      </w:pPr>
      <w:r w:rsidRPr="00B55C8E">
        <w:rPr>
          <w:lang w:val="es-ES"/>
        </w:rPr>
        <w:t>“</w:t>
      </w:r>
      <w:r w:rsidRPr="00B55C8E">
        <w:rPr>
          <w:b/>
          <w:lang w:val="es-ES"/>
        </w:rPr>
        <w:t>Artículo 23</w:t>
      </w:r>
      <w:r w:rsidRPr="00B55C8E">
        <w:rPr>
          <w:lang w:val="es-ES"/>
        </w:rPr>
        <w:t xml:space="preserve"> Son </w:t>
      </w:r>
      <w:r w:rsidRPr="00B55C8E">
        <w:rPr>
          <w:rFonts w:eastAsia="Calibri"/>
          <w:lang w:eastAsia="en-US"/>
        </w:rPr>
        <w:t>sujetos</w:t>
      </w:r>
      <w:r w:rsidRPr="00B55C8E">
        <w:rPr>
          <w:lang w:val="es-ES"/>
        </w:rPr>
        <w:t xml:space="preserve"> obligados a transparentar y permitir el acceso a su información y proteger los datos personales que obren en su poder:</w:t>
      </w:r>
    </w:p>
    <w:p w14:paraId="1E79DE01" w14:textId="77777777" w:rsidR="00811AFE" w:rsidRPr="00B55C8E" w:rsidRDefault="00811AFE" w:rsidP="00906179">
      <w:pPr>
        <w:tabs>
          <w:tab w:val="left" w:pos="7938"/>
        </w:tabs>
        <w:spacing w:line="240" w:lineRule="auto"/>
        <w:ind w:left="709" w:right="899"/>
        <w:rPr>
          <w:rFonts w:cs="Arial"/>
          <w:bCs/>
          <w:i/>
          <w:szCs w:val="22"/>
          <w:lang w:val="es-ES"/>
        </w:rPr>
      </w:pPr>
    </w:p>
    <w:p w14:paraId="44468E73" w14:textId="77777777" w:rsidR="00811AFE" w:rsidRPr="00B55C8E" w:rsidRDefault="00811AFE" w:rsidP="00906179">
      <w:pPr>
        <w:pStyle w:val="Puesto"/>
        <w:rPr>
          <w:lang w:val="es-ES"/>
        </w:rPr>
      </w:pPr>
      <w:r w:rsidRPr="00B55C8E">
        <w:rPr>
          <w:lang w:val="es-ES"/>
        </w:rPr>
        <w:t xml:space="preserve">IV. </w:t>
      </w:r>
      <w:r w:rsidRPr="00B55C8E">
        <w:rPr>
          <w:b/>
          <w:lang w:val="es-ES"/>
        </w:rPr>
        <w:t>Los ayuntamientos</w:t>
      </w:r>
      <w:r w:rsidRPr="00B55C8E">
        <w:rPr>
          <w:lang w:val="es-ES"/>
        </w:rPr>
        <w:t xml:space="preserve"> y las dependencias, organismos, órganos y entidades de la administración municipal;</w:t>
      </w:r>
    </w:p>
    <w:p w14:paraId="61D3B38F" w14:textId="77777777" w:rsidR="00811AFE" w:rsidRPr="00B55C8E" w:rsidRDefault="00811AFE" w:rsidP="00906179">
      <w:pPr>
        <w:pStyle w:val="Puesto"/>
        <w:rPr>
          <w:lang w:val="es-ES"/>
        </w:rPr>
      </w:pPr>
    </w:p>
    <w:p w14:paraId="119C505D" w14:textId="77777777" w:rsidR="00811AFE" w:rsidRPr="00B55C8E" w:rsidRDefault="00811AFE" w:rsidP="00906179">
      <w:pPr>
        <w:pStyle w:val="Puesto"/>
        <w:rPr>
          <w:b/>
          <w:lang w:val="es-ES"/>
        </w:rPr>
      </w:pPr>
      <w:r w:rsidRPr="00B55C8E">
        <w:rPr>
          <w:b/>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14:paraId="34C3CA57" w14:textId="77777777" w:rsidR="00811AFE" w:rsidRPr="00B55C8E" w:rsidRDefault="00811AFE" w:rsidP="00906179">
      <w:pPr>
        <w:tabs>
          <w:tab w:val="left" w:pos="7938"/>
        </w:tabs>
        <w:ind w:right="899"/>
        <w:rPr>
          <w:rFonts w:cs="Arial"/>
          <w:bCs/>
          <w:i/>
          <w:szCs w:val="22"/>
          <w:lang w:val="es-ES"/>
        </w:rPr>
      </w:pPr>
    </w:p>
    <w:p w14:paraId="56363B2E" w14:textId="77777777" w:rsidR="00811AFE" w:rsidRPr="00B55C8E" w:rsidRDefault="00811AFE" w:rsidP="00906179">
      <w:pPr>
        <w:rPr>
          <w:rFonts w:cs="Arial"/>
          <w:lang w:val="es-ES"/>
        </w:rPr>
      </w:pPr>
      <w:r w:rsidRPr="00B55C8E">
        <w:rPr>
          <w:rFonts w:cs="Arial"/>
          <w:lang w:val="es-ES"/>
        </w:rPr>
        <w:t xml:space="preserve">Sirve de sustento por analogía, para justificar la publicidad sobre los datos relativos a los montos por concepto de pago de las remuneraciones, los criterios 01/2003 y 02/2003 emitidos </w:t>
      </w:r>
      <w:r w:rsidRPr="00B55C8E">
        <w:rPr>
          <w:rFonts w:cs="Arial"/>
          <w:lang w:val="es-ES"/>
        </w:rPr>
        <w:lastRenderedPageBreak/>
        <w:t xml:space="preserve">por el Comité de Acceso a la Información Pública y Protección de Datos Personales de la Suprema Corte de Justicia de la Nación que a continuación se citan: </w:t>
      </w:r>
    </w:p>
    <w:p w14:paraId="798929CD" w14:textId="77777777" w:rsidR="00811AFE" w:rsidRPr="00B55C8E" w:rsidRDefault="00811AFE" w:rsidP="00906179">
      <w:pPr>
        <w:rPr>
          <w:rFonts w:cs="Arial"/>
          <w:szCs w:val="22"/>
          <w:lang w:val="es-ES"/>
        </w:rPr>
      </w:pPr>
    </w:p>
    <w:p w14:paraId="1E15925D" w14:textId="77777777" w:rsidR="00811AFE" w:rsidRPr="00B55C8E" w:rsidRDefault="00811AFE" w:rsidP="00906179">
      <w:pPr>
        <w:pStyle w:val="Puesto"/>
        <w:rPr>
          <w:b/>
          <w:lang w:val="es-ES"/>
        </w:rPr>
      </w:pPr>
      <w:r w:rsidRPr="00B55C8E">
        <w:rPr>
          <w:lang w:val="es-ES"/>
        </w:rPr>
        <w:t>“</w:t>
      </w:r>
      <w:r w:rsidRPr="00B55C8E">
        <w:rPr>
          <w:b/>
          <w:lang w:val="es-ES"/>
        </w:rPr>
        <w:t>Criterio 01/2003.</w:t>
      </w:r>
    </w:p>
    <w:p w14:paraId="3C9CBB0C" w14:textId="77777777" w:rsidR="00811AFE" w:rsidRPr="00B55C8E" w:rsidRDefault="00811AFE" w:rsidP="00906179">
      <w:pPr>
        <w:pStyle w:val="Puesto"/>
        <w:rPr>
          <w:b/>
          <w:lang w:val="es-ES"/>
        </w:rPr>
      </w:pPr>
    </w:p>
    <w:p w14:paraId="63C09D37" w14:textId="77777777" w:rsidR="00811AFE" w:rsidRPr="00B55C8E" w:rsidRDefault="00811AFE" w:rsidP="00906179">
      <w:pPr>
        <w:pStyle w:val="Puesto"/>
        <w:rPr>
          <w:lang w:val="es-ES"/>
        </w:rPr>
      </w:pPr>
      <w:r w:rsidRPr="00B55C8E">
        <w:rPr>
          <w:b/>
          <w:lang w:val="es-ES"/>
        </w:rPr>
        <w:t>“INGRESOS DE LOS SERVIDORES PÚBLICOS. CONSTITUYEN INFORMACIÓN PÚBLICA AÚN Y CUANDO SU DIFUSIÓN PUEDE AFECTAR LA VIDA O LA SEGURIDAD DE AQUELLOS</w:t>
      </w:r>
      <w:r w:rsidRPr="00B55C8E">
        <w:rPr>
          <w:lang w:val="es-ES"/>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6F5C295C" w14:textId="77777777" w:rsidR="00811AFE" w:rsidRPr="00B55C8E" w:rsidRDefault="00811AFE" w:rsidP="00906179">
      <w:pPr>
        <w:pStyle w:val="Puesto"/>
        <w:rPr>
          <w:lang w:val="es-ES"/>
        </w:rPr>
      </w:pPr>
    </w:p>
    <w:p w14:paraId="3DAB9B38" w14:textId="77777777" w:rsidR="00811AFE" w:rsidRPr="00B55C8E" w:rsidRDefault="00811AFE" w:rsidP="00906179">
      <w:pPr>
        <w:pStyle w:val="Puesto"/>
        <w:rPr>
          <w:b/>
          <w:lang w:val="es-ES"/>
        </w:rPr>
      </w:pPr>
      <w:r w:rsidRPr="00B55C8E">
        <w:rPr>
          <w:lang w:val="es-ES"/>
        </w:rPr>
        <w:t>“</w:t>
      </w:r>
      <w:r w:rsidRPr="00B55C8E">
        <w:rPr>
          <w:b/>
          <w:lang w:val="es-ES"/>
        </w:rPr>
        <w:t>Criterio 02/2003.</w:t>
      </w:r>
    </w:p>
    <w:p w14:paraId="7B6E834A" w14:textId="77777777" w:rsidR="00811AFE" w:rsidRPr="00B55C8E" w:rsidRDefault="00811AFE" w:rsidP="00906179">
      <w:pPr>
        <w:pStyle w:val="Puesto"/>
        <w:rPr>
          <w:b/>
          <w:lang w:val="es-ES"/>
        </w:rPr>
      </w:pPr>
    </w:p>
    <w:p w14:paraId="59AFA6D1" w14:textId="77777777" w:rsidR="00811AFE" w:rsidRPr="00B55C8E" w:rsidRDefault="00811AFE" w:rsidP="00906179">
      <w:pPr>
        <w:pStyle w:val="Puesto"/>
        <w:rPr>
          <w:lang w:val="es-ES"/>
        </w:rPr>
      </w:pPr>
      <w:r w:rsidRPr="00B55C8E">
        <w:rPr>
          <w:b/>
          <w:lang w:val="es-ES"/>
        </w:rPr>
        <w:t>INGRESOS DE LOS SERVIDORES PÚBLICOS, SON INFORMACIÓN PÚBLICA AÚN Y CUANDO CONSTITUYEN DATOS PERSONALES QUE SE REFIEREN AL PATRIMONIO DE AQUÉLLOS</w:t>
      </w:r>
      <w:r w:rsidRPr="00B55C8E">
        <w:rPr>
          <w:lang w:val="es-ES"/>
        </w:rPr>
        <w:t>.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429F805C" w14:textId="77777777" w:rsidR="00811AFE" w:rsidRPr="00B55C8E" w:rsidRDefault="00811AFE" w:rsidP="00906179">
      <w:pPr>
        <w:pStyle w:val="Puesto"/>
        <w:rPr>
          <w:lang w:val="es-ES"/>
        </w:rPr>
      </w:pPr>
      <w:r w:rsidRPr="00B55C8E">
        <w:rPr>
          <w:lang w:val="es-ES"/>
        </w:rPr>
        <w:t>(Énfasis añadido)</w:t>
      </w:r>
    </w:p>
    <w:p w14:paraId="7A3964C1" w14:textId="008F1450" w:rsidR="00204C5A" w:rsidRPr="00B55C8E" w:rsidRDefault="00204C5A" w:rsidP="00906179">
      <w:pPr>
        <w:rPr>
          <w:rFonts w:eastAsia="Palatino Linotype" w:cs="Palatino Linotype"/>
        </w:rPr>
      </w:pPr>
      <w:r w:rsidRPr="00B55C8E">
        <w:rPr>
          <w:rFonts w:eastAsia="Palatino Linotype" w:cs="Palatino Linotype"/>
        </w:rPr>
        <w:lastRenderedPageBreak/>
        <w:t xml:space="preserve">En consecuencia, este Órgano Garante determina ordenar en </w:t>
      </w:r>
      <w:r w:rsidRPr="00B55C8E">
        <w:rPr>
          <w:rFonts w:eastAsia="Palatino Linotype" w:cs="Palatino Linotype"/>
          <w:b/>
        </w:rPr>
        <w:t xml:space="preserve">versión pública </w:t>
      </w:r>
      <w:r w:rsidRPr="00B55C8E">
        <w:rPr>
          <w:rFonts w:eastAsia="Palatino Linotype" w:cs="Palatino Linotype"/>
        </w:rPr>
        <w:t xml:space="preserve">la conciliación de nómina correspondiente a la segunda quincena de junio de dos mil veinticinco. </w:t>
      </w:r>
    </w:p>
    <w:p w14:paraId="231A59B8" w14:textId="77777777" w:rsidR="00204C5A" w:rsidRPr="00B55C8E" w:rsidRDefault="00204C5A" w:rsidP="00906179">
      <w:pPr>
        <w:rPr>
          <w:rFonts w:eastAsia="Palatino Linotype" w:cs="Palatino Linotype"/>
        </w:rPr>
      </w:pPr>
    </w:p>
    <w:p w14:paraId="74958C3E" w14:textId="77777777" w:rsidR="00204C5A" w:rsidRPr="00B55C8E" w:rsidRDefault="00204C5A" w:rsidP="00906179">
      <w:pPr>
        <w:keepNext/>
        <w:keepLines/>
        <w:spacing w:line="480" w:lineRule="auto"/>
        <w:jc w:val="left"/>
        <w:outlineLvl w:val="2"/>
        <w:rPr>
          <w:b/>
          <w:szCs w:val="28"/>
        </w:rPr>
      </w:pPr>
      <w:bookmarkStart w:id="43" w:name="_Toc170898812"/>
      <w:bookmarkStart w:id="44" w:name="_Toc172051201"/>
      <w:bookmarkStart w:id="45" w:name="_Toc174466654"/>
      <w:bookmarkStart w:id="46" w:name="_Toc211447491"/>
      <w:bookmarkEnd w:id="39"/>
      <w:r w:rsidRPr="00B55C8E">
        <w:rPr>
          <w:b/>
          <w:szCs w:val="28"/>
        </w:rPr>
        <w:t>d) Versión pública</w:t>
      </w:r>
      <w:bookmarkEnd w:id="43"/>
      <w:bookmarkEnd w:id="44"/>
      <w:bookmarkEnd w:id="45"/>
      <w:bookmarkEnd w:id="46"/>
    </w:p>
    <w:p w14:paraId="28321E30" w14:textId="77777777" w:rsidR="00204C5A" w:rsidRPr="00B55C8E" w:rsidRDefault="00204C5A" w:rsidP="00906179">
      <w:pPr>
        <w:rPr>
          <w:bCs/>
        </w:rPr>
      </w:pPr>
      <w:r w:rsidRPr="00B55C8E">
        <w:t xml:space="preserve">Para el caso de que el o los documentos de los cuales se ordena su entrega contengan datos personales susceptibles de ser testados, deberán ser entregados en </w:t>
      </w:r>
      <w:r w:rsidRPr="00B55C8E">
        <w:rPr>
          <w:b/>
        </w:rPr>
        <w:t>versión pública</w:t>
      </w:r>
      <w:r w:rsidRPr="00B55C8E">
        <w:t>, pues el</w:t>
      </w:r>
      <w:r w:rsidRPr="00B55C8E">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5BCCE10" w14:textId="77777777" w:rsidR="00204C5A" w:rsidRPr="00B55C8E" w:rsidRDefault="00204C5A" w:rsidP="00906179">
      <w:pPr>
        <w:rPr>
          <w:rFonts w:eastAsia="Calibri"/>
          <w:bCs/>
          <w:lang w:eastAsia="en-US"/>
        </w:rPr>
      </w:pPr>
    </w:p>
    <w:p w14:paraId="5739FF3F" w14:textId="77777777" w:rsidR="00204C5A" w:rsidRPr="00B55C8E" w:rsidRDefault="00204C5A" w:rsidP="00906179">
      <w:pPr>
        <w:rPr>
          <w:bCs/>
        </w:rPr>
      </w:pPr>
      <w:r w:rsidRPr="00B55C8E">
        <w:rPr>
          <w:bCs/>
        </w:rPr>
        <w:t>A este respecto, los artículos 3, fracciones IX, XX, XXI y XLV; 51 y 52 de la Ley de Transparencia y Acceso a la Información Pública del Estado de México y Municipios establecen:</w:t>
      </w:r>
    </w:p>
    <w:p w14:paraId="67020002" w14:textId="77777777" w:rsidR="00204C5A" w:rsidRPr="00B55C8E" w:rsidRDefault="00204C5A" w:rsidP="00906179"/>
    <w:p w14:paraId="52C72AB0" w14:textId="77777777" w:rsidR="00204C5A" w:rsidRPr="00B55C8E" w:rsidRDefault="00204C5A" w:rsidP="00906179">
      <w:pPr>
        <w:spacing w:line="240" w:lineRule="auto"/>
        <w:ind w:left="567" w:right="567"/>
        <w:contextualSpacing/>
        <w:rPr>
          <w:i/>
          <w:kern w:val="28"/>
          <w:szCs w:val="56"/>
          <w14:ligatures w14:val="standardContextual"/>
        </w:rPr>
      </w:pPr>
      <w:r w:rsidRPr="00B55C8E">
        <w:rPr>
          <w:b/>
          <w:bCs/>
          <w:i/>
          <w:noProof/>
          <w:kern w:val="28"/>
          <w:szCs w:val="56"/>
          <w14:ligatures w14:val="standardContextual"/>
        </w:rPr>
        <w:t>“</w:t>
      </w:r>
      <w:r w:rsidRPr="00B55C8E">
        <w:rPr>
          <w:b/>
          <w:bCs/>
          <w:i/>
          <w:kern w:val="28"/>
          <w:szCs w:val="56"/>
          <w14:ligatures w14:val="standardContextual"/>
        </w:rPr>
        <w:t xml:space="preserve">Artículo 3. </w:t>
      </w:r>
      <w:r w:rsidRPr="00B55C8E">
        <w:rPr>
          <w:i/>
          <w:kern w:val="28"/>
          <w:szCs w:val="56"/>
          <w14:ligatures w14:val="standardContextual"/>
        </w:rPr>
        <w:t xml:space="preserve">Para los efectos de la presente Ley se entenderá por: </w:t>
      </w:r>
    </w:p>
    <w:p w14:paraId="3DBD733C"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IX.</w:t>
      </w:r>
      <w:r w:rsidRPr="00B55C8E">
        <w:rPr>
          <w:i/>
          <w:kern w:val="28"/>
          <w:szCs w:val="56"/>
          <w14:ligatures w14:val="standardContextual"/>
        </w:rPr>
        <w:t xml:space="preserve"> </w:t>
      </w:r>
      <w:r w:rsidRPr="00B55C8E">
        <w:rPr>
          <w:b/>
          <w:i/>
          <w:kern w:val="28"/>
          <w:szCs w:val="56"/>
          <w14:ligatures w14:val="standardContextual"/>
        </w:rPr>
        <w:t xml:space="preserve">Datos personales: </w:t>
      </w:r>
      <w:r w:rsidRPr="00B55C8E">
        <w:rPr>
          <w:i/>
          <w:kern w:val="28"/>
          <w:szCs w:val="56"/>
          <w14:ligatures w14:val="standardContextual"/>
        </w:rPr>
        <w:t xml:space="preserve">La información concerniente a una persona, identificada o identificable según lo dispuesto por la Ley de Protección de Datos Personales del Estado de México; </w:t>
      </w:r>
    </w:p>
    <w:p w14:paraId="27FAA1B6" w14:textId="77777777" w:rsidR="00204C5A" w:rsidRPr="00B55C8E" w:rsidRDefault="00204C5A" w:rsidP="00906179"/>
    <w:p w14:paraId="551A7F95"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XX.</w:t>
      </w:r>
      <w:r w:rsidRPr="00B55C8E">
        <w:rPr>
          <w:i/>
          <w:kern w:val="28"/>
          <w:szCs w:val="56"/>
          <w14:ligatures w14:val="standardContextual"/>
        </w:rPr>
        <w:t xml:space="preserve"> </w:t>
      </w:r>
      <w:r w:rsidRPr="00B55C8E">
        <w:rPr>
          <w:b/>
          <w:i/>
          <w:kern w:val="28"/>
          <w:szCs w:val="56"/>
          <w14:ligatures w14:val="standardContextual"/>
        </w:rPr>
        <w:t>Información clasificada:</w:t>
      </w:r>
      <w:r w:rsidRPr="00B55C8E">
        <w:rPr>
          <w:i/>
          <w:kern w:val="28"/>
          <w:szCs w:val="56"/>
          <w14:ligatures w14:val="standardContextual"/>
        </w:rPr>
        <w:t xml:space="preserve"> Aquella considerada por la presente Ley como reservada o confidencial; </w:t>
      </w:r>
    </w:p>
    <w:p w14:paraId="749D675E" w14:textId="77777777" w:rsidR="00204C5A" w:rsidRPr="00B55C8E" w:rsidRDefault="00204C5A" w:rsidP="00906179"/>
    <w:p w14:paraId="55938519"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XXI.</w:t>
      </w:r>
      <w:r w:rsidRPr="00B55C8E">
        <w:rPr>
          <w:i/>
          <w:kern w:val="28"/>
          <w:szCs w:val="56"/>
          <w14:ligatures w14:val="standardContextual"/>
        </w:rPr>
        <w:t xml:space="preserve"> </w:t>
      </w:r>
      <w:r w:rsidRPr="00B55C8E">
        <w:rPr>
          <w:b/>
          <w:i/>
          <w:kern w:val="28"/>
          <w:szCs w:val="56"/>
          <w14:ligatures w14:val="standardContextual"/>
        </w:rPr>
        <w:t>Información confidencial</w:t>
      </w:r>
      <w:r w:rsidRPr="00B55C8E">
        <w:rPr>
          <w:i/>
          <w:kern w:val="28"/>
          <w:szCs w:val="56"/>
          <w14:ligatures w14:val="standardContextual"/>
        </w:rPr>
        <w:t xml:space="preserve">: Se considera como información confidencial los secretos bancario, fiduciario, industrial, comercial, fiscal, bursátil y postal, cuya titularidad </w:t>
      </w:r>
      <w:r w:rsidRPr="00B55C8E">
        <w:rPr>
          <w:i/>
          <w:kern w:val="28"/>
          <w:szCs w:val="56"/>
          <w14:ligatures w14:val="standardContextual"/>
        </w:rPr>
        <w:lastRenderedPageBreak/>
        <w:t xml:space="preserve">corresponda a particulares, sujetos de derecho internacional o a sujetos obligados cuando no involucren el ejercicio de recursos públicos; </w:t>
      </w:r>
    </w:p>
    <w:p w14:paraId="1765E4FB" w14:textId="77777777" w:rsidR="00204C5A" w:rsidRPr="00B55C8E" w:rsidRDefault="00204C5A" w:rsidP="00906179"/>
    <w:p w14:paraId="3B0E1CF1"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XLV. Versión pública:</w:t>
      </w:r>
      <w:r w:rsidRPr="00B55C8E">
        <w:rPr>
          <w:i/>
          <w:kern w:val="28"/>
          <w:szCs w:val="56"/>
          <w14:ligatures w14:val="standardContextual"/>
        </w:rPr>
        <w:t xml:space="preserve"> Documento en el que se elimine, suprime o borra la información clasificada como reservada o confidencial para permitir su acceso. </w:t>
      </w:r>
    </w:p>
    <w:p w14:paraId="27792664" w14:textId="77777777" w:rsidR="00204C5A" w:rsidRPr="00B55C8E" w:rsidRDefault="00204C5A" w:rsidP="00906179"/>
    <w:p w14:paraId="6DC27FD3"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Artículo 51.</w:t>
      </w:r>
      <w:r w:rsidRPr="00B55C8E">
        <w:rPr>
          <w:i/>
          <w:kern w:val="28"/>
          <w:szCs w:val="56"/>
          <w14:ligatures w14:val="standardContextua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55C8E">
        <w:rPr>
          <w:b/>
          <w:i/>
          <w:kern w:val="28"/>
          <w:szCs w:val="56"/>
          <w14:ligatures w14:val="standardContextual"/>
        </w:rPr>
        <w:t xml:space="preserve">y tendrá la responsabilidad de verificar en cada caso que la misma no sea confidencial o reservada. </w:t>
      </w:r>
      <w:r w:rsidRPr="00B55C8E">
        <w:rPr>
          <w:i/>
          <w:kern w:val="28"/>
          <w:szCs w:val="56"/>
          <w14:ligatures w14:val="standardContextual"/>
        </w:rPr>
        <w:t>Dicha Unidad contará con las facultades internas necesarias para gestionar la atención a las solicitudes de información en los términos de la Ley General y la presente Ley.</w:t>
      </w:r>
    </w:p>
    <w:p w14:paraId="59AEB604" w14:textId="77777777" w:rsidR="00204C5A" w:rsidRPr="00B55C8E" w:rsidRDefault="00204C5A" w:rsidP="00906179"/>
    <w:p w14:paraId="1E8994BE"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Artículo 52.</w:t>
      </w:r>
      <w:r w:rsidRPr="00B55C8E">
        <w:rPr>
          <w:i/>
          <w:kern w:val="28"/>
          <w:szCs w:val="56"/>
          <w14:ligatures w14:val="standardContextual"/>
        </w:rPr>
        <w:t xml:space="preserve"> Las solicitudes de acceso a la información y las respuestas que se les dé, incluyendo, en su caso, </w:t>
      </w:r>
      <w:r w:rsidRPr="00B55C8E">
        <w:rPr>
          <w:i/>
          <w:kern w:val="28"/>
          <w:szCs w:val="56"/>
          <w:u w:val="single"/>
          <w14:ligatures w14:val="standardContextual"/>
        </w:rPr>
        <w:t>la información entregada, así como las resoluciones a los recursos que en su caso se promuevan serán públicas, y de ser el caso que contenga datos personales que deban ser protegidos se podrá dar su acceso en su versión pública</w:t>
      </w:r>
      <w:r w:rsidRPr="00B55C8E">
        <w:rPr>
          <w:i/>
          <w:kern w:val="28"/>
          <w:szCs w:val="56"/>
          <w14:ligatures w14:val="standardContextual"/>
        </w:rPr>
        <w:t>, siempre y cuando la resolución de referencia se someta a un proceso de disociación, es decir, no haga identificable al titular de tales datos personales.</w:t>
      </w:r>
      <w:r w:rsidRPr="00B55C8E">
        <w:rPr>
          <w:bCs/>
          <w:i/>
          <w:noProof/>
          <w:kern w:val="28"/>
          <w:szCs w:val="56"/>
          <w14:ligatures w14:val="standardContextual"/>
        </w:rPr>
        <w:t xml:space="preserve">” </w:t>
      </w:r>
      <w:r w:rsidRPr="00B55C8E">
        <w:rPr>
          <w:iCs/>
          <w:kern w:val="28"/>
          <w:szCs w:val="22"/>
          <w14:ligatures w14:val="standardContextual"/>
        </w:rPr>
        <w:t>(Énfasis añadido)</w:t>
      </w:r>
    </w:p>
    <w:p w14:paraId="1F1BF5F9" w14:textId="77777777" w:rsidR="00204C5A" w:rsidRPr="00B55C8E" w:rsidRDefault="00204C5A" w:rsidP="00906179"/>
    <w:p w14:paraId="0EB806BC" w14:textId="77777777" w:rsidR="00204C5A" w:rsidRPr="00B55C8E" w:rsidRDefault="00204C5A" w:rsidP="00906179">
      <w:r w:rsidRPr="00B55C8E">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4E71364" w14:textId="77777777" w:rsidR="00204C5A" w:rsidRPr="00B55C8E" w:rsidRDefault="00204C5A" w:rsidP="00906179"/>
    <w:p w14:paraId="6FDFCCE6" w14:textId="77777777" w:rsidR="00204C5A" w:rsidRPr="00B55C8E" w:rsidRDefault="00204C5A" w:rsidP="00906179">
      <w:pPr>
        <w:spacing w:line="240" w:lineRule="auto"/>
        <w:ind w:left="567" w:right="567"/>
        <w:contextualSpacing/>
        <w:rPr>
          <w:rFonts w:eastAsia="Arial Unicode MS"/>
          <w:i/>
          <w:kern w:val="28"/>
          <w:szCs w:val="56"/>
          <w14:ligatures w14:val="standardContextual"/>
        </w:rPr>
      </w:pPr>
      <w:r w:rsidRPr="00B55C8E">
        <w:rPr>
          <w:rFonts w:eastAsia="Arial Unicode MS"/>
          <w:b/>
          <w:i/>
          <w:kern w:val="28"/>
          <w:szCs w:val="56"/>
          <w14:ligatures w14:val="standardContextual"/>
        </w:rPr>
        <w:lastRenderedPageBreak/>
        <w:t>“Artículo 22.</w:t>
      </w:r>
      <w:r w:rsidRPr="00B55C8E">
        <w:rPr>
          <w:rFonts w:eastAsia="Arial Unicode MS"/>
          <w:i/>
          <w:kern w:val="28"/>
          <w:szCs w:val="56"/>
          <w14:ligatures w14:val="standardContextual"/>
        </w:rPr>
        <w:t xml:space="preserve"> Todo tratamiento de datos personales que efectúe el responsable deberá estar justificado por finalidades concretas, lícitas, explícitas y legítimas, relacionadas con las atribuciones que la normatividad aplicable les confiera. </w:t>
      </w:r>
    </w:p>
    <w:p w14:paraId="77C49122" w14:textId="77777777" w:rsidR="00204C5A" w:rsidRPr="00B55C8E" w:rsidRDefault="00204C5A" w:rsidP="00906179">
      <w:pPr>
        <w:rPr>
          <w:rFonts w:eastAsia="Arial Unicode MS"/>
        </w:rPr>
      </w:pPr>
    </w:p>
    <w:p w14:paraId="4B00AFAD" w14:textId="77777777" w:rsidR="00204C5A" w:rsidRPr="00B55C8E" w:rsidRDefault="00204C5A" w:rsidP="00906179">
      <w:pPr>
        <w:spacing w:line="240" w:lineRule="auto"/>
        <w:ind w:left="567" w:right="567"/>
        <w:contextualSpacing/>
        <w:rPr>
          <w:rFonts w:eastAsia="Arial Unicode MS"/>
          <w:i/>
          <w:kern w:val="28"/>
          <w:szCs w:val="56"/>
          <w14:ligatures w14:val="standardContextual"/>
        </w:rPr>
      </w:pPr>
      <w:r w:rsidRPr="00B55C8E">
        <w:rPr>
          <w:rFonts w:eastAsia="Arial Unicode MS"/>
          <w:b/>
          <w:i/>
          <w:kern w:val="28"/>
          <w:szCs w:val="56"/>
          <w14:ligatures w14:val="standardContextual"/>
        </w:rPr>
        <w:t>Artículo 38.</w:t>
      </w:r>
      <w:r w:rsidRPr="00B55C8E">
        <w:rPr>
          <w:rFonts w:eastAsia="Arial Unicode MS"/>
          <w:i/>
          <w:kern w:val="28"/>
          <w:szCs w:val="56"/>
          <w14:ligatures w14:val="standardContextual"/>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55C8E">
        <w:rPr>
          <w:rFonts w:eastAsia="Arial Unicode MS"/>
          <w:b/>
          <w:i/>
          <w:kern w:val="28"/>
          <w:szCs w:val="56"/>
          <w14:ligatures w14:val="standardContextual"/>
        </w:rPr>
        <w:t>”</w:t>
      </w:r>
      <w:r w:rsidRPr="00B55C8E">
        <w:rPr>
          <w:rFonts w:eastAsia="Arial Unicode MS"/>
          <w:i/>
          <w:kern w:val="28"/>
          <w:szCs w:val="56"/>
          <w14:ligatures w14:val="standardContextual"/>
        </w:rPr>
        <w:t xml:space="preserve"> </w:t>
      </w:r>
    </w:p>
    <w:p w14:paraId="74605018" w14:textId="77777777" w:rsidR="00204C5A" w:rsidRPr="00B55C8E" w:rsidRDefault="00204C5A" w:rsidP="00906179">
      <w:pPr>
        <w:rPr>
          <w:rFonts w:eastAsia="Arial Unicode MS"/>
          <w:i/>
          <w:szCs w:val="22"/>
        </w:rPr>
      </w:pPr>
    </w:p>
    <w:p w14:paraId="2DED972A" w14:textId="77777777" w:rsidR="00204C5A" w:rsidRPr="00B55C8E" w:rsidRDefault="00204C5A" w:rsidP="00906179">
      <w:r w:rsidRPr="00B55C8E">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ECCF636" w14:textId="77777777" w:rsidR="00204C5A" w:rsidRPr="00B55C8E" w:rsidRDefault="00204C5A" w:rsidP="00906179"/>
    <w:p w14:paraId="680E21D3" w14:textId="77777777" w:rsidR="00204C5A" w:rsidRPr="00B55C8E" w:rsidRDefault="00204C5A" w:rsidP="00906179">
      <w:r w:rsidRPr="00B55C8E">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55C8E">
        <w:rPr>
          <w:rFonts w:eastAsia="Arial Unicode MS"/>
        </w:rPr>
        <w:t xml:space="preserve"> que debe ser protegida por </w:t>
      </w:r>
      <w:r w:rsidRPr="00B55C8E">
        <w:rPr>
          <w:rFonts w:eastAsia="Arial Unicode MS"/>
          <w:b/>
        </w:rPr>
        <w:t>EL SUJETO OBLIGADO,</w:t>
      </w:r>
      <w:r w:rsidRPr="00B55C8E">
        <w:rPr>
          <w:rFonts w:eastAsia="Arial Unicode MS"/>
        </w:rPr>
        <w:t xml:space="preserve"> por lo </w:t>
      </w:r>
      <w:r w:rsidRPr="00B55C8E">
        <w:t>que, todo dato personal susceptible de clasificación debe ser protegido.</w:t>
      </w:r>
    </w:p>
    <w:p w14:paraId="01347BF0" w14:textId="77777777" w:rsidR="00204C5A" w:rsidRPr="00B55C8E" w:rsidRDefault="00204C5A" w:rsidP="00906179"/>
    <w:p w14:paraId="55836952" w14:textId="77777777" w:rsidR="00204C5A" w:rsidRPr="00B55C8E" w:rsidRDefault="00204C5A" w:rsidP="00906179">
      <w:r w:rsidRPr="00B55C8E">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D6C6567" w14:textId="77777777" w:rsidR="00204C5A" w:rsidRPr="00B55C8E" w:rsidRDefault="00204C5A" w:rsidP="00906179"/>
    <w:p w14:paraId="327AF3F7" w14:textId="77777777" w:rsidR="00204C5A" w:rsidRPr="00B55C8E" w:rsidRDefault="00204C5A" w:rsidP="00906179">
      <w:r w:rsidRPr="00B55C8E">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1EE1283" w14:textId="77777777" w:rsidR="00204C5A" w:rsidRPr="00B55C8E" w:rsidRDefault="00204C5A" w:rsidP="00906179"/>
    <w:p w14:paraId="154905E2" w14:textId="77777777" w:rsidR="00204C5A" w:rsidRPr="00B55C8E" w:rsidRDefault="00204C5A" w:rsidP="00906179">
      <w:pPr>
        <w:jc w:val="center"/>
        <w:rPr>
          <w:b/>
          <w:i/>
          <w:szCs w:val="22"/>
        </w:rPr>
      </w:pPr>
      <w:r w:rsidRPr="00B55C8E">
        <w:rPr>
          <w:b/>
          <w:i/>
          <w:szCs w:val="22"/>
          <w:lang w:val="es-ES_tradnl"/>
        </w:rPr>
        <w:t>Ley de Transparencia y Acceso a la Información Pública del Estado de México y Municipios</w:t>
      </w:r>
    </w:p>
    <w:p w14:paraId="2D735DDC" w14:textId="77777777" w:rsidR="00204C5A" w:rsidRPr="00B55C8E" w:rsidRDefault="00204C5A" w:rsidP="00906179"/>
    <w:p w14:paraId="3DE48196"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 xml:space="preserve">“Artículo 49. </w:t>
      </w:r>
      <w:r w:rsidRPr="00B55C8E">
        <w:rPr>
          <w:i/>
          <w:kern w:val="28"/>
          <w:szCs w:val="56"/>
          <w14:ligatures w14:val="standardContextual"/>
        </w:rPr>
        <w:t>Los Comités de Transparencia tendrán las siguientes atribuciones:</w:t>
      </w:r>
    </w:p>
    <w:p w14:paraId="024C27F8"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VIII.</w:t>
      </w:r>
      <w:r w:rsidRPr="00B55C8E">
        <w:rPr>
          <w:i/>
          <w:kern w:val="28"/>
          <w:szCs w:val="56"/>
          <w14:ligatures w14:val="standardContextual"/>
        </w:rPr>
        <w:t xml:space="preserve"> Aprobar, modificar o revocar la clasificación de la información;</w:t>
      </w:r>
    </w:p>
    <w:p w14:paraId="3EA60BB8" w14:textId="77777777" w:rsidR="00204C5A" w:rsidRPr="00B55C8E" w:rsidRDefault="00204C5A" w:rsidP="00906179"/>
    <w:p w14:paraId="031C5549"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Artículo 132.</w:t>
      </w:r>
      <w:r w:rsidRPr="00B55C8E">
        <w:rPr>
          <w:i/>
          <w:kern w:val="28"/>
          <w:szCs w:val="56"/>
          <w14:ligatures w14:val="standardContextual"/>
        </w:rPr>
        <w:t xml:space="preserve"> La clasificación de la información se llevará a cabo en el momento en que:</w:t>
      </w:r>
    </w:p>
    <w:p w14:paraId="710087EA"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I.</w:t>
      </w:r>
      <w:r w:rsidRPr="00B55C8E">
        <w:rPr>
          <w:i/>
          <w:kern w:val="28"/>
          <w:szCs w:val="56"/>
          <w14:ligatures w14:val="standardContextual"/>
        </w:rPr>
        <w:t xml:space="preserve"> Se reciba una solicitud de acceso a la información;</w:t>
      </w:r>
    </w:p>
    <w:p w14:paraId="3C6B1745"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II.</w:t>
      </w:r>
      <w:r w:rsidRPr="00B55C8E">
        <w:rPr>
          <w:i/>
          <w:kern w:val="28"/>
          <w:szCs w:val="56"/>
          <w14:ligatures w14:val="standardContextual"/>
        </w:rPr>
        <w:t xml:space="preserve"> Se determine mediante resolución de autoridad competente; o</w:t>
      </w:r>
    </w:p>
    <w:p w14:paraId="736874D3" w14:textId="77777777" w:rsidR="00204C5A" w:rsidRPr="00B55C8E" w:rsidRDefault="00204C5A" w:rsidP="00906179">
      <w:pPr>
        <w:spacing w:line="240" w:lineRule="auto"/>
        <w:ind w:left="567" w:right="567"/>
        <w:contextualSpacing/>
        <w:rPr>
          <w:b/>
          <w:i/>
          <w:kern w:val="28"/>
          <w:szCs w:val="56"/>
          <w14:ligatures w14:val="standardContextual"/>
        </w:rPr>
      </w:pPr>
      <w:r w:rsidRPr="00B55C8E">
        <w:rPr>
          <w:b/>
          <w:bCs/>
          <w:i/>
          <w:kern w:val="28"/>
          <w:szCs w:val="56"/>
          <w14:ligatures w14:val="standardContextual"/>
        </w:rPr>
        <w:t>III.</w:t>
      </w:r>
      <w:r w:rsidRPr="00B55C8E">
        <w:rPr>
          <w:i/>
          <w:kern w:val="28"/>
          <w:szCs w:val="56"/>
          <w14:ligatures w14:val="standardContextual"/>
        </w:rPr>
        <w:t xml:space="preserve"> Se generen versiones públicas para dar cumplimiento a las obligaciones de transparencia previstas en esta Ley.</w:t>
      </w:r>
      <w:r w:rsidRPr="00B55C8E">
        <w:rPr>
          <w:b/>
          <w:i/>
          <w:kern w:val="28"/>
          <w:szCs w:val="56"/>
          <w14:ligatures w14:val="standardContextual"/>
        </w:rPr>
        <w:t>”</w:t>
      </w:r>
    </w:p>
    <w:p w14:paraId="0956BCCA" w14:textId="77777777" w:rsidR="00204C5A" w:rsidRPr="00B55C8E" w:rsidRDefault="00204C5A" w:rsidP="00906179"/>
    <w:p w14:paraId="5F9547DB"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“Segundo. -</w:t>
      </w:r>
      <w:r w:rsidRPr="00B55C8E">
        <w:rPr>
          <w:i/>
          <w:kern w:val="28"/>
          <w:szCs w:val="56"/>
          <w14:ligatures w14:val="standardContextual"/>
        </w:rPr>
        <w:t xml:space="preserve"> Para efectos de los presentes Lineamientos Generales, se entenderá por:</w:t>
      </w:r>
    </w:p>
    <w:p w14:paraId="7CF2786B"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XVIII.</w:t>
      </w:r>
      <w:r w:rsidRPr="00B55C8E">
        <w:rPr>
          <w:i/>
          <w:kern w:val="28"/>
          <w:szCs w:val="56"/>
          <w14:ligatures w14:val="standardContextual"/>
        </w:rPr>
        <w:t xml:space="preserve">  </w:t>
      </w:r>
      <w:r w:rsidRPr="00B55C8E">
        <w:rPr>
          <w:b/>
          <w:i/>
          <w:kern w:val="28"/>
          <w:szCs w:val="56"/>
          <w14:ligatures w14:val="standardContextual"/>
        </w:rPr>
        <w:t>Versión pública:</w:t>
      </w:r>
      <w:r w:rsidRPr="00B55C8E">
        <w:rPr>
          <w:i/>
          <w:kern w:val="28"/>
          <w:szCs w:val="56"/>
          <w14:ligatures w14:val="standardContextua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D02953B" w14:textId="77777777" w:rsidR="00204C5A" w:rsidRPr="00B55C8E" w:rsidRDefault="00204C5A" w:rsidP="00906179">
      <w:pPr>
        <w:spacing w:line="240" w:lineRule="auto"/>
        <w:ind w:left="567" w:right="567"/>
        <w:contextualSpacing/>
        <w:rPr>
          <w:i/>
          <w:kern w:val="28"/>
          <w:szCs w:val="56"/>
          <w14:ligatures w14:val="standardContextual"/>
        </w:rPr>
      </w:pPr>
    </w:p>
    <w:p w14:paraId="6723FC15" w14:textId="77777777" w:rsidR="00204C5A" w:rsidRPr="00B55C8E" w:rsidRDefault="00204C5A" w:rsidP="00906179">
      <w:pPr>
        <w:spacing w:line="240" w:lineRule="auto"/>
        <w:ind w:left="567" w:right="567"/>
        <w:contextualSpacing/>
        <w:rPr>
          <w:b/>
          <w:i/>
          <w:kern w:val="28"/>
          <w:szCs w:val="56"/>
          <w:lang w:val="es-ES_tradnl" w:eastAsia="es-MX"/>
          <w14:ligatures w14:val="standardContextual"/>
        </w:rPr>
      </w:pPr>
      <w:r w:rsidRPr="00B55C8E">
        <w:rPr>
          <w:b/>
          <w:i/>
          <w:kern w:val="28"/>
          <w:szCs w:val="56"/>
          <w:lang w:val="es-ES_tradnl" w:eastAsia="es-MX"/>
          <w14:ligatures w14:val="standardContextual"/>
        </w:rPr>
        <w:t xml:space="preserve">Lineamientos Generales en materia de Clasificación y Desclasificación de la </w:t>
      </w:r>
      <w:r w:rsidRPr="00B55C8E">
        <w:rPr>
          <w:b/>
          <w:i/>
          <w:kern w:val="28"/>
          <w:szCs w:val="56"/>
          <w:lang w:val="es-ES_tradnl"/>
          <w14:ligatures w14:val="standardContextual"/>
        </w:rPr>
        <w:t>Información</w:t>
      </w:r>
    </w:p>
    <w:p w14:paraId="6A8A9103" w14:textId="77777777" w:rsidR="00204C5A" w:rsidRPr="00B55C8E" w:rsidRDefault="00204C5A" w:rsidP="00906179">
      <w:pPr>
        <w:spacing w:line="240" w:lineRule="auto"/>
        <w:ind w:left="567" w:right="567"/>
        <w:contextualSpacing/>
        <w:rPr>
          <w:i/>
          <w:kern w:val="28"/>
          <w:szCs w:val="56"/>
          <w14:ligatures w14:val="standardContextual"/>
        </w:rPr>
      </w:pPr>
    </w:p>
    <w:p w14:paraId="60EA02B2"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Cuarto.</w:t>
      </w:r>
      <w:r w:rsidRPr="00B55C8E">
        <w:rPr>
          <w:i/>
          <w:kern w:val="28"/>
          <w:szCs w:val="56"/>
          <w14:ligatures w14:val="standardContextual"/>
        </w:rPr>
        <w:t xml:space="preserve"> Para clasificar la información como reservada o confidencial, de manera total o parcial, el titular del área del sujeto obligado deberá atender lo dispuesto por el Título Sexto </w:t>
      </w:r>
      <w:r w:rsidRPr="00B55C8E">
        <w:rPr>
          <w:i/>
          <w:kern w:val="28"/>
          <w:szCs w:val="56"/>
          <w14:ligatures w14:val="standardContextual"/>
        </w:rPr>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764201" w14:textId="77777777" w:rsidR="00204C5A" w:rsidRPr="00B55C8E" w:rsidRDefault="00204C5A" w:rsidP="00906179">
      <w:pPr>
        <w:spacing w:line="240" w:lineRule="auto"/>
        <w:ind w:left="567" w:right="567"/>
        <w:contextualSpacing/>
        <w:rPr>
          <w:i/>
          <w:kern w:val="28"/>
          <w:szCs w:val="56"/>
          <w14:ligatures w14:val="standardContextual"/>
        </w:rPr>
      </w:pPr>
      <w:r w:rsidRPr="00B55C8E">
        <w:rPr>
          <w:i/>
          <w:kern w:val="28"/>
          <w:szCs w:val="56"/>
          <w14:ligatures w14:val="standardContextual"/>
        </w:rPr>
        <w:t>Los sujetos obligados deberán aplicar, de manera estricta, las excepciones al derecho de acceso a la información y sólo podrán invocarlas cuando acrediten su procedencia.</w:t>
      </w:r>
    </w:p>
    <w:p w14:paraId="2FCEE3F3" w14:textId="77777777" w:rsidR="00204C5A" w:rsidRPr="00B55C8E" w:rsidRDefault="00204C5A" w:rsidP="00906179"/>
    <w:p w14:paraId="2F0BB4F9"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Quinto.</w:t>
      </w:r>
      <w:r w:rsidRPr="00B55C8E">
        <w:rPr>
          <w:i/>
          <w:kern w:val="28"/>
          <w:szCs w:val="56"/>
          <w14:ligatures w14:val="standardContextua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2A8A2C" w14:textId="77777777" w:rsidR="00204C5A" w:rsidRPr="00B55C8E" w:rsidRDefault="00204C5A" w:rsidP="00906179"/>
    <w:p w14:paraId="4E03B265"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Sexto.</w:t>
      </w:r>
      <w:r w:rsidRPr="00B55C8E">
        <w:rPr>
          <w:i/>
          <w:kern w:val="28"/>
          <w:szCs w:val="56"/>
          <w14:ligatures w14:val="standardContextual"/>
        </w:rPr>
        <w:t xml:space="preserve"> Se deroga.</w:t>
      </w:r>
    </w:p>
    <w:p w14:paraId="7EDFA2A1" w14:textId="77777777" w:rsidR="00204C5A" w:rsidRPr="00B55C8E" w:rsidRDefault="00204C5A" w:rsidP="00906179"/>
    <w:p w14:paraId="646F07CD"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Séptimo.</w:t>
      </w:r>
      <w:r w:rsidRPr="00B55C8E">
        <w:rPr>
          <w:i/>
          <w:kern w:val="28"/>
          <w:szCs w:val="56"/>
          <w14:ligatures w14:val="standardContextual"/>
        </w:rPr>
        <w:t xml:space="preserve"> La clasificación de la información se llevará a cabo en el momento en que:</w:t>
      </w:r>
    </w:p>
    <w:p w14:paraId="128B337E"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I.</w:t>
      </w:r>
      <w:r w:rsidRPr="00B55C8E">
        <w:rPr>
          <w:i/>
          <w:kern w:val="28"/>
          <w:szCs w:val="56"/>
          <w14:ligatures w14:val="standardContextual"/>
        </w:rPr>
        <w:t xml:space="preserve">        Se reciba una solicitud de acceso a la información;</w:t>
      </w:r>
    </w:p>
    <w:p w14:paraId="01433175"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II.</w:t>
      </w:r>
      <w:r w:rsidRPr="00B55C8E">
        <w:rPr>
          <w:i/>
          <w:kern w:val="28"/>
          <w:szCs w:val="56"/>
          <w14:ligatures w14:val="standardContextual"/>
        </w:rPr>
        <w:t xml:space="preserve">       Se determine mediante resolución del Comité de Transparencia, el órgano garante competente, o en cumplimiento a una sentencia del Poder Judicial; o</w:t>
      </w:r>
    </w:p>
    <w:p w14:paraId="09CD1054"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III.</w:t>
      </w:r>
      <w:r w:rsidRPr="00B55C8E">
        <w:rPr>
          <w:i/>
          <w:kern w:val="28"/>
          <w:szCs w:val="56"/>
          <w14:ligatures w14:val="standardContextual"/>
        </w:rPr>
        <w:t xml:space="preserve">      Se generen versiones públicas para dar cumplimiento a las obligaciones de transparencia previstas en la Ley General, la Ley Federal y las correspondientes de las entidades federativas.</w:t>
      </w:r>
    </w:p>
    <w:p w14:paraId="1AF80A2F" w14:textId="77777777" w:rsidR="00204C5A" w:rsidRPr="00B55C8E" w:rsidRDefault="00204C5A" w:rsidP="00906179">
      <w:pPr>
        <w:spacing w:line="240" w:lineRule="auto"/>
        <w:ind w:left="567" w:right="567"/>
        <w:contextualSpacing/>
        <w:rPr>
          <w:i/>
          <w:kern w:val="28"/>
          <w:szCs w:val="56"/>
          <w14:ligatures w14:val="standardContextual"/>
        </w:rPr>
      </w:pPr>
      <w:r w:rsidRPr="00B55C8E">
        <w:rPr>
          <w:i/>
          <w:kern w:val="28"/>
          <w:szCs w:val="56"/>
          <w14:ligatures w14:val="standardContextual"/>
        </w:rPr>
        <w:t xml:space="preserve">Los titulares de las áreas deberán revisar la información requerida al momento de la recepción de una solicitud de acceso, para verificar, conforme a su naturaleza, si encuadra en una causal de reserva o de confidencialidad. </w:t>
      </w:r>
    </w:p>
    <w:p w14:paraId="38AB7DBC" w14:textId="77777777" w:rsidR="00204C5A" w:rsidRPr="00B55C8E" w:rsidRDefault="00204C5A" w:rsidP="00906179"/>
    <w:p w14:paraId="26037086"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Octavo.</w:t>
      </w:r>
      <w:r w:rsidRPr="00B55C8E">
        <w:rPr>
          <w:i/>
          <w:kern w:val="28"/>
          <w:szCs w:val="56"/>
          <w14:ligatures w14:val="standardContextua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0090F4" w14:textId="77777777" w:rsidR="00204C5A" w:rsidRPr="00B55C8E" w:rsidRDefault="00204C5A" w:rsidP="00906179">
      <w:pPr>
        <w:spacing w:line="240" w:lineRule="auto"/>
        <w:ind w:left="567" w:right="567"/>
        <w:contextualSpacing/>
        <w:rPr>
          <w:i/>
          <w:kern w:val="28"/>
          <w:szCs w:val="56"/>
          <w14:ligatures w14:val="standardContextual"/>
        </w:rPr>
      </w:pPr>
      <w:r w:rsidRPr="00B55C8E">
        <w:rPr>
          <w:i/>
          <w:kern w:val="28"/>
          <w:szCs w:val="56"/>
          <w14:ligatures w14:val="standardContextual"/>
        </w:rPr>
        <w:t>Para motivar la clasificación se deberán señalar las razones o circunstancias especiales que lo llevaron a concluir que el caso particular se ajusta al supuesto previsto por la norma legal invocada como fundamento.</w:t>
      </w:r>
    </w:p>
    <w:p w14:paraId="49C5DD65" w14:textId="77777777" w:rsidR="00204C5A" w:rsidRPr="00B55C8E" w:rsidRDefault="00204C5A" w:rsidP="00906179">
      <w:pPr>
        <w:spacing w:line="240" w:lineRule="auto"/>
        <w:ind w:left="567" w:right="567"/>
        <w:contextualSpacing/>
        <w:rPr>
          <w:i/>
          <w:kern w:val="28"/>
          <w:szCs w:val="56"/>
          <w14:ligatures w14:val="standardContextual"/>
        </w:rPr>
      </w:pPr>
      <w:r w:rsidRPr="00B55C8E">
        <w:rPr>
          <w:i/>
          <w:kern w:val="28"/>
          <w:szCs w:val="56"/>
          <w14:ligatures w14:val="standardContextual"/>
        </w:rPr>
        <w:t xml:space="preserve">En caso de referirse a información reservada, la motivación de la clasificación deberá comprender el análisis de la prueba del daño a que hace referencia el artículo 104 de la Ley </w:t>
      </w:r>
      <w:r w:rsidRPr="00B55C8E">
        <w:rPr>
          <w:i/>
          <w:kern w:val="28"/>
          <w:szCs w:val="56"/>
          <w14:ligatures w14:val="standardContextual"/>
        </w:rPr>
        <w:lastRenderedPageBreak/>
        <w:t xml:space="preserve">General, en relación con el artículo trigésimo tercero de los presentes lineamientos, así como las circunstancias que justifican el establecimiento de determinado plazo de reserva. </w:t>
      </w:r>
    </w:p>
    <w:p w14:paraId="46CB562A" w14:textId="77777777" w:rsidR="00204C5A" w:rsidRPr="00B55C8E" w:rsidRDefault="00204C5A" w:rsidP="00906179"/>
    <w:p w14:paraId="01B5675F"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Noveno.</w:t>
      </w:r>
      <w:r w:rsidRPr="00B55C8E">
        <w:rPr>
          <w:i/>
          <w:kern w:val="28"/>
          <w:szCs w:val="56"/>
          <w14:ligatures w14:val="standardContextua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74B6062" w14:textId="77777777" w:rsidR="00204C5A" w:rsidRPr="00B55C8E" w:rsidRDefault="00204C5A" w:rsidP="00906179"/>
    <w:p w14:paraId="11BD6447" w14:textId="77777777" w:rsidR="00204C5A" w:rsidRPr="00B55C8E" w:rsidRDefault="00204C5A" w:rsidP="00906179">
      <w:pPr>
        <w:spacing w:line="240" w:lineRule="auto"/>
        <w:ind w:left="567" w:right="567"/>
        <w:contextualSpacing/>
        <w:rPr>
          <w:i/>
          <w:kern w:val="28"/>
          <w:szCs w:val="56"/>
          <w14:ligatures w14:val="standardContextual"/>
        </w:rPr>
      </w:pPr>
      <w:r w:rsidRPr="00B55C8E">
        <w:rPr>
          <w:b/>
          <w:i/>
          <w:kern w:val="28"/>
          <w:szCs w:val="56"/>
          <w14:ligatures w14:val="standardContextual"/>
        </w:rPr>
        <w:t>Décimo.</w:t>
      </w:r>
      <w:r w:rsidRPr="00B55C8E">
        <w:rPr>
          <w:i/>
          <w:kern w:val="28"/>
          <w:szCs w:val="56"/>
          <w14:ligatures w14:val="standardContextua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9BCA5A7" w14:textId="77777777" w:rsidR="00204C5A" w:rsidRPr="00B55C8E" w:rsidRDefault="00204C5A" w:rsidP="00906179">
      <w:pPr>
        <w:spacing w:line="240" w:lineRule="auto"/>
        <w:ind w:left="567" w:right="567"/>
        <w:contextualSpacing/>
        <w:rPr>
          <w:i/>
          <w:kern w:val="28"/>
          <w:szCs w:val="56"/>
          <w14:ligatures w14:val="standardContextual"/>
        </w:rPr>
      </w:pPr>
      <w:r w:rsidRPr="00B55C8E">
        <w:rPr>
          <w:i/>
          <w:kern w:val="28"/>
          <w:szCs w:val="56"/>
          <w14:ligatures w14:val="standardContextual"/>
        </w:rPr>
        <w:t>En ausencia de los titulares de las áreas, la información será clasificada o desclasificada por la persona que lo supla, en términos de la normativa que rija la actuación del sujeto obligado.</w:t>
      </w:r>
    </w:p>
    <w:p w14:paraId="452BB170" w14:textId="77777777" w:rsidR="00204C5A" w:rsidRPr="00B55C8E" w:rsidRDefault="00204C5A" w:rsidP="00906179">
      <w:pPr>
        <w:spacing w:line="240" w:lineRule="auto"/>
        <w:ind w:left="567" w:right="567"/>
        <w:contextualSpacing/>
        <w:rPr>
          <w:b/>
          <w:i/>
          <w:kern w:val="28"/>
          <w:szCs w:val="56"/>
          <w14:ligatures w14:val="standardContextual"/>
        </w:rPr>
      </w:pPr>
      <w:r w:rsidRPr="00B55C8E">
        <w:rPr>
          <w:b/>
          <w:i/>
          <w:kern w:val="28"/>
          <w:szCs w:val="56"/>
          <w14:ligatures w14:val="standardContextual"/>
        </w:rPr>
        <w:t>Décimo primero.</w:t>
      </w:r>
      <w:r w:rsidRPr="00B55C8E">
        <w:rPr>
          <w:i/>
          <w:kern w:val="28"/>
          <w:szCs w:val="56"/>
          <w14:ligatures w14:val="standardContextua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55C8E">
        <w:rPr>
          <w:b/>
          <w:i/>
          <w:kern w:val="28"/>
          <w:szCs w:val="56"/>
          <w14:ligatures w14:val="standardContextual"/>
        </w:rPr>
        <w:t>”</w:t>
      </w:r>
    </w:p>
    <w:p w14:paraId="3842F140" w14:textId="77777777" w:rsidR="00204C5A" w:rsidRPr="00B55C8E" w:rsidRDefault="00204C5A" w:rsidP="00906179"/>
    <w:p w14:paraId="7B2DFCBD" w14:textId="77777777" w:rsidR="00204C5A" w:rsidRPr="00B55C8E" w:rsidRDefault="00204C5A" w:rsidP="00906179">
      <w:pPr>
        <w:rPr>
          <w:lang w:eastAsia="es-CO"/>
        </w:rPr>
      </w:pPr>
      <w:r w:rsidRPr="00B55C8E">
        <w:t xml:space="preserve">Consecuentemente, se destaca que la versión pública que elabore </w:t>
      </w:r>
      <w:r w:rsidRPr="00B55C8E">
        <w:rPr>
          <w:b/>
        </w:rPr>
        <w:t>EL SUJETO OBLIGADO</w:t>
      </w:r>
      <w:r w:rsidRPr="00B55C8E">
        <w:t xml:space="preserve"> debe cumplir con las formalidades exigidas en la Ley, por lo que para tal efecto emitirá el </w:t>
      </w:r>
      <w:r w:rsidRPr="00B55C8E">
        <w:rPr>
          <w:b/>
        </w:rPr>
        <w:t>Acuerdo del Comité de Transparencia</w:t>
      </w:r>
      <w:r w:rsidRPr="00B55C8E">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55C8E">
        <w:rPr>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B55C8E">
        <w:rPr>
          <w:lang w:eastAsia="es-CO"/>
        </w:rPr>
        <w:lastRenderedPageBreak/>
        <w:t>exponen de manera puntual las razones, se estaría violentando desde un inicio el derecho de acceso a la información del solicitante.</w:t>
      </w:r>
    </w:p>
    <w:p w14:paraId="2E45CC5B" w14:textId="77777777" w:rsidR="00204C5A" w:rsidRPr="00B55C8E" w:rsidRDefault="00204C5A" w:rsidP="00906179"/>
    <w:p w14:paraId="46BD95E7" w14:textId="77777777" w:rsidR="00204C5A" w:rsidRPr="00B55C8E" w:rsidRDefault="00204C5A" w:rsidP="00906179">
      <w:r w:rsidRPr="00B55C8E">
        <w:t>Es importante señalar que, para el caso en concreto, se deben tomar en consideración los siguientes datos que de manera enunciativa más no limitativa se pudieran clasificar como confidenciales:</w:t>
      </w:r>
    </w:p>
    <w:p w14:paraId="722C8666" w14:textId="77777777" w:rsidR="00204C5A" w:rsidRPr="00B55C8E" w:rsidRDefault="00204C5A" w:rsidP="00906179"/>
    <w:p w14:paraId="312CDBD6" w14:textId="77777777" w:rsidR="00204C5A" w:rsidRPr="00B55C8E" w:rsidRDefault="00204C5A" w:rsidP="00906179">
      <w:pPr>
        <w:numPr>
          <w:ilvl w:val="0"/>
          <w:numId w:val="30"/>
        </w:numPr>
        <w:spacing w:after="160" w:line="256" w:lineRule="auto"/>
        <w:jc w:val="left"/>
      </w:pPr>
      <w:r w:rsidRPr="00B55C8E">
        <w:rPr>
          <w:rFonts w:eastAsia="Palatino Linotype" w:cs="Palatino Linotype"/>
          <w:b/>
          <w:szCs w:val="22"/>
        </w:rPr>
        <w:t>Registro Federal de Contribuyentes</w:t>
      </w:r>
      <w:r w:rsidRPr="00B55C8E">
        <w:rPr>
          <w:rFonts w:eastAsia="Palatino Linotype" w:cs="Palatino Linotype"/>
          <w:szCs w:val="22"/>
        </w:rPr>
        <w:t xml:space="preserve"> </w:t>
      </w:r>
      <w:r w:rsidRPr="00B55C8E">
        <w:rPr>
          <w:rFonts w:eastAsia="Palatino Linotype" w:cs="Palatino Linotype"/>
          <w:b/>
          <w:szCs w:val="22"/>
        </w:rPr>
        <w:t>de las personas físicas</w:t>
      </w:r>
    </w:p>
    <w:p w14:paraId="20FA600F" w14:textId="77777777" w:rsidR="00204C5A" w:rsidRPr="00B55C8E" w:rsidRDefault="00204C5A" w:rsidP="00906179">
      <w:pPr>
        <w:ind w:left="720"/>
        <w:rPr>
          <w:rFonts w:eastAsia="Palatino Linotype" w:cs="Palatino Linotype"/>
          <w:szCs w:val="22"/>
        </w:rPr>
      </w:pPr>
    </w:p>
    <w:p w14:paraId="4043E595" w14:textId="77777777" w:rsidR="00204C5A" w:rsidRPr="00B55C8E" w:rsidRDefault="00204C5A" w:rsidP="00906179">
      <w:r w:rsidRPr="00B55C8E">
        <w:t>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07CB5F92" w14:textId="77777777" w:rsidR="00204C5A" w:rsidRPr="00B55C8E" w:rsidRDefault="00204C5A" w:rsidP="00906179"/>
    <w:p w14:paraId="201E20BC" w14:textId="77777777" w:rsidR="00204C5A" w:rsidRPr="00B55C8E" w:rsidRDefault="00204C5A" w:rsidP="00906179">
      <w:pPr>
        <w:rPr>
          <w:b/>
        </w:rPr>
      </w:pPr>
      <w:r w:rsidRPr="00B55C8E">
        <w:t>Al respecto, es aplicable el Criterio 19/17 de la Segunda Época, emitido por el Instituto Nacional de Transparencia, Acceso a la Información y Protección de Datos Personales, que dice:</w:t>
      </w:r>
      <w:r w:rsidRPr="00B55C8E">
        <w:rPr>
          <w:b/>
        </w:rPr>
        <w:t xml:space="preserve"> </w:t>
      </w:r>
    </w:p>
    <w:p w14:paraId="3EDA84B8" w14:textId="77777777" w:rsidR="00204C5A" w:rsidRPr="00B55C8E" w:rsidRDefault="00204C5A" w:rsidP="00906179">
      <w:pPr>
        <w:rPr>
          <w:b/>
        </w:rPr>
      </w:pPr>
    </w:p>
    <w:p w14:paraId="60225810" w14:textId="77777777" w:rsidR="00204C5A" w:rsidRPr="00B55C8E" w:rsidRDefault="00204C5A" w:rsidP="00906179">
      <w:pPr>
        <w:spacing w:line="240" w:lineRule="auto"/>
        <w:ind w:left="567" w:right="567"/>
        <w:contextualSpacing/>
        <w:rPr>
          <w:i/>
          <w:kern w:val="28"/>
          <w:szCs w:val="56"/>
        </w:rPr>
      </w:pPr>
      <w:r w:rsidRPr="00B55C8E">
        <w:rPr>
          <w:i/>
          <w:kern w:val="28"/>
          <w:szCs w:val="56"/>
        </w:rPr>
        <w:t>“</w:t>
      </w:r>
      <w:r w:rsidRPr="00B55C8E">
        <w:rPr>
          <w:b/>
          <w:i/>
          <w:kern w:val="28"/>
          <w:szCs w:val="56"/>
        </w:rPr>
        <w:t>Registro Federal de Contribuyentes (RFC) de personas físicas.</w:t>
      </w:r>
      <w:r w:rsidRPr="00B55C8E">
        <w:rPr>
          <w:i/>
          <w:kern w:val="28"/>
          <w:szCs w:val="56"/>
        </w:rPr>
        <w:t xml:space="preserve"> El RFC es una clave de carácter fiscal, única e irrepetible, que permite identificar al titular, su edad y fecha de nacimiento, por lo que es un dato personal de carácter confidencial.</w:t>
      </w:r>
    </w:p>
    <w:p w14:paraId="20995A1F" w14:textId="77777777" w:rsidR="00204C5A" w:rsidRPr="00B55C8E" w:rsidRDefault="00204C5A" w:rsidP="00906179">
      <w:pPr>
        <w:spacing w:line="240" w:lineRule="auto"/>
        <w:ind w:left="567" w:right="567"/>
        <w:contextualSpacing/>
        <w:rPr>
          <w:i/>
          <w:kern w:val="28"/>
          <w:szCs w:val="56"/>
        </w:rPr>
      </w:pPr>
      <w:r w:rsidRPr="00B55C8E">
        <w:rPr>
          <w:i/>
          <w:kern w:val="28"/>
          <w:szCs w:val="56"/>
        </w:rPr>
        <w:t xml:space="preserve"> (Énfasis añadido)</w:t>
      </w:r>
    </w:p>
    <w:p w14:paraId="362317DA" w14:textId="77777777" w:rsidR="00204C5A" w:rsidRPr="00B55C8E" w:rsidRDefault="00204C5A" w:rsidP="00906179">
      <w:pPr>
        <w:ind w:left="851" w:right="899"/>
      </w:pPr>
    </w:p>
    <w:p w14:paraId="7B56CFB2" w14:textId="77777777" w:rsidR="00204C5A" w:rsidRPr="00B55C8E" w:rsidRDefault="00204C5A" w:rsidP="00906179">
      <w:r w:rsidRPr="00B55C8E">
        <w:lastRenderedPageBreak/>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C6AE722" w14:textId="77777777" w:rsidR="00204C5A" w:rsidRPr="00B55C8E" w:rsidRDefault="00204C5A" w:rsidP="00906179"/>
    <w:p w14:paraId="3C31ECC7" w14:textId="77777777" w:rsidR="00204C5A" w:rsidRPr="00B55C8E" w:rsidRDefault="00204C5A" w:rsidP="00906179">
      <w:pPr>
        <w:numPr>
          <w:ilvl w:val="0"/>
          <w:numId w:val="30"/>
        </w:numPr>
        <w:spacing w:after="160" w:line="256" w:lineRule="auto"/>
        <w:jc w:val="left"/>
        <w:rPr>
          <w:rFonts w:eastAsia="Palatino Linotype" w:cs="Palatino Linotype"/>
          <w:szCs w:val="22"/>
        </w:rPr>
      </w:pPr>
      <w:r w:rsidRPr="00B55C8E">
        <w:rPr>
          <w:rFonts w:eastAsia="Palatino Linotype" w:cs="Palatino Linotype"/>
          <w:b/>
          <w:szCs w:val="22"/>
        </w:rPr>
        <w:t>Clave Única de Registro de Población</w:t>
      </w:r>
    </w:p>
    <w:p w14:paraId="62555792" w14:textId="77777777" w:rsidR="00204C5A" w:rsidRPr="00B55C8E" w:rsidRDefault="00204C5A" w:rsidP="00906179">
      <w:pPr>
        <w:ind w:left="720"/>
        <w:rPr>
          <w:rFonts w:eastAsia="Palatino Linotype" w:cs="Palatino Linotype"/>
          <w:szCs w:val="22"/>
        </w:rPr>
      </w:pPr>
    </w:p>
    <w:p w14:paraId="7F0D6E9A" w14:textId="77777777" w:rsidR="00204C5A" w:rsidRPr="00B55C8E" w:rsidRDefault="00204C5A" w:rsidP="00906179">
      <w:r w:rsidRPr="00B55C8E">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158FFBC" w14:textId="77777777" w:rsidR="00204C5A" w:rsidRPr="00B55C8E" w:rsidRDefault="00204C5A" w:rsidP="00906179"/>
    <w:p w14:paraId="0E579775" w14:textId="77777777" w:rsidR="00204C5A" w:rsidRPr="00B55C8E" w:rsidRDefault="00204C5A" w:rsidP="00906179">
      <w:r w:rsidRPr="00B55C8E">
        <w:t>Lo anterior, tiene sustento en los artículos 86 y 91 de la Ley General de Población, la cual señala lo siguiente:</w:t>
      </w:r>
    </w:p>
    <w:p w14:paraId="515A13E8" w14:textId="77777777" w:rsidR="00204C5A" w:rsidRPr="00B55C8E" w:rsidRDefault="00204C5A" w:rsidP="00906179"/>
    <w:p w14:paraId="07BA9229" w14:textId="77777777" w:rsidR="00204C5A" w:rsidRPr="00B55C8E" w:rsidRDefault="00204C5A" w:rsidP="00906179">
      <w:pPr>
        <w:spacing w:line="240" w:lineRule="auto"/>
        <w:ind w:left="567" w:right="567"/>
        <w:contextualSpacing/>
        <w:rPr>
          <w:i/>
          <w:kern w:val="28"/>
          <w:szCs w:val="56"/>
        </w:rPr>
      </w:pPr>
      <w:r w:rsidRPr="00B55C8E">
        <w:rPr>
          <w:i/>
          <w:kern w:val="28"/>
          <w:szCs w:val="56"/>
        </w:rPr>
        <w:t>“</w:t>
      </w:r>
      <w:r w:rsidRPr="00B55C8E">
        <w:rPr>
          <w:b/>
          <w:i/>
          <w:kern w:val="28"/>
          <w:szCs w:val="56"/>
        </w:rPr>
        <w:t xml:space="preserve">Artículo 86. </w:t>
      </w:r>
      <w:r w:rsidRPr="00B55C8E">
        <w:rPr>
          <w:i/>
          <w:kern w:val="28"/>
          <w:szCs w:val="56"/>
        </w:rPr>
        <w:t>El Registro Nacional de Población tiene como finalidad registrar a cada una de las personas que integran la población del país, con los datos que permitan certificar y acreditar fehacientemente su identidad.</w:t>
      </w:r>
    </w:p>
    <w:p w14:paraId="1B85F16F" w14:textId="77777777" w:rsidR="00204C5A" w:rsidRPr="00B55C8E" w:rsidRDefault="00204C5A" w:rsidP="00906179">
      <w:pPr>
        <w:spacing w:line="240" w:lineRule="auto"/>
        <w:ind w:left="567" w:right="567"/>
        <w:contextualSpacing/>
        <w:rPr>
          <w:i/>
          <w:kern w:val="28"/>
          <w:szCs w:val="56"/>
        </w:rPr>
      </w:pPr>
      <w:r w:rsidRPr="00B55C8E">
        <w:rPr>
          <w:b/>
          <w:i/>
          <w:kern w:val="28"/>
          <w:szCs w:val="56"/>
        </w:rPr>
        <w:t xml:space="preserve">Artículo 91. </w:t>
      </w:r>
      <w:r w:rsidRPr="00B55C8E">
        <w:rPr>
          <w:b/>
          <w:i/>
          <w:kern w:val="28"/>
          <w:szCs w:val="56"/>
          <w:u w:val="single"/>
        </w:rPr>
        <w:t>Al incorporar a una persona en el Registro Nacional de Población</w:t>
      </w:r>
      <w:r w:rsidRPr="00B55C8E">
        <w:rPr>
          <w:i/>
          <w:kern w:val="28"/>
          <w:szCs w:val="56"/>
        </w:rPr>
        <w:t xml:space="preserve">, se le asignará una clave </w:t>
      </w:r>
      <w:r w:rsidRPr="00B55C8E">
        <w:rPr>
          <w:b/>
          <w:i/>
          <w:kern w:val="28"/>
          <w:szCs w:val="56"/>
          <w:u w:val="single"/>
        </w:rPr>
        <w:t>que se denominará Clave Única de Registro de Población</w:t>
      </w:r>
      <w:r w:rsidRPr="00B55C8E">
        <w:rPr>
          <w:i/>
          <w:kern w:val="28"/>
          <w:szCs w:val="56"/>
        </w:rPr>
        <w:t xml:space="preserve">. </w:t>
      </w:r>
      <w:r w:rsidRPr="00B55C8E">
        <w:rPr>
          <w:b/>
          <w:i/>
          <w:kern w:val="28"/>
          <w:szCs w:val="56"/>
          <w:u w:val="single"/>
        </w:rPr>
        <w:t>Esta servirá para</w:t>
      </w:r>
      <w:r w:rsidRPr="00B55C8E">
        <w:rPr>
          <w:i/>
          <w:kern w:val="28"/>
          <w:szCs w:val="56"/>
        </w:rPr>
        <w:t xml:space="preserve"> registrarla e </w:t>
      </w:r>
      <w:r w:rsidRPr="00B55C8E">
        <w:rPr>
          <w:b/>
          <w:i/>
          <w:kern w:val="28"/>
          <w:szCs w:val="56"/>
          <w:u w:val="single"/>
        </w:rPr>
        <w:t>identificarla en forma individual</w:t>
      </w:r>
      <w:r w:rsidRPr="00B55C8E">
        <w:rPr>
          <w:i/>
          <w:kern w:val="28"/>
          <w:szCs w:val="56"/>
        </w:rPr>
        <w:t xml:space="preserve">.” </w:t>
      </w:r>
    </w:p>
    <w:p w14:paraId="7C8BEE30" w14:textId="77777777" w:rsidR="00204C5A" w:rsidRPr="00B55C8E" w:rsidRDefault="00204C5A" w:rsidP="00906179">
      <w:pPr>
        <w:spacing w:line="240" w:lineRule="auto"/>
        <w:ind w:left="567" w:right="567"/>
        <w:contextualSpacing/>
        <w:rPr>
          <w:i/>
          <w:kern w:val="28"/>
          <w:szCs w:val="56"/>
        </w:rPr>
      </w:pPr>
      <w:r w:rsidRPr="00B55C8E">
        <w:rPr>
          <w:i/>
          <w:kern w:val="28"/>
          <w:szCs w:val="56"/>
        </w:rPr>
        <w:t>(Énfasis añadido)</w:t>
      </w:r>
    </w:p>
    <w:p w14:paraId="1F3D907D" w14:textId="77777777" w:rsidR="00204C5A" w:rsidRPr="00B55C8E" w:rsidRDefault="00204C5A" w:rsidP="00906179"/>
    <w:p w14:paraId="17DCD85D" w14:textId="77777777" w:rsidR="00204C5A" w:rsidRPr="00B55C8E" w:rsidRDefault="00204C5A" w:rsidP="00906179">
      <w:r w:rsidRPr="00B55C8E">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w:t>
      </w:r>
      <w:r w:rsidRPr="00B55C8E">
        <w:lastRenderedPageBreak/>
        <w:t xml:space="preserve">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0E65302B" w14:textId="77777777" w:rsidR="00204C5A" w:rsidRPr="00B55C8E" w:rsidRDefault="00204C5A" w:rsidP="00906179"/>
    <w:p w14:paraId="5AF5A6EE" w14:textId="77777777" w:rsidR="00204C5A" w:rsidRPr="00B55C8E" w:rsidRDefault="00204C5A" w:rsidP="00906179">
      <w:r w:rsidRPr="00B55C8E">
        <w:t>Al respecto, el Instituto Nacional de Transparencia, Acceso a la Información y Protección de Datos Personales (INAI), a través del Criterio 18/17 de la Segunda Época, señala literalmente lo siguiente:</w:t>
      </w:r>
    </w:p>
    <w:p w14:paraId="1D11D2FA" w14:textId="77777777" w:rsidR="00204C5A" w:rsidRPr="00B55C8E" w:rsidRDefault="00204C5A" w:rsidP="00906179"/>
    <w:p w14:paraId="4FD7847B" w14:textId="77777777" w:rsidR="00204C5A" w:rsidRPr="00B55C8E" w:rsidRDefault="00204C5A" w:rsidP="00906179">
      <w:pPr>
        <w:spacing w:line="240" w:lineRule="auto"/>
        <w:ind w:left="567" w:right="567"/>
        <w:contextualSpacing/>
        <w:rPr>
          <w:i/>
          <w:kern w:val="28"/>
          <w:szCs w:val="56"/>
        </w:rPr>
      </w:pPr>
      <w:r w:rsidRPr="00B55C8E">
        <w:rPr>
          <w:i/>
          <w:kern w:val="28"/>
          <w:szCs w:val="56"/>
        </w:rPr>
        <w:t>“</w:t>
      </w:r>
      <w:r w:rsidRPr="00B55C8E">
        <w:rPr>
          <w:b/>
          <w:i/>
          <w:kern w:val="28"/>
          <w:szCs w:val="56"/>
        </w:rPr>
        <w:t>Clave Única de Registro de Población (CURP). La Clave Única de Registro de Población</w:t>
      </w:r>
      <w:r w:rsidRPr="00B55C8E">
        <w:rPr>
          <w:i/>
          <w:kern w:val="28"/>
          <w:szCs w:val="56"/>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A023D59" w14:textId="77777777" w:rsidR="00204C5A" w:rsidRPr="00B55C8E" w:rsidRDefault="00204C5A" w:rsidP="00906179">
      <w:pPr>
        <w:spacing w:line="240" w:lineRule="auto"/>
        <w:ind w:left="567" w:right="567"/>
        <w:contextualSpacing/>
        <w:rPr>
          <w:i/>
          <w:kern w:val="28"/>
          <w:szCs w:val="56"/>
        </w:rPr>
      </w:pPr>
      <w:r w:rsidRPr="00B55C8E">
        <w:rPr>
          <w:i/>
          <w:kern w:val="28"/>
          <w:szCs w:val="56"/>
        </w:rPr>
        <w:t xml:space="preserve"> (Énfasis añadido)</w:t>
      </w:r>
    </w:p>
    <w:p w14:paraId="62F850ED" w14:textId="77777777" w:rsidR="00204C5A" w:rsidRPr="00B55C8E" w:rsidRDefault="00204C5A" w:rsidP="00906179">
      <w:pPr>
        <w:ind w:left="851" w:right="902"/>
      </w:pPr>
    </w:p>
    <w:p w14:paraId="6B458CE1" w14:textId="77777777" w:rsidR="00204C5A" w:rsidRPr="00B55C8E" w:rsidRDefault="00204C5A" w:rsidP="00906179">
      <w:r w:rsidRPr="00B55C8E">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63A8C72" w14:textId="77777777" w:rsidR="00204C5A" w:rsidRPr="00B55C8E" w:rsidRDefault="00204C5A" w:rsidP="00906179"/>
    <w:p w14:paraId="6F2AE33A" w14:textId="77777777" w:rsidR="00204C5A" w:rsidRPr="00B55C8E" w:rsidRDefault="00204C5A" w:rsidP="00906179">
      <w:pPr>
        <w:numPr>
          <w:ilvl w:val="0"/>
          <w:numId w:val="30"/>
        </w:numPr>
        <w:spacing w:after="160" w:line="256" w:lineRule="auto"/>
        <w:jc w:val="left"/>
        <w:rPr>
          <w:rFonts w:eastAsia="Palatino Linotype" w:cs="Palatino Linotype"/>
          <w:b/>
          <w:szCs w:val="22"/>
        </w:rPr>
      </w:pPr>
      <w:r w:rsidRPr="00B55C8E">
        <w:rPr>
          <w:rFonts w:eastAsia="Palatino Linotype" w:cs="Palatino Linotype"/>
          <w:b/>
          <w:szCs w:val="22"/>
        </w:rPr>
        <w:t>Clave de cualquier tipo de seguridad social</w:t>
      </w:r>
    </w:p>
    <w:p w14:paraId="5B5C24E6" w14:textId="77777777" w:rsidR="00204C5A" w:rsidRPr="00B55C8E" w:rsidRDefault="00204C5A" w:rsidP="00906179"/>
    <w:p w14:paraId="79007D11" w14:textId="77777777" w:rsidR="00204C5A" w:rsidRPr="00B55C8E" w:rsidRDefault="00204C5A" w:rsidP="00906179">
      <w:r w:rsidRPr="00B55C8E">
        <w:lastRenderedPageBreak/>
        <w:t xml:space="preserve">Por cuanto hace a la </w:t>
      </w:r>
      <w:r w:rsidRPr="00B55C8E">
        <w:rPr>
          <w:b/>
        </w:rPr>
        <w:t>Clave de cualquier tipo de seguridad social</w:t>
      </w:r>
      <w:r w:rsidRPr="00B55C8E">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2CAFC80" w14:textId="77777777" w:rsidR="00204C5A" w:rsidRPr="00B55C8E" w:rsidRDefault="00204C5A" w:rsidP="00906179"/>
    <w:p w14:paraId="60456FC6" w14:textId="77777777" w:rsidR="00204C5A" w:rsidRPr="00B55C8E" w:rsidRDefault="00204C5A" w:rsidP="00906179">
      <w:pPr>
        <w:numPr>
          <w:ilvl w:val="0"/>
          <w:numId w:val="30"/>
        </w:numPr>
        <w:spacing w:after="160" w:line="256" w:lineRule="auto"/>
        <w:jc w:val="left"/>
        <w:rPr>
          <w:rFonts w:eastAsia="Palatino Linotype" w:cs="Palatino Linotype"/>
          <w:b/>
          <w:szCs w:val="22"/>
        </w:rPr>
      </w:pPr>
      <w:r w:rsidRPr="00B55C8E">
        <w:rPr>
          <w:rFonts w:eastAsia="Palatino Linotype" w:cs="Palatino Linotype"/>
          <w:b/>
          <w:szCs w:val="22"/>
        </w:rPr>
        <w:t>Número de cuenta bancaria de los particulares</w:t>
      </w:r>
    </w:p>
    <w:p w14:paraId="62DDDE63" w14:textId="77777777" w:rsidR="00204C5A" w:rsidRPr="00B55C8E" w:rsidRDefault="00204C5A" w:rsidP="00906179">
      <w:pPr>
        <w:ind w:left="720"/>
        <w:rPr>
          <w:rFonts w:eastAsia="Palatino Linotype" w:cs="Palatino Linotype"/>
          <w:b/>
          <w:szCs w:val="22"/>
        </w:rPr>
      </w:pPr>
    </w:p>
    <w:p w14:paraId="74A96589" w14:textId="77777777" w:rsidR="00204C5A" w:rsidRPr="00B55C8E" w:rsidRDefault="00204C5A" w:rsidP="00906179">
      <w:r w:rsidRPr="00B55C8E">
        <w:t>Por otro lado, es importante señalar que 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21A9365A" w14:textId="77777777" w:rsidR="00204C5A" w:rsidRPr="00B55C8E" w:rsidRDefault="00204C5A" w:rsidP="00906179">
      <w:pPr>
        <w:ind w:right="50"/>
      </w:pPr>
    </w:p>
    <w:p w14:paraId="7396DEA7" w14:textId="77777777" w:rsidR="00204C5A" w:rsidRPr="00B55C8E" w:rsidRDefault="00204C5A" w:rsidP="00906179">
      <w:pPr>
        <w:ind w:right="51"/>
      </w:pPr>
      <w:r w:rsidRPr="00B55C8E">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DE8A333" w14:textId="77777777" w:rsidR="00204C5A" w:rsidRPr="00B55C8E" w:rsidRDefault="00204C5A" w:rsidP="00906179">
      <w:pPr>
        <w:ind w:right="51"/>
      </w:pPr>
    </w:p>
    <w:p w14:paraId="60C9E984" w14:textId="77777777" w:rsidR="00204C5A" w:rsidRPr="00B55C8E" w:rsidRDefault="00204C5A" w:rsidP="00906179">
      <w:pPr>
        <w:ind w:right="50"/>
      </w:pPr>
      <w:r w:rsidRPr="00B55C8E">
        <w:lastRenderedPageBreak/>
        <w:t>Lo anterior encuentra sustento en el criterio 10/17 emitido por el Instituto Nacional de Transparencia y Acceso a la Información Pública del Estado de México y Municipios, que a la letra dicen:</w:t>
      </w:r>
    </w:p>
    <w:p w14:paraId="3D104EE3" w14:textId="77777777" w:rsidR="00204C5A" w:rsidRPr="00B55C8E" w:rsidRDefault="00204C5A" w:rsidP="00906179">
      <w:pPr>
        <w:ind w:right="50"/>
      </w:pPr>
    </w:p>
    <w:p w14:paraId="35AF1D74" w14:textId="77777777" w:rsidR="00204C5A" w:rsidRPr="00B55C8E" w:rsidRDefault="00204C5A" w:rsidP="00906179">
      <w:pPr>
        <w:spacing w:line="240" w:lineRule="auto"/>
        <w:ind w:left="567" w:right="567"/>
        <w:contextualSpacing/>
        <w:rPr>
          <w:i/>
          <w:kern w:val="28"/>
          <w:szCs w:val="56"/>
        </w:rPr>
      </w:pPr>
      <w:r w:rsidRPr="00B55C8E">
        <w:rPr>
          <w:b/>
          <w:i/>
          <w:kern w:val="28"/>
          <w:szCs w:val="56"/>
        </w:rPr>
        <w:t>“Cuentas bancarias y/o CLABE interbancaria de personas físicas y morales privadas.</w:t>
      </w:r>
      <w:r w:rsidRPr="00B55C8E">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A09AD74" w14:textId="77777777" w:rsidR="00204C5A" w:rsidRPr="00B55C8E" w:rsidRDefault="00204C5A" w:rsidP="00906179">
      <w:pPr>
        <w:ind w:left="851" w:right="1134"/>
        <w:jc w:val="center"/>
        <w:rPr>
          <w:b/>
          <w:i/>
        </w:rPr>
      </w:pPr>
    </w:p>
    <w:p w14:paraId="00500B78" w14:textId="77777777" w:rsidR="00204C5A" w:rsidRPr="00B55C8E" w:rsidRDefault="00204C5A" w:rsidP="00906179">
      <w:pPr>
        <w:numPr>
          <w:ilvl w:val="0"/>
          <w:numId w:val="30"/>
        </w:numPr>
        <w:spacing w:after="160" w:line="256" w:lineRule="auto"/>
        <w:jc w:val="left"/>
        <w:rPr>
          <w:rFonts w:eastAsia="Palatino Linotype" w:cs="Palatino Linotype"/>
          <w:b/>
          <w:szCs w:val="22"/>
        </w:rPr>
      </w:pPr>
      <w:r w:rsidRPr="00B55C8E">
        <w:rPr>
          <w:rFonts w:eastAsia="Palatino Linotype" w:cs="Palatino Linotype"/>
          <w:b/>
          <w:szCs w:val="22"/>
        </w:rPr>
        <w:t>Número de empleado de servidores públicos o su equivalente</w:t>
      </w:r>
    </w:p>
    <w:p w14:paraId="19D4A348" w14:textId="77777777" w:rsidR="00204C5A" w:rsidRPr="00B55C8E" w:rsidRDefault="00204C5A" w:rsidP="00906179"/>
    <w:p w14:paraId="0D88CCD7" w14:textId="77777777" w:rsidR="00204C5A" w:rsidRPr="00B55C8E" w:rsidRDefault="00204C5A" w:rsidP="00906179">
      <w:r w:rsidRPr="00B55C8E">
        <w:t xml:space="preserve">Por otro lado, es necesario precisar que el </w:t>
      </w:r>
      <w:r w:rsidRPr="00B55C8E">
        <w:rPr>
          <w:b/>
        </w:rPr>
        <w:t>número de empleado de servidores públicos o su equivalente</w:t>
      </w:r>
      <w:r w:rsidRPr="00B55C8E">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5427011E" w14:textId="77777777" w:rsidR="00204C5A" w:rsidRPr="00B55C8E" w:rsidRDefault="00204C5A" w:rsidP="00906179">
      <w:pPr>
        <w:spacing w:before="240" w:after="240"/>
        <w:ind w:right="49"/>
      </w:pPr>
      <w:r w:rsidRPr="00B55C8E">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762C3F4" w14:textId="77777777" w:rsidR="00204C5A" w:rsidRPr="00B55C8E" w:rsidRDefault="00204C5A" w:rsidP="00906179">
      <w:pPr>
        <w:spacing w:before="240" w:after="240"/>
        <w:ind w:right="49"/>
      </w:pPr>
      <w:r w:rsidRPr="00B55C8E">
        <w:lastRenderedPageBreak/>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230454D0" w14:textId="77777777" w:rsidR="00204C5A" w:rsidRPr="00B55C8E" w:rsidRDefault="00204C5A" w:rsidP="00906179">
      <w:pPr>
        <w:spacing w:line="240" w:lineRule="auto"/>
        <w:ind w:left="567" w:right="567"/>
        <w:contextualSpacing/>
        <w:rPr>
          <w:i/>
          <w:kern w:val="28"/>
          <w:szCs w:val="56"/>
        </w:rPr>
      </w:pPr>
      <w:r w:rsidRPr="00B55C8E">
        <w:rPr>
          <w:i/>
          <w:kern w:val="28"/>
          <w:szCs w:val="56"/>
        </w:rPr>
        <w:t>“</w:t>
      </w:r>
      <w:r w:rsidRPr="00B55C8E">
        <w:rPr>
          <w:b/>
          <w:i/>
          <w:kern w:val="28"/>
          <w:szCs w:val="56"/>
        </w:rPr>
        <w:t>Número de empleado.</w:t>
      </w:r>
      <w:r w:rsidRPr="00B55C8E">
        <w:rPr>
          <w:i/>
          <w:kern w:val="28"/>
          <w:szCs w:val="56"/>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78367C10" w14:textId="77777777" w:rsidR="00204C5A" w:rsidRPr="00B55C8E" w:rsidRDefault="00204C5A" w:rsidP="00906179">
      <w:pPr>
        <w:spacing w:line="240" w:lineRule="auto"/>
        <w:ind w:left="567" w:right="567"/>
        <w:contextualSpacing/>
        <w:rPr>
          <w:i/>
          <w:kern w:val="28"/>
          <w:szCs w:val="56"/>
        </w:rPr>
      </w:pPr>
    </w:p>
    <w:p w14:paraId="5D425D1C" w14:textId="77777777" w:rsidR="00204C5A" w:rsidRPr="00B55C8E" w:rsidRDefault="00204C5A" w:rsidP="00906179">
      <w:pPr>
        <w:ind w:right="49"/>
      </w:pPr>
      <w:r w:rsidRPr="00B55C8E">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55FAD935" w14:textId="77777777" w:rsidR="00204C5A" w:rsidRPr="00B55C8E" w:rsidRDefault="00204C5A" w:rsidP="00906179"/>
    <w:p w14:paraId="136B9E86" w14:textId="77777777" w:rsidR="00204C5A" w:rsidRPr="00B55C8E" w:rsidRDefault="00204C5A" w:rsidP="00906179">
      <w:pPr>
        <w:rPr>
          <w:rFonts w:eastAsia="Palatino Linotype" w:cs="Palatino Linotype"/>
        </w:rPr>
      </w:pPr>
      <w:r w:rsidRPr="00B55C8E">
        <w:t>Asimismo, n</w:t>
      </w:r>
      <w:r w:rsidRPr="00B55C8E">
        <w:rPr>
          <w:rFonts w:eastAsia="Palatino Linotype" w:cs="Palatino Linotype"/>
        </w:rPr>
        <w:t xml:space="preserve">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B55C8E">
        <w:rPr>
          <w:rFonts w:eastAsia="Palatino Linotype" w:cs="Palatino Linotype"/>
          <w:b/>
          <w:u w:val="single"/>
        </w:rPr>
        <w:t>reserva de la información</w:t>
      </w:r>
      <w:r w:rsidRPr="00B55C8E">
        <w:rPr>
          <w:rFonts w:eastAsia="Palatino Linotype" w:cs="Palatino Linotype"/>
        </w:rPr>
        <w:t>, para no hacer identificable al titular de tal dato personal.</w:t>
      </w:r>
    </w:p>
    <w:p w14:paraId="22AD2D1C" w14:textId="77777777" w:rsidR="00204C5A" w:rsidRPr="00B55C8E" w:rsidRDefault="00204C5A" w:rsidP="00906179">
      <w:pPr>
        <w:ind w:right="-93"/>
        <w:rPr>
          <w:rFonts w:cs="Arial"/>
        </w:rPr>
      </w:pPr>
    </w:p>
    <w:p w14:paraId="68A84803" w14:textId="77777777" w:rsidR="00204C5A" w:rsidRPr="00B55C8E" w:rsidRDefault="00204C5A" w:rsidP="00906179">
      <w:pPr>
        <w:rPr>
          <w:rFonts w:cs="Arial"/>
        </w:rPr>
      </w:pPr>
      <w:r w:rsidRPr="00B55C8E">
        <w:rPr>
          <w:rFonts w:cs="Arial"/>
        </w:rPr>
        <w:t>Ello, conforme al propio concepto de versión pública contenido en el artículo 3, fracción XXIV, de la multicitada Ley se define como:</w:t>
      </w:r>
    </w:p>
    <w:p w14:paraId="1ADF87D0" w14:textId="77777777" w:rsidR="00204C5A" w:rsidRPr="00B55C8E" w:rsidRDefault="00204C5A" w:rsidP="00906179">
      <w:pPr>
        <w:rPr>
          <w:rFonts w:cs="Arial"/>
        </w:rPr>
      </w:pPr>
    </w:p>
    <w:p w14:paraId="0C69FF8C" w14:textId="77777777" w:rsidR="00204C5A" w:rsidRPr="00B55C8E" w:rsidRDefault="00204C5A" w:rsidP="00906179">
      <w:pPr>
        <w:spacing w:line="240" w:lineRule="auto"/>
        <w:ind w:left="851" w:right="899"/>
        <w:rPr>
          <w:rFonts w:cs="Arial"/>
          <w:i/>
        </w:rPr>
      </w:pPr>
      <w:r w:rsidRPr="00B55C8E">
        <w:rPr>
          <w:rFonts w:cs="Arial"/>
          <w:i/>
        </w:rPr>
        <w:lastRenderedPageBreak/>
        <w:t>“</w:t>
      </w:r>
      <w:r w:rsidRPr="00B55C8E">
        <w:rPr>
          <w:rFonts w:cs="Arial"/>
          <w:b/>
          <w:i/>
        </w:rPr>
        <w:t>XXIV</w:t>
      </w:r>
      <w:r w:rsidRPr="00B55C8E">
        <w:rPr>
          <w:rFonts w:cs="Arial"/>
          <w:i/>
        </w:rPr>
        <w:t xml:space="preserve">. </w:t>
      </w:r>
      <w:r w:rsidRPr="00B55C8E">
        <w:rPr>
          <w:rFonts w:cs="Arial"/>
          <w:b/>
          <w:i/>
        </w:rPr>
        <w:t>Información reservada:</w:t>
      </w:r>
      <w:r w:rsidRPr="00B55C8E">
        <w:rPr>
          <w:rFonts w:cs="Arial"/>
          <w:i/>
        </w:rPr>
        <w:t xml:space="preserve"> La clasificada con este carácter de manera temporal por las disposiciones de esta Ley, cuya divulgación puede causar daño en términos de lo establecido por esta Ley;”</w:t>
      </w:r>
    </w:p>
    <w:p w14:paraId="597D4E30" w14:textId="77777777" w:rsidR="00204C5A" w:rsidRPr="00B55C8E" w:rsidRDefault="00204C5A" w:rsidP="00906179">
      <w:pPr>
        <w:rPr>
          <w:rFonts w:cs="Arial"/>
        </w:rPr>
      </w:pPr>
    </w:p>
    <w:p w14:paraId="372D6759" w14:textId="77777777" w:rsidR="00204C5A" w:rsidRPr="00B55C8E" w:rsidRDefault="00204C5A" w:rsidP="00906179">
      <w:pPr>
        <w:rPr>
          <w:rFonts w:cs="Arial"/>
        </w:rPr>
      </w:pPr>
      <w:r w:rsidRPr="00B55C8E">
        <w:rPr>
          <w:rFonts w:cs="Arial"/>
        </w:rPr>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B55C8E">
        <w:rPr>
          <w:rFonts w:cs="Arial"/>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B55C8E">
        <w:rPr>
          <w:rFonts w:cs="Arial"/>
        </w:rPr>
        <w:t>.</w:t>
      </w:r>
    </w:p>
    <w:p w14:paraId="63E287FD" w14:textId="77777777" w:rsidR="00204C5A" w:rsidRPr="00B55C8E" w:rsidRDefault="00204C5A" w:rsidP="00906179">
      <w:pPr>
        <w:rPr>
          <w:rFonts w:cs="Arial"/>
        </w:rPr>
      </w:pPr>
    </w:p>
    <w:p w14:paraId="0487D9C5" w14:textId="77777777" w:rsidR="00204C5A" w:rsidRPr="00B55C8E" w:rsidRDefault="00204C5A" w:rsidP="00906179">
      <w:pPr>
        <w:rPr>
          <w:rFonts w:cs="Arial"/>
        </w:rPr>
      </w:pPr>
      <w:r w:rsidRPr="00B55C8E">
        <w:rPr>
          <w:rFonts w:cs="Arial"/>
        </w:rPr>
        <w:t xml:space="preserve">Esto es así, ya que el artículo 81, fracción III, de la Ley de Seguridad del Estado de México, establece lo siguiente: </w:t>
      </w:r>
    </w:p>
    <w:p w14:paraId="6AB9FA69" w14:textId="77777777" w:rsidR="00204C5A" w:rsidRPr="00B55C8E" w:rsidRDefault="00204C5A" w:rsidP="00906179">
      <w:pPr>
        <w:rPr>
          <w:rFonts w:cs="Arial"/>
        </w:rPr>
      </w:pPr>
    </w:p>
    <w:p w14:paraId="7BC86F8C" w14:textId="77777777" w:rsidR="00204C5A" w:rsidRPr="00B55C8E" w:rsidRDefault="00204C5A" w:rsidP="00906179">
      <w:pPr>
        <w:spacing w:line="240" w:lineRule="auto"/>
        <w:ind w:left="567" w:right="567"/>
        <w:contextualSpacing/>
        <w:rPr>
          <w:i/>
          <w:kern w:val="28"/>
          <w:szCs w:val="56"/>
        </w:rPr>
      </w:pPr>
      <w:r w:rsidRPr="00B55C8E">
        <w:rPr>
          <w:i/>
          <w:kern w:val="28"/>
          <w:szCs w:val="56"/>
        </w:rPr>
        <w:t>“</w:t>
      </w:r>
      <w:r w:rsidRPr="00B55C8E">
        <w:rPr>
          <w:b/>
          <w:i/>
          <w:kern w:val="28"/>
          <w:szCs w:val="56"/>
        </w:rPr>
        <w:t>Artículo 81.-</w:t>
      </w:r>
      <w:r w:rsidRPr="00B55C8E">
        <w:rPr>
          <w:i/>
          <w:kern w:val="28"/>
          <w:szCs w:val="56"/>
        </w:rPr>
        <w:t xml:space="preserve"> </w:t>
      </w:r>
      <w:r w:rsidRPr="00B55C8E">
        <w:rPr>
          <w:b/>
          <w:i/>
          <w:kern w:val="28"/>
          <w:szCs w:val="56"/>
        </w:rPr>
        <w:t>Toda información para la seguridad pública</w:t>
      </w:r>
      <w:r w:rsidRPr="00B55C8E">
        <w:rPr>
          <w:i/>
          <w:kern w:val="28"/>
          <w:szCs w:val="56"/>
        </w:rPr>
        <w:t xml:space="preserve"> generada o en poder de Instituciones de Seguridad Pública o de cualquier instancia del Sistema Estatal </w:t>
      </w:r>
      <w:r w:rsidRPr="00B55C8E">
        <w:rPr>
          <w:b/>
          <w:i/>
          <w:kern w:val="28"/>
          <w:szCs w:val="56"/>
        </w:rPr>
        <w:t>debe</w:t>
      </w:r>
      <w:r w:rsidRPr="00B55C8E">
        <w:rPr>
          <w:i/>
          <w:kern w:val="28"/>
          <w:szCs w:val="56"/>
        </w:rPr>
        <w:t xml:space="preserve"> registrarse, </w:t>
      </w:r>
      <w:r w:rsidRPr="00B55C8E">
        <w:rPr>
          <w:b/>
          <w:i/>
          <w:kern w:val="28"/>
          <w:szCs w:val="56"/>
        </w:rPr>
        <w:t>clasificarse</w:t>
      </w:r>
      <w:r w:rsidRPr="00B55C8E">
        <w:rPr>
          <w:i/>
          <w:kern w:val="28"/>
          <w:szCs w:val="56"/>
        </w:rPr>
        <w:t xml:space="preserve"> y tratarse de conformidad con las disposiciones aplicables. No obstante lo anterior, esta información se considerará reservada en los casos siguientes:</w:t>
      </w:r>
    </w:p>
    <w:p w14:paraId="536C5328" w14:textId="77777777" w:rsidR="00204C5A" w:rsidRPr="00B55C8E" w:rsidRDefault="00204C5A" w:rsidP="00906179">
      <w:pPr>
        <w:ind w:left="567" w:right="567"/>
        <w:rPr>
          <w:rFonts w:cs="Arial"/>
          <w:i/>
        </w:rPr>
      </w:pPr>
      <w:r w:rsidRPr="00B55C8E">
        <w:rPr>
          <w:rFonts w:cs="Arial"/>
          <w:i/>
        </w:rPr>
        <w:t>(…)</w:t>
      </w:r>
    </w:p>
    <w:p w14:paraId="7DBF04C3" w14:textId="77777777" w:rsidR="00204C5A" w:rsidRPr="00B55C8E" w:rsidRDefault="00204C5A" w:rsidP="00906179">
      <w:pPr>
        <w:spacing w:line="240" w:lineRule="auto"/>
        <w:ind w:left="567" w:right="567"/>
        <w:contextualSpacing/>
        <w:rPr>
          <w:b/>
          <w:i/>
          <w:kern w:val="28"/>
          <w:szCs w:val="56"/>
        </w:rPr>
      </w:pPr>
      <w:r w:rsidRPr="00B55C8E">
        <w:rPr>
          <w:b/>
          <w:i/>
          <w:kern w:val="28"/>
          <w:szCs w:val="56"/>
        </w:rPr>
        <w:t>III</w:t>
      </w:r>
      <w:r w:rsidRPr="00B55C8E">
        <w:rPr>
          <w:i/>
          <w:kern w:val="28"/>
          <w:szCs w:val="56"/>
        </w:rPr>
        <w:t xml:space="preserve">. </w:t>
      </w:r>
      <w:r w:rsidRPr="00B55C8E">
        <w:rPr>
          <w:b/>
          <w:i/>
          <w:kern w:val="28"/>
          <w:szCs w:val="56"/>
        </w:rPr>
        <w:t>La relativa a servidores públicos miembros de las instituciones de seguridad pública, cuya revelación pueda poner en riesgo su vida e integridad física con motivo de sus funciones;”</w:t>
      </w:r>
    </w:p>
    <w:p w14:paraId="2426A7E0" w14:textId="77777777" w:rsidR="00204C5A" w:rsidRPr="00B55C8E" w:rsidRDefault="00204C5A" w:rsidP="00906179">
      <w:pPr>
        <w:rPr>
          <w:rFonts w:cs="Arial"/>
        </w:rPr>
      </w:pPr>
    </w:p>
    <w:p w14:paraId="7A02F9BD" w14:textId="77777777" w:rsidR="00204C5A" w:rsidRPr="00B55C8E" w:rsidRDefault="00204C5A" w:rsidP="00906179">
      <w:pPr>
        <w:rPr>
          <w:rFonts w:cs="Arial"/>
        </w:rPr>
      </w:pPr>
      <w:r w:rsidRPr="00B55C8E">
        <w:rPr>
          <w:rFonts w:cs="Arial"/>
        </w:rPr>
        <w:t xml:space="preserve">Por tanto, </w:t>
      </w:r>
      <w:r w:rsidRPr="00B55C8E">
        <w:rPr>
          <w:rFonts w:cs="Arial"/>
          <w:b/>
        </w:rPr>
        <w:t>EL SUJETO OBLIGADO</w:t>
      </w:r>
      <w:r w:rsidRPr="00B55C8E">
        <w:rPr>
          <w:rFonts w:cs="Arial"/>
        </w:rPr>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w:t>
      </w:r>
      <w:r w:rsidRPr="00B55C8E">
        <w:rPr>
          <w:rFonts w:cs="Arial"/>
        </w:rPr>
        <w:lastRenderedPageBreak/>
        <w:t>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F33BECB" w14:textId="77777777" w:rsidR="00204C5A" w:rsidRPr="00B55C8E" w:rsidRDefault="00204C5A" w:rsidP="00906179">
      <w:pPr>
        <w:rPr>
          <w:rFonts w:cs="Arial"/>
        </w:rPr>
      </w:pPr>
    </w:p>
    <w:p w14:paraId="5F2B6AC1" w14:textId="77777777" w:rsidR="00204C5A" w:rsidRPr="00B55C8E" w:rsidRDefault="00204C5A" w:rsidP="00906179">
      <w:pPr>
        <w:rPr>
          <w:rFonts w:cs="Arial"/>
        </w:rPr>
      </w:pPr>
      <w:r w:rsidRPr="00B55C8E">
        <w:rPr>
          <w:rFonts w:cs="Arial"/>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1FAB555E" w14:textId="77777777" w:rsidR="00204C5A" w:rsidRPr="00B55C8E" w:rsidRDefault="00204C5A" w:rsidP="00906179">
      <w:pPr>
        <w:rPr>
          <w:rFonts w:cs="Arial"/>
        </w:rPr>
      </w:pPr>
    </w:p>
    <w:p w14:paraId="0AF6B62B" w14:textId="77777777" w:rsidR="00204C5A" w:rsidRPr="00B55C8E" w:rsidRDefault="00204C5A" w:rsidP="00906179">
      <w:pPr>
        <w:rPr>
          <w:rFonts w:cs="Arial"/>
        </w:rPr>
      </w:pPr>
      <w:r w:rsidRPr="00B55C8E">
        <w:rPr>
          <w:rFonts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5B739E2" w14:textId="77777777" w:rsidR="00204C5A" w:rsidRPr="00B55C8E" w:rsidRDefault="00204C5A" w:rsidP="00906179">
      <w:pPr>
        <w:rPr>
          <w:rFonts w:cs="Arial"/>
        </w:rPr>
      </w:pPr>
    </w:p>
    <w:p w14:paraId="513457A9" w14:textId="77777777" w:rsidR="00204C5A" w:rsidRPr="00B55C8E" w:rsidRDefault="00204C5A" w:rsidP="00906179">
      <w:pPr>
        <w:rPr>
          <w:b/>
          <w:bCs/>
          <w:lang w:val="es-ES_tradnl"/>
        </w:rPr>
      </w:pPr>
      <w:r w:rsidRPr="00B55C8E">
        <w:rPr>
          <w:rFonts w:cs="Arial"/>
          <w:lang w:val="es-ES_tradnl" w:eastAsia="es-MX"/>
        </w:rPr>
        <w:t xml:space="preserve">Al respecto, </w:t>
      </w:r>
      <w:r w:rsidRPr="00B55C8E">
        <w:rPr>
          <w:rFonts w:cs="Arial"/>
          <w:lang w:val="es-ES_tradnl"/>
        </w:rPr>
        <w:t>es aplicable el Criterio 09/2024 de la Tercera Época, emitido por este Órgano Garante</w:t>
      </w:r>
      <w:r w:rsidRPr="00B55C8E">
        <w:rPr>
          <w:rFonts w:eastAsia="Arial Unicode MS" w:cs="Arial"/>
          <w:lang w:val="es-ES_tradnl"/>
        </w:rPr>
        <w:t>,</w:t>
      </w:r>
      <w:r w:rsidRPr="00B55C8E">
        <w:rPr>
          <w:bCs/>
          <w:lang w:val="es-ES_tradnl"/>
        </w:rPr>
        <w:t xml:space="preserve"> que dice:</w:t>
      </w:r>
      <w:r w:rsidRPr="00B55C8E">
        <w:rPr>
          <w:b/>
          <w:bCs/>
          <w:lang w:val="es-ES_tradnl"/>
        </w:rPr>
        <w:t xml:space="preserve"> </w:t>
      </w:r>
    </w:p>
    <w:p w14:paraId="6013CFF3" w14:textId="77777777" w:rsidR="00204C5A" w:rsidRPr="00B55C8E" w:rsidRDefault="00204C5A" w:rsidP="00906179">
      <w:pPr>
        <w:rPr>
          <w:rFonts w:cs="Arial"/>
          <w:lang w:val="es-ES_tradnl"/>
        </w:rPr>
      </w:pPr>
    </w:p>
    <w:p w14:paraId="731D8A25" w14:textId="77777777" w:rsidR="00204C5A" w:rsidRPr="00B55C8E" w:rsidRDefault="00204C5A" w:rsidP="00906179">
      <w:pPr>
        <w:spacing w:line="240" w:lineRule="auto"/>
        <w:ind w:left="567" w:right="567"/>
        <w:contextualSpacing/>
        <w:rPr>
          <w:i/>
          <w:kern w:val="28"/>
          <w:szCs w:val="56"/>
        </w:rPr>
      </w:pPr>
      <w:r w:rsidRPr="00B55C8E">
        <w:rPr>
          <w:b/>
          <w:i/>
          <w:kern w:val="28"/>
          <w:szCs w:val="56"/>
        </w:rPr>
        <w:t>“NOMBRE DE PERSONAL OPERATIVO DE  SEGURIDAD PÚBLICA. PROCEDE SU CLASIFICACIÓN COMO INFORMACIÓN RESERVADA</w:t>
      </w:r>
      <w:r w:rsidRPr="00B55C8E">
        <w:rPr>
          <w:i/>
          <w:kern w:val="28"/>
          <w:szCs w:val="56"/>
        </w:rPr>
        <w:t>. El nombre del persona</w:t>
      </w:r>
      <w:r w:rsidRPr="00B55C8E">
        <w:rPr>
          <w:kern w:val="28"/>
          <w:szCs w:val="56"/>
        </w:rPr>
        <w:t>l</w:t>
      </w:r>
      <w:r w:rsidRPr="00B55C8E">
        <w:rPr>
          <w:i/>
          <w:kern w:val="28"/>
          <w:szCs w:val="56"/>
        </w:rPr>
        <w:t xml:space="preserve"> operativo de seguridad pública debe clasificarse como información </w:t>
      </w:r>
      <w:r w:rsidRPr="00B55C8E">
        <w:rPr>
          <w:i/>
          <w:kern w:val="28"/>
          <w:szCs w:val="56"/>
        </w:rPr>
        <w:lastRenderedPageBreak/>
        <w:t xml:space="preserve">reservada previa acreditación de la prueba de daño,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administrativo y de mando medio y superior, al no realizar funciones operativas de seguridad pública.” (sic) </w:t>
      </w:r>
    </w:p>
    <w:p w14:paraId="4F49AAB9" w14:textId="77777777" w:rsidR="00204C5A" w:rsidRPr="00B55C8E" w:rsidRDefault="00204C5A" w:rsidP="00906179">
      <w:pPr>
        <w:rPr>
          <w:rFonts w:cs="Arial"/>
        </w:rPr>
      </w:pPr>
    </w:p>
    <w:p w14:paraId="582749A8" w14:textId="77777777" w:rsidR="00204C5A" w:rsidRPr="00B55C8E" w:rsidRDefault="00204C5A" w:rsidP="00906179">
      <w:pPr>
        <w:ind w:right="-93"/>
        <w:rPr>
          <w:rFonts w:cs="Arial"/>
          <w:bCs/>
        </w:rPr>
      </w:pPr>
      <w:r w:rsidRPr="00B55C8E">
        <w:rPr>
          <w:rFonts w:cs="Arial"/>
          <w:bCs/>
        </w:rPr>
        <w:t xml:space="preserve">En ese orden de ideas, si bien por regla general los nombres de los trabajadores gubernamentales son información pública de oficio, existe una excepción relativa a </w:t>
      </w:r>
      <w:r w:rsidRPr="00B55C8E">
        <w:rPr>
          <w:rFonts w:cs="Arial"/>
          <w:b/>
          <w:bCs/>
        </w:rPr>
        <w:t>aquellos que realicen actividades operativas en materia de seguridad,</w:t>
      </w:r>
      <w:r w:rsidRPr="00B55C8E">
        <w:rPr>
          <w:rFonts w:cs="Arial"/>
          <w:bCs/>
        </w:rPr>
        <w:t xml:space="preserve"> como es el caso de los elementos operativos y la policía municipal.</w:t>
      </w:r>
    </w:p>
    <w:p w14:paraId="764192B0" w14:textId="77777777" w:rsidR="00204C5A" w:rsidRPr="00B55C8E" w:rsidRDefault="00204C5A" w:rsidP="00906179">
      <w:pPr>
        <w:ind w:right="-93"/>
        <w:rPr>
          <w:rFonts w:cs="Arial"/>
          <w:bCs/>
        </w:rPr>
      </w:pPr>
    </w:p>
    <w:p w14:paraId="4CA54FEA" w14:textId="77777777" w:rsidR="00204C5A" w:rsidRPr="00B55C8E" w:rsidRDefault="00204C5A" w:rsidP="00906179">
      <w:pPr>
        <w:ind w:right="-93"/>
        <w:rPr>
          <w:rFonts w:cs="Arial"/>
          <w:bCs/>
        </w:rPr>
      </w:pPr>
      <w:r w:rsidRPr="00B55C8E">
        <w:rPr>
          <w:rFonts w:cs="Arial"/>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CF7A616" w14:textId="77777777" w:rsidR="00204C5A" w:rsidRPr="00B55C8E" w:rsidRDefault="00204C5A" w:rsidP="00906179">
      <w:pPr>
        <w:ind w:right="-93"/>
        <w:rPr>
          <w:rFonts w:cs="Arial"/>
          <w:bCs/>
        </w:rPr>
      </w:pPr>
    </w:p>
    <w:p w14:paraId="43AB9147" w14:textId="77777777" w:rsidR="00204C5A" w:rsidRPr="00B55C8E" w:rsidRDefault="00204C5A" w:rsidP="00906179">
      <w:pPr>
        <w:ind w:right="-93"/>
        <w:rPr>
          <w:rFonts w:cs="Arial"/>
          <w:bCs/>
        </w:rPr>
      </w:pPr>
      <w:r w:rsidRPr="00B55C8E">
        <w:rPr>
          <w:rFonts w:cs="Arial"/>
          <w:bCs/>
        </w:rPr>
        <w:t>En ese contexto, el artículo 6, fracciones XI y XII de dicho ordenamiento jurídico, establece los siguientes conceptos:</w:t>
      </w:r>
    </w:p>
    <w:p w14:paraId="27F1313A" w14:textId="77777777" w:rsidR="00204C5A" w:rsidRPr="00B55C8E" w:rsidRDefault="00204C5A" w:rsidP="00906179">
      <w:pPr>
        <w:ind w:right="-93"/>
        <w:rPr>
          <w:rFonts w:cs="Arial"/>
          <w:bCs/>
        </w:rPr>
      </w:pPr>
    </w:p>
    <w:p w14:paraId="6AFA4F24" w14:textId="77777777" w:rsidR="00204C5A" w:rsidRPr="00B55C8E" w:rsidRDefault="00204C5A" w:rsidP="00906179">
      <w:pPr>
        <w:numPr>
          <w:ilvl w:val="0"/>
          <w:numId w:val="31"/>
        </w:numPr>
        <w:spacing w:after="160" w:line="278" w:lineRule="auto"/>
        <w:ind w:right="-93"/>
        <w:jc w:val="left"/>
        <w:rPr>
          <w:rFonts w:cs="Arial"/>
          <w:b/>
          <w:bCs/>
        </w:rPr>
      </w:pPr>
      <w:r w:rsidRPr="00B55C8E">
        <w:rPr>
          <w:rFonts w:cs="Arial"/>
          <w:b/>
          <w:bCs/>
        </w:rPr>
        <w:t xml:space="preserve">Instituciones Policiales: </w:t>
      </w:r>
      <w:r w:rsidRPr="00B55C8E">
        <w:rPr>
          <w:rFonts w:cs="Arial"/>
          <w:bCs/>
        </w:rPr>
        <w:t xml:space="preserve">Son los cuerpos de policía, de vigilancia y custodia de los establecimientos penitenciarios, detención preventiva, centros de arraigo y en general, </w:t>
      </w:r>
      <w:r w:rsidRPr="00B55C8E">
        <w:rPr>
          <w:rFonts w:cs="Arial"/>
          <w:b/>
          <w:bCs/>
        </w:rPr>
        <w:t>todas las dependencias encargadas de la seguridad pública a nivel</w:t>
      </w:r>
      <w:r w:rsidRPr="00B55C8E">
        <w:rPr>
          <w:rFonts w:cs="Arial"/>
          <w:bCs/>
        </w:rPr>
        <w:t xml:space="preserve"> estatal y </w:t>
      </w:r>
      <w:r w:rsidRPr="00B55C8E">
        <w:rPr>
          <w:rFonts w:cs="Arial"/>
          <w:b/>
          <w:bCs/>
        </w:rPr>
        <w:t>municipal.</w:t>
      </w:r>
    </w:p>
    <w:p w14:paraId="1FBB0673" w14:textId="77777777" w:rsidR="00204C5A" w:rsidRPr="00B55C8E" w:rsidRDefault="00204C5A" w:rsidP="00906179">
      <w:pPr>
        <w:numPr>
          <w:ilvl w:val="0"/>
          <w:numId w:val="31"/>
        </w:numPr>
        <w:spacing w:after="160" w:line="278" w:lineRule="auto"/>
        <w:ind w:right="-93"/>
        <w:jc w:val="left"/>
        <w:rPr>
          <w:rFonts w:cs="Arial"/>
          <w:b/>
          <w:bCs/>
        </w:rPr>
      </w:pPr>
      <w:r w:rsidRPr="00B55C8E">
        <w:rPr>
          <w:rFonts w:cs="Arial"/>
          <w:b/>
          <w:bCs/>
        </w:rPr>
        <w:t xml:space="preserve">Instituciones de Seguridad Pública: </w:t>
      </w:r>
      <w:r w:rsidRPr="00B55C8E">
        <w:rPr>
          <w:rFonts w:cs="Arial"/>
          <w:bCs/>
        </w:rPr>
        <w:t xml:space="preserve">Instituciones Policiales, Procuración de Justicia, Sistema Penitenciario y </w:t>
      </w:r>
      <w:r w:rsidRPr="00B55C8E">
        <w:rPr>
          <w:rFonts w:cs="Arial"/>
          <w:b/>
          <w:bCs/>
        </w:rPr>
        <w:t xml:space="preserve">dependencias encargadas de la seguridad pública a nivel </w:t>
      </w:r>
      <w:r w:rsidRPr="00B55C8E">
        <w:rPr>
          <w:rFonts w:cs="Arial"/>
          <w:bCs/>
        </w:rPr>
        <w:t xml:space="preserve">estatal y </w:t>
      </w:r>
      <w:r w:rsidRPr="00B55C8E">
        <w:rPr>
          <w:rFonts w:cs="Arial"/>
          <w:b/>
          <w:bCs/>
        </w:rPr>
        <w:t>municipal.</w:t>
      </w:r>
    </w:p>
    <w:p w14:paraId="64F332AE" w14:textId="77777777" w:rsidR="00204C5A" w:rsidRPr="00B55C8E" w:rsidRDefault="00204C5A" w:rsidP="00906179">
      <w:pPr>
        <w:ind w:right="-93"/>
        <w:rPr>
          <w:rFonts w:cs="Arial"/>
          <w:b/>
          <w:bCs/>
        </w:rPr>
      </w:pPr>
    </w:p>
    <w:p w14:paraId="60EC334C" w14:textId="77777777" w:rsidR="00204C5A" w:rsidRPr="00B55C8E" w:rsidRDefault="00204C5A" w:rsidP="00906179">
      <w:pPr>
        <w:ind w:right="-93"/>
        <w:rPr>
          <w:rFonts w:cs="Arial"/>
          <w:bCs/>
        </w:rPr>
      </w:pPr>
      <w:r w:rsidRPr="00B55C8E">
        <w:rPr>
          <w:rFonts w:cs="Arial"/>
          <w:iCs/>
          <w:lang w:val="es-ES"/>
        </w:rPr>
        <w:t>Conforme a lo anterior</w:t>
      </w:r>
      <w:r w:rsidRPr="00B55C8E">
        <w:rPr>
          <w:rFonts w:cs="Arial"/>
          <w:bCs/>
        </w:rPr>
        <w:t xml:space="preserve">, se puede deducir que el área </w:t>
      </w:r>
      <w:r w:rsidRPr="00B55C8E">
        <w:rPr>
          <w:rFonts w:cs="Arial"/>
          <w:bCs/>
          <w:lang w:val="es-ES_tradnl"/>
        </w:rPr>
        <w:t>Seguridad Pública</w:t>
      </w:r>
      <w:r w:rsidRPr="00B55C8E">
        <w:rPr>
          <w:rFonts w:cs="Arial"/>
          <w:bCs/>
        </w:rPr>
        <w:t xml:space="preserve"> tiene como atribución principal, la prevención de delitos </w:t>
      </w:r>
      <w:r w:rsidRPr="00B55C8E">
        <w:rPr>
          <w:rFonts w:cs="Arial"/>
        </w:rPr>
        <w:t>y proteger a las personas, sus propiedades, posesiones y derechos</w:t>
      </w:r>
    </w:p>
    <w:p w14:paraId="6078CEA3" w14:textId="77777777" w:rsidR="00204C5A" w:rsidRPr="00B55C8E" w:rsidRDefault="00204C5A" w:rsidP="00906179">
      <w:pPr>
        <w:ind w:right="-93"/>
        <w:rPr>
          <w:rFonts w:cs="Arial"/>
          <w:bCs/>
          <w:lang w:val="es-ES"/>
        </w:rPr>
      </w:pPr>
    </w:p>
    <w:p w14:paraId="159C2FDD" w14:textId="77777777" w:rsidR="00204C5A" w:rsidRPr="00B55C8E" w:rsidRDefault="00204C5A" w:rsidP="00906179">
      <w:pPr>
        <w:ind w:right="-93"/>
        <w:rPr>
          <w:rFonts w:cs="Arial"/>
          <w:bCs/>
        </w:rPr>
      </w:pPr>
      <w:r w:rsidRPr="00B55C8E">
        <w:rPr>
          <w:rFonts w:cs="Arial"/>
          <w:bCs/>
          <w:lang w:val="es-ES"/>
        </w:rPr>
        <w:t xml:space="preserve">Además, </w:t>
      </w:r>
      <w:r w:rsidRPr="00B55C8E">
        <w:rPr>
          <w:rFonts w:cs="Arial"/>
          <w:bCs/>
        </w:rPr>
        <w:t xml:space="preserve">el Instructivo de llenado del Formato “Personal de Seguridad Pública”, del Secretariado Ejecutivo del Sistema Nacional de Seguridad Pública (consultado el veinticinco de abril de dos mil veintidós, a las dieciséis horas, en la liga electrónica </w:t>
      </w:r>
      <w:hyperlink r:id="rId18" w:history="1">
        <w:r w:rsidRPr="00B55C8E">
          <w:rPr>
            <w:rFonts w:cs="Arial"/>
            <w:bCs/>
            <w:u w:val="single"/>
          </w:rPr>
          <w:t>http://secretariadoejecutivo.gob.mx/work/models/SecretariadoEjecutivo/Resource/328/1/images/instructivo_final_edo_fuerza(1).pdf</w:t>
        </w:r>
      </w:hyperlink>
      <w:r w:rsidRPr="00B55C8E">
        <w:rPr>
          <w:rFonts w:cs="Arial"/>
          <w:bCs/>
        </w:rPr>
        <w:t xml:space="preserve">), establece que los elementos operativos de seguridad pública, son aquellos que desempeñan funciones de campo (policiacas, especializadas o equivalentes y que no </w:t>
      </w:r>
      <w:r w:rsidRPr="00B55C8E">
        <w:rPr>
          <w:rFonts w:cs="Arial"/>
          <w:b/>
          <w:bCs/>
        </w:rPr>
        <w:t>desempeña funciones de mando</w:t>
      </w:r>
      <w:r w:rsidRPr="00B55C8E">
        <w:rPr>
          <w:rFonts w:cs="Arial"/>
          <w:bCs/>
        </w:rPr>
        <w:t xml:space="preserve">), entre los cuales, se encuentra </w:t>
      </w:r>
      <w:r w:rsidRPr="00B55C8E">
        <w:rPr>
          <w:rFonts w:cs="Arial"/>
          <w:b/>
          <w:bCs/>
        </w:rPr>
        <w:t>la Policía Municipal</w:t>
      </w:r>
      <w:r w:rsidRPr="00B55C8E">
        <w:rPr>
          <w:rFonts w:cs="Arial"/>
          <w:bCs/>
        </w:rPr>
        <w:t>.</w:t>
      </w:r>
    </w:p>
    <w:p w14:paraId="23E4F34D" w14:textId="77777777" w:rsidR="00204C5A" w:rsidRPr="00B55C8E" w:rsidRDefault="00204C5A" w:rsidP="00906179">
      <w:pPr>
        <w:ind w:right="-93"/>
        <w:rPr>
          <w:rFonts w:cs="Arial"/>
          <w:bCs/>
        </w:rPr>
      </w:pPr>
    </w:p>
    <w:p w14:paraId="2156856D" w14:textId="77777777" w:rsidR="00204C5A" w:rsidRPr="00B55C8E" w:rsidRDefault="00204C5A" w:rsidP="00906179">
      <w:pPr>
        <w:ind w:right="-93"/>
        <w:rPr>
          <w:rFonts w:cs="Arial"/>
          <w:bCs/>
        </w:rPr>
      </w:pPr>
      <w:r w:rsidRPr="00B55C8E">
        <w:rPr>
          <w:rFonts w:cs="Arial"/>
          <w:bC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0F495FC5" w14:textId="77777777" w:rsidR="00204C5A" w:rsidRPr="00B55C8E" w:rsidRDefault="00204C5A" w:rsidP="00906179">
      <w:pPr>
        <w:ind w:right="-93"/>
        <w:rPr>
          <w:rFonts w:cs="Arial"/>
        </w:rPr>
      </w:pPr>
    </w:p>
    <w:p w14:paraId="0CEBD2C0" w14:textId="77777777" w:rsidR="00204C5A" w:rsidRPr="00B55C8E" w:rsidRDefault="00204C5A" w:rsidP="00906179">
      <w:pPr>
        <w:ind w:right="-93"/>
        <w:rPr>
          <w:rFonts w:cs="Arial"/>
          <w:bCs/>
        </w:rPr>
      </w:pPr>
      <w:r w:rsidRPr="00B55C8E">
        <w:rPr>
          <w:rFonts w:cs="Arial"/>
          <w:bC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w:t>
      </w:r>
      <w:r w:rsidRPr="00B55C8E">
        <w:rPr>
          <w:rFonts w:cs="Arial"/>
          <w:bCs/>
        </w:rPr>
        <w:lastRenderedPageBreak/>
        <w:t>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14299DF" w14:textId="77777777" w:rsidR="00BD67FB" w:rsidRPr="00B55C8E" w:rsidRDefault="00BD67FB" w:rsidP="00906179">
      <w:pPr>
        <w:rPr>
          <w:rFonts w:eastAsia="Calibri" w:cs="Tahoma"/>
          <w:b/>
          <w:bCs/>
          <w:szCs w:val="22"/>
        </w:rPr>
      </w:pPr>
    </w:p>
    <w:p w14:paraId="1315D668" w14:textId="34A94343" w:rsidR="00BD67FB" w:rsidRPr="00B55C8E" w:rsidRDefault="00906179" w:rsidP="00906179">
      <w:pPr>
        <w:pStyle w:val="Ttulo3"/>
      </w:pPr>
      <w:bookmarkStart w:id="47" w:name="_Toc170932829"/>
      <w:bookmarkStart w:id="48" w:name="_Toc211447492"/>
      <w:r w:rsidRPr="00B55C8E">
        <w:t>e</w:t>
      </w:r>
      <w:r w:rsidR="00BD67FB" w:rsidRPr="00B55C8E">
        <w:t>) Conclusión</w:t>
      </w:r>
      <w:bookmarkEnd w:id="47"/>
      <w:bookmarkEnd w:id="48"/>
    </w:p>
    <w:p w14:paraId="47CF17D1" w14:textId="620FD40A" w:rsidR="00BD67FB" w:rsidRPr="00B55C8E" w:rsidRDefault="000E3AC8" w:rsidP="00906179">
      <w:pPr>
        <w:widowControl w:val="0"/>
        <w:tabs>
          <w:tab w:val="left" w:pos="1701"/>
          <w:tab w:val="left" w:pos="1843"/>
        </w:tabs>
        <w:rPr>
          <w:rFonts w:eastAsia="Palatino Linotype" w:cs="Palatino Linotype"/>
        </w:rPr>
      </w:pPr>
      <w:r w:rsidRPr="00B55C8E">
        <w:rPr>
          <w:rFonts w:eastAsia="Palatino Linotype" w:cs="Palatino Linotype"/>
        </w:rPr>
        <w:t>Debido a</w:t>
      </w:r>
      <w:r w:rsidR="00BD67FB" w:rsidRPr="00B55C8E">
        <w:rPr>
          <w:rFonts w:eastAsia="Palatino Linotype" w:cs="Palatino Linotype"/>
        </w:rPr>
        <w:t xml:space="preserve"> lo anteriormente expuesto, este Instituto estima que las razones o motivos de inconformidad hechos valer por </w:t>
      </w:r>
      <w:r w:rsidR="00BD67FB" w:rsidRPr="00B55C8E">
        <w:rPr>
          <w:rFonts w:eastAsia="Aptos" w:cs="Tahoma"/>
          <w:b/>
          <w:iCs/>
          <w:szCs w:val="22"/>
          <w:lang w:eastAsia="en-US"/>
        </w:rPr>
        <w:t>LA PARTE RECURRENTE</w:t>
      </w:r>
      <w:r w:rsidR="00BD67FB" w:rsidRPr="00B55C8E">
        <w:rPr>
          <w:rFonts w:eastAsia="Aptos" w:cs="Tahoma"/>
          <w:bCs/>
          <w:iCs/>
          <w:szCs w:val="22"/>
          <w:lang w:eastAsia="en-US"/>
        </w:rPr>
        <w:t xml:space="preserve"> </w:t>
      </w:r>
      <w:r w:rsidR="00BD67FB" w:rsidRPr="00B55C8E">
        <w:rPr>
          <w:rFonts w:eastAsia="Palatino Linotype" w:cs="Palatino Linotype"/>
        </w:rPr>
        <w:t xml:space="preserve">devienen </w:t>
      </w:r>
      <w:r w:rsidR="00BD67FB" w:rsidRPr="00B55C8E">
        <w:rPr>
          <w:rFonts w:eastAsia="Palatino Linotype" w:cs="Palatino Linotype"/>
          <w:b/>
        </w:rPr>
        <w:t>fundadas</w:t>
      </w:r>
      <w:r w:rsidR="00BD67FB" w:rsidRPr="00B55C8E">
        <w:rPr>
          <w:rFonts w:eastAsia="Palatino Linotype" w:cs="Palatino Linotype"/>
        </w:rPr>
        <w:t xml:space="preserve"> y suficientes para </w:t>
      </w:r>
      <w:r w:rsidR="00BD67FB" w:rsidRPr="00B55C8E">
        <w:rPr>
          <w:rFonts w:eastAsia="Palatino Linotype" w:cs="Palatino Linotype"/>
          <w:b/>
        </w:rPr>
        <w:t>REVOCAR</w:t>
      </w:r>
      <w:r w:rsidR="00BD67FB" w:rsidRPr="00B55C8E">
        <w:rPr>
          <w:rFonts w:eastAsia="Palatino Linotype" w:cs="Palatino Linotype"/>
        </w:rPr>
        <w:t xml:space="preserve"> la respuesta del </w:t>
      </w:r>
      <w:r w:rsidR="00BD67FB" w:rsidRPr="00B55C8E">
        <w:rPr>
          <w:rFonts w:eastAsia="Palatino Linotype" w:cs="Palatino Linotype"/>
          <w:b/>
        </w:rPr>
        <w:t>SUJETO OBLIGADO</w:t>
      </w:r>
      <w:r w:rsidR="00BD67FB" w:rsidRPr="00B55C8E">
        <w:rPr>
          <w:rFonts w:eastAsia="Palatino Linotype" w:cs="Palatino Linotype"/>
        </w:rPr>
        <w:t xml:space="preserve"> y ordenarle haga entrega de la información descrita en el presente Considerando.</w:t>
      </w:r>
    </w:p>
    <w:p w14:paraId="1A7E2143" w14:textId="77777777" w:rsidR="00BD67FB" w:rsidRPr="00B55C8E" w:rsidRDefault="00BD67FB" w:rsidP="00906179">
      <w:pPr>
        <w:rPr>
          <w:rFonts w:cs="Tahoma"/>
          <w:szCs w:val="24"/>
        </w:rPr>
      </w:pPr>
    </w:p>
    <w:bookmarkEnd w:id="40"/>
    <w:p w14:paraId="739B142F" w14:textId="6734598E" w:rsidR="00906179" w:rsidRPr="00B55C8E" w:rsidRDefault="002207C2" w:rsidP="00477105">
      <w:pPr>
        <w:ind w:right="-93"/>
        <w:rPr>
          <w:rFonts w:cs="Tahoma"/>
          <w:bCs/>
          <w:szCs w:val="22"/>
        </w:rPr>
      </w:pPr>
      <w:r w:rsidRPr="00B55C8E">
        <w:rPr>
          <w:rFonts w:cs="Tahoma"/>
          <w:bCs/>
          <w:szCs w:val="22"/>
        </w:rPr>
        <w:t xml:space="preserve">Así, con fundamento en lo establecido en los artículos 5, </w:t>
      </w:r>
      <w:r w:rsidR="00674AB3" w:rsidRPr="00B55C8E">
        <w:rPr>
          <w:rFonts w:cs="Tahoma"/>
          <w:bCs/>
          <w:szCs w:val="22"/>
        </w:rPr>
        <w:t xml:space="preserve">párrafos trigésimo noveno, cuadragésimo y cuadragésimo primero, fracciones IV y V, </w:t>
      </w:r>
      <w:r w:rsidRPr="00B55C8E">
        <w:rPr>
          <w:rFonts w:cs="Tahoma"/>
          <w:bCs/>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CFB7C7A" w14:textId="77777777" w:rsidR="00477105" w:rsidRPr="00B55C8E" w:rsidRDefault="00477105" w:rsidP="00477105">
      <w:pPr>
        <w:ind w:right="-93"/>
        <w:rPr>
          <w:rFonts w:cs="Tahoma"/>
          <w:bCs/>
          <w:szCs w:val="22"/>
        </w:rPr>
      </w:pPr>
    </w:p>
    <w:p w14:paraId="57CE45DD" w14:textId="77777777" w:rsidR="002207C2" w:rsidRPr="00B55C8E" w:rsidRDefault="002207C2" w:rsidP="00906179">
      <w:pPr>
        <w:pStyle w:val="Ttulo1"/>
      </w:pPr>
      <w:bookmarkStart w:id="49" w:name="_Toc204205573"/>
      <w:bookmarkStart w:id="50" w:name="_Toc211447493"/>
      <w:r w:rsidRPr="00B55C8E">
        <w:t>RESUELVE</w:t>
      </w:r>
      <w:bookmarkEnd w:id="49"/>
      <w:bookmarkEnd w:id="50"/>
    </w:p>
    <w:p w14:paraId="1F5B1D35" w14:textId="77777777" w:rsidR="002207C2" w:rsidRPr="00B55C8E" w:rsidRDefault="002207C2" w:rsidP="00906179">
      <w:pPr>
        <w:ind w:right="113"/>
        <w:rPr>
          <w:rFonts w:cs="Arial"/>
          <w:b/>
          <w:szCs w:val="22"/>
        </w:rPr>
      </w:pPr>
    </w:p>
    <w:p w14:paraId="057C3FA4" w14:textId="0983630D" w:rsidR="002207C2" w:rsidRPr="00B55C8E" w:rsidRDefault="002207C2" w:rsidP="00906179">
      <w:pPr>
        <w:widowControl w:val="0"/>
        <w:rPr>
          <w:rFonts w:eastAsia="Calibri" w:cs="Tahoma"/>
          <w:bCs/>
          <w:szCs w:val="22"/>
          <w:lang w:eastAsia="en-US"/>
        </w:rPr>
      </w:pPr>
      <w:r w:rsidRPr="00B55C8E">
        <w:rPr>
          <w:b/>
          <w:bCs/>
        </w:rPr>
        <w:t>PRIMERO.</w:t>
      </w:r>
      <w:r w:rsidRPr="00B55C8E">
        <w:t xml:space="preserve"> </w:t>
      </w:r>
      <w:r w:rsidRPr="00B55C8E">
        <w:rPr>
          <w:rFonts w:cs="Tahoma"/>
          <w:szCs w:val="22"/>
        </w:rPr>
        <w:t xml:space="preserve">Se </w:t>
      </w:r>
      <w:r w:rsidRPr="00B55C8E">
        <w:rPr>
          <w:rFonts w:cs="Tahoma"/>
          <w:b/>
          <w:bCs/>
          <w:szCs w:val="22"/>
        </w:rPr>
        <w:t>REVOCA</w:t>
      </w:r>
      <w:r w:rsidRPr="00B55C8E">
        <w:rPr>
          <w:rFonts w:cs="Tahoma"/>
          <w:szCs w:val="22"/>
        </w:rPr>
        <w:t xml:space="preserve"> la respuesta entregada por el </w:t>
      </w:r>
      <w:r w:rsidRPr="00B55C8E">
        <w:rPr>
          <w:rFonts w:cs="Tahoma"/>
          <w:b/>
          <w:bCs/>
          <w:szCs w:val="22"/>
        </w:rPr>
        <w:t>SUJETO OBLIGADO</w:t>
      </w:r>
      <w:r w:rsidRPr="00B55C8E">
        <w:rPr>
          <w:rFonts w:cs="Tahoma"/>
          <w:szCs w:val="22"/>
        </w:rPr>
        <w:t xml:space="preserve"> en la solicitud de información </w:t>
      </w:r>
      <w:r w:rsidR="00204C5A" w:rsidRPr="00B55C8E">
        <w:rPr>
          <w:rFonts w:eastAsia="Calibri"/>
          <w:b/>
          <w:lang w:eastAsia="en-US"/>
        </w:rPr>
        <w:t>00389/ALMOJU/IP/2025</w:t>
      </w:r>
      <w:r w:rsidRPr="00B55C8E">
        <w:rPr>
          <w:rFonts w:eastAsia="Palatino Linotype"/>
          <w:b/>
          <w:szCs w:val="22"/>
        </w:rPr>
        <w:t>,</w:t>
      </w:r>
      <w:r w:rsidRPr="00B55C8E">
        <w:rPr>
          <w:rFonts w:cs="Tahoma"/>
          <w:bCs/>
          <w:szCs w:val="22"/>
        </w:rPr>
        <w:t xml:space="preserve"> </w:t>
      </w:r>
      <w:r w:rsidRPr="00B55C8E">
        <w:rPr>
          <w:rFonts w:eastAsia="Calibri" w:cs="Tahoma"/>
          <w:bCs/>
          <w:szCs w:val="22"/>
          <w:lang w:eastAsia="en-US"/>
        </w:rPr>
        <w:t xml:space="preserve">por resultar </w:t>
      </w:r>
      <w:r w:rsidRPr="00B55C8E">
        <w:rPr>
          <w:rFonts w:eastAsia="Calibri" w:cs="Tahoma"/>
          <w:b/>
          <w:bCs/>
          <w:szCs w:val="22"/>
          <w:lang w:eastAsia="en-US"/>
        </w:rPr>
        <w:t>FUNDADAS</w:t>
      </w:r>
      <w:r w:rsidRPr="00B55C8E">
        <w:rPr>
          <w:rFonts w:eastAsia="Calibri" w:cs="Tahoma"/>
          <w:bCs/>
          <w:szCs w:val="22"/>
          <w:lang w:eastAsia="en-US"/>
        </w:rPr>
        <w:t xml:space="preserve"> las razones o motivos de inconformidad hechos valer por </w:t>
      </w:r>
      <w:r w:rsidRPr="00B55C8E">
        <w:rPr>
          <w:rFonts w:eastAsia="Calibri" w:cs="Tahoma"/>
          <w:b/>
          <w:szCs w:val="22"/>
          <w:lang w:eastAsia="en-US"/>
        </w:rPr>
        <w:t>LA PARTE RECURRENTE</w:t>
      </w:r>
      <w:r w:rsidRPr="00B55C8E">
        <w:rPr>
          <w:rFonts w:eastAsia="Calibri" w:cs="Tahoma"/>
          <w:bCs/>
          <w:szCs w:val="22"/>
          <w:lang w:eastAsia="en-US"/>
        </w:rPr>
        <w:t xml:space="preserve"> en el Recurso de Revisión </w:t>
      </w:r>
      <w:r w:rsidR="00204C5A" w:rsidRPr="00B55C8E">
        <w:rPr>
          <w:rFonts w:eastAsia="Calibri"/>
          <w:b/>
          <w:lang w:eastAsia="en-US"/>
        </w:rPr>
        <w:t>10952</w:t>
      </w:r>
      <w:r w:rsidRPr="00B55C8E">
        <w:rPr>
          <w:rFonts w:eastAsia="Calibri"/>
          <w:b/>
          <w:lang w:eastAsia="en-US"/>
        </w:rPr>
        <w:t>/INFOEM/IP/RR/2025</w:t>
      </w:r>
      <w:r w:rsidRPr="00B55C8E">
        <w:rPr>
          <w:rFonts w:eastAsiaTheme="minorHAnsi" w:cstheme="minorBidi"/>
          <w:szCs w:val="22"/>
          <w:lang w:eastAsia="en-US"/>
        </w:rPr>
        <w:t>,</w:t>
      </w:r>
      <w:r w:rsidRPr="00B55C8E">
        <w:rPr>
          <w:rFonts w:cs="Tahoma"/>
          <w:b/>
          <w:szCs w:val="22"/>
        </w:rPr>
        <w:t xml:space="preserve"> </w:t>
      </w:r>
      <w:r w:rsidRPr="00B55C8E">
        <w:rPr>
          <w:rFonts w:eastAsia="Calibri" w:cs="Tahoma"/>
          <w:bCs/>
          <w:szCs w:val="22"/>
          <w:lang w:eastAsia="en-US"/>
        </w:rPr>
        <w:t xml:space="preserve">en términos del considerando </w:t>
      </w:r>
      <w:r w:rsidRPr="00B55C8E">
        <w:rPr>
          <w:rFonts w:eastAsia="Calibri" w:cs="Tahoma"/>
          <w:b/>
          <w:szCs w:val="22"/>
          <w:lang w:eastAsia="en-US"/>
        </w:rPr>
        <w:t>SEGUNDO</w:t>
      </w:r>
      <w:r w:rsidRPr="00B55C8E">
        <w:rPr>
          <w:rFonts w:eastAsia="Calibri" w:cs="Tahoma"/>
          <w:bCs/>
          <w:szCs w:val="22"/>
          <w:lang w:eastAsia="en-US"/>
        </w:rPr>
        <w:t xml:space="preserve"> de la presente Resolución.</w:t>
      </w:r>
    </w:p>
    <w:p w14:paraId="0AA231B3" w14:textId="77777777" w:rsidR="002207C2" w:rsidRPr="00B55C8E" w:rsidRDefault="002207C2" w:rsidP="00906179">
      <w:pPr>
        <w:rPr>
          <w:rFonts w:eastAsia="Palatino Linotype"/>
          <w:b/>
          <w:szCs w:val="22"/>
        </w:rPr>
      </w:pPr>
    </w:p>
    <w:p w14:paraId="0B595F92" w14:textId="34D1AD1A" w:rsidR="002207C2" w:rsidRPr="00B55C8E" w:rsidRDefault="002207C2" w:rsidP="00906179">
      <w:pPr>
        <w:ind w:right="-93"/>
        <w:rPr>
          <w:rFonts w:eastAsia="Calibri" w:cs="Tahoma"/>
          <w:bCs/>
          <w:szCs w:val="22"/>
          <w:lang w:eastAsia="en-US"/>
        </w:rPr>
      </w:pPr>
      <w:r w:rsidRPr="00B55C8E">
        <w:rPr>
          <w:rFonts w:eastAsia="Calibri" w:cs="Tahoma"/>
          <w:b/>
          <w:bCs/>
          <w:szCs w:val="22"/>
          <w:lang w:eastAsia="en-US"/>
        </w:rPr>
        <w:lastRenderedPageBreak/>
        <w:t>SEGUNDO.</w:t>
      </w:r>
      <w:r w:rsidRPr="00B55C8E">
        <w:rPr>
          <w:rFonts w:eastAsia="Calibri" w:cs="Tahoma"/>
          <w:szCs w:val="22"/>
          <w:lang w:eastAsia="es-MX"/>
        </w:rPr>
        <w:t xml:space="preserve"> Se </w:t>
      </w:r>
      <w:r w:rsidRPr="00B55C8E">
        <w:rPr>
          <w:rFonts w:eastAsia="Calibri" w:cs="Tahoma"/>
          <w:b/>
          <w:szCs w:val="22"/>
          <w:lang w:eastAsia="es-MX"/>
        </w:rPr>
        <w:t xml:space="preserve">ORDENA </w:t>
      </w:r>
      <w:r w:rsidRPr="00B55C8E">
        <w:rPr>
          <w:rFonts w:eastAsia="Calibri" w:cs="Tahoma"/>
          <w:szCs w:val="22"/>
          <w:lang w:eastAsia="es-MX"/>
        </w:rPr>
        <w:t xml:space="preserve">al </w:t>
      </w:r>
      <w:r w:rsidRPr="00B55C8E">
        <w:rPr>
          <w:rFonts w:eastAsia="Calibri" w:cs="Tahoma"/>
          <w:b/>
          <w:bCs/>
          <w:szCs w:val="22"/>
          <w:lang w:eastAsia="es-MX"/>
        </w:rPr>
        <w:t>SUJETO OBLIGADO</w:t>
      </w:r>
      <w:r w:rsidRPr="00B55C8E">
        <w:rPr>
          <w:rFonts w:eastAsia="Calibri" w:cs="Tahoma"/>
          <w:szCs w:val="22"/>
          <w:lang w:eastAsia="es-MX"/>
        </w:rPr>
        <w:t xml:space="preserve">, </w:t>
      </w:r>
      <w:r w:rsidRPr="00B55C8E">
        <w:rPr>
          <w:rFonts w:eastAsia="Calibri" w:cs="Tahoma"/>
          <w:bCs/>
          <w:szCs w:val="22"/>
          <w:lang w:eastAsia="en-US"/>
        </w:rPr>
        <w:t xml:space="preserve">a efecto de que entregue </w:t>
      </w:r>
      <w:r w:rsidR="004B216A" w:rsidRPr="00B55C8E">
        <w:rPr>
          <w:rFonts w:eastAsia="Calibri"/>
        </w:rPr>
        <w:t xml:space="preserve">en </w:t>
      </w:r>
      <w:r w:rsidR="004B216A" w:rsidRPr="00B55C8E">
        <w:rPr>
          <w:rFonts w:eastAsia="Calibri"/>
          <w:b/>
        </w:rPr>
        <w:t xml:space="preserve">versión pública </w:t>
      </w:r>
      <w:r w:rsidRPr="00B55C8E">
        <w:rPr>
          <w:rFonts w:eastAsia="Calibri" w:cs="Tahoma"/>
          <w:bCs/>
          <w:szCs w:val="22"/>
          <w:lang w:eastAsia="en-US"/>
        </w:rPr>
        <w:t>lo siguiente:</w:t>
      </w:r>
    </w:p>
    <w:p w14:paraId="7E58A8E1" w14:textId="77777777" w:rsidR="004B216A" w:rsidRPr="00B55C8E" w:rsidRDefault="004B216A" w:rsidP="00906179">
      <w:pPr>
        <w:ind w:right="-93"/>
        <w:rPr>
          <w:rFonts w:eastAsia="Calibri" w:cs="Tahoma"/>
          <w:bCs/>
          <w:szCs w:val="22"/>
          <w:lang w:eastAsia="en-US"/>
        </w:rPr>
      </w:pPr>
    </w:p>
    <w:p w14:paraId="6DF54B36" w14:textId="4591DB05" w:rsidR="004B216A" w:rsidRPr="00B55C8E" w:rsidRDefault="007B745A" w:rsidP="00906179">
      <w:pPr>
        <w:pStyle w:val="Puesto"/>
        <w:rPr>
          <w:b/>
        </w:rPr>
      </w:pPr>
      <w:r w:rsidRPr="00B55C8E">
        <w:rPr>
          <w:b/>
        </w:rPr>
        <w:t xml:space="preserve">La conciliación de nómina correspondiente a la segunda quincena de junio de 2025. </w:t>
      </w:r>
    </w:p>
    <w:p w14:paraId="078C15ED" w14:textId="77777777" w:rsidR="007B745A" w:rsidRPr="00B55C8E" w:rsidRDefault="007B745A" w:rsidP="00906179"/>
    <w:p w14:paraId="73DDFCE0" w14:textId="5E4BA1ED" w:rsidR="004B216A" w:rsidRPr="00B55C8E" w:rsidRDefault="007B745A" w:rsidP="00906179">
      <w:pPr>
        <w:rPr>
          <w:bCs/>
        </w:rPr>
      </w:pPr>
      <w:r w:rsidRPr="00B55C8E">
        <w:rPr>
          <w:rFonts w:eastAsia="Calibri" w:cs="Tahoma"/>
          <w:bCs/>
          <w:szCs w:val="22"/>
          <w:lang w:eastAsia="en-US"/>
        </w:rPr>
        <w:t>Para</w:t>
      </w:r>
      <w:r w:rsidR="004B216A" w:rsidRPr="00B55C8E">
        <w:rPr>
          <w:rFonts w:eastAsia="Calibri" w:cs="Tahoma"/>
          <w:bCs/>
          <w:szCs w:val="22"/>
          <w:lang w:eastAsia="en-US"/>
        </w:rPr>
        <w:t xml:space="preserve"> las </w:t>
      </w:r>
      <w:r w:rsidR="004B216A" w:rsidRPr="00B55C8E">
        <w:rPr>
          <w:rFonts w:eastAsia="Palatino Linotype" w:cs="Palatino Linotype"/>
          <w:szCs w:val="22"/>
        </w:rPr>
        <w:t>versiones</w:t>
      </w:r>
      <w:r w:rsidR="004B216A" w:rsidRPr="00B55C8E">
        <w:rPr>
          <w:rFonts w:eastAsia="Calibri" w:cs="Tahoma"/>
          <w:bCs/>
          <w:szCs w:val="22"/>
          <w:lang w:eastAsia="en-US"/>
        </w:rPr>
        <w:t xml:space="preserve"> públicas</w:t>
      </w:r>
      <w:r w:rsidR="004B216A" w:rsidRPr="00B55C8E">
        <w:rPr>
          <w:bCs/>
        </w:rPr>
        <w:t>,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68FDA0A" w14:textId="77777777" w:rsidR="007B745A" w:rsidRPr="00B55C8E" w:rsidRDefault="007B745A" w:rsidP="00906179">
      <w:pPr>
        <w:rPr>
          <w:b/>
          <w:bCs/>
        </w:rPr>
      </w:pPr>
    </w:p>
    <w:p w14:paraId="780F791D" w14:textId="77777777" w:rsidR="002207C2" w:rsidRPr="00B55C8E" w:rsidRDefault="002207C2" w:rsidP="00906179">
      <w:r w:rsidRPr="00B55C8E">
        <w:rPr>
          <w:b/>
          <w:bCs/>
        </w:rPr>
        <w:t>TERCERO.</w:t>
      </w:r>
      <w:r w:rsidRPr="00B55C8E">
        <w:t xml:space="preserve"> </w:t>
      </w:r>
      <w:r w:rsidRPr="00B55C8E">
        <w:rPr>
          <w:rFonts w:eastAsia="Palatino Linotype" w:cs="Palatino Linotype"/>
          <w:b/>
          <w:lang w:eastAsia="es-MX"/>
        </w:rPr>
        <w:t xml:space="preserve">Notifíquese </w:t>
      </w:r>
      <w:r w:rsidRPr="00B55C8E">
        <w:rPr>
          <w:szCs w:val="17"/>
          <w:lang w:eastAsia="es-ES_tradnl"/>
        </w:rPr>
        <w:t xml:space="preserve">vía </w:t>
      </w:r>
      <w:r w:rsidRPr="00B55C8E">
        <w:rPr>
          <w:rFonts w:cs="Arial"/>
        </w:rPr>
        <w:t>Sistema de Acceso a la Información Mexiquense (</w:t>
      </w:r>
      <w:r w:rsidRPr="00B55C8E">
        <w:rPr>
          <w:rFonts w:cs="Arial"/>
          <w:b/>
          <w:bCs/>
        </w:rPr>
        <w:t>SAIMEX)</w:t>
      </w:r>
      <w:r w:rsidRPr="00B55C8E">
        <w:rPr>
          <w:shd w:val="clear" w:color="auto" w:fill="FFFFFF"/>
        </w:rPr>
        <w:t xml:space="preserve"> la presente resolución al Titular de la Unidad de Transparencia del Sujeto Obligado</w:t>
      </w:r>
      <w:r w:rsidRPr="00B55C8E">
        <w:t xml:space="preserve">, para que conforme al artículo 186 último párrafo, 189 segundo párrafo y 194 de la Ley de Transparencia y Acceso a la Información Pública del Estado de México y Municipios, dé cumplimiento a lo ordenado dentro del plazo de </w:t>
      </w:r>
      <w:r w:rsidRPr="00B55C8E">
        <w:rPr>
          <w:b/>
          <w:bCs/>
        </w:rPr>
        <w:t>diez días hábiles</w:t>
      </w:r>
      <w:r w:rsidRPr="00B55C8E">
        <w:t xml:space="preserve">, e informe a este Instituto en un plazo de </w:t>
      </w:r>
      <w:r w:rsidRPr="00B55C8E">
        <w:rPr>
          <w:b/>
          <w:bCs/>
        </w:rPr>
        <w:t>tres días hábiles</w:t>
      </w:r>
      <w:r w:rsidRPr="00B55C8E">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A64559" w14:textId="77777777" w:rsidR="002207C2" w:rsidRPr="00B55C8E" w:rsidRDefault="002207C2" w:rsidP="00906179"/>
    <w:p w14:paraId="79BF2BE3" w14:textId="77777777" w:rsidR="002207C2" w:rsidRPr="00B55C8E" w:rsidRDefault="002207C2" w:rsidP="00906179">
      <w:r w:rsidRPr="00B55C8E">
        <w:rPr>
          <w:b/>
          <w:bCs/>
        </w:rPr>
        <w:t>CUARTO.</w:t>
      </w:r>
      <w:r w:rsidRPr="00B55C8E">
        <w:t xml:space="preserve"> Notifíquese a </w:t>
      </w:r>
      <w:r w:rsidRPr="00B55C8E">
        <w:rPr>
          <w:b/>
          <w:bCs/>
        </w:rPr>
        <w:t>LA PARTE RECURRENTE</w:t>
      </w:r>
      <w:r w:rsidRPr="00B55C8E">
        <w:t xml:space="preserve"> la presente resolución vía Sistema de Acceso a la Información Mexiquense (SAIMEX).</w:t>
      </w:r>
    </w:p>
    <w:p w14:paraId="3603AB63" w14:textId="77777777" w:rsidR="002207C2" w:rsidRPr="00B55C8E" w:rsidRDefault="002207C2" w:rsidP="00906179"/>
    <w:p w14:paraId="45D2BB9F" w14:textId="77777777" w:rsidR="002207C2" w:rsidRPr="00B55C8E" w:rsidRDefault="002207C2" w:rsidP="00906179">
      <w:r w:rsidRPr="00B55C8E">
        <w:rPr>
          <w:b/>
          <w:bCs/>
        </w:rPr>
        <w:t>QUINTO</w:t>
      </w:r>
      <w:r w:rsidRPr="00B55C8E">
        <w:t xml:space="preserve">. Hágase del conocimiento a </w:t>
      </w:r>
      <w:r w:rsidRPr="00B55C8E">
        <w:rPr>
          <w:b/>
          <w:bCs/>
        </w:rPr>
        <w:t>LA PARTE RECURRENTE</w:t>
      </w:r>
      <w:r w:rsidRPr="00B55C8E">
        <w:t xml:space="preserve"> que, de conformidad con lo establecido en el artículo 196 de la Ley de Transparencia y Acceso a la Información Pública </w:t>
      </w:r>
      <w:r w:rsidRPr="00B55C8E">
        <w:lastRenderedPageBreak/>
        <w:t>del Estado de México y Municipios, podrá impugnar la presente resolución vía Juicio de Amparo en los términos de las leyes aplicables.</w:t>
      </w:r>
    </w:p>
    <w:p w14:paraId="4074A79E" w14:textId="77777777" w:rsidR="002207C2" w:rsidRPr="00B55C8E" w:rsidRDefault="002207C2" w:rsidP="00906179">
      <w:pPr>
        <w:widowControl w:val="0"/>
        <w:autoSpaceDE w:val="0"/>
        <w:autoSpaceDN w:val="0"/>
        <w:adjustRightInd w:val="0"/>
      </w:pPr>
    </w:p>
    <w:p w14:paraId="564F1E9B" w14:textId="77777777" w:rsidR="002207C2" w:rsidRPr="00B55C8E" w:rsidRDefault="002207C2" w:rsidP="00906179">
      <w:r w:rsidRPr="00B55C8E">
        <w:rPr>
          <w:b/>
          <w:bCs/>
        </w:rPr>
        <w:t>SEXTO.</w:t>
      </w:r>
      <w:r w:rsidRPr="00B55C8E">
        <w:t xml:space="preserve"> De conformidad con el artículo 198 de la Ley de Transparencia y Acceso a la Información Pública del Estado de México y Municipios, el </w:t>
      </w:r>
      <w:r w:rsidRPr="00B55C8E">
        <w:rPr>
          <w:b/>
          <w:bCs/>
        </w:rPr>
        <w:t>SUJETO OBLIGADO</w:t>
      </w:r>
      <w:r w:rsidRPr="00B55C8E">
        <w:t xml:space="preserve"> podrá solicitar una ampliación de plazo de manera fundada y motivada, para el cumplimiento de la presente resolución.</w:t>
      </w:r>
    </w:p>
    <w:p w14:paraId="345601B7" w14:textId="77777777" w:rsidR="002207C2" w:rsidRPr="00B55C8E" w:rsidRDefault="002207C2" w:rsidP="00906179">
      <w:pPr>
        <w:pStyle w:val="Prrafodelista"/>
        <w:widowControl w:val="0"/>
        <w:autoSpaceDE w:val="0"/>
        <w:autoSpaceDN w:val="0"/>
        <w:adjustRightInd w:val="0"/>
        <w:ind w:left="0"/>
      </w:pPr>
    </w:p>
    <w:p w14:paraId="3705FB02" w14:textId="062D698F" w:rsidR="007B745A" w:rsidRPr="00B55C8E" w:rsidRDefault="007B745A" w:rsidP="00906179">
      <w:pPr>
        <w:ind w:right="-93"/>
      </w:pPr>
      <w:r w:rsidRPr="00B55C8E">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06179" w:rsidRPr="00B55C8E">
        <w:t xml:space="preserve"> EMITIENDO VOTO PARTICULAR</w:t>
      </w:r>
      <w:r w:rsidRPr="00B55C8E">
        <w:t xml:space="preserve"> Y GUADALUPE RAMÍREZ PEÑA</w:t>
      </w:r>
      <w:r w:rsidR="00906179" w:rsidRPr="00B55C8E">
        <w:t xml:space="preserve"> EMITIENDO VOTO PARTICULAR</w:t>
      </w:r>
      <w:r w:rsidRPr="00B55C8E">
        <w:t>, EN LA TRIGÉSIMA SÉPTIMA SESIÓN ORDINARIA, CELEBRADA EL QUINCE DE OCTUBRE DE DOS MIL VEINTICINCO</w:t>
      </w:r>
      <w:r w:rsidR="00477105" w:rsidRPr="00B55C8E">
        <w:t>,</w:t>
      </w:r>
      <w:r w:rsidRPr="00B55C8E">
        <w:t xml:space="preserve"> ANTE EL SECRETARIO TÉCNICO DEL PLENO, ALEXIS TAPIA RAMÍREZ.</w:t>
      </w:r>
    </w:p>
    <w:p w14:paraId="4925C9AB" w14:textId="77777777" w:rsidR="002207C2" w:rsidRPr="00906179" w:rsidRDefault="002207C2" w:rsidP="00906179">
      <w:pPr>
        <w:ind w:right="-93"/>
        <w:rPr>
          <w:rFonts w:eastAsia="Palatino Linotype" w:cs="Palatino Linotype"/>
          <w:sz w:val="20"/>
        </w:rPr>
      </w:pPr>
      <w:r w:rsidRPr="00B55C8E">
        <w:rPr>
          <w:rFonts w:eastAsia="Palatino Linotype" w:cs="Palatino Linotype"/>
          <w:sz w:val="20"/>
        </w:rPr>
        <w:t>SCMM/AGZ/DEMF/RPG</w:t>
      </w:r>
    </w:p>
    <w:p w14:paraId="5BF3172C" w14:textId="77777777" w:rsidR="00B822AE" w:rsidRPr="00906179" w:rsidRDefault="00B822AE" w:rsidP="00906179">
      <w:pPr>
        <w:spacing w:after="160" w:line="259" w:lineRule="auto"/>
        <w:jc w:val="left"/>
        <w:rPr>
          <w:rFonts w:eastAsia="Palatino Linotype" w:cs="Palatino Linotype"/>
          <w:sz w:val="20"/>
        </w:rPr>
      </w:pPr>
      <w:r w:rsidRPr="00906179">
        <w:rPr>
          <w:rFonts w:eastAsia="Palatino Linotype" w:cs="Palatino Linotype"/>
          <w:sz w:val="20"/>
        </w:rPr>
        <w:br w:type="page"/>
      </w:r>
    </w:p>
    <w:p w14:paraId="1A2522A6" w14:textId="77777777" w:rsidR="009C04A8" w:rsidRPr="00906179" w:rsidRDefault="009C04A8" w:rsidP="00906179">
      <w:pPr>
        <w:ind w:right="-93"/>
        <w:rPr>
          <w:rFonts w:eastAsia="Calibri" w:cs="Tahoma"/>
          <w:szCs w:val="22"/>
          <w:lang w:val="es-ES"/>
        </w:rPr>
      </w:pPr>
    </w:p>
    <w:p w14:paraId="696BC976" w14:textId="77777777" w:rsidR="00664420" w:rsidRPr="00906179" w:rsidRDefault="00664420" w:rsidP="00906179">
      <w:pPr>
        <w:ind w:right="-93"/>
        <w:rPr>
          <w:rFonts w:eastAsia="Calibri" w:cs="Tahoma"/>
          <w:bCs/>
          <w:szCs w:val="22"/>
          <w:lang w:val="es-ES" w:eastAsia="en-US"/>
        </w:rPr>
      </w:pPr>
    </w:p>
    <w:p w14:paraId="671CB0C5" w14:textId="77777777" w:rsidR="00664420" w:rsidRPr="00906179" w:rsidRDefault="00664420" w:rsidP="00906179">
      <w:pPr>
        <w:ind w:right="-93"/>
        <w:rPr>
          <w:rFonts w:eastAsia="Calibri" w:cs="Tahoma"/>
          <w:bCs/>
          <w:szCs w:val="22"/>
          <w:lang w:val="es-ES_tradnl" w:eastAsia="en-US"/>
        </w:rPr>
      </w:pPr>
    </w:p>
    <w:p w14:paraId="6FDF3D7E" w14:textId="77777777" w:rsidR="00664420" w:rsidRPr="00906179" w:rsidRDefault="00664420" w:rsidP="00906179">
      <w:pPr>
        <w:tabs>
          <w:tab w:val="center" w:pos="4568"/>
        </w:tabs>
        <w:ind w:right="-93"/>
        <w:rPr>
          <w:rFonts w:eastAsia="Calibri" w:cs="Tahoma"/>
          <w:bCs/>
          <w:szCs w:val="22"/>
          <w:lang w:eastAsia="en-US"/>
        </w:rPr>
      </w:pPr>
    </w:p>
    <w:p w14:paraId="6246F818" w14:textId="77777777" w:rsidR="00664420" w:rsidRPr="00906179" w:rsidRDefault="00664420" w:rsidP="00906179">
      <w:pPr>
        <w:tabs>
          <w:tab w:val="center" w:pos="4568"/>
        </w:tabs>
        <w:ind w:right="-93"/>
        <w:rPr>
          <w:rFonts w:eastAsia="Calibri" w:cs="Tahoma"/>
          <w:bCs/>
          <w:szCs w:val="22"/>
          <w:lang w:eastAsia="en-US"/>
        </w:rPr>
      </w:pPr>
    </w:p>
    <w:p w14:paraId="57A88B28" w14:textId="77777777" w:rsidR="00664420" w:rsidRPr="00906179" w:rsidRDefault="00664420" w:rsidP="00906179">
      <w:pPr>
        <w:tabs>
          <w:tab w:val="center" w:pos="4568"/>
        </w:tabs>
        <w:ind w:right="-93"/>
        <w:rPr>
          <w:rFonts w:eastAsia="Calibri" w:cs="Tahoma"/>
          <w:bCs/>
          <w:szCs w:val="22"/>
          <w:lang w:eastAsia="en-US"/>
        </w:rPr>
      </w:pPr>
    </w:p>
    <w:p w14:paraId="77EF6095" w14:textId="77777777" w:rsidR="00664420" w:rsidRPr="00906179" w:rsidRDefault="00664420" w:rsidP="00906179">
      <w:pPr>
        <w:tabs>
          <w:tab w:val="center" w:pos="4568"/>
        </w:tabs>
        <w:ind w:right="-93"/>
        <w:rPr>
          <w:rFonts w:eastAsia="Calibri" w:cs="Tahoma"/>
          <w:bCs/>
          <w:szCs w:val="22"/>
          <w:lang w:eastAsia="en-US"/>
        </w:rPr>
      </w:pPr>
    </w:p>
    <w:p w14:paraId="35593947" w14:textId="77777777" w:rsidR="00664420" w:rsidRPr="00906179" w:rsidRDefault="00664420" w:rsidP="00906179">
      <w:pPr>
        <w:tabs>
          <w:tab w:val="center" w:pos="4568"/>
        </w:tabs>
        <w:ind w:right="-93"/>
        <w:rPr>
          <w:rFonts w:eastAsia="Calibri" w:cs="Tahoma"/>
          <w:bCs/>
          <w:szCs w:val="22"/>
          <w:lang w:eastAsia="en-US"/>
        </w:rPr>
      </w:pPr>
    </w:p>
    <w:p w14:paraId="3AF72A17" w14:textId="77777777" w:rsidR="00664420" w:rsidRPr="00906179" w:rsidRDefault="00664420" w:rsidP="00906179">
      <w:pPr>
        <w:tabs>
          <w:tab w:val="center" w:pos="4568"/>
        </w:tabs>
        <w:ind w:right="-93"/>
        <w:rPr>
          <w:rFonts w:eastAsia="Calibri" w:cs="Tahoma"/>
          <w:bCs/>
          <w:szCs w:val="22"/>
          <w:lang w:eastAsia="en-US"/>
        </w:rPr>
      </w:pPr>
    </w:p>
    <w:p w14:paraId="37169144" w14:textId="77777777" w:rsidR="00664420" w:rsidRPr="00906179" w:rsidRDefault="00664420" w:rsidP="00906179">
      <w:pPr>
        <w:tabs>
          <w:tab w:val="center" w:pos="4568"/>
        </w:tabs>
        <w:ind w:right="-93"/>
        <w:rPr>
          <w:rFonts w:eastAsia="Calibri" w:cs="Tahoma"/>
          <w:bCs/>
          <w:szCs w:val="22"/>
          <w:lang w:eastAsia="en-US"/>
        </w:rPr>
      </w:pPr>
    </w:p>
    <w:p w14:paraId="77CFC088" w14:textId="77777777" w:rsidR="00664420" w:rsidRPr="00906179" w:rsidRDefault="00664420" w:rsidP="00906179">
      <w:pPr>
        <w:tabs>
          <w:tab w:val="center" w:pos="4568"/>
        </w:tabs>
        <w:ind w:right="-93"/>
        <w:rPr>
          <w:rFonts w:eastAsia="Calibri" w:cs="Tahoma"/>
          <w:bCs/>
          <w:szCs w:val="22"/>
          <w:lang w:eastAsia="en-US"/>
        </w:rPr>
      </w:pPr>
    </w:p>
    <w:p w14:paraId="781A11A5" w14:textId="77777777" w:rsidR="00664420" w:rsidRPr="00906179" w:rsidRDefault="00664420" w:rsidP="00906179">
      <w:pPr>
        <w:tabs>
          <w:tab w:val="center" w:pos="4568"/>
        </w:tabs>
        <w:ind w:right="-93"/>
        <w:rPr>
          <w:rFonts w:eastAsia="Calibri" w:cs="Tahoma"/>
          <w:bCs/>
          <w:szCs w:val="22"/>
          <w:lang w:eastAsia="en-US"/>
        </w:rPr>
      </w:pPr>
    </w:p>
    <w:p w14:paraId="5B4ADFF3" w14:textId="77777777" w:rsidR="00A131AC" w:rsidRPr="00906179" w:rsidRDefault="00A131AC" w:rsidP="00906179"/>
    <w:sectPr w:rsidR="00A131AC" w:rsidRPr="00906179" w:rsidSect="00EE2AF2">
      <w:footerReference w:type="default" r:id="rId19"/>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B8A07" w14:textId="77777777" w:rsidR="00EF18B3" w:rsidRDefault="00EF18B3" w:rsidP="00664420">
      <w:pPr>
        <w:spacing w:line="240" w:lineRule="auto"/>
      </w:pPr>
      <w:r>
        <w:separator/>
      </w:r>
    </w:p>
  </w:endnote>
  <w:endnote w:type="continuationSeparator" w:id="0">
    <w:p w14:paraId="5D4B440B" w14:textId="77777777" w:rsidR="00EF18B3" w:rsidRDefault="00EF18B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04C5A" w:rsidRDefault="00204C5A">
    <w:pPr>
      <w:tabs>
        <w:tab w:val="center" w:pos="4550"/>
        <w:tab w:val="left" w:pos="5818"/>
      </w:tabs>
      <w:ind w:right="260"/>
      <w:jc w:val="right"/>
      <w:rPr>
        <w:color w:val="071320" w:themeColor="text2" w:themeShade="80"/>
        <w:sz w:val="24"/>
        <w:szCs w:val="24"/>
      </w:rPr>
    </w:pPr>
  </w:p>
  <w:p w14:paraId="1BCA7F23" w14:textId="77777777" w:rsidR="00204C5A" w:rsidRDefault="00204C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204C5A" w:rsidRDefault="00204C5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10EE4" w:rsidRPr="00A10EE4">
      <w:rPr>
        <w:noProof/>
        <w:color w:val="0A1D30" w:themeColor="text2" w:themeShade="BF"/>
        <w:sz w:val="24"/>
        <w:szCs w:val="24"/>
        <w:lang w:val="es-ES"/>
      </w:rPr>
      <w:t>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10EE4" w:rsidRPr="00A10EE4">
      <w:rPr>
        <w:noProof/>
        <w:color w:val="0A1D30" w:themeColor="text2" w:themeShade="BF"/>
        <w:sz w:val="24"/>
        <w:szCs w:val="24"/>
        <w:lang w:val="es-ES"/>
      </w:rPr>
      <w:t>42</w:t>
    </w:r>
    <w:r>
      <w:rPr>
        <w:color w:val="0A1D30" w:themeColor="text2" w:themeShade="BF"/>
        <w:sz w:val="24"/>
        <w:szCs w:val="24"/>
      </w:rPr>
      <w:fldChar w:fldCharType="end"/>
    </w:r>
  </w:p>
  <w:p w14:paraId="310E15C0" w14:textId="77777777" w:rsidR="00204C5A" w:rsidRDefault="00204C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83CD2" w14:textId="77777777" w:rsidR="00EF18B3" w:rsidRDefault="00EF18B3" w:rsidP="00664420">
      <w:pPr>
        <w:spacing w:line="240" w:lineRule="auto"/>
      </w:pPr>
      <w:r>
        <w:separator/>
      </w:r>
    </w:p>
  </w:footnote>
  <w:footnote w:type="continuationSeparator" w:id="0">
    <w:p w14:paraId="51C4B401" w14:textId="77777777" w:rsidR="00EF18B3" w:rsidRDefault="00EF18B3" w:rsidP="00664420">
      <w:pPr>
        <w:spacing w:line="240" w:lineRule="auto"/>
      </w:pPr>
      <w:r>
        <w:continuationSeparator/>
      </w:r>
    </w:p>
  </w:footnote>
  <w:footnote w:id="1">
    <w:p w14:paraId="3179225C" w14:textId="77777777" w:rsidR="00204C5A" w:rsidRDefault="00204C5A" w:rsidP="00811AFE">
      <w:pPr>
        <w:pStyle w:val="Textonotapie"/>
        <w:rPr>
          <w:i/>
          <w:sz w:val="18"/>
          <w:szCs w:val="18"/>
        </w:rPr>
      </w:pPr>
      <w:r>
        <w:rPr>
          <w:rStyle w:val="Refdenotaalpie"/>
          <w:rFonts w:eastAsiaTheme="majorEastAsia"/>
        </w:rPr>
        <w:footnoteRef/>
      </w:r>
      <w:r>
        <w:t xml:space="preserve"> </w:t>
      </w:r>
      <w:r>
        <w:rPr>
          <w:i/>
          <w:sz w:val="18"/>
          <w:szCs w:val="18"/>
        </w:rPr>
        <w:t>https://legislacion.edomex.gob.mx/sites/legislacion.edomex.gob.mx/files/files/pdf/cod/vig/codvig007.pdf</w:t>
      </w:r>
    </w:p>
  </w:footnote>
  <w:footnote w:id="2">
    <w:p w14:paraId="0F280103" w14:textId="77777777" w:rsidR="00204C5A" w:rsidRDefault="00204C5A" w:rsidP="00811AFE">
      <w:pPr>
        <w:pStyle w:val="Textonotapie"/>
      </w:pPr>
      <w:r>
        <w:rPr>
          <w:rStyle w:val="Refdenotaalpie"/>
        </w:rPr>
        <w:footnoteRef/>
      </w:r>
      <w:r>
        <w:t xml:space="preserve"> </w:t>
      </w:r>
      <w:r w:rsidRPr="003617B6">
        <w:rPr>
          <w:i/>
          <w:sz w:val="18"/>
        </w:rPr>
        <w:t>https://www.osfem.gob.mx/assets/entidades/documentos_apoyo/2025/info_trim/mpal/modulo4.pdf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04C5A" w:rsidRPr="00330DA7" w14:paraId="070A4B18" w14:textId="77777777" w:rsidTr="003F35FD">
      <w:trPr>
        <w:trHeight w:val="144"/>
        <w:jc w:val="right"/>
      </w:trPr>
      <w:tc>
        <w:tcPr>
          <w:tcW w:w="2727" w:type="dxa"/>
        </w:tcPr>
        <w:p w14:paraId="62B7493A" w14:textId="77777777" w:rsidR="00204C5A" w:rsidRPr="00330DA7" w:rsidRDefault="00204C5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7C10EB3" w:rsidR="00204C5A" w:rsidRPr="00A90C72" w:rsidRDefault="00204C5A" w:rsidP="0058317C">
          <w:pPr>
            <w:tabs>
              <w:tab w:val="right" w:pos="8838"/>
            </w:tabs>
            <w:spacing w:line="240" w:lineRule="auto"/>
            <w:ind w:left="-74" w:right="-105"/>
            <w:rPr>
              <w:rFonts w:eastAsia="Calibri" w:cs="Tahoma"/>
              <w:szCs w:val="22"/>
              <w:lang w:eastAsia="en-US"/>
            </w:rPr>
          </w:pPr>
          <w:r>
            <w:rPr>
              <w:rFonts w:eastAsia="Calibri" w:cs="Tahoma"/>
              <w:szCs w:val="22"/>
              <w:lang w:eastAsia="en-US"/>
            </w:rPr>
            <w:t>10952</w:t>
          </w:r>
          <w:r w:rsidRPr="006E7E69">
            <w:rPr>
              <w:rFonts w:eastAsia="Calibri" w:cs="Tahoma"/>
              <w:szCs w:val="22"/>
              <w:lang w:eastAsia="en-US"/>
            </w:rPr>
            <w:t>/INFOEM/IP/RR/2025</w:t>
          </w:r>
        </w:p>
      </w:tc>
    </w:tr>
    <w:tr w:rsidR="00204C5A" w:rsidRPr="00330DA7" w14:paraId="4521E058" w14:textId="77777777" w:rsidTr="003F35FD">
      <w:trPr>
        <w:trHeight w:val="283"/>
        <w:jc w:val="right"/>
      </w:trPr>
      <w:tc>
        <w:tcPr>
          <w:tcW w:w="2727" w:type="dxa"/>
        </w:tcPr>
        <w:p w14:paraId="0B68C086" w14:textId="77777777" w:rsidR="00204C5A" w:rsidRPr="00330DA7" w:rsidRDefault="00204C5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DE8F6A1" w:rsidR="00204C5A" w:rsidRPr="009233A1" w:rsidRDefault="00204C5A" w:rsidP="004F6D6C">
          <w:pPr>
            <w:tabs>
              <w:tab w:val="right" w:pos="8838"/>
            </w:tabs>
            <w:spacing w:line="240" w:lineRule="auto"/>
            <w:ind w:left="-74" w:right="-105"/>
            <w:rPr>
              <w:rFonts w:eastAsia="Calibri" w:cs="Tahoma"/>
              <w:szCs w:val="22"/>
              <w:lang w:val="es-MX" w:eastAsia="en-US"/>
            </w:rPr>
          </w:pPr>
          <w:r w:rsidRPr="000E0258">
            <w:rPr>
              <w:rFonts w:eastAsia="Calibri" w:cs="Tahoma"/>
              <w:szCs w:val="22"/>
              <w:lang w:eastAsia="en-US"/>
            </w:rPr>
            <w:t>Ayuntamiento de Almoloya de Juárez</w:t>
          </w:r>
        </w:p>
      </w:tc>
    </w:tr>
    <w:tr w:rsidR="00204C5A" w:rsidRPr="00330DA7" w14:paraId="6331D9B6" w14:textId="77777777" w:rsidTr="003F35FD">
      <w:trPr>
        <w:trHeight w:val="283"/>
        <w:jc w:val="right"/>
      </w:trPr>
      <w:tc>
        <w:tcPr>
          <w:tcW w:w="2727" w:type="dxa"/>
        </w:tcPr>
        <w:p w14:paraId="3FA86BAE" w14:textId="6568823B" w:rsidR="00204C5A" w:rsidRPr="00330DA7" w:rsidRDefault="00204C5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04C5A" w:rsidRPr="00EA66FC" w:rsidRDefault="00204C5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04C5A" w:rsidRPr="00443C6B" w:rsidRDefault="00204C5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204C5A" w:rsidRPr="00330DA7" w14:paraId="29CFF901" w14:textId="77777777" w:rsidTr="004D0573">
      <w:trPr>
        <w:trHeight w:val="1435"/>
      </w:trPr>
      <w:tc>
        <w:tcPr>
          <w:tcW w:w="283" w:type="dxa"/>
        </w:tcPr>
        <w:p w14:paraId="046B9F8F" w14:textId="77777777" w:rsidR="00204C5A" w:rsidRPr="00330DA7" w:rsidRDefault="00204C5A"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204C5A" w:rsidRPr="00330DA7" w14:paraId="04F272D2" w14:textId="77777777" w:rsidTr="004D0573">
            <w:trPr>
              <w:trHeight w:val="144"/>
            </w:trPr>
            <w:tc>
              <w:tcPr>
                <w:tcW w:w="2727" w:type="dxa"/>
              </w:tcPr>
              <w:p w14:paraId="2FD4DBF6" w14:textId="77777777" w:rsidR="00204C5A" w:rsidRPr="00330DA7" w:rsidRDefault="00204C5A"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2CDE0B0" w:rsidR="00204C5A" w:rsidRPr="004D0573" w:rsidRDefault="00204C5A" w:rsidP="001F6830">
                <w:pPr>
                  <w:tabs>
                    <w:tab w:val="right" w:pos="8838"/>
                  </w:tabs>
                  <w:spacing w:line="240" w:lineRule="auto"/>
                  <w:ind w:left="-74" w:right="-105"/>
                  <w:rPr>
                    <w:rFonts w:eastAsia="Calibri" w:cs="Tahoma"/>
                    <w:szCs w:val="22"/>
                    <w:lang w:eastAsia="en-US"/>
                  </w:rPr>
                </w:pPr>
                <w:r>
                  <w:rPr>
                    <w:rFonts w:eastAsia="Calibri" w:cs="Tahoma"/>
                    <w:szCs w:val="22"/>
                    <w:lang w:eastAsia="en-US"/>
                  </w:rPr>
                  <w:t>10952</w:t>
                </w:r>
                <w:r w:rsidRPr="006E7E69">
                  <w:rPr>
                    <w:rFonts w:eastAsia="Calibri" w:cs="Tahoma"/>
                    <w:szCs w:val="22"/>
                    <w:lang w:eastAsia="en-US"/>
                  </w:rPr>
                  <w:t>/INFOEM/IP/RR/2025</w:t>
                </w:r>
              </w:p>
            </w:tc>
            <w:tc>
              <w:tcPr>
                <w:tcW w:w="3402" w:type="dxa"/>
              </w:tcPr>
              <w:p w14:paraId="71DEA1CF" w14:textId="77777777" w:rsidR="00204C5A" w:rsidRDefault="00204C5A" w:rsidP="004D0573">
                <w:pPr>
                  <w:tabs>
                    <w:tab w:val="right" w:pos="8838"/>
                  </w:tabs>
                  <w:spacing w:line="240" w:lineRule="auto"/>
                  <w:ind w:left="-74" w:right="-105"/>
                  <w:rPr>
                    <w:rFonts w:eastAsia="Calibri" w:cs="Tahoma"/>
                    <w:szCs w:val="22"/>
                    <w:lang w:eastAsia="en-US"/>
                  </w:rPr>
                </w:pPr>
              </w:p>
            </w:tc>
          </w:tr>
          <w:tr w:rsidR="00204C5A" w:rsidRPr="00330DA7" w14:paraId="05C58951" w14:textId="77777777" w:rsidTr="004D0573">
            <w:trPr>
              <w:trHeight w:val="144"/>
            </w:trPr>
            <w:tc>
              <w:tcPr>
                <w:tcW w:w="2727" w:type="dxa"/>
              </w:tcPr>
              <w:p w14:paraId="642B9610" w14:textId="77777777" w:rsidR="00204C5A" w:rsidRPr="00330DA7" w:rsidRDefault="00204C5A"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5D0A715" w:rsidR="00204C5A" w:rsidRPr="004D0573" w:rsidRDefault="00A10EE4" w:rsidP="00F8365A">
                <w:pPr>
                  <w:tabs>
                    <w:tab w:val="right" w:pos="8838"/>
                  </w:tabs>
                  <w:spacing w:line="240" w:lineRule="auto"/>
                  <w:ind w:left="-74" w:right="-105"/>
                  <w:rPr>
                    <w:rFonts w:eastAsia="Calibri" w:cs="Tahoma"/>
                    <w:szCs w:val="22"/>
                    <w:lang w:eastAsia="en-US"/>
                  </w:rPr>
                </w:pPr>
                <w:r>
                  <w:rPr>
                    <w:rFonts w:eastAsia="Calibri" w:cs="Tahoma"/>
                    <w:szCs w:val="22"/>
                    <w:lang w:eastAsia="en-US"/>
                  </w:rPr>
                  <w:t>XXXXXX XXXXXX XXXXXXX</w:t>
                </w:r>
              </w:p>
            </w:tc>
            <w:tc>
              <w:tcPr>
                <w:tcW w:w="3402" w:type="dxa"/>
              </w:tcPr>
              <w:p w14:paraId="73F47F53" w14:textId="77777777" w:rsidR="00204C5A" w:rsidRPr="005F19B1" w:rsidRDefault="00204C5A" w:rsidP="004D0573">
                <w:pPr>
                  <w:tabs>
                    <w:tab w:val="left" w:pos="3122"/>
                    <w:tab w:val="right" w:pos="8838"/>
                  </w:tabs>
                  <w:spacing w:line="240" w:lineRule="auto"/>
                  <w:ind w:left="-105" w:right="-105"/>
                  <w:rPr>
                    <w:rFonts w:eastAsia="Calibri" w:cs="Tahoma"/>
                    <w:szCs w:val="22"/>
                    <w:lang w:eastAsia="en-US"/>
                  </w:rPr>
                </w:pPr>
              </w:p>
            </w:tc>
          </w:tr>
          <w:bookmarkEnd w:id="1"/>
          <w:tr w:rsidR="00204C5A" w:rsidRPr="00330DA7" w14:paraId="00E6CDC1" w14:textId="77777777" w:rsidTr="004D0573">
            <w:trPr>
              <w:trHeight w:val="283"/>
            </w:trPr>
            <w:tc>
              <w:tcPr>
                <w:tcW w:w="2727" w:type="dxa"/>
              </w:tcPr>
              <w:p w14:paraId="0631AD24" w14:textId="77777777" w:rsidR="00204C5A" w:rsidRPr="00330DA7" w:rsidRDefault="00204C5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5974C59" w:rsidR="00204C5A" w:rsidRPr="004D0573" w:rsidRDefault="00204C5A" w:rsidP="004F6D6C">
                <w:pPr>
                  <w:tabs>
                    <w:tab w:val="right" w:pos="8838"/>
                  </w:tabs>
                  <w:spacing w:line="240" w:lineRule="auto"/>
                  <w:ind w:left="-74" w:right="-105"/>
                  <w:rPr>
                    <w:rFonts w:eastAsia="Calibri" w:cs="Tahoma"/>
                    <w:szCs w:val="22"/>
                    <w:lang w:eastAsia="en-US"/>
                  </w:rPr>
                </w:pPr>
                <w:r w:rsidRPr="000E0258">
                  <w:rPr>
                    <w:rFonts w:eastAsia="Calibri" w:cs="Tahoma"/>
                    <w:szCs w:val="22"/>
                    <w:lang w:eastAsia="en-US"/>
                  </w:rPr>
                  <w:t>Ayuntamiento de Almoloya de Juárez</w:t>
                </w:r>
              </w:p>
            </w:tc>
            <w:tc>
              <w:tcPr>
                <w:tcW w:w="3402" w:type="dxa"/>
              </w:tcPr>
              <w:p w14:paraId="3A7DA319" w14:textId="77777777" w:rsidR="00204C5A" w:rsidRPr="00A90C72" w:rsidRDefault="00204C5A" w:rsidP="004D0573">
                <w:pPr>
                  <w:tabs>
                    <w:tab w:val="left" w:pos="2834"/>
                    <w:tab w:val="right" w:pos="8838"/>
                  </w:tabs>
                  <w:spacing w:line="240" w:lineRule="auto"/>
                  <w:ind w:left="-108" w:right="-105"/>
                  <w:rPr>
                    <w:rFonts w:eastAsia="Calibri" w:cs="Tahoma"/>
                    <w:szCs w:val="22"/>
                    <w:lang w:eastAsia="en-US"/>
                  </w:rPr>
                </w:pPr>
              </w:p>
            </w:tc>
          </w:tr>
          <w:tr w:rsidR="00204C5A" w:rsidRPr="00330DA7" w14:paraId="0F6CD8D2" w14:textId="77777777" w:rsidTr="004D0573">
            <w:trPr>
              <w:trHeight w:val="283"/>
            </w:trPr>
            <w:tc>
              <w:tcPr>
                <w:tcW w:w="2727" w:type="dxa"/>
              </w:tcPr>
              <w:p w14:paraId="31700628" w14:textId="0565A62A" w:rsidR="00204C5A" w:rsidRPr="00330DA7" w:rsidRDefault="00204C5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204C5A" w:rsidRPr="00EA66FC" w:rsidRDefault="00204C5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04C5A" w:rsidRPr="00330DA7" w:rsidRDefault="00204C5A" w:rsidP="004D0573">
                <w:pPr>
                  <w:tabs>
                    <w:tab w:val="right" w:pos="8838"/>
                  </w:tabs>
                  <w:spacing w:line="240" w:lineRule="auto"/>
                  <w:ind w:left="-108" w:right="-105"/>
                  <w:rPr>
                    <w:rFonts w:eastAsia="Calibri" w:cs="Tahoma"/>
                    <w:szCs w:val="22"/>
                    <w:lang w:eastAsia="en-US"/>
                  </w:rPr>
                </w:pPr>
              </w:p>
            </w:tc>
          </w:tr>
        </w:tbl>
        <w:p w14:paraId="5DC6AC61" w14:textId="77777777" w:rsidR="00204C5A" w:rsidRPr="00330DA7" w:rsidRDefault="00204C5A" w:rsidP="004D0573">
          <w:pPr>
            <w:tabs>
              <w:tab w:val="right" w:pos="8838"/>
            </w:tabs>
            <w:ind w:left="-28"/>
            <w:rPr>
              <w:rFonts w:ascii="Arial" w:eastAsia="Calibri" w:hAnsi="Arial" w:cs="Arial"/>
              <w:b/>
              <w:szCs w:val="22"/>
              <w:lang w:eastAsia="en-US"/>
            </w:rPr>
          </w:pPr>
        </w:p>
      </w:tc>
    </w:tr>
  </w:tbl>
  <w:p w14:paraId="2A906731" w14:textId="77777777" w:rsidR="00204C5A" w:rsidRPr="00765661" w:rsidRDefault="00EF18B3"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4511CC"/>
    <w:multiLevelType w:val="hybridMultilevel"/>
    <w:tmpl w:val="B9B0E01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47DB95"/>
    <w:multiLevelType w:val="hybridMultilevel"/>
    <w:tmpl w:val="1B7EC9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34932"/>
    <w:multiLevelType w:val="hybridMultilevel"/>
    <w:tmpl w:val="B31E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4" w15:restartNumberingAfterBreak="0">
    <w:nsid w:val="06B9299F"/>
    <w:multiLevelType w:val="hybridMultilevel"/>
    <w:tmpl w:val="E7FAF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CC35331"/>
    <w:multiLevelType w:val="hybridMultilevel"/>
    <w:tmpl w:val="B0121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07563A2"/>
    <w:multiLevelType w:val="hybridMultilevel"/>
    <w:tmpl w:val="0D2C953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076071C"/>
    <w:multiLevelType w:val="hybridMultilevel"/>
    <w:tmpl w:val="A44468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973FB"/>
    <w:multiLevelType w:val="multilevel"/>
    <w:tmpl w:val="578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569E0"/>
    <w:multiLevelType w:val="hybridMultilevel"/>
    <w:tmpl w:val="87B00F72"/>
    <w:lvl w:ilvl="0" w:tplc="4EC8B572">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BAD2964"/>
    <w:multiLevelType w:val="hybridMultilevel"/>
    <w:tmpl w:val="5150D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1D664C1"/>
    <w:multiLevelType w:val="hybridMultilevel"/>
    <w:tmpl w:val="07325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D95FED"/>
    <w:multiLevelType w:val="hybridMultilevel"/>
    <w:tmpl w:val="A44468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C30711"/>
    <w:multiLevelType w:val="hybridMultilevel"/>
    <w:tmpl w:val="34286D2C"/>
    <w:lvl w:ilvl="0" w:tplc="76366F6E">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5B72DB8"/>
    <w:multiLevelType w:val="hybridMultilevel"/>
    <w:tmpl w:val="43DE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E7094D"/>
    <w:multiLevelType w:val="hybridMultilevel"/>
    <w:tmpl w:val="16925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C9B1D2"/>
    <w:multiLevelType w:val="hybridMultilevel"/>
    <w:tmpl w:val="22AB6A0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E785BEF"/>
    <w:multiLevelType w:val="hybridMultilevel"/>
    <w:tmpl w:val="6CCEA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5927132"/>
    <w:multiLevelType w:val="hybridMultilevel"/>
    <w:tmpl w:val="5D0AC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7241F6"/>
    <w:multiLevelType w:val="hybridMultilevel"/>
    <w:tmpl w:val="53DEB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203D18"/>
    <w:multiLevelType w:val="hybridMultilevel"/>
    <w:tmpl w:val="1DBAB48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DD72CCA"/>
    <w:multiLevelType w:val="hybridMultilevel"/>
    <w:tmpl w:val="0F883F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114F78"/>
    <w:multiLevelType w:val="hybridMultilevel"/>
    <w:tmpl w:val="67C0B582"/>
    <w:lvl w:ilvl="0" w:tplc="6F12A6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7"/>
  </w:num>
  <w:num w:numId="4">
    <w:abstractNumId w:val="18"/>
  </w:num>
  <w:num w:numId="5">
    <w:abstractNumId w:val="28"/>
  </w:num>
  <w:num w:numId="6">
    <w:abstractNumId w:val="2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26"/>
  </w:num>
  <w:num w:numId="11">
    <w:abstractNumId w:val="17"/>
  </w:num>
  <w:num w:numId="12">
    <w:abstractNumId w:val="4"/>
  </w:num>
  <w:num w:numId="13">
    <w:abstractNumId w:val="12"/>
  </w:num>
  <w:num w:numId="14">
    <w:abstractNumId w:val="8"/>
  </w:num>
  <w:num w:numId="15">
    <w:abstractNumId w:val="27"/>
  </w:num>
  <w:num w:numId="16">
    <w:abstractNumId w:val="22"/>
  </w:num>
  <w:num w:numId="17">
    <w:abstractNumId w:val="6"/>
  </w:num>
  <w:num w:numId="18">
    <w:abstractNumId w:val="21"/>
  </w:num>
  <w:num w:numId="19">
    <w:abstractNumId w:val="25"/>
  </w:num>
  <w:num w:numId="20">
    <w:abstractNumId w:val="10"/>
  </w:num>
  <w:num w:numId="21">
    <w:abstractNumId w:val="15"/>
  </w:num>
  <w:num w:numId="22">
    <w:abstractNumId w:val="3"/>
  </w:num>
  <w:num w:numId="23">
    <w:abstractNumId w:val="0"/>
  </w:num>
  <w:num w:numId="24">
    <w:abstractNumId w:val="1"/>
  </w:num>
  <w:num w:numId="25">
    <w:abstractNumId w:val="19"/>
  </w:num>
  <w:num w:numId="26">
    <w:abstractNumId w:val="9"/>
  </w:num>
  <w:num w:numId="27">
    <w:abstractNumId w:val="11"/>
  </w:num>
  <w:num w:numId="28">
    <w:abstractNumId w:val="16"/>
  </w:num>
  <w:num w:numId="29">
    <w:abstractNumId w:val="14"/>
  </w:num>
  <w:num w:numId="30">
    <w:abstractNumId w:val="23"/>
  </w:num>
  <w:num w:numId="31">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E4A"/>
    <w:rsid w:val="000035D9"/>
    <w:rsid w:val="0000629A"/>
    <w:rsid w:val="00011232"/>
    <w:rsid w:val="0001744F"/>
    <w:rsid w:val="0002630F"/>
    <w:rsid w:val="000318BC"/>
    <w:rsid w:val="00033156"/>
    <w:rsid w:val="0003632A"/>
    <w:rsid w:val="0004144F"/>
    <w:rsid w:val="00042FBB"/>
    <w:rsid w:val="00050AC3"/>
    <w:rsid w:val="0005470C"/>
    <w:rsid w:val="00057B2D"/>
    <w:rsid w:val="00065518"/>
    <w:rsid w:val="000727A6"/>
    <w:rsid w:val="000777E2"/>
    <w:rsid w:val="00080071"/>
    <w:rsid w:val="00092F57"/>
    <w:rsid w:val="000954C3"/>
    <w:rsid w:val="000A0798"/>
    <w:rsid w:val="000A509B"/>
    <w:rsid w:val="000C2D03"/>
    <w:rsid w:val="000C3BBA"/>
    <w:rsid w:val="000C79B2"/>
    <w:rsid w:val="000D0D67"/>
    <w:rsid w:val="000E0131"/>
    <w:rsid w:val="000E0258"/>
    <w:rsid w:val="000E09C4"/>
    <w:rsid w:val="000E1C40"/>
    <w:rsid w:val="000E23B9"/>
    <w:rsid w:val="000E3AC8"/>
    <w:rsid w:val="000F32E8"/>
    <w:rsid w:val="000F361A"/>
    <w:rsid w:val="000F46F7"/>
    <w:rsid w:val="00103C8A"/>
    <w:rsid w:val="00107F71"/>
    <w:rsid w:val="0011350D"/>
    <w:rsid w:val="001144FB"/>
    <w:rsid w:val="00117DDB"/>
    <w:rsid w:val="00127130"/>
    <w:rsid w:val="00135056"/>
    <w:rsid w:val="00141876"/>
    <w:rsid w:val="0014207B"/>
    <w:rsid w:val="00150C49"/>
    <w:rsid w:val="00151112"/>
    <w:rsid w:val="0015374C"/>
    <w:rsid w:val="001544A1"/>
    <w:rsid w:val="00160605"/>
    <w:rsid w:val="001734D5"/>
    <w:rsid w:val="001803A1"/>
    <w:rsid w:val="00185C7C"/>
    <w:rsid w:val="001878E5"/>
    <w:rsid w:val="001A2CB5"/>
    <w:rsid w:val="001A58B3"/>
    <w:rsid w:val="001A6A2C"/>
    <w:rsid w:val="001C0B54"/>
    <w:rsid w:val="001C555C"/>
    <w:rsid w:val="001C6BE2"/>
    <w:rsid w:val="001C7688"/>
    <w:rsid w:val="001D0E93"/>
    <w:rsid w:val="001D2464"/>
    <w:rsid w:val="001D5BAD"/>
    <w:rsid w:val="001D7192"/>
    <w:rsid w:val="001E0CFD"/>
    <w:rsid w:val="001E7615"/>
    <w:rsid w:val="001F0118"/>
    <w:rsid w:val="001F329F"/>
    <w:rsid w:val="001F3515"/>
    <w:rsid w:val="001F6830"/>
    <w:rsid w:val="002015AE"/>
    <w:rsid w:val="00204C5A"/>
    <w:rsid w:val="00211F42"/>
    <w:rsid w:val="002207C2"/>
    <w:rsid w:val="00221455"/>
    <w:rsid w:val="00232E0B"/>
    <w:rsid w:val="00233005"/>
    <w:rsid w:val="00233F17"/>
    <w:rsid w:val="00237120"/>
    <w:rsid w:val="00240234"/>
    <w:rsid w:val="00240EF0"/>
    <w:rsid w:val="00245D19"/>
    <w:rsid w:val="002546A3"/>
    <w:rsid w:val="002553CD"/>
    <w:rsid w:val="00293D29"/>
    <w:rsid w:val="002958FA"/>
    <w:rsid w:val="002961A6"/>
    <w:rsid w:val="002961B5"/>
    <w:rsid w:val="0029641C"/>
    <w:rsid w:val="002A3601"/>
    <w:rsid w:val="002B0493"/>
    <w:rsid w:val="002B1D44"/>
    <w:rsid w:val="002B3715"/>
    <w:rsid w:val="002B4ED6"/>
    <w:rsid w:val="002B7C6F"/>
    <w:rsid w:val="002C0029"/>
    <w:rsid w:val="002C7BF8"/>
    <w:rsid w:val="002D111C"/>
    <w:rsid w:val="002E18F0"/>
    <w:rsid w:val="002E3E00"/>
    <w:rsid w:val="002F6393"/>
    <w:rsid w:val="002F676B"/>
    <w:rsid w:val="00302476"/>
    <w:rsid w:val="00303004"/>
    <w:rsid w:val="00304C8C"/>
    <w:rsid w:val="00306752"/>
    <w:rsid w:val="00306C07"/>
    <w:rsid w:val="00327203"/>
    <w:rsid w:val="00331106"/>
    <w:rsid w:val="00331F35"/>
    <w:rsid w:val="00335CDF"/>
    <w:rsid w:val="00341E94"/>
    <w:rsid w:val="00346BC2"/>
    <w:rsid w:val="00353A30"/>
    <w:rsid w:val="00362A11"/>
    <w:rsid w:val="00365F09"/>
    <w:rsid w:val="00386CD1"/>
    <w:rsid w:val="00386DD1"/>
    <w:rsid w:val="003A3A7E"/>
    <w:rsid w:val="003A40C1"/>
    <w:rsid w:val="003A67CC"/>
    <w:rsid w:val="003A6E31"/>
    <w:rsid w:val="003B0255"/>
    <w:rsid w:val="003B0AEC"/>
    <w:rsid w:val="003B2486"/>
    <w:rsid w:val="003B5D3E"/>
    <w:rsid w:val="003B66AA"/>
    <w:rsid w:val="003E1D16"/>
    <w:rsid w:val="003E51E0"/>
    <w:rsid w:val="003E78B4"/>
    <w:rsid w:val="003F28CD"/>
    <w:rsid w:val="003F35FD"/>
    <w:rsid w:val="003F3B84"/>
    <w:rsid w:val="0041385B"/>
    <w:rsid w:val="00416357"/>
    <w:rsid w:val="00430170"/>
    <w:rsid w:val="00433C6C"/>
    <w:rsid w:val="004419D4"/>
    <w:rsid w:val="00441BFA"/>
    <w:rsid w:val="00454FBD"/>
    <w:rsid w:val="004565C2"/>
    <w:rsid w:val="00473225"/>
    <w:rsid w:val="00475FF6"/>
    <w:rsid w:val="00477105"/>
    <w:rsid w:val="00481B94"/>
    <w:rsid w:val="004832E4"/>
    <w:rsid w:val="004836B2"/>
    <w:rsid w:val="004922FB"/>
    <w:rsid w:val="004A4241"/>
    <w:rsid w:val="004B001B"/>
    <w:rsid w:val="004B216A"/>
    <w:rsid w:val="004B287B"/>
    <w:rsid w:val="004C1963"/>
    <w:rsid w:val="004C43D3"/>
    <w:rsid w:val="004C6172"/>
    <w:rsid w:val="004D0573"/>
    <w:rsid w:val="004D7CD8"/>
    <w:rsid w:val="004E2939"/>
    <w:rsid w:val="004E5068"/>
    <w:rsid w:val="004F165A"/>
    <w:rsid w:val="004F6D6C"/>
    <w:rsid w:val="004F7A00"/>
    <w:rsid w:val="005122DD"/>
    <w:rsid w:val="00522385"/>
    <w:rsid w:val="00523E60"/>
    <w:rsid w:val="00523F48"/>
    <w:rsid w:val="00531C64"/>
    <w:rsid w:val="005365FA"/>
    <w:rsid w:val="00536C50"/>
    <w:rsid w:val="005432B1"/>
    <w:rsid w:val="00550AB5"/>
    <w:rsid w:val="0055624C"/>
    <w:rsid w:val="0056448D"/>
    <w:rsid w:val="005708AD"/>
    <w:rsid w:val="005723CB"/>
    <w:rsid w:val="0057419A"/>
    <w:rsid w:val="00575400"/>
    <w:rsid w:val="0058317C"/>
    <w:rsid w:val="005855FC"/>
    <w:rsid w:val="0058676B"/>
    <w:rsid w:val="00590E23"/>
    <w:rsid w:val="00591A20"/>
    <w:rsid w:val="005957E6"/>
    <w:rsid w:val="005A468E"/>
    <w:rsid w:val="005A5BF2"/>
    <w:rsid w:val="005B18AF"/>
    <w:rsid w:val="005B45A1"/>
    <w:rsid w:val="005B551A"/>
    <w:rsid w:val="005D5A50"/>
    <w:rsid w:val="005D7913"/>
    <w:rsid w:val="005F5301"/>
    <w:rsid w:val="005F65B7"/>
    <w:rsid w:val="006067C7"/>
    <w:rsid w:val="006159AD"/>
    <w:rsid w:val="006237BC"/>
    <w:rsid w:val="00646436"/>
    <w:rsid w:val="00657603"/>
    <w:rsid w:val="00664420"/>
    <w:rsid w:val="00674AB3"/>
    <w:rsid w:val="006830BA"/>
    <w:rsid w:val="00683B21"/>
    <w:rsid w:val="00684ACF"/>
    <w:rsid w:val="006A21FC"/>
    <w:rsid w:val="006A646A"/>
    <w:rsid w:val="006B10B0"/>
    <w:rsid w:val="006C4362"/>
    <w:rsid w:val="006C7EF6"/>
    <w:rsid w:val="006D3237"/>
    <w:rsid w:val="006E06F8"/>
    <w:rsid w:val="006E13CF"/>
    <w:rsid w:val="006E25BC"/>
    <w:rsid w:val="006E6BBC"/>
    <w:rsid w:val="006E7E69"/>
    <w:rsid w:val="006F07BB"/>
    <w:rsid w:val="006F1664"/>
    <w:rsid w:val="006F7768"/>
    <w:rsid w:val="00717E59"/>
    <w:rsid w:val="00724F22"/>
    <w:rsid w:val="0073203E"/>
    <w:rsid w:val="0074510E"/>
    <w:rsid w:val="007517BD"/>
    <w:rsid w:val="0075751F"/>
    <w:rsid w:val="0076337C"/>
    <w:rsid w:val="007667E1"/>
    <w:rsid w:val="00773DD6"/>
    <w:rsid w:val="00773EAB"/>
    <w:rsid w:val="00774516"/>
    <w:rsid w:val="00775BFC"/>
    <w:rsid w:val="007770D8"/>
    <w:rsid w:val="00785289"/>
    <w:rsid w:val="00792B02"/>
    <w:rsid w:val="00794BA5"/>
    <w:rsid w:val="007A095C"/>
    <w:rsid w:val="007A2B8D"/>
    <w:rsid w:val="007A3459"/>
    <w:rsid w:val="007B6074"/>
    <w:rsid w:val="007B6F7B"/>
    <w:rsid w:val="007B745A"/>
    <w:rsid w:val="007B7AFB"/>
    <w:rsid w:val="007C7C47"/>
    <w:rsid w:val="007D1C55"/>
    <w:rsid w:val="007D1C84"/>
    <w:rsid w:val="007D317F"/>
    <w:rsid w:val="007E07E1"/>
    <w:rsid w:val="007E55FC"/>
    <w:rsid w:val="007F5D06"/>
    <w:rsid w:val="00805A6E"/>
    <w:rsid w:val="00811211"/>
    <w:rsid w:val="00811AFE"/>
    <w:rsid w:val="00811F75"/>
    <w:rsid w:val="00813497"/>
    <w:rsid w:val="00823BA5"/>
    <w:rsid w:val="00826C28"/>
    <w:rsid w:val="00831728"/>
    <w:rsid w:val="00842C80"/>
    <w:rsid w:val="008530DB"/>
    <w:rsid w:val="00860F56"/>
    <w:rsid w:val="00864CC1"/>
    <w:rsid w:val="00865CF4"/>
    <w:rsid w:val="0087183B"/>
    <w:rsid w:val="00876DBC"/>
    <w:rsid w:val="00877643"/>
    <w:rsid w:val="008950DC"/>
    <w:rsid w:val="008A427E"/>
    <w:rsid w:val="008A6003"/>
    <w:rsid w:val="008A6F88"/>
    <w:rsid w:val="008A790F"/>
    <w:rsid w:val="008B1E16"/>
    <w:rsid w:val="008C1A5C"/>
    <w:rsid w:val="008D66A9"/>
    <w:rsid w:val="008E1316"/>
    <w:rsid w:val="008E6224"/>
    <w:rsid w:val="008F28F9"/>
    <w:rsid w:val="00903DBE"/>
    <w:rsid w:val="00906179"/>
    <w:rsid w:val="00910FD2"/>
    <w:rsid w:val="00911079"/>
    <w:rsid w:val="009233A1"/>
    <w:rsid w:val="00925ECA"/>
    <w:rsid w:val="00930F2D"/>
    <w:rsid w:val="00931437"/>
    <w:rsid w:val="00936B5A"/>
    <w:rsid w:val="00952651"/>
    <w:rsid w:val="00953212"/>
    <w:rsid w:val="00953430"/>
    <w:rsid w:val="00965890"/>
    <w:rsid w:val="00970EB3"/>
    <w:rsid w:val="00971586"/>
    <w:rsid w:val="0097369C"/>
    <w:rsid w:val="00976247"/>
    <w:rsid w:val="00982877"/>
    <w:rsid w:val="00985840"/>
    <w:rsid w:val="0098693C"/>
    <w:rsid w:val="00986E43"/>
    <w:rsid w:val="00993ED0"/>
    <w:rsid w:val="009A1340"/>
    <w:rsid w:val="009A2D78"/>
    <w:rsid w:val="009A2EDE"/>
    <w:rsid w:val="009A7C10"/>
    <w:rsid w:val="009B2945"/>
    <w:rsid w:val="009B4AA1"/>
    <w:rsid w:val="009C04A8"/>
    <w:rsid w:val="009D2DF4"/>
    <w:rsid w:val="009E0652"/>
    <w:rsid w:val="009E2DEE"/>
    <w:rsid w:val="009E45F2"/>
    <w:rsid w:val="009E4644"/>
    <w:rsid w:val="009E6B1C"/>
    <w:rsid w:val="009F09BF"/>
    <w:rsid w:val="009F797C"/>
    <w:rsid w:val="00A047F0"/>
    <w:rsid w:val="00A10EE4"/>
    <w:rsid w:val="00A11242"/>
    <w:rsid w:val="00A12108"/>
    <w:rsid w:val="00A12AFA"/>
    <w:rsid w:val="00A131AC"/>
    <w:rsid w:val="00A13FD0"/>
    <w:rsid w:val="00A16D85"/>
    <w:rsid w:val="00A21A20"/>
    <w:rsid w:val="00A25F1A"/>
    <w:rsid w:val="00A35DA7"/>
    <w:rsid w:val="00A36A99"/>
    <w:rsid w:val="00A41792"/>
    <w:rsid w:val="00A53315"/>
    <w:rsid w:val="00A56D41"/>
    <w:rsid w:val="00A6091A"/>
    <w:rsid w:val="00A63966"/>
    <w:rsid w:val="00A6415E"/>
    <w:rsid w:val="00A70EF0"/>
    <w:rsid w:val="00A76102"/>
    <w:rsid w:val="00A815EA"/>
    <w:rsid w:val="00A9208D"/>
    <w:rsid w:val="00A92D12"/>
    <w:rsid w:val="00A964CC"/>
    <w:rsid w:val="00AA3AE9"/>
    <w:rsid w:val="00AA6EA9"/>
    <w:rsid w:val="00AB44A7"/>
    <w:rsid w:val="00AB6BBD"/>
    <w:rsid w:val="00AC2DB8"/>
    <w:rsid w:val="00AC3CA0"/>
    <w:rsid w:val="00AD4855"/>
    <w:rsid w:val="00AE3DA7"/>
    <w:rsid w:val="00AE5AEF"/>
    <w:rsid w:val="00AF03C4"/>
    <w:rsid w:val="00AF7696"/>
    <w:rsid w:val="00B137E8"/>
    <w:rsid w:val="00B169A2"/>
    <w:rsid w:val="00B22A80"/>
    <w:rsid w:val="00B271B8"/>
    <w:rsid w:val="00B348A2"/>
    <w:rsid w:val="00B36848"/>
    <w:rsid w:val="00B373AF"/>
    <w:rsid w:val="00B47DF0"/>
    <w:rsid w:val="00B55C8E"/>
    <w:rsid w:val="00B56734"/>
    <w:rsid w:val="00B61BCE"/>
    <w:rsid w:val="00B65555"/>
    <w:rsid w:val="00B75BA6"/>
    <w:rsid w:val="00B80A20"/>
    <w:rsid w:val="00B822AE"/>
    <w:rsid w:val="00B85975"/>
    <w:rsid w:val="00B85E5A"/>
    <w:rsid w:val="00BA1AB6"/>
    <w:rsid w:val="00BA27B5"/>
    <w:rsid w:val="00BA2B6C"/>
    <w:rsid w:val="00BA55A8"/>
    <w:rsid w:val="00BA6767"/>
    <w:rsid w:val="00BB2ABF"/>
    <w:rsid w:val="00BB64F4"/>
    <w:rsid w:val="00BB702C"/>
    <w:rsid w:val="00BC1202"/>
    <w:rsid w:val="00BD13C0"/>
    <w:rsid w:val="00BD2738"/>
    <w:rsid w:val="00BD3F4F"/>
    <w:rsid w:val="00BD5A7C"/>
    <w:rsid w:val="00BD67FB"/>
    <w:rsid w:val="00BE7A1B"/>
    <w:rsid w:val="00BF0221"/>
    <w:rsid w:val="00BF091A"/>
    <w:rsid w:val="00BF4A10"/>
    <w:rsid w:val="00BF4EAD"/>
    <w:rsid w:val="00BF4F76"/>
    <w:rsid w:val="00BF51BF"/>
    <w:rsid w:val="00BF568A"/>
    <w:rsid w:val="00BF5883"/>
    <w:rsid w:val="00BF7DCC"/>
    <w:rsid w:val="00C00D03"/>
    <w:rsid w:val="00C049E2"/>
    <w:rsid w:val="00C10D59"/>
    <w:rsid w:val="00C15830"/>
    <w:rsid w:val="00C229BF"/>
    <w:rsid w:val="00C30616"/>
    <w:rsid w:val="00C351EC"/>
    <w:rsid w:val="00C36795"/>
    <w:rsid w:val="00C42CA7"/>
    <w:rsid w:val="00C45145"/>
    <w:rsid w:val="00C461EC"/>
    <w:rsid w:val="00C507D4"/>
    <w:rsid w:val="00C518E1"/>
    <w:rsid w:val="00C71CEF"/>
    <w:rsid w:val="00C72DAA"/>
    <w:rsid w:val="00C73A98"/>
    <w:rsid w:val="00C7571D"/>
    <w:rsid w:val="00C80359"/>
    <w:rsid w:val="00C80B14"/>
    <w:rsid w:val="00C87502"/>
    <w:rsid w:val="00C93D85"/>
    <w:rsid w:val="00CA0628"/>
    <w:rsid w:val="00CA177B"/>
    <w:rsid w:val="00CA1D89"/>
    <w:rsid w:val="00CA50B3"/>
    <w:rsid w:val="00CB306E"/>
    <w:rsid w:val="00CB5094"/>
    <w:rsid w:val="00CB6331"/>
    <w:rsid w:val="00CB7C31"/>
    <w:rsid w:val="00CB7E9A"/>
    <w:rsid w:val="00CC4DB3"/>
    <w:rsid w:val="00CD0B92"/>
    <w:rsid w:val="00CD3244"/>
    <w:rsid w:val="00CE1DFB"/>
    <w:rsid w:val="00CE29D3"/>
    <w:rsid w:val="00CE3DBD"/>
    <w:rsid w:val="00CE4C7D"/>
    <w:rsid w:val="00CE58F2"/>
    <w:rsid w:val="00CF2D8B"/>
    <w:rsid w:val="00CF7586"/>
    <w:rsid w:val="00CF7F0C"/>
    <w:rsid w:val="00D036D3"/>
    <w:rsid w:val="00D07C17"/>
    <w:rsid w:val="00D161C4"/>
    <w:rsid w:val="00D20F37"/>
    <w:rsid w:val="00D228A6"/>
    <w:rsid w:val="00D2790D"/>
    <w:rsid w:val="00D44B43"/>
    <w:rsid w:val="00D51ECD"/>
    <w:rsid w:val="00D52962"/>
    <w:rsid w:val="00D53CE6"/>
    <w:rsid w:val="00D5461D"/>
    <w:rsid w:val="00D55FDA"/>
    <w:rsid w:val="00D6170E"/>
    <w:rsid w:val="00D639D8"/>
    <w:rsid w:val="00D91CB4"/>
    <w:rsid w:val="00DA3CF6"/>
    <w:rsid w:val="00DA54C1"/>
    <w:rsid w:val="00DA57D2"/>
    <w:rsid w:val="00DA77BA"/>
    <w:rsid w:val="00DB1C09"/>
    <w:rsid w:val="00DC11A3"/>
    <w:rsid w:val="00DC30FA"/>
    <w:rsid w:val="00DC669D"/>
    <w:rsid w:val="00DD1939"/>
    <w:rsid w:val="00DD22A2"/>
    <w:rsid w:val="00DE1133"/>
    <w:rsid w:val="00DE5DCF"/>
    <w:rsid w:val="00E11AA0"/>
    <w:rsid w:val="00E13E4C"/>
    <w:rsid w:val="00E16BF5"/>
    <w:rsid w:val="00E27023"/>
    <w:rsid w:val="00E30FEC"/>
    <w:rsid w:val="00E33233"/>
    <w:rsid w:val="00E37496"/>
    <w:rsid w:val="00E37A3F"/>
    <w:rsid w:val="00E37D3C"/>
    <w:rsid w:val="00E47A6C"/>
    <w:rsid w:val="00E615B5"/>
    <w:rsid w:val="00E617DF"/>
    <w:rsid w:val="00E62DFF"/>
    <w:rsid w:val="00E62E6A"/>
    <w:rsid w:val="00E73A29"/>
    <w:rsid w:val="00E83EF5"/>
    <w:rsid w:val="00E9335C"/>
    <w:rsid w:val="00EA41DC"/>
    <w:rsid w:val="00EA7218"/>
    <w:rsid w:val="00ED1C1E"/>
    <w:rsid w:val="00EE0860"/>
    <w:rsid w:val="00EE1CF5"/>
    <w:rsid w:val="00EE2AF2"/>
    <w:rsid w:val="00EE7028"/>
    <w:rsid w:val="00EE77E9"/>
    <w:rsid w:val="00EF18B3"/>
    <w:rsid w:val="00EF6D46"/>
    <w:rsid w:val="00F06548"/>
    <w:rsid w:val="00F07EE6"/>
    <w:rsid w:val="00F25625"/>
    <w:rsid w:val="00F2624D"/>
    <w:rsid w:val="00F32348"/>
    <w:rsid w:val="00F33CC8"/>
    <w:rsid w:val="00F36EF8"/>
    <w:rsid w:val="00F4481C"/>
    <w:rsid w:val="00F45902"/>
    <w:rsid w:val="00F52005"/>
    <w:rsid w:val="00F52089"/>
    <w:rsid w:val="00F75D23"/>
    <w:rsid w:val="00F8112B"/>
    <w:rsid w:val="00F81946"/>
    <w:rsid w:val="00F8365A"/>
    <w:rsid w:val="00F8547A"/>
    <w:rsid w:val="00F86DF5"/>
    <w:rsid w:val="00F93742"/>
    <w:rsid w:val="00FA5957"/>
    <w:rsid w:val="00FC3CE0"/>
    <w:rsid w:val="00FC7090"/>
    <w:rsid w:val="00FD06A8"/>
    <w:rsid w:val="00FF30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8259D297-5E53-4766-9F7C-419A5302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 w:type="character" w:customStyle="1" w:styleId="Mencinsinresolver3">
    <w:name w:val="Mención sin resolver3"/>
    <w:basedOn w:val="Fuentedeprrafopredeter"/>
    <w:uiPriority w:val="99"/>
    <w:semiHidden/>
    <w:unhideWhenUsed/>
    <w:rsid w:val="00DA3CF6"/>
    <w:rPr>
      <w:color w:val="605E5C"/>
      <w:shd w:val="clear" w:color="auto" w:fill="E1DFDD"/>
    </w:rPr>
  </w:style>
  <w:style w:type="paragraph" w:styleId="NormalWeb">
    <w:name w:val="Normal (Web)"/>
    <w:basedOn w:val="Normal"/>
    <w:uiPriority w:val="99"/>
    <w:rsid w:val="00811AFE"/>
    <w:pPr>
      <w:spacing w:before="100" w:beforeAutospacing="1" w:after="100" w:afterAutospacing="1" w:line="240" w:lineRule="auto"/>
      <w:jc w:val="left"/>
    </w:pPr>
    <w:rPr>
      <w:rFonts w:ascii="Times New Roman" w:hAnsi="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8879">
      <w:bodyDiv w:val="1"/>
      <w:marLeft w:val="0"/>
      <w:marRight w:val="0"/>
      <w:marTop w:val="0"/>
      <w:marBottom w:val="0"/>
      <w:divBdr>
        <w:top w:val="none" w:sz="0" w:space="0" w:color="auto"/>
        <w:left w:val="none" w:sz="0" w:space="0" w:color="auto"/>
        <w:bottom w:val="none" w:sz="0" w:space="0" w:color="auto"/>
        <w:right w:val="none" w:sz="0" w:space="0" w:color="auto"/>
      </w:divBdr>
    </w:div>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26001488">
      <w:bodyDiv w:val="1"/>
      <w:marLeft w:val="0"/>
      <w:marRight w:val="0"/>
      <w:marTop w:val="0"/>
      <w:marBottom w:val="0"/>
      <w:divBdr>
        <w:top w:val="none" w:sz="0" w:space="0" w:color="auto"/>
        <w:left w:val="none" w:sz="0" w:space="0" w:color="auto"/>
        <w:bottom w:val="none" w:sz="0" w:space="0" w:color="auto"/>
        <w:right w:val="none" w:sz="0" w:space="0" w:color="auto"/>
      </w:divBdr>
    </w:div>
    <w:div w:id="44226121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691802601">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6634921">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958145649">
      <w:bodyDiv w:val="1"/>
      <w:marLeft w:val="0"/>
      <w:marRight w:val="0"/>
      <w:marTop w:val="0"/>
      <w:marBottom w:val="0"/>
      <w:divBdr>
        <w:top w:val="none" w:sz="0" w:space="0" w:color="auto"/>
        <w:left w:val="none" w:sz="0" w:space="0" w:color="auto"/>
        <w:bottom w:val="none" w:sz="0" w:space="0" w:color="auto"/>
        <w:right w:val="none" w:sz="0" w:space="0" w:color="auto"/>
      </w:divBdr>
    </w:div>
    <w:div w:id="1052076460">
      <w:bodyDiv w:val="1"/>
      <w:marLeft w:val="0"/>
      <w:marRight w:val="0"/>
      <w:marTop w:val="0"/>
      <w:marBottom w:val="0"/>
      <w:divBdr>
        <w:top w:val="none" w:sz="0" w:space="0" w:color="auto"/>
        <w:left w:val="none" w:sz="0" w:space="0" w:color="auto"/>
        <w:bottom w:val="none" w:sz="0" w:space="0" w:color="auto"/>
        <w:right w:val="none" w:sz="0" w:space="0" w:color="auto"/>
      </w:divBdr>
    </w:div>
    <w:div w:id="1105231048">
      <w:bodyDiv w:val="1"/>
      <w:marLeft w:val="0"/>
      <w:marRight w:val="0"/>
      <w:marTop w:val="0"/>
      <w:marBottom w:val="0"/>
      <w:divBdr>
        <w:top w:val="none" w:sz="0" w:space="0" w:color="auto"/>
        <w:left w:val="none" w:sz="0" w:space="0" w:color="auto"/>
        <w:bottom w:val="none" w:sz="0" w:space="0" w:color="auto"/>
        <w:right w:val="none" w:sz="0" w:space="0" w:color="auto"/>
      </w:divBdr>
    </w:div>
    <w:div w:id="1161576796">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197425498">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3087626">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59952135">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3560149">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624843862">
      <w:bodyDiv w:val="1"/>
      <w:marLeft w:val="0"/>
      <w:marRight w:val="0"/>
      <w:marTop w:val="0"/>
      <w:marBottom w:val="0"/>
      <w:divBdr>
        <w:top w:val="none" w:sz="0" w:space="0" w:color="auto"/>
        <w:left w:val="none" w:sz="0" w:space="0" w:color="auto"/>
        <w:bottom w:val="none" w:sz="0" w:space="0" w:color="auto"/>
        <w:right w:val="none" w:sz="0" w:space="0" w:color="auto"/>
      </w:divBdr>
    </w:div>
    <w:div w:id="1657686951">
      <w:bodyDiv w:val="1"/>
      <w:marLeft w:val="0"/>
      <w:marRight w:val="0"/>
      <w:marTop w:val="0"/>
      <w:marBottom w:val="0"/>
      <w:divBdr>
        <w:top w:val="none" w:sz="0" w:space="0" w:color="auto"/>
        <w:left w:val="none" w:sz="0" w:space="0" w:color="auto"/>
        <w:bottom w:val="none" w:sz="0" w:space="0" w:color="auto"/>
        <w:right w:val="none" w:sz="0" w:space="0" w:color="auto"/>
      </w:divBdr>
    </w:div>
    <w:div w:id="1692419067">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4829645">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retariadoejecutivo.gob.mx/work/models/SecretariadoEjecutivo/Resource/328/1/images/instructivo_final_edo_fuerza(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AA5BA2-50F5-4288-B724-B14B32F7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10636</Words>
  <Characters>58503</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2025-10-17T02:58:00Z</cp:lastPrinted>
  <dcterms:created xsi:type="dcterms:W3CDTF">2025-10-08T18:47:00Z</dcterms:created>
  <dcterms:modified xsi:type="dcterms:W3CDTF">2026-01-26T20:40:00Z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