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6B8" w:rsidRDefault="006476B8">
      <w:pPr>
        <w:widowControl w:val="0"/>
        <w:pBdr>
          <w:top w:val="nil"/>
          <w:left w:val="nil"/>
          <w:bottom w:val="nil"/>
          <w:right w:val="nil"/>
          <w:between w:val="nil"/>
        </w:pBdr>
        <w:spacing w:line="276" w:lineRule="auto"/>
      </w:pPr>
    </w:p>
    <w:p w:rsidR="006476B8" w:rsidRPr="0001715E" w:rsidRDefault="00E40CA1">
      <w:pPr>
        <w:tabs>
          <w:tab w:val="left" w:pos="3465"/>
        </w:tabs>
        <w:spacing w:line="360" w:lineRule="auto"/>
        <w:ind w:right="-787"/>
        <w:jc w:val="both"/>
        <w:rPr>
          <w:rFonts w:ascii="Palatino Linotype" w:eastAsia="Palatino Linotype" w:hAnsi="Palatino Linotype" w:cs="Palatino Linotype"/>
        </w:rPr>
      </w:pPr>
      <w:r w:rsidRPr="0001715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8D02C6" w:rsidRPr="0001715E">
        <w:rPr>
          <w:rFonts w:ascii="Palatino Linotype" w:eastAsia="Palatino Linotype" w:hAnsi="Palatino Linotype" w:cs="Palatino Linotype"/>
        </w:rPr>
        <w:t>dos (02) de abril</w:t>
      </w:r>
      <w:r w:rsidRPr="0001715E">
        <w:rPr>
          <w:rFonts w:ascii="Palatino Linotype" w:eastAsia="Palatino Linotype" w:hAnsi="Palatino Linotype" w:cs="Palatino Linotype"/>
        </w:rPr>
        <w:t xml:space="preserve"> de dos mil veinticinco.</w:t>
      </w:r>
    </w:p>
    <w:p w:rsidR="006476B8" w:rsidRPr="0001715E" w:rsidRDefault="006476B8">
      <w:pPr>
        <w:tabs>
          <w:tab w:val="left" w:pos="3465"/>
        </w:tabs>
        <w:spacing w:line="360" w:lineRule="auto"/>
        <w:ind w:right="-787"/>
        <w:jc w:val="both"/>
        <w:rPr>
          <w:rFonts w:ascii="Palatino Linotype" w:eastAsia="Palatino Linotype" w:hAnsi="Palatino Linotype" w:cs="Palatino Linotype"/>
        </w:rPr>
      </w:pPr>
    </w:p>
    <w:p w:rsidR="006476B8" w:rsidRPr="0001715E" w:rsidRDefault="00E40CA1">
      <w:pPr>
        <w:spacing w:line="360" w:lineRule="auto"/>
        <w:ind w:right="-787"/>
        <w:jc w:val="both"/>
        <w:rPr>
          <w:rFonts w:ascii="Palatino Linotype" w:eastAsia="Palatino Linotype" w:hAnsi="Palatino Linotype" w:cs="Palatino Linotype"/>
        </w:rPr>
      </w:pPr>
      <w:r w:rsidRPr="0001715E">
        <w:rPr>
          <w:rFonts w:ascii="Palatino Linotype" w:eastAsia="Palatino Linotype" w:hAnsi="Palatino Linotype" w:cs="Palatino Linotype"/>
          <w:b/>
        </w:rPr>
        <w:t xml:space="preserve">VISTAS </w:t>
      </w:r>
      <w:r w:rsidRPr="0001715E">
        <w:rPr>
          <w:rFonts w:ascii="Palatino Linotype" w:eastAsia="Palatino Linotype" w:hAnsi="Palatino Linotype" w:cs="Palatino Linotype"/>
        </w:rPr>
        <w:t xml:space="preserve">las constancias para resolver </w:t>
      </w:r>
      <w:r w:rsidRPr="0001715E">
        <w:rPr>
          <w:rFonts w:ascii="Palatino Linotype" w:eastAsia="Palatino Linotype" w:hAnsi="Palatino Linotype" w:cs="Palatino Linotype"/>
          <w:color w:val="000000"/>
        </w:rPr>
        <w:t xml:space="preserve">el Recurso de Revisión </w:t>
      </w:r>
      <w:r w:rsidR="00332822" w:rsidRPr="0001715E">
        <w:rPr>
          <w:rFonts w:ascii="Palatino Linotype" w:eastAsia="Palatino Linotype" w:hAnsi="Palatino Linotype" w:cs="Palatino Linotype"/>
          <w:b/>
          <w:color w:val="000000"/>
        </w:rPr>
        <w:t>00043/INFOEM/IP/RR/2025</w:t>
      </w:r>
      <w:r w:rsidRPr="0001715E">
        <w:rPr>
          <w:rFonts w:ascii="Palatino Linotype" w:eastAsia="Palatino Linotype" w:hAnsi="Palatino Linotype" w:cs="Palatino Linotype"/>
          <w:color w:val="000000"/>
        </w:rPr>
        <w:t xml:space="preserve">, promovido </w:t>
      </w:r>
      <w:r w:rsidR="005B528C">
        <w:rPr>
          <w:rFonts w:ascii="Palatino Linotype" w:eastAsia="Palatino Linotype" w:hAnsi="Palatino Linotype" w:cs="Palatino Linotype"/>
          <w:b/>
        </w:rPr>
        <w:t>XXXX</w:t>
      </w:r>
      <w:r w:rsidRPr="0001715E">
        <w:rPr>
          <w:rFonts w:ascii="Palatino Linotype" w:eastAsia="Palatino Linotype" w:hAnsi="Palatino Linotype" w:cs="Palatino Linotype"/>
          <w:color w:val="000000"/>
        </w:rPr>
        <w:t>,</w:t>
      </w:r>
      <w:r w:rsidRPr="0001715E">
        <w:rPr>
          <w:rFonts w:ascii="Palatino Linotype" w:eastAsia="Palatino Linotype" w:hAnsi="Palatino Linotype" w:cs="Palatino Linotype"/>
          <w:b/>
        </w:rPr>
        <w:t xml:space="preserve"> </w:t>
      </w:r>
      <w:r w:rsidRPr="0001715E">
        <w:rPr>
          <w:rFonts w:ascii="Palatino Linotype" w:eastAsia="Palatino Linotype" w:hAnsi="Palatino Linotype" w:cs="Palatino Linotype"/>
        </w:rPr>
        <w:t>a quie</w:t>
      </w:r>
      <w:r w:rsidR="00332822" w:rsidRPr="0001715E">
        <w:rPr>
          <w:rFonts w:ascii="Palatino Linotype" w:eastAsia="Palatino Linotype" w:hAnsi="Palatino Linotype" w:cs="Palatino Linotype"/>
        </w:rPr>
        <w:t xml:space="preserve">n en lo sucesivo se denominará </w:t>
      </w:r>
      <w:r w:rsidRPr="0001715E">
        <w:rPr>
          <w:rFonts w:ascii="Palatino Linotype" w:eastAsia="Palatino Linotype" w:hAnsi="Palatino Linotype" w:cs="Palatino Linotype"/>
          <w:b/>
        </w:rPr>
        <w:t>EL RECURRENTE</w:t>
      </w:r>
      <w:r w:rsidRPr="0001715E">
        <w:rPr>
          <w:rFonts w:ascii="Palatino Linotype" w:eastAsia="Palatino Linotype" w:hAnsi="Palatino Linotype" w:cs="Palatino Linotype"/>
        </w:rPr>
        <w:t xml:space="preserve">, en contra de la respuesta otorgada a la solicitud de información </w:t>
      </w:r>
      <w:r w:rsidR="00332822" w:rsidRPr="0001715E">
        <w:rPr>
          <w:rFonts w:ascii="Palatino Linotype" w:eastAsia="Palatino Linotype" w:hAnsi="Palatino Linotype" w:cs="Palatino Linotype"/>
          <w:b/>
        </w:rPr>
        <w:t>00059/TIMILPAN/IP/2024</w:t>
      </w:r>
      <w:r w:rsidRPr="0001715E">
        <w:rPr>
          <w:rFonts w:ascii="Palatino Linotype" w:eastAsia="Palatino Linotype" w:hAnsi="Palatino Linotype" w:cs="Palatino Linotype"/>
        </w:rPr>
        <w:t xml:space="preserve">, por parte del </w:t>
      </w:r>
      <w:r w:rsidR="00332822" w:rsidRPr="0001715E">
        <w:rPr>
          <w:rFonts w:ascii="Palatino Linotype" w:eastAsia="Palatino Linotype" w:hAnsi="Palatino Linotype" w:cs="Palatino Linotype"/>
          <w:b/>
        </w:rPr>
        <w:t>Ayuntamiento de Timilpan</w:t>
      </w:r>
      <w:r w:rsidRPr="0001715E">
        <w:rPr>
          <w:rFonts w:ascii="Palatino Linotype" w:eastAsia="Palatino Linotype" w:hAnsi="Palatino Linotype" w:cs="Palatino Linotype"/>
          <w:b/>
        </w:rPr>
        <w:t xml:space="preserve">, </w:t>
      </w:r>
      <w:r w:rsidRPr="0001715E">
        <w:rPr>
          <w:rFonts w:ascii="Palatino Linotype" w:eastAsia="Palatino Linotype" w:hAnsi="Palatino Linotype" w:cs="Palatino Linotype"/>
        </w:rPr>
        <w:t xml:space="preserve">en adelante el </w:t>
      </w:r>
      <w:r w:rsidRPr="0001715E">
        <w:rPr>
          <w:rFonts w:ascii="Palatino Linotype" w:eastAsia="Palatino Linotype" w:hAnsi="Palatino Linotype" w:cs="Palatino Linotype"/>
          <w:b/>
        </w:rPr>
        <w:t>SUJETO OBLIGADO,</w:t>
      </w:r>
      <w:r w:rsidRPr="0001715E">
        <w:rPr>
          <w:rFonts w:ascii="Palatino Linotype" w:eastAsia="Palatino Linotype" w:hAnsi="Palatino Linotype" w:cs="Palatino Linotype"/>
        </w:rPr>
        <w:t xml:space="preserve"> se emite la presente resolución con base en los siguientes:</w:t>
      </w:r>
    </w:p>
    <w:p w:rsidR="006476B8" w:rsidRPr="0001715E" w:rsidRDefault="00332822">
      <w:pPr>
        <w:spacing w:line="360" w:lineRule="auto"/>
        <w:ind w:right="-787"/>
        <w:jc w:val="both"/>
        <w:rPr>
          <w:rFonts w:ascii="Palatino Linotype" w:eastAsia="Palatino Linotype" w:hAnsi="Palatino Linotype" w:cs="Palatino Linotype"/>
        </w:rPr>
      </w:pPr>
      <w:r w:rsidRPr="0001715E">
        <w:rPr>
          <w:rFonts w:ascii="Palatino Linotype" w:eastAsia="Palatino Linotype" w:hAnsi="Palatino Linotype" w:cs="Palatino Linotype"/>
        </w:rPr>
        <w:t xml:space="preserve"> </w:t>
      </w:r>
    </w:p>
    <w:p w:rsidR="006476B8" w:rsidRPr="0001715E" w:rsidRDefault="00E40CA1">
      <w:pPr>
        <w:pStyle w:val="Ttulo1"/>
        <w:spacing w:before="0" w:line="360" w:lineRule="auto"/>
        <w:ind w:right="-787"/>
        <w:jc w:val="center"/>
        <w:rPr>
          <w:rFonts w:ascii="Palatino Linotype" w:eastAsia="Palatino Linotype" w:hAnsi="Palatino Linotype" w:cs="Palatino Linotype"/>
          <w:b/>
          <w:color w:val="000000"/>
          <w:sz w:val="24"/>
          <w:szCs w:val="24"/>
        </w:rPr>
      </w:pPr>
      <w:bookmarkStart w:id="0" w:name="_heading=h.gjdgxs" w:colFirst="0" w:colLast="0"/>
      <w:bookmarkEnd w:id="0"/>
      <w:r w:rsidRPr="0001715E">
        <w:rPr>
          <w:rFonts w:ascii="Palatino Linotype" w:eastAsia="Palatino Linotype" w:hAnsi="Palatino Linotype" w:cs="Palatino Linotype"/>
          <w:b/>
          <w:color w:val="000000"/>
          <w:sz w:val="24"/>
          <w:szCs w:val="24"/>
        </w:rPr>
        <w:t>A N T E C E D E N T E S</w:t>
      </w:r>
    </w:p>
    <w:p w:rsidR="006476B8" w:rsidRPr="0001715E" w:rsidRDefault="006476B8">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6476B8" w:rsidRPr="0001715E" w:rsidRDefault="00E40CA1">
      <w:pPr>
        <w:numPr>
          <w:ilvl w:val="0"/>
          <w:numId w:val="1"/>
        </w:numPr>
        <w:pBdr>
          <w:top w:val="nil"/>
          <w:left w:val="nil"/>
          <w:bottom w:val="nil"/>
          <w:right w:val="nil"/>
          <w:between w:val="nil"/>
        </w:pBdr>
        <w:tabs>
          <w:tab w:val="left" w:pos="0"/>
        </w:tabs>
        <w:spacing w:line="360" w:lineRule="auto"/>
        <w:ind w:left="0" w:right="-787" w:firstLine="0"/>
        <w:jc w:val="both"/>
        <w:rPr>
          <w:color w:val="000000"/>
        </w:rPr>
      </w:pPr>
      <w:r w:rsidRPr="0001715E">
        <w:rPr>
          <w:rFonts w:ascii="Palatino Linotype" w:eastAsia="Palatino Linotype" w:hAnsi="Palatino Linotype" w:cs="Palatino Linotype"/>
          <w:color w:val="000000"/>
        </w:rPr>
        <w:t xml:space="preserve">El </w:t>
      </w:r>
      <w:r w:rsidR="00332822" w:rsidRPr="0001715E">
        <w:rPr>
          <w:rFonts w:ascii="Palatino Linotype" w:eastAsia="Palatino Linotype" w:hAnsi="Palatino Linotype" w:cs="Palatino Linotype"/>
          <w:b/>
          <w:color w:val="000000"/>
        </w:rPr>
        <w:t>once de diciembre de dos mil veinticuatro</w:t>
      </w:r>
      <w:r w:rsidRPr="0001715E">
        <w:rPr>
          <w:rFonts w:ascii="Palatino Linotype" w:eastAsia="Palatino Linotype" w:hAnsi="Palatino Linotype" w:cs="Palatino Linotype"/>
          <w:color w:val="000000"/>
        </w:rPr>
        <w:t>,</w:t>
      </w:r>
      <w:r w:rsidRPr="0001715E">
        <w:rPr>
          <w:rFonts w:ascii="Palatino Linotype" w:eastAsia="Palatino Linotype" w:hAnsi="Palatino Linotype" w:cs="Palatino Linotype"/>
          <w:b/>
          <w:color w:val="000000"/>
        </w:rPr>
        <w:t xml:space="preserve"> </w:t>
      </w:r>
      <w:r w:rsidRPr="0001715E">
        <w:rPr>
          <w:rFonts w:ascii="Palatino Linotype" w:eastAsia="Palatino Linotype" w:hAnsi="Palatino Linotype" w:cs="Palatino Linotype"/>
          <w:color w:val="000000"/>
        </w:rPr>
        <w:t>se presentó ante el Sujeto Obligado a través del Sistema de Acceso a la Información Mexiquense (SAIMEX), la siguiente solicitud de información pública:</w:t>
      </w:r>
    </w:p>
    <w:p w:rsidR="006476B8" w:rsidRPr="0001715E" w:rsidRDefault="006476B8">
      <w:pPr>
        <w:pBdr>
          <w:top w:val="nil"/>
          <w:left w:val="nil"/>
          <w:bottom w:val="nil"/>
          <w:right w:val="nil"/>
          <w:between w:val="nil"/>
        </w:pBdr>
        <w:ind w:right="-787"/>
        <w:jc w:val="both"/>
        <w:rPr>
          <w:rFonts w:ascii="Palatino Linotype" w:eastAsia="Palatino Linotype" w:hAnsi="Palatino Linotype" w:cs="Palatino Linotype"/>
          <w:color w:val="000000"/>
        </w:rPr>
      </w:pPr>
    </w:p>
    <w:p w:rsidR="006476B8" w:rsidRPr="0001715E" w:rsidRDefault="00E40CA1">
      <w:pPr>
        <w:pBdr>
          <w:top w:val="nil"/>
          <w:left w:val="nil"/>
          <w:bottom w:val="nil"/>
          <w:right w:val="nil"/>
          <w:between w:val="nil"/>
        </w:pBdr>
        <w:ind w:left="567" w:right="-787"/>
        <w:jc w:val="both"/>
        <w:rPr>
          <w:rFonts w:ascii="Palatino Linotype" w:eastAsia="Palatino Linotype" w:hAnsi="Palatino Linotype" w:cs="Palatino Linotype"/>
          <w:i/>
          <w:color w:val="000000"/>
        </w:rPr>
      </w:pPr>
      <w:r w:rsidRPr="0001715E">
        <w:rPr>
          <w:rFonts w:ascii="Palatino Linotype" w:eastAsia="Palatino Linotype" w:hAnsi="Palatino Linotype" w:cs="Palatino Linotype"/>
          <w:i/>
          <w:color w:val="000000"/>
        </w:rPr>
        <w:t>“</w:t>
      </w:r>
      <w:r w:rsidR="00332822" w:rsidRPr="0001715E">
        <w:rPr>
          <w:rFonts w:ascii="Palatino Linotype" w:eastAsia="Palatino Linotype" w:hAnsi="Palatino Linotype" w:cs="Palatino Linotype"/>
          <w:i/>
          <w:color w:val="000000"/>
        </w:rPr>
        <w:t>Tabulador de sueldos y salarios 2024</w:t>
      </w:r>
      <w:r w:rsidRPr="0001715E">
        <w:rPr>
          <w:rFonts w:ascii="Palatino Linotype" w:eastAsia="Palatino Linotype" w:hAnsi="Palatino Linotype" w:cs="Palatino Linotype"/>
          <w:i/>
          <w:color w:val="000000"/>
        </w:rPr>
        <w:t>” (Sic)</w:t>
      </w:r>
    </w:p>
    <w:p w:rsidR="006476B8" w:rsidRPr="0001715E" w:rsidRDefault="006476B8">
      <w:pPr>
        <w:spacing w:line="360" w:lineRule="auto"/>
        <w:ind w:right="-787"/>
        <w:jc w:val="both"/>
        <w:rPr>
          <w:rFonts w:ascii="Palatino Linotype" w:eastAsia="Palatino Linotype" w:hAnsi="Palatino Linotype" w:cs="Palatino Linotype"/>
        </w:rPr>
      </w:pPr>
    </w:p>
    <w:p w:rsidR="006476B8" w:rsidRPr="0001715E" w:rsidRDefault="00E40CA1">
      <w:pPr>
        <w:numPr>
          <w:ilvl w:val="0"/>
          <w:numId w:val="13"/>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sidRPr="0001715E">
        <w:rPr>
          <w:rFonts w:ascii="Palatino Linotype" w:eastAsia="Palatino Linotype" w:hAnsi="Palatino Linotype" w:cs="Palatino Linotype"/>
          <w:color w:val="000000"/>
        </w:rPr>
        <w:t xml:space="preserve">Se eligió como modalidad de entrega de la información: A través del </w:t>
      </w:r>
      <w:r w:rsidRPr="0001715E">
        <w:rPr>
          <w:rFonts w:ascii="Palatino Linotype" w:eastAsia="Palatino Linotype" w:hAnsi="Palatino Linotype" w:cs="Palatino Linotype"/>
          <w:b/>
          <w:color w:val="000000"/>
        </w:rPr>
        <w:t>SAIMEX.</w:t>
      </w:r>
    </w:p>
    <w:p w:rsidR="006476B8" w:rsidRPr="0001715E" w:rsidRDefault="006476B8">
      <w:p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p>
    <w:p w:rsidR="006476B8" w:rsidRPr="0001715E" w:rsidRDefault="00E40CA1">
      <w:pPr>
        <w:numPr>
          <w:ilvl w:val="0"/>
          <w:numId w:val="1"/>
        </w:numPr>
        <w:pBdr>
          <w:top w:val="nil"/>
          <w:left w:val="nil"/>
          <w:bottom w:val="nil"/>
          <w:right w:val="nil"/>
          <w:between w:val="nil"/>
        </w:pBdr>
        <w:tabs>
          <w:tab w:val="left" w:pos="0"/>
        </w:tabs>
        <w:spacing w:line="360" w:lineRule="auto"/>
        <w:ind w:left="0" w:right="-787" w:firstLine="0"/>
        <w:jc w:val="both"/>
        <w:rPr>
          <w:color w:val="000000"/>
        </w:rPr>
      </w:pPr>
      <w:r w:rsidRPr="0001715E">
        <w:rPr>
          <w:rFonts w:ascii="Palatino Linotype" w:eastAsia="Palatino Linotype" w:hAnsi="Palatino Linotype" w:cs="Palatino Linotype"/>
          <w:color w:val="000000"/>
        </w:rPr>
        <w:t>El</w:t>
      </w:r>
      <w:r w:rsidRPr="0001715E">
        <w:rPr>
          <w:rFonts w:ascii="Palatino Linotype" w:eastAsia="Palatino Linotype" w:hAnsi="Palatino Linotype" w:cs="Palatino Linotype"/>
          <w:b/>
          <w:color w:val="000000"/>
        </w:rPr>
        <w:t xml:space="preserve"> </w:t>
      </w:r>
      <w:r w:rsidR="00332822" w:rsidRPr="0001715E">
        <w:rPr>
          <w:rFonts w:ascii="Palatino Linotype" w:eastAsia="Palatino Linotype" w:hAnsi="Palatino Linotype" w:cs="Palatino Linotype"/>
          <w:b/>
          <w:color w:val="000000"/>
        </w:rPr>
        <w:t>dieciocho de diciembre de dos mil veinticuatro</w:t>
      </w:r>
      <w:r w:rsidRPr="0001715E">
        <w:rPr>
          <w:rFonts w:ascii="Palatino Linotype" w:eastAsia="Palatino Linotype" w:hAnsi="Palatino Linotype" w:cs="Palatino Linotype"/>
          <w:color w:val="000000"/>
        </w:rPr>
        <w:t>, el Sujeto Obligado</w:t>
      </w:r>
      <w:r w:rsidRPr="0001715E">
        <w:rPr>
          <w:rFonts w:ascii="Palatino Linotype" w:eastAsia="Palatino Linotype" w:hAnsi="Palatino Linotype" w:cs="Palatino Linotype"/>
          <w:b/>
          <w:color w:val="000000"/>
        </w:rPr>
        <w:t>,</w:t>
      </w:r>
      <w:r w:rsidRPr="0001715E">
        <w:rPr>
          <w:rFonts w:ascii="Palatino Linotype" w:eastAsia="Palatino Linotype" w:hAnsi="Palatino Linotype" w:cs="Palatino Linotype"/>
          <w:color w:val="000000"/>
        </w:rPr>
        <w:t xml:space="preserve"> dio respuesta a </w:t>
      </w:r>
      <w:r w:rsidR="009E3D94" w:rsidRPr="0001715E">
        <w:rPr>
          <w:rFonts w:ascii="Palatino Linotype" w:eastAsia="Palatino Linotype" w:hAnsi="Palatino Linotype" w:cs="Palatino Linotype"/>
          <w:color w:val="000000"/>
        </w:rPr>
        <w:t>en los siguientes términos</w:t>
      </w:r>
      <w:r w:rsidRPr="0001715E">
        <w:rPr>
          <w:rFonts w:ascii="Palatino Linotype" w:eastAsia="Palatino Linotype" w:hAnsi="Palatino Linotype" w:cs="Palatino Linotype"/>
          <w:color w:val="000000"/>
        </w:rPr>
        <w:t>:</w:t>
      </w:r>
    </w:p>
    <w:p w:rsidR="000700C4" w:rsidRPr="0001715E" w:rsidRDefault="000700C4" w:rsidP="000700C4">
      <w:pPr>
        <w:pBdr>
          <w:top w:val="nil"/>
          <w:left w:val="nil"/>
          <w:bottom w:val="nil"/>
          <w:right w:val="nil"/>
          <w:between w:val="nil"/>
        </w:pBdr>
        <w:ind w:left="993" w:right="49"/>
        <w:jc w:val="right"/>
        <w:rPr>
          <w:rFonts w:ascii="Palatino Linotype" w:eastAsia="Palatino Linotype" w:hAnsi="Palatino Linotype" w:cs="Palatino Linotype"/>
          <w:i/>
          <w:color w:val="000000"/>
          <w:sz w:val="22"/>
          <w:szCs w:val="22"/>
        </w:rPr>
      </w:pPr>
      <w:r w:rsidRPr="0001715E">
        <w:rPr>
          <w:rFonts w:ascii="Palatino Linotype" w:eastAsia="Palatino Linotype" w:hAnsi="Palatino Linotype" w:cs="Palatino Linotype"/>
          <w:i/>
          <w:color w:val="000000"/>
          <w:sz w:val="22"/>
          <w:szCs w:val="22"/>
        </w:rPr>
        <w:t>Timilpan, México a 18 de Diciembre de 2024</w:t>
      </w:r>
    </w:p>
    <w:p w:rsidR="000700C4" w:rsidRPr="0001715E" w:rsidRDefault="000700C4" w:rsidP="000700C4">
      <w:pPr>
        <w:pBdr>
          <w:top w:val="nil"/>
          <w:left w:val="nil"/>
          <w:bottom w:val="nil"/>
          <w:right w:val="nil"/>
          <w:between w:val="nil"/>
        </w:pBdr>
        <w:ind w:left="993" w:right="49"/>
        <w:jc w:val="right"/>
        <w:rPr>
          <w:rFonts w:ascii="Palatino Linotype" w:eastAsia="Palatino Linotype" w:hAnsi="Palatino Linotype" w:cs="Palatino Linotype"/>
          <w:i/>
          <w:color w:val="000000"/>
          <w:sz w:val="22"/>
          <w:szCs w:val="22"/>
        </w:rPr>
      </w:pPr>
      <w:r w:rsidRPr="0001715E">
        <w:rPr>
          <w:rFonts w:ascii="Palatino Linotype" w:eastAsia="Palatino Linotype" w:hAnsi="Palatino Linotype" w:cs="Palatino Linotype"/>
          <w:i/>
          <w:color w:val="000000"/>
          <w:sz w:val="22"/>
          <w:szCs w:val="22"/>
        </w:rPr>
        <w:t>Nombre del solicitante: C. Solicitante</w:t>
      </w:r>
    </w:p>
    <w:p w:rsidR="000700C4" w:rsidRPr="0001715E" w:rsidRDefault="000700C4" w:rsidP="000700C4">
      <w:pPr>
        <w:pBdr>
          <w:top w:val="nil"/>
          <w:left w:val="nil"/>
          <w:bottom w:val="nil"/>
          <w:right w:val="nil"/>
          <w:between w:val="nil"/>
        </w:pBdr>
        <w:ind w:left="993" w:right="49"/>
        <w:jc w:val="right"/>
        <w:rPr>
          <w:rFonts w:ascii="Palatino Linotype" w:eastAsia="Palatino Linotype" w:hAnsi="Palatino Linotype" w:cs="Palatino Linotype"/>
          <w:i/>
          <w:color w:val="000000"/>
          <w:sz w:val="22"/>
          <w:szCs w:val="22"/>
        </w:rPr>
      </w:pPr>
      <w:r w:rsidRPr="0001715E">
        <w:rPr>
          <w:rFonts w:ascii="Palatino Linotype" w:eastAsia="Palatino Linotype" w:hAnsi="Palatino Linotype" w:cs="Palatino Linotype"/>
          <w:i/>
          <w:color w:val="000000"/>
          <w:sz w:val="22"/>
          <w:szCs w:val="22"/>
        </w:rPr>
        <w:t>Folio de la solicitud: 00059/TIMILPAN/IP/2024</w:t>
      </w:r>
    </w:p>
    <w:p w:rsidR="000700C4" w:rsidRPr="0001715E" w:rsidRDefault="000700C4" w:rsidP="000700C4">
      <w:pPr>
        <w:pBdr>
          <w:top w:val="nil"/>
          <w:left w:val="nil"/>
          <w:bottom w:val="nil"/>
          <w:right w:val="nil"/>
          <w:between w:val="nil"/>
        </w:pBdr>
        <w:ind w:left="993" w:right="49"/>
        <w:jc w:val="right"/>
        <w:rPr>
          <w:rFonts w:ascii="Palatino Linotype" w:eastAsia="Palatino Linotype" w:hAnsi="Palatino Linotype" w:cs="Palatino Linotype"/>
          <w:i/>
          <w:color w:val="000000"/>
          <w:sz w:val="22"/>
          <w:szCs w:val="22"/>
        </w:rPr>
      </w:pPr>
    </w:p>
    <w:p w:rsidR="000700C4" w:rsidRPr="0001715E" w:rsidRDefault="000700C4" w:rsidP="000700C4">
      <w:pPr>
        <w:pBdr>
          <w:top w:val="nil"/>
          <w:left w:val="nil"/>
          <w:bottom w:val="nil"/>
          <w:right w:val="nil"/>
          <w:between w:val="nil"/>
        </w:pBdr>
        <w:ind w:left="993" w:right="49"/>
        <w:jc w:val="both"/>
        <w:rPr>
          <w:rFonts w:ascii="Palatino Linotype" w:eastAsia="Palatino Linotype" w:hAnsi="Palatino Linotype" w:cs="Palatino Linotype"/>
          <w:i/>
          <w:color w:val="000000"/>
          <w:sz w:val="22"/>
          <w:szCs w:val="22"/>
        </w:rPr>
      </w:pPr>
      <w:r w:rsidRPr="0001715E">
        <w:rPr>
          <w:rFonts w:ascii="Palatino Linotype" w:eastAsia="Palatino Linotype" w:hAnsi="Palatino Linotype" w:cs="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700C4" w:rsidRPr="0001715E" w:rsidRDefault="000700C4" w:rsidP="000700C4">
      <w:pPr>
        <w:pBdr>
          <w:top w:val="nil"/>
          <w:left w:val="nil"/>
          <w:bottom w:val="nil"/>
          <w:right w:val="nil"/>
          <w:between w:val="nil"/>
        </w:pBdr>
        <w:ind w:left="993" w:right="49"/>
        <w:jc w:val="both"/>
        <w:rPr>
          <w:rFonts w:ascii="Palatino Linotype" w:eastAsia="Palatino Linotype" w:hAnsi="Palatino Linotype" w:cs="Palatino Linotype"/>
          <w:i/>
          <w:color w:val="000000"/>
          <w:sz w:val="22"/>
          <w:szCs w:val="22"/>
        </w:rPr>
      </w:pPr>
    </w:p>
    <w:p w:rsidR="000700C4" w:rsidRPr="0001715E" w:rsidRDefault="000700C4" w:rsidP="000700C4">
      <w:pPr>
        <w:pBdr>
          <w:top w:val="nil"/>
          <w:left w:val="nil"/>
          <w:bottom w:val="nil"/>
          <w:right w:val="nil"/>
          <w:between w:val="nil"/>
        </w:pBdr>
        <w:ind w:left="993" w:right="49"/>
        <w:jc w:val="both"/>
        <w:rPr>
          <w:rFonts w:ascii="Palatino Linotype" w:eastAsia="Palatino Linotype" w:hAnsi="Palatino Linotype" w:cs="Palatino Linotype"/>
          <w:i/>
          <w:color w:val="000000"/>
          <w:sz w:val="22"/>
          <w:szCs w:val="22"/>
        </w:rPr>
      </w:pPr>
      <w:r w:rsidRPr="0001715E">
        <w:rPr>
          <w:rFonts w:ascii="Palatino Linotype" w:eastAsia="Palatino Linotype" w:hAnsi="Palatino Linotype" w:cs="Palatino Linotype"/>
          <w:i/>
          <w:color w:val="000000"/>
          <w:sz w:val="22"/>
          <w:szCs w:val="22"/>
        </w:rPr>
        <w:t xml:space="preserve">En atención a la Solicitud de información se le hace de su conocimiento que la información que solicita la encuentra publicada en la fracción VIIIB del artículo 92 en la plataforma Información Pública de Oficio Mexiquense, o bien la encontrar el </w:t>
      </w:r>
      <w:proofErr w:type="spellStart"/>
      <w:r w:rsidRPr="0001715E">
        <w:rPr>
          <w:rFonts w:ascii="Palatino Linotype" w:eastAsia="Palatino Linotype" w:hAnsi="Palatino Linotype" w:cs="Palatino Linotype"/>
          <w:i/>
          <w:color w:val="000000"/>
          <w:sz w:val="22"/>
          <w:szCs w:val="22"/>
        </w:rPr>
        <w:t>el</w:t>
      </w:r>
      <w:proofErr w:type="spellEnd"/>
      <w:r w:rsidRPr="0001715E">
        <w:rPr>
          <w:rFonts w:ascii="Palatino Linotype" w:eastAsia="Palatino Linotype" w:hAnsi="Palatino Linotype" w:cs="Palatino Linotype"/>
          <w:i/>
          <w:color w:val="000000"/>
          <w:sz w:val="22"/>
          <w:szCs w:val="22"/>
        </w:rPr>
        <w:t xml:space="preserve"> siguiente enlace electrónico: </w:t>
      </w:r>
      <w:hyperlink r:id="rId9" w:anchor="/info-fraccion/12/193/1" w:history="1">
        <w:r w:rsidRPr="0001715E">
          <w:rPr>
            <w:rStyle w:val="Hipervnculo"/>
            <w:rFonts w:ascii="Palatino Linotype" w:eastAsia="Palatino Linotype" w:hAnsi="Palatino Linotype" w:cs="Palatino Linotype"/>
            <w:i/>
            <w:sz w:val="22"/>
            <w:szCs w:val="22"/>
          </w:rPr>
          <w:t>https://infoem2.ipomex.org.mx/ipomex/#/info-fraccion/12/193/1</w:t>
        </w:r>
      </w:hyperlink>
    </w:p>
    <w:p w:rsidR="000700C4" w:rsidRPr="0001715E" w:rsidRDefault="000700C4" w:rsidP="000700C4">
      <w:pPr>
        <w:pBdr>
          <w:top w:val="nil"/>
          <w:left w:val="nil"/>
          <w:bottom w:val="nil"/>
          <w:right w:val="nil"/>
          <w:between w:val="nil"/>
        </w:pBdr>
        <w:ind w:left="993" w:right="49"/>
        <w:jc w:val="both"/>
        <w:rPr>
          <w:rFonts w:ascii="Palatino Linotype" w:eastAsia="Palatino Linotype" w:hAnsi="Palatino Linotype" w:cs="Palatino Linotype"/>
          <w:i/>
          <w:color w:val="000000"/>
          <w:sz w:val="22"/>
          <w:szCs w:val="22"/>
        </w:rPr>
      </w:pPr>
    </w:p>
    <w:p w:rsidR="000700C4" w:rsidRPr="0001715E" w:rsidRDefault="000700C4" w:rsidP="000700C4">
      <w:pPr>
        <w:pBdr>
          <w:top w:val="nil"/>
          <w:left w:val="nil"/>
          <w:bottom w:val="nil"/>
          <w:right w:val="nil"/>
          <w:between w:val="nil"/>
        </w:pBdr>
        <w:ind w:left="993" w:right="49"/>
        <w:jc w:val="both"/>
        <w:rPr>
          <w:rFonts w:ascii="Palatino Linotype" w:eastAsia="Palatino Linotype" w:hAnsi="Palatino Linotype" w:cs="Palatino Linotype"/>
          <w:i/>
          <w:color w:val="000000"/>
          <w:sz w:val="22"/>
          <w:szCs w:val="22"/>
        </w:rPr>
      </w:pPr>
      <w:r w:rsidRPr="0001715E">
        <w:rPr>
          <w:rFonts w:ascii="Palatino Linotype" w:eastAsia="Palatino Linotype" w:hAnsi="Palatino Linotype" w:cs="Palatino Linotype"/>
          <w:i/>
          <w:color w:val="000000"/>
          <w:sz w:val="22"/>
          <w:szCs w:val="22"/>
        </w:rPr>
        <w:t>ATENTAMENTE</w:t>
      </w:r>
    </w:p>
    <w:p w:rsidR="006476B8" w:rsidRPr="0001715E" w:rsidRDefault="000700C4" w:rsidP="000700C4">
      <w:pPr>
        <w:pBdr>
          <w:top w:val="nil"/>
          <w:left w:val="nil"/>
          <w:bottom w:val="nil"/>
          <w:right w:val="nil"/>
          <w:between w:val="nil"/>
        </w:pBdr>
        <w:ind w:left="993" w:right="49"/>
        <w:jc w:val="both"/>
        <w:rPr>
          <w:rFonts w:ascii="Palatino Linotype" w:eastAsia="Palatino Linotype" w:hAnsi="Palatino Linotype" w:cs="Palatino Linotype"/>
          <w:i/>
          <w:color w:val="000000"/>
          <w:sz w:val="22"/>
          <w:szCs w:val="22"/>
        </w:rPr>
      </w:pPr>
      <w:r w:rsidRPr="0001715E">
        <w:rPr>
          <w:rFonts w:ascii="Palatino Linotype" w:eastAsia="Palatino Linotype" w:hAnsi="Palatino Linotype" w:cs="Palatino Linotype"/>
          <w:i/>
          <w:color w:val="000000"/>
          <w:sz w:val="22"/>
          <w:szCs w:val="22"/>
        </w:rPr>
        <w:t>LC. ROGELIO DE JESUS RODRIGUEZ</w:t>
      </w:r>
    </w:p>
    <w:p w:rsidR="006476B8" w:rsidRPr="0001715E" w:rsidRDefault="006476B8">
      <w:pPr>
        <w:pBdr>
          <w:top w:val="nil"/>
          <w:left w:val="nil"/>
          <w:bottom w:val="nil"/>
          <w:right w:val="nil"/>
          <w:between w:val="nil"/>
        </w:pBdr>
        <w:tabs>
          <w:tab w:val="left" w:pos="567"/>
        </w:tabs>
        <w:ind w:right="-787"/>
        <w:jc w:val="both"/>
        <w:rPr>
          <w:rFonts w:ascii="Palatino Linotype" w:eastAsia="Palatino Linotype" w:hAnsi="Palatino Linotype" w:cs="Palatino Linotype"/>
          <w:color w:val="000000"/>
        </w:rPr>
      </w:pPr>
    </w:p>
    <w:p w:rsidR="006476B8" w:rsidRPr="0001715E" w:rsidRDefault="00E40CA1">
      <w:pPr>
        <w:numPr>
          <w:ilvl w:val="0"/>
          <w:numId w:val="1"/>
        </w:numPr>
        <w:pBdr>
          <w:top w:val="nil"/>
          <w:left w:val="nil"/>
          <w:bottom w:val="nil"/>
          <w:right w:val="nil"/>
          <w:between w:val="nil"/>
        </w:pBdr>
        <w:tabs>
          <w:tab w:val="left" w:pos="0"/>
        </w:tabs>
        <w:spacing w:line="360" w:lineRule="auto"/>
        <w:ind w:left="0" w:right="-787" w:firstLine="0"/>
        <w:jc w:val="both"/>
        <w:rPr>
          <w:color w:val="000000"/>
        </w:rPr>
      </w:pPr>
      <w:r w:rsidRPr="0001715E">
        <w:rPr>
          <w:rFonts w:ascii="Palatino Linotype" w:eastAsia="Palatino Linotype" w:hAnsi="Palatino Linotype" w:cs="Palatino Linotype"/>
          <w:color w:val="000000"/>
        </w:rPr>
        <w:t>El</w:t>
      </w:r>
      <w:r w:rsidRPr="0001715E">
        <w:rPr>
          <w:rFonts w:ascii="Palatino Linotype" w:eastAsia="Palatino Linotype" w:hAnsi="Palatino Linotype" w:cs="Palatino Linotype"/>
          <w:b/>
          <w:color w:val="000000"/>
        </w:rPr>
        <w:t xml:space="preserve"> </w:t>
      </w:r>
      <w:r w:rsidR="000700C4" w:rsidRPr="0001715E">
        <w:rPr>
          <w:rFonts w:ascii="Palatino Linotype" w:eastAsia="Palatino Linotype" w:hAnsi="Palatino Linotype" w:cs="Palatino Linotype"/>
          <w:b/>
          <w:color w:val="000000"/>
        </w:rPr>
        <w:t>trece de enero</w:t>
      </w:r>
      <w:r w:rsidR="009E3D94" w:rsidRPr="0001715E">
        <w:rPr>
          <w:rFonts w:ascii="Palatino Linotype" w:eastAsia="Palatino Linotype" w:hAnsi="Palatino Linotype" w:cs="Palatino Linotype"/>
          <w:b/>
          <w:color w:val="000000"/>
        </w:rPr>
        <w:t xml:space="preserve"> de dos mil veinticinco</w:t>
      </w:r>
      <w:r w:rsidRPr="0001715E">
        <w:rPr>
          <w:rFonts w:ascii="Palatino Linotype" w:eastAsia="Palatino Linotype" w:hAnsi="Palatino Linotype" w:cs="Palatino Linotype"/>
          <w:color w:val="000000"/>
        </w:rPr>
        <w:t>, el particular interpuso el recurso de revisión en contra de la respuesta otorgada por el Sujeto Obligado, realizando las siguientes manifestaciones:</w:t>
      </w:r>
    </w:p>
    <w:p w:rsidR="006476B8" w:rsidRPr="0001715E" w:rsidRDefault="00E40CA1">
      <w:pPr>
        <w:numPr>
          <w:ilvl w:val="0"/>
          <w:numId w:val="12"/>
        </w:numPr>
        <w:pBdr>
          <w:top w:val="nil"/>
          <w:left w:val="nil"/>
          <w:bottom w:val="nil"/>
          <w:right w:val="nil"/>
          <w:between w:val="nil"/>
        </w:pBdr>
        <w:ind w:right="-79"/>
        <w:jc w:val="both"/>
        <w:rPr>
          <w:rFonts w:ascii="Palatino Linotype" w:eastAsia="Palatino Linotype" w:hAnsi="Palatino Linotype" w:cs="Palatino Linotype"/>
          <w:i/>
          <w:color w:val="000000"/>
          <w:sz w:val="22"/>
          <w:szCs w:val="22"/>
        </w:rPr>
      </w:pPr>
      <w:bookmarkStart w:id="1" w:name="_heading=h.30j0zll" w:colFirst="0" w:colLast="0"/>
      <w:bookmarkEnd w:id="1"/>
      <w:r w:rsidRPr="0001715E">
        <w:rPr>
          <w:rFonts w:ascii="Palatino Linotype" w:eastAsia="Palatino Linotype" w:hAnsi="Palatino Linotype" w:cs="Palatino Linotype"/>
          <w:b/>
          <w:color w:val="000000"/>
          <w:sz w:val="22"/>
          <w:szCs w:val="22"/>
        </w:rPr>
        <w:t xml:space="preserve">Acto impugnado: </w:t>
      </w:r>
    </w:p>
    <w:p w:rsidR="006476B8" w:rsidRPr="0001715E" w:rsidRDefault="00E40CA1">
      <w:pPr>
        <w:pBdr>
          <w:top w:val="nil"/>
          <w:left w:val="nil"/>
          <w:bottom w:val="nil"/>
          <w:right w:val="nil"/>
          <w:between w:val="nil"/>
        </w:pBdr>
        <w:ind w:left="1429" w:right="-79"/>
        <w:jc w:val="both"/>
        <w:rPr>
          <w:rFonts w:ascii="Palatino Linotype" w:eastAsia="Palatino Linotype" w:hAnsi="Palatino Linotype" w:cs="Palatino Linotype"/>
          <w:i/>
          <w:color w:val="000000"/>
          <w:sz w:val="22"/>
          <w:szCs w:val="22"/>
        </w:rPr>
      </w:pPr>
      <w:r w:rsidRPr="0001715E">
        <w:rPr>
          <w:rFonts w:ascii="Palatino Linotype" w:eastAsia="Palatino Linotype" w:hAnsi="Palatino Linotype" w:cs="Palatino Linotype"/>
          <w:i/>
          <w:color w:val="000000"/>
          <w:sz w:val="22"/>
          <w:szCs w:val="22"/>
        </w:rPr>
        <w:t>“</w:t>
      </w:r>
      <w:r w:rsidR="000700C4" w:rsidRPr="0001715E">
        <w:rPr>
          <w:rFonts w:ascii="Palatino Linotype" w:eastAsia="Palatino Linotype" w:hAnsi="Palatino Linotype" w:cs="Palatino Linotype"/>
          <w:i/>
          <w:color w:val="000000"/>
          <w:sz w:val="22"/>
          <w:szCs w:val="22"/>
        </w:rPr>
        <w:t>La información que se pide es del ejercicio 2024 y en la plataforma no está actualizada solo aparece del ejercicio 2023</w:t>
      </w:r>
      <w:r w:rsidRPr="0001715E">
        <w:rPr>
          <w:rFonts w:ascii="Palatino Linotype" w:eastAsia="Palatino Linotype" w:hAnsi="Palatino Linotype" w:cs="Palatino Linotype"/>
          <w:i/>
          <w:color w:val="000000"/>
          <w:sz w:val="22"/>
          <w:szCs w:val="22"/>
        </w:rPr>
        <w:t>” (Sic)</w:t>
      </w:r>
    </w:p>
    <w:p w:rsidR="009E3D94" w:rsidRPr="0001715E" w:rsidRDefault="009E3D94" w:rsidP="009E3D94">
      <w:pPr>
        <w:pBdr>
          <w:top w:val="nil"/>
          <w:left w:val="nil"/>
          <w:bottom w:val="nil"/>
          <w:right w:val="nil"/>
          <w:between w:val="nil"/>
        </w:pBdr>
        <w:ind w:right="-79"/>
        <w:jc w:val="both"/>
        <w:rPr>
          <w:rFonts w:ascii="Palatino Linotype" w:eastAsia="Palatino Linotype" w:hAnsi="Palatino Linotype" w:cs="Palatino Linotype"/>
          <w:i/>
          <w:color w:val="000000"/>
          <w:sz w:val="22"/>
          <w:szCs w:val="22"/>
        </w:rPr>
      </w:pPr>
    </w:p>
    <w:p w:rsidR="006476B8" w:rsidRPr="0001715E" w:rsidRDefault="00E40CA1">
      <w:pPr>
        <w:numPr>
          <w:ilvl w:val="0"/>
          <w:numId w:val="12"/>
        </w:numPr>
        <w:pBdr>
          <w:top w:val="nil"/>
          <w:left w:val="nil"/>
          <w:bottom w:val="nil"/>
          <w:right w:val="nil"/>
          <w:between w:val="nil"/>
        </w:pBdr>
        <w:ind w:right="-79"/>
        <w:jc w:val="both"/>
        <w:rPr>
          <w:rFonts w:ascii="Palatino Linotype" w:eastAsia="Palatino Linotype" w:hAnsi="Palatino Linotype" w:cs="Palatino Linotype"/>
          <w:i/>
          <w:color w:val="000000"/>
          <w:sz w:val="22"/>
          <w:szCs w:val="22"/>
        </w:rPr>
      </w:pPr>
      <w:bookmarkStart w:id="2" w:name="_heading=h.1fob9te" w:colFirst="0" w:colLast="0"/>
      <w:bookmarkEnd w:id="2"/>
      <w:r w:rsidRPr="0001715E">
        <w:rPr>
          <w:rFonts w:ascii="Palatino Linotype" w:eastAsia="Palatino Linotype" w:hAnsi="Palatino Linotype" w:cs="Palatino Linotype"/>
          <w:b/>
          <w:color w:val="000000"/>
          <w:sz w:val="22"/>
          <w:szCs w:val="22"/>
        </w:rPr>
        <w:t>Razon</w:t>
      </w:r>
      <w:bookmarkStart w:id="3" w:name="_GoBack"/>
      <w:bookmarkEnd w:id="3"/>
      <w:r w:rsidRPr="0001715E">
        <w:rPr>
          <w:rFonts w:ascii="Palatino Linotype" w:eastAsia="Palatino Linotype" w:hAnsi="Palatino Linotype" w:cs="Palatino Linotype"/>
          <w:b/>
          <w:color w:val="000000"/>
          <w:sz w:val="22"/>
          <w:szCs w:val="22"/>
        </w:rPr>
        <w:t>es o Motivos de inconformidad:</w:t>
      </w:r>
    </w:p>
    <w:p w:rsidR="006476B8" w:rsidRPr="0001715E" w:rsidRDefault="00E40CA1">
      <w:pPr>
        <w:pBdr>
          <w:top w:val="nil"/>
          <w:left w:val="nil"/>
          <w:bottom w:val="nil"/>
          <w:right w:val="nil"/>
          <w:between w:val="nil"/>
        </w:pBdr>
        <w:ind w:left="1429" w:right="-79"/>
        <w:jc w:val="both"/>
        <w:rPr>
          <w:rFonts w:ascii="Palatino Linotype" w:eastAsia="Palatino Linotype" w:hAnsi="Palatino Linotype" w:cs="Palatino Linotype"/>
          <w:i/>
          <w:color w:val="000000"/>
          <w:sz w:val="22"/>
          <w:szCs w:val="22"/>
        </w:rPr>
      </w:pPr>
      <w:r w:rsidRPr="0001715E">
        <w:rPr>
          <w:rFonts w:ascii="Palatino Linotype" w:eastAsia="Palatino Linotype" w:hAnsi="Palatino Linotype" w:cs="Palatino Linotype"/>
          <w:i/>
          <w:color w:val="000000"/>
          <w:sz w:val="22"/>
          <w:szCs w:val="22"/>
        </w:rPr>
        <w:t>“</w:t>
      </w:r>
      <w:r w:rsidR="000700C4" w:rsidRPr="0001715E">
        <w:rPr>
          <w:rFonts w:ascii="Palatino Linotype" w:eastAsia="Palatino Linotype" w:hAnsi="Palatino Linotype" w:cs="Palatino Linotype"/>
          <w:i/>
          <w:color w:val="000000"/>
          <w:sz w:val="22"/>
          <w:szCs w:val="22"/>
        </w:rPr>
        <w:t>Información no actualizada</w:t>
      </w:r>
      <w:r w:rsidRPr="0001715E">
        <w:rPr>
          <w:rFonts w:ascii="Palatino Linotype" w:eastAsia="Palatino Linotype" w:hAnsi="Palatino Linotype" w:cs="Palatino Linotype"/>
          <w:i/>
          <w:color w:val="000000"/>
          <w:sz w:val="22"/>
          <w:szCs w:val="22"/>
        </w:rPr>
        <w:t>” (Sic)</w:t>
      </w:r>
    </w:p>
    <w:p w:rsidR="006476B8" w:rsidRPr="0001715E" w:rsidRDefault="006476B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6476B8" w:rsidRPr="0001715E" w:rsidRDefault="00E40CA1">
      <w:pPr>
        <w:numPr>
          <w:ilvl w:val="0"/>
          <w:numId w:val="1"/>
        </w:numPr>
        <w:pBdr>
          <w:top w:val="nil"/>
          <w:left w:val="nil"/>
          <w:bottom w:val="nil"/>
          <w:right w:val="nil"/>
          <w:between w:val="nil"/>
        </w:pBdr>
        <w:tabs>
          <w:tab w:val="left" w:pos="0"/>
        </w:tabs>
        <w:spacing w:line="360" w:lineRule="auto"/>
        <w:ind w:left="0" w:right="-787" w:firstLine="0"/>
        <w:jc w:val="both"/>
        <w:rPr>
          <w:color w:val="000000"/>
        </w:rPr>
      </w:pPr>
      <w:r w:rsidRPr="0001715E">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01715E">
        <w:rPr>
          <w:rFonts w:ascii="Palatino Linotype" w:eastAsia="Palatino Linotype" w:hAnsi="Palatino Linotype" w:cs="Palatino Linotype"/>
          <w:b/>
          <w:color w:val="000000"/>
        </w:rPr>
        <w:t xml:space="preserve">acuerdo de admisión </w:t>
      </w:r>
      <w:r w:rsidRPr="0001715E">
        <w:rPr>
          <w:rFonts w:ascii="Palatino Linotype" w:eastAsia="Palatino Linotype" w:hAnsi="Palatino Linotype" w:cs="Palatino Linotype"/>
          <w:color w:val="000000"/>
        </w:rPr>
        <w:t xml:space="preserve">de fecha </w:t>
      </w:r>
      <w:r w:rsidR="000700C4" w:rsidRPr="0001715E">
        <w:rPr>
          <w:rFonts w:ascii="Palatino Linotype" w:eastAsia="Palatino Linotype" w:hAnsi="Palatino Linotype" w:cs="Palatino Linotype"/>
          <w:b/>
          <w:color w:val="000000"/>
        </w:rPr>
        <w:t>dieciséis de enero</w:t>
      </w:r>
      <w:r w:rsidRPr="0001715E">
        <w:rPr>
          <w:rFonts w:ascii="Palatino Linotype" w:eastAsia="Palatino Linotype" w:hAnsi="Palatino Linotype" w:cs="Palatino Linotype"/>
          <w:b/>
          <w:color w:val="000000"/>
        </w:rPr>
        <w:t xml:space="preserve"> de dos mil veinticinco, </w:t>
      </w:r>
      <w:r w:rsidRPr="0001715E">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01715E">
        <w:rPr>
          <w:rFonts w:ascii="Palatino Linotype" w:eastAsia="Palatino Linotype" w:hAnsi="Palatino Linotype" w:cs="Palatino Linotype"/>
        </w:rPr>
        <w:t>manifestara</w:t>
      </w:r>
      <w:r w:rsidRPr="0001715E">
        <w:rPr>
          <w:rFonts w:ascii="Palatino Linotype" w:eastAsia="Palatino Linotype" w:hAnsi="Palatino Linotype" w:cs="Palatino Linotype"/>
          <w:color w:val="000000"/>
        </w:rPr>
        <w:t xml:space="preserve"> lo que a su derecho conviniera, </w:t>
      </w:r>
      <w:r w:rsidRPr="0001715E">
        <w:rPr>
          <w:rFonts w:ascii="Palatino Linotype" w:eastAsia="Palatino Linotype" w:hAnsi="Palatino Linotype" w:cs="Palatino Linotype"/>
        </w:rPr>
        <w:t>ofreciera</w:t>
      </w:r>
      <w:r w:rsidRPr="0001715E">
        <w:rPr>
          <w:rFonts w:ascii="Palatino Linotype" w:eastAsia="Palatino Linotype" w:hAnsi="Palatino Linotype" w:cs="Palatino Linotype"/>
          <w:color w:val="000000"/>
        </w:rPr>
        <w:t xml:space="preserve"> pruebas y alegatos según corresponda al caso concreto, de esta forma para que el </w:t>
      </w:r>
      <w:r w:rsidRPr="0001715E">
        <w:rPr>
          <w:rFonts w:ascii="Palatino Linotype" w:eastAsia="Palatino Linotype" w:hAnsi="Palatino Linotype" w:cs="Palatino Linotype"/>
          <w:b/>
          <w:color w:val="000000"/>
        </w:rPr>
        <w:t xml:space="preserve">SUJETO OBLIGADO </w:t>
      </w:r>
      <w:r w:rsidRPr="0001715E">
        <w:rPr>
          <w:rFonts w:ascii="Palatino Linotype" w:eastAsia="Palatino Linotype" w:hAnsi="Palatino Linotype" w:cs="Palatino Linotype"/>
        </w:rPr>
        <w:t>presentará</w:t>
      </w:r>
      <w:r w:rsidRPr="0001715E">
        <w:rPr>
          <w:rFonts w:ascii="Palatino Linotype" w:eastAsia="Palatino Linotype" w:hAnsi="Palatino Linotype" w:cs="Palatino Linotype"/>
          <w:color w:val="000000"/>
        </w:rPr>
        <w:t xml:space="preserve"> el Informe Justificado procedente.</w:t>
      </w:r>
    </w:p>
    <w:p w:rsidR="006476B8" w:rsidRPr="0001715E" w:rsidRDefault="006476B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6476B8" w:rsidRPr="0001715E" w:rsidRDefault="00E40CA1">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01715E">
        <w:rPr>
          <w:rFonts w:ascii="Palatino Linotype" w:eastAsia="Palatino Linotype" w:hAnsi="Palatino Linotype" w:cs="Palatino Linotype"/>
          <w:color w:val="000000"/>
        </w:rPr>
        <w:lastRenderedPageBreak/>
        <w:t>El Recurrente</w:t>
      </w:r>
      <w:r w:rsidRPr="0001715E">
        <w:rPr>
          <w:rFonts w:ascii="Palatino Linotype" w:eastAsia="Palatino Linotype" w:hAnsi="Palatino Linotype" w:cs="Palatino Linotype"/>
          <w:b/>
          <w:color w:val="000000"/>
        </w:rPr>
        <w:t xml:space="preserve"> </w:t>
      </w:r>
      <w:r w:rsidRPr="0001715E">
        <w:rPr>
          <w:rFonts w:ascii="Palatino Linotype" w:eastAsia="Palatino Linotype" w:hAnsi="Palatino Linotype" w:cs="Palatino Linotype"/>
          <w:color w:val="000000"/>
        </w:rPr>
        <w:t>dejó de realizar manifestaciones que a su derecho conviniera y asistiera. Por su parte, el Sujeto Obligado,</w:t>
      </w:r>
      <w:r w:rsidRPr="0001715E">
        <w:rPr>
          <w:rFonts w:ascii="Palatino Linotype" w:eastAsia="Palatino Linotype" w:hAnsi="Palatino Linotype" w:cs="Palatino Linotype"/>
          <w:b/>
          <w:color w:val="000000"/>
        </w:rPr>
        <w:t xml:space="preserve"> </w:t>
      </w:r>
      <w:r w:rsidR="007F700C" w:rsidRPr="0001715E">
        <w:rPr>
          <w:rFonts w:ascii="Palatino Linotype" w:eastAsia="Palatino Linotype" w:hAnsi="Palatino Linotype" w:cs="Palatino Linotype"/>
          <w:color w:val="000000"/>
        </w:rPr>
        <w:t>no</w:t>
      </w:r>
      <w:r w:rsidRPr="0001715E">
        <w:rPr>
          <w:rFonts w:ascii="Palatino Linotype" w:eastAsia="Palatino Linotype" w:hAnsi="Palatino Linotype" w:cs="Palatino Linotype"/>
          <w:b/>
          <w:color w:val="000000"/>
        </w:rPr>
        <w:t xml:space="preserve"> </w:t>
      </w:r>
      <w:r w:rsidRPr="0001715E">
        <w:rPr>
          <w:rFonts w:ascii="Palatino Linotype" w:eastAsia="Palatino Linotype" w:hAnsi="Palatino Linotype" w:cs="Palatino Linotype"/>
          <w:color w:val="000000"/>
        </w:rPr>
        <w:t xml:space="preserve">presentó informe justificado, </w:t>
      </w:r>
      <w:r w:rsidR="007F700C" w:rsidRPr="0001715E">
        <w:rPr>
          <w:rFonts w:ascii="Palatino Linotype" w:eastAsia="Palatino Linotype" w:hAnsi="Palatino Linotype" w:cs="Palatino Linotype"/>
          <w:color w:val="000000"/>
        </w:rPr>
        <w:t>tal como se muestra en la imagen siguiente:</w:t>
      </w:r>
    </w:p>
    <w:p w:rsidR="006476B8" w:rsidRPr="0001715E" w:rsidRDefault="00E67F95" w:rsidP="007F700C">
      <w:pPr>
        <w:pBdr>
          <w:top w:val="nil"/>
          <w:left w:val="nil"/>
          <w:bottom w:val="nil"/>
          <w:right w:val="nil"/>
          <w:between w:val="nil"/>
        </w:pBdr>
        <w:spacing w:line="360" w:lineRule="auto"/>
        <w:ind w:right="-787"/>
        <w:jc w:val="center"/>
        <w:rPr>
          <w:color w:val="000000"/>
        </w:rPr>
      </w:pPr>
      <w:r w:rsidRPr="0001715E">
        <w:rPr>
          <w:noProof/>
          <w:color w:val="000000"/>
          <w:lang w:val="es-MX" w:eastAsia="es-MX"/>
        </w:rPr>
        <w:drawing>
          <wp:inline distT="0" distB="0" distL="0" distR="0" wp14:anchorId="515D4697" wp14:editId="38DAFD79">
            <wp:extent cx="5612130" cy="1468120"/>
            <wp:effectExtent l="152400" t="152400" r="369570" b="3606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468120"/>
                    </a:xfrm>
                    <a:prstGeom prst="rect">
                      <a:avLst/>
                    </a:prstGeom>
                    <a:ln>
                      <a:noFill/>
                    </a:ln>
                    <a:effectLst>
                      <a:outerShdw blurRad="292100" dist="139700" dir="2700000" algn="tl" rotWithShape="0">
                        <a:srgbClr val="333333">
                          <a:alpha val="65000"/>
                        </a:srgbClr>
                      </a:outerShdw>
                    </a:effectLst>
                  </pic:spPr>
                </pic:pic>
              </a:graphicData>
            </a:graphic>
          </wp:inline>
        </w:drawing>
      </w:r>
    </w:p>
    <w:p w:rsidR="006476B8" w:rsidRPr="0001715E" w:rsidRDefault="00E40CA1">
      <w:pPr>
        <w:numPr>
          <w:ilvl w:val="0"/>
          <w:numId w:val="1"/>
        </w:numPr>
        <w:pBdr>
          <w:top w:val="nil"/>
          <w:left w:val="nil"/>
          <w:bottom w:val="nil"/>
          <w:right w:val="nil"/>
          <w:between w:val="nil"/>
        </w:pBdr>
        <w:spacing w:line="360" w:lineRule="auto"/>
        <w:ind w:left="0" w:right="-787" w:firstLine="0"/>
        <w:jc w:val="both"/>
        <w:rPr>
          <w:color w:val="000000"/>
        </w:rPr>
      </w:pPr>
      <w:r w:rsidRPr="0001715E">
        <w:rPr>
          <w:rFonts w:ascii="Palatino Linotype" w:eastAsia="Palatino Linotype" w:hAnsi="Palatino Linotype" w:cs="Palatino Linotype"/>
          <w:color w:val="000000"/>
        </w:rPr>
        <w:t>Este Órgano Garante no pasa por alto justificar, que la dilación en la resolución del presente asunto, encuentra justificación en el incremento de recursos de revisión a resolverse por este Instituto, circunstancia atípica que ha rebasado las capacidades técnicas y humanas para la emisión de las resoluciones a dichos medios de impugnación, motivo por el que el</w:t>
      </w:r>
      <w:r w:rsidRPr="0001715E">
        <w:rPr>
          <w:rFonts w:ascii="Palatino Linotype" w:eastAsia="Palatino Linotype" w:hAnsi="Palatino Linotype" w:cs="Palatino Linotype"/>
          <w:b/>
          <w:color w:val="000000"/>
        </w:rPr>
        <w:t xml:space="preserve"> </w:t>
      </w:r>
      <w:r w:rsidR="006C1E33" w:rsidRPr="0001715E">
        <w:rPr>
          <w:rFonts w:ascii="Palatino Linotype" w:eastAsia="Palatino Linotype" w:hAnsi="Palatino Linotype" w:cs="Palatino Linotype"/>
          <w:b/>
          <w:color w:val="000000"/>
        </w:rPr>
        <w:t>catorce de marzo</w:t>
      </w:r>
      <w:r w:rsidRPr="0001715E">
        <w:rPr>
          <w:rFonts w:ascii="Palatino Linotype" w:eastAsia="Palatino Linotype" w:hAnsi="Palatino Linotype" w:cs="Palatino Linotype"/>
          <w:b/>
          <w:color w:val="000000"/>
        </w:rPr>
        <w:t xml:space="preserve"> de dos mil veinticinco</w:t>
      </w:r>
      <w:r w:rsidRPr="0001715E">
        <w:rPr>
          <w:rFonts w:ascii="Palatino Linotype" w:eastAsia="Palatino Linotype" w:hAnsi="Palatino Linotype" w:cs="Palatino Linotype"/>
          <w:color w:val="000000"/>
        </w:rPr>
        <w:t xml:space="preserve"> se acordó </w:t>
      </w:r>
      <w:r w:rsidRPr="0001715E">
        <w:rPr>
          <w:rFonts w:ascii="Palatino Linotype" w:eastAsia="Palatino Linotype" w:hAnsi="Palatino Linotype" w:cs="Palatino Linotype"/>
          <w:b/>
          <w:color w:val="000000"/>
        </w:rPr>
        <w:t>ampliar el término para resolver</w:t>
      </w:r>
      <w:r w:rsidRPr="0001715E">
        <w:rPr>
          <w:rFonts w:ascii="Palatino Linotype" w:eastAsia="Palatino Linotype" w:hAnsi="Palatino Linotype" w:cs="Palatino Linotype"/>
          <w:color w:val="000000"/>
        </w:rPr>
        <w:t xml:space="preserve"> el presente asunto.</w:t>
      </w:r>
    </w:p>
    <w:p w:rsidR="006476B8" w:rsidRPr="0001715E" w:rsidRDefault="006476B8">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6476B8" w:rsidRPr="0001715E" w:rsidRDefault="00E40CA1">
      <w:pPr>
        <w:numPr>
          <w:ilvl w:val="0"/>
          <w:numId w:val="1"/>
        </w:numPr>
        <w:pBdr>
          <w:top w:val="nil"/>
          <w:left w:val="nil"/>
          <w:bottom w:val="nil"/>
          <w:right w:val="nil"/>
          <w:between w:val="nil"/>
        </w:pBdr>
        <w:spacing w:line="360" w:lineRule="auto"/>
        <w:ind w:left="0" w:right="-787" w:firstLine="0"/>
        <w:jc w:val="both"/>
        <w:rPr>
          <w:color w:val="000000"/>
        </w:rPr>
      </w:pPr>
      <w:r w:rsidRPr="0001715E">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6476B8" w:rsidRPr="0001715E" w:rsidRDefault="006476B8">
      <w:pPr>
        <w:pBdr>
          <w:top w:val="nil"/>
          <w:left w:val="nil"/>
          <w:bottom w:val="nil"/>
          <w:right w:val="nil"/>
          <w:between w:val="nil"/>
        </w:pBdr>
        <w:spacing w:line="360" w:lineRule="auto"/>
        <w:ind w:right="-787"/>
        <w:rPr>
          <w:rFonts w:ascii="Palatino Linotype" w:eastAsia="Palatino Linotype" w:hAnsi="Palatino Linotype" w:cs="Palatino Linotype"/>
          <w:color w:val="000000"/>
        </w:rPr>
      </w:pPr>
    </w:p>
    <w:p w:rsidR="006476B8" w:rsidRPr="0001715E" w:rsidRDefault="00E40CA1">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01715E">
        <w:rPr>
          <w:rFonts w:ascii="Palatino Linotype" w:eastAsia="Palatino Linotype" w:hAnsi="Palatino Linotype" w:cs="Palatino Linotype"/>
          <w:color w:val="000000"/>
        </w:rPr>
        <w:lastRenderedPageBreak/>
        <w:t xml:space="preserve">Seguidamente, en fecha </w:t>
      </w:r>
      <w:r w:rsidR="00E67F95" w:rsidRPr="0001715E">
        <w:rPr>
          <w:rFonts w:ascii="Palatino Linotype" w:eastAsia="Palatino Linotype" w:hAnsi="Palatino Linotype" w:cs="Palatino Linotype"/>
          <w:b/>
          <w:color w:val="000000"/>
        </w:rPr>
        <w:t>veintisiete</w:t>
      </w:r>
      <w:r w:rsidR="00786A4D" w:rsidRPr="0001715E">
        <w:rPr>
          <w:rFonts w:ascii="Palatino Linotype" w:eastAsia="Palatino Linotype" w:hAnsi="Palatino Linotype" w:cs="Palatino Linotype"/>
          <w:b/>
          <w:color w:val="000000"/>
        </w:rPr>
        <w:t xml:space="preserve"> de marzo</w:t>
      </w:r>
      <w:r w:rsidRPr="0001715E">
        <w:rPr>
          <w:rFonts w:ascii="Palatino Linotype" w:eastAsia="Palatino Linotype" w:hAnsi="Palatino Linotype" w:cs="Palatino Linotype"/>
          <w:b/>
          <w:color w:val="000000"/>
        </w:rPr>
        <w:t xml:space="preserve"> de dos mil veinticinco</w:t>
      </w:r>
      <w:r w:rsidRPr="0001715E">
        <w:rPr>
          <w:rFonts w:ascii="Palatino Linotype" w:eastAsia="Palatino Linotype" w:hAnsi="Palatino Linotype" w:cs="Palatino Linotype"/>
          <w:color w:val="000000"/>
        </w:rPr>
        <w:t xml:space="preserve">, la Comisionada Ponente dictó el </w:t>
      </w:r>
      <w:r w:rsidRPr="0001715E">
        <w:rPr>
          <w:rFonts w:ascii="Palatino Linotype" w:eastAsia="Palatino Linotype" w:hAnsi="Palatino Linotype" w:cs="Palatino Linotype"/>
          <w:b/>
          <w:color w:val="000000"/>
        </w:rPr>
        <w:t>cierre del periodo de instrucción</w:t>
      </w:r>
      <w:r w:rsidRPr="0001715E">
        <w:rPr>
          <w:rFonts w:ascii="Palatino Linotype" w:eastAsia="Palatino Linotype" w:hAnsi="Palatino Linotype" w:cs="Palatino Linotype"/>
          <w:color w:val="000000"/>
        </w:rPr>
        <w:t xml:space="preserve"> y, ordenó la resolución que conforme a Derecho proceda.---------------------------------------------------------------------------</w:t>
      </w:r>
      <w:r w:rsidR="00B1234F" w:rsidRPr="0001715E">
        <w:rPr>
          <w:rFonts w:ascii="Palatino Linotype" w:eastAsia="Palatino Linotype" w:hAnsi="Palatino Linotype" w:cs="Palatino Linotype"/>
          <w:color w:val="000000"/>
        </w:rPr>
        <w:t>----------------------</w:t>
      </w:r>
    </w:p>
    <w:p w:rsidR="006476B8" w:rsidRPr="0001715E" w:rsidRDefault="006476B8">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bookmarkStart w:id="5" w:name="_heading=h.r0t3k3jgqo1b" w:colFirst="0" w:colLast="0"/>
      <w:bookmarkStart w:id="6" w:name="_heading=h.125kowosoef2" w:colFirst="0" w:colLast="0"/>
      <w:bookmarkStart w:id="7" w:name="_heading=h.c04asdm0qq3m" w:colFirst="0" w:colLast="0"/>
      <w:bookmarkEnd w:id="5"/>
      <w:bookmarkEnd w:id="6"/>
      <w:bookmarkEnd w:id="7"/>
    </w:p>
    <w:p w:rsidR="006476B8" w:rsidRPr="0001715E" w:rsidRDefault="00E40CA1">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rPr>
      </w:pPr>
      <w:r w:rsidRPr="0001715E">
        <w:rPr>
          <w:rFonts w:ascii="Palatino Linotype" w:eastAsia="Palatino Linotype" w:hAnsi="Palatino Linotype" w:cs="Palatino Linotype"/>
          <w:b/>
          <w:color w:val="000000"/>
        </w:rPr>
        <w:t>C O N S I D E R A C I O N E S</w:t>
      </w:r>
    </w:p>
    <w:p w:rsidR="006476B8" w:rsidRPr="0001715E" w:rsidRDefault="006476B8">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rPr>
      </w:pPr>
    </w:p>
    <w:p w:rsidR="006476B8" w:rsidRPr="0001715E" w:rsidRDefault="00E40CA1">
      <w:pPr>
        <w:pStyle w:val="Ttulo2"/>
        <w:spacing w:before="0" w:line="360" w:lineRule="auto"/>
        <w:ind w:right="-787"/>
        <w:rPr>
          <w:rFonts w:ascii="Palatino Linotype" w:eastAsia="Palatino Linotype" w:hAnsi="Palatino Linotype" w:cs="Palatino Linotype"/>
          <w:b/>
          <w:color w:val="000000"/>
          <w:sz w:val="24"/>
          <w:szCs w:val="24"/>
        </w:rPr>
      </w:pPr>
      <w:bookmarkStart w:id="8" w:name="_heading=h.2et92p0" w:colFirst="0" w:colLast="0"/>
      <w:bookmarkEnd w:id="8"/>
      <w:r w:rsidRPr="0001715E">
        <w:rPr>
          <w:rFonts w:ascii="Palatino Linotype" w:eastAsia="Palatino Linotype" w:hAnsi="Palatino Linotype" w:cs="Palatino Linotype"/>
          <w:b/>
          <w:color w:val="000000"/>
          <w:sz w:val="24"/>
          <w:szCs w:val="24"/>
        </w:rPr>
        <w:t>PRIMERA. Competencia</w:t>
      </w:r>
    </w:p>
    <w:p w:rsidR="006476B8" w:rsidRPr="0001715E" w:rsidRDefault="00E40CA1">
      <w:pPr>
        <w:numPr>
          <w:ilvl w:val="0"/>
          <w:numId w:val="1"/>
        </w:numPr>
        <w:pBdr>
          <w:top w:val="nil"/>
          <w:left w:val="nil"/>
          <w:bottom w:val="nil"/>
          <w:right w:val="nil"/>
          <w:between w:val="nil"/>
        </w:pBdr>
        <w:spacing w:line="360" w:lineRule="auto"/>
        <w:ind w:left="0" w:right="-787" w:firstLine="0"/>
        <w:jc w:val="both"/>
        <w:rPr>
          <w:color w:val="000000"/>
        </w:rPr>
      </w:pPr>
      <w:r w:rsidRPr="0001715E">
        <w:rPr>
          <w:rFonts w:ascii="Palatino Linotype" w:eastAsia="Palatino Linotype" w:hAnsi="Palatino Linotype" w:cs="Palatino Linotype"/>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y V de la Constitución Política del Estado Libre y Soberano de México; 1°, 8°, 9°, 10, 37 y 42, fracciones I, II y III, de la Ley General de Transparencia y Acceso a la Información Pública</w:t>
      </w:r>
      <w:r w:rsidR="00D26B76" w:rsidRPr="0001715E">
        <w:rPr>
          <w:rFonts w:ascii="Palatino Linotype" w:eastAsia="Palatino Linotype" w:hAnsi="Palatino Linotype" w:cs="Palatino Linotype"/>
          <w:color w:val="000000"/>
        </w:rPr>
        <w:t>, vigente a la fecha de la solicitud de información</w:t>
      </w:r>
      <w:r w:rsidRPr="0001715E">
        <w:rPr>
          <w:rFonts w:ascii="Palatino Linotype" w:eastAsia="Palatino Linotype" w:hAnsi="Palatino Linotype" w:cs="Palatino Linotype"/>
          <w:color w:val="000000"/>
        </w:rPr>
        <w:t>;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476B8" w:rsidRPr="0001715E" w:rsidRDefault="006476B8">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6476B8" w:rsidRPr="0001715E" w:rsidRDefault="00E40CA1">
      <w:pPr>
        <w:pStyle w:val="Ttulo2"/>
        <w:spacing w:before="0" w:line="360" w:lineRule="auto"/>
        <w:ind w:right="-787"/>
        <w:rPr>
          <w:rFonts w:ascii="Palatino Linotype" w:eastAsia="Palatino Linotype" w:hAnsi="Palatino Linotype" w:cs="Palatino Linotype"/>
          <w:b/>
          <w:color w:val="000000"/>
          <w:sz w:val="24"/>
          <w:szCs w:val="24"/>
        </w:rPr>
      </w:pPr>
      <w:bookmarkStart w:id="9" w:name="_heading=h.tyjcwt" w:colFirst="0" w:colLast="0"/>
      <w:bookmarkEnd w:id="9"/>
      <w:r w:rsidRPr="0001715E">
        <w:rPr>
          <w:rFonts w:ascii="Palatino Linotype" w:eastAsia="Palatino Linotype" w:hAnsi="Palatino Linotype" w:cs="Palatino Linotype"/>
          <w:b/>
          <w:color w:val="000000"/>
          <w:sz w:val="24"/>
          <w:szCs w:val="24"/>
        </w:rPr>
        <w:t>SEGUNDA. Procedencia</w:t>
      </w:r>
    </w:p>
    <w:p w:rsidR="006476B8" w:rsidRPr="0001715E" w:rsidRDefault="00E40CA1">
      <w:pPr>
        <w:numPr>
          <w:ilvl w:val="0"/>
          <w:numId w:val="1"/>
        </w:numPr>
        <w:spacing w:line="360" w:lineRule="auto"/>
        <w:ind w:left="0" w:right="-787" w:firstLine="0"/>
        <w:jc w:val="both"/>
      </w:pPr>
      <w:r w:rsidRPr="0001715E">
        <w:rPr>
          <w:rFonts w:ascii="Palatino Linotype" w:eastAsia="Palatino Linotype" w:hAnsi="Palatino Linotype" w:cs="Palatino Linotype"/>
        </w:rPr>
        <w:t xml:space="preserve">Este Órgano Garante considera que el medio de impugnación reúne los requisitos de procedencia </w:t>
      </w:r>
      <w:r w:rsidRPr="0001715E">
        <w:rPr>
          <w:rFonts w:ascii="Palatino Linotype" w:eastAsia="Palatino Linotype" w:hAnsi="Palatino Linotype" w:cs="Palatino Linotype"/>
          <w:color w:val="000000"/>
        </w:rPr>
        <w:t xml:space="preserve">toda vez que: el recurso fue presentado dentro del plazo establecido en el artículo 178, de la Ley de Transparencia y Acceso a la Información Pública del Estado de </w:t>
      </w:r>
      <w:r w:rsidRPr="0001715E">
        <w:rPr>
          <w:rFonts w:ascii="Palatino Linotype" w:eastAsia="Palatino Linotype" w:hAnsi="Palatino Linotype" w:cs="Palatino Linotype"/>
          <w:color w:val="000000"/>
        </w:rPr>
        <w:lastRenderedPageBreak/>
        <w:t>México y Municipios; asimismo no se tiene conocimiento de que se encuentre en trámite algún medio de defensa presentado por el Recurrente ante otra instancia.</w:t>
      </w:r>
    </w:p>
    <w:p w:rsidR="006476B8" w:rsidRPr="0001715E" w:rsidRDefault="006476B8">
      <w:pPr>
        <w:spacing w:line="360" w:lineRule="auto"/>
        <w:ind w:right="-787"/>
        <w:jc w:val="both"/>
        <w:rPr>
          <w:rFonts w:ascii="Palatino Linotype" w:eastAsia="Palatino Linotype" w:hAnsi="Palatino Linotype" w:cs="Palatino Linotype"/>
        </w:rPr>
      </w:pPr>
    </w:p>
    <w:p w:rsidR="006476B8" w:rsidRPr="0001715E" w:rsidRDefault="00E40CA1">
      <w:pPr>
        <w:numPr>
          <w:ilvl w:val="0"/>
          <w:numId w:val="1"/>
        </w:numPr>
        <w:spacing w:line="360" w:lineRule="auto"/>
        <w:ind w:left="0" w:right="-787" w:firstLine="0"/>
        <w:jc w:val="both"/>
      </w:pPr>
      <w:r w:rsidRPr="0001715E">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rsidR="006476B8" w:rsidRPr="0001715E" w:rsidRDefault="006476B8">
      <w:pPr>
        <w:pBdr>
          <w:top w:val="nil"/>
          <w:left w:val="nil"/>
          <w:bottom w:val="nil"/>
          <w:right w:val="nil"/>
          <w:between w:val="nil"/>
        </w:pBdr>
        <w:spacing w:line="360" w:lineRule="auto"/>
        <w:ind w:right="-787"/>
        <w:rPr>
          <w:rFonts w:ascii="Palatino Linotype" w:eastAsia="Palatino Linotype" w:hAnsi="Palatino Linotype" w:cs="Palatino Linotype"/>
          <w:color w:val="000000"/>
        </w:rPr>
      </w:pPr>
    </w:p>
    <w:p w:rsidR="006476B8" w:rsidRPr="0001715E" w:rsidRDefault="00E40CA1">
      <w:pPr>
        <w:pStyle w:val="Ttulo1"/>
        <w:spacing w:before="0" w:line="360" w:lineRule="auto"/>
        <w:ind w:right="-787"/>
        <w:rPr>
          <w:rFonts w:ascii="Palatino Linotype" w:eastAsia="Palatino Linotype" w:hAnsi="Palatino Linotype" w:cs="Palatino Linotype"/>
          <w:b/>
          <w:color w:val="000000"/>
          <w:sz w:val="24"/>
          <w:szCs w:val="24"/>
        </w:rPr>
      </w:pPr>
      <w:bookmarkStart w:id="10" w:name="_heading=h.3dy6vkm" w:colFirst="0" w:colLast="0"/>
      <w:bookmarkEnd w:id="10"/>
      <w:r w:rsidRPr="0001715E">
        <w:rPr>
          <w:rFonts w:ascii="Palatino Linotype" w:eastAsia="Palatino Linotype" w:hAnsi="Palatino Linotype" w:cs="Palatino Linotype"/>
          <w:b/>
          <w:color w:val="000000"/>
          <w:sz w:val="24"/>
          <w:szCs w:val="24"/>
        </w:rPr>
        <w:t>TERCERA. Descripción de hechos y planteamiento de la controversia.</w:t>
      </w:r>
    </w:p>
    <w:p w:rsidR="006476B8" w:rsidRPr="0001715E" w:rsidRDefault="00E40CA1">
      <w:pPr>
        <w:numPr>
          <w:ilvl w:val="0"/>
          <w:numId w:val="1"/>
        </w:numPr>
        <w:pBdr>
          <w:top w:val="nil"/>
          <w:left w:val="nil"/>
          <w:bottom w:val="nil"/>
          <w:right w:val="nil"/>
          <w:between w:val="nil"/>
        </w:pBdr>
        <w:spacing w:line="360" w:lineRule="auto"/>
        <w:ind w:left="0" w:right="-787" w:firstLine="0"/>
        <w:jc w:val="both"/>
        <w:rPr>
          <w:color w:val="000000"/>
        </w:rPr>
      </w:pPr>
      <w:r w:rsidRPr="0001715E">
        <w:rPr>
          <w:rFonts w:ascii="Palatino Linotype" w:eastAsia="Palatino Linotype" w:hAnsi="Palatino Linotype" w:cs="Palatino Linotype"/>
          <w:color w:val="000000"/>
        </w:rPr>
        <w:t>Se solicitó tener acceso, a la información que a continuación se describe:</w:t>
      </w:r>
    </w:p>
    <w:p w:rsidR="006476B8" w:rsidRPr="0001715E" w:rsidRDefault="00691373">
      <w:pPr>
        <w:pBdr>
          <w:top w:val="nil"/>
          <w:left w:val="nil"/>
          <w:bottom w:val="nil"/>
          <w:right w:val="nil"/>
          <w:between w:val="nil"/>
        </w:pBdr>
        <w:spacing w:line="360" w:lineRule="auto"/>
        <w:ind w:left="1134" w:right="-220"/>
        <w:jc w:val="both"/>
        <w:rPr>
          <w:rFonts w:ascii="Palatino Linotype" w:eastAsia="Palatino Linotype" w:hAnsi="Palatino Linotype" w:cs="Palatino Linotype"/>
          <w:i/>
          <w:color w:val="000000"/>
        </w:rPr>
      </w:pPr>
      <w:r w:rsidRPr="0001715E">
        <w:rPr>
          <w:rFonts w:ascii="Palatino Linotype" w:eastAsia="Palatino Linotype" w:hAnsi="Palatino Linotype" w:cs="Palatino Linotype"/>
          <w:i/>
          <w:color w:val="000000"/>
        </w:rPr>
        <w:t>Tabulador de sueldos y salarios 2024</w:t>
      </w:r>
    </w:p>
    <w:p w:rsidR="00691373" w:rsidRPr="0001715E" w:rsidRDefault="00691373">
      <w:pPr>
        <w:pBdr>
          <w:top w:val="nil"/>
          <w:left w:val="nil"/>
          <w:bottom w:val="nil"/>
          <w:right w:val="nil"/>
          <w:between w:val="nil"/>
        </w:pBdr>
        <w:spacing w:line="360" w:lineRule="auto"/>
        <w:ind w:left="1134" w:right="-220"/>
        <w:jc w:val="both"/>
        <w:rPr>
          <w:rFonts w:ascii="Palatino Linotype" w:eastAsia="Palatino Linotype" w:hAnsi="Palatino Linotype" w:cs="Palatino Linotype"/>
          <w:i/>
          <w:color w:val="000000"/>
          <w:sz w:val="22"/>
          <w:szCs w:val="22"/>
        </w:rPr>
      </w:pPr>
    </w:p>
    <w:p w:rsidR="00691373" w:rsidRPr="0001715E" w:rsidRDefault="00E40CA1" w:rsidP="00691373">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i/>
        </w:rPr>
      </w:pPr>
      <w:r w:rsidRPr="0001715E">
        <w:rPr>
          <w:rFonts w:ascii="Palatino Linotype" w:eastAsia="Palatino Linotype" w:hAnsi="Palatino Linotype" w:cs="Palatino Linotype"/>
        </w:rPr>
        <w:t>En respuesta, el Sujeto Obligado</w:t>
      </w:r>
      <w:r w:rsidRPr="0001715E">
        <w:rPr>
          <w:rFonts w:ascii="Palatino Linotype" w:eastAsia="Palatino Linotype" w:hAnsi="Palatino Linotype" w:cs="Palatino Linotype"/>
          <w:b/>
        </w:rPr>
        <w:t xml:space="preserve"> </w:t>
      </w:r>
      <w:r w:rsidR="00691373" w:rsidRPr="0001715E">
        <w:rPr>
          <w:rFonts w:ascii="Palatino Linotype" w:eastAsia="Palatino Linotype" w:hAnsi="Palatino Linotype" w:cs="Palatino Linotype"/>
        </w:rPr>
        <w:t>señaló</w:t>
      </w:r>
      <w:r w:rsidR="00691373" w:rsidRPr="0001715E">
        <w:rPr>
          <w:rFonts w:ascii="Palatino Linotype" w:eastAsia="Palatino Linotype" w:hAnsi="Palatino Linotype" w:cs="Palatino Linotype"/>
          <w:b/>
        </w:rPr>
        <w:t xml:space="preserve"> </w:t>
      </w:r>
      <w:r w:rsidR="009053E3" w:rsidRPr="0001715E">
        <w:rPr>
          <w:rFonts w:ascii="Palatino Linotype" w:eastAsia="Palatino Linotype" w:hAnsi="Palatino Linotype" w:cs="Palatino Linotype"/>
        </w:rPr>
        <w:t xml:space="preserve">que </w:t>
      </w:r>
      <w:r w:rsidR="00691373" w:rsidRPr="0001715E">
        <w:rPr>
          <w:rFonts w:ascii="Palatino Linotype" w:eastAsia="Palatino Linotype" w:hAnsi="Palatino Linotype" w:cs="Palatino Linotype"/>
          <w:i/>
        </w:rPr>
        <w:t xml:space="preserve">la información se encuentra publicada en la fracción VIIIB, del artículo 92, en la plataforma Información Pública de Oficio Mexiquense, o bien en el siguiente enlace electrónico: </w:t>
      </w:r>
      <w:hyperlink r:id="rId11" w:anchor="/info-fraccion/12/193/1" w:history="1">
        <w:r w:rsidR="00691373" w:rsidRPr="0001715E">
          <w:rPr>
            <w:rStyle w:val="Hipervnculo"/>
            <w:rFonts w:ascii="Palatino Linotype" w:eastAsia="Palatino Linotype" w:hAnsi="Palatino Linotype" w:cs="Palatino Linotype"/>
            <w:i/>
          </w:rPr>
          <w:t>https://infoem2.ipomex.org.mx/ipomex/#/info-fraccion/12/193/1</w:t>
        </w:r>
      </w:hyperlink>
    </w:p>
    <w:p w:rsidR="00691373" w:rsidRPr="0001715E" w:rsidRDefault="00691373" w:rsidP="00691373">
      <w:pPr>
        <w:pBdr>
          <w:top w:val="nil"/>
          <w:left w:val="nil"/>
          <w:bottom w:val="nil"/>
          <w:right w:val="nil"/>
          <w:between w:val="nil"/>
        </w:pBdr>
        <w:spacing w:line="360" w:lineRule="auto"/>
        <w:ind w:right="-787"/>
        <w:jc w:val="both"/>
        <w:rPr>
          <w:rFonts w:ascii="Palatino Linotype" w:eastAsia="Palatino Linotype" w:hAnsi="Palatino Linotype" w:cs="Palatino Linotype"/>
          <w:i/>
        </w:rPr>
      </w:pPr>
    </w:p>
    <w:p w:rsidR="006476B8" w:rsidRPr="0001715E" w:rsidRDefault="009053E3" w:rsidP="009053E3">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i/>
        </w:rPr>
      </w:pPr>
      <w:r w:rsidRPr="0001715E">
        <w:rPr>
          <w:rFonts w:ascii="Palatino Linotype" w:eastAsia="Palatino Linotype" w:hAnsi="Palatino Linotype" w:cs="Palatino Linotype"/>
        </w:rPr>
        <w:t xml:space="preserve">Inconforme </w:t>
      </w:r>
      <w:r w:rsidR="00E40CA1" w:rsidRPr="0001715E">
        <w:rPr>
          <w:rFonts w:ascii="Palatino Linotype" w:eastAsia="Palatino Linotype" w:hAnsi="Palatino Linotype" w:cs="Palatino Linotype"/>
        </w:rPr>
        <w:t xml:space="preserve">con la respuesta, se interpuso Recurso de Revisión argumentando </w:t>
      </w:r>
      <w:r w:rsidR="00691373" w:rsidRPr="0001715E">
        <w:rPr>
          <w:rFonts w:ascii="Palatino Linotype" w:eastAsia="Palatino Linotype" w:hAnsi="Palatino Linotype" w:cs="Palatino Linotype"/>
        </w:rPr>
        <w:t>que la información no está actualizada.</w:t>
      </w:r>
    </w:p>
    <w:p w:rsidR="006476B8" w:rsidRPr="0001715E" w:rsidRDefault="006476B8">
      <w:pPr>
        <w:spacing w:line="360" w:lineRule="auto"/>
        <w:ind w:right="-787"/>
        <w:jc w:val="both"/>
        <w:rPr>
          <w:rFonts w:ascii="Palatino Linotype" w:eastAsia="Palatino Linotype" w:hAnsi="Palatino Linotype" w:cs="Palatino Linotype"/>
          <w:i/>
          <w:color w:val="000000"/>
        </w:rPr>
      </w:pPr>
    </w:p>
    <w:p w:rsidR="006476B8" w:rsidRPr="0001715E" w:rsidRDefault="00E40CA1">
      <w:pPr>
        <w:numPr>
          <w:ilvl w:val="0"/>
          <w:numId w:val="1"/>
        </w:numPr>
        <w:spacing w:line="360" w:lineRule="auto"/>
        <w:ind w:left="0" w:right="-787" w:firstLine="0"/>
        <w:jc w:val="both"/>
      </w:pPr>
      <w:r w:rsidRPr="0001715E">
        <w:rPr>
          <w:rFonts w:ascii="Palatino Linotype" w:eastAsia="Palatino Linotype" w:hAnsi="Palatino Linotype" w:cs="Palatino Linotype"/>
        </w:rPr>
        <w:t>En dichas condiciones, la controversia a resolver en el presente proveído, corresponde a determinar si se actualiza la causal de procedencia previst</w:t>
      </w:r>
      <w:r w:rsidR="00136A5F" w:rsidRPr="0001715E">
        <w:rPr>
          <w:rFonts w:ascii="Palatino Linotype" w:eastAsia="Palatino Linotype" w:hAnsi="Palatino Linotype" w:cs="Palatino Linotype"/>
        </w:rPr>
        <w:t xml:space="preserve">a en el artículo 179, fracción </w:t>
      </w:r>
      <w:r w:rsidR="00691373" w:rsidRPr="0001715E">
        <w:rPr>
          <w:rFonts w:ascii="Palatino Linotype" w:eastAsia="Palatino Linotype" w:hAnsi="Palatino Linotype" w:cs="Palatino Linotype"/>
        </w:rPr>
        <w:t>VI</w:t>
      </w:r>
      <w:r w:rsidRPr="0001715E">
        <w:rPr>
          <w:rFonts w:ascii="Palatino Linotype" w:eastAsia="Palatino Linotype" w:hAnsi="Palatino Linotype" w:cs="Palatino Linotype"/>
        </w:rPr>
        <w:t>,</w:t>
      </w:r>
      <w:r w:rsidRPr="0001715E">
        <w:rPr>
          <w:rFonts w:ascii="Palatino Linotype" w:eastAsia="Palatino Linotype" w:hAnsi="Palatino Linotype" w:cs="Palatino Linotype"/>
          <w:b/>
        </w:rPr>
        <w:t xml:space="preserve"> </w:t>
      </w:r>
      <w:r w:rsidRPr="0001715E">
        <w:rPr>
          <w:rFonts w:ascii="Palatino Linotype" w:eastAsia="Palatino Linotype" w:hAnsi="Palatino Linotype" w:cs="Palatino Linotype"/>
        </w:rPr>
        <w:t>de la Ley de Transparencia y Acceso a la Información Pública del Estado de</w:t>
      </w:r>
      <w:r w:rsidRPr="0001715E">
        <w:rPr>
          <w:rFonts w:ascii="Palatino Linotype" w:eastAsia="Palatino Linotype" w:hAnsi="Palatino Linotype" w:cs="Palatino Linotype"/>
          <w:b/>
        </w:rPr>
        <w:t xml:space="preserve"> </w:t>
      </w:r>
      <w:r w:rsidRPr="0001715E">
        <w:rPr>
          <w:rFonts w:ascii="Palatino Linotype" w:eastAsia="Palatino Linotype" w:hAnsi="Palatino Linotype" w:cs="Palatino Linotype"/>
        </w:rPr>
        <w:t>México</w:t>
      </w:r>
      <w:r w:rsidRPr="0001715E">
        <w:rPr>
          <w:rFonts w:ascii="Palatino Linotype" w:eastAsia="Palatino Linotype" w:hAnsi="Palatino Linotype" w:cs="Palatino Linotype"/>
          <w:b/>
        </w:rPr>
        <w:t xml:space="preserve"> </w:t>
      </w:r>
      <w:r w:rsidRPr="0001715E">
        <w:rPr>
          <w:rFonts w:ascii="Palatino Linotype" w:eastAsia="Palatino Linotype" w:hAnsi="Palatino Linotype" w:cs="Palatino Linotype"/>
        </w:rPr>
        <w:t>y</w:t>
      </w:r>
      <w:r w:rsidRPr="0001715E">
        <w:rPr>
          <w:rFonts w:ascii="Palatino Linotype" w:eastAsia="Palatino Linotype" w:hAnsi="Palatino Linotype" w:cs="Palatino Linotype"/>
          <w:b/>
        </w:rPr>
        <w:t xml:space="preserve"> </w:t>
      </w:r>
      <w:r w:rsidRPr="0001715E">
        <w:rPr>
          <w:rFonts w:ascii="Palatino Linotype" w:eastAsia="Palatino Linotype" w:hAnsi="Palatino Linotype" w:cs="Palatino Linotype"/>
        </w:rPr>
        <w:t xml:space="preserve">Municipios; </w:t>
      </w:r>
      <w:r w:rsidRPr="0001715E">
        <w:rPr>
          <w:rFonts w:ascii="Palatino Linotype" w:eastAsia="Palatino Linotype" w:hAnsi="Palatino Linotype" w:cs="Palatino Linotype"/>
          <w:color w:val="000000"/>
        </w:rPr>
        <w:t xml:space="preserve">fracción que determina la hipótesis relativa a </w:t>
      </w:r>
      <w:r w:rsidR="00691373" w:rsidRPr="0001715E">
        <w:rPr>
          <w:rFonts w:ascii="Palatino Linotype" w:eastAsia="Palatino Linotype" w:hAnsi="Palatino Linotype" w:cs="Palatino Linotype"/>
          <w:color w:val="000000"/>
        </w:rPr>
        <w:t>la entrega de la información que no corresponda a lo solicitado</w:t>
      </w:r>
      <w:r w:rsidRPr="0001715E">
        <w:rPr>
          <w:rFonts w:ascii="Palatino Linotype" w:eastAsia="Palatino Linotype" w:hAnsi="Palatino Linotype" w:cs="Palatino Linotype"/>
          <w:color w:val="000000"/>
        </w:rPr>
        <w:t xml:space="preserve">; </w:t>
      </w:r>
      <w:r w:rsidRPr="0001715E">
        <w:rPr>
          <w:rFonts w:ascii="Palatino Linotype" w:eastAsia="Palatino Linotype" w:hAnsi="Palatino Linotype" w:cs="Palatino Linotype"/>
        </w:rPr>
        <w:t>contexto del cual se dolió el Recurrente al momento de impugnar el acto.</w:t>
      </w:r>
      <w:r w:rsidRPr="0001715E">
        <w:rPr>
          <w:rFonts w:ascii="Palatino Linotype" w:eastAsia="Palatino Linotype" w:hAnsi="Palatino Linotype" w:cs="Palatino Linotype"/>
          <w:color w:val="000000"/>
        </w:rPr>
        <w:t xml:space="preserve"> De modo tal que el presente recurso de revisión se </w:t>
      </w:r>
      <w:r w:rsidRPr="0001715E">
        <w:rPr>
          <w:rFonts w:ascii="Palatino Linotype" w:eastAsia="Palatino Linotype" w:hAnsi="Palatino Linotype" w:cs="Palatino Linotype"/>
        </w:rPr>
        <w:t>abocará</w:t>
      </w:r>
      <w:r w:rsidRPr="0001715E">
        <w:rPr>
          <w:rFonts w:ascii="Palatino Linotype" w:eastAsia="Palatino Linotype" w:hAnsi="Palatino Linotype" w:cs="Palatino Linotype"/>
          <w:color w:val="000000"/>
        </w:rPr>
        <w:t xml:space="preserve"> </w:t>
      </w:r>
      <w:r w:rsidRPr="0001715E">
        <w:rPr>
          <w:rFonts w:ascii="Palatino Linotype" w:eastAsia="Palatino Linotype" w:hAnsi="Palatino Linotype" w:cs="Palatino Linotype"/>
          <w:color w:val="000000"/>
        </w:rPr>
        <w:lastRenderedPageBreak/>
        <w:t>en determinar si el Sujeto Obligado con su respuesta ciertamente actualiza la causal de procedencia</w:t>
      </w:r>
      <w:r w:rsidRPr="0001715E">
        <w:rPr>
          <w:rFonts w:ascii="Palatino Linotype" w:eastAsia="Palatino Linotype" w:hAnsi="Palatino Linotype" w:cs="Palatino Linotype"/>
          <w:b/>
          <w:color w:val="000000"/>
        </w:rPr>
        <w:t xml:space="preserve"> </w:t>
      </w:r>
      <w:r w:rsidRPr="0001715E">
        <w:rPr>
          <w:rFonts w:ascii="Palatino Linotype" w:eastAsia="Palatino Linotype" w:hAnsi="Palatino Linotype" w:cs="Palatino Linotype"/>
          <w:color w:val="000000"/>
        </w:rPr>
        <w:t xml:space="preserve">señalada. </w:t>
      </w:r>
    </w:p>
    <w:p w:rsidR="006476B8" w:rsidRPr="0001715E" w:rsidRDefault="006476B8">
      <w:pPr>
        <w:spacing w:line="360" w:lineRule="auto"/>
        <w:ind w:right="-787"/>
        <w:rPr>
          <w:rFonts w:ascii="Palatino Linotype" w:eastAsia="Palatino Linotype" w:hAnsi="Palatino Linotype" w:cs="Palatino Linotype"/>
        </w:rPr>
      </w:pPr>
    </w:p>
    <w:p w:rsidR="006476B8" w:rsidRPr="0001715E" w:rsidRDefault="00E40CA1">
      <w:pPr>
        <w:pStyle w:val="Ttulo2"/>
        <w:spacing w:before="0" w:line="360" w:lineRule="auto"/>
        <w:ind w:right="-787"/>
        <w:rPr>
          <w:rFonts w:ascii="Palatino Linotype" w:eastAsia="Palatino Linotype" w:hAnsi="Palatino Linotype" w:cs="Palatino Linotype"/>
          <w:b/>
          <w:color w:val="000000"/>
          <w:sz w:val="24"/>
          <w:szCs w:val="24"/>
        </w:rPr>
      </w:pPr>
      <w:bookmarkStart w:id="11" w:name="_heading=h.1t3h5sf" w:colFirst="0" w:colLast="0"/>
      <w:bookmarkEnd w:id="11"/>
      <w:r w:rsidRPr="0001715E">
        <w:rPr>
          <w:rFonts w:ascii="Palatino Linotype" w:eastAsia="Palatino Linotype" w:hAnsi="Palatino Linotype" w:cs="Palatino Linotype"/>
          <w:b/>
          <w:color w:val="000000"/>
          <w:sz w:val="24"/>
          <w:szCs w:val="24"/>
        </w:rPr>
        <w:t>CUARTA. Estudio de la controversia.</w:t>
      </w:r>
    </w:p>
    <w:p w:rsidR="006476B8" w:rsidRPr="0001715E" w:rsidRDefault="00E40CA1">
      <w:pPr>
        <w:numPr>
          <w:ilvl w:val="0"/>
          <w:numId w:val="1"/>
        </w:numPr>
        <w:spacing w:line="360" w:lineRule="auto"/>
        <w:ind w:left="0" w:right="-787" w:firstLine="0"/>
        <w:jc w:val="both"/>
      </w:pPr>
      <w:r w:rsidRPr="0001715E">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476B8" w:rsidRPr="0001715E" w:rsidRDefault="006476B8">
      <w:pPr>
        <w:spacing w:line="360" w:lineRule="auto"/>
        <w:ind w:right="-787"/>
        <w:jc w:val="both"/>
        <w:rPr>
          <w:rFonts w:ascii="Palatino Linotype" w:eastAsia="Palatino Linotype" w:hAnsi="Palatino Linotype" w:cs="Palatino Linotype"/>
        </w:rPr>
      </w:pPr>
    </w:p>
    <w:p w:rsidR="006476B8" w:rsidRPr="0001715E" w:rsidRDefault="00E40CA1">
      <w:pPr>
        <w:numPr>
          <w:ilvl w:val="0"/>
          <w:numId w:val="1"/>
        </w:numPr>
        <w:spacing w:line="360" w:lineRule="auto"/>
        <w:ind w:left="0" w:right="-787" w:firstLine="0"/>
        <w:jc w:val="both"/>
      </w:pPr>
      <w:r w:rsidRPr="0001715E">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476B8" w:rsidRPr="0001715E" w:rsidRDefault="006476B8">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6476B8" w:rsidRPr="0001715E" w:rsidRDefault="00E40CA1">
      <w:pPr>
        <w:numPr>
          <w:ilvl w:val="0"/>
          <w:numId w:val="1"/>
        </w:numPr>
        <w:spacing w:line="360" w:lineRule="auto"/>
        <w:ind w:left="0" w:right="-787" w:firstLine="0"/>
        <w:jc w:val="both"/>
      </w:pPr>
      <w:r w:rsidRPr="0001715E">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w:t>
      </w:r>
      <w:r w:rsidRPr="0001715E">
        <w:rPr>
          <w:rFonts w:ascii="Palatino Linotype" w:eastAsia="Palatino Linotype" w:hAnsi="Palatino Linotype" w:cs="Palatino Linotype"/>
        </w:rPr>
        <w:lastRenderedPageBreak/>
        <w:t>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6476B8" w:rsidRPr="0001715E" w:rsidRDefault="006476B8">
      <w:pPr>
        <w:spacing w:line="360" w:lineRule="auto"/>
        <w:ind w:right="-787"/>
        <w:jc w:val="both"/>
        <w:rPr>
          <w:rFonts w:ascii="Palatino Linotype" w:eastAsia="Palatino Linotype" w:hAnsi="Palatino Linotype" w:cs="Palatino Linotype"/>
        </w:rPr>
      </w:pPr>
    </w:p>
    <w:p w:rsidR="006476B8" w:rsidRPr="0001715E" w:rsidRDefault="00E40CA1">
      <w:pPr>
        <w:numPr>
          <w:ilvl w:val="0"/>
          <w:numId w:val="11"/>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01715E">
        <w:rPr>
          <w:rFonts w:ascii="Palatino Linotype" w:eastAsia="Palatino Linotype" w:hAnsi="Palatino Linotype" w:cs="Palatino Linotype"/>
          <w:b/>
          <w:color w:val="000000"/>
        </w:rPr>
        <w:t>Del Sujeto Obligado.</w:t>
      </w:r>
    </w:p>
    <w:p w:rsidR="00704E4B" w:rsidRPr="0001715E" w:rsidRDefault="00605804" w:rsidP="00704E4B">
      <w:pPr>
        <w:numPr>
          <w:ilvl w:val="0"/>
          <w:numId w:val="1"/>
        </w:numPr>
        <w:spacing w:line="360" w:lineRule="auto"/>
        <w:ind w:left="0" w:right="-787" w:firstLine="0"/>
        <w:jc w:val="both"/>
      </w:pPr>
      <w:r w:rsidRPr="0001715E">
        <w:rPr>
          <w:rFonts w:ascii="Palatino Linotype" w:eastAsia="Palatino Linotype" w:hAnsi="Palatino Linotype" w:cs="Palatino Linotype"/>
        </w:rPr>
        <w:t xml:space="preserve">De conformidad </w:t>
      </w:r>
      <w:r w:rsidR="00704E4B" w:rsidRPr="0001715E">
        <w:rPr>
          <w:rFonts w:ascii="Palatino Linotype" w:eastAsia="Palatino Linotype" w:hAnsi="Palatino Linotype" w:cs="Palatino Linotype"/>
        </w:rPr>
        <w:t>la Ley Orgánica Municipal del Estado de México, para el despacho de los asuntos de la administración municipal, el ayuntamiento contará con diversas dependencias:</w:t>
      </w:r>
    </w:p>
    <w:p w:rsidR="00605804" w:rsidRPr="0001715E" w:rsidRDefault="00704E4B" w:rsidP="00704E4B">
      <w:pPr>
        <w:ind w:left="1134" w:right="-799"/>
        <w:jc w:val="center"/>
        <w:rPr>
          <w:rFonts w:ascii="Palatino Linotype" w:eastAsia="Palatino Linotype" w:hAnsi="Palatino Linotype" w:cs="Palatino Linotype"/>
          <w:b/>
          <w:i/>
          <w:sz w:val="22"/>
          <w:szCs w:val="22"/>
        </w:rPr>
      </w:pPr>
      <w:r w:rsidRPr="0001715E">
        <w:rPr>
          <w:rFonts w:ascii="Palatino Linotype" w:eastAsia="Palatino Linotype" w:hAnsi="Palatino Linotype" w:cs="Palatino Linotype"/>
          <w:b/>
          <w:i/>
          <w:sz w:val="22"/>
          <w:szCs w:val="22"/>
        </w:rPr>
        <w:t>Ley Orgánica Municipal del Estado de México</w:t>
      </w:r>
    </w:p>
    <w:p w:rsidR="00704E4B" w:rsidRPr="0001715E" w:rsidRDefault="00704E4B" w:rsidP="00704E4B">
      <w:pPr>
        <w:ind w:left="1134" w:right="-799"/>
        <w:jc w:val="center"/>
        <w:rPr>
          <w:rFonts w:ascii="Palatino Linotype" w:eastAsia="Palatino Linotype" w:hAnsi="Palatino Linotype" w:cs="Palatino Linotype"/>
          <w:b/>
          <w:i/>
          <w:sz w:val="22"/>
          <w:szCs w:val="22"/>
        </w:rPr>
      </w:pPr>
    </w:p>
    <w:p w:rsidR="00704E4B" w:rsidRPr="0001715E" w:rsidRDefault="00704E4B" w:rsidP="00704E4B">
      <w:pPr>
        <w:ind w:left="1134" w:right="-799"/>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b/>
          <w:i/>
          <w:sz w:val="22"/>
          <w:szCs w:val="22"/>
        </w:rPr>
        <w:t xml:space="preserve">Artículo 87.- </w:t>
      </w:r>
      <w:r w:rsidRPr="0001715E">
        <w:rPr>
          <w:rFonts w:ascii="Palatino Linotype" w:eastAsia="Palatino Linotype" w:hAnsi="Palatino Linotype" w:cs="Palatino Linotype"/>
          <w:i/>
          <w:sz w:val="22"/>
          <w:szCs w:val="22"/>
        </w:rPr>
        <w:t>Para el despacho, estudio y planeación de los diversos asuntos de la administración municipal, el ayuntamiento contará por lo menos con las siguientes Dependencias:</w:t>
      </w:r>
    </w:p>
    <w:p w:rsidR="00704E4B" w:rsidRPr="0001715E" w:rsidRDefault="00704E4B" w:rsidP="00704E4B">
      <w:pPr>
        <w:ind w:left="1134" w:right="-799"/>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 xml:space="preserve">I. La secretaría del ayuntamiento; </w:t>
      </w:r>
    </w:p>
    <w:p w:rsidR="006476B8" w:rsidRPr="0001715E" w:rsidRDefault="00704E4B" w:rsidP="00704E4B">
      <w:pPr>
        <w:ind w:left="1134" w:right="-799"/>
        <w:jc w:val="both"/>
        <w:rPr>
          <w:rFonts w:ascii="Palatino Linotype" w:eastAsia="Palatino Linotype" w:hAnsi="Palatino Linotype" w:cs="Palatino Linotype"/>
          <w:b/>
          <w:i/>
          <w:sz w:val="22"/>
          <w:szCs w:val="22"/>
        </w:rPr>
      </w:pPr>
      <w:r w:rsidRPr="0001715E">
        <w:rPr>
          <w:rFonts w:ascii="Palatino Linotype" w:eastAsia="Palatino Linotype" w:hAnsi="Palatino Linotype" w:cs="Palatino Linotype"/>
          <w:b/>
          <w:i/>
          <w:sz w:val="22"/>
          <w:szCs w:val="22"/>
        </w:rPr>
        <w:t>II. La tesorería municipal.</w:t>
      </w:r>
    </w:p>
    <w:p w:rsidR="00704E4B" w:rsidRPr="0001715E" w:rsidRDefault="00704E4B" w:rsidP="00704E4B">
      <w:pPr>
        <w:ind w:left="1134" w:right="-799"/>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w:t>
      </w:r>
    </w:p>
    <w:p w:rsidR="00704E4B" w:rsidRPr="0001715E" w:rsidRDefault="00704E4B">
      <w:pPr>
        <w:spacing w:line="360" w:lineRule="auto"/>
        <w:ind w:right="-787"/>
        <w:jc w:val="both"/>
      </w:pPr>
    </w:p>
    <w:p w:rsidR="003B584A" w:rsidRPr="0001715E" w:rsidRDefault="003B584A" w:rsidP="003B584A">
      <w:pPr>
        <w:numPr>
          <w:ilvl w:val="0"/>
          <w:numId w:val="1"/>
        </w:numPr>
        <w:spacing w:line="360" w:lineRule="auto"/>
        <w:ind w:left="0" w:right="-787" w:firstLine="0"/>
        <w:jc w:val="both"/>
      </w:pPr>
      <w:r w:rsidRPr="0001715E">
        <w:rPr>
          <w:rFonts w:ascii="Palatino Linotype" w:eastAsia="Palatino Linotype" w:hAnsi="Palatino Linotype" w:cs="Palatino Linotype"/>
        </w:rPr>
        <w:t>La Tesorería Municipal, de conformidad con la Ley Orgánica Municipal del Estado de México, es el órgano encargado de la recaudación de los ingresos municipales y responsable de realizar las erogaciones que haga el ayuntamiento, mismo que tiene dentro de sus atribuciones las siguientes:</w:t>
      </w:r>
    </w:p>
    <w:p w:rsidR="003B584A" w:rsidRPr="0001715E" w:rsidRDefault="003B584A" w:rsidP="006A2E37">
      <w:pPr>
        <w:ind w:right="-787"/>
        <w:jc w:val="both"/>
      </w:pPr>
    </w:p>
    <w:p w:rsidR="003B584A" w:rsidRPr="0001715E" w:rsidRDefault="003B584A" w:rsidP="006A2E37">
      <w:pPr>
        <w:ind w:left="1134" w:right="-220"/>
        <w:jc w:val="center"/>
        <w:rPr>
          <w:rFonts w:ascii="Palatino Linotype" w:eastAsia="Palatino Linotype" w:hAnsi="Palatino Linotype" w:cs="Palatino Linotype"/>
          <w:b/>
          <w:i/>
          <w:sz w:val="22"/>
          <w:szCs w:val="22"/>
        </w:rPr>
      </w:pPr>
      <w:r w:rsidRPr="0001715E">
        <w:rPr>
          <w:rFonts w:ascii="Palatino Linotype" w:eastAsia="Palatino Linotype" w:hAnsi="Palatino Linotype" w:cs="Palatino Linotype"/>
          <w:b/>
          <w:i/>
          <w:sz w:val="22"/>
          <w:szCs w:val="22"/>
        </w:rPr>
        <w:t>Ley Orgánica Municipal del Estado de México</w:t>
      </w:r>
    </w:p>
    <w:p w:rsidR="003B584A" w:rsidRPr="0001715E" w:rsidRDefault="003B584A" w:rsidP="006A2E37">
      <w:pPr>
        <w:ind w:left="1134" w:right="-220"/>
        <w:jc w:val="center"/>
        <w:rPr>
          <w:rFonts w:ascii="Palatino Linotype" w:eastAsia="Palatino Linotype" w:hAnsi="Palatino Linotype" w:cs="Palatino Linotype"/>
          <w:b/>
          <w:i/>
          <w:sz w:val="22"/>
          <w:szCs w:val="22"/>
        </w:rPr>
      </w:pPr>
    </w:p>
    <w:p w:rsidR="006476B8" w:rsidRPr="0001715E" w:rsidRDefault="003B584A" w:rsidP="006A2E37">
      <w:pPr>
        <w:ind w:left="1134" w:right="-220"/>
        <w:jc w:val="both"/>
        <w:rPr>
          <w:rFonts w:ascii="Palatino Linotype" w:eastAsia="Palatino Linotype" w:hAnsi="Palatino Linotype" w:cs="Palatino Linotype"/>
          <w:b/>
          <w:i/>
          <w:sz w:val="22"/>
          <w:szCs w:val="22"/>
        </w:rPr>
      </w:pPr>
      <w:r w:rsidRPr="0001715E">
        <w:rPr>
          <w:rFonts w:ascii="Palatino Linotype" w:eastAsia="Palatino Linotype" w:hAnsi="Palatino Linotype" w:cs="Palatino Linotype"/>
          <w:b/>
          <w:i/>
          <w:sz w:val="22"/>
          <w:szCs w:val="22"/>
        </w:rPr>
        <w:t xml:space="preserve">Artículo 95.- </w:t>
      </w:r>
      <w:r w:rsidRPr="0001715E">
        <w:rPr>
          <w:rFonts w:ascii="Palatino Linotype" w:eastAsia="Palatino Linotype" w:hAnsi="Palatino Linotype" w:cs="Palatino Linotype"/>
          <w:i/>
          <w:sz w:val="22"/>
          <w:szCs w:val="22"/>
        </w:rPr>
        <w:t>Son atribuciones del tesorero municipal:</w:t>
      </w:r>
    </w:p>
    <w:p w:rsidR="003B584A" w:rsidRPr="0001715E" w:rsidRDefault="003B584A" w:rsidP="006A2E37">
      <w:pPr>
        <w:ind w:left="1134" w:right="-220"/>
        <w:jc w:val="both"/>
        <w:rPr>
          <w:rFonts w:ascii="Palatino Linotype" w:eastAsia="Palatino Linotype" w:hAnsi="Palatino Linotype" w:cs="Palatino Linotype"/>
          <w:i/>
          <w:sz w:val="22"/>
          <w:szCs w:val="22"/>
        </w:rPr>
      </w:pPr>
    </w:p>
    <w:p w:rsidR="006476B8" w:rsidRPr="0001715E" w:rsidRDefault="003B584A" w:rsidP="006A2E37">
      <w:pPr>
        <w:ind w:left="1134" w:right="-787"/>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lastRenderedPageBreak/>
        <w:t>I. Administrar la hacienda pública municipal, de conformidad con las disposiciones legales aplicables;</w:t>
      </w:r>
    </w:p>
    <w:p w:rsidR="003B584A" w:rsidRPr="0001715E" w:rsidRDefault="003B584A" w:rsidP="006A2E37">
      <w:pPr>
        <w:ind w:left="1134" w:right="-787"/>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w:t>
      </w:r>
    </w:p>
    <w:p w:rsidR="00704E4B" w:rsidRPr="0001715E" w:rsidRDefault="00704E4B" w:rsidP="00704E4B">
      <w:pPr>
        <w:ind w:left="1134" w:right="-787"/>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IV. Llevar los registros contables, financieros y administrativos de los ingresos, egresos, e</w:t>
      </w:r>
    </w:p>
    <w:p w:rsidR="00704E4B" w:rsidRPr="0001715E" w:rsidRDefault="00704E4B" w:rsidP="00704E4B">
      <w:pPr>
        <w:ind w:left="1134" w:right="-787"/>
        <w:jc w:val="both"/>
        <w:rPr>
          <w:rFonts w:ascii="Palatino Linotype" w:eastAsia="Palatino Linotype" w:hAnsi="Palatino Linotype" w:cs="Palatino Linotype"/>
          <w:i/>
          <w:sz w:val="22"/>
          <w:szCs w:val="22"/>
        </w:rPr>
      </w:pPr>
      <w:proofErr w:type="gramStart"/>
      <w:r w:rsidRPr="0001715E">
        <w:rPr>
          <w:rFonts w:ascii="Palatino Linotype" w:eastAsia="Palatino Linotype" w:hAnsi="Palatino Linotype" w:cs="Palatino Linotype"/>
          <w:i/>
          <w:sz w:val="22"/>
          <w:szCs w:val="22"/>
        </w:rPr>
        <w:t>inventarios</w:t>
      </w:r>
      <w:proofErr w:type="gramEnd"/>
      <w:r w:rsidRPr="0001715E">
        <w:rPr>
          <w:rFonts w:ascii="Palatino Linotype" w:eastAsia="Palatino Linotype" w:hAnsi="Palatino Linotype" w:cs="Palatino Linotype"/>
          <w:i/>
          <w:sz w:val="22"/>
          <w:szCs w:val="22"/>
        </w:rPr>
        <w:t>;</w:t>
      </w:r>
    </w:p>
    <w:p w:rsidR="00704E4B" w:rsidRPr="0001715E" w:rsidRDefault="00704E4B" w:rsidP="00704E4B">
      <w:pPr>
        <w:ind w:left="1134" w:right="-787"/>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w:t>
      </w:r>
    </w:p>
    <w:p w:rsidR="006476B8" w:rsidRPr="0001715E" w:rsidRDefault="006476B8">
      <w:pPr>
        <w:spacing w:line="360" w:lineRule="auto"/>
        <w:ind w:right="-787"/>
        <w:jc w:val="both"/>
        <w:rPr>
          <w:rFonts w:ascii="Palatino Linotype" w:eastAsia="Palatino Linotype" w:hAnsi="Palatino Linotype" w:cs="Palatino Linotype"/>
        </w:rPr>
      </w:pPr>
    </w:p>
    <w:p w:rsidR="00704E4B" w:rsidRPr="0001715E" w:rsidRDefault="00704E4B" w:rsidP="00D72FBE">
      <w:pPr>
        <w:numPr>
          <w:ilvl w:val="0"/>
          <w:numId w:val="1"/>
        </w:numPr>
        <w:spacing w:line="360" w:lineRule="auto"/>
        <w:ind w:left="0" w:right="-787" w:firstLine="0"/>
        <w:jc w:val="both"/>
        <w:rPr>
          <w:rFonts w:ascii="Palatino Linotype" w:eastAsia="Palatino Linotype" w:hAnsi="Palatino Linotype" w:cs="Palatino Linotype"/>
        </w:rPr>
      </w:pPr>
      <w:r w:rsidRPr="0001715E">
        <w:rPr>
          <w:rFonts w:ascii="Palatino Linotype" w:eastAsia="Palatino Linotype" w:hAnsi="Palatino Linotype" w:cs="Palatino Linotype"/>
        </w:rPr>
        <w:t>Para el despacho de los asuntos de la Administración Pública Municipal, se contará con diversas dependencias, entre ellas la Tesorería Municipal, misma que se encuentra normada en el Bando Municipal 2024, en los siguientes términos:</w:t>
      </w:r>
    </w:p>
    <w:p w:rsidR="00704E4B" w:rsidRPr="0001715E" w:rsidRDefault="00704E4B" w:rsidP="00704E4B">
      <w:pPr>
        <w:spacing w:line="360" w:lineRule="auto"/>
        <w:ind w:right="-787"/>
        <w:jc w:val="both"/>
        <w:rPr>
          <w:rFonts w:ascii="Palatino Linotype" w:eastAsia="Palatino Linotype" w:hAnsi="Palatino Linotype" w:cs="Palatino Linotype"/>
        </w:rPr>
      </w:pPr>
    </w:p>
    <w:p w:rsidR="00704E4B" w:rsidRPr="0001715E" w:rsidRDefault="00704E4B" w:rsidP="00704E4B">
      <w:pPr>
        <w:ind w:left="1134" w:right="-220"/>
        <w:jc w:val="center"/>
        <w:rPr>
          <w:rFonts w:ascii="Palatino Linotype" w:eastAsia="Palatino Linotype" w:hAnsi="Palatino Linotype" w:cs="Palatino Linotype"/>
          <w:b/>
          <w:i/>
          <w:sz w:val="22"/>
          <w:szCs w:val="22"/>
        </w:rPr>
      </w:pPr>
      <w:r w:rsidRPr="0001715E">
        <w:rPr>
          <w:rFonts w:ascii="Palatino Linotype" w:eastAsia="Palatino Linotype" w:hAnsi="Palatino Linotype" w:cs="Palatino Linotype"/>
          <w:b/>
          <w:i/>
          <w:sz w:val="22"/>
          <w:szCs w:val="22"/>
        </w:rPr>
        <w:t>Bando Municipal Timilpan 2024</w:t>
      </w:r>
    </w:p>
    <w:p w:rsidR="00704E4B" w:rsidRPr="0001715E" w:rsidRDefault="00704E4B" w:rsidP="00704E4B">
      <w:pPr>
        <w:ind w:left="1134" w:right="-220"/>
        <w:jc w:val="center"/>
        <w:rPr>
          <w:rFonts w:ascii="Palatino Linotype" w:eastAsia="Palatino Linotype" w:hAnsi="Palatino Linotype" w:cs="Palatino Linotype"/>
          <w:b/>
          <w:i/>
          <w:sz w:val="22"/>
          <w:szCs w:val="22"/>
        </w:rPr>
      </w:pPr>
    </w:p>
    <w:p w:rsidR="00704E4B" w:rsidRPr="0001715E" w:rsidRDefault="00704E4B" w:rsidP="00704E4B">
      <w:pPr>
        <w:ind w:left="1134" w:right="-220"/>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b/>
          <w:i/>
          <w:sz w:val="22"/>
          <w:szCs w:val="22"/>
        </w:rPr>
        <w:t xml:space="preserve">Artículo 38.- </w:t>
      </w:r>
      <w:r w:rsidRPr="0001715E">
        <w:rPr>
          <w:rFonts w:ascii="Palatino Linotype" w:eastAsia="Palatino Linotype" w:hAnsi="Palatino Linotype" w:cs="Palatino Linotype"/>
          <w:i/>
          <w:sz w:val="22"/>
          <w:szCs w:val="22"/>
        </w:rPr>
        <w:t xml:space="preserve">Para el despacho de los asuntos de la Administración Pública municipal, el Presidente Municipal se auxilia de las siguientes dependencias: </w:t>
      </w:r>
    </w:p>
    <w:p w:rsidR="00704E4B" w:rsidRPr="0001715E" w:rsidRDefault="00704E4B" w:rsidP="00704E4B">
      <w:pPr>
        <w:ind w:left="1134" w:right="-220"/>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w:t>
      </w:r>
    </w:p>
    <w:p w:rsidR="00704E4B" w:rsidRPr="0001715E" w:rsidRDefault="00704E4B" w:rsidP="00704E4B">
      <w:pPr>
        <w:ind w:left="1134" w:right="-220"/>
        <w:jc w:val="both"/>
        <w:rPr>
          <w:rFonts w:ascii="Palatino Linotype" w:eastAsia="Palatino Linotype" w:hAnsi="Palatino Linotype" w:cs="Palatino Linotype"/>
          <w:b/>
          <w:i/>
          <w:sz w:val="22"/>
          <w:szCs w:val="22"/>
        </w:rPr>
      </w:pPr>
      <w:r w:rsidRPr="0001715E">
        <w:rPr>
          <w:rFonts w:ascii="Palatino Linotype" w:eastAsia="Palatino Linotype" w:hAnsi="Palatino Linotype" w:cs="Palatino Linotype"/>
          <w:b/>
          <w:i/>
          <w:sz w:val="22"/>
          <w:szCs w:val="22"/>
        </w:rPr>
        <w:t>II. Tesorería Municipal</w:t>
      </w:r>
    </w:p>
    <w:p w:rsidR="00704E4B" w:rsidRPr="0001715E" w:rsidRDefault="00704E4B" w:rsidP="00704E4B">
      <w:pPr>
        <w:ind w:left="1134" w:right="-220"/>
        <w:jc w:val="both"/>
        <w:rPr>
          <w:rFonts w:ascii="Palatino Linotype" w:eastAsia="Palatino Linotype" w:hAnsi="Palatino Linotype" w:cs="Palatino Linotype"/>
          <w:b/>
          <w:i/>
          <w:sz w:val="22"/>
          <w:szCs w:val="22"/>
        </w:rPr>
      </w:pPr>
    </w:p>
    <w:p w:rsidR="00704E4B" w:rsidRPr="0001715E" w:rsidRDefault="00704E4B" w:rsidP="00704E4B">
      <w:pPr>
        <w:ind w:left="1134" w:right="-220"/>
        <w:jc w:val="center"/>
        <w:rPr>
          <w:rFonts w:ascii="Palatino Linotype" w:eastAsia="Palatino Linotype" w:hAnsi="Palatino Linotype" w:cs="Palatino Linotype"/>
          <w:b/>
          <w:i/>
          <w:sz w:val="22"/>
          <w:szCs w:val="22"/>
        </w:rPr>
      </w:pPr>
      <w:r w:rsidRPr="0001715E">
        <w:rPr>
          <w:rFonts w:ascii="Palatino Linotype" w:eastAsia="Palatino Linotype" w:hAnsi="Palatino Linotype" w:cs="Palatino Linotype"/>
          <w:b/>
          <w:i/>
          <w:sz w:val="22"/>
          <w:szCs w:val="22"/>
        </w:rPr>
        <w:t>CAPITULO I</w:t>
      </w:r>
    </w:p>
    <w:p w:rsidR="00704E4B" w:rsidRPr="0001715E" w:rsidRDefault="00704E4B" w:rsidP="00704E4B">
      <w:pPr>
        <w:ind w:left="1134" w:right="-220"/>
        <w:jc w:val="center"/>
        <w:rPr>
          <w:rFonts w:ascii="Palatino Linotype" w:eastAsia="Palatino Linotype" w:hAnsi="Palatino Linotype" w:cs="Palatino Linotype"/>
          <w:b/>
          <w:i/>
          <w:sz w:val="22"/>
          <w:szCs w:val="22"/>
        </w:rPr>
      </w:pPr>
      <w:r w:rsidRPr="0001715E">
        <w:rPr>
          <w:rFonts w:ascii="Palatino Linotype" w:eastAsia="Palatino Linotype" w:hAnsi="Palatino Linotype" w:cs="Palatino Linotype"/>
          <w:b/>
          <w:i/>
          <w:sz w:val="22"/>
          <w:szCs w:val="22"/>
        </w:rPr>
        <w:t>DE LA TESORERÍA MUNICIPAL</w:t>
      </w:r>
    </w:p>
    <w:p w:rsidR="00704E4B" w:rsidRPr="0001715E" w:rsidRDefault="00704E4B" w:rsidP="00704E4B">
      <w:pPr>
        <w:ind w:left="1134" w:right="-220"/>
        <w:jc w:val="center"/>
        <w:rPr>
          <w:rFonts w:ascii="Palatino Linotype" w:eastAsia="Palatino Linotype" w:hAnsi="Palatino Linotype" w:cs="Palatino Linotype"/>
          <w:b/>
          <w:i/>
          <w:sz w:val="22"/>
          <w:szCs w:val="22"/>
        </w:rPr>
      </w:pPr>
    </w:p>
    <w:p w:rsidR="00704E4B" w:rsidRPr="0001715E" w:rsidRDefault="00704E4B" w:rsidP="00704E4B">
      <w:pPr>
        <w:ind w:left="1134" w:right="-220"/>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b/>
          <w:i/>
          <w:sz w:val="22"/>
          <w:szCs w:val="22"/>
        </w:rPr>
        <w:t xml:space="preserve">Artículo 109.- </w:t>
      </w:r>
      <w:r w:rsidRPr="0001715E">
        <w:rPr>
          <w:rFonts w:ascii="Palatino Linotype" w:eastAsia="Palatino Linotype" w:hAnsi="Palatino Linotype" w:cs="Palatino Linotype"/>
          <w:i/>
          <w:sz w:val="22"/>
          <w:szCs w:val="22"/>
        </w:rPr>
        <w:t>La Tesorería Municipal es el órgano encargado de la recaudación de los ingresos Municipales y responsable de realizar las erogaciones que haga el Ayuntamiento por conducto de las dependencias administrativas, de conformidad con las disposiciones legales aplicables.</w:t>
      </w:r>
    </w:p>
    <w:p w:rsidR="00704E4B" w:rsidRPr="0001715E" w:rsidRDefault="00704E4B" w:rsidP="00704E4B">
      <w:pPr>
        <w:ind w:left="1134" w:right="-220"/>
        <w:jc w:val="both"/>
        <w:rPr>
          <w:rFonts w:ascii="Palatino Linotype" w:eastAsia="Palatino Linotype" w:hAnsi="Palatino Linotype" w:cs="Palatino Linotype"/>
          <w:i/>
          <w:sz w:val="22"/>
          <w:szCs w:val="22"/>
        </w:rPr>
      </w:pPr>
    </w:p>
    <w:p w:rsidR="00D96754" w:rsidRPr="0001715E" w:rsidRDefault="00704E4B" w:rsidP="00704E4B">
      <w:pPr>
        <w:ind w:left="1134" w:right="-220"/>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b/>
          <w:i/>
          <w:sz w:val="22"/>
          <w:szCs w:val="22"/>
        </w:rPr>
        <w:t>Artículo 111</w:t>
      </w:r>
      <w:r w:rsidRPr="0001715E">
        <w:rPr>
          <w:rFonts w:ascii="Palatino Linotype" w:eastAsia="Palatino Linotype" w:hAnsi="Palatino Linotype" w:cs="Palatino Linotype"/>
          <w:i/>
          <w:sz w:val="22"/>
          <w:szCs w:val="22"/>
        </w:rPr>
        <w:t xml:space="preserve">.-. Son atribuciones del Tesorero Municipal, además de las que establece la Ley Orgánica Municipal del Estado de México, el Código Financiero del Estado de México y Municipios y la Ley Superior de Fiscalización del Estado de México, las siguientes: </w:t>
      </w:r>
    </w:p>
    <w:p w:rsidR="00D96754" w:rsidRPr="0001715E" w:rsidRDefault="00D96754" w:rsidP="00704E4B">
      <w:pPr>
        <w:ind w:left="1134" w:right="-220"/>
        <w:jc w:val="both"/>
        <w:rPr>
          <w:rFonts w:ascii="Palatino Linotype" w:eastAsia="Palatino Linotype" w:hAnsi="Palatino Linotype" w:cs="Palatino Linotype"/>
          <w:i/>
          <w:sz w:val="22"/>
          <w:szCs w:val="22"/>
        </w:rPr>
      </w:pPr>
    </w:p>
    <w:p w:rsidR="00D96754" w:rsidRPr="0001715E" w:rsidRDefault="00704E4B" w:rsidP="00704E4B">
      <w:pPr>
        <w:ind w:left="1134" w:right="-220"/>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 xml:space="preserve">I. Instaurar los procedimientos de su competencia cuando se generen controversias sobre la responsabilidad directa en el cumplimento de las obligaciones fiscales; </w:t>
      </w:r>
    </w:p>
    <w:p w:rsidR="00D96754" w:rsidRPr="0001715E" w:rsidRDefault="00D96754" w:rsidP="00704E4B">
      <w:pPr>
        <w:ind w:left="1134" w:right="-220"/>
        <w:jc w:val="both"/>
        <w:rPr>
          <w:rFonts w:ascii="Palatino Linotype" w:eastAsia="Palatino Linotype" w:hAnsi="Palatino Linotype" w:cs="Palatino Linotype"/>
          <w:i/>
          <w:sz w:val="22"/>
          <w:szCs w:val="22"/>
        </w:rPr>
      </w:pPr>
    </w:p>
    <w:p w:rsidR="00704E4B" w:rsidRPr="0001715E" w:rsidRDefault="00704E4B" w:rsidP="00704E4B">
      <w:pPr>
        <w:ind w:left="1134" w:right="-220"/>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II. Expedir las certificaciones de las constancias de no adeudo del impuesto predial y aportaciones de mejoras, determinando los requisitos y lineamientos que debe reunir el contribuyente para su expedición;</w:t>
      </w:r>
    </w:p>
    <w:p w:rsidR="00D96754" w:rsidRPr="0001715E" w:rsidRDefault="00D96754" w:rsidP="00704E4B">
      <w:pPr>
        <w:ind w:left="1134" w:right="-220"/>
        <w:jc w:val="both"/>
        <w:rPr>
          <w:rFonts w:ascii="Palatino Linotype" w:eastAsia="Palatino Linotype" w:hAnsi="Palatino Linotype" w:cs="Palatino Linotype"/>
          <w:i/>
          <w:sz w:val="22"/>
          <w:szCs w:val="22"/>
        </w:rPr>
      </w:pPr>
    </w:p>
    <w:p w:rsidR="00D96754" w:rsidRPr="0001715E" w:rsidRDefault="00704E4B" w:rsidP="00704E4B">
      <w:pPr>
        <w:ind w:left="1134" w:right="-220"/>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 xml:space="preserve">III. Establecer los procedimientos y políticas de control interno necesarios para el correcto ejercicio del gasto y el buen funcionamiento de la Hacienda Pública Municipal; </w:t>
      </w:r>
    </w:p>
    <w:p w:rsidR="00D96754" w:rsidRPr="0001715E" w:rsidRDefault="00D96754" w:rsidP="00704E4B">
      <w:pPr>
        <w:ind w:left="1134" w:right="-220"/>
        <w:jc w:val="both"/>
        <w:rPr>
          <w:rFonts w:ascii="Palatino Linotype" w:eastAsia="Palatino Linotype" w:hAnsi="Palatino Linotype" w:cs="Palatino Linotype"/>
          <w:i/>
          <w:sz w:val="22"/>
          <w:szCs w:val="22"/>
        </w:rPr>
      </w:pPr>
    </w:p>
    <w:p w:rsidR="00D96754" w:rsidRPr="0001715E" w:rsidRDefault="00704E4B" w:rsidP="00704E4B">
      <w:pPr>
        <w:ind w:left="1134" w:right="-220"/>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 xml:space="preserve">IV. Desarrollar las atribuciones que le confieran las Leyes y Reglamentos de la materia, para los procesos de adquisición, enajenación y arrendamiento de bienes muebles e inmuebles; </w:t>
      </w:r>
    </w:p>
    <w:p w:rsidR="00D96754" w:rsidRPr="0001715E" w:rsidRDefault="00D96754" w:rsidP="00704E4B">
      <w:pPr>
        <w:ind w:left="1134" w:right="-220"/>
        <w:jc w:val="both"/>
        <w:rPr>
          <w:rFonts w:ascii="Palatino Linotype" w:eastAsia="Palatino Linotype" w:hAnsi="Palatino Linotype" w:cs="Palatino Linotype"/>
          <w:i/>
          <w:sz w:val="22"/>
          <w:szCs w:val="22"/>
        </w:rPr>
      </w:pPr>
    </w:p>
    <w:p w:rsidR="00D96754" w:rsidRPr="0001715E" w:rsidRDefault="00704E4B" w:rsidP="00704E4B">
      <w:pPr>
        <w:ind w:left="1134" w:right="-220"/>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 xml:space="preserve">V. En general, cumplir con todas las atribuciones conforme a los ordenamientos legales de la materia. </w:t>
      </w:r>
    </w:p>
    <w:p w:rsidR="00D96754" w:rsidRPr="0001715E" w:rsidRDefault="00D96754" w:rsidP="00704E4B">
      <w:pPr>
        <w:ind w:left="1134" w:right="-220"/>
        <w:jc w:val="both"/>
        <w:rPr>
          <w:rFonts w:ascii="Palatino Linotype" w:eastAsia="Palatino Linotype" w:hAnsi="Palatino Linotype" w:cs="Palatino Linotype"/>
          <w:i/>
          <w:sz w:val="22"/>
          <w:szCs w:val="22"/>
        </w:rPr>
      </w:pPr>
    </w:p>
    <w:p w:rsidR="00D96754" w:rsidRPr="0001715E" w:rsidRDefault="00704E4B" w:rsidP="00704E4B">
      <w:pPr>
        <w:ind w:left="1134" w:right="-220"/>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 xml:space="preserve">VI. Las que deriven de otras disposiciones aplicables; </w:t>
      </w:r>
    </w:p>
    <w:p w:rsidR="00D96754" w:rsidRPr="0001715E" w:rsidRDefault="00D96754" w:rsidP="00704E4B">
      <w:pPr>
        <w:ind w:left="1134" w:right="-220"/>
        <w:jc w:val="both"/>
        <w:rPr>
          <w:rFonts w:ascii="Palatino Linotype" w:eastAsia="Palatino Linotype" w:hAnsi="Palatino Linotype" w:cs="Palatino Linotype"/>
          <w:i/>
          <w:sz w:val="22"/>
          <w:szCs w:val="22"/>
        </w:rPr>
      </w:pPr>
    </w:p>
    <w:p w:rsidR="00704E4B" w:rsidRPr="0001715E" w:rsidRDefault="00704E4B" w:rsidP="00704E4B">
      <w:pPr>
        <w:ind w:left="1134" w:right="-220"/>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VII. Las demás que expresamente le encomienden las Leyes, Reglamentos y Acuerdos del Ayuntamiento o le instruya el Presidente;</w:t>
      </w:r>
    </w:p>
    <w:p w:rsidR="00704E4B" w:rsidRPr="0001715E" w:rsidRDefault="00704E4B" w:rsidP="00704E4B">
      <w:pPr>
        <w:spacing w:line="360" w:lineRule="auto"/>
        <w:ind w:right="-787"/>
        <w:jc w:val="both"/>
        <w:rPr>
          <w:rFonts w:ascii="Palatino Linotype" w:eastAsia="Palatino Linotype" w:hAnsi="Palatino Linotype" w:cs="Palatino Linotype"/>
        </w:rPr>
      </w:pPr>
    </w:p>
    <w:p w:rsidR="00D72FBE" w:rsidRPr="0001715E" w:rsidRDefault="00AE11B5" w:rsidP="00A32FEB">
      <w:pPr>
        <w:numPr>
          <w:ilvl w:val="0"/>
          <w:numId w:val="1"/>
        </w:numPr>
        <w:spacing w:line="360" w:lineRule="auto"/>
        <w:ind w:left="0" w:right="-787" w:firstLine="0"/>
        <w:jc w:val="both"/>
        <w:rPr>
          <w:rFonts w:ascii="Palatino Linotype" w:eastAsia="Palatino Linotype" w:hAnsi="Palatino Linotype" w:cs="Palatino Linotype"/>
        </w:rPr>
      </w:pPr>
      <w:r w:rsidRPr="0001715E">
        <w:rPr>
          <w:rFonts w:ascii="Palatino Linotype" w:eastAsia="Palatino Linotype" w:hAnsi="Palatino Linotype" w:cs="Palatino Linotype"/>
        </w:rPr>
        <w:t xml:space="preserve">Ahora bien, </w:t>
      </w:r>
      <w:r w:rsidR="00D72FBE" w:rsidRPr="0001715E">
        <w:rPr>
          <w:rFonts w:ascii="Palatino Linotype" w:eastAsia="Palatino Linotype" w:hAnsi="Palatino Linotype" w:cs="Palatino Linotype"/>
        </w:rPr>
        <w:t xml:space="preserve">en el tablero de seguimiento del SAIMEX, en el apartado de Requerimientos, el Titular de la Unidad de Transparencia turnó la solicitud </w:t>
      </w:r>
      <w:r w:rsidR="00A32FEB" w:rsidRPr="0001715E">
        <w:rPr>
          <w:rFonts w:ascii="Palatino Linotype" w:eastAsia="Palatino Linotype" w:hAnsi="Palatino Linotype" w:cs="Palatino Linotype"/>
        </w:rPr>
        <w:t>al Servidor Público Habilitado</w:t>
      </w:r>
      <w:r w:rsidR="00D72FBE" w:rsidRPr="0001715E">
        <w:rPr>
          <w:rFonts w:ascii="Palatino Linotype" w:eastAsia="Palatino Linotype" w:hAnsi="Palatino Linotype" w:cs="Palatino Linotype"/>
        </w:rPr>
        <w:t xml:space="preserve"> </w:t>
      </w:r>
      <w:r w:rsidR="00A32FEB" w:rsidRPr="0001715E">
        <w:rPr>
          <w:rFonts w:ascii="Palatino Linotype" w:eastAsia="Palatino Linotype" w:hAnsi="Palatino Linotype" w:cs="Palatino Linotype"/>
        </w:rPr>
        <w:t>Job Esteban Rodríguez Munguía</w:t>
      </w:r>
      <w:r w:rsidR="00D72FBE" w:rsidRPr="0001715E">
        <w:rPr>
          <w:rFonts w:ascii="Palatino Linotype" w:eastAsia="Palatino Linotype" w:hAnsi="Palatino Linotype" w:cs="Palatino Linotype"/>
        </w:rPr>
        <w:t>, quien otorgó la respuesta ya descrita en párrafos anteriores, tal como se muestra en la siguiente captura de pantalla.</w:t>
      </w:r>
    </w:p>
    <w:p w:rsidR="00D72FBE" w:rsidRPr="0001715E" w:rsidRDefault="00A32FEB" w:rsidP="00D72FBE">
      <w:pPr>
        <w:spacing w:line="360" w:lineRule="auto"/>
        <w:ind w:left="360" w:right="-787"/>
        <w:jc w:val="both"/>
        <w:rPr>
          <w:rFonts w:ascii="Palatino Linotype" w:eastAsia="Palatino Linotype" w:hAnsi="Palatino Linotype" w:cs="Palatino Linotype"/>
        </w:rPr>
      </w:pPr>
      <w:r w:rsidRPr="0001715E">
        <w:rPr>
          <w:rFonts w:ascii="Palatino Linotype" w:eastAsia="Palatino Linotype" w:hAnsi="Palatino Linotype" w:cs="Palatino Linotype"/>
          <w:noProof/>
          <w:lang w:val="es-MX" w:eastAsia="es-MX"/>
        </w:rPr>
        <w:drawing>
          <wp:inline distT="0" distB="0" distL="0" distR="0" wp14:anchorId="0ECA2530" wp14:editId="0E729FD9">
            <wp:extent cx="5612130" cy="1229995"/>
            <wp:effectExtent l="0" t="0" r="762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229995"/>
                    </a:xfrm>
                    <a:prstGeom prst="rect">
                      <a:avLst/>
                    </a:prstGeom>
                  </pic:spPr>
                </pic:pic>
              </a:graphicData>
            </a:graphic>
          </wp:inline>
        </w:drawing>
      </w:r>
    </w:p>
    <w:p w:rsidR="008B79C3" w:rsidRPr="0001715E" w:rsidRDefault="008B79C3" w:rsidP="008B79C3">
      <w:pPr>
        <w:spacing w:line="360" w:lineRule="auto"/>
        <w:ind w:right="-787"/>
        <w:jc w:val="both"/>
        <w:rPr>
          <w:rFonts w:ascii="Palatino Linotype" w:eastAsia="Palatino Linotype" w:hAnsi="Palatino Linotype" w:cs="Palatino Linotype"/>
        </w:rPr>
      </w:pPr>
    </w:p>
    <w:p w:rsidR="00AE11B5" w:rsidRPr="0001715E" w:rsidRDefault="008B79C3" w:rsidP="00A32FEB">
      <w:pPr>
        <w:numPr>
          <w:ilvl w:val="0"/>
          <w:numId w:val="1"/>
        </w:numPr>
        <w:spacing w:line="360" w:lineRule="auto"/>
        <w:ind w:left="0" w:right="-787" w:firstLine="0"/>
        <w:jc w:val="both"/>
        <w:rPr>
          <w:rFonts w:ascii="Palatino Linotype" w:eastAsia="Palatino Linotype" w:hAnsi="Palatino Linotype" w:cs="Palatino Linotype"/>
        </w:rPr>
      </w:pPr>
      <w:r w:rsidRPr="0001715E">
        <w:rPr>
          <w:rFonts w:ascii="Palatino Linotype" w:eastAsia="Palatino Linotype" w:hAnsi="Palatino Linotype" w:cs="Palatino Linotype"/>
        </w:rPr>
        <w:t xml:space="preserve">De </w:t>
      </w:r>
      <w:r w:rsidR="00AE11B5" w:rsidRPr="0001715E">
        <w:rPr>
          <w:rFonts w:ascii="Palatino Linotype" w:eastAsia="Palatino Linotype" w:hAnsi="Palatino Linotype" w:cs="Palatino Linotype"/>
        </w:rPr>
        <w:t xml:space="preserve">una investigación realizada </w:t>
      </w:r>
      <w:r w:rsidR="00A32FEB" w:rsidRPr="0001715E">
        <w:rPr>
          <w:rFonts w:ascii="Palatino Linotype" w:eastAsia="Palatino Linotype" w:hAnsi="Palatino Linotype" w:cs="Palatino Linotype"/>
        </w:rPr>
        <w:t>en los medios tecnológicos de la información, el servidor público referido signa diversos documentos con el carácter de Tesorero Municipal, asimismo, se encuentra señalado como Servidor Público Habilitado en el Directorio de Comités de Transparencia y Servidores Públicos Habilitados de los Sujetos Obligados 2024, como auxiliar de Tesorería, tal como se muestra en la siguiente imagen:</w:t>
      </w:r>
    </w:p>
    <w:p w:rsidR="00BD5F4A" w:rsidRPr="0001715E" w:rsidRDefault="00BD5F4A" w:rsidP="00BD5F4A">
      <w:pPr>
        <w:spacing w:line="360" w:lineRule="auto"/>
        <w:ind w:right="-787"/>
        <w:jc w:val="both"/>
        <w:rPr>
          <w:rFonts w:ascii="Palatino Linotype" w:eastAsia="Palatino Linotype" w:hAnsi="Palatino Linotype" w:cs="Palatino Linotype"/>
        </w:rPr>
      </w:pPr>
    </w:p>
    <w:p w:rsidR="00BD5F4A" w:rsidRPr="0001715E" w:rsidRDefault="00BD5F4A" w:rsidP="00BD5F4A">
      <w:pPr>
        <w:spacing w:line="360" w:lineRule="auto"/>
        <w:ind w:right="-787"/>
        <w:jc w:val="both"/>
        <w:rPr>
          <w:rFonts w:ascii="Palatino Linotype" w:eastAsia="Palatino Linotype" w:hAnsi="Palatino Linotype" w:cs="Palatino Linotype"/>
        </w:rPr>
      </w:pPr>
    </w:p>
    <w:p w:rsidR="00D72FBE" w:rsidRPr="0001715E" w:rsidRDefault="008B79C3" w:rsidP="00BD5F4A">
      <w:pPr>
        <w:spacing w:line="360" w:lineRule="auto"/>
        <w:ind w:right="-787"/>
        <w:jc w:val="both"/>
        <w:rPr>
          <w:rFonts w:ascii="Palatino Linotype" w:eastAsia="Palatino Linotype" w:hAnsi="Palatino Linotype" w:cs="Palatino Linotype"/>
        </w:rPr>
      </w:pPr>
      <w:r w:rsidRPr="0001715E">
        <w:rPr>
          <w:rFonts w:ascii="Palatino Linotype" w:eastAsia="Palatino Linotype" w:hAnsi="Palatino Linotype" w:cs="Palatino Linotype"/>
          <w:noProof/>
          <w:lang w:val="es-MX" w:eastAsia="es-MX"/>
        </w:rPr>
        <w:drawing>
          <wp:inline distT="0" distB="0" distL="0" distR="0" wp14:anchorId="55CAA3E4" wp14:editId="3643A1AA">
            <wp:extent cx="5612130" cy="343154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431540"/>
                    </a:xfrm>
                    <a:prstGeom prst="rect">
                      <a:avLst/>
                    </a:prstGeom>
                  </pic:spPr>
                </pic:pic>
              </a:graphicData>
            </a:graphic>
          </wp:inline>
        </w:drawing>
      </w:r>
    </w:p>
    <w:p w:rsidR="00AE11B5" w:rsidRPr="0001715E" w:rsidRDefault="00AE11B5" w:rsidP="00AE11B5">
      <w:pPr>
        <w:spacing w:line="360" w:lineRule="auto"/>
        <w:ind w:right="-787"/>
        <w:jc w:val="both"/>
        <w:rPr>
          <w:rFonts w:ascii="Palatino Linotype" w:eastAsia="Palatino Linotype" w:hAnsi="Palatino Linotype" w:cs="Palatino Linotype"/>
        </w:rPr>
      </w:pPr>
    </w:p>
    <w:p w:rsidR="006476B8" w:rsidRPr="0001715E" w:rsidRDefault="008B79C3">
      <w:pPr>
        <w:numPr>
          <w:ilvl w:val="0"/>
          <w:numId w:val="1"/>
        </w:numPr>
        <w:spacing w:line="360" w:lineRule="auto"/>
        <w:ind w:left="0" w:right="-787" w:firstLine="0"/>
        <w:jc w:val="both"/>
      </w:pPr>
      <w:r w:rsidRPr="0001715E">
        <w:rPr>
          <w:rFonts w:ascii="Palatino Linotype" w:eastAsia="Palatino Linotype" w:hAnsi="Palatino Linotype" w:cs="Palatino Linotype"/>
        </w:rPr>
        <w:t>De lo expuesto se infiere que el Servidor Público Habilitado pertenece a la Tesorería Municipal del Ayuntamiento, p</w:t>
      </w:r>
      <w:r w:rsidR="00D72FBE" w:rsidRPr="0001715E">
        <w:rPr>
          <w:rFonts w:ascii="Palatino Linotype" w:eastAsia="Palatino Linotype" w:hAnsi="Palatino Linotype" w:cs="Palatino Linotype"/>
        </w:rPr>
        <w:t xml:space="preserve">or lo </w:t>
      </w:r>
      <w:r w:rsidR="00E40CA1" w:rsidRPr="0001715E">
        <w:rPr>
          <w:rFonts w:ascii="Palatino Linotype" w:eastAsia="Palatino Linotype" w:hAnsi="Palatino Linotype" w:cs="Palatino Linotype"/>
        </w:rPr>
        <w:t xml:space="preserve">que podemos advertir que </w:t>
      </w:r>
      <w:r w:rsidR="00E40CA1" w:rsidRPr="0001715E">
        <w:rPr>
          <w:rFonts w:ascii="Palatino Linotype" w:eastAsia="Palatino Linotype" w:hAnsi="Palatino Linotype" w:cs="Palatino Linotype"/>
          <w:b/>
        </w:rPr>
        <w:t xml:space="preserve">EL SUJETO OBLIGADO </w:t>
      </w:r>
      <w:r w:rsidR="00E40CA1" w:rsidRPr="0001715E">
        <w:rPr>
          <w:rFonts w:ascii="Palatino Linotype" w:eastAsia="Palatino Linotype" w:hAnsi="Palatino Linotype" w:cs="Palatino Linotype"/>
        </w:rPr>
        <w:t xml:space="preserve">siguió el procedimiento inmerso en la normatividad aplicable, ya que turnó </w:t>
      </w:r>
      <w:r w:rsidR="00D72FBE" w:rsidRPr="0001715E">
        <w:rPr>
          <w:rFonts w:ascii="Palatino Linotype" w:eastAsia="Palatino Linotype" w:hAnsi="Palatino Linotype" w:cs="Palatino Linotype"/>
        </w:rPr>
        <w:t>el requerimiento</w:t>
      </w:r>
      <w:r w:rsidR="00E40CA1" w:rsidRPr="0001715E">
        <w:rPr>
          <w:rFonts w:ascii="Palatino Linotype" w:eastAsia="Palatino Linotype" w:hAnsi="Palatino Linotype" w:cs="Palatino Linotype"/>
        </w:rPr>
        <w:t xml:space="preserve"> de información a </w:t>
      </w:r>
      <w:r w:rsidR="00D72FBE" w:rsidRPr="0001715E">
        <w:rPr>
          <w:rFonts w:ascii="Palatino Linotype" w:eastAsia="Palatino Linotype" w:hAnsi="Palatino Linotype" w:cs="Palatino Linotype"/>
        </w:rPr>
        <w:t>la unidad administrativa competente</w:t>
      </w:r>
      <w:r w:rsidR="00E40CA1" w:rsidRPr="0001715E">
        <w:rPr>
          <w:rFonts w:ascii="Palatino Linotype" w:eastAsia="Palatino Linotype" w:hAnsi="Palatino Linotype" w:cs="Palatino Linotype"/>
        </w:rPr>
        <w:t xml:space="preserve">, vigilando lo establecido por el artículo 162 de la Ley de Transparencia y Acceso a la Información Pública del Estado de México y Municipios, al turnar la solicitud de información </w:t>
      </w:r>
      <w:r w:rsidR="00D72FBE" w:rsidRPr="0001715E">
        <w:rPr>
          <w:rFonts w:ascii="Palatino Linotype" w:eastAsia="Palatino Linotype" w:hAnsi="Palatino Linotype" w:cs="Palatino Linotype"/>
        </w:rPr>
        <w:t>al área en la</w:t>
      </w:r>
      <w:r w:rsidR="00E40CA1" w:rsidRPr="0001715E">
        <w:rPr>
          <w:rFonts w:ascii="Palatino Linotype" w:eastAsia="Palatino Linotype" w:hAnsi="Palatino Linotype" w:cs="Palatino Linotype"/>
        </w:rPr>
        <w:t xml:space="preserve"> que pudiera obrar la información de conformidad con la fracción XXXIX del artículo tercero de la legislación local vigente en materia de transparencia:</w:t>
      </w:r>
    </w:p>
    <w:p w:rsidR="002E4FD8" w:rsidRPr="0001715E" w:rsidRDefault="002E4FD8" w:rsidP="002E4FD8">
      <w:pPr>
        <w:spacing w:line="360" w:lineRule="auto"/>
        <w:ind w:right="-787"/>
        <w:jc w:val="both"/>
      </w:pPr>
    </w:p>
    <w:p w:rsidR="006476B8" w:rsidRPr="0001715E" w:rsidRDefault="00E40CA1">
      <w:pPr>
        <w:ind w:left="708" w:right="62"/>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b/>
          <w:i/>
          <w:sz w:val="22"/>
          <w:szCs w:val="22"/>
        </w:rPr>
        <w:lastRenderedPageBreak/>
        <w:t>XXXIX.</w:t>
      </w:r>
      <w:r w:rsidRPr="0001715E">
        <w:rPr>
          <w:rFonts w:ascii="Palatino Linotype" w:eastAsia="Palatino Linotype" w:hAnsi="Palatino Linotype" w:cs="Palatino Linotype"/>
          <w:i/>
          <w:sz w:val="22"/>
          <w:szCs w:val="22"/>
        </w:rPr>
        <w:t xml:space="preserve"> </w:t>
      </w:r>
      <w:r w:rsidRPr="0001715E">
        <w:rPr>
          <w:rFonts w:ascii="Palatino Linotype" w:eastAsia="Palatino Linotype" w:hAnsi="Palatino Linotype" w:cs="Palatino Linotype"/>
          <w:b/>
          <w:i/>
          <w:sz w:val="22"/>
          <w:szCs w:val="22"/>
        </w:rPr>
        <w:t>Servidor público habilitado</w:t>
      </w:r>
      <w:r w:rsidRPr="0001715E">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6476B8" w:rsidRPr="0001715E" w:rsidRDefault="006476B8">
      <w:pPr>
        <w:spacing w:line="360" w:lineRule="auto"/>
        <w:ind w:left="708" w:right="62"/>
        <w:jc w:val="both"/>
        <w:rPr>
          <w:rFonts w:ascii="Palatino Linotype" w:eastAsia="Palatino Linotype" w:hAnsi="Palatino Linotype" w:cs="Palatino Linotype"/>
          <w:sz w:val="22"/>
          <w:szCs w:val="22"/>
        </w:rPr>
      </w:pPr>
    </w:p>
    <w:p w:rsidR="006476B8" w:rsidRPr="0001715E" w:rsidRDefault="00E40CA1">
      <w:pPr>
        <w:numPr>
          <w:ilvl w:val="0"/>
          <w:numId w:val="1"/>
        </w:numPr>
        <w:spacing w:line="360" w:lineRule="auto"/>
        <w:ind w:left="0" w:right="-787" w:firstLine="0"/>
        <w:jc w:val="both"/>
      </w:pPr>
      <w:r w:rsidRPr="0001715E">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2E4FD8" w:rsidRPr="0001715E" w:rsidRDefault="002E4FD8" w:rsidP="002E4FD8">
      <w:pPr>
        <w:spacing w:line="360" w:lineRule="auto"/>
        <w:ind w:right="-787"/>
        <w:jc w:val="both"/>
      </w:pPr>
    </w:p>
    <w:p w:rsidR="006476B8" w:rsidRPr="0001715E" w:rsidRDefault="00E40CA1">
      <w:pPr>
        <w:ind w:left="425" w:right="-220"/>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w:t>
      </w:r>
      <w:r w:rsidRPr="0001715E">
        <w:rPr>
          <w:rFonts w:ascii="Palatino Linotype" w:eastAsia="Palatino Linotype" w:hAnsi="Palatino Linotype" w:cs="Palatino Linotype"/>
          <w:b/>
          <w:i/>
          <w:sz w:val="22"/>
          <w:szCs w:val="22"/>
        </w:rPr>
        <w:t>Artículo 162.</w:t>
      </w:r>
      <w:r w:rsidRPr="0001715E">
        <w:rPr>
          <w:rFonts w:ascii="Palatino Linotype" w:eastAsia="Palatino Linotype" w:hAnsi="Palatino Linotype" w:cs="Palatino Linotype"/>
          <w:i/>
          <w:sz w:val="22"/>
          <w:szCs w:val="22"/>
        </w:rPr>
        <w:t xml:space="preserve"> Las unidades de transparencia deberán garantizar que las solicitudes se turnen a </w:t>
      </w:r>
      <w:r w:rsidRPr="0001715E">
        <w:rPr>
          <w:rFonts w:ascii="Palatino Linotype" w:eastAsia="Palatino Linotype" w:hAnsi="Palatino Linotype" w:cs="Palatino Linotype"/>
          <w:b/>
          <w:i/>
          <w:sz w:val="22"/>
          <w:szCs w:val="22"/>
        </w:rPr>
        <w:t>todas las Áreas competentes</w:t>
      </w:r>
      <w:r w:rsidRPr="0001715E">
        <w:rPr>
          <w:rFonts w:ascii="Palatino Linotype" w:eastAsia="Palatino Linotype" w:hAnsi="Palatino Linotype" w:cs="Palatino Linotype"/>
          <w:i/>
          <w:sz w:val="22"/>
          <w:szCs w:val="22"/>
        </w:rPr>
        <w:t xml:space="preserve"> que cuenten con la información o deban tenerla de acuerdo a sus facultades, competencias y funciones, con el objeto de que realicen una búsqueda exhaustiva y razonable de la información solicitada.”</w:t>
      </w:r>
    </w:p>
    <w:p w:rsidR="006476B8" w:rsidRPr="0001715E" w:rsidRDefault="006476B8">
      <w:pPr>
        <w:spacing w:line="360" w:lineRule="auto"/>
        <w:ind w:right="-787"/>
        <w:jc w:val="both"/>
        <w:rPr>
          <w:rFonts w:ascii="Palatino Linotype" w:eastAsia="Palatino Linotype" w:hAnsi="Palatino Linotype" w:cs="Palatino Linotype"/>
        </w:rPr>
      </w:pPr>
    </w:p>
    <w:p w:rsidR="002E4FD8" w:rsidRPr="0001715E" w:rsidRDefault="002E4FD8" w:rsidP="002E4FD8">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Cs/>
          <w:lang w:val="es-MX"/>
        </w:rPr>
      </w:pPr>
      <w:r w:rsidRPr="0001715E">
        <w:rPr>
          <w:rFonts w:ascii="Palatino Linotype" w:eastAsia="Palatino Linotype" w:hAnsi="Palatino Linotype" w:cs="Palatino Linotype"/>
        </w:rPr>
        <w:t>Es de recordar que en respuesta, el Sujeto Obligado</w:t>
      </w:r>
      <w:r w:rsidRPr="0001715E">
        <w:rPr>
          <w:rFonts w:ascii="Palatino Linotype" w:eastAsia="Palatino Linotype" w:hAnsi="Palatino Linotype" w:cs="Palatino Linotype"/>
          <w:b/>
        </w:rPr>
        <w:t xml:space="preserve"> </w:t>
      </w:r>
      <w:r w:rsidRPr="0001715E">
        <w:rPr>
          <w:rFonts w:ascii="Palatino Linotype" w:eastAsia="Palatino Linotype" w:hAnsi="Palatino Linotype" w:cs="Palatino Linotype"/>
        </w:rPr>
        <w:t>señaló</w:t>
      </w:r>
      <w:r w:rsidRPr="0001715E">
        <w:rPr>
          <w:rFonts w:ascii="Palatino Linotype" w:eastAsia="Palatino Linotype" w:hAnsi="Palatino Linotype" w:cs="Palatino Linotype"/>
          <w:b/>
        </w:rPr>
        <w:t xml:space="preserve"> </w:t>
      </w:r>
      <w:r w:rsidRPr="0001715E">
        <w:rPr>
          <w:rFonts w:ascii="Palatino Linotype" w:eastAsia="Palatino Linotype" w:hAnsi="Palatino Linotype" w:cs="Palatino Linotype"/>
        </w:rPr>
        <w:t xml:space="preserve">que </w:t>
      </w:r>
      <w:r w:rsidRPr="0001715E">
        <w:rPr>
          <w:rFonts w:ascii="Palatino Linotype" w:eastAsia="Palatino Linotype" w:hAnsi="Palatino Linotype" w:cs="Palatino Linotype"/>
          <w:i/>
        </w:rPr>
        <w:t xml:space="preserve">la información se encuentra publicada en la fracción VIIIB, del artículo 92, en la plataforma Información Pública de Oficio Mexiquense, o bien en el siguiente enlace electrónico: </w:t>
      </w:r>
      <w:hyperlink r:id="rId14" w:anchor="/info-fraccion/12/193/1" w:history="1">
        <w:r w:rsidRPr="0001715E">
          <w:rPr>
            <w:rStyle w:val="Hipervnculo"/>
            <w:rFonts w:ascii="Palatino Linotype" w:eastAsia="Palatino Linotype" w:hAnsi="Palatino Linotype" w:cs="Palatino Linotype"/>
            <w:i/>
          </w:rPr>
          <w:t>https://infoem2.ipomex.org.mx/ipomex/#/info-fraccion/12/193/1</w:t>
        </w:r>
      </w:hyperlink>
      <w:r w:rsidRPr="0001715E">
        <w:rPr>
          <w:rFonts w:ascii="Palatino Linotype" w:eastAsia="Palatino Linotype" w:hAnsi="Palatino Linotype" w:cs="Palatino Linotype"/>
          <w:i/>
        </w:rPr>
        <w:t xml:space="preserve">, </w:t>
      </w:r>
      <w:r w:rsidRPr="0001715E">
        <w:rPr>
          <w:rFonts w:ascii="Palatino Linotype" w:eastAsia="Palatino Linotype" w:hAnsi="Palatino Linotype" w:cs="Palatino Linotype"/>
        </w:rPr>
        <w:t>misma que al copiarla y pegarla en el buscador nos direcciona a página web de Información Pública de Oficio Mexiquense, en el apartado correspondiente del Sujeto Obligado</w:t>
      </w:r>
      <w:r w:rsidRPr="0001715E">
        <w:rPr>
          <w:rFonts w:ascii="Palatino Linotype" w:eastAsia="Palatino Linotype" w:hAnsi="Palatino Linotype" w:cs="Palatino Linotype"/>
          <w:b/>
        </w:rPr>
        <w:t xml:space="preserve">, </w:t>
      </w:r>
      <w:r w:rsidRPr="0001715E">
        <w:rPr>
          <w:rFonts w:ascii="Palatino Linotype" w:eastAsia="Palatino Linotype" w:hAnsi="Palatino Linotype" w:cs="Palatino Linotype"/>
          <w:bCs/>
          <w:lang w:val="es-MX"/>
        </w:rPr>
        <w:t>Artículo 92  Fracción VIII B  Tabulador de sueldos y salarios</w:t>
      </w:r>
      <w:r w:rsidR="00537E62" w:rsidRPr="0001715E">
        <w:rPr>
          <w:rFonts w:ascii="Palatino Linotype" w:eastAsia="Palatino Linotype" w:hAnsi="Palatino Linotype" w:cs="Palatino Linotype"/>
          <w:bCs/>
          <w:lang w:val="es-MX"/>
        </w:rPr>
        <w:t>, visualizándose un hipervínculo correspondiente al primer trimestre del ejercicio fiscal 2025:</w:t>
      </w:r>
    </w:p>
    <w:p w:rsidR="00D72FBE" w:rsidRPr="0001715E" w:rsidRDefault="00D72FBE" w:rsidP="00537E62">
      <w:pPr>
        <w:pBdr>
          <w:top w:val="nil"/>
          <w:left w:val="nil"/>
          <w:bottom w:val="nil"/>
          <w:right w:val="nil"/>
          <w:between w:val="nil"/>
        </w:pBdr>
        <w:spacing w:line="360" w:lineRule="auto"/>
        <w:ind w:right="-787"/>
        <w:jc w:val="both"/>
        <w:rPr>
          <w:color w:val="000000"/>
        </w:rPr>
      </w:pPr>
    </w:p>
    <w:p w:rsidR="002E4FD8" w:rsidRPr="0001715E" w:rsidRDefault="002E4FD8" w:rsidP="002E4FD8">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2E4FD8" w:rsidRPr="0001715E" w:rsidRDefault="002E4FD8" w:rsidP="00537E62">
      <w:pPr>
        <w:pBdr>
          <w:top w:val="nil"/>
          <w:left w:val="nil"/>
          <w:bottom w:val="nil"/>
          <w:right w:val="nil"/>
          <w:between w:val="nil"/>
        </w:pBdr>
        <w:spacing w:line="360" w:lineRule="auto"/>
        <w:ind w:right="-787"/>
        <w:jc w:val="center"/>
        <w:rPr>
          <w:color w:val="000000"/>
        </w:rPr>
      </w:pPr>
      <w:r w:rsidRPr="0001715E">
        <w:rPr>
          <w:noProof/>
          <w:color w:val="000000"/>
          <w:lang w:val="es-MX" w:eastAsia="es-MX"/>
        </w:rPr>
        <w:lastRenderedPageBreak/>
        <w:drawing>
          <wp:inline distT="0" distB="0" distL="0" distR="0" wp14:anchorId="1FF6E8D0" wp14:editId="1DE4A9AD">
            <wp:extent cx="3992880" cy="1441647"/>
            <wp:effectExtent l="152400" t="152400" r="369570" b="3683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13636" cy="1449141"/>
                    </a:xfrm>
                    <a:prstGeom prst="rect">
                      <a:avLst/>
                    </a:prstGeom>
                    <a:ln>
                      <a:noFill/>
                    </a:ln>
                    <a:effectLst>
                      <a:outerShdw blurRad="292100" dist="139700" dir="2700000" algn="tl" rotWithShape="0">
                        <a:srgbClr val="333333">
                          <a:alpha val="65000"/>
                        </a:srgbClr>
                      </a:outerShdw>
                    </a:effectLst>
                  </pic:spPr>
                </pic:pic>
              </a:graphicData>
            </a:graphic>
          </wp:inline>
        </w:drawing>
      </w:r>
    </w:p>
    <w:p w:rsidR="00537E62" w:rsidRPr="0001715E" w:rsidRDefault="00537E62">
      <w:pPr>
        <w:numPr>
          <w:ilvl w:val="0"/>
          <w:numId w:val="1"/>
        </w:numPr>
        <w:pBdr>
          <w:top w:val="nil"/>
          <w:left w:val="nil"/>
          <w:bottom w:val="nil"/>
          <w:right w:val="nil"/>
          <w:between w:val="nil"/>
        </w:pBdr>
        <w:spacing w:line="360" w:lineRule="auto"/>
        <w:ind w:left="0" w:right="-787" w:firstLine="0"/>
        <w:jc w:val="both"/>
        <w:rPr>
          <w:color w:val="000000"/>
        </w:rPr>
      </w:pPr>
      <w:r w:rsidRPr="0001715E">
        <w:rPr>
          <w:rFonts w:ascii="Palatino Linotype" w:eastAsia="Palatino Linotype" w:hAnsi="Palatino Linotype" w:cs="Palatino Linotype"/>
          <w:color w:val="000000"/>
        </w:rPr>
        <w:t>Ahora bien, al consultar periodos anteriores y seleccionar el hipervínculo correspondiente al cuarto trimestre 2024, no es posible ingresar a la información, tal como se muestra en la siguiente captura de pantalla:</w:t>
      </w:r>
    </w:p>
    <w:p w:rsidR="00537E62" w:rsidRPr="0001715E" w:rsidRDefault="00537E62" w:rsidP="00537E62">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537E62" w:rsidRPr="0001715E" w:rsidRDefault="00537E62" w:rsidP="00537E62">
      <w:pPr>
        <w:pBdr>
          <w:top w:val="nil"/>
          <w:left w:val="nil"/>
          <w:bottom w:val="nil"/>
          <w:right w:val="nil"/>
          <w:between w:val="nil"/>
        </w:pBdr>
        <w:spacing w:line="360" w:lineRule="auto"/>
        <w:ind w:right="-787"/>
        <w:jc w:val="center"/>
        <w:rPr>
          <w:color w:val="000000"/>
        </w:rPr>
      </w:pPr>
      <w:r w:rsidRPr="0001715E">
        <w:rPr>
          <w:noProof/>
          <w:color w:val="000000"/>
          <w:lang w:val="es-MX" w:eastAsia="es-MX"/>
        </w:rPr>
        <w:drawing>
          <wp:inline distT="0" distB="0" distL="0" distR="0" wp14:anchorId="0A82972F" wp14:editId="086D7C7B">
            <wp:extent cx="3764280" cy="2764646"/>
            <wp:effectExtent l="152400" t="152400" r="369570" b="3600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774313" cy="2772014"/>
                    </a:xfrm>
                    <a:prstGeom prst="rect">
                      <a:avLst/>
                    </a:prstGeom>
                    <a:ln>
                      <a:noFill/>
                    </a:ln>
                    <a:effectLst>
                      <a:outerShdw blurRad="292100" dist="139700" dir="2700000" algn="tl" rotWithShape="0">
                        <a:srgbClr val="333333">
                          <a:alpha val="65000"/>
                        </a:srgbClr>
                      </a:outerShdw>
                    </a:effectLst>
                  </pic:spPr>
                </pic:pic>
              </a:graphicData>
            </a:graphic>
          </wp:inline>
        </w:drawing>
      </w:r>
    </w:p>
    <w:p w:rsidR="00537E62" w:rsidRPr="0001715E" w:rsidRDefault="00537E62" w:rsidP="00537E62">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537E62" w:rsidRPr="0001715E" w:rsidRDefault="00537E62" w:rsidP="00537E62">
      <w:pPr>
        <w:pBdr>
          <w:top w:val="nil"/>
          <w:left w:val="nil"/>
          <w:bottom w:val="nil"/>
          <w:right w:val="nil"/>
          <w:between w:val="nil"/>
        </w:pBdr>
        <w:spacing w:line="360" w:lineRule="auto"/>
        <w:ind w:right="-787"/>
        <w:jc w:val="center"/>
        <w:rPr>
          <w:color w:val="000000"/>
        </w:rPr>
      </w:pPr>
      <w:r w:rsidRPr="0001715E">
        <w:rPr>
          <w:noProof/>
          <w:color w:val="000000"/>
          <w:lang w:val="es-MX" w:eastAsia="es-MX"/>
        </w:rPr>
        <w:lastRenderedPageBreak/>
        <w:drawing>
          <wp:inline distT="0" distB="0" distL="0" distR="0" wp14:anchorId="5C895F1E" wp14:editId="78B33DB3">
            <wp:extent cx="3133725" cy="2116743"/>
            <wp:effectExtent l="152400" t="152400" r="352425" b="36004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41608" cy="2122068"/>
                    </a:xfrm>
                    <a:prstGeom prst="rect">
                      <a:avLst/>
                    </a:prstGeom>
                    <a:ln>
                      <a:noFill/>
                    </a:ln>
                    <a:effectLst>
                      <a:outerShdw blurRad="292100" dist="139700" dir="2700000" algn="tl" rotWithShape="0">
                        <a:srgbClr val="333333">
                          <a:alpha val="65000"/>
                        </a:srgbClr>
                      </a:outerShdw>
                    </a:effectLst>
                  </pic:spPr>
                </pic:pic>
              </a:graphicData>
            </a:graphic>
          </wp:inline>
        </w:drawing>
      </w:r>
    </w:p>
    <w:p w:rsidR="00537E62" w:rsidRPr="0001715E" w:rsidRDefault="00537E62" w:rsidP="00537E62">
      <w:pPr>
        <w:numPr>
          <w:ilvl w:val="0"/>
          <w:numId w:val="1"/>
        </w:numPr>
        <w:pBdr>
          <w:top w:val="nil"/>
          <w:left w:val="nil"/>
          <w:bottom w:val="nil"/>
          <w:right w:val="nil"/>
          <w:between w:val="nil"/>
        </w:pBdr>
        <w:spacing w:line="360" w:lineRule="auto"/>
        <w:ind w:left="0" w:right="-787" w:firstLine="0"/>
        <w:jc w:val="both"/>
        <w:rPr>
          <w:rFonts w:ascii="Palatino Linotype" w:hAnsi="Palatino Linotype" w:cs="Arial"/>
          <w:color w:val="000000" w:themeColor="text1"/>
        </w:rPr>
      </w:pPr>
      <w:r w:rsidRPr="0001715E">
        <w:rPr>
          <w:rFonts w:ascii="Palatino Linotype" w:hAnsi="Palatino Linotype" w:cs="Arial"/>
          <w:color w:val="000000" w:themeColor="text1"/>
        </w:rPr>
        <w:t xml:space="preserve">Derivado de lo anterior, es importante traer a contexto el artículo 115 fracción IV, párrafo tercero de la Constitución Política de los Estados Unidos Mexicanos establece que: </w:t>
      </w:r>
    </w:p>
    <w:p w:rsidR="00537E62" w:rsidRPr="0001715E" w:rsidRDefault="00537E62" w:rsidP="00537E62">
      <w:pPr>
        <w:jc w:val="both"/>
        <w:rPr>
          <w:rFonts w:ascii="Palatino Linotype" w:hAnsi="Palatino Linotype" w:cs="Arial"/>
          <w:color w:val="000000" w:themeColor="text1"/>
        </w:rPr>
      </w:pPr>
    </w:p>
    <w:p w:rsidR="00537E62" w:rsidRPr="0001715E" w:rsidRDefault="00537E62" w:rsidP="002F14B9">
      <w:pPr>
        <w:tabs>
          <w:tab w:val="left" w:pos="1276"/>
        </w:tabs>
        <w:ind w:left="567" w:right="-801"/>
        <w:jc w:val="both"/>
        <w:rPr>
          <w:rFonts w:ascii="Palatino Linotype" w:hAnsi="Palatino Linotype" w:cs="Arial"/>
          <w:i/>
          <w:color w:val="000000" w:themeColor="text1"/>
          <w:sz w:val="22"/>
          <w:szCs w:val="22"/>
          <w:lang w:val="es-ES"/>
        </w:rPr>
      </w:pPr>
      <w:r w:rsidRPr="0001715E">
        <w:rPr>
          <w:rFonts w:ascii="Palatino Linotype" w:hAnsi="Palatino Linotype" w:cs="Arial"/>
          <w:i/>
          <w:color w:val="000000" w:themeColor="text1"/>
          <w:sz w:val="22"/>
          <w:szCs w:val="22"/>
          <w:lang w:val="es-ES"/>
        </w:rPr>
        <w:t>“</w:t>
      </w:r>
      <w:r w:rsidRPr="0001715E">
        <w:rPr>
          <w:rFonts w:ascii="Palatino Linotype" w:hAnsi="Palatino Linotype" w:cs="Arial"/>
          <w:b/>
          <w:i/>
          <w:color w:val="000000" w:themeColor="text1"/>
          <w:sz w:val="22"/>
          <w:szCs w:val="22"/>
          <w:lang w:val="es-ES"/>
        </w:rPr>
        <w:t>Artículo 115.</w:t>
      </w:r>
      <w:r w:rsidRPr="0001715E">
        <w:rPr>
          <w:rFonts w:ascii="Palatino Linotype" w:hAnsi="Palatino Linotype" w:cs="Arial"/>
          <w:i/>
          <w:color w:val="000000" w:themeColor="text1"/>
          <w:sz w:val="22"/>
          <w:szCs w:val="22"/>
          <w:lang w:val="es-ES"/>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537E62" w:rsidRPr="0001715E" w:rsidRDefault="00537E62" w:rsidP="002F14B9">
      <w:pPr>
        <w:tabs>
          <w:tab w:val="left" w:pos="1276"/>
        </w:tabs>
        <w:ind w:left="567" w:right="-801"/>
        <w:jc w:val="both"/>
        <w:rPr>
          <w:rFonts w:ascii="Palatino Linotype" w:hAnsi="Palatino Linotype" w:cs="Arial"/>
          <w:i/>
          <w:color w:val="000000" w:themeColor="text1"/>
          <w:sz w:val="22"/>
          <w:szCs w:val="22"/>
          <w:lang w:val="es-ES"/>
        </w:rPr>
      </w:pPr>
      <w:r w:rsidRPr="0001715E">
        <w:rPr>
          <w:rFonts w:ascii="Palatino Linotype" w:hAnsi="Palatino Linotype" w:cs="Arial"/>
          <w:i/>
          <w:color w:val="000000" w:themeColor="text1"/>
          <w:sz w:val="22"/>
          <w:szCs w:val="22"/>
          <w:lang w:val="es-ES"/>
        </w:rPr>
        <w:t>…</w:t>
      </w:r>
    </w:p>
    <w:p w:rsidR="00537E62" w:rsidRPr="0001715E" w:rsidRDefault="00537E62" w:rsidP="002F14B9">
      <w:pPr>
        <w:tabs>
          <w:tab w:val="left" w:pos="1276"/>
        </w:tabs>
        <w:ind w:left="567" w:right="-801"/>
        <w:jc w:val="both"/>
        <w:rPr>
          <w:rFonts w:ascii="Palatino Linotype" w:hAnsi="Palatino Linotype" w:cs="Arial"/>
          <w:i/>
          <w:color w:val="000000" w:themeColor="text1"/>
          <w:sz w:val="22"/>
          <w:szCs w:val="22"/>
          <w:lang w:val="es-ES"/>
        </w:rPr>
      </w:pPr>
      <w:r w:rsidRPr="0001715E">
        <w:rPr>
          <w:rFonts w:ascii="Palatino Linotype" w:hAnsi="Palatino Linotype" w:cs="Arial"/>
          <w:i/>
          <w:color w:val="000000" w:themeColor="text1"/>
          <w:sz w:val="22"/>
          <w:szCs w:val="22"/>
          <w:lang w:val="es-ES"/>
        </w:rPr>
        <w:t>IV.</w:t>
      </w:r>
    </w:p>
    <w:p w:rsidR="00537E62" w:rsidRPr="0001715E" w:rsidRDefault="00537E62" w:rsidP="002F14B9">
      <w:pPr>
        <w:tabs>
          <w:tab w:val="left" w:pos="1276"/>
        </w:tabs>
        <w:ind w:left="567" w:right="-801"/>
        <w:jc w:val="both"/>
        <w:rPr>
          <w:rFonts w:ascii="Palatino Linotype" w:hAnsi="Palatino Linotype" w:cs="Arial"/>
          <w:i/>
          <w:color w:val="000000" w:themeColor="text1"/>
          <w:sz w:val="22"/>
          <w:szCs w:val="22"/>
          <w:lang w:val="es-ES"/>
        </w:rPr>
      </w:pPr>
      <w:r w:rsidRPr="0001715E">
        <w:rPr>
          <w:rFonts w:ascii="Palatino Linotype" w:hAnsi="Palatino Linotype" w:cs="Arial"/>
          <w:i/>
          <w:color w:val="000000" w:themeColor="text1"/>
          <w:sz w:val="22"/>
          <w:szCs w:val="22"/>
          <w:lang w:val="es-ES"/>
        </w:rPr>
        <w:t>…</w:t>
      </w:r>
    </w:p>
    <w:p w:rsidR="00537E62" w:rsidRPr="0001715E" w:rsidRDefault="00537E62" w:rsidP="002F14B9">
      <w:pPr>
        <w:tabs>
          <w:tab w:val="left" w:pos="1276"/>
        </w:tabs>
        <w:ind w:left="567" w:right="-801"/>
        <w:jc w:val="both"/>
        <w:rPr>
          <w:rFonts w:ascii="Palatino Linotype" w:hAnsi="Palatino Linotype" w:cs="Arial"/>
          <w:i/>
          <w:color w:val="000000" w:themeColor="text1"/>
          <w:sz w:val="22"/>
          <w:szCs w:val="22"/>
          <w:lang w:val="es-ES"/>
        </w:rPr>
      </w:pPr>
      <w:r w:rsidRPr="0001715E">
        <w:rPr>
          <w:rFonts w:ascii="Palatino Linotype" w:hAnsi="Palatino Linotype" w:cs="Arial"/>
          <w:i/>
          <w:color w:val="000000" w:themeColor="text1"/>
          <w:sz w:val="22"/>
          <w:szCs w:val="22"/>
          <w:lang w:val="es-ES"/>
        </w:rPr>
        <w:t xml:space="preserve">Las legislaturas de los Estados aprobarán las leyes de ingresos de los municipios, revisarán y fiscalizarán sus cuentas públicas. </w:t>
      </w:r>
      <w:r w:rsidRPr="0001715E">
        <w:rPr>
          <w:rFonts w:ascii="Palatino Linotype" w:hAnsi="Palatino Linotype" w:cs="Arial"/>
          <w:b/>
          <w:i/>
          <w:color w:val="000000" w:themeColor="text1"/>
          <w:sz w:val="22"/>
          <w:szCs w:val="22"/>
          <w:lang w:val="es-ES"/>
        </w:rPr>
        <w:t>Los presupuestos de egresos serán aprobados por los ayuntamientos con base en sus ingresos disponibles, y deberán incluir en los mismos, los tabuladores desglosados de las remuneraciones que perciban los servidores públicos municipales</w:t>
      </w:r>
      <w:r w:rsidRPr="0001715E">
        <w:rPr>
          <w:rFonts w:ascii="Palatino Linotype" w:hAnsi="Palatino Linotype" w:cs="Arial"/>
          <w:i/>
          <w:color w:val="000000" w:themeColor="text1"/>
          <w:sz w:val="22"/>
          <w:szCs w:val="22"/>
          <w:lang w:val="es-ES"/>
        </w:rPr>
        <w:t xml:space="preserve">, sujetándose a lo dispuesto en el artículo 127 de esta Constitución” </w:t>
      </w:r>
    </w:p>
    <w:p w:rsidR="00537E62" w:rsidRPr="0001715E" w:rsidRDefault="00537E62" w:rsidP="00537E62">
      <w:pPr>
        <w:jc w:val="both"/>
        <w:rPr>
          <w:rFonts w:ascii="Palatino Linotype" w:hAnsi="Palatino Linotype" w:cs="Arial"/>
          <w:color w:val="000000" w:themeColor="text1"/>
        </w:rPr>
      </w:pPr>
    </w:p>
    <w:p w:rsidR="00537E62" w:rsidRPr="0001715E" w:rsidRDefault="00537E62" w:rsidP="00537E62">
      <w:pPr>
        <w:numPr>
          <w:ilvl w:val="0"/>
          <w:numId w:val="1"/>
        </w:numPr>
        <w:pBdr>
          <w:top w:val="nil"/>
          <w:left w:val="nil"/>
          <w:bottom w:val="nil"/>
          <w:right w:val="nil"/>
          <w:between w:val="nil"/>
        </w:pBdr>
        <w:spacing w:line="360" w:lineRule="auto"/>
        <w:ind w:left="0" w:right="-787" w:firstLine="0"/>
        <w:jc w:val="both"/>
        <w:rPr>
          <w:rFonts w:ascii="Palatino Linotype" w:hAnsi="Palatino Linotype" w:cs="Arial"/>
          <w:color w:val="000000" w:themeColor="text1"/>
        </w:rPr>
      </w:pPr>
      <w:r w:rsidRPr="0001715E">
        <w:rPr>
          <w:rFonts w:ascii="Palatino Linotype" w:hAnsi="Palatino Linotype" w:cs="Arial"/>
          <w:color w:val="000000" w:themeColor="text1"/>
        </w:rPr>
        <w:t xml:space="preserve">Asimismo, en el artículo 125 cuarto y quinto párrafos de la Constitución Política del Estado Libre y Soberano de México, dispone: </w:t>
      </w:r>
    </w:p>
    <w:p w:rsidR="00537E62" w:rsidRPr="0001715E" w:rsidRDefault="00537E62" w:rsidP="00537E62">
      <w:pPr>
        <w:jc w:val="both"/>
        <w:rPr>
          <w:rFonts w:ascii="Palatino Linotype" w:hAnsi="Palatino Linotype" w:cs="Arial"/>
          <w:color w:val="000000" w:themeColor="text1"/>
        </w:rPr>
      </w:pPr>
    </w:p>
    <w:p w:rsidR="00537E62" w:rsidRPr="0001715E" w:rsidRDefault="00537E62" w:rsidP="002F14B9">
      <w:pPr>
        <w:tabs>
          <w:tab w:val="left" w:pos="1134"/>
        </w:tabs>
        <w:ind w:left="567" w:right="-943"/>
        <w:jc w:val="both"/>
        <w:rPr>
          <w:rFonts w:ascii="Palatino Linotype" w:hAnsi="Palatino Linotype" w:cs="Arial"/>
          <w:i/>
          <w:color w:val="000000" w:themeColor="text1"/>
          <w:sz w:val="22"/>
          <w:szCs w:val="22"/>
          <w:lang w:val="es-ES"/>
        </w:rPr>
      </w:pPr>
      <w:r w:rsidRPr="0001715E">
        <w:rPr>
          <w:rFonts w:ascii="Palatino Linotype" w:hAnsi="Palatino Linotype" w:cs="Arial"/>
          <w:i/>
          <w:color w:val="000000" w:themeColor="text1"/>
          <w:sz w:val="22"/>
          <w:szCs w:val="22"/>
          <w:lang w:val="es-ES"/>
        </w:rPr>
        <w:t>“</w:t>
      </w:r>
      <w:r w:rsidRPr="0001715E">
        <w:rPr>
          <w:rFonts w:ascii="Palatino Linotype" w:hAnsi="Palatino Linotype" w:cs="Arial"/>
          <w:b/>
          <w:i/>
          <w:color w:val="000000" w:themeColor="text1"/>
          <w:sz w:val="22"/>
          <w:szCs w:val="22"/>
          <w:lang w:val="es-ES"/>
        </w:rPr>
        <w:t>Artículo 125.-</w:t>
      </w:r>
      <w:r w:rsidRPr="0001715E">
        <w:rPr>
          <w:rFonts w:ascii="Palatino Linotype" w:hAnsi="Palatino Linotype" w:cs="Arial"/>
          <w:i/>
          <w:color w:val="000000" w:themeColor="text1"/>
          <w:sz w:val="22"/>
          <w:szCs w:val="22"/>
          <w:lang w:val="es-ES"/>
        </w:rPr>
        <w:t xml:space="preserve"> Los municipios administrarán libremente su hacienda, la cual se formará de los rendimientos de los bienes que les pertenezcan, así como de las contribuciones y otros ingresos que la ley establezca, y en todo caso:</w:t>
      </w:r>
    </w:p>
    <w:p w:rsidR="00537E62" w:rsidRPr="0001715E" w:rsidRDefault="00537E62" w:rsidP="002F14B9">
      <w:pPr>
        <w:tabs>
          <w:tab w:val="left" w:pos="1134"/>
        </w:tabs>
        <w:ind w:left="567" w:right="-943"/>
        <w:jc w:val="both"/>
        <w:rPr>
          <w:rFonts w:ascii="Palatino Linotype" w:hAnsi="Palatino Linotype" w:cs="Arial"/>
          <w:i/>
          <w:color w:val="000000" w:themeColor="text1"/>
          <w:sz w:val="22"/>
          <w:szCs w:val="22"/>
          <w:lang w:val="es-ES"/>
        </w:rPr>
      </w:pPr>
      <w:r w:rsidRPr="0001715E">
        <w:rPr>
          <w:rFonts w:ascii="Palatino Linotype" w:hAnsi="Palatino Linotype" w:cs="Arial"/>
          <w:i/>
          <w:color w:val="000000" w:themeColor="text1"/>
          <w:sz w:val="22"/>
          <w:szCs w:val="22"/>
          <w:lang w:val="es-ES"/>
        </w:rPr>
        <w:t>…</w:t>
      </w:r>
    </w:p>
    <w:p w:rsidR="00537E62" w:rsidRPr="0001715E" w:rsidRDefault="00537E62" w:rsidP="00D0567D">
      <w:pPr>
        <w:tabs>
          <w:tab w:val="left" w:pos="851"/>
        </w:tabs>
        <w:ind w:left="851" w:right="-943"/>
        <w:jc w:val="both"/>
        <w:rPr>
          <w:rFonts w:ascii="Palatino Linotype" w:hAnsi="Palatino Linotype" w:cs="Arial"/>
          <w:i/>
          <w:color w:val="000000" w:themeColor="text1"/>
          <w:sz w:val="22"/>
          <w:szCs w:val="22"/>
          <w:lang w:val="es-ES"/>
        </w:rPr>
      </w:pPr>
      <w:r w:rsidRPr="0001715E">
        <w:rPr>
          <w:rFonts w:ascii="Palatino Linotype" w:hAnsi="Palatino Linotype" w:cs="Arial"/>
          <w:i/>
          <w:color w:val="000000" w:themeColor="text1"/>
          <w:sz w:val="22"/>
          <w:szCs w:val="22"/>
          <w:lang w:val="es-ES"/>
        </w:rPr>
        <w:lastRenderedPageBreak/>
        <w:t xml:space="preserve">Los Ayuntamientos podrán celebrar sesiones extraordinarias de cabildo cuando la Ley de ingresos aprobada por la Legislatura, implique adecuaciones a su Presupuesto de Egresos, </w:t>
      </w:r>
      <w:proofErr w:type="spellStart"/>
      <w:r w:rsidRPr="0001715E">
        <w:rPr>
          <w:rFonts w:ascii="Palatino Linotype" w:hAnsi="Palatino Linotype" w:cs="Arial"/>
          <w:i/>
          <w:color w:val="000000" w:themeColor="text1"/>
          <w:sz w:val="22"/>
          <w:szCs w:val="22"/>
          <w:lang w:val="es-ES"/>
        </w:rPr>
        <w:t>asi</w:t>
      </w:r>
      <w:proofErr w:type="spellEnd"/>
      <w:r w:rsidRPr="0001715E">
        <w:rPr>
          <w:rFonts w:ascii="Palatino Linotype" w:hAnsi="Palatino Linotype" w:cs="Arial"/>
          <w:i/>
          <w:color w:val="000000" w:themeColor="text1"/>
          <w:sz w:val="22"/>
          <w:szCs w:val="22"/>
          <w:lang w:val="es-ES"/>
        </w:rPr>
        <w:t xml:space="preserve"> como por la asignación de las participaciones y aportaciones federales y estatales. Estas sesiones tendrán como único objeto concordar con el Presupuesto de Egresos. </w:t>
      </w:r>
      <w:r w:rsidRPr="0001715E">
        <w:rPr>
          <w:rFonts w:ascii="Palatino Linotype" w:hAnsi="Palatino Linotype" w:cs="Arial"/>
          <w:b/>
          <w:i/>
          <w:color w:val="000000" w:themeColor="text1"/>
          <w:sz w:val="22"/>
          <w:szCs w:val="22"/>
          <w:lang w:val="es-ES"/>
        </w:rPr>
        <w:t>La Presidenta o el Presidente Municipal, promulgará y publicará el Presupuesto de Egresos Municipal, a más tardar el día 25 de febrero de cada año debiendo enviarlo al Órgano Superior de Fiscalización en la misma fecha</w:t>
      </w:r>
      <w:r w:rsidRPr="0001715E">
        <w:rPr>
          <w:rFonts w:ascii="Palatino Linotype" w:hAnsi="Palatino Linotype" w:cs="Arial"/>
          <w:i/>
          <w:color w:val="000000" w:themeColor="text1"/>
          <w:sz w:val="22"/>
          <w:szCs w:val="22"/>
          <w:lang w:val="es-ES"/>
        </w:rPr>
        <w:t xml:space="preserve">. </w:t>
      </w:r>
    </w:p>
    <w:p w:rsidR="00537E62" w:rsidRPr="0001715E" w:rsidRDefault="00537E62" w:rsidP="00D0567D">
      <w:pPr>
        <w:tabs>
          <w:tab w:val="left" w:pos="851"/>
        </w:tabs>
        <w:ind w:left="851" w:right="-943"/>
        <w:jc w:val="both"/>
        <w:rPr>
          <w:rFonts w:ascii="Palatino Linotype" w:hAnsi="Palatino Linotype" w:cs="Arial"/>
          <w:i/>
          <w:color w:val="000000" w:themeColor="text1"/>
          <w:sz w:val="22"/>
          <w:szCs w:val="22"/>
          <w:lang w:val="es-ES"/>
        </w:rPr>
      </w:pPr>
    </w:p>
    <w:p w:rsidR="00537E62" w:rsidRPr="0001715E" w:rsidRDefault="00537E62" w:rsidP="00D0567D">
      <w:pPr>
        <w:tabs>
          <w:tab w:val="left" w:pos="851"/>
        </w:tabs>
        <w:ind w:left="851" w:right="-943"/>
        <w:jc w:val="both"/>
        <w:rPr>
          <w:rFonts w:ascii="Palatino Linotype" w:hAnsi="Palatino Linotype" w:cs="Arial"/>
          <w:i/>
          <w:color w:val="000000" w:themeColor="text1"/>
          <w:sz w:val="22"/>
          <w:szCs w:val="22"/>
          <w:lang w:val="es-ES"/>
        </w:rPr>
      </w:pPr>
      <w:r w:rsidRPr="0001715E">
        <w:rPr>
          <w:rFonts w:ascii="Palatino Linotype" w:hAnsi="Palatino Linotype" w:cs="Arial"/>
          <w:b/>
          <w:i/>
          <w:color w:val="000000" w:themeColor="text1"/>
          <w:sz w:val="22"/>
          <w:szCs w:val="22"/>
          <w:lang w:val="es-ES"/>
        </w:rPr>
        <w:t xml:space="preserve">El Presupuesto deberá incluir los tabuladores desglosados de las remuneraciones que perciban las y los servidores públicos municipales, </w:t>
      </w:r>
      <w:r w:rsidRPr="0001715E">
        <w:rPr>
          <w:rFonts w:ascii="Palatino Linotype" w:hAnsi="Palatino Linotype" w:cs="Arial"/>
          <w:i/>
          <w:color w:val="000000" w:themeColor="text1"/>
          <w:sz w:val="22"/>
          <w:szCs w:val="22"/>
          <w:lang w:val="es-ES"/>
        </w:rPr>
        <w:t xml:space="preserve">sujetándose a lo dispuesto en el artículo 147 de esta Constitución.” </w:t>
      </w:r>
    </w:p>
    <w:p w:rsidR="00537E62" w:rsidRPr="0001715E" w:rsidRDefault="00537E62" w:rsidP="00537E62">
      <w:pPr>
        <w:jc w:val="both"/>
        <w:rPr>
          <w:rFonts w:ascii="Palatino Linotype" w:hAnsi="Palatino Linotype" w:cs="Arial"/>
          <w:color w:val="000000" w:themeColor="text1"/>
        </w:rPr>
      </w:pPr>
    </w:p>
    <w:p w:rsidR="00537E62" w:rsidRPr="0001715E" w:rsidRDefault="00537E62" w:rsidP="002A246A">
      <w:pPr>
        <w:numPr>
          <w:ilvl w:val="0"/>
          <w:numId w:val="1"/>
        </w:numPr>
        <w:pBdr>
          <w:top w:val="nil"/>
          <w:left w:val="nil"/>
          <w:bottom w:val="nil"/>
          <w:right w:val="nil"/>
          <w:between w:val="nil"/>
        </w:pBdr>
        <w:spacing w:line="360" w:lineRule="auto"/>
        <w:ind w:left="0" w:right="-787" w:firstLine="0"/>
        <w:jc w:val="both"/>
        <w:rPr>
          <w:rFonts w:ascii="Palatino Linotype" w:hAnsi="Palatino Linotype" w:cs="Arial"/>
          <w:color w:val="000000" w:themeColor="text1"/>
        </w:rPr>
      </w:pPr>
      <w:r w:rsidRPr="0001715E">
        <w:rPr>
          <w:rFonts w:ascii="Palatino Linotype" w:hAnsi="Palatino Linotype" w:cs="Arial"/>
          <w:color w:val="000000" w:themeColor="text1"/>
        </w:rPr>
        <w:t>Por su parte, el artículo 47 de la Ley de Fiscalización Superior del Estado de México indica que:</w:t>
      </w:r>
    </w:p>
    <w:p w:rsidR="00537E62" w:rsidRPr="0001715E" w:rsidRDefault="00537E62" w:rsidP="00537E62">
      <w:pPr>
        <w:tabs>
          <w:tab w:val="left" w:pos="851"/>
        </w:tabs>
        <w:ind w:left="851" w:right="901"/>
        <w:jc w:val="both"/>
        <w:rPr>
          <w:rFonts w:ascii="Palatino Linotype" w:hAnsi="Palatino Linotype" w:cs="Arial"/>
          <w:i/>
          <w:color w:val="000000" w:themeColor="text1"/>
          <w:sz w:val="22"/>
          <w:szCs w:val="22"/>
          <w:lang w:val="es-ES"/>
        </w:rPr>
      </w:pPr>
    </w:p>
    <w:p w:rsidR="00537E62" w:rsidRPr="0001715E" w:rsidRDefault="00537E62" w:rsidP="00D0567D">
      <w:pPr>
        <w:tabs>
          <w:tab w:val="left" w:pos="851"/>
        </w:tabs>
        <w:ind w:left="851" w:right="-943"/>
        <w:jc w:val="both"/>
        <w:rPr>
          <w:rFonts w:ascii="Palatino Linotype" w:hAnsi="Palatino Linotype" w:cs="Arial"/>
          <w:i/>
          <w:color w:val="000000" w:themeColor="text1"/>
          <w:sz w:val="22"/>
          <w:szCs w:val="22"/>
          <w:lang w:val="es-ES"/>
        </w:rPr>
      </w:pPr>
      <w:r w:rsidRPr="0001715E">
        <w:rPr>
          <w:rFonts w:ascii="Palatino Linotype" w:hAnsi="Palatino Linotype" w:cs="Arial"/>
          <w:i/>
          <w:color w:val="000000" w:themeColor="text1"/>
          <w:sz w:val="22"/>
          <w:szCs w:val="22"/>
          <w:lang w:val="es-ES"/>
        </w:rPr>
        <w:t>“</w:t>
      </w:r>
      <w:r w:rsidRPr="0001715E">
        <w:rPr>
          <w:rFonts w:ascii="Palatino Linotype" w:hAnsi="Palatino Linotype" w:cs="Arial"/>
          <w:b/>
          <w:i/>
          <w:color w:val="000000" w:themeColor="text1"/>
          <w:sz w:val="22"/>
          <w:szCs w:val="22"/>
          <w:lang w:val="es-ES"/>
        </w:rPr>
        <w:t>Artículo 47.-</w:t>
      </w:r>
      <w:r w:rsidRPr="0001715E">
        <w:rPr>
          <w:rFonts w:ascii="Palatino Linotype" w:hAnsi="Palatino Linotype" w:cs="Arial"/>
          <w:i/>
          <w:color w:val="000000" w:themeColor="text1"/>
          <w:sz w:val="22"/>
          <w:szCs w:val="22"/>
          <w:lang w:val="es-ES"/>
        </w:rPr>
        <w:t xml:space="preserve"> </w:t>
      </w:r>
      <w:r w:rsidRPr="0001715E">
        <w:rPr>
          <w:rFonts w:ascii="Palatino Linotype" w:hAnsi="Palatino Linotype" w:cs="Arial"/>
          <w:b/>
          <w:i/>
          <w:color w:val="000000" w:themeColor="text1"/>
          <w:sz w:val="22"/>
          <w:szCs w:val="22"/>
          <w:lang w:val="es-ES"/>
        </w:rPr>
        <w:t>Los</w:t>
      </w:r>
      <w:r w:rsidRPr="0001715E">
        <w:rPr>
          <w:rFonts w:ascii="Palatino Linotype" w:hAnsi="Palatino Linotype" w:cs="Arial"/>
          <w:i/>
          <w:color w:val="000000" w:themeColor="text1"/>
          <w:sz w:val="22"/>
          <w:szCs w:val="22"/>
          <w:lang w:val="es-ES"/>
        </w:rPr>
        <w:t xml:space="preserve"> </w:t>
      </w:r>
      <w:r w:rsidRPr="0001715E">
        <w:rPr>
          <w:rFonts w:ascii="Palatino Linotype" w:hAnsi="Palatino Linotype" w:cs="Arial"/>
          <w:b/>
          <w:i/>
          <w:color w:val="000000" w:themeColor="text1"/>
          <w:sz w:val="22"/>
          <w:szCs w:val="22"/>
          <w:lang w:val="es-ES"/>
        </w:rPr>
        <w:t>Presidentes Municipales y los Síndicos estarán obligados a informar al Órgano Superior, a más tardar el 25 de febrero de cada año, el Presupuesto de Egresos Municipal que haya aprobado el Ayuntamiento correspondiente</w:t>
      </w:r>
      <w:r w:rsidRPr="0001715E">
        <w:rPr>
          <w:rFonts w:ascii="Palatino Linotype" w:hAnsi="Palatino Linotype" w:cs="Arial"/>
          <w:i/>
          <w:color w:val="000000" w:themeColor="text1"/>
          <w:sz w:val="22"/>
          <w:szCs w:val="22"/>
          <w:lang w:val="es-ES"/>
        </w:rPr>
        <w:t xml:space="preserve">.” </w:t>
      </w:r>
    </w:p>
    <w:p w:rsidR="00537E62" w:rsidRPr="0001715E" w:rsidRDefault="00537E62" w:rsidP="00537E62">
      <w:pPr>
        <w:tabs>
          <w:tab w:val="left" w:pos="851"/>
        </w:tabs>
        <w:ind w:right="901"/>
        <w:jc w:val="both"/>
        <w:rPr>
          <w:rFonts w:ascii="Palatino Linotype" w:hAnsi="Palatino Linotype" w:cs="Arial"/>
          <w:i/>
          <w:color w:val="000000" w:themeColor="text1"/>
          <w:sz w:val="22"/>
          <w:szCs w:val="22"/>
          <w:lang w:val="es-ES"/>
        </w:rPr>
      </w:pPr>
    </w:p>
    <w:p w:rsidR="00537E62" w:rsidRPr="0001715E" w:rsidRDefault="00537E62" w:rsidP="002A246A">
      <w:pPr>
        <w:numPr>
          <w:ilvl w:val="0"/>
          <w:numId w:val="1"/>
        </w:numPr>
        <w:pBdr>
          <w:top w:val="nil"/>
          <w:left w:val="nil"/>
          <w:bottom w:val="nil"/>
          <w:right w:val="nil"/>
          <w:between w:val="nil"/>
        </w:pBdr>
        <w:spacing w:line="360" w:lineRule="auto"/>
        <w:ind w:left="0" w:right="-787" w:firstLine="0"/>
        <w:jc w:val="both"/>
        <w:rPr>
          <w:rFonts w:ascii="Palatino Linotype" w:hAnsi="Palatino Linotype" w:cs="Arial"/>
          <w:color w:val="000000" w:themeColor="text1"/>
        </w:rPr>
      </w:pPr>
      <w:r w:rsidRPr="0001715E">
        <w:rPr>
          <w:rFonts w:ascii="Palatino Linotype" w:hAnsi="Palatino Linotype" w:cs="Arial"/>
          <w:color w:val="000000" w:themeColor="text1"/>
        </w:rPr>
        <w:t>Aunado a lo anterior, el artículo 351 segundo párrafo del Código Financiero del Estado de México y Municipios establece que:</w:t>
      </w:r>
    </w:p>
    <w:p w:rsidR="00537E62" w:rsidRPr="0001715E" w:rsidRDefault="00537E62" w:rsidP="00537E62">
      <w:pPr>
        <w:tabs>
          <w:tab w:val="left" w:pos="851"/>
        </w:tabs>
        <w:ind w:right="901"/>
        <w:jc w:val="both"/>
        <w:rPr>
          <w:rFonts w:ascii="Palatino Linotype" w:hAnsi="Palatino Linotype"/>
        </w:rPr>
      </w:pPr>
    </w:p>
    <w:p w:rsidR="00537E62" w:rsidRPr="0001715E" w:rsidRDefault="00537E62" w:rsidP="00537E62">
      <w:pPr>
        <w:tabs>
          <w:tab w:val="left" w:pos="851"/>
        </w:tabs>
        <w:ind w:left="851" w:right="901"/>
        <w:jc w:val="both"/>
        <w:rPr>
          <w:rFonts w:ascii="Palatino Linotype" w:hAnsi="Palatino Linotype" w:cs="Arial"/>
          <w:i/>
          <w:color w:val="000000" w:themeColor="text1"/>
          <w:sz w:val="22"/>
          <w:szCs w:val="22"/>
          <w:lang w:val="es-ES"/>
        </w:rPr>
      </w:pPr>
      <w:r w:rsidRPr="0001715E">
        <w:rPr>
          <w:rFonts w:ascii="Palatino Linotype" w:hAnsi="Palatino Linotype" w:cs="Arial"/>
          <w:i/>
          <w:color w:val="000000" w:themeColor="text1"/>
          <w:sz w:val="22"/>
          <w:szCs w:val="22"/>
          <w:lang w:val="es-ES"/>
        </w:rPr>
        <w:t>“</w:t>
      </w:r>
      <w:r w:rsidRPr="0001715E">
        <w:rPr>
          <w:rFonts w:ascii="Palatino Linotype" w:hAnsi="Palatino Linotype" w:cs="Arial"/>
          <w:b/>
          <w:i/>
          <w:color w:val="000000" w:themeColor="text1"/>
          <w:sz w:val="22"/>
          <w:szCs w:val="22"/>
          <w:lang w:val="es-ES"/>
        </w:rPr>
        <w:t>Artículo 351.</w:t>
      </w:r>
      <w:proofErr w:type="gramStart"/>
      <w:r w:rsidRPr="0001715E">
        <w:rPr>
          <w:rFonts w:ascii="Palatino Linotype" w:hAnsi="Palatino Linotype" w:cs="Arial"/>
          <w:b/>
          <w:i/>
          <w:color w:val="000000" w:themeColor="text1"/>
          <w:sz w:val="22"/>
          <w:szCs w:val="22"/>
          <w:lang w:val="es-ES"/>
        </w:rPr>
        <w:t>-</w:t>
      </w:r>
      <w:r w:rsidRPr="0001715E">
        <w:rPr>
          <w:rFonts w:ascii="Palatino Linotype" w:hAnsi="Palatino Linotype" w:cs="Arial"/>
          <w:i/>
          <w:color w:val="000000" w:themeColor="text1"/>
          <w:sz w:val="22"/>
          <w:szCs w:val="22"/>
          <w:lang w:val="es-ES"/>
        </w:rPr>
        <w:t xml:space="preserve"> …</w:t>
      </w:r>
      <w:proofErr w:type="gramEnd"/>
    </w:p>
    <w:p w:rsidR="00D0567D" w:rsidRPr="0001715E" w:rsidRDefault="00D0567D" w:rsidP="00537E62">
      <w:pPr>
        <w:tabs>
          <w:tab w:val="left" w:pos="851"/>
        </w:tabs>
        <w:ind w:left="851" w:right="901"/>
        <w:jc w:val="both"/>
        <w:rPr>
          <w:rFonts w:ascii="Palatino Linotype" w:hAnsi="Palatino Linotype" w:cs="Arial"/>
          <w:i/>
          <w:color w:val="000000" w:themeColor="text1"/>
          <w:sz w:val="22"/>
          <w:szCs w:val="22"/>
          <w:lang w:val="es-ES"/>
        </w:rPr>
      </w:pPr>
    </w:p>
    <w:p w:rsidR="00537E62" w:rsidRPr="0001715E" w:rsidRDefault="00537E62" w:rsidP="002A246A">
      <w:pPr>
        <w:tabs>
          <w:tab w:val="left" w:pos="851"/>
        </w:tabs>
        <w:ind w:left="851" w:right="-943"/>
        <w:jc w:val="both"/>
        <w:rPr>
          <w:rFonts w:ascii="Palatino Linotype" w:hAnsi="Palatino Linotype" w:cs="Arial"/>
          <w:i/>
          <w:color w:val="000000" w:themeColor="text1"/>
          <w:sz w:val="22"/>
          <w:szCs w:val="22"/>
          <w:lang w:val="es-ES"/>
        </w:rPr>
      </w:pPr>
      <w:r w:rsidRPr="0001715E">
        <w:rPr>
          <w:rFonts w:ascii="Palatino Linotype" w:hAnsi="Palatino Linotype" w:cs="Arial"/>
          <w:b/>
          <w:i/>
          <w:color w:val="000000" w:themeColor="text1"/>
          <w:sz w:val="22"/>
          <w:szCs w:val="22"/>
          <w:lang w:val="es-ES"/>
        </w:rPr>
        <w:t xml:space="preserve">Los Ayuntamientos al aprobar en forma definitiva su presupuesto de egresos, deberán publicar en la "Gaceta Municipal" </w:t>
      </w:r>
      <w:r w:rsidRPr="0001715E">
        <w:rPr>
          <w:rFonts w:ascii="Palatino Linotype" w:hAnsi="Palatino Linotype" w:cs="Arial"/>
          <w:i/>
          <w:color w:val="000000" w:themeColor="text1"/>
          <w:sz w:val="22"/>
          <w:szCs w:val="22"/>
          <w:lang w:val="es-ES"/>
        </w:rPr>
        <w:t xml:space="preserve">de manera clara y entendible, todas y cada una de las partidas que lo integran, </w:t>
      </w:r>
      <w:r w:rsidRPr="0001715E">
        <w:rPr>
          <w:rFonts w:ascii="Palatino Linotype" w:hAnsi="Palatino Linotype" w:cs="Arial"/>
          <w:b/>
          <w:i/>
          <w:color w:val="000000" w:themeColor="text1"/>
          <w:sz w:val="22"/>
          <w:szCs w:val="22"/>
          <w:lang w:val="es-ES"/>
        </w:rPr>
        <w:t>las remuneraciones de todo tipo aprobadas para los miembros del ayuntamiento y para los servidores públicos en genera</w:t>
      </w:r>
      <w:r w:rsidRPr="0001715E">
        <w:rPr>
          <w:rFonts w:ascii="Palatino Linotype" w:hAnsi="Palatino Linotype" w:cs="Arial"/>
          <w:i/>
          <w:color w:val="000000" w:themeColor="text1"/>
          <w:sz w:val="22"/>
          <w:szCs w:val="22"/>
          <w:lang w:val="es-ES"/>
        </w:rPr>
        <w:t xml:space="preserve">l, incluyendo mandos medios y superiores de la administración municipal, a más tardar el 25 de febrero del año para el cual habrá de aplicar dicho presupuesto.” </w:t>
      </w:r>
    </w:p>
    <w:p w:rsidR="00537E62" w:rsidRPr="0001715E" w:rsidRDefault="00537E62" w:rsidP="00537E62">
      <w:pPr>
        <w:tabs>
          <w:tab w:val="left" w:pos="851"/>
        </w:tabs>
        <w:ind w:right="901"/>
        <w:jc w:val="both"/>
        <w:rPr>
          <w:rFonts w:ascii="Palatino Linotype" w:hAnsi="Palatino Linotype"/>
        </w:rPr>
      </w:pPr>
    </w:p>
    <w:p w:rsidR="002A246A" w:rsidRPr="0001715E" w:rsidRDefault="002A246A" w:rsidP="002A246A">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sz w:val="22"/>
          <w:szCs w:val="22"/>
        </w:rPr>
      </w:pPr>
      <w:r w:rsidRPr="0001715E">
        <w:rPr>
          <w:rFonts w:ascii="Palatino Linotype" w:eastAsia="Palatino Linotype" w:hAnsi="Palatino Linotype" w:cs="Palatino Linotype"/>
        </w:rPr>
        <w:t xml:space="preserve">Es de precisar que es una obligación de transparencia común, poner a disposición del público de manera permanente y actualizada, en los respectivos medios electrónicos, de acuerdo con sus facultades, atribuciones, funciones u objeto social, según corresponda, la información </w:t>
      </w:r>
      <w:r w:rsidR="000B23C0" w:rsidRPr="0001715E">
        <w:rPr>
          <w:rFonts w:ascii="Palatino Linotype" w:eastAsia="Palatino Linotype" w:hAnsi="Palatino Linotype" w:cs="Palatino Linotype"/>
        </w:rPr>
        <w:t xml:space="preserve">relativa </w:t>
      </w:r>
      <w:r w:rsidRPr="0001715E">
        <w:rPr>
          <w:rFonts w:ascii="Palatino Linotype" w:eastAsia="Palatino Linotype" w:hAnsi="Palatino Linotype" w:cs="Palatino Linotype"/>
        </w:rPr>
        <w:t xml:space="preserve">a la remuneración bruta y neta de todos los servidores públicos de base </w:t>
      </w:r>
      <w:r w:rsidRPr="0001715E">
        <w:rPr>
          <w:rFonts w:ascii="Palatino Linotype" w:eastAsia="Palatino Linotype" w:hAnsi="Palatino Linotype" w:cs="Palatino Linotype"/>
        </w:rPr>
        <w:lastRenderedPageBreak/>
        <w:t>o de confianza, tal como lo señala la Ley de Transparencia y Acceso a la Información Pública del Estado de México y Municipios, en sus artículos 92, fracción VII, inciso b):</w:t>
      </w:r>
    </w:p>
    <w:p w:rsidR="002A246A" w:rsidRPr="0001715E" w:rsidRDefault="002A246A" w:rsidP="002F14B9">
      <w:pPr>
        <w:ind w:left="567" w:right="-714"/>
        <w:jc w:val="center"/>
        <w:rPr>
          <w:rFonts w:ascii="Palatino Linotype" w:eastAsia="Palatino Linotype" w:hAnsi="Palatino Linotype" w:cs="Palatino Linotype"/>
          <w:b/>
          <w:i/>
          <w:sz w:val="22"/>
          <w:szCs w:val="22"/>
        </w:rPr>
      </w:pPr>
      <w:r w:rsidRPr="0001715E">
        <w:rPr>
          <w:rFonts w:ascii="Palatino Linotype" w:eastAsia="Palatino Linotype" w:hAnsi="Palatino Linotype" w:cs="Palatino Linotype"/>
          <w:b/>
          <w:i/>
          <w:sz w:val="22"/>
          <w:szCs w:val="22"/>
        </w:rPr>
        <w:t>Ley de Transparencia y Acceso a la Información Pública del Estado de México y Municipios</w:t>
      </w:r>
    </w:p>
    <w:p w:rsidR="002A246A" w:rsidRPr="0001715E" w:rsidRDefault="002A246A" w:rsidP="002F14B9">
      <w:pPr>
        <w:ind w:left="567" w:right="-714"/>
        <w:jc w:val="center"/>
        <w:rPr>
          <w:rFonts w:ascii="Palatino Linotype" w:eastAsia="Palatino Linotype" w:hAnsi="Palatino Linotype" w:cs="Palatino Linotype"/>
          <w:b/>
          <w:i/>
          <w:sz w:val="22"/>
          <w:szCs w:val="22"/>
        </w:rPr>
      </w:pPr>
    </w:p>
    <w:p w:rsidR="002A246A" w:rsidRPr="0001715E" w:rsidRDefault="002A246A" w:rsidP="002F14B9">
      <w:pPr>
        <w:ind w:left="567" w:right="-714"/>
        <w:jc w:val="center"/>
        <w:rPr>
          <w:rFonts w:ascii="Palatino Linotype" w:eastAsia="Palatino Linotype" w:hAnsi="Palatino Linotype" w:cs="Palatino Linotype"/>
          <w:b/>
          <w:i/>
          <w:sz w:val="22"/>
          <w:szCs w:val="22"/>
        </w:rPr>
      </w:pPr>
      <w:r w:rsidRPr="0001715E">
        <w:rPr>
          <w:rFonts w:ascii="Palatino Linotype" w:eastAsia="Palatino Linotype" w:hAnsi="Palatino Linotype" w:cs="Palatino Linotype"/>
          <w:b/>
          <w:i/>
          <w:sz w:val="22"/>
          <w:szCs w:val="22"/>
        </w:rPr>
        <w:t>Capítulo II</w:t>
      </w:r>
    </w:p>
    <w:p w:rsidR="002A246A" w:rsidRPr="0001715E" w:rsidRDefault="002A246A" w:rsidP="002F14B9">
      <w:pPr>
        <w:ind w:left="567" w:right="-714"/>
        <w:jc w:val="center"/>
        <w:rPr>
          <w:rFonts w:ascii="Palatino Linotype" w:eastAsia="Palatino Linotype" w:hAnsi="Palatino Linotype" w:cs="Palatino Linotype"/>
          <w:b/>
          <w:i/>
          <w:sz w:val="22"/>
          <w:szCs w:val="22"/>
        </w:rPr>
      </w:pPr>
      <w:r w:rsidRPr="0001715E">
        <w:rPr>
          <w:rFonts w:ascii="Palatino Linotype" w:eastAsia="Palatino Linotype" w:hAnsi="Palatino Linotype" w:cs="Palatino Linotype"/>
          <w:b/>
          <w:i/>
          <w:sz w:val="22"/>
          <w:szCs w:val="22"/>
        </w:rPr>
        <w:t>De las Obligaciones de Transparencia Comunes</w:t>
      </w:r>
    </w:p>
    <w:p w:rsidR="002A246A" w:rsidRPr="0001715E" w:rsidRDefault="002A246A" w:rsidP="002F14B9">
      <w:pPr>
        <w:ind w:left="567" w:right="-714"/>
        <w:jc w:val="both"/>
        <w:rPr>
          <w:rFonts w:ascii="Palatino Linotype" w:eastAsia="Palatino Linotype" w:hAnsi="Palatino Linotype" w:cs="Palatino Linotype"/>
          <w:b/>
          <w:i/>
          <w:sz w:val="22"/>
          <w:szCs w:val="22"/>
        </w:rPr>
      </w:pPr>
    </w:p>
    <w:p w:rsidR="002A246A" w:rsidRPr="0001715E" w:rsidRDefault="002A246A" w:rsidP="002F14B9">
      <w:pPr>
        <w:ind w:left="567" w:right="-714"/>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b/>
          <w:i/>
          <w:sz w:val="22"/>
          <w:szCs w:val="22"/>
        </w:rPr>
        <w:t>Artículo 92. Los sujetos obligados deberán poner a disposición del público</w:t>
      </w:r>
      <w:r w:rsidRPr="0001715E">
        <w:rPr>
          <w:rFonts w:ascii="Palatino Linotype" w:eastAsia="Palatino Linotype" w:hAnsi="Palatino Linotype" w:cs="Palatino Linotype"/>
          <w:i/>
          <w:sz w:val="22"/>
          <w:szCs w:val="22"/>
        </w:rPr>
        <w:t xml:space="preserve"> de manera permanente y actualizada de forma sencilla, precisa y entendible, </w:t>
      </w:r>
      <w:r w:rsidRPr="0001715E">
        <w:rPr>
          <w:rFonts w:ascii="Palatino Linotype" w:eastAsia="Palatino Linotype" w:hAnsi="Palatino Linotype" w:cs="Palatino Linotype"/>
          <w:b/>
          <w:i/>
          <w:sz w:val="22"/>
          <w:szCs w:val="22"/>
        </w:rPr>
        <w:t>en los respectivos medios electrónicos</w:t>
      </w:r>
      <w:r w:rsidRPr="0001715E">
        <w:rPr>
          <w:rFonts w:ascii="Palatino Linotype" w:eastAsia="Palatino Linotype" w:hAnsi="Palatino Linotype" w:cs="Palatino Linotype"/>
          <w:i/>
          <w:sz w:val="22"/>
          <w:szCs w:val="22"/>
        </w:rPr>
        <w:t>, de acuerdo con sus facultades, atribuciones, funciones u objeto social, según corresponda, la información, por lo menos, de los temas, documentos y políticas que a continuación se señalan:</w:t>
      </w:r>
    </w:p>
    <w:p w:rsidR="002A246A" w:rsidRPr="0001715E" w:rsidRDefault="002A246A" w:rsidP="002F14B9">
      <w:pPr>
        <w:ind w:left="567" w:right="-714"/>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w:t>
      </w:r>
    </w:p>
    <w:p w:rsidR="002A246A" w:rsidRPr="0001715E" w:rsidRDefault="002A246A" w:rsidP="002F14B9">
      <w:pPr>
        <w:ind w:left="567" w:right="-714"/>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b/>
          <w:i/>
          <w:sz w:val="22"/>
          <w:szCs w:val="22"/>
        </w:rPr>
        <w:t>VIII.</w:t>
      </w:r>
      <w:r w:rsidRPr="0001715E">
        <w:rPr>
          <w:rFonts w:ascii="Palatino Linotype" w:eastAsia="Palatino Linotype" w:hAnsi="Palatino Linotype" w:cs="Palatino Linotype"/>
          <w:i/>
          <w:sz w:val="22"/>
          <w:szCs w:val="22"/>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2A246A" w:rsidRPr="0001715E" w:rsidRDefault="002A246A" w:rsidP="002A246A">
      <w:pPr>
        <w:ind w:left="1134" w:right="-714"/>
        <w:jc w:val="both"/>
        <w:rPr>
          <w:rFonts w:ascii="Palatino Linotype" w:eastAsia="Palatino Linotype" w:hAnsi="Palatino Linotype" w:cs="Palatino Linotype"/>
          <w:color w:val="000000"/>
          <w:sz w:val="22"/>
          <w:szCs w:val="22"/>
        </w:rPr>
      </w:pPr>
    </w:p>
    <w:p w:rsidR="006476B8" w:rsidRPr="0001715E" w:rsidRDefault="006476B8">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2A246A" w:rsidRPr="0001715E" w:rsidRDefault="002A246A" w:rsidP="00E860B0">
      <w:pPr>
        <w:numPr>
          <w:ilvl w:val="0"/>
          <w:numId w:val="1"/>
        </w:numPr>
        <w:pBdr>
          <w:between w:val="nil"/>
        </w:pBdr>
        <w:spacing w:line="360" w:lineRule="auto"/>
        <w:ind w:left="0" w:right="-787" w:firstLine="0"/>
        <w:jc w:val="both"/>
        <w:rPr>
          <w:rFonts w:ascii="Palatino Linotype" w:eastAsia="Palatino Linotype" w:hAnsi="Palatino Linotype" w:cs="Palatino Linotype"/>
          <w:b/>
          <w:bCs/>
          <w:lang w:val="es-MX"/>
        </w:rPr>
      </w:pPr>
      <w:r w:rsidRPr="0001715E">
        <w:rPr>
          <w:rFonts w:ascii="Palatino Linotype" w:eastAsia="Palatino Linotype" w:hAnsi="Palatino Linotype" w:cs="Palatino Linotype"/>
        </w:rPr>
        <w:t>En la misma tesitura, y como ya fue demostrado en párrafos anteriores, el link proporcionado por el Sujeto Obligado en respuesta, direcciona a una ventana en la que se visualiza</w:t>
      </w:r>
      <w:r w:rsidR="00E860B0" w:rsidRPr="0001715E">
        <w:rPr>
          <w:rFonts w:ascii="Palatino Linotype" w:eastAsia="Palatino Linotype" w:hAnsi="Palatino Linotype" w:cs="Palatino Linotype"/>
        </w:rPr>
        <w:t xml:space="preserve"> información</w:t>
      </w:r>
      <w:r w:rsidR="003858F0" w:rsidRPr="0001715E">
        <w:rPr>
          <w:rFonts w:ascii="Palatino Linotype" w:eastAsia="Palatino Linotype" w:hAnsi="Palatino Linotype" w:cs="Palatino Linotype"/>
        </w:rPr>
        <w:t xml:space="preserve"> </w:t>
      </w:r>
      <w:r w:rsidRPr="0001715E">
        <w:rPr>
          <w:rFonts w:ascii="Palatino Linotype" w:eastAsia="Palatino Linotype" w:hAnsi="Palatino Linotype" w:cs="Palatino Linotype"/>
          <w:bCs/>
          <w:lang w:val="es-MX"/>
        </w:rPr>
        <w:t>correspondiente al primer trim</w:t>
      </w:r>
      <w:r w:rsidR="00E860B0" w:rsidRPr="0001715E">
        <w:rPr>
          <w:rFonts w:ascii="Palatino Linotype" w:eastAsia="Palatino Linotype" w:hAnsi="Palatino Linotype" w:cs="Palatino Linotype"/>
          <w:bCs/>
          <w:lang w:val="es-MX"/>
        </w:rPr>
        <w:t xml:space="preserve">estre del ejercicio fiscal 2025, y </w:t>
      </w:r>
      <w:r w:rsidRPr="0001715E">
        <w:rPr>
          <w:rFonts w:ascii="Palatino Linotype" w:eastAsia="Palatino Linotype" w:hAnsi="Palatino Linotype" w:cs="Palatino Linotype"/>
          <w:color w:val="000000"/>
        </w:rPr>
        <w:t xml:space="preserve">al consultar periodos anteriores y seleccionar el hipervínculo correspondiente al cuarto trimestre 2024, no es posible ingresar a la información, </w:t>
      </w:r>
      <w:r w:rsidR="00E860B0" w:rsidRPr="0001715E">
        <w:rPr>
          <w:rFonts w:ascii="Palatino Linotype" w:eastAsia="Palatino Linotype" w:hAnsi="Palatino Linotype" w:cs="Palatino Linotype"/>
          <w:color w:val="000000"/>
        </w:rPr>
        <w:t xml:space="preserve">por lo que </w:t>
      </w:r>
      <w:r w:rsidR="00E860B0" w:rsidRPr="0001715E">
        <w:rPr>
          <w:rFonts w:ascii="Palatino Linotype" w:eastAsia="Palatino Linotype" w:hAnsi="Palatino Linotype" w:cs="Palatino Linotype"/>
          <w:b/>
          <w:color w:val="000000"/>
        </w:rPr>
        <w:t>no se puede tener por colmado el requerimiento de información realizado por el particular.</w:t>
      </w:r>
    </w:p>
    <w:p w:rsidR="002A246A" w:rsidRPr="0001715E" w:rsidRDefault="002A246A" w:rsidP="000F7A87">
      <w:pPr>
        <w:pBdr>
          <w:top w:val="nil"/>
          <w:left w:val="nil"/>
          <w:bottom w:val="nil"/>
          <w:right w:val="nil"/>
          <w:between w:val="nil"/>
        </w:pBdr>
        <w:spacing w:line="360" w:lineRule="auto"/>
        <w:ind w:right="-787"/>
        <w:jc w:val="both"/>
        <w:rPr>
          <w:color w:val="000000"/>
        </w:rPr>
      </w:pPr>
    </w:p>
    <w:p w:rsidR="006476B8" w:rsidRPr="0001715E" w:rsidRDefault="003858F0">
      <w:pPr>
        <w:numPr>
          <w:ilvl w:val="0"/>
          <w:numId w:val="1"/>
        </w:numPr>
        <w:pBdr>
          <w:top w:val="nil"/>
          <w:left w:val="nil"/>
          <w:bottom w:val="nil"/>
          <w:right w:val="nil"/>
          <w:between w:val="nil"/>
        </w:pBdr>
        <w:spacing w:line="360" w:lineRule="auto"/>
        <w:ind w:left="0" w:right="-787" w:firstLine="0"/>
        <w:jc w:val="both"/>
        <w:rPr>
          <w:color w:val="000000"/>
        </w:rPr>
      </w:pPr>
      <w:r w:rsidRPr="0001715E">
        <w:rPr>
          <w:rFonts w:ascii="Palatino Linotype" w:eastAsia="Palatino Linotype" w:hAnsi="Palatino Linotype" w:cs="Palatino Linotype"/>
          <w:color w:val="000000"/>
        </w:rPr>
        <w:t xml:space="preserve">Es </w:t>
      </w:r>
      <w:r w:rsidR="00E40CA1" w:rsidRPr="0001715E">
        <w:rPr>
          <w:rFonts w:ascii="Palatino Linotype" w:eastAsia="Palatino Linotype" w:hAnsi="Palatino Linotype" w:cs="Palatino Linotype"/>
          <w:color w:val="000000"/>
        </w:rPr>
        <w:t xml:space="preserve">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w:t>
      </w:r>
      <w:r w:rsidR="00E40CA1" w:rsidRPr="0001715E">
        <w:rPr>
          <w:rFonts w:ascii="Palatino Linotype" w:eastAsia="Palatino Linotype" w:hAnsi="Palatino Linotype" w:cs="Palatino Linotype"/>
          <w:color w:val="000000"/>
        </w:rPr>
        <w:lastRenderedPageBreak/>
        <w:t xml:space="preserve">cualquier medio, sea escrito, impreso, sonoro, visual, electrónico, informático u holográfico, de conformidad con el artículo 3, fracción XI, de la Ley de la materia, el cual dispone lo siguiente: </w:t>
      </w:r>
    </w:p>
    <w:p w:rsidR="000F7A87" w:rsidRPr="0001715E" w:rsidRDefault="000F7A87" w:rsidP="000F7A87">
      <w:pPr>
        <w:pBdr>
          <w:top w:val="nil"/>
          <w:left w:val="nil"/>
          <w:bottom w:val="nil"/>
          <w:right w:val="nil"/>
          <w:between w:val="nil"/>
        </w:pBdr>
        <w:spacing w:line="360" w:lineRule="auto"/>
        <w:ind w:right="-787"/>
        <w:jc w:val="both"/>
        <w:rPr>
          <w:color w:val="000000"/>
        </w:rPr>
      </w:pPr>
    </w:p>
    <w:p w:rsidR="006476B8" w:rsidRPr="0001715E" w:rsidRDefault="00E40CA1">
      <w:pPr>
        <w:ind w:left="1134" w:right="-79"/>
        <w:jc w:val="both"/>
        <w:rPr>
          <w:rFonts w:ascii="Palatino Linotype" w:eastAsia="Palatino Linotype" w:hAnsi="Palatino Linotype" w:cs="Palatino Linotype"/>
          <w:i/>
          <w:color w:val="000000"/>
          <w:sz w:val="22"/>
          <w:szCs w:val="22"/>
        </w:rPr>
      </w:pPr>
      <w:r w:rsidRPr="0001715E">
        <w:rPr>
          <w:rFonts w:ascii="Palatino Linotype" w:eastAsia="Palatino Linotype" w:hAnsi="Palatino Linotype" w:cs="Palatino Linotype"/>
          <w:i/>
          <w:color w:val="000000"/>
          <w:sz w:val="22"/>
          <w:szCs w:val="22"/>
        </w:rPr>
        <w:t>“</w:t>
      </w:r>
      <w:r w:rsidRPr="0001715E">
        <w:rPr>
          <w:rFonts w:ascii="Palatino Linotype" w:eastAsia="Palatino Linotype" w:hAnsi="Palatino Linotype" w:cs="Palatino Linotype"/>
          <w:b/>
          <w:i/>
          <w:color w:val="000000"/>
          <w:sz w:val="22"/>
          <w:szCs w:val="22"/>
        </w:rPr>
        <w:t xml:space="preserve">Artículo 3. </w:t>
      </w:r>
      <w:r w:rsidRPr="0001715E">
        <w:rPr>
          <w:rFonts w:ascii="Palatino Linotype" w:eastAsia="Palatino Linotype" w:hAnsi="Palatino Linotype" w:cs="Palatino Linotype"/>
          <w:i/>
          <w:color w:val="000000"/>
          <w:sz w:val="22"/>
          <w:szCs w:val="22"/>
        </w:rPr>
        <w:t>Para los efectos de la presente Ley se entenderá por:</w:t>
      </w:r>
    </w:p>
    <w:p w:rsidR="006476B8" w:rsidRPr="0001715E" w:rsidRDefault="00E40CA1">
      <w:pPr>
        <w:ind w:left="1134" w:right="-79"/>
        <w:jc w:val="both"/>
        <w:rPr>
          <w:rFonts w:ascii="Palatino Linotype" w:eastAsia="Palatino Linotype" w:hAnsi="Palatino Linotype" w:cs="Palatino Linotype"/>
          <w:i/>
          <w:color w:val="000000"/>
          <w:sz w:val="22"/>
          <w:szCs w:val="22"/>
        </w:rPr>
      </w:pPr>
      <w:r w:rsidRPr="0001715E">
        <w:rPr>
          <w:rFonts w:ascii="Palatino Linotype" w:eastAsia="Palatino Linotype" w:hAnsi="Palatino Linotype" w:cs="Palatino Linotype"/>
          <w:i/>
          <w:color w:val="000000"/>
          <w:sz w:val="22"/>
          <w:szCs w:val="22"/>
        </w:rPr>
        <w:t>(…)</w:t>
      </w:r>
    </w:p>
    <w:p w:rsidR="006476B8" w:rsidRPr="0001715E" w:rsidRDefault="00E40CA1">
      <w:pPr>
        <w:ind w:left="1134" w:right="-79"/>
        <w:jc w:val="both"/>
        <w:rPr>
          <w:rFonts w:ascii="Palatino Linotype" w:eastAsia="Palatino Linotype" w:hAnsi="Palatino Linotype" w:cs="Palatino Linotype"/>
          <w:i/>
          <w:color w:val="000000"/>
          <w:sz w:val="22"/>
          <w:szCs w:val="22"/>
        </w:rPr>
      </w:pPr>
      <w:r w:rsidRPr="0001715E">
        <w:rPr>
          <w:rFonts w:ascii="Palatino Linotype" w:eastAsia="Palatino Linotype" w:hAnsi="Palatino Linotype" w:cs="Palatino Linotype"/>
          <w:b/>
          <w:i/>
          <w:color w:val="000000"/>
          <w:sz w:val="22"/>
          <w:szCs w:val="22"/>
        </w:rPr>
        <w:t>XI. Documento:</w:t>
      </w:r>
      <w:r w:rsidRPr="0001715E">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476B8" w:rsidRPr="0001715E" w:rsidRDefault="00E40CA1">
      <w:pPr>
        <w:spacing w:line="360" w:lineRule="auto"/>
        <w:ind w:left="1134" w:right="-79"/>
        <w:jc w:val="both"/>
        <w:rPr>
          <w:rFonts w:ascii="Palatino Linotype" w:eastAsia="Palatino Linotype" w:hAnsi="Palatino Linotype" w:cs="Palatino Linotype"/>
          <w:i/>
          <w:color w:val="000000"/>
          <w:sz w:val="22"/>
          <w:szCs w:val="22"/>
        </w:rPr>
      </w:pPr>
      <w:r w:rsidRPr="0001715E">
        <w:rPr>
          <w:rFonts w:ascii="Palatino Linotype" w:eastAsia="Palatino Linotype" w:hAnsi="Palatino Linotype" w:cs="Palatino Linotype"/>
          <w:i/>
          <w:color w:val="000000"/>
          <w:sz w:val="22"/>
          <w:szCs w:val="22"/>
        </w:rPr>
        <w:t>(…)”</w:t>
      </w:r>
    </w:p>
    <w:p w:rsidR="006476B8" w:rsidRPr="0001715E" w:rsidRDefault="006476B8">
      <w:pPr>
        <w:spacing w:line="360" w:lineRule="auto"/>
        <w:ind w:right="-787"/>
        <w:jc w:val="both"/>
        <w:rPr>
          <w:rFonts w:ascii="Palatino Linotype" w:eastAsia="Palatino Linotype" w:hAnsi="Palatino Linotype" w:cs="Palatino Linotype"/>
        </w:rPr>
      </w:pPr>
    </w:p>
    <w:p w:rsidR="006476B8" w:rsidRPr="0001715E" w:rsidRDefault="00E40CA1">
      <w:pPr>
        <w:numPr>
          <w:ilvl w:val="0"/>
          <w:numId w:val="1"/>
        </w:numPr>
        <w:pBdr>
          <w:top w:val="nil"/>
          <w:left w:val="nil"/>
          <w:bottom w:val="nil"/>
          <w:right w:val="nil"/>
          <w:between w:val="nil"/>
        </w:pBdr>
        <w:spacing w:line="360" w:lineRule="auto"/>
        <w:ind w:left="0" w:right="-787" w:firstLine="0"/>
        <w:jc w:val="both"/>
        <w:rPr>
          <w:color w:val="000000"/>
        </w:rPr>
      </w:pPr>
      <w:r w:rsidRPr="0001715E">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092DB6" w:rsidRPr="0001715E" w:rsidRDefault="00092DB6" w:rsidP="00092DB6">
      <w:pPr>
        <w:pBdr>
          <w:top w:val="nil"/>
          <w:left w:val="nil"/>
          <w:bottom w:val="nil"/>
          <w:right w:val="nil"/>
          <w:between w:val="nil"/>
        </w:pBdr>
        <w:spacing w:line="360" w:lineRule="auto"/>
        <w:ind w:right="-787"/>
        <w:jc w:val="both"/>
        <w:rPr>
          <w:color w:val="000000"/>
        </w:rPr>
      </w:pPr>
    </w:p>
    <w:p w:rsidR="006476B8" w:rsidRPr="0001715E" w:rsidRDefault="00E40CA1">
      <w:pPr>
        <w:ind w:left="850" w:right="-79"/>
        <w:jc w:val="both"/>
        <w:rPr>
          <w:rFonts w:ascii="Palatino Linotype" w:eastAsia="Palatino Linotype" w:hAnsi="Palatino Linotype" w:cs="Palatino Linotype"/>
          <w:b/>
          <w:i/>
          <w:sz w:val="22"/>
          <w:szCs w:val="22"/>
        </w:rPr>
      </w:pPr>
      <w:r w:rsidRPr="0001715E">
        <w:rPr>
          <w:rFonts w:ascii="Palatino Linotype" w:eastAsia="Palatino Linotype" w:hAnsi="Palatino Linotype" w:cs="Palatino Linotype"/>
          <w:b/>
          <w:sz w:val="22"/>
          <w:szCs w:val="22"/>
        </w:rPr>
        <w:t>“</w:t>
      </w:r>
      <w:r w:rsidRPr="0001715E">
        <w:rPr>
          <w:rFonts w:ascii="Palatino Linotype" w:eastAsia="Palatino Linotype" w:hAnsi="Palatino Linotype" w:cs="Palatino Linotype"/>
          <w:b/>
          <w:i/>
          <w:sz w:val="22"/>
          <w:szCs w:val="22"/>
        </w:rPr>
        <w:t>CRITERIO 0002-11</w:t>
      </w:r>
    </w:p>
    <w:p w:rsidR="006476B8" w:rsidRPr="0001715E" w:rsidRDefault="00E40CA1">
      <w:pPr>
        <w:ind w:left="850" w:right="-79"/>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1715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476B8" w:rsidRPr="0001715E" w:rsidRDefault="00E40CA1">
      <w:pPr>
        <w:ind w:left="850" w:right="-79"/>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En consecuencia el acceso a la información se refiere a que se cumplan cualquiera de los siguientes tres supuestos:</w:t>
      </w:r>
    </w:p>
    <w:p w:rsidR="006476B8" w:rsidRPr="0001715E" w:rsidRDefault="00E40CA1">
      <w:pPr>
        <w:ind w:left="850" w:right="-79"/>
        <w:jc w:val="both"/>
        <w:rPr>
          <w:rFonts w:ascii="Palatino Linotype" w:eastAsia="Palatino Linotype" w:hAnsi="Palatino Linotype" w:cs="Palatino Linotype"/>
          <w:b/>
          <w:i/>
          <w:sz w:val="22"/>
          <w:szCs w:val="22"/>
        </w:rPr>
      </w:pPr>
      <w:r w:rsidRPr="0001715E">
        <w:rPr>
          <w:rFonts w:ascii="Palatino Linotype" w:eastAsia="Palatino Linotype" w:hAnsi="Palatino Linotype" w:cs="Palatino Linotype"/>
          <w:b/>
          <w:i/>
          <w:sz w:val="22"/>
          <w:szCs w:val="22"/>
        </w:rPr>
        <w:lastRenderedPageBreak/>
        <w:t xml:space="preserve">1) </w:t>
      </w:r>
      <w:r w:rsidRPr="0001715E">
        <w:rPr>
          <w:rFonts w:ascii="Palatino Linotype" w:eastAsia="Palatino Linotype" w:hAnsi="Palatino Linotype" w:cs="Palatino Linotype"/>
          <w:b/>
          <w:i/>
          <w:sz w:val="22"/>
          <w:szCs w:val="22"/>
          <w:u w:val="single"/>
        </w:rPr>
        <w:t>Que se trate de información registrada en cualquier soporte documental, que en ejercicio de las atribuciones conferidas, sea generada por los Sujetos Obligados;</w:t>
      </w:r>
    </w:p>
    <w:p w:rsidR="006476B8" w:rsidRPr="0001715E" w:rsidRDefault="00E40CA1">
      <w:pPr>
        <w:ind w:left="850" w:right="-79"/>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6476B8" w:rsidRPr="0001715E" w:rsidRDefault="00E40CA1">
      <w:pPr>
        <w:ind w:left="850" w:right="-79"/>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6476B8" w:rsidRPr="0001715E" w:rsidRDefault="00E40CA1">
      <w:pPr>
        <w:tabs>
          <w:tab w:val="left" w:pos="851"/>
        </w:tabs>
        <w:spacing w:line="360" w:lineRule="auto"/>
        <w:ind w:left="850" w:right="-79"/>
        <w:rPr>
          <w:rFonts w:ascii="Palatino Linotype" w:eastAsia="Palatino Linotype" w:hAnsi="Palatino Linotype" w:cs="Palatino Linotype"/>
          <w:sz w:val="22"/>
          <w:szCs w:val="22"/>
        </w:rPr>
      </w:pPr>
      <w:r w:rsidRPr="0001715E">
        <w:rPr>
          <w:rFonts w:ascii="Palatino Linotype" w:eastAsia="Palatino Linotype" w:hAnsi="Palatino Linotype" w:cs="Palatino Linotype"/>
          <w:sz w:val="22"/>
          <w:szCs w:val="22"/>
        </w:rPr>
        <w:t>(Énfasis Añadido)</w:t>
      </w:r>
    </w:p>
    <w:p w:rsidR="006476B8" w:rsidRPr="0001715E" w:rsidRDefault="006476B8">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6476B8" w:rsidRPr="0001715E" w:rsidRDefault="00E40CA1">
      <w:pPr>
        <w:numPr>
          <w:ilvl w:val="0"/>
          <w:numId w:val="1"/>
        </w:numPr>
        <w:pBdr>
          <w:top w:val="nil"/>
          <w:left w:val="nil"/>
          <w:bottom w:val="nil"/>
          <w:right w:val="nil"/>
          <w:between w:val="nil"/>
        </w:pBdr>
        <w:spacing w:line="360" w:lineRule="auto"/>
        <w:ind w:left="0" w:right="-787" w:firstLine="0"/>
        <w:jc w:val="both"/>
        <w:rPr>
          <w:color w:val="000000"/>
        </w:rPr>
      </w:pPr>
      <w:r w:rsidRPr="0001715E">
        <w:rPr>
          <w:rFonts w:ascii="Palatino Linotype" w:eastAsia="Palatino Linotype" w:hAnsi="Palatino Linotype" w:cs="Palatino Linotype"/>
          <w:color w:val="000000"/>
        </w:rPr>
        <w:t>Por su parte los artículos 160 y 166, de la Ley local en la materia, que se reproduce de la siguiente forma:</w:t>
      </w:r>
    </w:p>
    <w:p w:rsidR="00092DB6" w:rsidRPr="0001715E" w:rsidRDefault="00092DB6" w:rsidP="00092DB6">
      <w:pPr>
        <w:pBdr>
          <w:top w:val="nil"/>
          <w:left w:val="nil"/>
          <w:bottom w:val="nil"/>
          <w:right w:val="nil"/>
          <w:between w:val="nil"/>
        </w:pBdr>
        <w:spacing w:line="360" w:lineRule="auto"/>
        <w:ind w:right="-787"/>
        <w:jc w:val="both"/>
        <w:rPr>
          <w:color w:val="000000"/>
        </w:rPr>
      </w:pPr>
    </w:p>
    <w:p w:rsidR="006476B8" w:rsidRPr="0001715E" w:rsidRDefault="00E40CA1">
      <w:pPr>
        <w:ind w:left="566" w:right="-79"/>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w:t>
      </w:r>
      <w:r w:rsidRPr="0001715E">
        <w:rPr>
          <w:rFonts w:ascii="Palatino Linotype" w:eastAsia="Palatino Linotype" w:hAnsi="Palatino Linotype" w:cs="Palatino Linotype"/>
          <w:b/>
          <w:i/>
          <w:sz w:val="22"/>
          <w:szCs w:val="22"/>
        </w:rPr>
        <w:t>Artículo 160.</w:t>
      </w:r>
      <w:r w:rsidRPr="0001715E">
        <w:rPr>
          <w:rFonts w:ascii="Palatino Linotype" w:eastAsia="Palatino Linotype" w:hAnsi="Palatino Linotype" w:cs="Palatino Linotype"/>
          <w:i/>
          <w:sz w:val="22"/>
          <w:szCs w:val="22"/>
        </w:rPr>
        <w:t xml:space="preserve"> </w:t>
      </w:r>
      <w:r w:rsidRPr="0001715E">
        <w:rPr>
          <w:rFonts w:ascii="Palatino Linotype" w:eastAsia="Palatino Linotype" w:hAnsi="Palatino Linotype" w:cs="Palatino Linotype"/>
          <w:i/>
          <w:sz w:val="22"/>
          <w:szCs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01715E">
        <w:rPr>
          <w:rFonts w:ascii="Palatino Linotype" w:eastAsia="Palatino Linotype" w:hAnsi="Palatino Linotype" w:cs="Palatino Linotype"/>
          <w:i/>
          <w:sz w:val="22"/>
          <w:szCs w:val="22"/>
        </w:rPr>
        <w:t>.</w:t>
      </w:r>
    </w:p>
    <w:p w:rsidR="006476B8" w:rsidRPr="0001715E" w:rsidRDefault="006476B8">
      <w:pPr>
        <w:ind w:left="566" w:right="-79"/>
        <w:jc w:val="both"/>
        <w:rPr>
          <w:rFonts w:ascii="Palatino Linotype" w:eastAsia="Palatino Linotype" w:hAnsi="Palatino Linotype" w:cs="Palatino Linotype"/>
          <w:i/>
          <w:sz w:val="22"/>
          <w:szCs w:val="22"/>
        </w:rPr>
      </w:pPr>
    </w:p>
    <w:p w:rsidR="006476B8" w:rsidRPr="0001715E" w:rsidRDefault="00E40CA1">
      <w:pPr>
        <w:ind w:left="566" w:right="-79"/>
        <w:jc w:val="both"/>
        <w:rPr>
          <w:rFonts w:ascii="Palatino Linotype" w:eastAsia="Palatino Linotype" w:hAnsi="Palatino Linotype" w:cs="Palatino Linotype"/>
          <w:i/>
          <w:sz w:val="22"/>
          <w:szCs w:val="22"/>
        </w:rPr>
      </w:pPr>
      <w:r w:rsidRPr="0001715E">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6476B8" w:rsidRPr="0001715E" w:rsidRDefault="00E40CA1">
      <w:pPr>
        <w:ind w:left="566" w:right="-79"/>
        <w:jc w:val="both"/>
        <w:rPr>
          <w:rFonts w:ascii="Palatino Linotype" w:eastAsia="Palatino Linotype" w:hAnsi="Palatino Linotype" w:cs="Palatino Linotype"/>
          <w:i/>
          <w:sz w:val="22"/>
          <w:szCs w:val="22"/>
          <w:u w:val="single"/>
        </w:rPr>
      </w:pPr>
      <w:r w:rsidRPr="0001715E">
        <w:rPr>
          <w:rFonts w:ascii="Palatino Linotype" w:eastAsia="Palatino Linotype" w:hAnsi="Palatino Linotype" w:cs="Palatino Linotype"/>
          <w:b/>
          <w:i/>
          <w:sz w:val="22"/>
          <w:szCs w:val="22"/>
        </w:rPr>
        <w:t>Artículo 166.</w:t>
      </w:r>
      <w:r w:rsidRPr="0001715E">
        <w:rPr>
          <w:rFonts w:ascii="Palatino Linotype" w:eastAsia="Palatino Linotype" w:hAnsi="Palatino Linotype" w:cs="Palatino Linotype"/>
          <w:i/>
          <w:sz w:val="22"/>
          <w:szCs w:val="22"/>
        </w:rPr>
        <w:t xml:space="preserve"> </w:t>
      </w:r>
      <w:r w:rsidRPr="0001715E">
        <w:rPr>
          <w:rFonts w:ascii="Palatino Linotype" w:eastAsia="Palatino Linotype" w:hAnsi="Palatino Linotype" w:cs="Palatino Linotype"/>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6476B8" w:rsidRPr="0001715E" w:rsidRDefault="00E40CA1">
      <w:pPr>
        <w:spacing w:line="360" w:lineRule="auto"/>
        <w:ind w:left="566" w:right="-79"/>
        <w:jc w:val="both"/>
        <w:rPr>
          <w:rFonts w:ascii="Palatino Linotype" w:eastAsia="Palatino Linotype" w:hAnsi="Palatino Linotype" w:cs="Palatino Linotype"/>
          <w:sz w:val="22"/>
          <w:szCs w:val="22"/>
        </w:rPr>
      </w:pPr>
      <w:r w:rsidRPr="0001715E">
        <w:rPr>
          <w:rFonts w:ascii="Palatino Linotype" w:eastAsia="Palatino Linotype" w:hAnsi="Palatino Linotype" w:cs="Palatino Linotype"/>
          <w:sz w:val="22"/>
          <w:szCs w:val="22"/>
        </w:rPr>
        <w:t>(Énfasis añadido)</w:t>
      </w:r>
    </w:p>
    <w:p w:rsidR="006476B8" w:rsidRPr="0001715E" w:rsidRDefault="006476B8">
      <w:pPr>
        <w:spacing w:line="360" w:lineRule="auto"/>
        <w:ind w:right="-787"/>
        <w:jc w:val="both"/>
        <w:rPr>
          <w:rFonts w:ascii="Palatino Linotype" w:eastAsia="Palatino Linotype" w:hAnsi="Palatino Linotype" w:cs="Palatino Linotype"/>
        </w:rPr>
      </w:pPr>
    </w:p>
    <w:p w:rsidR="006476B8" w:rsidRPr="0001715E" w:rsidRDefault="00E40CA1" w:rsidP="002A1491">
      <w:pPr>
        <w:numPr>
          <w:ilvl w:val="0"/>
          <w:numId w:val="1"/>
        </w:numPr>
        <w:pBdr>
          <w:top w:val="nil"/>
          <w:left w:val="nil"/>
          <w:bottom w:val="nil"/>
          <w:right w:val="nil"/>
          <w:between w:val="nil"/>
        </w:pBdr>
        <w:spacing w:line="360" w:lineRule="auto"/>
        <w:ind w:left="0" w:right="-787" w:firstLine="0"/>
        <w:jc w:val="both"/>
        <w:rPr>
          <w:color w:val="000000"/>
        </w:rPr>
      </w:pPr>
      <w:r w:rsidRPr="0001715E">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092DB6" w:rsidRPr="0001715E" w:rsidRDefault="00092DB6" w:rsidP="00092DB6">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092DB6" w:rsidRPr="0001715E" w:rsidRDefault="00092DB6" w:rsidP="00092DB6">
      <w:pPr>
        <w:pBdr>
          <w:top w:val="nil"/>
          <w:left w:val="nil"/>
          <w:bottom w:val="nil"/>
          <w:right w:val="nil"/>
          <w:between w:val="nil"/>
        </w:pBdr>
        <w:spacing w:line="360" w:lineRule="auto"/>
        <w:ind w:right="-787"/>
        <w:jc w:val="both"/>
        <w:rPr>
          <w:color w:val="000000"/>
        </w:rPr>
      </w:pPr>
    </w:p>
    <w:p w:rsidR="00092DB6" w:rsidRPr="0001715E" w:rsidRDefault="00092DB6" w:rsidP="00092DB6">
      <w:pPr>
        <w:pBdr>
          <w:top w:val="nil"/>
          <w:left w:val="nil"/>
          <w:bottom w:val="nil"/>
          <w:right w:val="nil"/>
          <w:between w:val="nil"/>
        </w:pBdr>
        <w:spacing w:line="360" w:lineRule="auto"/>
        <w:ind w:right="-787"/>
        <w:jc w:val="both"/>
        <w:rPr>
          <w:color w:val="000000"/>
        </w:rPr>
      </w:pPr>
    </w:p>
    <w:p w:rsidR="00C873E8" w:rsidRPr="0001715E" w:rsidRDefault="00C873E8" w:rsidP="00C873E8">
      <w:pPr>
        <w:numPr>
          <w:ilvl w:val="0"/>
          <w:numId w:val="16"/>
        </w:num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r w:rsidRPr="0001715E">
        <w:rPr>
          <w:rFonts w:ascii="Palatino Linotype" w:eastAsia="Palatino Linotype" w:hAnsi="Palatino Linotype" w:cs="Palatino Linotype"/>
          <w:b/>
          <w:color w:val="000000"/>
          <w:u w:val="single"/>
        </w:rPr>
        <w:lastRenderedPageBreak/>
        <w:t>Conclusión</w:t>
      </w:r>
    </w:p>
    <w:p w:rsidR="00C873E8" w:rsidRPr="0001715E" w:rsidRDefault="00C873E8" w:rsidP="00C873E8">
      <w:pPr>
        <w:pBdr>
          <w:top w:val="nil"/>
          <w:left w:val="nil"/>
          <w:bottom w:val="nil"/>
          <w:right w:val="nil"/>
          <w:between w:val="nil"/>
        </w:pBdr>
        <w:spacing w:line="360" w:lineRule="auto"/>
        <w:ind w:left="1080" w:right="-787"/>
        <w:jc w:val="both"/>
        <w:rPr>
          <w:rFonts w:ascii="Palatino Linotype" w:eastAsia="Palatino Linotype" w:hAnsi="Palatino Linotype" w:cs="Palatino Linotype"/>
          <w:b/>
          <w:color w:val="000000"/>
        </w:rPr>
      </w:pPr>
      <w:r w:rsidRPr="0001715E">
        <w:rPr>
          <w:rFonts w:ascii="Palatino Linotype" w:eastAsia="Palatino Linotype" w:hAnsi="Palatino Linotype" w:cs="Palatino Linotype"/>
          <w:b/>
          <w:color w:val="000000"/>
          <w:u w:val="single"/>
        </w:rPr>
        <w:t xml:space="preserve"> </w:t>
      </w:r>
    </w:p>
    <w:p w:rsidR="00104F1B" w:rsidRPr="0001715E" w:rsidRDefault="00104F1B" w:rsidP="008050A3">
      <w:pPr>
        <w:numPr>
          <w:ilvl w:val="0"/>
          <w:numId w:val="1"/>
        </w:numPr>
        <w:pBdr>
          <w:top w:val="nil"/>
          <w:left w:val="nil"/>
          <w:bottom w:val="nil"/>
          <w:right w:val="nil"/>
          <w:between w:val="nil"/>
        </w:pBdr>
        <w:spacing w:line="360" w:lineRule="auto"/>
        <w:ind w:left="0" w:right="-787" w:firstLine="0"/>
        <w:jc w:val="both"/>
        <w:rPr>
          <w:color w:val="000000"/>
        </w:rPr>
      </w:pPr>
      <w:r w:rsidRPr="0001715E">
        <w:rPr>
          <w:rFonts w:ascii="Palatino Linotype" w:eastAsia="Palatino Linotype" w:hAnsi="Palatino Linotype" w:cs="Palatino Linotype"/>
        </w:rPr>
        <w:t>Por lo anteriormente expuesto, este Órgano Garante considera fundadas las razones o motivos de inconformidad que plantea el</w:t>
      </w:r>
      <w:r w:rsidRPr="0001715E">
        <w:rPr>
          <w:rFonts w:ascii="Palatino Linotype" w:eastAsia="Palatino Linotype" w:hAnsi="Palatino Linotype" w:cs="Palatino Linotype"/>
          <w:b/>
        </w:rPr>
        <w:t xml:space="preserve"> RECURRENTE </w:t>
      </w:r>
      <w:r w:rsidRPr="0001715E">
        <w:rPr>
          <w:rFonts w:ascii="Palatino Linotype" w:eastAsia="Palatino Linotype" w:hAnsi="Palatino Linotype" w:cs="Palatino Linotype"/>
        </w:rPr>
        <w:t xml:space="preserve">en el </w:t>
      </w:r>
      <w:r w:rsidRPr="0001715E">
        <w:rPr>
          <w:rFonts w:ascii="Palatino Linotype" w:eastAsia="Palatino Linotype" w:hAnsi="Palatino Linotype" w:cs="Palatino Linotype"/>
          <w:color w:val="000000"/>
        </w:rPr>
        <w:t xml:space="preserve">Recurso de Revisión </w:t>
      </w:r>
      <w:r w:rsidRPr="0001715E">
        <w:rPr>
          <w:rFonts w:ascii="Palatino Linotype" w:eastAsia="Palatino Linotype" w:hAnsi="Palatino Linotype" w:cs="Palatino Linotype"/>
          <w:b/>
          <w:color w:val="000000"/>
        </w:rPr>
        <w:t>00043/INFOEM/IP/RR/2025</w:t>
      </w:r>
      <w:r w:rsidRPr="0001715E">
        <w:rPr>
          <w:rFonts w:ascii="Palatino Linotype" w:eastAsia="Palatino Linotype" w:hAnsi="Palatino Linotype" w:cs="Palatino Linotype"/>
        </w:rPr>
        <w:t xml:space="preserve">, determinando </w:t>
      </w:r>
      <w:r w:rsidRPr="0001715E">
        <w:rPr>
          <w:rFonts w:ascii="Palatino Linotype" w:eastAsia="Palatino Linotype" w:hAnsi="Palatino Linotype" w:cs="Palatino Linotype"/>
          <w:b/>
          <w:smallCaps/>
        </w:rPr>
        <w:t>REVOCAR</w:t>
      </w:r>
      <w:r w:rsidRPr="0001715E">
        <w:rPr>
          <w:rFonts w:ascii="Palatino Linotype" w:eastAsia="Palatino Linotype" w:hAnsi="Palatino Linotype" w:cs="Palatino Linotype"/>
          <w:b/>
        </w:rPr>
        <w:t xml:space="preserve"> </w:t>
      </w:r>
      <w:r w:rsidRPr="0001715E">
        <w:rPr>
          <w:rFonts w:ascii="Palatino Linotype" w:eastAsia="Palatino Linotype" w:hAnsi="Palatino Linotype" w:cs="Palatino Linotype"/>
        </w:rPr>
        <w:t xml:space="preserve">la respuesta del </w:t>
      </w:r>
      <w:r w:rsidRPr="0001715E">
        <w:rPr>
          <w:rFonts w:ascii="Palatino Linotype" w:eastAsia="Palatino Linotype" w:hAnsi="Palatino Linotype" w:cs="Palatino Linotype"/>
          <w:b/>
        </w:rPr>
        <w:t>SUJETO OBLIGADO</w:t>
      </w:r>
      <w:r w:rsidRPr="0001715E">
        <w:rPr>
          <w:rFonts w:ascii="Palatino Linotype" w:eastAsia="Palatino Linotype" w:hAnsi="Palatino Linotype" w:cs="Palatino Linotype"/>
        </w:rPr>
        <w:t>.</w:t>
      </w:r>
    </w:p>
    <w:p w:rsidR="00104F1B" w:rsidRPr="0001715E" w:rsidRDefault="00104F1B" w:rsidP="00104F1B">
      <w:pPr>
        <w:spacing w:line="360" w:lineRule="auto"/>
        <w:jc w:val="both"/>
        <w:rPr>
          <w:color w:val="000000"/>
        </w:rPr>
      </w:pPr>
    </w:p>
    <w:p w:rsidR="00104F1B" w:rsidRPr="0001715E" w:rsidRDefault="00104F1B" w:rsidP="008050A3">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1715E">
        <w:rPr>
          <w:rFonts w:ascii="Palatino Linotype" w:eastAsia="Palatino Linotype" w:hAnsi="Palatino Linotype" w:cs="Palatino Linotype"/>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104F1B" w:rsidRPr="0001715E" w:rsidRDefault="00104F1B" w:rsidP="00104F1B">
      <w:pPr>
        <w:ind w:right="278"/>
        <w:rPr>
          <w:rFonts w:ascii="Palatino Linotype" w:eastAsia="Palatino Linotype" w:hAnsi="Palatino Linotype" w:cs="Palatino Linotype"/>
        </w:rPr>
      </w:pPr>
    </w:p>
    <w:p w:rsidR="00104F1B" w:rsidRPr="0001715E" w:rsidRDefault="00104F1B" w:rsidP="00104F1B">
      <w:pPr>
        <w:spacing w:line="360" w:lineRule="auto"/>
        <w:ind w:right="276"/>
        <w:jc w:val="center"/>
        <w:rPr>
          <w:rFonts w:ascii="Palatino Linotype" w:eastAsia="Palatino Linotype" w:hAnsi="Palatino Linotype" w:cs="Palatino Linotype"/>
          <w:b/>
        </w:rPr>
      </w:pPr>
      <w:r w:rsidRPr="0001715E">
        <w:rPr>
          <w:rFonts w:ascii="Palatino Linotype" w:eastAsia="Palatino Linotype" w:hAnsi="Palatino Linotype" w:cs="Palatino Linotype"/>
          <w:b/>
        </w:rPr>
        <w:t>R E S U E L V E</w:t>
      </w:r>
    </w:p>
    <w:p w:rsidR="00104F1B" w:rsidRPr="0001715E" w:rsidRDefault="00104F1B" w:rsidP="00104F1B">
      <w:pPr>
        <w:spacing w:line="360" w:lineRule="auto"/>
        <w:ind w:right="-787"/>
        <w:jc w:val="center"/>
        <w:rPr>
          <w:rFonts w:ascii="Palatino Linotype" w:eastAsia="Palatino Linotype" w:hAnsi="Palatino Linotype" w:cs="Palatino Linotype"/>
          <w:b/>
        </w:rPr>
      </w:pPr>
    </w:p>
    <w:p w:rsidR="00104F1B" w:rsidRPr="0001715E" w:rsidRDefault="00104F1B" w:rsidP="00104F1B">
      <w:pPr>
        <w:spacing w:line="360" w:lineRule="auto"/>
        <w:ind w:right="-787"/>
        <w:jc w:val="both"/>
        <w:rPr>
          <w:rFonts w:ascii="Palatino Linotype" w:eastAsia="Palatino Linotype" w:hAnsi="Palatino Linotype" w:cs="Palatino Linotype"/>
        </w:rPr>
      </w:pPr>
      <w:r w:rsidRPr="0001715E">
        <w:rPr>
          <w:rFonts w:ascii="Palatino Linotype" w:eastAsia="Palatino Linotype" w:hAnsi="Palatino Linotype" w:cs="Palatino Linotype"/>
          <w:b/>
        </w:rPr>
        <w:t xml:space="preserve">PRIMERO. </w:t>
      </w:r>
      <w:r w:rsidRPr="0001715E">
        <w:rPr>
          <w:rFonts w:ascii="Palatino Linotype" w:eastAsia="Palatino Linotype" w:hAnsi="Palatino Linotype" w:cs="Palatino Linotype"/>
        </w:rPr>
        <w:t>Resultan fundadas las</w:t>
      </w:r>
      <w:r w:rsidRPr="0001715E">
        <w:rPr>
          <w:rFonts w:ascii="Palatino Linotype" w:eastAsia="Palatino Linotype" w:hAnsi="Palatino Linotype" w:cs="Palatino Linotype"/>
          <w:b/>
        </w:rPr>
        <w:t xml:space="preserve"> </w:t>
      </w:r>
      <w:r w:rsidRPr="0001715E">
        <w:rPr>
          <w:rFonts w:ascii="Palatino Linotype" w:eastAsia="Palatino Linotype" w:hAnsi="Palatino Linotype" w:cs="Palatino Linotype"/>
        </w:rPr>
        <w:t xml:space="preserve">razones o motivos de inconformidad hechos valer </w:t>
      </w:r>
      <w:r w:rsidR="00CA3B6E" w:rsidRPr="0001715E">
        <w:rPr>
          <w:rFonts w:ascii="Palatino Linotype" w:eastAsia="Palatino Linotype" w:hAnsi="Palatino Linotype" w:cs="Palatino Linotype"/>
        </w:rPr>
        <w:t xml:space="preserve">en el </w:t>
      </w:r>
      <w:r w:rsidR="00CA3B6E" w:rsidRPr="0001715E">
        <w:rPr>
          <w:rFonts w:ascii="Palatino Linotype" w:eastAsia="Palatino Linotype" w:hAnsi="Palatino Linotype" w:cs="Palatino Linotype"/>
          <w:color w:val="000000"/>
        </w:rPr>
        <w:t xml:space="preserve">Recurso de Revisión </w:t>
      </w:r>
      <w:r w:rsidR="00CA3B6E" w:rsidRPr="0001715E">
        <w:rPr>
          <w:rFonts w:ascii="Palatino Linotype" w:eastAsia="Palatino Linotype" w:hAnsi="Palatino Linotype" w:cs="Palatino Linotype"/>
          <w:b/>
          <w:color w:val="000000"/>
        </w:rPr>
        <w:t>00043/INFOEM/IP/RR/2025</w:t>
      </w:r>
      <w:r w:rsidRPr="0001715E">
        <w:rPr>
          <w:rFonts w:ascii="Palatino Linotype" w:eastAsia="Palatino Linotype" w:hAnsi="Palatino Linotype" w:cs="Palatino Linotype"/>
          <w:b/>
        </w:rPr>
        <w:t xml:space="preserve"> </w:t>
      </w:r>
      <w:r w:rsidRPr="0001715E">
        <w:rPr>
          <w:rFonts w:ascii="Palatino Linotype" w:eastAsia="Palatino Linotype" w:hAnsi="Palatino Linotype" w:cs="Palatino Linotype"/>
        </w:rPr>
        <w:t xml:space="preserve">en términos de los </w:t>
      </w:r>
      <w:r w:rsidRPr="0001715E">
        <w:rPr>
          <w:rFonts w:ascii="Palatino Linotype" w:eastAsia="Palatino Linotype" w:hAnsi="Palatino Linotype" w:cs="Palatino Linotype"/>
          <w:b/>
        </w:rPr>
        <w:t xml:space="preserve">Considerandos CUARTO Y QUINTO </w:t>
      </w:r>
      <w:r w:rsidRPr="0001715E">
        <w:rPr>
          <w:rFonts w:ascii="Palatino Linotype" w:eastAsia="Palatino Linotype" w:hAnsi="Palatino Linotype" w:cs="Palatino Linotype"/>
        </w:rPr>
        <w:t>de la presente resolución.</w:t>
      </w:r>
    </w:p>
    <w:p w:rsidR="00104F1B" w:rsidRPr="0001715E" w:rsidRDefault="00104F1B" w:rsidP="00104F1B">
      <w:pPr>
        <w:spacing w:line="360" w:lineRule="auto"/>
        <w:ind w:right="-787"/>
        <w:jc w:val="both"/>
        <w:rPr>
          <w:rFonts w:ascii="Palatino Linotype" w:eastAsia="Palatino Linotype" w:hAnsi="Palatino Linotype" w:cs="Palatino Linotype"/>
          <w:b/>
        </w:rPr>
      </w:pPr>
    </w:p>
    <w:p w:rsidR="00104F1B" w:rsidRPr="0001715E" w:rsidRDefault="00104F1B" w:rsidP="00104F1B">
      <w:pPr>
        <w:spacing w:line="360" w:lineRule="auto"/>
        <w:ind w:right="-787"/>
        <w:jc w:val="both"/>
        <w:rPr>
          <w:rFonts w:ascii="Palatino Linotype" w:eastAsia="Palatino Linotype" w:hAnsi="Palatino Linotype" w:cs="Palatino Linotype"/>
        </w:rPr>
      </w:pPr>
      <w:bookmarkStart w:id="12" w:name="_heading=h.17dp8vu" w:colFirst="0" w:colLast="0"/>
      <w:bookmarkEnd w:id="12"/>
      <w:r w:rsidRPr="0001715E">
        <w:rPr>
          <w:rFonts w:ascii="Palatino Linotype" w:eastAsia="Palatino Linotype" w:hAnsi="Palatino Linotype" w:cs="Palatino Linotype"/>
          <w:b/>
        </w:rPr>
        <w:t>SEGUNDO.</w:t>
      </w:r>
      <w:r w:rsidRPr="0001715E">
        <w:rPr>
          <w:rFonts w:ascii="Palatino Linotype" w:eastAsia="Palatino Linotype" w:hAnsi="Palatino Linotype" w:cs="Palatino Linotype"/>
          <w:color w:val="2F5496"/>
        </w:rPr>
        <w:t xml:space="preserve"> </w:t>
      </w:r>
      <w:r w:rsidRPr="0001715E">
        <w:rPr>
          <w:rFonts w:ascii="Palatino Linotype" w:eastAsia="Palatino Linotype" w:hAnsi="Palatino Linotype" w:cs="Palatino Linotype"/>
          <w:color w:val="000000"/>
        </w:rPr>
        <w:t xml:space="preserve">Se </w:t>
      </w:r>
      <w:r w:rsidRPr="0001715E">
        <w:rPr>
          <w:rFonts w:ascii="Palatino Linotype" w:eastAsia="Palatino Linotype" w:hAnsi="Palatino Linotype" w:cs="Palatino Linotype"/>
          <w:b/>
          <w:color w:val="000000"/>
        </w:rPr>
        <w:t xml:space="preserve">REVOCA </w:t>
      </w:r>
      <w:r w:rsidRPr="0001715E">
        <w:rPr>
          <w:rFonts w:ascii="Palatino Linotype" w:eastAsia="Palatino Linotype" w:hAnsi="Palatino Linotype" w:cs="Palatino Linotype"/>
          <w:color w:val="000000"/>
        </w:rPr>
        <w:t xml:space="preserve">la respuesta emitida por el </w:t>
      </w:r>
      <w:r w:rsidR="00CA3B6E" w:rsidRPr="0001715E">
        <w:rPr>
          <w:rFonts w:ascii="Palatino Linotype" w:eastAsia="Palatino Linotype" w:hAnsi="Palatino Linotype" w:cs="Palatino Linotype"/>
          <w:b/>
        </w:rPr>
        <w:t>Ayuntamiento de Timilpan</w:t>
      </w:r>
      <w:r w:rsidR="00CA3B6E" w:rsidRPr="0001715E">
        <w:rPr>
          <w:rFonts w:ascii="Palatino Linotype" w:eastAsia="Palatino Linotype" w:hAnsi="Palatino Linotype" w:cs="Palatino Linotype"/>
          <w:color w:val="000000"/>
        </w:rPr>
        <w:t xml:space="preserve"> </w:t>
      </w:r>
      <w:r w:rsidRPr="0001715E">
        <w:rPr>
          <w:rFonts w:ascii="Palatino Linotype" w:eastAsia="Palatino Linotype" w:hAnsi="Palatino Linotype" w:cs="Palatino Linotype"/>
          <w:color w:val="000000"/>
        </w:rPr>
        <w:t xml:space="preserve">y se </w:t>
      </w:r>
      <w:r w:rsidRPr="0001715E">
        <w:rPr>
          <w:rFonts w:ascii="Palatino Linotype" w:eastAsia="Palatino Linotype" w:hAnsi="Palatino Linotype" w:cs="Palatino Linotype"/>
          <w:b/>
          <w:color w:val="000000"/>
        </w:rPr>
        <w:t>ORDENA</w:t>
      </w:r>
      <w:r w:rsidRPr="0001715E">
        <w:rPr>
          <w:rFonts w:ascii="Palatino Linotype" w:eastAsia="Palatino Linotype" w:hAnsi="Palatino Linotype" w:cs="Palatino Linotype"/>
          <w:color w:val="000000"/>
        </w:rPr>
        <w:t xml:space="preserve"> entregar, vía Sistema de Acceso a la Información Mexiquense </w:t>
      </w:r>
      <w:r w:rsidRPr="0001715E">
        <w:rPr>
          <w:rFonts w:ascii="Palatino Linotype" w:eastAsia="Palatino Linotype" w:hAnsi="Palatino Linotype" w:cs="Palatino Linotype"/>
          <w:b/>
          <w:color w:val="000000"/>
        </w:rPr>
        <w:t>(SAIMEX)</w:t>
      </w:r>
      <w:r w:rsidR="00092DB6" w:rsidRPr="0001715E">
        <w:rPr>
          <w:rFonts w:ascii="Palatino Linotype" w:eastAsia="Palatino Linotype" w:hAnsi="Palatino Linotype" w:cs="Palatino Linotype"/>
        </w:rPr>
        <w:t>, la siguiente información</w:t>
      </w:r>
      <w:r w:rsidRPr="0001715E">
        <w:rPr>
          <w:rFonts w:ascii="Palatino Linotype" w:eastAsia="Palatino Linotype" w:hAnsi="Palatino Linotype" w:cs="Palatino Linotype"/>
        </w:rPr>
        <w:t>:</w:t>
      </w:r>
    </w:p>
    <w:p w:rsidR="00104F1B" w:rsidRPr="0001715E" w:rsidRDefault="00104F1B" w:rsidP="00104F1B">
      <w:pPr>
        <w:ind w:right="-788"/>
        <w:jc w:val="both"/>
        <w:rPr>
          <w:rFonts w:ascii="Palatino Linotype" w:eastAsia="Palatino Linotype" w:hAnsi="Palatino Linotype" w:cs="Palatino Linotype"/>
        </w:rPr>
      </w:pPr>
    </w:p>
    <w:p w:rsidR="00104F1B" w:rsidRPr="0001715E" w:rsidRDefault="00CA3B6E" w:rsidP="00CA3B6E">
      <w:pPr>
        <w:pStyle w:val="Prrafodelista"/>
        <w:numPr>
          <w:ilvl w:val="0"/>
          <w:numId w:val="22"/>
        </w:num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r w:rsidRPr="0001715E">
        <w:rPr>
          <w:rFonts w:ascii="Palatino Linotype" w:eastAsia="Palatino Linotype" w:hAnsi="Palatino Linotype" w:cs="Palatino Linotype"/>
          <w:b/>
          <w:color w:val="000000"/>
        </w:rPr>
        <w:t>Tabulador de sueldos y salarios, vigente al 11 de diciembre de 2024</w:t>
      </w:r>
    </w:p>
    <w:p w:rsidR="00104F1B" w:rsidRPr="0001715E" w:rsidRDefault="00104F1B" w:rsidP="00104F1B">
      <w:pPr>
        <w:spacing w:line="360" w:lineRule="auto"/>
        <w:ind w:right="-787"/>
        <w:jc w:val="both"/>
        <w:rPr>
          <w:rFonts w:ascii="Palatino Linotype" w:eastAsia="Palatino Linotype" w:hAnsi="Palatino Linotype" w:cs="Palatino Linotype"/>
        </w:rPr>
      </w:pPr>
      <w:bookmarkStart w:id="13" w:name="_heading=h.4d34og8" w:colFirst="0" w:colLast="0"/>
      <w:bookmarkEnd w:id="13"/>
    </w:p>
    <w:p w:rsidR="00104F1B" w:rsidRPr="0001715E" w:rsidRDefault="00104F1B" w:rsidP="00104F1B">
      <w:pPr>
        <w:tabs>
          <w:tab w:val="left" w:pos="8080"/>
        </w:tabs>
        <w:spacing w:line="360" w:lineRule="auto"/>
        <w:ind w:right="-787"/>
        <w:jc w:val="both"/>
        <w:rPr>
          <w:rFonts w:ascii="Palatino Linotype" w:eastAsia="Palatino Linotype" w:hAnsi="Palatino Linotype" w:cs="Palatino Linotype"/>
        </w:rPr>
      </w:pPr>
      <w:r w:rsidRPr="0001715E">
        <w:rPr>
          <w:rFonts w:ascii="Palatino Linotype" w:eastAsia="Palatino Linotype" w:hAnsi="Palatino Linotype" w:cs="Palatino Linotype"/>
          <w:b/>
        </w:rPr>
        <w:lastRenderedPageBreak/>
        <w:t xml:space="preserve">TERCERO. </w:t>
      </w:r>
      <w:r w:rsidRPr="0001715E">
        <w:rPr>
          <w:rFonts w:ascii="Palatino Linotype" w:eastAsia="Palatino Linotype" w:hAnsi="Palatino Linotype" w:cs="Palatino Linotype"/>
          <w:b/>
          <w:color w:val="000000"/>
        </w:rPr>
        <w:t>Notifíquese</w:t>
      </w:r>
      <w:r w:rsidRPr="0001715E">
        <w:rPr>
          <w:rFonts w:ascii="Palatino Linotype" w:eastAsia="Palatino Linotype" w:hAnsi="Palatino Linotype" w:cs="Palatino Linotype"/>
          <w:color w:val="000000"/>
        </w:rPr>
        <w:t xml:space="preserve"> al </w:t>
      </w:r>
      <w:r w:rsidRPr="0001715E">
        <w:rPr>
          <w:rFonts w:ascii="Palatino Linotype" w:eastAsia="Palatino Linotype" w:hAnsi="Palatino Linotype" w:cs="Palatino Linotype"/>
          <w:color w:val="222222"/>
        </w:rPr>
        <w:t xml:space="preserve">Titular de la Unidad de Transparencia del </w:t>
      </w:r>
      <w:r w:rsidRPr="0001715E">
        <w:rPr>
          <w:rFonts w:ascii="Palatino Linotype" w:eastAsia="Palatino Linotype" w:hAnsi="Palatino Linotype" w:cs="Palatino Linotype"/>
          <w:b/>
          <w:color w:val="222222"/>
        </w:rPr>
        <w:t>SUJETO OBLIGADO</w:t>
      </w:r>
      <w:r w:rsidRPr="0001715E">
        <w:rPr>
          <w:rFonts w:ascii="Palatino Linotype" w:eastAsia="Palatino Linotype" w:hAnsi="Palatino Linotype" w:cs="Palatino Linotype"/>
          <w:color w:val="222222"/>
        </w:rPr>
        <w:t xml:space="preserve">, vía SAIMEX, la presente resolución, para que conforme al artículo 186 último párrafo, 189 segundo párrafo y 194 de la Ley de Transparencia y Acceso a la Información Pública del Estado de México y Municipios </w:t>
      </w:r>
      <w:r w:rsidRPr="0001715E">
        <w:rPr>
          <w:rFonts w:ascii="Palatino Linotype" w:eastAsia="Palatino Linotype" w:hAnsi="Palatino Linotype" w:cs="Palatino Linotype"/>
          <w:b/>
          <w:color w:val="222222"/>
        </w:rPr>
        <w:t>de cumplimiento a lo ordenado dentro del plazo de diez días hábiles,</w:t>
      </w:r>
      <w:r w:rsidRPr="0001715E">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01715E">
        <w:rPr>
          <w:rFonts w:ascii="Palatino Linotype" w:eastAsia="Palatino Linotype" w:hAnsi="Palatino Linotype" w:cs="Palatino Linotype"/>
        </w:rPr>
        <w:t>.</w:t>
      </w:r>
    </w:p>
    <w:p w:rsidR="00104F1B" w:rsidRPr="0001715E" w:rsidRDefault="00104F1B" w:rsidP="00104F1B">
      <w:pPr>
        <w:tabs>
          <w:tab w:val="left" w:pos="8080"/>
        </w:tabs>
        <w:spacing w:line="360" w:lineRule="auto"/>
        <w:ind w:right="-787"/>
        <w:jc w:val="both"/>
        <w:rPr>
          <w:rFonts w:ascii="Palatino Linotype" w:eastAsia="Palatino Linotype" w:hAnsi="Palatino Linotype" w:cs="Palatino Linotype"/>
        </w:rPr>
      </w:pPr>
    </w:p>
    <w:p w:rsidR="00104F1B" w:rsidRPr="0001715E" w:rsidRDefault="00104F1B" w:rsidP="00104F1B">
      <w:pPr>
        <w:spacing w:line="360" w:lineRule="auto"/>
        <w:ind w:right="-787"/>
        <w:jc w:val="both"/>
        <w:rPr>
          <w:rFonts w:ascii="Palatino Linotype" w:eastAsia="Palatino Linotype" w:hAnsi="Palatino Linotype" w:cs="Palatino Linotype"/>
        </w:rPr>
      </w:pPr>
      <w:r w:rsidRPr="0001715E">
        <w:rPr>
          <w:rFonts w:ascii="Palatino Linotype" w:eastAsia="Palatino Linotype" w:hAnsi="Palatino Linotype" w:cs="Palatino Linotype"/>
          <w:b/>
        </w:rPr>
        <w:t xml:space="preserve">CUARTO. </w:t>
      </w:r>
      <w:r w:rsidRPr="0001715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1715E">
        <w:rPr>
          <w:rFonts w:ascii="Palatino Linotype" w:eastAsia="Palatino Linotype" w:hAnsi="Palatino Linotype" w:cs="Palatino Linotype"/>
          <w:b/>
        </w:rPr>
        <w:t>SUJETO OBLIGADO</w:t>
      </w:r>
      <w:r w:rsidRPr="0001715E">
        <w:rPr>
          <w:rFonts w:ascii="Palatino Linotype" w:eastAsia="Palatino Linotype" w:hAnsi="Palatino Linotype" w:cs="Palatino Linotype"/>
        </w:rPr>
        <w:t xml:space="preserve"> de manera fundada y motivada, podrá solicitar una ampliación de plazo para el cumplimiento de la presente resolución.</w:t>
      </w:r>
    </w:p>
    <w:p w:rsidR="00104F1B" w:rsidRPr="0001715E" w:rsidRDefault="00104F1B" w:rsidP="00104F1B">
      <w:pPr>
        <w:shd w:val="clear" w:color="auto" w:fill="FFFFFF"/>
        <w:spacing w:line="360" w:lineRule="auto"/>
        <w:ind w:right="-787"/>
        <w:jc w:val="both"/>
        <w:rPr>
          <w:rFonts w:ascii="Palatino Linotype" w:eastAsia="Palatino Linotype" w:hAnsi="Palatino Linotype" w:cs="Palatino Linotype"/>
          <w:b/>
        </w:rPr>
      </w:pPr>
    </w:p>
    <w:p w:rsidR="00104F1B" w:rsidRPr="0001715E" w:rsidRDefault="00104F1B" w:rsidP="00104F1B">
      <w:pPr>
        <w:shd w:val="clear" w:color="auto" w:fill="FFFFFF"/>
        <w:spacing w:line="360" w:lineRule="auto"/>
        <w:ind w:right="-787"/>
        <w:jc w:val="both"/>
        <w:rPr>
          <w:rFonts w:ascii="Palatino Linotype" w:eastAsia="Palatino Linotype" w:hAnsi="Palatino Linotype" w:cs="Palatino Linotype"/>
        </w:rPr>
      </w:pPr>
      <w:r w:rsidRPr="0001715E">
        <w:rPr>
          <w:rFonts w:ascii="Palatino Linotype" w:eastAsia="Palatino Linotype" w:hAnsi="Palatino Linotype" w:cs="Palatino Linotype"/>
          <w:b/>
        </w:rPr>
        <w:t xml:space="preserve">QUINTO. </w:t>
      </w:r>
      <w:r w:rsidRPr="0001715E">
        <w:rPr>
          <w:rFonts w:ascii="Palatino Linotype" w:eastAsia="Palatino Linotype" w:hAnsi="Palatino Linotype" w:cs="Palatino Linotype"/>
        </w:rPr>
        <w:t xml:space="preserve">Notifíquese al </w:t>
      </w:r>
      <w:r w:rsidRPr="0001715E">
        <w:rPr>
          <w:rFonts w:ascii="Palatino Linotype" w:eastAsia="Palatino Linotype" w:hAnsi="Palatino Linotype" w:cs="Palatino Linotype"/>
          <w:b/>
        </w:rPr>
        <w:t xml:space="preserve">RECURRENTE </w:t>
      </w:r>
      <w:r w:rsidRPr="0001715E">
        <w:rPr>
          <w:rFonts w:ascii="Palatino Linotype" w:eastAsia="Palatino Linotype" w:hAnsi="Palatino Linotype" w:cs="Palatino Linotype"/>
        </w:rPr>
        <w:t>la presente resolución vía Sistema de Acceso a Información Mexiquense (SAIMEX)</w:t>
      </w:r>
      <w:r w:rsidRPr="0001715E">
        <w:rPr>
          <w:rFonts w:ascii="Palatino Linotype" w:eastAsia="Palatino Linotype" w:hAnsi="Palatino Linotype" w:cs="Palatino Linotype"/>
          <w:b/>
        </w:rPr>
        <w:t xml:space="preserve"> </w:t>
      </w:r>
      <w:r w:rsidRPr="0001715E">
        <w:rPr>
          <w:rFonts w:ascii="Palatino Linotype" w:eastAsia="Palatino Linotype" w:hAnsi="Palatino Linotype" w:cs="Palatino Linotype"/>
        </w:rPr>
        <w:t>y se hace de su conocimiento</w:t>
      </w:r>
      <w:r w:rsidRPr="0001715E">
        <w:rPr>
          <w:rFonts w:ascii="Palatino Linotype" w:eastAsia="Palatino Linotype" w:hAnsi="Palatino Linotype" w:cs="Palatino Linotype"/>
          <w:b/>
        </w:rPr>
        <w:t xml:space="preserve"> </w:t>
      </w:r>
      <w:r w:rsidRPr="0001715E">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A05742" w:rsidRPr="0001715E" w:rsidRDefault="00A05742" w:rsidP="00104F1B">
      <w:pPr>
        <w:shd w:val="clear" w:color="auto" w:fill="FFFFFF"/>
        <w:spacing w:line="360" w:lineRule="auto"/>
        <w:ind w:right="-787"/>
        <w:jc w:val="both"/>
        <w:rPr>
          <w:rFonts w:ascii="Palatino Linotype" w:eastAsia="Palatino Linotype" w:hAnsi="Palatino Linotype" w:cs="Palatino Linotype"/>
        </w:rPr>
      </w:pPr>
    </w:p>
    <w:p w:rsidR="006476B8" w:rsidRDefault="009918DF" w:rsidP="009918DF">
      <w:pPr>
        <w:spacing w:before="240" w:after="240" w:line="360" w:lineRule="auto"/>
        <w:ind w:firstLine="1"/>
        <w:jc w:val="both"/>
        <w:rPr>
          <w:rFonts w:ascii="Palatino Linotype" w:eastAsia="Palatino Linotype" w:hAnsi="Palatino Linotype" w:cs="Palatino Linotype"/>
        </w:rPr>
      </w:pPr>
      <w:r w:rsidRPr="0001715E">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r w:rsidRPr="0001715E">
        <w:rPr>
          <w:rFonts w:ascii="Palatino Linotype" w:hAnsi="Palatino Linotype"/>
        </w:rPr>
        <w:t xml:space="preserve"> </w:t>
      </w:r>
      <w:r w:rsidR="00104F1B" w:rsidRPr="0001715E">
        <w:rPr>
          <w:rFonts w:ascii="Palatino Linotype" w:eastAsia="Palatino Linotype" w:hAnsi="Palatino Linotype" w:cs="Palatino Linotype"/>
        </w:rPr>
        <w:t>RAMÍREZ.</w:t>
      </w:r>
    </w:p>
    <w:p w:rsidR="0001715E" w:rsidRDefault="0001715E" w:rsidP="009918DF">
      <w:pPr>
        <w:spacing w:before="240" w:after="240" w:line="360" w:lineRule="auto"/>
        <w:ind w:firstLine="1"/>
        <w:jc w:val="both"/>
        <w:rPr>
          <w:rFonts w:ascii="Palatino Linotype" w:eastAsia="Palatino Linotype" w:hAnsi="Palatino Linotype" w:cs="Palatino Linotype"/>
        </w:rPr>
      </w:pPr>
    </w:p>
    <w:p w:rsidR="0001715E" w:rsidRDefault="0001715E" w:rsidP="009918DF">
      <w:pPr>
        <w:spacing w:before="240" w:after="240" w:line="360" w:lineRule="auto"/>
        <w:ind w:firstLine="1"/>
        <w:jc w:val="both"/>
        <w:rPr>
          <w:rFonts w:ascii="Palatino Linotype" w:eastAsia="Palatino Linotype" w:hAnsi="Palatino Linotype" w:cs="Palatino Linotype"/>
        </w:rPr>
      </w:pPr>
    </w:p>
    <w:p w:rsidR="0001715E" w:rsidRDefault="0001715E" w:rsidP="009918DF">
      <w:pPr>
        <w:spacing w:before="240" w:after="240" w:line="360" w:lineRule="auto"/>
        <w:ind w:firstLine="1"/>
        <w:jc w:val="both"/>
        <w:rPr>
          <w:rFonts w:ascii="Palatino Linotype" w:eastAsia="Palatino Linotype" w:hAnsi="Palatino Linotype" w:cs="Palatino Linotype"/>
        </w:rPr>
      </w:pPr>
    </w:p>
    <w:p w:rsidR="0001715E" w:rsidRDefault="0001715E" w:rsidP="009918DF">
      <w:pPr>
        <w:spacing w:before="240" w:after="240" w:line="360" w:lineRule="auto"/>
        <w:ind w:firstLine="1"/>
        <w:jc w:val="both"/>
        <w:rPr>
          <w:rFonts w:ascii="Palatino Linotype" w:eastAsia="Palatino Linotype" w:hAnsi="Palatino Linotype" w:cs="Palatino Linotype"/>
        </w:rPr>
      </w:pPr>
    </w:p>
    <w:p w:rsidR="0001715E" w:rsidRDefault="0001715E" w:rsidP="009918DF">
      <w:pPr>
        <w:spacing w:before="240" w:after="240" w:line="360" w:lineRule="auto"/>
        <w:ind w:firstLine="1"/>
        <w:jc w:val="both"/>
        <w:rPr>
          <w:rFonts w:ascii="Palatino Linotype" w:eastAsia="Palatino Linotype" w:hAnsi="Palatino Linotype" w:cs="Palatino Linotype"/>
        </w:rPr>
      </w:pPr>
    </w:p>
    <w:p w:rsidR="0001715E" w:rsidRDefault="0001715E" w:rsidP="009918DF">
      <w:pPr>
        <w:spacing w:before="240" w:after="240" w:line="360" w:lineRule="auto"/>
        <w:ind w:firstLine="1"/>
        <w:jc w:val="both"/>
        <w:rPr>
          <w:rFonts w:ascii="Palatino Linotype" w:eastAsia="Palatino Linotype" w:hAnsi="Palatino Linotype" w:cs="Palatino Linotype"/>
        </w:rPr>
      </w:pPr>
    </w:p>
    <w:p w:rsidR="0001715E" w:rsidRDefault="0001715E" w:rsidP="009918DF">
      <w:pPr>
        <w:spacing w:before="240" w:after="240" w:line="360" w:lineRule="auto"/>
        <w:ind w:firstLine="1"/>
        <w:jc w:val="both"/>
        <w:rPr>
          <w:rFonts w:ascii="Palatino Linotype" w:eastAsia="Palatino Linotype" w:hAnsi="Palatino Linotype" w:cs="Palatino Linotype"/>
        </w:rPr>
      </w:pPr>
    </w:p>
    <w:p w:rsidR="0001715E" w:rsidRDefault="0001715E" w:rsidP="009918DF">
      <w:pPr>
        <w:spacing w:before="240" w:after="240" w:line="360" w:lineRule="auto"/>
        <w:ind w:firstLine="1"/>
        <w:jc w:val="both"/>
        <w:rPr>
          <w:rFonts w:ascii="Palatino Linotype" w:eastAsia="Palatino Linotype" w:hAnsi="Palatino Linotype" w:cs="Palatino Linotype"/>
        </w:rPr>
      </w:pPr>
    </w:p>
    <w:p w:rsidR="0001715E" w:rsidRDefault="0001715E" w:rsidP="009918DF">
      <w:pPr>
        <w:spacing w:before="240" w:after="240" w:line="360" w:lineRule="auto"/>
        <w:ind w:firstLine="1"/>
        <w:jc w:val="both"/>
        <w:rPr>
          <w:rFonts w:ascii="Palatino Linotype" w:eastAsia="Palatino Linotype" w:hAnsi="Palatino Linotype" w:cs="Palatino Linotype"/>
        </w:rPr>
      </w:pPr>
    </w:p>
    <w:p w:rsidR="0001715E" w:rsidRDefault="0001715E" w:rsidP="009918DF">
      <w:pPr>
        <w:spacing w:before="240" w:after="240" w:line="360" w:lineRule="auto"/>
        <w:ind w:firstLine="1"/>
        <w:jc w:val="both"/>
        <w:rPr>
          <w:rFonts w:ascii="Palatino Linotype" w:eastAsia="Palatino Linotype" w:hAnsi="Palatino Linotype" w:cs="Palatino Linotype"/>
        </w:rPr>
      </w:pPr>
    </w:p>
    <w:p w:rsidR="0001715E" w:rsidRPr="009918DF" w:rsidRDefault="0001715E" w:rsidP="009918DF">
      <w:pPr>
        <w:spacing w:before="240" w:after="240" w:line="360" w:lineRule="auto"/>
        <w:ind w:firstLine="1"/>
        <w:jc w:val="both"/>
        <w:rPr>
          <w:rFonts w:ascii="Palatino Linotype" w:hAnsi="Palatino Linotype"/>
        </w:rPr>
      </w:pPr>
    </w:p>
    <w:sectPr w:rsidR="0001715E" w:rsidRPr="009918DF">
      <w:headerReference w:type="even" r:id="rId18"/>
      <w:headerReference w:type="default" r:id="rId19"/>
      <w:footerReference w:type="default" r:id="rId20"/>
      <w:headerReference w:type="first" r:id="rId21"/>
      <w:footerReference w:type="first" r:id="rId22"/>
      <w:pgSz w:w="12240" w:h="15840"/>
      <w:pgMar w:top="2268" w:right="170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08C" w:rsidRDefault="00FB108C">
      <w:r>
        <w:separator/>
      </w:r>
    </w:p>
  </w:endnote>
  <w:endnote w:type="continuationSeparator" w:id="0">
    <w:p w:rsidR="00FB108C" w:rsidRDefault="00FB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46A" w:rsidRDefault="002A246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B528C">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B528C">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2A246A" w:rsidRDefault="002A246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46A" w:rsidRDefault="002A246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5B528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5B528C">
      <w:rPr>
        <w:rFonts w:ascii="Palatino Linotype" w:eastAsia="Palatino Linotype" w:hAnsi="Palatino Linotype" w:cs="Palatino Linotype"/>
        <w:noProof/>
        <w:color w:val="000000"/>
        <w:sz w:val="20"/>
        <w:szCs w:val="20"/>
      </w:rPr>
      <w:t>21</w:t>
    </w:r>
    <w:r>
      <w:rPr>
        <w:rFonts w:ascii="Palatino Linotype" w:eastAsia="Palatino Linotype" w:hAnsi="Palatino Linotype" w:cs="Palatino Linotype"/>
        <w:color w:val="000000"/>
        <w:sz w:val="20"/>
        <w:szCs w:val="20"/>
      </w:rPr>
      <w:fldChar w:fldCharType="end"/>
    </w:r>
  </w:p>
  <w:p w:rsidR="002A246A" w:rsidRDefault="002A246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08C" w:rsidRDefault="00FB108C">
      <w:r>
        <w:separator/>
      </w:r>
    </w:p>
  </w:footnote>
  <w:footnote w:type="continuationSeparator" w:id="0">
    <w:p w:rsidR="00FB108C" w:rsidRDefault="00FB1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46A" w:rsidRDefault="00FB108C">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46A" w:rsidRDefault="002A246A">
    <w:pPr>
      <w:widowControl w:val="0"/>
      <w:pBdr>
        <w:top w:val="nil"/>
        <w:left w:val="nil"/>
        <w:bottom w:val="nil"/>
        <w:right w:val="nil"/>
        <w:between w:val="nil"/>
      </w:pBdr>
      <w:spacing w:line="276" w:lineRule="auto"/>
      <w:rPr>
        <w:color w:val="000000"/>
      </w:rPr>
    </w:pPr>
  </w:p>
  <w:tbl>
    <w:tblPr>
      <w:tblStyle w:val="ab"/>
      <w:tblW w:w="7890" w:type="dxa"/>
      <w:tblInd w:w="2552" w:type="dxa"/>
      <w:tblLayout w:type="fixed"/>
      <w:tblLook w:val="0400" w:firstRow="0" w:lastRow="0" w:firstColumn="0" w:lastColumn="0" w:noHBand="0" w:noVBand="1"/>
    </w:tblPr>
    <w:tblGrid>
      <w:gridCol w:w="3744"/>
      <w:gridCol w:w="4146"/>
    </w:tblGrid>
    <w:tr w:rsidR="002A246A" w:rsidTr="00704E4B">
      <w:trPr>
        <w:trHeight w:val="281"/>
      </w:trPr>
      <w:tc>
        <w:tcPr>
          <w:tcW w:w="3744" w:type="dxa"/>
          <w:vAlign w:val="center"/>
        </w:tcPr>
        <w:p w:rsidR="002A246A" w:rsidRDefault="002A246A" w:rsidP="00F904E7">
          <w:pPr>
            <w:ind w:left="850"/>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46" w:type="dxa"/>
          <w:vAlign w:val="center"/>
        </w:tcPr>
        <w:p w:rsidR="002A246A" w:rsidRDefault="002A246A" w:rsidP="00F904E7">
          <w:pPr>
            <w:pBdr>
              <w:top w:val="nil"/>
              <w:left w:val="nil"/>
              <w:bottom w:val="nil"/>
              <w:right w:val="nil"/>
              <w:between w:val="nil"/>
            </w:pBdr>
            <w:tabs>
              <w:tab w:val="right" w:pos="8838"/>
            </w:tabs>
            <w:ind w:right="-190"/>
            <w:rPr>
              <w:rFonts w:ascii="Palatino Linotype" w:eastAsia="Palatino Linotype" w:hAnsi="Palatino Linotype" w:cs="Palatino Linotype"/>
              <w:color w:val="000000"/>
              <w:sz w:val="22"/>
              <w:szCs w:val="22"/>
              <w:highlight w:val="green"/>
            </w:rPr>
          </w:pPr>
          <w:r w:rsidRPr="00F904E7">
            <w:rPr>
              <w:rFonts w:ascii="Palatino Linotype" w:eastAsia="Palatino Linotype" w:hAnsi="Palatino Linotype" w:cs="Palatino Linotype"/>
              <w:color w:val="000000"/>
              <w:sz w:val="22"/>
              <w:szCs w:val="22"/>
            </w:rPr>
            <w:t>00043/INFOEM/IP/RR/2025</w:t>
          </w:r>
        </w:p>
      </w:tc>
    </w:tr>
    <w:tr w:rsidR="002A246A" w:rsidTr="00704E4B">
      <w:trPr>
        <w:trHeight w:val="342"/>
      </w:trPr>
      <w:tc>
        <w:tcPr>
          <w:tcW w:w="3744" w:type="dxa"/>
        </w:tcPr>
        <w:p w:rsidR="002A246A" w:rsidRDefault="002A246A" w:rsidP="00F904E7">
          <w:pPr>
            <w:ind w:left="850"/>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46" w:type="dxa"/>
          <w:vAlign w:val="center"/>
        </w:tcPr>
        <w:p w:rsidR="002A246A" w:rsidRDefault="002A246A" w:rsidP="00F904E7">
          <w:pPr>
            <w:pBdr>
              <w:top w:val="nil"/>
              <w:left w:val="nil"/>
              <w:bottom w:val="nil"/>
              <w:right w:val="nil"/>
              <w:between w:val="nil"/>
            </w:pBdr>
            <w:tabs>
              <w:tab w:val="right" w:pos="8838"/>
            </w:tabs>
            <w:ind w:right="-190"/>
            <w:rPr>
              <w:rFonts w:ascii="Palatino Linotype" w:eastAsia="Palatino Linotype" w:hAnsi="Palatino Linotype" w:cs="Palatino Linotype"/>
              <w:color w:val="000000"/>
              <w:sz w:val="22"/>
              <w:szCs w:val="22"/>
              <w:highlight w:val="green"/>
            </w:rPr>
          </w:pPr>
          <w:r w:rsidRPr="00F904E7">
            <w:rPr>
              <w:rFonts w:ascii="Palatino Linotype" w:eastAsia="Palatino Linotype" w:hAnsi="Palatino Linotype" w:cs="Palatino Linotype"/>
              <w:color w:val="000000"/>
              <w:sz w:val="22"/>
              <w:szCs w:val="22"/>
            </w:rPr>
            <w:t>Ayuntamiento de Timilpan</w:t>
          </w:r>
        </w:p>
      </w:tc>
    </w:tr>
    <w:tr w:rsidR="002A246A" w:rsidTr="00704E4B">
      <w:trPr>
        <w:trHeight w:val="342"/>
      </w:trPr>
      <w:tc>
        <w:tcPr>
          <w:tcW w:w="3744" w:type="dxa"/>
          <w:vAlign w:val="center"/>
        </w:tcPr>
        <w:p w:rsidR="002A246A" w:rsidRDefault="002A246A" w:rsidP="00F904E7">
          <w:pPr>
            <w:ind w:left="850"/>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46" w:type="dxa"/>
          <w:vAlign w:val="center"/>
        </w:tcPr>
        <w:p w:rsidR="002A246A" w:rsidRDefault="002A246A" w:rsidP="00F904E7">
          <w:pPr>
            <w:pBdr>
              <w:top w:val="nil"/>
              <w:left w:val="nil"/>
              <w:bottom w:val="nil"/>
              <w:right w:val="nil"/>
              <w:between w:val="nil"/>
            </w:pBdr>
            <w:tabs>
              <w:tab w:val="right" w:pos="8838"/>
            </w:tabs>
            <w:ind w:right="-19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2A246A" w:rsidRDefault="00FB108C">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46A" w:rsidRDefault="002A246A">
    <w:pPr>
      <w:widowControl w:val="0"/>
      <w:pBdr>
        <w:top w:val="nil"/>
        <w:left w:val="nil"/>
        <w:bottom w:val="nil"/>
        <w:right w:val="nil"/>
        <w:between w:val="nil"/>
      </w:pBdr>
      <w:spacing w:line="276" w:lineRule="auto"/>
      <w:rPr>
        <w:color w:val="000000"/>
        <w:sz w:val="14"/>
        <w:szCs w:val="14"/>
      </w:rPr>
    </w:pPr>
  </w:p>
  <w:tbl>
    <w:tblPr>
      <w:tblStyle w:val="ab"/>
      <w:tblW w:w="7890" w:type="dxa"/>
      <w:tblInd w:w="2552" w:type="dxa"/>
      <w:tblLayout w:type="fixed"/>
      <w:tblLook w:val="0400" w:firstRow="0" w:lastRow="0" w:firstColumn="0" w:lastColumn="0" w:noHBand="0" w:noVBand="1"/>
    </w:tblPr>
    <w:tblGrid>
      <w:gridCol w:w="3744"/>
      <w:gridCol w:w="4146"/>
    </w:tblGrid>
    <w:tr w:rsidR="002A246A">
      <w:trPr>
        <w:trHeight w:val="281"/>
      </w:trPr>
      <w:tc>
        <w:tcPr>
          <w:tcW w:w="3744" w:type="dxa"/>
          <w:vAlign w:val="center"/>
        </w:tcPr>
        <w:p w:rsidR="002A246A" w:rsidRDefault="002A246A">
          <w:pPr>
            <w:ind w:left="850"/>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46" w:type="dxa"/>
          <w:vAlign w:val="center"/>
        </w:tcPr>
        <w:p w:rsidR="002A246A" w:rsidRDefault="002A246A">
          <w:pPr>
            <w:pBdr>
              <w:top w:val="nil"/>
              <w:left w:val="nil"/>
              <w:bottom w:val="nil"/>
              <w:right w:val="nil"/>
              <w:between w:val="nil"/>
            </w:pBdr>
            <w:tabs>
              <w:tab w:val="right" w:pos="8838"/>
            </w:tabs>
            <w:ind w:right="-190"/>
            <w:rPr>
              <w:rFonts w:ascii="Palatino Linotype" w:eastAsia="Palatino Linotype" w:hAnsi="Palatino Linotype" w:cs="Palatino Linotype"/>
              <w:color w:val="000000"/>
              <w:sz w:val="22"/>
              <w:szCs w:val="22"/>
              <w:highlight w:val="green"/>
            </w:rPr>
          </w:pPr>
          <w:r w:rsidRPr="00F904E7">
            <w:rPr>
              <w:rFonts w:ascii="Palatino Linotype" w:eastAsia="Palatino Linotype" w:hAnsi="Palatino Linotype" w:cs="Palatino Linotype"/>
              <w:color w:val="000000"/>
              <w:sz w:val="22"/>
              <w:szCs w:val="22"/>
            </w:rPr>
            <w:t>00043/INFOEM/IP/RR/2025</w:t>
          </w:r>
        </w:p>
      </w:tc>
    </w:tr>
    <w:tr w:rsidR="002A246A">
      <w:trPr>
        <w:trHeight w:val="242"/>
      </w:trPr>
      <w:tc>
        <w:tcPr>
          <w:tcW w:w="3744" w:type="dxa"/>
          <w:vAlign w:val="center"/>
        </w:tcPr>
        <w:p w:rsidR="002A246A" w:rsidRDefault="002A246A">
          <w:pPr>
            <w:ind w:left="850"/>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46" w:type="dxa"/>
        </w:tcPr>
        <w:p w:rsidR="002A246A" w:rsidRDefault="005B528C">
          <w:pPr>
            <w:pBdr>
              <w:top w:val="nil"/>
              <w:left w:val="nil"/>
              <w:bottom w:val="nil"/>
              <w:right w:val="nil"/>
              <w:between w:val="nil"/>
            </w:pBdr>
            <w:tabs>
              <w:tab w:val="right" w:pos="8838"/>
              <w:tab w:val="left" w:pos="521"/>
            </w:tabs>
            <w:ind w:right="-190"/>
            <w:rPr>
              <w:rFonts w:ascii="Palatino Linotype" w:eastAsia="Palatino Linotype" w:hAnsi="Palatino Linotype" w:cs="Palatino Linotype"/>
              <w:color w:val="000000"/>
              <w:sz w:val="22"/>
              <w:szCs w:val="22"/>
              <w:highlight w:val="green"/>
            </w:rPr>
          </w:pPr>
          <w:r>
            <w:rPr>
              <w:rFonts w:ascii="Palatino Linotype" w:eastAsia="Palatino Linotype" w:hAnsi="Palatino Linotype" w:cs="Palatino Linotype"/>
              <w:color w:val="000000"/>
              <w:sz w:val="22"/>
              <w:szCs w:val="22"/>
            </w:rPr>
            <w:t>XXXX</w:t>
          </w:r>
        </w:p>
      </w:tc>
    </w:tr>
    <w:tr w:rsidR="002A246A">
      <w:trPr>
        <w:trHeight w:val="342"/>
      </w:trPr>
      <w:tc>
        <w:tcPr>
          <w:tcW w:w="3744" w:type="dxa"/>
        </w:tcPr>
        <w:p w:rsidR="002A246A" w:rsidRDefault="002A246A">
          <w:pPr>
            <w:ind w:left="850"/>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46" w:type="dxa"/>
          <w:vAlign w:val="center"/>
        </w:tcPr>
        <w:p w:rsidR="002A246A" w:rsidRDefault="002A246A">
          <w:pPr>
            <w:pBdr>
              <w:top w:val="nil"/>
              <w:left w:val="nil"/>
              <w:bottom w:val="nil"/>
              <w:right w:val="nil"/>
              <w:between w:val="nil"/>
            </w:pBdr>
            <w:tabs>
              <w:tab w:val="right" w:pos="8838"/>
            </w:tabs>
            <w:ind w:right="-190"/>
            <w:rPr>
              <w:rFonts w:ascii="Palatino Linotype" w:eastAsia="Palatino Linotype" w:hAnsi="Palatino Linotype" w:cs="Palatino Linotype"/>
              <w:color w:val="000000"/>
              <w:sz w:val="22"/>
              <w:szCs w:val="22"/>
              <w:highlight w:val="green"/>
            </w:rPr>
          </w:pPr>
          <w:r w:rsidRPr="00F904E7">
            <w:rPr>
              <w:rFonts w:ascii="Palatino Linotype" w:eastAsia="Palatino Linotype" w:hAnsi="Palatino Linotype" w:cs="Palatino Linotype"/>
              <w:color w:val="000000"/>
              <w:sz w:val="22"/>
              <w:szCs w:val="22"/>
            </w:rPr>
            <w:t>Ayuntamiento de Timilpan</w:t>
          </w:r>
        </w:p>
      </w:tc>
    </w:tr>
    <w:tr w:rsidR="002A246A">
      <w:trPr>
        <w:trHeight w:val="342"/>
      </w:trPr>
      <w:tc>
        <w:tcPr>
          <w:tcW w:w="3744" w:type="dxa"/>
          <w:vAlign w:val="center"/>
        </w:tcPr>
        <w:p w:rsidR="002A246A" w:rsidRDefault="002A246A">
          <w:pPr>
            <w:ind w:left="850"/>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46" w:type="dxa"/>
          <w:vAlign w:val="center"/>
        </w:tcPr>
        <w:p w:rsidR="002A246A" w:rsidRDefault="002A246A">
          <w:pPr>
            <w:pBdr>
              <w:top w:val="nil"/>
              <w:left w:val="nil"/>
              <w:bottom w:val="nil"/>
              <w:right w:val="nil"/>
              <w:between w:val="nil"/>
            </w:pBdr>
            <w:tabs>
              <w:tab w:val="right" w:pos="8838"/>
            </w:tabs>
            <w:ind w:right="-19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2A246A" w:rsidRDefault="00FB108C">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34446"/>
    <w:multiLevelType w:val="hybridMultilevel"/>
    <w:tmpl w:val="06F8A3F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566D64"/>
    <w:multiLevelType w:val="multilevel"/>
    <w:tmpl w:val="DDD6F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EB6C99"/>
    <w:multiLevelType w:val="multilevel"/>
    <w:tmpl w:val="D67CE33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1EE873DF"/>
    <w:multiLevelType w:val="multilevel"/>
    <w:tmpl w:val="08C0E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5C3561"/>
    <w:multiLevelType w:val="multilevel"/>
    <w:tmpl w:val="15D03C5C"/>
    <w:lvl w:ilvl="0">
      <w:start w:val="1"/>
      <w:numFmt w:val="decimal"/>
      <w:lvlText w:val="%1."/>
      <w:lvlJc w:val="left"/>
      <w:pPr>
        <w:ind w:left="2148" w:hanging="360"/>
      </w:pPr>
      <w:rPr>
        <w:b w:val="0"/>
      </w:rPr>
    </w:lvl>
    <w:lvl w:ilvl="1">
      <w:start w:val="1"/>
      <w:numFmt w:val="lowerLetter"/>
      <w:lvlText w:val="%2."/>
      <w:lvlJc w:val="left"/>
      <w:pPr>
        <w:ind w:left="2868" w:hanging="360"/>
      </w:pPr>
    </w:lvl>
    <w:lvl w:ilvl="2">
      <w:start w:val="1"/>
      <w:numFmt w:val="lowerRoman"/>
      <w:lvlText w:val="%3."/>
      <w:lvlJc w:val="right"/>
      <w:pPr>
        <w:ind w:left="3588" w:hanging="180"/>
      </w:pPr>
    </w:lvl>
    <w:lvl w:ilvl="3">
      <w:start w:val="1"/>
      <w:numFmt w:val="decimal"/>
      <w:lvlText w:val="%4."/>
      <w:lvlJc w:val="left"/>
      <w:pPr>
        <w:ind w:left="4308" w:hanging="360"/>
      </w:pPr>
    </w:lvl>
    <w:lvl w:ilvl="4">
      <w:start w:val="1"/>
      <w:numFmt w:val="lowerLetter"/>
      <w:lvlText w:val="%5."/>
      <w:lvlJc w:val="left"/>
      <w:pPr>
        <w:ind w:left="5028" w:hanging="360"/>
      </w:pPr>
    </w:lvl>
    <w:lvl w:ilvl="5">
      <w:start w:val="1"/>
      <w:numFmt w:val="lowerRoman"/>
      <w:lvlText w:val="%6."/>
      <w:lvlJc w:val="right"/>
      <w:pPr>
        <w:ind w:left="5748" w:hanging="180"/>
      </w:pPr>
    </w:lvl>
    <w:lvl w:ilvl="6">
      <w:start w:val="1"/>
      <w:numFmt w:val="decimal"/>
      <w:lvlText w:val="%7."/>
      <w:lvlJc w:val="left"/>
      <w:pPr>
        <w:ind w:left="6468" w:hanging="360"/>
      </w:pPr>
    </w:lvl>
    <w:lvl w:ilvl="7">
      <w:start w:val="1"/>
      <w:numFmt w:val="lowerLetter"/>
      <w:lvlText w:val="%8."/>
      <w:lvlJc w:val="left"/>
      <w:pPr>
        <w:ind w:left="7188" w:hanging="360"/>
      </w:pPr>
    </w:lvl>
    <w:lvl w:ilvl="8">
      <w:start w:val="1"/>
      <w:numFmt w:val="lowerRoman"/>
      <w:lvlText w:val="%9."/>
      <w:lvlJc w:val="right"/>
      <w:pPr>
        <w:ind w:left="7908" w:hanging="180"/>
      </w:pPr>
    </w:lvl>
  </w:abstractNum>
  <w:abstractNum w:abstractNumId="7" w15:restartNumberingAfterBreak="0">
    <w:nsid w:val="23582782"/>
    <w:multiLevelType w:val="multilevel"/>
    <w:tmpl w:val="D3CCD1A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8" w15:restartNumberingAfterBreak="0">
    <w:nsid w:val="29915970"/>
    <w:multiLevelType w:val="hybridMultilevel"/>
    <w:tmpl w:val="D00C0C12"/>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9" w15:restartNumberingAfterBreak="0">
    <w:nsid w:val="39FA74ED"/>
    <w:multiLevelType w:val="multilevel"/>
    <w:tmpl w:val="FC6685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0" w15:restartNumberingAfterBreak="0">
    <w:nsid w:val="3A7E2E0D"/>
    <w:multiLevelType w:val="multilevel"/>
    <w:tmpl w:val="DB06EEA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1" w15:restartNumberingAfterBreak="0">
    <w:nsid w:val="416B733E"/>
    <w:multiLevelType w:val="multilevel"/>
    <w:tmpl w:val="BB4039B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599F7042"/>
    <w:multiLevelType w:val="hybridMultilevel"/>
    <w:tmpl w:val="CC8813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1DF6177"/>
    <w:multiLevelType w:val="multilevel"/>
    <w:tmpl w:val="C3F8A35C"/>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15:restartNumberingAfterBreak="0">
    <w:nsid w:val="6B0C79E8"/>
    <w:multiLevelType w:val="multilevel"/>
    <w:tmpl w:val="13A066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131274F"/>
    <w:multiLevelType w:val="multilevel"/>
    <w:tmpl w:val="51C205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719C32E0"/>
    <w:multiLevelType w:val="multilevel"/>
    <w:tmpl w:val="DA92B22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6A1473C"/>
    <w:multiLevelType w:val="multilevel"/>
    <w:tmpl w:val="123E47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782C020B"/>
    <w:multiLevelType w:val="multilevel"/>
    <w:tmpl w:val="315281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AD05162"/>
    <w:multiLevelType w:val="multilevel"/>
    <w:tmpl w:val="DBC23A0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C261E6C"/>
    <w:multiLevelType w:val="multilevel"/>
    <w:tmpl w:val="773A506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1"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3"/>
  </w:num>
  <w:num w:numId="3">
    <w:abstractNumId w:val="9"/>
  </w:num>
  <w:num w:numId="4">
    <w:abstractNumId w:val="7"/>
  </w:num>
  <w:num w:numId="5">
    <w:abstractNumId w:val="6"/>
  </w:num>
  <w:num w:numId="6">
    <w:abstractNumId w:val="18"/>
  </w:num>
  <w:num w:numId="7">
    <w:abstractNumId w:val="5"/>
  </w:num>
  <w:num w:numId="8">
    <w:abstractNumId w:val="2"/>
  </w:num>
  <w:num w:numId="9">
    <w:abstractNumId w:val="16"/>
  </w:num>
  <w:num w:numId="10">
    <w:abstractNumId w:val="14"/>
  </w:num>
  <w:num w:numId="11">
    <w:abstractNumId w:val="10"/>
  </w:num>
  <w:num w:numId="12">
    <w:abstractNumId w:val="11"/>
  </w:num>
  <w:num w:numId="13">
    <w:abstractNumId w:val="20"/>
  </w:num>
  <w:num w:numId="14">
    <w:abstractNumId w:val="8"/>
  </w:num>
  <w:num w:numId="15">
    <w:abstractNumId w:val="21"/>
  </w:num>
  <w:num w:numId="16">
    <w:abstractNumId w:val="15"/>
  </w:num>
  <w:num w:numId="17">
    <w:abstractNumId w:val="19"/>
  </w:num>
  <w:num w:numId="18">
    <w:abstractNumId w:val="3"/>
  </w:num>
  <w:num w:numId="19">
    <w:abstractNumId w:val="17"/>
  </w:num>
  <w:num w:numId="20">
    <w:abstractNumId w:val="4"/>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B8"/>
    <w:rsid w:val="00006546"/>
    <w:rsid w:val="0001715E"/>
    <w:rsid w:val="00021E50"/>
    <w:rsid w:val="000700C4"/>
    <w:rsid w:val="00092DB6"/>
    <w:rsid w:val="000B23C0"/>
    <w:rsid w:val="000F7A87"/>
    <w:rsid w:val="00104F1B"/>
    <w:rsid w:val="00136A5F"/>
    <w:rsid w:val="00147404"/>
    <w:rsid w:val="0018077F"/>
    <w:rsid w:val="002A12BD"/>
    <w:rsid w:val="002A1491"/>
    <w:rsid w:val="002A246A"/>
    <w:rsid w:val="002B0B5E"/>
    <w:rsid w:val="002D425B"/>
    <w:rsid w:val="002E4FD8"/>
    <w:rsid w:val="002F14B9"/>
    <w:rsid w:val="00332822"/>
    <w:rsid w:val="003411C1"/>
    <w:rsid w:val="0037549F"/>
    <w:rsid w:val="003858F0"/>
    <w:rsid w:val="003B584A"/>
    <w:rsid w:val="003F3254"/>
    <w:rsid w:val="004E3919"/>
    <w:rsid w:val="004E6C7F"/>
    <w:rsid w:val="00537E62"/>
    <w:rsid w:val="00567D50"/>
    <w:rsid w:val="005B528C"/>
    <w:rsid w:val="00605804"/>
    <w:rsid w:val="006476B8"/>
    <w:rsid w:val="006864EE"/>
    <w:rsid w:val="006866B3"/>
    <w:rsid w:val="00691373"/>
    <w:rsid w:val="006A2E37"/>
    <w:rsid w:val="006B4143"/>
    <w:rsid w:val="006C1E33"/>
    <w:rsid w:val="006D221D"/>
    <w:rsid w:val="00704E4B"/>
    <w:rsid w:val="00727A30"/>
    <w:rsid w:val="00780C3A"/>
    <w:rsid w:val="00786A4D"/>
    <w:rsid w:val="007F700C"/>
    <w:rsid w:val="008050A3"/>
    <w:rsid w:val="00831FC9"/>
    <w:rsid w:val="008A74B9"/>
    <w:rsid w:val="008B79C3"/>
    <w:rsid w:val="008D02C6"/>
    <w:rsid w:val="008D4AFC"/>
    <w:rsid w:val="009053E3"/>
    <w:rsid w:val="009829E8"/>
    <w:rsid w:val="009918DF"/>
    <w:rsid w:val="009D5B59"/>
    <w:rsid w:val="009E3D94"/>
    <w:rsid w:val="009E5F77"/>
    <w:rsid w:val="00A05742"/>
    <w:rsid w:val="00A32FEB"/>
    <w:rsid w:val="00A83DEE"/>
    <w:rsid w:val="00AE11B5"/>
    <w:rsid w:val="00B1234F"/>
    <w:rsid w:val="00B27ADD"/>
    <w:rsid w:val="00B97EFA"/>
    <w:rsid w:val="00BA5880"/>
    <w:rsid w:val="00BD5F4A"/>
    <w:rsid w:val="00BE5C84"/>
    <w:rsid w:val="00BF3437"/>
    <w:rsid w:val="00BF6D22"/>
    <w:rsid w:val="00C84022"/>
    <w:rsid w:val="00C873E8"/>
    <w:rsid w:val="00C930F1"/>
    <w:rsid w:val="00CA3B6E"/>
    <w:rsid w:val="00D0567D"/>
    <w:rsid w:val="00D26B76"/>
    <w:rsid w:val="00D72FBE"/>
    <w:rsid w:val="00D96754"/>
    <w:rsid w:val="00DC1702"/>
    <w:rsid w:val="00E138F6"/>
    <w:rsid w:val="00E40CA1"/>
    <w:rsid w:val="00E62F92"/>
    <w:rsid w:val="00E67F95"/>
    <w:rsid w:val="00E860B0"/>
    <w:rsid w:val="00EB3D96"/>
    <w:rsid w:val="00EC433A"/>
    <w:rsid w:val="00EE2ED8"/>
    <w:rsid w:val="00EE7BF0"/>
    <w:rsid w:val="00EF6BFA"/>
    <w:rsid w:val="00F24EA3"/>
    <w:rsid w:val="00F904E7"/>
    <w:rsid w:val="00FA49C5"/>
    <w:rsid w:val="00FB10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4C47630-E19E-4FA5-B52B-3B1877D3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C7F"/>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70" w:type="dxa"/>
        <w:right w:w="70" w:type="dxa"/>
      </w:tblCellMar>
    </w:tblPr>
  </w:style>
  <w:style w:type="table" w:customStyle="1" w:styleId="a2">
    <w:basedOn w:val="TableNormal2"/>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2"/>
    <w:tblPr>
      <w:tblStyleRowBandSize w:val="1"/>
      <w:tblStyleColBandSize w:val="1"/>
      <w:tblCellMar>
        <w:left w:w="70" w:type="dxa"/>
        <w:right w:w="70" w:type="dxa"/>
      </w:tblCellMar>
    </w:tblPr>
  </w:style>
  <w:style w:type="table" w:customStyle="1" w:styleId="a4">
    <w:basedOn w:val="TableNormal2"/>
    <w:tblPr>
      <w:tblStyleRowBandSize w:val="1"/>
      <w:tblStyleColBandSize w:val="1"/>
      <w:tblCellMar>
        <w:left w:w="70" w:type="dxa"/>
        <w:right w:w="70" w:type="dxa"/>
      </w:tblCellMar>
    </w:tblPr>
  </w:style>
  <w:style w:type="character" w:styleId="Textoennegrita">
    <w:name w:val="Strong"/>
    <w:basedOn w:val="Fuentedeprrafopredeter"/>
    <w:uiPriority w:val="22"/>
    <w:qFormat/>
    <w:rsid w:val="007F0536"/>
    <w:rPr>
      <w:b/>
      <w:bCs/>
    </w:rPr>
  </w:style>
  <w:style w:type="paragraph" w:styleId="NormalWeb">
    <w:name w:val="Normal (Web)"/>
    <w:basedOn w:val="Normal"/>
    <w:uiPriority w:val="99"/>
    <w:unhideWhenUsed/>
    <w:rsid w:val="007F0536"/>
    <w:rPr>
      <w:rFonts w:ascii="Times New Roman" w:hAnsi="Times New Roman" w:cs="Times New Roman"/>
    </w:r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55611">
      <w:bodyDiv w:val="1"/>
      <w:marLeft w:val="0"/>
      <w:marRight w:val="0"/>
      <w:marTop w:val="0"/>
      <w:marBottom w:val="0"/>
      <w:divBdr>
        <w:top w:val="none" w:sz="0" w:space="0" w:color="auto"/>
        <w:left w:val="none" w:sz="0" w:space="0" w:color="auto"/>
        <w:bottom w:val="none" w:sz="0" w:space="0" w:color="auto"/>
        <w:right w:val="none" w:sz="0" w:space="0" w:color="auto"/>
      </w:divBdr>
    </w:div>
    <w:div w:id="304898504">
      <w:bodyDiv w:val="1"/>
      <w:marLeft w:val="0"/>
      <w:marRight w:val="0"/>
      <w:marTop w:val="0"/>
      <w:marBottom w:val="0"/>
      <w:divBdr>
        <w:top w:val="none" w:sz="0" w:space="0" w:color="auto"/>
        <w:left w:val="none" w:sz="0" w:space="0" w:color="auto"/>
        <w:bottom w:val="none" w:sz="0" w:space="0" w:color="auto"/>
        <w:right w:val="none" w:sz="0" w:space="0" w:color="auto"/>
      </w:divBdr>
    </w:div>
    <w:div w:id="498038127">
      <w:bodyDiv w:val="1"/>
      <w:marLeft w:val="0"/>
      <w:marRight w:val="0"/>
      <w:marTop w:val="0"/>
      <w:marBottom w:val="0"/>
      <w:divBdr>
        <w:top w:val="none" w:sz="0" w:space="0" w:color="auto"/>
        <w:left w:val="none" w:sz="0" w:space="0" w:color="auto"/>
        <w:bottom w:val="none" w:sz="0" w:space="0" w:color="auto"/>
        <w:right w:val="none" w:sz="0" w:space="0" w:color="auto"/>
      </w:divBdr>
    </w:div>
    <w:div w:id="519396296">
      <w:bodyDiv w:val="1"/>
      <w:marLeft w:val="0"/>
      <w:marRight w:val="0"/>
      <w:marTop w:val="0"/>
      <w:marBottom w:val="0"/>
      <w:divBdr>
        <w:top w:val="none" w:sz="0" w:space="0" w:color="auto"/>
        <w:left w:val="none" w:sz="0" w:space="0" w:color="auto"/>
        <w:bottom w:val="none" w:sz="0" w:space="0" w:color="auto"/>
        <w:right w:val="none" w:sz="0" w:space="0" w:color="auto"/>
      </w:divBdr>
    </w:div>
    <w:div w:id="539318192">
      <w:bodyDiv w:val="1"/>
      <w:marLeft w:val="0"/>
      <w:marRight w:val="0"/>
      <w:marTop w:val="0"/>
      <w:marBottom w:val="0"/>
      <w:divBdr>
        <w:top w:val="none" w:sz="0" w:space="0" w:color="auto"/>
        <w:left w:val="none" w:sz="0" w:space="0" w:color="auto"/>
        <w:bottom w:val="none" w:sz="0" w:space="0" w:color="auto"/>
        <w:right w:val="none" w:sz="0" w:space="0" w:color="auto"/>
      </w:divBdr>
    </w:div>
    <w:div w:id="629240481">
      <w:bodyDiv w:val="1"/>
      <w:marLeft w:val="0"/>
      <w:marRight w:val="0"/>
      <w:marTop w:val="0"/>
      <w:marBottom w:val="0"/>
      <w:divBdr>
        <w:top w:val="none" w:sz="0" w:space="0" w:color="auto"/>
        <w:left w:val="none" w:sz="0" w:space="0" w:color="auto"/>
        <w:bottom w:val="none" w:sz="0" w:space="0" w:color="auto"/>
        <w:right w:val="none" w:sz="0" w:space="0" w:color="auto"/>
      </w:divBdr>
      <w:divsChild>
        <w:div w:id="1749570367">
          <w:marLeft w:val="0"/>
          <w:marRight w:val="0"/>
          <w:marTop w:val="0"/>
          <w:marBottom w:val="0"/>
          <w:divBdr>
            <w:top w:val="none" w:sz="0" w:space="0" w:color="auto"/>
            <w:left w:val="none" w:sz="0" w:space="0" w:color="auto"/>
            <w:bottom w:val="none" w:sz="0" w:space="0" w:color="auto"/>
            <w:right w:val="none" w:sz="0" w:space="0" w:color="auto"/>
          </w:divBdr>
        </w:div>
      </w:divsChild>
    </w:div>
    <w:div w:id="974871157">
      <w:bodyDiv w:val="1"/>
      <w:marLeft w:val="0"/>
      <w:marRight w:val="0"/>
      <w:marTop w:val="0"/>
      <w:marBottom w:val="0"/>
      <w:divBdr>
        <w:top w:val="none" w:sz="0" w:space="0" w:color="auto"/>
        <w:left w:val="none" w:sz="0" w:space="0" w:color="auto"/>
        <w:bottom w:val="none" w:sz="0" w:space="0" w:color="auto"/>
        <w:right w:val="none" w:sz="0" w:space="0" w:color="auto"/>
      </w:divBdr>
      <w:divsChild>
        <w:div w:id="1374381866">
          <w:marLeft w:val="0"/>
          <w:marRight w:val="0"/>
          <w:marTop w:val="0"/>
          <w:marBottom w:val="0"/>
          <w:divBdr>
            <w:top w:val="none" w:sz="0" w:space="0" w:color="auto"/>
            <w:left w:val="none" w:sz="0" w:space="0" w:color="auto"/>
            <w:bottom w:val="none" w:sz="0" w:space="0" w:color="auto"/>
            <w:right w:val="none" w:sz="0" w:space="0" w:color="auto"/>
          </w:divBdr>
        </w:div>
      </w:divsChild>
    </w:div>
    <w:div w:id="1201283259">
      <w:bodyDiv w:val="1"/>
      <w:marLeft w:val="0"/>
      <w:marRight w:val="0"/>
      <w:marTop w:val="0"/>
      <w:marBottom w:val="0"/>
      <w:divBdr>
        <w:top w:val="none" w:sz="0" w:space="0" w:color="auto"/>
        <w:left w:val="none" w:sz="0" w:space="0" w:color="auto"/>
        <w:bottom w:val="none" w:sz="0" w:space="0" w:color="auto"/>
        <w:right w:val="none" w:sz="0" w:space="0" w:color="auto"/>
      </w:divBdr>
    </w:div>
    <w:div w:id="1220550831">
      <w:bodyDiv w:val="1"/>
      <w:marLeft w:val="0"/>
      <w:marRight w:val="0"/>
      <w:marTop w:val="0"/>
      <w:marBottom w:val="0"/>
      <w:divBdr>
        <w:top w:val="none" w:sz="0" w:space="0" w:color="auto"/>
        <w:left w:val="none" w:sz="0" w:space="0" w:color="auto"/>
        <w:bottom w:val="none" w:sz="0" w:space="0" w:color="auto"/>
        <w:right w:val="none" w:sz="0" w:space="0" w:color="auto"/>
      </w:divBdr>
      <w:divsChild>
        <w:div w:id="146172321">
          <w:marLeft w:val="0"/>
          <w:marRight w:val="0"/>
          <w:marTop w:val="0"/>
          <w:marBottom w:val="0"/>
          <w:divBdr>
            <w:top w:val="none" w:sz="0" w:space="0" w:color="auto"/>
            <w:left w:val="none" w:sz="0" w:space="0" w:color="auto"/>
            <w:bottom w:val="none" w:sz="0" w:space="0" w:color="auto"/>
            <w:right w:val="none" w:sz="0" w:space="0" w:color="auto"/>
          </w:divBdr>
        </w:div>
      </w:divsChild>
    </w:div>
    <w:div w:id="1724939473">
      <w:bodyDiv w:val="1"/>
      <w:marLeft w:val="0"/>
      <w:marRight w:val="0"/>
      <w:marTop w:val="0"/>
      <w:marBottom w:val="0"/>
      <w:divBdr>
        <w:top w:val="none" w:sz="0" w:space="0" w:color="auto"/>
        <w:left w:val="none" w:sz="0" w:space="0" w:color="auto"/>
        <w:bottom w:val="none" w:sz="0" w:space="0" w:color="auto"/>
        <w:right w:val="none" w:sz="0" w:space="0" w:color="auto"/>
      </w:divBdr>
    </w:div>
    <w:div w:id="1780753449">
      <w:bodyDiv w:val="1"/>
      <w:marLeft w:val="0"/>
      <w:marRight w:val="0"/>
      <w:marTop w:val="0"/>
      <w:marBottom w:val="0"/>
      <w:divBdr>
        <w:top w:val="none" w:sz="0" w:space="0" w:color="auto"/>
        <w:left w:val="none" w:sz="0" w:space="0" w:color="auto"/>
        <w:bottom w:val="none" w:sz="0" w:space="0" w:color="auto"/>
        <w:right w:val="none" w:sz="0" w:space="0" w:color="auto"/>
      </w:divBdr>
    </w:div>
    <w:div w:id="2035381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foem2.ipomex.org.mx/ipome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infoem2.ipomex.org.mx/ipomex/" TargetMode="External"/><Relationship Id="rId14" Type="http://schemas.openxmlformats.org/officeDocument/2006/relationships/hyperlink" Target="https://infoem2.ipomex.org.mx/ipome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otX/hMHyjSQ9+LD46K+ayWJVA==">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9A90F1-4E72-4A6E-9538-7455DB1FC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21</Pages>
  <Words>4319</Words>
  <Characters>23760</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27</cp:revision>
  <cp:lastPrinted>2025-04-03T17:53:00Z</cp:lastPrinted>
  <dcterms:created xsi:type="dcterms:W3CDTF">2025-03-27T02:28:00Z</dcterms:created>
  <dcterms:modified xsi:type="dcterms:W3CDTF">2025-04-03T19:54:00Z</dcterms:modified>
</cp:coreProperties>
</file>