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E0" w:rsidRPr="00A91E8E" w:rsidRDefault="005E7CE0" w:rsidP="005E7CE0">
      <w:pPr>
        <w:spacing w:before="240" w:after="240" w:line="360" w:lineRule="auto"/>
        <w:jc w:val="both"/>
        <w:rPr>
          <w:rFonts w:ascii="Palatino Linotype" w:hAnsi="Palatino Linotype"/>
          <w:sz w:val="22"/>
          <w:szCs w:val="22"/>
        </w:rPr>
      </w:pPr>
      <w:r w:rsidRPr="00A91E8E">
        <w:rPr>
          <w:rFonts w:ascii="Palatino Linotype" w:hAnsi="Palatino Linotype"/>
          <w:sz w:val="22"/>
          <w:szCs w:val="22"/>
        </w:rPr>
        <w:t>Resolución del Pleno del Instituto de Transparencia, Acceso a la Información Pública y Protección de Datos Personales del Estado de México y Municipios, con domicilio e</w:t>
      </w:r>
      <w:r w:rsidR="00E57C97" w:rsidRPr="00A91E8E">
        <w:rPr>
          <w:rFonts w:ascii="Palatino Linotype" w:hAnsi="Palatino Linotype"/>
          <w:sz w:val="22"/>
          <w:szCs w:val="22"/>
        </w:rPr>
        <w:t>n Metepec, Estado de México; de</w:t>
      </w:r>
      <w:r w:rsidRPr="00A91E8E">
        <w:rPr>
          <w:rFonts w:ascii="Palatino Linotype" w:hAnsi="Palatino Linotype"/>
          <w:sz w:val="22"/>
          <w:szCs w:val="22"/>
        </w:rPr>
        <w:t xml:space="preserve"> doce de marzo de dos mil veinticinco. </w:t>
      </w:r>
    </w:p>
    <w:p w:rsidR="005E7CE0" w:rsidRPr="00A91E8E" w:rsidRDefault="005E7CE0" w:rsidP="005E7CE0">
      <w:pPr>
        <w:pStyle w:val="Encabezado"/>
        <w:spacing w:line="360" w:lineRule="auto"/>
        <w:jc w:val="both"/>
        <w:rPr>
          <w:rFonts w:ascii="Palatino Linotype" w:hAnsi="Palatino Linotype"/>
          <w:sz w:val="22"/>
          <w:szCs w:val="22"/>
        </w:rPr>
      </w:pPr>
      <w:r w:rsidRPr="00A91E8E">
        <w:rPr>
          <w:rFonts w:ascii="Palatino Linotype" w:hAnsi="Palatino Linotype"/>
          <w:b/>
          <w:sz w:val="22"/>
          <w:szCs w:val="22"/>
        </w:rPr>
        <w:t>VISTO el</w:t>
      </w:r>
      <w:r w:rsidRPr="00A91E8E">
        <w:rPr>
          <w:rFonts w:ascii="Palatino Linotype" w:hAnsi="Palatino Linotype"/>
          <w:sz w:val="22"/>
          <w:szCs w:val="22"/>
        </w:rPr>
        <w:t xml:space="preserve"> expediente electrónico formado con motivo del recurso de revisión </w:t>
      </w:r>
      <w:r w:rsidRPr="00A91E8E">
        <w:rPr>
          <w:rFonts w:ascii="Palatino Linotype" w:eastAsia="Calibri" w:hAnsi="Palatino Linotype" w:cs="Tahoma"/>
          <w:b/>
          <w:sz w:val="22"/>
          <w:szCs w:val="22"/>
          <w:lang w:eastAsia="en-US"/>
        </w:rPr>
        <w:t>05068/INFOEM/IP/RR/2024</w:t>
      </w:r>
      <w:r w:rsidRPr="00A91E8E">
        <w:rPr>
          <w:rFonts w:ascii="Palatino Linotype" w:hAnsi="Palatino Linotype"/>
          <w:b/>
          <w:sz w:val="22"/>
          <w:szCs w:val="22"/>
        </w:rPr>
        <w:t xml:space="preserve">, </w:t>
      </w:r>
      <w:r w:rsidRPr="00A91E8E">
        <w:rPr>
          <w:rFonts w:ascii="Palatino Linotype" w:hAnsi="Palatino Linotype"/>
          <w:sz w:val="22"/>
          <w:szCs w:val="22"/>
        </w:rPr>
        <w:t xml:space="preserve">promovido por </w:t>
      </w:r>
      <w:r w:rsidRPr="00A91E8E">
        <w:rPr>
          <w:rFonts w:ascii="Palatino Linotype" w:hAnsi="Palatino Linotype"/>
          <w:b/>
          <w:bCs/>
          <w:sz w:val="22"/>
          <w:szCs w:val="22"/>
        </w:rPr>
        <w:t>un usuario del Sistema de  Acceso a la Información Mexiquense (SAIMEX), quien no proporcionó nombre</w:t>
      </w:r>
      <w:r w:rsidRPr="00A91E8E">
        <w:rPr>
          <w:rFonts w:ascii="Palatino Linotype" w:hAnsi="Palatino Linotype"/>
          <w:sz w:val="22"/>
          <w:szCs w:val="22"/>
        </w:rPr>
        <w:t xml:space="preserve">, en su calidad de </w:t>
      </w:r>
      <w:r w:rsidRPr="00A91E8E">
        <w:rPr>
          <w:rFonts w:ascii="Palatino Linotype" w:hAnsi="Palatino Linotype"/>
          <w:b/>
          <w:sz w:val="22"/>
          <w:szCs w:val="22"/>
        </w:rPr>
        <w:t>RECURRENTE</w:t>
      </w:r>
      <w:r w:rsidRPr="00A91E8E">
        <w:rPr>
          <w:rFonts w:ascii="Palatino Linotype" w:hAnsi="Palatino Linotype" w:cs="Arial"/>
          <w:sz w:val="22"/>
          <w:szCs w:val="22"/>
        </w:rPr>
        <w:t xml:space="preserve">, en contra de la respuesta de la </w:t>
      </w:r>
      <w:r w:rsidRPr="00A91E8E">
        <w:rPr>
          <w:rFonts w:ascii="Palatino Linotype" w:eastAsia="Calibri" w:hAnsi="Palatino Linotype" w:cs="Arial"/>
          <w:b/>
          <w:bCs/>
          <w:sz w:val="22"/>
          <w:szCs w:val="22"/>
        </w:rPr>
        <w:t>Secretaría de Seguridad</w:t>
      </w:r>
      <w:r w:rsidRPr="00A91E8E">
        <w:rPr>
          <w:rFonts w:ascii="Palatino Linotype" w:hAnsi="Palatino Linotype" w:cs="Arial"/>
          <w:sz w:val="22"/>
          <w:szCs w:val="22"/>
        </w:rPr>
        <w:t>,</w:t>
      </w:r>
      <w:r w:rsidRPr="00A91E8E">
        <w:rPr>
          <w:rFonts w:ascii="Palatino Linotype" w:hAnsi="Palatino Linotype"/>
          <w:b/>
          <w:sz w:val="22"/>
          <w:szCs w:val="22"/>
        </w:rPr>
        <w:t xml:space="preserve"> </w:t>
      </w:r>
      <w:r w:rsidRPr="00A91E8E">
        <w:rPr>
          <w:rFonts w:ascii="Palatino Linotype" w:hAnsi="Palatino Linotype"/>
          <w:sz w:val="22"/>
          <w:szCs w:val="22"/>
        </w:rPr>
        <w:t>en lo sucesivo el</w:t>
      </w:r>
      <w:r w:rsidRPr="00A91E8E">
        <w:rPr>
          <w:rFonts w:ascii="Palatino Linotype" w:hAnsi="Palatino Linotype"/>
          <w:b/>
          <w:sz w:val="22"/>
          <w:szCs w:val="22"/>
        </w:rPr>
        <w:t xml:space="preserve"> SUJETO OBLIGADO, </w:t>
      </w:r>
      <w:r w:rsidRPr="00A91E8E">
        <w:rPr>
          <w:rFonts w:ascii="Palatino Linotype" w:hAnsi="Palatino Linotype"/>
          <w:sz w:val="22"/>
          <w:szCs w:val="22"/>
        </w:rPr>
        <w:t>se procede a dictar la presente resolución, con base en los siguientes:</w:t>
      </w:r>
    </w:p>
    <w:p w:rsidR="005E7CE0" w:rsidRPr="00A91E8E" w:rsidRDefault="005E7CE0" w:rsidP="005E7CE0">
      <w:pPr>
        <w:pStyle w:val="Ttulo1"/>
        <w:jc w:val="center"/>
        <w:rPr>
          <w:rFonts w:ascii="Palatino Linotype" w:hAnsi="Palatino Linotype"/>
          <w:b/>
          <w:color w:val="auto"/>
          <w:sz w:val="22"/>
          <w:szCs w:val="22"/>
        </w:rPr>
      </w:pPr>
      <w:bookmarkStart w:id="0" w:name="_Toc87549671"/>
      <w:r w:rsidRPr="00A91E8E">
        <w:rPr>
          <w:rFonts w:ascii="Palatino Linotype" w:hAnsi="Palatino Linotype"/>
          <w:b/>
          <w:color w:val="auto"/>
          <w:sz w:val="22"/>
          <w:szCs w:val="22"/>
        </w:rPr>
        <w:t>ANTECEDENTES</w:t>
      </w:r>
      <w:bookmarkEnd w:id="0"/>
    </w:p>
    <w:p w:rsidR="005E7CE0" w:rsidRPr="00A91E8E" w:rsidRDefault="005E7CE0" w:rsidP="005E7CE0">
      <w:pPr>
        <w:rPr>
          <w:rFonts w:ascii="Palatino Linotype" w:hAnsi="Palatino Linotype"/>
          <w:sz w:val="22"/>
          <w:szCs w:val="22"/>
          <w:lang w:eastAsia="en-US"/>
        </w:rPr>
      </w:pPr>
    </w:p>
    <w:p w:rsidR="005E7CE0" w:rsidRPr="00A91E8E" w:rsidRDefault="005E7CE0" w:rsidP="005E7CE0">
      <w:pPr>
        <w:pStyle w:val="Prrafodelista"/>
        <w:numPr>
          <w:ilvl w:val="0"/>
          <w:numId w:val="2"/>
        </w:numPr>
        <w:spacing w:line="360" w:lineRule="auto"/>
        <w:ind w:left="0" w:firstLine="0"/>
        <w:jc w:val="both"/>
        <w:rPr>
          <w:rFonts w:ascii="Palatino Linotype" w:hAnsi="Palatino Linotype" w:cs="Arial"/>
          <w:szCs w:val="22"/>
          <w:lang w:val="es-ES"/>
        </w:rPr>
      </w:pPr>
      <w:r w:rsidRPr="00A91E8E">
        <w:rPr>
          <w:rFonts w:ascii="Palatino Linotype" w:eastAsia="Calibri" w:hAnsi="Palatino Linotype" w:cs="Arial"/>
          <w:szCs w:val="22"/>
          <w:lang w:val="es-ES"/>
        </w:rPr>
        <w:t xml:space="preserve">El </w:t>
      </w:r>
      <w:r w:rsidRPr="00A91E8E">
        <w:rPr>
          <w:rFonts w:ascii="Palatino Linotype" w:eastAsia="Calibri" w:hAnsi="Palatino Linotype" w:cs="Arial"/>
          <w:b/>
          <w:szCs w:val="22"/>
          <w:lang w:val="es-ES"/>
        </w:rPr>
        <w:t>dieciséis de agosto</w:t>
      </w:r>
      <w:r w:rsidRPr="00A91E8E">
        <w:rPr>
          <w:rFonts w:ascii="Palatino Linotype" w:eastAsia="Calibri" w:hAnsi="Palatino Linotype"/>
          <w:b/>
          <w:szCs w:val="22"/>
          <w:lang w:val="es-ES"/>
        </w:rPr>
        <w:t xml:space="preserve"> de dos mil veinticuatro</w:t>
      </w:r>
      <w:r w:rsidRPr="00A91E8E">
        <w:rPr>
          <w:rFonts w:ascii="Palatino Linotype" w:eastAsia="Calibri" w:hAnsi="Palatino Linotype" w:cs="Arial"/>
          <w:szCs w:val="22"/>
          <w:lang w:val="es-ES"/>
        </w:rPr>
        <w:t>,</w:t>
      </w:r>
      <w:r w:rsidRPr="00A91E8E">
        <w:rPr>
          <w:rFonts w:ascii="Palatino Linotype" w:eastAsia="Calibri" w:hAnsi="Palatino Linotype"/>
          <w:szCs w:val="22"/>
          <w:lang w:val="es-ES"/>
        </w:rPr>
        <w:t xml:space="preserve"> </w:t>
      </w:r>
      <w:r w:rsidRPr="00A91E8E">
        <w:rPr>
          <w:rFonts w:ascii="Palatino Linotype" w:eastAsia="Calibri" w:hAnsi="Palatino Linotype"/>
          <w:b/>
          <w:szCs w:val="22"/>
          <w:lang w:val="es-ES"/>
        </w:rPr>
        <w:t xml:space="preserve">EL RECURRENTE </w:t>
      </w:r>
      <w:r w:rsidRPr="00A91E8E">
        <w:rPr>
          <w:rFonts w:ascii="Palatino Linotype" w:eastAsia="Calibri" w:hAnsi="Palatino Linotype"/>
          <w:bCs/>
          <w:szCs w:val="22"/>
          <w:lang w:val="es-ES"/>
        </w:rPr>
        <w:t>presentó</w:t>
      </w:r>
      <w:r w:rsidRPr="00A91E8E">
        <w:rPr>
          <w:rFonts w:ascii="Palatino Linotype" w:hAnsi="Palatino Linotype"/>
          <w:b/>
          <w:szCs w:val="22"/>
        </w:rPr>
        <w:t>,</w:t>
      </w:r>
      <w:r w:rsidRPr="00A91E8E">
        <w:rPr>
          <w:rFonts w:ascii="Palatino Linotype" w:eastAsia="Calibri" w:hAnsi="Palatino Linotype" w:cs="Arial"/>
          <w:szCs w:val="22"/>
          <w:lang w:val="es-ES"/>
        </w:rPr>
        <w:t xml:space="preserve"> ante el </w:t>
      </w:r>
      <w:r w:rsidRPr="00A91E8E">
        <w:rPr>
          <w:rFonts w:ascii="Palatino Linotype" w:eastAsia="Calibri" w:hAnsi="Palatino Linotype" w:cs="Arial"/>
          <w:b/>
          <w:szCs w:val="22"/>
          <w:lang w:val="es-ES"/>
        </w:rPr>
        <w:t>SUJETO OBLIGADO</w:t>
      </w:r>
      <w:r w:rsidRPr="00A91E8E">
        <w:rPr>
          <w:rFonts w:ascii="Palatino Linotype" w:eastAsia="Calibri" w:hAnsi="Palatino Linotype" w:cs="Arial"/>
          <w:szCs w:val="22"/>
        </w:rPr>
        <w:t>, a través del Sistema de Acceso a la Información Mexiquense (SAIMEX)</w:t>
      </w:r>
      <w:r w:rsidRPr="00A91E8E">
        <w:rPr>
          <w:rFonts w:ascii="Palatino Linotype" w:eastAsia="Calibri" w:hAnsi="Palatino Linotype" w:cs="Arial"/>
          <w:szCs w:val="22"/>
          <w:lang w:val="es-ES"/>
        </w:rPr>
        <w:t xml:space="preserve">, la solicitud de información pública registrada con el número </w:t>
      </w:r>
      <w:r w:rsidRPr="00A91E8E">
        <w:rPr>
          <w:rFonts w:ascii="Palatino Linotype" w:hAnsi="Palatino Linotype" w:cs="Arial"/>
          <w:b/>
          <w:bCs/>
          <w:szCs w:val="22"/>
        </w:rPr>
        <w:t xml:space="preserve">00419/SSEM/IP/2024, </w:t>
      </w:r>
      <w:r w:rsidRPr="00A91E8E">
        <w:rPr>
          <w:rFonts w:ascii="Palatino Linotype" w:eastAsia="Calibri" w:hAnsi="Palatino Linotype" w:cs="Arial"/>
          <w:szCs w:val="22"/>
          <w:lang w:val="es-ES"/>
        </w:rPr>
        <w:t>mediante la cual solicitó lo siguiente:</w:t>
      </w:r>
    </w:p>
    <w:p w:rsidR="005E7CE0" w:rsidRPr="00A91E8E" w:rsidRDefault="005E7CE0" w:rsidP="005E7CE0">
      <w:pPr>
        <w:pStyle w:val="Prrafodelista"/>
        <w:spacing w:line="360" w:lineRule="auto"/>
        <w:ind w:left="0"/>
        <w:jc w:val="both"/>
        <w:rPr>
          <w:rFonts w:ascii="Palatino Linotype" w:hAnsi="Palatino Linotype" w:cs="Arial"/>
          <w:szCs w:val="22"/>
          <w:lang w:val="es-ES"/>
        </w:rPr>
      </w:pPr>
    </w:p>
    <w:p w:rsidR="005E7CE0" w:rsidRPr="00A91E8E" w:rsidRDefault="005E7CE0" w:rsidP="005E7CE0">
      <w:pPr>
        <w:pStyle w:val="Prrafodelista"/>
        <w:spacing w:line="360" w:lineRule="auto"/>
        <w:ind w:left="567" w:right="539"/>
        <w:jc w:val="both"/>
        <w:rPr>
          <w:rFonts w:ascii="Palatino Linotype" w:hAnsi="Palatino Linotype"/>
          <w:i/>
          <w:szCs w:val="22"/>
        </w:rPr>
      </w:pPr>
      <w:r w:rsidRPr="00A91E8E">
        <w:rPr>
          <w:rFonts w:ascii="Palatino Linotype" w:hAnsi="Palatino Linotype"/>
          <w:i/>
          <w:szCs w:val="22"/>
        </w:rPr>
        <w:t>“POR ESTE MEDIO REQUIERO DE LOS CONTRATOS PEDIDO DE 2023 A JUNIO DE 2024, LAS GARANTIAS DE VICIOS OCULTOS DE LOS PROVEEDORES, ASÍ COMO LAS ACTAS ADMINISTRATIVAS CIRCUNSTANCIADAS CELEBRADAS PARA TESTIFICAR LA FIRMA DE LOS CONTRATOS”</w:t>
      </w:r>
    </w:p>
    <w:p w:rsidR="005E7CE0" w:rsidRPr="00A91E8E" w:rsidRDefault="005E7CE0" w:rsidP="005E7CE0">
      <w:pPr>
        <w:pStyle w:val="Prrafodelista"/>
        <w:spacing w:line="360" w:lineRule="auto"/>
        <w:ind w:left="0"/>
        <w:jc w:val="both"/>
        <w:rPr>
          <w:rFonts w:ascii="Palatino Linotype" w:hAnsi="Palatino Linotype" w:cs="Arial"/>
          <w:szCs w:val="22"/>
          <w:lang w:val="es-ES"/>
        </w:rPr>
      </w:pPr>
    </w:p>
    <w:p w:rsidR="005E7CE0" w:rsidRPr="00A91E8E" w:rsidRDefault="005E7CE0" w:rsidP="005E7CE0">
      <w:pPr>
        <w:pStyle w:val="Prrafodelista"/>
        <w:numPr>
          <w:ilvl w:val="0"/>
          <w:numId w:val="2"/>
        </w:numPr>
        <w:spacing w:line="360" w:lineRule="auto"/>
        <w:ind w:left="0" w:firstLine="0"/>
        <w:jc w:val="both"/>
        <w:rPr>
          <w:rFonts w:ascii="Palatino Linotype" w:hAnsi="Palatino Linotype" w:cs="Arial"/>
          <w:szCs w:val="22"/>
          <w:lang w:val="es-ES"/>
        </w:rPr>
      </w:pPr>
      <w:r w:rsidRPr="00A91E8E">
        <w:rPr>
          <w:rFonts w:ascii="Palatino Linotype" w:hAnsi="Palatino Linotype" w:cs="Arial"/>
          <w:szCs w:val="22"/>
          <w:lang w:val="es-ES"/>
        </w:rPr>
        <w:t xml:space="preserve">Señaló como modalidad de entrega de la información a través del Sistema de Acceso a la Información Mexiquense (SAIMEX). </w:t>
      </w:r>
    </w:p>
    <w:p w:rsidR="005E7CE0" w:rsidRPr="00A91E8E" w:rsidRDefault="005E7CE0" w:rsidP="005E7CE0">
      <w:pPr>
        <w:pStyle w:val="Prrafodelista"/>
        <w:numPr>
          <w:ilvl w:val="0"/>
          <w:numId w:val="2"/>
        </w:numPr>
        <w:spacing w:line="360" w:lineRule="auto"/>
        <w:ind w:left="0" w:firstLine="0"/>
        <w:jc w:val="both"/>
        <w:rPr>
          <w:rFonts w:ascii="Palatino Linotype" w:hAnsi="Palatino Linotype" w:cs="Arial"/>
          <w:szCs w:val="22"/>
          <w:lang w:val="es-ES"/>
        </w:rPr>
      </w:pPr>
      <w:r w:rsidRPr="00A91E8E">
        <w:rPr>
          <w:rFonts w:ascii="Palatino Linotype" w:hAnsi="Palatino Linotype" w:cs="Arial"/>
          <w:szCs w:val="22"/>
          <w:lang w:val="es-ES"/>
        </w:rPr>
        <w:lastRenderedPageBreak/>
        <w:t xml:space="preserve">El </w:t>
      </w:r>
      <w:r w:rsidRPr="00A91E8E">
        <w:rPr>
          <w:rFonts w:ascii="Palatino Linotype" w:hAnsi="Palatino Linotype" w:cs="Arial"/>
          <w:b/>
          <w:szCs w:val="22"/>
          <w:lang w:val="es-ES"/>
        </w:rPr>
        <w:t>veintiuno (21) de agosto de dos mil veinticuatro</w:t>
      </w:r>
      <w:r w:rsidRPr="00A91E8E">
        <w:rPr>
          <w:rFonts w:ascii="Palatino Linotype" w:hAnsi="Palatino Linotype" w:cs="Arial"/>
          <w:szCs w:val="22"/>
          <w:lang w:val="es-ES"/>
        </w:rPr>
        <w:t>, el Sujeto Obligado dio respuesta a la solicitud, en los siguientes términos:</w:t>
      </w:r>
    </w:p>
    <w:p w:rsidR="005E7CE0" w:rsidRPr="00A91E8E" w:rsidRDefault="005E7CE0" w:rsidP="005E7CE0">
      <w:pPr>
        <w:pStyle w:val="Prrafodelista"/>
        <w:rPr>
          <w:rFonts w:ascii="Palatino Linotype" w:hAnsi="Palatino Linotype" w:cs="Arial"/>
          <w:szCs w:val="22"/>
          <w:lang w:val="es-ES"/>
        </w:rPr>
      </w:pPr>
    </w:p>
    <w:tbl>
      <w:tblPr>
        <w:tblW w:w="7766" w:type="dxa"/>
        <w:jc w:val="center"/>
        <w:tblCellSpacing w:w="0" w:type="dxa"/>
        <w:tblCellMar>
          <w:left w:w="0" w:type="dxa"/>
          <w:right w:w="0" w:type="dxa"/>
        </w:tblCellMar>
        <w:tblLook w:val="04A0" w:firstRow="1" w:lastRow="0" w:firstColumn="1" w:lastColumn="0" w:noHBand="0" w:noVBand="1"/>
      </w:tblPr>
      <w:tblGrid>
        <w:gridCol w:w="7766"/>
      </w:tblGrid>
      <w:tr w:rsidR="005E7CE0" w:rsidRPr="00A91E8E" w:rsidTr="005E7CE0">
        <w:trPr>
          <w:trHeight w:val="307"/>
          <w:tblCellSpacing w:w="0" w:type="dxa"/>
          <w:jc w:val="center"/>
        </w:trPr>
        <w:tc>
          <w:tcPr>
            <w:tcW w:w="0" w:type="auto"/>
            <w:vAlign w:val="center"/>
            <w:hideMark/>
          </w:tcPr>
          <w:p w:rsidR="005E7CE0" w:rsidRPr="00A91E8E" w:rsidRDefault="005E7CE0" w:rsidP="005E7CE0">
            <w:pPr>
              <w:jc w:val="right"/>
              <w:rPr>
                <w:rFonts w:ascii="Palatino Linotype" w:hAnsi="Palatino Linotype"/>
                <w:i/>
                <w:sz w:val="22"/>
                <w:szCs w:val="22"/>
              </w:rPr>
            </w:pPr>
            <w:r w:rsidRPr="00A91E8E">
              <w:rPr>
                <w:rFonts w:ascii="Palatino Linotype" w:hAnsi="Palatino Linotype"/>
                <w:i/>
                <w:sz w:val="22"/>
                <w:szCs w:val="22"/>
              </w:rPr>
              <w:t>Metepec, México a 21 de Agosto de 2024</w:t>
            </w:r>
          </w:p>
        </w:tc>
      </w:tr>
      <w:tr w:rsidR="005E7CE0" w:rsidRPr="00A91E8E" w:rsidTr="005E7CE0">
        <w:trPr>
          <w:trHeight w:val="307"/>
          <w:tblCellSpacing w:w="0" w:type="dxa"/>
          <w:jc w:val="center"/>
        </w:trPr>
        <w:tc>
          <w:tcPr>
            <w:tcW w:w="0" w:type="auto"/>
            <w:vAlign w:val="center"/>
            <w:hideMark/>
          </w:tcPr>
          <w:p w:rsidR="005E7CE0" w:rsidRPr="00A91E8E" w:rsidRDefault="005E7CE0" w:rsidP="005E7CE0">
            <w:pPr>
              <w:jc w:val="right"/>
              <w:rPr>
                <w:rFonts w:ascii="Palatino Linotype" w:hAnsi="Palatino Linotype"/>
                <w:i/>
                <w:sz w:val="22"/>
                <w:szCs w:val="22"/>
              </w:rPr>
            </w:pPr>
            <w:r w:rsidRPr="00A91E8E">
              <w:rPr>
                <w:rFonts w:ascii="Palatino Linotype" w:hAnsi="Palatino Linotype"/>
                <w:i/>
                <w:sz w:val="22"/>
                <w:szCs w:val="22"/>
              </w:rPr>
              <w:t>Nombre del solicitante: C. Solicitante</w:t>
            </w:r>
          </w:p>
        </w:tc>
      </w:tr>
      <w:tr w:rsidR="005E7CE0" w:rsidRPr="00A91E8E" w:rsidTr="005E7CE0">
        <w:trPr>
          <w:trHeight w:val="307"/>
          <w:tblCellSpacing w:w="0" w:type="dxa"/>
          <w:jc w:val="center"/>
        </w:trPr>
        <w:tc>
          <w:tcPr>
            <w:tcW w:w="0" w:type="auto"/>
            <w:vAlign w:val="center"/>
            <w:hideMark/>
          </w:tcPr>
          <w:p w:rsidR="005E7CE0" w:rsidRPr="00A91E8E" w:rsidRDefault="005E7CE0" w:rsidP="005E7CE0">
            <w:pPr>
              <w:jc w:val="right"/>
              <w:rPr>
                <w:rFonts w:ascii="Palatino Linotype" w:hAnsi="Palatino Linotype"/>
                <w:i/>
                <w:sz w:val="22"/>
                <w:szCs w:val="22"/>
              </w:rPr>
            </w:pPr>
            <w:r w:rsidRPr="00A91E8E">
              <w:rPr>
                <w:rFonts w:ascii="Palatino Linotype" w:hAnsi="Palatino Linotype"/>
                <w:i/>
                <w:sz w:val="22"/>
                <w:szCs w:val="22"/>
              </w:rPr>
              <w:t>Folio de la solicitud: 00419/SSEM/IP/2024</w:t>
            </w:r>
          </w:p>
        </w:tc>
      </w:tr>
      <w:tr w:rsidR="005E7CE0" w:rsidRPr="00A91E8E" w:rsidTr="005E7CE0">
        <w:trPr>
          <w:trHeight w:val="461"/>
          <w:tblCellSpacing w:w="0" w:type="dxa"/>
          <w:jc w:val="center"/>
        </w:trPr>
        <w:tc>
          <w:tcPr>
            <w:tcW w:w="0" w:type="auto"/>
            <w:vAlign w:val="center"/>
            <w:hideMark/>
          </w:tcPr>
          <w:p w:rsidR="005E7CE0" w:rsidRPr="00A91E8E" w:rsidRDefault="005E7CE0" w:rsidP="005E7CE0">
            <w:pPr>
              <w:jc w:val="right"/>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jc w:val="center"/>
              <w:rPr>
                <w:rFonts w:ascii="Palatino Linotype" w:hAnsi="Palatino Linotype"/>
                <w:i/>
                <w:sz w:val="22"/>
                <w:szCs w:val="22"/>
              </w:rPr>
            </w:pPr>
          </w:p>
        </w:tc>
      </w:tr>
      <w:tr w:rsidR="005E7CE0" w:rsidRPr="00A91E8E" w:rsidTr="005E7CE0">
        <w:trPr>
          <w:trHeight w:val="384"/>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jc w:val="both"/>
              <w:rPr>
                <w:rFonts w:ascii="Palatino Linotype" w:hAnsi="Palatino Linotype"/>
                <w:i/>
                <w:sz w:val="22"/>
                <w:szCs w:val="22"/>
              </w:rPr>
            </w:pPr>
            <w:r w:rsidRPr="00A91E8E">
              <w:rPr>
                <w:rFonts w:ascii="Palatino Linotype" w:hAnsi="Palatino Linotype"/>
                <w:i/>
                <w:sz w:val="22"/>
                <w:szCs w:val="22"/>
              </w:rPr>
              <w:t>SE ANEXA ACUERDO DE INCOMPETENCIA EN FORMATO PDF, EN CASO DE PRESENTAR PROBLEMAS CON LA RECEPCIÓN DEL MISMO, LE PEDIMOS SE COMUNIQUE A LA UNIDAD DE TRANSPARENCIA DE LA SECRETARÍA DE SEGURIDAD DEL ESTADO DE MÉXICO, AL TELÉFONO 722 2 79 62 00 EXT. 4158, DE LUNES A VIERNES, EN UN HORARIO DE 9:00 A 18:00 HRS.</w:t>
            </w:r>
          </w:p>
        </w:tc>
      </w:tr>
      <w:tr w:rsidR="005E7CE0" w:rsidRPr="00A91E8E" w:rsidTr="005E7CE0">
        <w:trPr>
          <w:trHeight w:val="384"/>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jc w:val="center"/>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r w:rsidRPr="00A91E8E">
              <w:rPr>
                <w:rFonts w:ascii="Palatino Linotype" w:hAnsi="Palatino Linotype"/>
                <w:i/>
                <w:sz w:val="22"/>
                <w:szCs w:val="22"/>
              </w:rPr>
              <w:t>ATENTAMENTE</w:t>
            </w:r>
          </w:p>
        </w:tc>
      </w:tr>
      <w:tr w:rsidR="005E7CE0" w:rsidRPr="00A91E8E" w:rsidTr="005E7CE0">
        <w:trPr>
          <w:trHeight w:val="230"/>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p>
        </w:tc>
      </w:tr>
      <w:tr w:rsidR="005E7CE0" w:rsidRPr="00A91E8E" w:rsidTr="005E7CE0">
        <w:trPr>
          <w:trHeight w:val="153"/>
          <w:tblCellSpacing w:w="0" w:type="dxa"/>
          <w:jc w:val="center"/>
        </w:trPr>
        <w:tc>
          <w:tcPr>
            <w:tcW w:w="0" w:type="auto"/>
            <w:vAlign w:val="center"/>
            <w:hideMark/>
          </w:tcPr>
          <w:p w:rsidR="005E7CE0" w:rsidRPr="00A91E8E" w:rsidRDefault="005E7CE0" w:rsidP="005E7CE0">
            <w:pPr>
              <w:rPr>
                <w:rFonts w:ascii="Palatino Linotype" w:hAnsi="Palatino Linotype"/>
                <w:i/>
                <w:sz w:val="22"/>
                <w:szCs w:val="22"/>
              </w:rPr>
            </w:pPr>
            <w:r w:rsidRPr="00A91E8E">
              <w:rPr>
                <w:rFonts w:ascii="Palatino Linotype" w:hAnsi="Palatino Linotype"/>
                <w:i/>
                <w:sz w:val="22"/>
                <w:szCs w:val="22"/>
              </w:rPr>
              <w:t>Mtro. Guillermo Juan de Dios Sánchez Aguirre</w:t>
            </w:r>
          </w:p>
        </w:tc>
      </w:tr>
    </w:tbl>
    <w:p w:rsidR="005E7CE0" w:rsidRPr="00A91E8E" w:rsidRDefault="005E7CE0" w:rsidP="005E7CE0">
      <w:pPr>
        <w:spacing w:line="360" w:lineRule="auto"/>
        <w:jc w:val="both"/>
        <w:rPr>
          <w:rStyle w:val="Hipervnculo"/>
          <w:rFonts w:ascii="Palatino Linotype" w:hAnsi="Palatino Linotype" w:cs="Arial"/>
          <w:bCs/>
          <w:sz w:val="22"/>
          <w:szCs w:val="22"/>
        </w:rPr>
      </w:pPr>
    </w:p>
    <w:p w:rsidR="005E7CE0" w:rsidRPr="00A91E8E" w:rsidRDefault="005E7CE0" w:rsidP="005E7CE0">
      <w:pPr>
        <w:pStyle w:val="Prrafodelista"/>
        <w:numPr>
          <w:ilvl w:val="0"/>
          <w:numId w:val="3"/>
        </w:numPr>
        <w:spacing w:line="360" w:lineRule="auto"/>
        <w:jc w:val="both"/>
        <w:rPr>
          <w:rFonts w:ascii="Palatino Linotype" w:hAnsi="Palatino Linotype" w:cs="Arial"/>
          <w:bCs/>
          <w:i/>
          <w:szCs w:val="22"/>
        </w:rPr>
      </w:pPr>
      <w:r w:rsidRPr="00A91E8E">
        <w:rPr>
          <w:rStyle w:val="Hipervnculo"/>
          <w:rFonts w:ascii="Palatino Linotype" w:hAnsi="Palatino Linotype" w:cs="Arial"/>
          <w:bCs/>
          <w:color w:val="auto"/>
          <w:szCs w:val="22"/>
          <w:u w:val="none"/>
        </w:rPr>
        <w:t xml:space="preserve">A la respuesta se adjuntó el archivo </w:t>
      </w:r>
      <w:hyperlink r:id="rId7" w:tgtFrame="_blank" w:history="1">
        <w:r w:rsidRPr="00A91E8E">
          <w:rPr>
            <w:rStyle w:val="Hipervnculo"/>
            <w:rFonts w:ascii="Palatino Linotype" w:eastAsiaTheme="majorEastAsia" w:hAnsi="Palatino Linotype" w:cs="Arial"/>
            <w:b/>
            <w:bCs/>
            <w:szCs w:val="22"/>
          </w:rPr>
          <w:t>Incompetencia 419.pdf</w:t>
        </w:r>
      </w:hyperlink>
      <w:r w:rsidRPr="00A91E8E">
        <w:rPr>
          <w:rFonts w:ascii="Palatino Linotype" w:eastAsiaTheme="majorEastAsia" w:hAnsi="Palatino Linotype" w:cs="Arial"/>
          <w:bCs/>
          <w:szCs w:val="22"/>
        </w:rPr>
        <w:t xml:space="preserve">, en el que se advierte un oficio de fecha veintiuno de agosto de dos mil veinticuatro, suscrito por el Encargado del Despacho de la Unidad de Información, Planeación, Programación y Evaluación y de la Unidad de Transparencia, quien de forma medular, señaló su incompetencia para dar respuesta a la solicitud de información. </w:t>
      </w:r>
    </w:p>
    <w:p w:rsidR="005E7CE0" w:rsidRPr="00A91E8E" w:rsidRDefault="005E7CE0" w:rsidP="005E7CE0">
      <w:pPr>
        <w:pStyle w:val="Prrafodelista"/>
        <w:spacing w:line="360" w:lineRule="auto"/>
        <w:jc w:val="both"/>
        <w:rPr>
          <w:rStyle w:val="Hipervnculo"/>
          <w:rFonts w:ascii="Palatino Linotype" w:hAnsi="Palatino Linotype" w:cs="Arial"/>
          <w:bCs/>
          <w:i/>
          <w:color w:val="auto"/>
          <w:szCs w:val="22"/>
          <w:u w:val="none"/>
        </w:rPr>
      </w:pPr>
    </w:p>
    <w:p w:rsidR="005E7CE0" w:rsidRPr="00A91E8E" w:rsidRDefault="005E7CE0" w:rsidP="00AE735B">
      <w:pPr>
        <w:pStyle w:val="Prrafodelista"/>
        <w:numPr>
          <w:ilvl w:val="0"/>
          <w:numId w:val="2"/>
        </w:numPr>
        <w:spacing w:before="240" w:after="240" w:line="360" w:lineRule="auto"/>
        <w:ind w:left="0" w:firstLine="0"/>
        <w:jc w:val="both"/>
        <w:rPr>
          <w:rFonts w:ascii="Palatino Linotype" w:hAnsi="Palatino Linotype" w:cs="Arial"/>
          <w:i/>
          <w:szCs w:val="22"/>
        </w:rPr>
      </w:pPr>
      <w:r w:rsidRPr="00A91E8E">
        <w:rPr>
          <w:rFonts w:ascii="Palatino Linotype" w:eastAsia="Calibri" w:hAnsi="Palatino Linotype" w:cs="Arial"/>
          <w:szCs w:val="22"/>
          <w:lang w:val="es-AR"/>
        </w:rPr>
        <w:lastRenderedPageBreak/>
        <w:t xml:space="preserve">El </w:t>
      </w:r>
      <w:r w:rsidRPr="00A91E8E">
        <w:rPr>
          <w:rFonts w:ascii="Palatino Linotype" w:eastAsia="Calibri" w:hAnsi="Palatino Linotype" w:cs="Arial"/>
          <w:b/>
          <w:szCs w:val="22"/>
          <w:lang w:val="es-AR"/>
        </w:rPr>
        <w:t>veintidós de agosto de dos mil veinticuatro</w:t>
      </w:r>
      <w:r w:rsidRPr="00A91E8E">
        <w:rPr>
          <w:rFonts w:ascii="Palatino Linotype" w:hAnsi="Palatino Linotype" w:cs="Arial"/>
          <w:szCs w:val="22"/>
          <w:lang w:val="es-ES"/>
        </w:rPr>
        <w:t xml:space="preserve">, </w:t>
      </w:r>
      <w:r w:rsidRPr="00A91E8E">
        <w:rPr>
          <w:rFonts w:ascii="Palatino Linotype" w:hAnsi="Palatino Linotype"/>
          <w:b/>
          <w:szCs w:val="22"/>
        </w:rPr>
        <w:t>EL RECURRENTE</w:t>
      </w:r>
      <w:r w:rsidRPr="00A91E8E">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rsidR="005E7CE0" w:rsidRPr="00A91E8E" w:rsidRDefault="005E7CE0" w:rsidP="005E7CE0">
      <w:pPr>
        <w:pStyle w:val="Prrafodelista"/>
        <w:spacing w:line="360" w:lineRule="auto"/>
        <w:ind w:left="851" w:right="822"/>
        <w:jc w:val="both"/>
        <w:rPr>
          <w:rFonts w:ascii="Palatino Linotype" w:hAnsi="Palatino Linotype"/>
          <w:bCs/>
          <w:i/>
          <w:iCs/>
          <w:szCs w:val="22"/>
        </w:rPr>
      </w:pPr>
      <w:r w:rsidRPr="00A91E8E">
        <w:rPr>
          <w:rFonts w:ascii="Palatino Linotype" w:hAnsi="Palatino Linotype"/>
          <w:b/>
          <w:szCs w:val="22"/>
        </w:rPr>
        <w:t xml:space="preserve">Acto impugnado: </w:t>
      </w:r>
      <w:r w:rsidRPr="00A91E8E">
        <w:rPr>
          <w:rFonts w:ascii="Palatino Linotype" w:hAnsi="Palatino Linotype"/>
          <w:bCs/>
          <w:i/>
          <w:iCs/>
          <w:szCs w:val="22"/>
        </w:rPr>
        <w:t>“LA RESPUESTA OTORGADA, CUANDO LA LEY DE CONTRATACIÓN PÚBLICA DEL ESTADO DE MÉXICO Y MUNICIPIOS, LOS FACULTA PARA CELEBRAR ESTE TIPO DE CONTRATOS” (sic)</w:t>
      </w:r>
    </w:p>
    <w:p w:rsidR="005E7CE0" w:rsidRPr="00A91E8E" w:rsidRDefault="005E7CE0" w:rsidP="005E7CE0">
      <w:pPr>
        <w:pStyle w:val="Prrafodelista"/>
        <w:spacing w:line="360" w:lineRule="auto"/>
        <w:ind w:left="851" w:right="822"/>
        <w:jc w:val="both"/>
        <w:rPr>
          <w:rFonts w:ascii="Palatino Linotype" w:hAnsi="Palatino Linotype"/>
          <w:bCs/>
          <w:i/>
          <w:iCs/>
          <w:szCs w:val="22"/>
        </w:rPr>
      </w:pPr>
    </w:p>
    <w:p w:rsidR="005E7CE0" w:rsidRPr="00A91E8E" w:rsidRDefault="005E7CE0" w:rsidP="005E7CE0">
      <w:pPr>
        <w:pStyle w:val="Prrafodelista"/>
        <w:spacing w:line="360" w:lineRule="auto"/>
        <w:ind w:left="851" w:right="822"/>
        <w:jc w:val="both"/>
        <w:rPr>
          <w:rFonts w:ascii="Palatino Linotype" w:hAnsi="Palatino Linotype"/>
          <w:b/>
          <w:szCs w:val="22"/>
        </w:rPr>
      </w:pPr>
      <w:r w:rsidRPr="00A91E8E">
        <w:rPr>
          <w:rFonts w:ascii="Palatino Linotype" w:hAnsi="Palatino Linotype"/>
          <w:b/>
          <w:szCs w:val="22"/>
        </w:rPr>
        <w:t>Motivos o razones de inconformidad</w:t>
      </w:r>
      <w:bookmarkEnd w:id="1"/>
      <w:bookmarkEnd w:id="2"/>
      <w:bookmarkEnd w:id="3"/>
      <w:r w:rsidRPr="00A91E8E">
        <w:rPr>
          <w:rFonts w:ascii="Palatino Linotype" w:hAnsi="Palatino Linotype"/>
          <w:b/>
          <w:szCs w:val="22"/>
        </w:rPr>
        <w:t xml:space="preserve">: </w:t>
      </w:r>
      <w:r w:rsidRPr="00A91E8E">
        <w:rPr>
          <w:rFonts w:ascii="Palatino Linotype" w:hAnsi="Palatino Linotype"/>
          <w:bCs/>
          <w:i/>
          <w:iCs/>
          <w:szCs w:val="22"/>
        </w:rPr>
        <w:t>“DECLINAN COMPETENCIA PARA OTRO SUJETO OBLIGADOM, CUANDO LA LEY DE CONTRATACIÓN PÚBLICA DEL ESTADO DE MÉXICO Y MUNICIPIOS, LOS FACULTA PARA CELEBRAR ESTE TIPO DE CONTRATOS, ESTABLECE: Artículo 3.- Para los efectos de la presente Ley se entenderá por: II. Dependencia: A las secretarías y a las unidades administrativas del Poder Ejecutivo del Estado Artículo 80.- Los CONTRATOS PEDIDO son aquellos instrumentos que permiten a las dependencias, a las entidades, a los tribunales administrativos y a los ayuntamientos adquirir bienes o contratar servicios por una cantidad que no exceda los montos establecidos para la adjudicación directa, de conformidad con lo previsto en la fracción XI del artículo 48 de la presente Ley. POR LO ANTERIOR, SOLICITO LA INFORMACIÓN Y QUE DEJEN DE OCULTAR LO SOLICITADO, PUES PARECIERA QUE NO CONOCEN LAS LEYES QUE RIGEN SU ACTUAR,” (sic)</w:t>
      </w:r>
    </w:p>
    <w:p w:rsidR="005E7CE0" w:rsidRPr="00A91E8E" w:rsidRDefault="005E7CE0" w:rsidP="005E7CE0">
      <w:pPr>
        <w:pStyle w:val="Prrafodelista"/>
        <w:spacing w:before="240" w:after="240" w:line="360" w:lineRule="auto"/>
        <w:ind w:left="0"/>
        <w:jc w:val="both"/>
        <w:rPr>
          <w:rFonts w:ascii="Palatino Linotype" w:eastAsia="Calibri" w:hAnsi="Palatino Linotype" w:cs="Arial"/>
          <w:b/>
          <w:i/>
          <w:szCs w:val="22"/>
          <w:lang w:val="es-AR"/>
        </w:rPr>
      </w:pPr>
    </w:p>
    <w:p w:rsidR="005E7CE0" w:rsidRPr="00A91E8E" w:rsidRDefault="005E7CE0" w:rsidP="005E7CE0">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A91E8E">
        <w:rPr>
          <w:rFonts w:ascii="Palatino Linotype" w:hAnsi="Palatino Linotype" w:cs="Arial"/>
          <w:szCs w:val="22"/>
          <w:lang w:val="es-ES"/>
        </w:rPr>
        <w:t xml:space="preserve">Se registró el recurso de revisión bajo el número de expediente </w:t>
      </w:r>
      <w:r w:rsidRPr="00A91E8E">
        <w:rPr>
          <w:rFonts w:ascii="Palatino Linotype" w:hAnsi="Palatino Linotype" w:cs="Arial"/>
          <w:bCs/>
          <w:szCs w:val="22"/>
        </w:rPr>
        <w:t xml:space="preserve">al rubro indicado, asimismo con fundamento en lo dispuesto por el </w:t>
      </w:r>
      <w:r w:rsidRPr="00A91E8E">
        <w:rPr>
          <w:rFonts w:ascii="Palatino Linotype" w:eastAsia="Calibri" w:hAnsi="Palatino Linotype" w:cs="Arial"/>
          <w:szCs w:val="22"/>
          <w:lang w:val="es-ES"/>
        </w:rPr>
        <w:t xml:space="preserve">artículo 185 fracción I de la </w:t>
      </w:r>
      <w:r w:rsidRPr="00A91E8E">
        <w:rPr>
          <w:rFonts w:ascii="Palatino Linotype" w:eastAsia="Calibri" w:hAnsi="Palatino Linotype" w:cs="Arial"/>
          <w:b/>
          <w:szCs w:val="22"/>
          <w:lang w:val="es-ES"/>
        </w:rPr>
        <w:t xml:space="preserve">Ley de </w:t>
      </w:r>
      <w:r w:rsidRPr="00A91E8E">
        <w:rPr>
          <w:rFonts w:ascii="Palatino Linotype" w:eastAsia="Calibri" w:hAnsi="Palatino Linotype" w:cs="Arial"/>
          <w:b/>
          <w:szCs w:val="22"/>
          <w:lang w:val="es-ES"/>
        </w:rPr>
        <w:lastRenderedPageBreak/>
        <w:t xml:space="preserve">Transparencia y Acceso a la Información Pública del Estado de México y Municipios </w:t>
      </w:r>
      <w:r w:rsidRPr="00A91E8E">
        <w:rPr>
          <w:rFonts w:ascii="Palatino Linotype" w:hAnsi="Palatino Linotype" w:cs="Arial"/>
          <w:szCs w:val="22"/>
          <w:lang w:val="es-ES"/>
        </w:rPr>
        <w:t xml:space="preserve">se turnó a la </w:t>
      </w:r>
      <w:r w:rsidRPr="00A91E8E">
        <w:rPr>
          <w:rFonts w:ascii="Palatino Linotype" w:hAnsi="Palatino Linotype" w:cs="Arial"/>
          <w:b/>
          <w:szCs w:val="22"/>
          <w:lang w:val="es-ES"/>
        </w:rPr>
        <w:t xml:space="preserve">Comisionada María del Rosario Mejía Ayala, </w:t>
      </w:r>
      <w:r w:rsidRPr="00A91E8E">
        <w:rPr>
          <w:rFonts w:ascii="Palatino Linotype" w:hAnsi="Palatino Linotype" w:cs="Arial"/>
          <w:szCs w:val="22"/>
          <w:lang w:val="es-ES"/>
        </w:rPr>
        <w:t xml:space="preserve">con el objeto de </w:t>
      </w:r>
      <w:r w:rsidRPr="00A91E8E">
        <w:rPr>
          <w:rFonts w:ascii="Palatino Linotype" w:hAnsi="Palatino Linotype" w:cs="Arial"/>
          <w:szCs w:val="22"/>
        </w:rPr>
        <w:t>su análisis.</w:t>
      </w:r>
    </w:p>
    <w:p w:rsidR="005E7CE0" w:rsidRPr="00A91E8E" w:rsidRDefault="005E7CE0" w:rsidP="005E7CE0">
      <w:pPr>
        <w:pStyle w:val="Prrafodelista"/>
        <w:spacing w:before="240" w:after="240" w:line="360" w:lineRule="auto"/>
        <w:ind w:left="0"/>
        <w:jc w:val="both"/>
        <w:rPr>
          <w:rFonts w:ascii="Palatino Linotype" w:eastAsia="Calibri" w:hAnsi="Palatino Linotype" w:cs="Arial"/>
          <w:szCs w:val="22"/>
          <w:lang w:val="es-AR"/>
        </w:rPr>
      </w:pPr>
    </w:p>
    <w:p w:rsidR="005E7CE0" w:rsidRPr="00A91E8E" w:rsidRDefault="005E7CE0" w:rsidP="005E7CE0">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A91E8E">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w:t>
      </w:r>
      <w:r w:rsidRPr="00A91E8E">
        <w:rPr>
          <w:rFonts w:ascii="Palatino Linotype" w:eastAsia="Calibri" w:hAnsi="Palatino Linotype" w:cs="Arial"/>
          <w:b/>
          <w:szCs w:val="22"/>
          <w:lang w:val="es-ES"/>
        </w:rPr>
        <w:t>veintiséis de agosto  de dos mil veinticuatro</w:t>
      </w:r>
      <w:r w:rsidRPr="00A91E8E">
        <w:rPr>
          <w:rFonts w:ascii="Palatino Linotype" w:eastAsia="Calibri" w:hAnsi="Palatino Linotype" w:cs="Arial"/>
          <w:szCs w:val="22"/>
          <w:lang w:val="es-ES"/>
        </w:rPr>
        <w:t xml:space="preserve">, puso a disposición de las partes el expediente electrónico </w:t>
      </w:r>
      <w:r w:rsidRPr="00A91E8E">
        <w:rPr>
          <w:rFonts w:ascii="Palatino Linotype" w:eastAsia="Calibri" w:hAnsi="Palatino Linotype" w:cs="Arial"/>
          <w:szCs w:val="22"/>
        </w:rPr>
        <w:t xml:space="preserve">vía </w:t>
      </w:r>
      <w:r w:rsidRPr="00A91E8E">
        <w:rPr>
          <w:rFonts w:ascii="Palatino Linotype" w:eastAsia="Calibri" w:hAnsi="Palatino Linotype" w:cs="Arial"/>
          <w:b/>
          <w:szCs w:val="22"/>
          <w:lang w:val="es-ES"/>
        </w:rPr>
        <w:t xml:space="preserve">SAIMEX </w:t>
      </w:r>
      <w:r w:rsidRPr="00A91E8E">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A91E8E">
        <w:rPr>
          <w:rFonts w:ascii="Palatino Linotype" w:eastAsia="Calibri" w:hAnsi="Palatino Linotype" w:cs="Arial"/>
          <w:b/>
          <w:szCs w:val="22"/>
          <w:lang w:val="es-ES"/>
        </w:rPr>
        <w:t>SUJETO OBLIGADO</w:t>
      </w:r>
      <w:r w:rsidRPr="00A91E8E">
        <w:rPr>
          <w:rFonts w:ascii="Palatino Linotype" w:eastAsia="Calibri" w:hAnsi="Palatino Linotype" w:cs="Arial"/>
          <w:szCs w:val="22"/>
          <w:lang w:val="es-ES"/>
        </w:rPr>
        <w:t xml:space="preserve"> presentara el informe justificado procedente.</w:t>
      </w:r>
    </w:p>
    <w:p w:rsidR="005E7CE0" w:rsidRPr="00A91E8E" w:rsidRDefault="005E7CE0" w:rsidP="005E7CE0">
      <w:pPr>
        <w:numPr>
          <w:ilvl w:val="0"/>
          <w:numId w:val="1"/>
        </w:numPr>
        <w:tabs>
          <w:tab w:val="left" w:pos="284"/>
        </w:tabs>
        <w:spacing w:before="240" w:after="240" w:line="360" w:lineRule="auto"/>
        <w:ind w:left="0" w:firstLine="0"/>
        <w:contextualSpacing/>
        <w:jc w:val="both"/>
        <w:rPr>
          <w:rFonts w:ascii="Palatino Linotype" w:hAnsi="Palatino Linotype" w:cs="Tahoma"/>
          <w:sz w:val="22"/>
          <w:szCs w:val="22"/>
        </w:rPr>
      </w:pPr>
      <w:r w:rsidRPr="00A91E8E">
        <w:rPr>
          <w:rFonts w:ascii="Palatino Linotype" w:hAnsi="Palatino Linotype"/>
          <w:color w:val="000000"/>
          <w:sz w:val="22"/>
          <w:szCs w:val="22"/>
          <w:lang w:val="es-ES_tradnl"/>
        </w:rPr>
        <w:t xml:space="preserve">El </w:t>
      </w:r>
      <w:r w:rsidRPr="00A91E8E">
        <w:rPr>
          <w:rFonts w:ascii="Palatino Linotype" w:hAnsi="Palatino Linotype"/>
          <w:b/>
          <w:color w:val="000000"/>
          <w:sz w:val="22"/>
          <w:szCs w:val="22"/>
          <w:lang w:val="es-ES_tradnl"/>
        </w:rPr>
        <w:t xml:space="preserve">SUJETO OBLIGADO </w:t>
      </w:r>
      <w:r w:rsidRPr="00A91E8E">
        <w:rPr>
          <w:rFonts w:ascii="Palatino Linotype" w:hAnsi="Palatino Linotype"/>
          <w:color w:val="000000"/>
          <w:sz w:val="22"/>
          <w:szCs w:val="22"/>
          <w:lang w:val="es-ES_tradnl"/>
        </w:rPr>
        <w:t xml:space="preserve">rindió su informe justificado el </w:t>
      </w:r>
      <w:r w:rsidRPr="00A91E8E">
        <w:rPr>
          <w:rFonts w:ascii="Palatino Linotype" w:hAnsi="Palatino Linotype"/>
          <w:b/>
          <w:color w:val="000000"/>
          <w:sz w:val="22"/>
          <w:szCs w:val="22"/>
          <w:lang w:val="es-ES_tradnl"/>
        </w:rPr>
        <w:t>cuatro de septiembre de dos mil veinticuatro</w:t>
      </w:r>
      <w:r w:rsidRPr="00A91E8E">
        <w:rPr>
          <w:rFonts w:ascii="Palatino Linotype" w:hAnsi="Palatino Linotype"/>
          <w:color w:val="000000"/>
          <w:sz w:val="22"/>
          <w:szCs w:val="22"/>
          <w:lang w:val="es-ES_tradnl"/>
        </w:rPr>
        <w:t xml:space="preserve"> y se puso a la vista del particular el cinco de marzo de dos mil veinticinco, a través del </w:t>
      </w:r>
      <w:r w:rsidRPr="00A91E8E">
        <w:rPr>
          <w:rFonts w:ascii="Palatino Linotype" w:hAnsi="Palatino Linotype"/>
          <w:sz w:val="22"/>
          <w:szCs w:val="22"/>
          <w:lang w:val="es-ES_tradnl"/>
        </w:rPr>
        <w:t xml:space="preserve">archivo </w:t>
      </w:r>
      <w:hyperlink r:id="rId8" w:history="1">
        <w:r w:rsidRPr="00A91E8E">
          <w:rPr>
            <w:rStyle w:val="Hipervnculo"/>
            <w:rFonts w:ascii="Palatino Linotype" w:hAnsi="Palatino Linotype"/>
            <w:b/>
            <w:bCs/>
            <w:color w:val="auto"/>
            <w:sz w:val="22"/>
            <w:szCs w:val="22"/>
          </w:rPr>
          <w:t>INFORME JUSTIFICADO R.R 5068.pdf</w:t>
        </w:r>
      </w:hyperlink>
      <w:r w:rsidRPr="00A91E8E">
        <w:rPr>
          <w:rFonts w:ascii="Palatino Linotype" w:hAnsi="Palatino Linotype"/>
          <w:sz w:val="22"/>
          <w:szCs w:val="22"/>
          <w:lang w:val="es-ES_tradnl"/>
        </w:rPr>
        <w:t xml:space="preserve">, </w:t>
      </w:r>
      <w:r w:rsidRPr="00A91E8E">
        <w:rPr>
          <w:rFonts w:ascii="Palatino Linotype" w:hAnsi="Palatino Linotype"/>
          <w:color w:val="000000"/>
          <w:sz w:val="22"/>
          <w:szCs w:val="22"/>
          <w:lang w:val="es-ES_tradnl"/>
        </w:rPr>
        <w:t xml:space="preserve">en el que, de forma medular, ratificó la respuesta. Por su parte, el Recurrente no realizó manifestaciones. </w:t>
      </w:r>
    </w:p>
    <w:p w:rsidR="005E7CE0" w:rsidRPr="00A91E8E" w:rsidRDefault="005E7CE0" w:rsidP="005E7CE0">
      <w:pPr>
        <w:pStyle w:val="Prrafodelista"/>
        <w:numPr>
          <w:ilvl w:val="0"/>
          <w:numId w:val="2"/>
        </w:numPr>
        <w:spacing w:line="360" w:lineRule="auto"/>
        <w:ind w:left="0" w:firstLine="0"/>
        <w:jc w:val="both"/>
        <w:rPr>
          <w:rFonts w:ascii="Palatino Linotype" w:hAnsi="Palatino Linotype" w:cs="Tahoma"/>
          <w:szCs w:val="22"/>
        </w:rPr>
      </w:pPr>
      <w:r w:rsidRPr="00A91E8E">
        <w:rPr>
          <w:rFonts w:ascii="Palatino Linotype" w:hAnsi="Palatino Linotype" w:cs="Arial"/>
          <w:szCs w:val="22"/>
        </w:rPr>
        <w:t xml:space="preserve">El </w:t>
      </w:r>
      <w:r w:rsidRPr="00A91E8E">
        <w:rPr>
          <w:rFonts w:ascii="Palatino Linotype" w:hAnsi="Palatino Linotype" w:cs="Arial"/>
          <w:b/>
          <w:szCs w:val="22"/>
        </w:rPr>
        <w:t>cuatro de septiembre de dos mil veinticuatro</w:t>
      </w:r>
      <w:r w:rsidRPr="00A91E8E">
        <w:rPr>
          <w:rFonts w:ascii="Palatino Linotype" w:hAnsi="Palatino Linotype" w:cs="Arial"/>
          <w:szCs w:val="22"/>
        </w:rPr>
        <w:t>, la Comisionada Ponente notificó el acuerdo mediante el cual se amplió el plazo para emitir resolución.</w:t>
      </w:r>
    </w:p>
    <w:p w:rsidR="005E7CE0" w:rsidRPr="00A91E8E" w:rsidRDefault="005E7CE0" w:rsidP="005E7CE0">
      <w:pPr>
        <w:pStyle w:val="Prrafodelista"/>
        <w:spacing w:line="360" w:lineRule="auto"/>
        <w:ind w:left="0"/>
        <w:jc w:val="both"/>
        <w:rPr>
          <w:rFonts w:ascii="Palatino Linotype" w:hAnsi="Palatino Linotype" w:cs="Tahoma"/>
          <w:szCs w:val="22"/>
        </w:rPr>
      </w:pPr>
    </w:p>
    <w:p w:rsidR="005E7CE0" w:rsidRPr="00A91E8E" w:rsidRDefault="005E7CE0" w:rsidP="005E7CE0">
      <w:pPr>
        <w:pStyle w:val="Prrafodelista"/>
        <w:numPr>
          <w:ilvl w:val="0"/>
          <w:numId w:val="1"/>
        </w:numPr>
        <w:spacing w:before="240" w:after="240" w:line="360" w:lineRule="auto"/>
        <w:ind w:left="0" w:hanging="11"/>
        <w:jc w:val="both"/>
        <w:rPr>
          <w:rFonts w:ascii="Palatino Linotype" w:hAnsi="Palatino Linotype"/>
          <w:b/>
          <w:szCs w:val="22"/>
          <w:u w:val="single"/>
        </w:rPr>
      </w:pPr>
      <w:r w:rsidRPr="00A91E8E">
        <w:rPr>
          <w:rFonts w:ascii="Palatino Linotype" w:hAnsi="Palatino Linotype"/>
          <w:szCs w:val="22"/>
        </w:rPr>
        <w:t xml:space="preserve">Este organismo garante no pasa por alto justificar, que el plazo para emitir resolución en el presente asunto encuentra justificación en el alto número de recursos de revisión recibidos dentro del primer semestre del año dos mil </w:t>
      </w:r>
      <w:r w:rsidRPr="00A91E8E">
        <w:rPr>
          <w:rFonts w:ascii="Palatino Linotype" w:eastAsia="Calibri" w:hAnsi="Palatino Linotype"/>
          <w:szCs w:val="22"/>
          <w:lang w:val="es-ES"/>
        </w:rPr>
        <w:t>veintitrés</w:t>
      </w:r>
      <w:r w:rsidRPr="00A91E8E">
        <w:rPr>
          <w:rFonts w:ascii="Palatino Linotype" w:hAnsi="Palatino Linotype"/>
          <w:szCs w:val="22"/>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5E7CE0" w:rsidRPr="00A91E8E" w:rsidRDefault="005E7CE0" w:rsidP="005E7CE0">
      <w:pPr>
        <w:pStyle w:val="Prrafodelista"/>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E7CE0" w:rsidRPr="00A91E8E" w:rsidRDefault="005E7CE0" w:rsidP="005E7CE0">
      <w:pPr>
        <w:pStyle w:val="Prrafodelista"/>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spacing w:before="240" w:after="240" w:line="360" w:lineRule="auto"/>
        <w:ind w:left="284"/>
        <w:jc w:val="both"/>
        <w:rPr>
          <w:rFonts w:ascii="Palatino Linotype" w:hAnsi="Palatino Linotype"/>
          <w:szCs w:val="22"/>
        </w:rPr>
      </w:pPr>
      <w:r w:rsidRPr="00A91E8E">
        <w:rPr>
          <w:rFonts w:ascii="Palatino Linotype" w:hAnsi="Palatino Linotype"/>
          <w:szCs w:val="22"/>
        </w:rPr>
        <w:t>a)      Complejidad del asunto: La complejidad de la prueba, la pluralidad de sujetos procesales, el tiempo transcurrido, las características y contexto del recurso.</w:t>
      </w:r>
    </w:p>
    <w:p w:rsidR="005E7CE0" w:rsidRPr="00A91E8E" w:rsidRDefault="005E7CE0" w:rsidP="005E7CE0">
      <w:pPr>
        <w:pStyle w:val="Prrafodelista"/>
        <w:spacing w:before="240" w:after="240" w:line="360" w:lineRule="auto"/>
        <w:ind w:left="284"/>
        <w:jc w:val="both"/>
        <w:rPr>
          <w:rFonts w:ascii="Palatino Linotype" w:hAnsi="Palatino Linotype"/>
          <w:szCs w:val="22"/>
        </w:rPr>
      </w:pPr>
      <w:r w:rsidRPr="00A91E8E">
        <w:rPr>
          <w:rFonts w:ascii="Palatino Linotype" w:hAnsi="Palatino Linotype"/>
          <w:szCs w:val="22"/>
        </w:rPr>
        <w:t>b)     Actividad Procesal del interesado: Acciones u omisiones del interesado.</w:t>
      </w:r>
    </w:p>
    <w:p w:rsidR="005E7CE0" w:rsidRPr="00A91E8E" w:rsidRDefault="005E7CE0" w:rsidP="005E7CE0">
      <w:pPr>
        <w:pStyle w:val="Prrafodelista"/>
        <w:spacing w:before="240" w:after="240" w:line="360" w:lineRule="auto"/>
        <w:ind w:left="284"/>
        <w:jc w:val="both"/>
        <w:rPr>
          <w:rFonts w:ascii="Palatino Linotype" w:hAnsi="Palatino Linotype"/>
          <w:szCs w:val="22"/>
        </w:rPr>
      </w:pPr>
      <w:r w:rsidRPr="00A91E8E">
        <w:rPr>
          <w:rFonts w:ascii="Palatino Linotype" w:hAnsi="Palatino Linotype"/>
          <w:szCs w:val="22"/>
        </w:rPr>
        <w:lastRenderedPageBreak/>
        <w:t>c)      Conducta de la Autoridad: Las Acciones u omisiones realizadas en el procedimiento. Así como si la autoridad actuó con la debida diligencia.</w:t>
      </w:r>
    </w:p>
    <w:p w:rsidR="005E7CE0" w:rsidRPr="00A91E8E" w:rsidRDefault="005E7CE0" w:rsidP="005E7CE0">
      <w:pPr>
        <w:pStyle w:val="Prrafodelista"/>
        <w:spacing w:before="240" w:after="240" w:line="360" w:lineRule="auto"/>
        <w:ind w:left="284"/>
        <w:jc w:val="both"/>
        <w:rPr>
          <w:rFonts w:ascii="Palatino Linotype" w:hAnsi="Palatino Linotype"/>
          <w:szCs w:val="22"/>
        </w:rPr>
      </w:pPr>
      <w:r w:rsidRPr="00A91E8E">
        <w:rPr>
          <w:rFonts w:ascii="Palatino Linotype" w:hAnsi="Palatino Linotype"/>
          <w:szCs w:val="22"/>
        </w:rPr>
        <w:t>d) La afectación generada en la situación jurídica de la persona involucrada en el proceso: Violación a sus derechos humanos.</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5E7CE0" w:rsidRPr="00A91E8E" w:rsidRDefault="005E7CE0" w:rsidP="005E7CE0">
      <w:pPr>
        <w:pStyle w:val="Prrafodelista"/>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w:t>
      </w:r>
      <w:r w:rsidRPr="00A91E8E">
        <w:rPr>
          <w:rFonts w:ascii="Palatino Linotype" w:hAnsi="Palatino Linotype"/>
          <w:szCs w:val="22"/>
        </w:rPr>
        <w:lastRenderedPageBreak/>
        <w:t>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E7CE0" w:rsidRPr="00A91E8E" w:rsidRDefault="005E7CE0" w:rsidP="005E7CE0">
      <w:pPr>
        <w:pStyle w:val="Prrafodelista"/>
        <w:spacing w:before="240" w:after="240" w:line="360" w:lineRule="auto"/>
        <w:ind w:left="0"/>
        <w:jc w:val="both"/>
        <w:rPr>
          <w:rFonts w:ascii="Palatino Linotype" w:hAnsi="Palatino Linotype"/>
          <w:szCs w:val="22"/>
        </w:rPr>
      </w:pPr>
    </w:p>
    <w:p w:rsidR="005E7CE0" w:rsidRPr="00A91E8E" w:rsidRDefault="005E7CE0" w:rsidP="005E7CE0">
      <w:pPr>
        <w:pStyle w:val="Prrafodelista"/>
        <w:numPr>
          <w:ilvl w:val="0"/>
          <w:numId w:val="1"/>
        </w:numPr>
        <w:spacing w:before="240" w:after="240" w:line="360" w:lineRule="auto"/>
        <w:ind w:left="0" w:firstLine="0"/>
        <w:jc w:val="both"/>
        <w:rPr>
          <w:rFonts w:ascii="Palatino Linotype" w:hAnsi="Palatino Linotype"/>
          <w:szCs w:val="22"/>
        </w:rPr>
      </w:pPr>
      <w:r w:rsidRPr="00A91E8E">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rsidR="005E7CE0" w:rsidRPr="00A91E8E" w:rsidRDefault="005E7CE0" w:rsidP="005E7CE0">
      <w:pPr>
        <w:pStyle w:val="Prrafodelista"/>
        <w:rPr>
          <w:rFonts w:ascii="Palatino Linotype" w:hAnsi="Palatino Linotype"/>
          <w:szCs w:val="22"/>
        </w:rPr>
      </w:pPr>
    </w:p>
    <w:p w:rsidR="005E7CE0" w:rsidRPr="00A91E8E" w:rsidRDefault="005E7CE0" w:rsidP="005E7CE0">
      <w:pPr>
        <w:pStyle w:val="Prrafodelista"/>
        <w:spacing w:before="240" w:after="240" w:line="360" w:lineRule="auto"/>
        <w:ind w:left="567"/>
        <w:jc w:val="both"/>
        <w:rPr>
          <w:rFonts w:ascii="Palatino Linotype" w:hAnsi="Palatino Linotype"/>
          <w:szCs w:val="22"/>
        </w:rPr>
      </w:pPr>
      <w:r w:rsidRPr="00A91E8E">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rsidR="005E7CE0" w:rsidRPr="00A91E8E" w:rsidRDefault="005E7CE0" w:rsidP="005E7CE0">
      <w:pPr>
        <w:pStyle w:val="Prrafodelista"/>
        <w:spacing w:before="240" w:after="240" w:line="360" w:lineRule="auto"/>
        <w:ind w:left="567"/>
        <w:jc w:val="both"/>
        <w:rPr>
          <w:rFonts w:ascii="Palatino Linotype" w:hAnsi="Palatino Linotype"/>
          <w:szCs w:val="22"/>
        </w:rPr>
      </w:pPr>
      <w:r w:rsidRPr="00A91E8E">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5E7CE0" w:rsidRPr="00A91E8E" w:rsidRDefault="005E7CE0" w:rsidP="005E7CE0">
      <w:pPr>
        <w:pStyle w:val="Prrafodelista"/>
        <w:spacing w:before="240" w:after="240" w:line="360" w:lineRule="auto"/>
        <w:ind w:left="708"/>
        <w:jc w:val="both"/>
        <w:rPr>
          <w:rFonts w:ascii="Palatino Linotype" w:hAnsi="Palatino Linotype"/>
          <w:szCs w:val="22"/>
        </w:rPr>
      </w:pPr>
    </w:p>
    <w:p w:rsidR="005E7CE0" w:rsidRPr="00A91E8E" w:rsidRDefault="005E7CE0" w:rsidP="005E7CE0">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A91E8E">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5E7CE0" w:rsidRPr="00A91E8E" w:rsidRDefault="005E7CE0" w:rsidP="005E7CE0">
      <w:pPr>
        <w:pStyle w:val="Prrafodelista"/>
        <w:tabs>
          <w:tab w:val="left" w:pos="426"/>
        </w:tabs>
        <w:spacing w:line="360" w:lineRule="auto"/>
        <w:ind w:left="0"/>
        <w:jc w:val="both"/>
        <w:rPr>
          <w:rFonts w:ascii="Palatino Linotype" w:hAnsi="Palatino Linotype"/>
          <w:color w:val="000000" w:themeColor="text1"/>
          <w:szCs w:val="22"/>
        </w:rPr>
      </w:pPr>
    </w:p>
    <w:p w:rsidR="005E7CE0" w:rsidRPr="00A91E8E" w:rsidRDefault="005E7CE0" w:rsidP="005E7CE0">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A91E8E">
        <w:rPr>
          <w:rFonts w:ascii="Palatino Linotype" w:hAnsi="Palatino Linotype" w:cs="Arial"/>
          <w:szCs w:val="22"/>
        </w:rPr>
        <w:t>El once de marzo de dos mil veinticinco, la Comisionada Ponente, decretó el cierre de instrucción, p</w:t>
      </w:r>
      <w:r w:rsidRPr="00A91E8E">
        <w:rPr>
          <w:rFonts w:ascii="Palatino Linotype" w:hAnsi="Palatino Linotype" w:cs="Tahoma"/>
          <w:szCs w:val="22"/>
        </w:rPr>
        <w:t>or lo que turnó la presente resolución para su aprobación.</w:t>
      </w:r>
    </w:p>
    <w:p w:rsidR="005E7CE0" w:rsidRPr="00A91E8E" w:rsidRDefault="005E7CE0" w:rsidP="005E7CE0">
      <w:pPr>
        <w:pStyle w:val="Ttulo1"/>
        <w:jc w:val="center"/>
        <w:rPr>
          <w:rFonts w:ascii="Palatino Linotype" w:hAnsi="Palatino Linotype"/>
          <w:b/>
          <w:color w:val="auto"/>
          <w:sz w:val="22"/>
          <w:szCs w:val="22"/>
        </w:rPr>
      </w:pPr>
      <w:bookmarkStart w:id="4" w:name="_Toc87549672"/>
      <w:r w:rsidRPr="00A91E8E">
        <w:rPr>
          <w:rFonts w:ascii="Palatino Linotype" w:hAnsi="Palatino Linotype"/>
          <w:b/>
          <w:color w:val="auto"/>
          <w:sz w:val="22"/>
          <w:szCs w:val="22"/>
        </w:rPr>
        <w:lastRenderedPageBreak/>
        <w:t>CONSIDERANDO</w:t>
      </w:r>
      <w:bookmarkEnd w:id="4"/>
      <w:r w:rsidRPr="00A91E8E">
        <w:rPr>
          <w:rFonts w:ascii="Palatino Linotype" w:hAnsi="Palatino Linotype"/>
          <w:b/>
          <w:color w:val="auto"/>
          <w:sz w:val="22"/>
          <w:szCs w:val="22"/>
        </w:rPr>
        <w:t xml:space="preserve"> </w:t>
      </w:r>
    </w:p>
    <w:p w:rsidR="005E7CE0" w:rsidRPr="00A91E8E" w:rsidRDefault="005E7CE0" w:rsidP="005E7CE0">
      <w:pPr>
        <w:rPr>
          <w:rFonts w:ascii="Palatino Linotype" w:hAnsi="Palatino Linotype"/>
          <w:sz w:val="22"/>
          <w:szCs w:val="22"/>
          <w:lang w:eastAsia="en-US"/>
        </w:rPr>
      </w:pPr>
    </w:p>
    <w:p w:rsidR="005E7CE0" w:rsidRPr="00A91E8E" w:rsidRDefault="005E7CE0" w:rsidP="005E7CE0">
      <w:pPr>
        <w:pStyle w:val="Ttulo2"/>
        <w:rPr>
          <w:rFonts w:ascii="Palatino Linotype" w:hAnsi="Palatino Linotype"/>
          <w:b/>
          <w:bCs/>
          <w:color w:val="auto"/>
          <w:spacing w:val="60"/>
          <w:sz w:val="22"/>
          <w:szCs w:val="22"/>
          <w:lang w:eastAsia="en-US"/>
        </w:rPr>
      </w:pPr>
      <w:bookmarkStart w:id="5" w:name="_Toc87549673"/>
      <w:r w:rsidRPr="00A91E8E">
        <w:rPr>
          <w:rFonts w:ascii="Palatino Linotype" w:hAnsi="Palatino Linotype"/>
          <w:b/>
          <w:color w:val="auto"/>
          <w:sz w:val="22"/>
          <w:szCs w:val="22"/>
        </w:rPr>
        <w:t>PRIMERO. De la competencia</w:t>
      </w:r>
      <w:bookmarkEnd w:id="5"/>
    </w:p>
    <w:p w:rsidR="005E7CE0" w:rsidRPr="00A91E8E" w:rsidRDefault="005E7CE0" w:rsidP="005E7CE0">
      <w:pPr>
        <w:pStyle w:val="Prrafodelista"/>
        <w:numPr>
          <w:ilvl w:val="0"/>
          <w:numId w:val="2"/>
        </w:numPr>
        <w:spacing w:before="240" w:after="240" w:line="360" w:lineRule="auto"/>
        <w:ind w:left="0" w:firstLine="0"/>
        <w:jc w:val="both"/>
        <w:rPr>
          <w:rFonts w:ascii="Palatino Linotype" w:hAnsi="Palatino Linotype"/>
          <w:szCs w:val="22"/>
        </w:rPr>
      </w:pPr>
      <w:r w:rsidRPr="00A91E8E">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91E8E">
        <w:rPr>
          <w:rFonts w:ascii="Palatino Linotype" w:eastAsia="Calibri" w:hAnsi="Palatino Linotype"/>
          <w:b/>
          <w:szCs w:val="22"/>
          <w:lang w:val="es-ES"/>
        </w:rPr>
        <w:t>Constitución Política de los Estados Unidos Mexicanos</w:t>
      </w:r>
      <w:r w:rsidRPr="00A91E8E">
        <w:rPr>
          <w:rFonts w:ascii="Palatino Linotype" w:eastAsia="Calibri" w:hAnsi="Palatino Linotype"/>
          <w:szCs w:val="22"/>
          <w:lang w:val="es-ES"/>
        </w:rPr>
        <w:t xml:space="preserve">; 5, párrafos </w:t>
      </w:r>
      <w:r w:rsidRPr="00A91E8E">
        <w:rPr>
          <w:rFonts w:ascii="Palatino Linotype" w:hAnsi="Palatino Linotype" w:cs="Arial"/>
          <w:bCs/>
          <w:color w:val="222222"/>
          <w:szCs w:val="22"/>
          <w:lang w:val="es-ES"/>
        </w:rPr>
        <w:t>trigésimo segundo, trigésimo tercero y trigésimo cuarto fracciones</w:t>
      </w:r>
      <w:r w:rsidRPr="00A91E8E">
        <w:rPr>
          <w:rFonts w:ascii="Palatino Linotype" w:eastAsia="Calibri" w:hAnsi="Palatino Linotype"/>
          <w:szCs w:val="22"/>
          <w:lang w:val="es-ES"/>
        </w:rPr>
        <w:t xml:space="preserve"> IV y V de la </w:t>
      </w:r>
      <w:r w:rsidRPr="00A91E8E">
        <w:rPr>
          <w:rFonts w:ascii="Palatino Linotype" w:eastAsia="Calibri" w:hAnsi="Palatino Linotype"/>
          <w:b/>
          <w:szCs w:val="22"/>
          <w:lang w:val="es-ES"/>
        </w:rPr>
        <w:t>Constitución Política del Estado Libre y Soberano de México</w:t>
      </w:r>
      <w:r w:rsidRPr="00A91E8E">
        <w:rPr>
          <w:rFonts w:ascii="Palatino Linotype" w:eastAsia="Calibri" w:hAnsi="Palatino Linotype"/>
          <w:szCs w:val="22"/>
          <w:lang w:val="es-ES"/>
        </w:rPr>
        <w:t xml:space="preserve">; artículos 1, 2 fracción II, 13, 29, 36 fracciones I y II, 176, 178, 179, 181 párrafo tercero y 185 </w:t>
      </w:r>
      <w:r w:rsidRPr="00A91E8E">
        <w:rPr>
          <w:rFonts w:ascii="Palatino Linotype" w:eastAsia="Calibri" w:hAnsi="Palatino Linotype" w:cs="Arial"/>
          <w:szCs w:val="22"/>
          <w:lang w:val="es-ES"/>
        </w:rPr>
        <w:t xml:space="preserve">de la </w:t>
      </w:r>
      <w:r w:rsidRPr="00A91E8E">
        <w:rPr>
          <w:rFonts w:ascii="Palatino Linotype" w:eastAsia="Calibri" w:hAnsi="Palatino Linotype" w:cs="Arial"/>
          <w:b/>
          <w:szCs w:val="22"/>
          <w:lang w:val="es-ES"/>
        </w:rPr>
        <w:t>Ley de Transparencia y Acceso a la Información Pública del Estado de México y Municipios</w:t>
      </w:r>
      <w:r w:rsidRPr="00A91E8E">
        <w:rPr>
          <w:rFonts w:ascii="Palatino Linotype" w:eastAsia="Calibri" w:hAnsi="Palatino Linotype" w:cs="Arial"/>
          <w:szCs w:val="22"/>
          <w:lang w:val="es-ES"/>
        </w:rPr>
        <w:t xml:space="preserve">; y 7, 9 fracciones I y XXIII, y 11 del </w:t>
      </w:r>
      <w:r w:rsidRPr="00A91E8E">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A91E8E">
        <w:rPr>
          <w:rFonts w:ascii="Palatino Linotype" w:hAnsi="Palatino Linotype"/>
          <w:szCs w:val="22"/>
        </w:rPr>
        <w:t>.</w:t>
      </w:r>
    </w:p>
    <w:p w:rsidR="005E7CE0" w:rsidRPr="00A91E8E" w:rsidRDefault="005E7CE0" w:rsidP="005E7CE0">
      <w:pPr>
        <w:pStyle w:val="Ttulo2"/>
        <w:rPr>
          <w:rFonts w:ascii="Palatino Linotype" w:hAnsi="Palatino Linotype"/>
          <w:b/>
          <w:color w:val="auto"/>
          <w:sz w:val="22"/>
          <w:szCs w:val="22"/>
        </w:rPr>
      </w:pPr>
      <w:bookmarkStart w:id="6" w:name="_Toc87549674"/>
      <w:r w:rsidRPr="00A91E8E">
        <w:rPr>
          <w:rFonts w:ascii="Palatino Linotype" w:hAnsi="Palatino Linotype"/>
          <w:b/>
          <w:color w:val="auto"/>
          <w:sz w:val="22"/>
          <w:szCs w:val="22"/>
        </w:rPr>
        <w:t>SEGUNDO. De la oportunidad y procedencia.</w:t>
      </w:r>
      <w:bookmarkEnd w:id="6"/>
    </w:p>
    <w:p w:rsidR="005E7CE0" w:rsidRPr="00A91E8E" w:rsidRDefault="005E7CE0" w:rsidP="005E7CE0">
      <w:pPr>
        <w:rPr>
          <w:rFonts w:ascii="Palatino Linotype" w:hAnsi="Palatino Linotype"/>
          <w:sz w:val="22"/>
          <w:szCs w:val="22"/>
        </w:rPr>
      </w:pPr>
    </w:p>
    <w:p w:rsidR="005E7CE0" w:rsidRPr="00A91E8E" w:rsidRDefault="005E7CE0" w:rsidP="005E7CE0">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A91E8E">
        <w:rPr>
          <w:rFonts w:ascii="Palatino Linotype" w:eastAsia="Calibri" w:hAnsi="Palatino Linotype" w:cs="Arial"/>
          <w:color w:val="000000" w:themeColor="text1"/>
          <w:szCs w:val="22"/>
        </w:rPr>
        <w:t xml:space="preserve">El medio de impugnación fue presentado a través del </w:t>
      </w:r>
      <w:r w:rsidRPr="00A91E8E">
        <w:rPr>
          <w:rFonts w:ascii="Palatino Linotype" w:eastAsia="Calibri" w:hAnsi="Palatino Linotype" w:cs="Arial"/>
          <w:bCs/>
          <w:iCs/>
          <w:color w:val="000000" w:themeColor="text1"/>
          <w:szCs w:val="22"/>
        </w:rPr>
        <w:t>SAIMEX</w:t>
      </w:r>
      <w:r w:rsidRPr="00A91E8E">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A91E8E">
        <w:rPr>
          <w:rFonts w:ascii="Palatino Linotype" w:eastAsia="Calibri" w:hAnsi="Palatino Linotype" w:cs="Arial"/>
          <w:b/>
          <w:color w:val="000000" w:themeColor="text1"/>
          <w:szCs w:val="22"/>
        </w:rPr>
        <w:t>SUJETO OBLIGADO</w:t>
      </w:r>
      <w:r w:rsidRPr="00A91E8E">
        <w:rPr>
          <w:rFonts w:ascii="Palatino Linotype" w:eastAsia="Calibri" w:hAnsi="Palatino Linotype" w:cs="Arial"/>
          <w:color w:val="000000" w:themeColor="text1"/>
          <w:szCs w:val="22"/>
        </w:rPr>
        <w:t xml:space="preserve"> entregó respuesta el </w:t>
      </w:r>
      <w:r w:rsidR="00463478" w:rsidRPr="00A91E8E">
        <w:rPr>
          <w:rFonts w:ascii="Palatino Linotype" w:eastAsia="Calibri" w:hAnsi="Palatino Linotype" w:cs="Arial"/>
          <w:b/>
          <w:color w:val="000000" w:themeColor="text1"/>
          <w:szCs w:val="22"/>
        </w:rPr>
        <w:t>veintiuno de agosto</w:t>
      </w:r>
      <w:r w:rsidRPr="00A91E8E">
        <w:rPr>
          <w:rFonts w:ascii="Palatino Linotype" w:eastAsia="Calibri" w:hAnsi="Palatino Linotype" w:cs="Arial"/>
          <w:b/>
          <w:color w:val="000000" w:themeColor="text1"/>
          <w:szCs w:val="22"/>
        </w:rPr>
        <w:t xml:space="preserve"> de dos mil veinticuatro</w:t>
      </w:r>
      <w:r w:rsidRPr="00A91E8E">
        <w:rPr>
          <w:rFonts w:ascii="Palatino Linotype" w:eastAsia="Calibri" w:hAnsi="Palatino Linotype" w:cs="Arial"/>
          <w:color w:val="000000" w:themeColor="text1"/>
          <w:szCs w:val="22"/>
        </w:rPr>
        <w:t xml:space="preserve">, de tal forma que el plazo para interponer el recurso de revisión transcurrió del </w:t>
      </w:r>
      <w:r w:rsidR="00463478" w:rsidRPr="00A91E8E">
        <w:rPr>
          <w:rFonts w:ascii="Palatino Linotype" w:eastAsia="Calibri" w:hAnsi="Palatino Linotype" w:cs="Arial"/>
          <w:b/>
          <w:color w:val="000000" w:themeColor="text1"/>
          <w:szCs w:val="22"/>
        </w:rPr>
        <w:t xml:space="preserve">veintidós de agosto </w:t>
      </w:r>
      <w:r w:rsidR="00463478" w:rsidRPr="00A91E8E">
        <w:rPr>
          <w:rFonts w:ascii="Palatino Linotype" w:eastAsia="Calibri" w:hAnsi="Palatino Linotype" w:cs="Arial"/>
          <w:color w:val="000000" w:themeColor="text1"/>
          <w:szCs w:val="22"/>
        </w:rPr>
        <w:t>al</w:t>
      </w:r>
      <w:r w:rsidR="00463478" w:rsidRPr="00A91E8E">
        <w:rPr>
          <w:rFonts w:ascii="Palatino Linotype" w:eastAsia="Calibri" w:hAnsi="Palatino Linotype" w:cs="Arial"/>
          <w:b/>
          <w:color w:val="000000" w:themeColor="text1"/>
          <w:szCs w:val="22"/>
        </w:rPr>
        <w:t xml:space="preserve"> once de septiembre</w:t>
      </w:r>
      <w:r w:rsidRPr="00A91E8E">
        <w:rPr>
          <w:rFonts w:ascii="Palatino Linotype" w:eastAsia="Calibri" w:hAnsi="Palatino Linotype" w:cs="Arial"/>
          <w:b/>
          <w:color w:val="000000" w:themeColor="text1"/>
          <w:szCs w:val="22"/>
        </w:rPr>
        <w:t xml:space="preserve"> de dos mil veinticuatro</w:t>
      </w:r>
      <w:r w:rsidRPr="00A91E8E">
        <w:rPr>
          <w:rFonts w:ascii="Palatino Linotype" w:eastAsia="Calibri" w:hAnsi="Palatino Linotype" w:cs="Arial"/>
          <w:color w:val="000000" w:themeColor="text1"/>
          <w:szCs w:val="22"/>
        </w:rPr>
        <w:t xml:space="preserve">. El recurso de revisión </w:t>
      </w:r>
      <w:r w:rsidRPr="00A91E8E">
        <w:rPr>
          <w:rFonts w:ascii="Palatino Linotype" w:hAnsi="Palatino Linotype"/>
          <w:color w:val="000000" w:themeColor="text1"/>
          <w:szCs w:val="22"/>
        </w:rPr>
        <w:t xml:space="preserve">fue interpuesto el </w:t>
      </w:r>
      <w:r w:rsidR="00463478" w:rsidRPr="00A91E8E">
        <w:rPr>
          <w:rFonts w:ascii="Palatino Linotype" w:hAnsi="Palatino Linotype"/>
          <w:b/>
          <w:color w:val="000000" w:themeColor="text1"/>
          <w:szCs w:val="22"/>
        </w:rPr>
        <w:t>veintidós de agosto</w:t>
      </w:r>
      <w:r w:rsidRPr="00A91E8E">
        <w:rPr>
          <w:rFonts w:ascii="Palatino Linotype" w:hAnsi="Palatino Linotype"/>
          <w:b/>
          <w:color w:val="000000" w:themeColor="text1"/>
          <w:szCs w:val="22"/>
        </w:rPr>
        <w:t xml:space="preserve"> de dos mil veinticuatro</w:t>
      </w:r>
      <w:r w:rsidRPr="00A91E8E">
        <w:rPr>
          <w:rFonts w:ascii="Palatino Linotype" w:hAnsi="Palatino Linotype"/>
          <w:color w:val="000000" w:themeColor="text1"/>
          <w:szCs w:val="22"/>
        </w:rPr>
        <w:t>, éste</w:t>
      </w:r>
      <w:r w:rsidRPr="00A91E8E">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A91E8E">
        <w:rPr>
          <w:rFonts w:ascii="Palatino Linotype" w:hAnsi="Palatino Linotype" w:cs="Arial"/>
          <w:b/>
          <w:color w:val="000000" w:themeColor="text1"/>
          <w:szCs w:val="22"/>
        </w:rPr>
        <w:t xml:space="preserve"> </w:t>
      </w:r>
      <w:r w:rsidRPr="00A91E8E">
        <w:rPr>
          <w:rFonts w:ascii="Palatino Linotype" w:hAnsi="Palatino Linotype" w:cs="Arial"/>
          <w:color w:val="000000" w:themeColor="text1"/>
          <w:szCs w:val="22"/>
        </w:rPr>
        <w:t xml:space="preserve">vigente. </w:t>
      </w:r>
    </w:p>
    <w:p w:rsidR="005E7CE0" w:rsidRPr="00A91E8E" w:rsidRDefault="005E7CE0" w:rsidP="005E7CE0">
      <w:pPr>
        <w:tabs>
          <w:tab w:val="left" w:pos="426"/>
        </w:tabs>
        <w:spacing w:line="360" w:lineRule="auto"/>
        <w:ind w:right="49"/>
        <w:jc w:val="both"/>
        <w:rPr>
          <w:rFonts w:ascii="Palatino Linotype" w:hAnsi="Palatino Linotype" w:cs="Arial"/>
          <w:bCs/>
          <w:color w:val="000000" w:themeColor="text1"/>
          <w:sz w:val="22"/>
          <w:szCs w:val="22"/>
        </w:rPr>
      </w:pPr>
    </w:p>
    <w:p w:rsidR="005E7CE0" w:rsidRPr="00A91E8E" w:rsidRDefault="005E7CE0" w:rsidP="005E7CE0">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A91E8E">
        <w:rPr>
          <w:rFonts w:ascii="Palatino Linotype" w:eastAsia="Calibri" w:hAnsi="Palatino Linotype" w:cs="Arial"/>
          <w:color w:val="000000" w:themeColor="text1"/>
          <w:szCs w:val="22"/>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5E7CE0" w:rsidRPr="00A91E8E" w:rsidRDefault="005E7CE0" w:rsidP="005E7CE0">
      <w:pPr>
        <w:pStyle w:val="Ttulo1"/>
        <w:rPr>
          <w:rFonts w:ascii="Palatino Linotype" w:eastAsia="MS Mincho" w:hAnsi="Palatino Linotype" w:cs="Times New Roman"/>
          <w:b/>
          <w:color w:val="auto"/>
          <w:sz w:val="22"/>
          <w:szCs w:val="22"/>
        </w:rPr>
      </w:pPr>
      <w:r w:rsidRPr="00A91E8E">
        <w:rPr>
          <w:rFonts w:ascii="Palatino Linotype" w:hAnsi="Palatino Linotype"/>
          <w:b/>
          <w:color w:val="auto"/>
          <w:sz w:val="22"/>
          <w:szCs w:val="22"/>
        </w:rPr>
        <w:t>TERCERO. Planteamiento de la Litis</w:t>
      </w:r>
      <w:bookmarkEnd w:id="7"/>
      <w:r w:rsidRPr="00A91E8E">
        <w:rPr>
          <w:rFonts w:ascii="Palatino Linotype" w:hAnsi="Palatino Linotype"/>
          <w:b/>
          <w:color w:val="auto"/>
          <w:sz w:val="22"/>
          <w:szCs w:val="22"/>
        </w:rPr>
        <w:t xml:space="preserve"> </w:t>
      </w:r>
    </w:p>
    <w:p w:rsidR="005E7CE0" w:rsidRPr="00A91E8E" w:rsidRDefault="00463478" w:rsidP="005E7CE0">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A91E8E">
        <w:rPr>
          <w:rFonts w:ascii="Palatino Linotype" w:hAnsi="Palatino Linotype"/>
          <w:bCs/>
          <w:szCs w:val="22"/>
        </w:rPr>
        <w:t>El recurrente solicitó</w:t>
      </w:r>
      <w:r w:rsidR="005E7CE0" w:rsidRPr="00A91E8E">
        <w:rPr>
          <w:rFonts w:ascii="Palatino Linotype" w:hAnsi="Palatino Linotype"/>
          <w:bCs/>
          <w:szCs w:val="22"/>
        </w:rPr>
        <w:t xml:space="preserve"> </w:t>
      </w:r>
      <w:r w:rsidRPr="00A91E8E">
        <w:rPr>
          <w:rFonts w:ascii="Palatino Linotype" w:hAnsi="Palatino Linotype"/>
          <w:bCs/>
          <w:szCs w:val="22"/>
        </w:rPr>
        <w:t xml:space="preserve">los contrato pedido, las garantías de vicios ocultos de los proveedores y las actas administrativas circunstanciadas celebradas para testificar la firma de los contratos, del periodo de dos mil veintitrés y dos mil veinticuatro. </w:t>
      </w:r>
    </w:p>
    <w:p w:rsidR="005E7CE0" w:rsidRPr="00A91E8E" w:rsidRDefault="005E7CE0" w:rsidP="005E7CE0">
      <w:pPr>
        <w:pStyle w:val="Prrafodelista"/>
        <w:spacing w:before="240" w:after="240" w:line="360" w:lineRule="auto"/>
        <w:ind w:left="0" w:right="49"/>
        <w:jc w:val="both"/>
        <w:rPr>
          <w:rFonts w:ascii="Palatino Linotype" w:hAnsi="Palatino Linotype"/>
          <w:i/>
          <w:szCs w:val="22"/>
          <w:lang w:eastAsia="es-MX"/>
        </w:rPr>
      </w:pPr>
    </w:p>
    <w:p w:rsidR="005E7CE0" w:rsidRPr="00A91E8E" w:rsidRDefault="005E7CE0" w:rsidP="005E7CE0">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Cs w:val="22"/>
          <w:lang w:val="es-ES_tradnl"/>
        </w:rPr>
      </w:pPr>
      <w:r w:rsidRPr="00A91E8E">
        <w:rPr>
          <w:rFonts w:ascii="Palatino Linotype" w:eastAsiaTheme="minorEastAsia" w:hAnsi="Palatino Linotype"/>
          <w:iCs/>
          <w:szCs w:val="22"/>
          <w:lang w:val="es-ES_tradnl"/>
        </w:rPr>
        <w:t>El Sujeto Obligado se declaró incompetente para atender la solicitud, el</w:t>
      </w:r>
      <w:r w:rsidRPr="00A91E8E">
        <w:rPr>
          <w:rFonts w:ascii="Palatino Linotype" w:eastAsiaTheme="minorEastAsia" w:hAnsi="Palatino Linotype"/>
          <w:szCs w:val="22"/>
          <w:lang w:val="es-ES_tradnl"/>
        </w:rPr>
        <w:t xml:space="preserve"> particular se inconformó por la declaración de incompetencia. </w:t>
      </w:r>
    </w:p>
    <w:p w:rsidR="005E7CE0" w:rsidRPr="00A91E8E" w:rsidRDefault="005E7CE0" w:rsidP="005E7CE0">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A91E8E">
        <w:rPr>
          <w:rFonts w:ascii="Palatino Linotype" w:eastAsiaTheme="minorEastAsia" w:hAnsi="Palatino Linotype" w:cs="Arial"/>
          <w:sz w:val="22"/>
          <w:szCs w:val="22"/>
          <w:lang w:val="es-ES_tradnl"/>
        </w:rPr>
        <w:t xml:space="preserve">Por lo tanto, el presente recurso de revisión se circunscribe en determinar si se </w:t>
      </w:r>
      <w:r w:rsidRPr="00A91E8E">
        <w:rPr>
          <w:rFonts w:ascii="Palatino Linotype" w:hAnsi="Palatino Linotype"/>
          <w:sz w:val="22"/>
          <w:szCs w:val="22"/>
          <w:lang w:val="es-ES_tradnl"/>
        </w:rPr>
        <w:t>actualiza la causal de procedencia</w:t>
      </w:r>
      <w:r w:rsidRPr="00A91E8E">
        <w:rPr>
          <w:rFonts w:ascii="Palatino Linotype" w:hAnsi="Palatino Linotype"/>
          <w:b/>
          <w:sz w:val="22"/>
          <w:szCs w:val="22"/>
          <w:lang w:val="es-ES_tradnl"/>
        </w:rPr>
        <w:t xml:space="preserve"> </w:t>
      </w:r>
      <w:r w:rsidRPr="00A91E8E">
        <w:rPr>
          <w:rFonts w:ascii="Palatino Linotype" w:hAnsi="Palatino Linotype" w:cs="Arial"/>
          <w:sz w:val="22"/>
          <w:szCs w:val="22"/>
          <w:lang w:val="es-ES_tradnl"/>
        </w:rPr>
        <w:t xml:space="preserve">contenida en </w:t>
      </w:r>
      <w:r w:rsidR="00463478" w:rsidRPr="00A91E8E">
        <w:rPr>
          <w:rFonts w:ascii="Palatino Linotype" w:hAnsi="Palatino Linotype" w:cs="Arial"/>
          <w:sz w:val="22"/>
          <w:szCs w:val="22"/>
          <w:lang w:val="es-ES"/>
        </w:rPr>
        <w:t>el artículo 179 fracción  IV</w:t>
      </w:r>
      <w:r w:rsidRPr="00A91E8E">
        <w:rPr>
          <w:rFonts w:ascii="Palatino Linotype" w:hAnsi="Palatino Linotype" w:cs="Arial"/>
          <w:sz w:val="22"/>
          <w:szCs w:val="22"/>
          <w:lang w:val="es-ES"/>
        </w:rPr>
        <w:t xml:space="preserve">, relativo a la </w:t>
      </w:r>
      <w:r w:rsidR="00463478" w:rsidRPr="00A91E8E">
        <w:rPr>
          <w:rFonts w:ascii="Palatino Linotype" w:hAnsi="Palatino Linotype" w:cs="Arial"/>
          <w:sz w:val="22"/>
          <w:szCs w:val="22"/>
          <w:lang w:val="es-ES"/>
        </w:rPr>
        <w:t>declaración de incompetencia por el Sujeto Obligado</w:t>
      </w:r>
      <w:r w:rsidRPr="00A91E8E">
        <w:rPr>
          <w:rFonts w:ascii="Palatino Linotype" w:hAnsi="Palatino Linotype" w:cs="Arial"/>
          <w:sz w:val="22"/>
          <w:szCs w:val="22"/>
          <w:lang w:val="es-ES"/>
        </w:rPr>
        <w:t xml:space="preserve">, de la </w:t>
      </w:r>
      <w:r w:rsidRPr="00A91E8E">
        <w:rPr>
          <w:rFonts w:ascii="Palatino Linotype" w:eastAsia="Calibri" w:hAnsi="Palatino Linotype" w:cs="Arial"/>
          <w:b/>
          <w:sz w:val="22"/>
          <w:szCs w:val="22"/>
          <w:lang w:val="es-ES"/>
        </w:rPr>
        <w:t>Ley de Transparencia y Acceso a la Información Pública del Estado de México y Municipios</w:t>
      </w:r>
      <w:r w:rsidRPr="00A91E8E">
        <w:rPr>
          <w:rFonts w:ascii="Palatino Linotype" w:hAnsi="Palatino Linotype" w:cs="Arial"/>
          <w:sz w:val="22"/>
          <w:szCs w:val="22"/>
          <w:lang w:val="es-ES"/>
        </w:rPr>
        <w:t>.</w:t>
      </w:r>
    </w:p>
    <w:p w:rsidR="005E7CE0" w:rsidRPr="00A91E8E" w:rsidRDefault="005E7CE0" w:rsidP="005E7CE0">
      <w:pPr>
        <w:tabs>
          <w:tab w:val="left" w:pos="426"/>
        </w:tabs>
        <w:spacing w:line="360" w:lineRule="auto"/>
        <w:ind w:left="567" w:right="616"/>
        <w:jc w:val="both"/>
        <w:rPr>
          <w:rFonts w:ascii="Palatino Linotype" w:hAnsi="Palatino Linotype" w:cs="Arial"/>
          <w:i/>
          <w:iCs/>
          <w:color w:val="000000" w:themeColor="text1"/>
          <w:sz w:val="22"/>
          <w:szCs w:val="22"/>
        </w:rPr>
      </w:pPr>
    </w:p>
    <w:p w:rsidR="005E7CE0" w:rsidRPr="00A91E8E" w:rsidRDefault="005E7CE0" w:rsidP="005E7CE0">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A91E8E">
        <w:rPr>
          <w:rFonts w:ascii="Palatino Linotype" w:hAnsi="Palatino Linotype" w:cs="Arial"/>
          <w:b/>
          <w:color w:val="000000" w:themeColor="text1"/>
          <w:sz w:val="22"/>
          <w:szCs w:val="22"/>
        </w:rPr>
        <w:t>CUARTO. Estudio y Resolución del asunto.</w:t>
      </w:r>
      <w:bookmarkEnd w:id="8"/>
    </w:p>
    <w:p w:rsidR="005E7CE0" w:rsidRPr="00A91E8E" w:rsidRDefault="005E7CE0" w:rsidP="005E7CE0">
      <w:pPr>
        <w:pStyle w:val="Prrafodelista"/>
        <w:spacing w:line="360" w:lineRule="auto"/>
        <w:ind w:left="0"/>
        <w:jc w:val="both"/>
        <w:rPr>
          <w:rFonts w:ascii="Palatino Linotype" w:eastAsia="MS Mincho" w:hAnsi="Palatino Linotype"/>
          <w:szCs w:val="22"/>
        </w:rPr>
      </w:pPr>
    </w:p>
    <w:p w:rsidR="005E7CE0" w:rsidRPr="00A91E8E" w:rsidRDefault="005E7CE0" w:rsidP="005E7CE0">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w:t>
      </w:r>
      <w:r w:rsidRPr="00A91E8E">
        <w:rPr>
          <w:rFonts w:ascii="Palatino Linotype" w:eastAsia="Calibri" w:hAnsi="Palatino Linotype" w:cs="Arial"/>
          <w:szCs w:val="22"/>
        </w:rPr>
        <w:lastRenderedPageBreak/>
        <w:t>y apegándose en todo momento al principio de máxima publicidad, de acuerdo con lo establecido en el artículo 8 de la Ley de Transparencia y Acceso a la Información Pública del Estado de México y Municipios.</w:t>
      </w:r>
    </w:p>
    <w:p w:rsidR="005E7CE0" w:rsidRPr="00A91E8E" w:rsidRDefault="005E7CE0" w:rsidP="005E7CE0">
      <w:pPr>
        <w:pStyle w:val="Prrafodelista"/>
        <w:tabs>
          <w:tab w:val="left" w:pos="567"/>
        </w:tabs>
        <w:spacing w:line="360" w:lineRule="auto"/>
        <w:ind w:left="0"/>
        <w:jc w:val="both"/>
        <w:rPr>
          <w:rFonts w:ascii="Palatino Linotype" w:eastAsia="Calibri" w:hAnsi="Palatino Linotype" w:cs="Arial"/>
          <w:szCs w:val="22"/>
        </w:rPr>
      </w:pPr>
    </w:p>
    <w:p w:rsidR="00E627EF" w:rsidRPr="00A91E8E" w:rsidRDefault="005E7CE0" w:rsidP="00E627EF">
      <w:pPr>
        <w:pStyle w:val="Prrafodelista"/>
        <w:numPr>
          <w:ilvl w:val="0"/>
          <w:numId w:val="1"/>
        </w:numPr>
        <w:tabs>
          <w:tab w:val="left" w:pos="567"/>
        </w:tabs>
        <w:spacing w:line="360" w:lineRule="auto"/>
        <w:ind w:left="0" w:firstLine="0"/>
        <w:jc w:val="both"/>
        <w:rPr>
          <w:rFonts w:ascii="Palatino Linotype" w:hAnsi="Palatino Linotype"/>
          <w:bCs/>
          <w:i/>
          <w:szCs w:val="22"/>
        </w:rPr>
      </w:pPr>
      <w:r w:rsidRPr="00A91E8E">
        <w:rPr>
          <w:rFonts w:ascii="Palatino Linotype" w:eastAsia="Calibri" w:hAnsi="Palatino Linotype" w:cs="Arial"/>
          <w:szCs w:val="22"/>
        </w:rPr>
        <w:t xml:space="preserve">El Particular solicitó </w:t>
      </w:r>
      <w:r w:rsidR="00463478" w:rsidRPr="00A91E8E">
        <w:rPr>
          <w:rFonts w:ascii="Palatino Linotype" w:hAnsi="Palatino Linotype"/>
          <w:bCs/>
          <w:szCs w:val="22"/>
        </w:rPr>
        <w:t>los contrato</w:t>
      </w:r>
      <w:r w:rsidR="00E627EF" w:rsidRPr="00A91E8E">
        <w:rPr>
          <w:rFonts w:ascii="Palatino Linotype" w:hAnsi="Palatino Linotype"/>
          <w:bCs/>
          <w:szCs w:val="22"/>
        </w:rPr>
        <w:t>s</w:t>
      </w:r>
      <w:r w:rsidR="00463478" w:rsidRPr="00A91E8E">
        <w:rPr>
          <w:rFonts w:ascii="Palatino Linotype" w:hAnsi="Palatino Linotype"/>
          <w:bCs/>
          <w:szCs w:val="22"/>
        </w:rPr>
        <w:t xml:space="preserve"> pedido, las garantías de vicios ocultos de los proveedores y las actas administrativas circunstanciadas celebradas para testificar la firma de los contratos, del periodo de dos mil veintitrés y dos mil veinticuatro</w:t>
      </w:r>
      <w:r w:rsidRPr="00A91E8E">
        <w:rPr>
          <w:rFonts w:ascii="Palatino Linotype" w:hAnsi="Palatino Linotype"/>
          <w:bCs/>
          <w:szCs w:val="22"/>
        </w:rPr>
        <w:t xml:space="preserve">. </w:t>
      </w:r>
      <w:r w:rsidRPr="00A91E8E">
        <w:rPr>
          <w:rFonts w:ascii="Palatino Linotype" w:eastAsia="Calibri" w:hAnsi="Palatino Linotype" w:cs="Arial"/>
          <w:szCs w:val="22"/>
        </w:rPr>
        <w:t xml:space="preserve">El Sujeto Obligado tanto en respuesta como en informe justificado se declaró incompetente para generar, administrar o poseer la información requerida por el particular, orientando al mismo, para que formule una nueva solicitud ante </w:t>
      </w:r>
      <w:r w:rsidR="00463478" w:rsidRPr="00A91E8E">
        <w:rPr>
          <w:rFonts w:ascii="Palatino Linotype" w:eastAsia="Calibri" w:hAnsi="Palatino Linotype" w:cs="Arial"/>
          <w:szCs w:val="22"/>
        </w:rPr>
        <w:t xml:space="preserve">Oficialía Mayor. </w:t>
      </w:r>
    </w:p>
    <w:p w:rsidR="005E7CE0" w:rsidRPr="00A91E8E" w:rsidRDefault="005E7CE0" w:rsidP="005E7CE0">
      <w:pPr>
        <w:pStyle w:val="Prrafodelista"/>
        <w:tabs>
          <w:tab w:val="left" w:pos="567"/>
        </w:tabs>
        <w:spacing w:line="360" w:lineRule="auto"/>
        <w:ind w:left="0"/>
        <w:jc w:val="both"/>
        <w:rPr>
          <w:rFonts w:ascii="Palatino Linotype" w:eastAsia="Calibri" w:hAnsi="Palatino Linotype" w:cs="Arial"/>
          <w:szCs w:val="22"/>
        </w:rPr>
      </w:pPr>
    </w:p>
    <w:p w:rsidR="005E7CE0" w:rsidRPr="00A91E8E" w:rsidRDefault="005E7CE0" w:rsidP="005E7CE0">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Cs w:val="22"/>
        </w:rPr>
      </w:pPr>
      <w:r w:rsidRPr="00A91E8E">
        <w:rPr>
          <w:rFonts w:ascii="Palatino Linotype" w:eastAsia="MS Mincho" w:hAnsi="Palatino Linotype"/>
          <w:szCs w:val="22"/>
        </w:rPr>
        <w:t xml:space="preserve">En ese sentido, es necesario mencionar que el acceso a la información es un derecho humano constitucional y convencionalmente reconocido y para tal efecto </w:t>
      </w:r>
      <w:r w:rsidRPr="00A91E8E">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A91E8E">
        <w:rPr>
          <w:rFonts w:ascii="Palatino Linotype" w:eastAsia="Calibri" w:hAnsi="Palatino Linotype"/>
          <w:i/>
          <w:szCs w:val="22"/>
          <w:lang w:val="es-ES"/>
        </w:rPr>
        <w:t xml:space="preserve">en el ámbito de sus atribuciones, de promover, respetar, proteger y </w:t>
      </w:r>
      <w:r w:rsidRPr="00A91E8E">
        <w:rPr>
          <w:rFonts w:ascii="Palatino Linotype" w:eastAsia="Calibri" w:hAnsi="Palatino Linotype"/>
          <w:b/>
          <w:i/>
          <w:szCs w:val="22"/>
          <w:lang w:val="es-ES"/>
        </w:rPr>
        <w:t>garantizar</w:t>
      </w:r>
      <w:r w:rsidRPr="00A91E8E">
        <w:rPr>
          <w:rFonts w:ascii="Palatino Linotype" w:eastAsia="Calibri" w:hAnsi="Palatino Linotype"/>
          <w:i/>
          <w:szCs w:val="22"/>
          <w:lang w:val="es-ES"/>
        </w:rPr>
        <w:t xml:space="preserve"> los derechos humanos. </w:t>
      </w:r>
      <w:r w:rsidRPr="00A91E8E">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A91E8E">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A91E8E">
        <w:rPr>
          <w:rStyle w:val="Refdenotaalpie"/>
          <w:rFonts w:ascii="Palatino Linotype" w:hAnsi="Palatino Linotype"/>
          <w:i/>
          <w:szCs w:val="22"/>
        </w:rPr>
        <w:footnoteReference w:id="1"/>
      </w:r>
      <w:r w:rsidRPr="00A91E8E">
        <w:rPr>
          <w:rFonts w:ascii="Palatino Linotype" w:hAnsi="Palatino Linotype"/>
          <w:i/>
          <w:szCs w:val="22"/>
        </w:rPr>
        <w:t xml:space="preserve">, </w:t>
      </w:r>
      <w:r w:rsidRPr="00A91E8E">
        <w:rPr>
          <w:rFonts w:ascii="Palatino Linotype" w:hAnsi="Palatino Linotype"/>
          <w:szCs w:val="22"/>
        </w:rPr>
        <w:t>asimismo establece</w:t>
      </w:r>
      <w:r w:rsidRPr="00A91E8E">
        <w:rPr>
          <w:rFonts w:ascii="Palatino Linotype" w:hAnsi="Palatino Linotype"/>
          <w:i/>
          <w:szCs w:val="22"/>
        </w:rPr>
        <w:t xml:space="preserve"> que las unidades de transparencia de los Sujetos Obligados deberán garantizar las medidas y condiciones de accesibilidad para que toda persona pueda </w:t>
      </w:r>
      <w:r w:rsidRPr="00A91E8E">
        <w:rPr>
          <w:rFonts w:ascii="Palatino Linotype" w:hAnsi="Palatino Linotype"/>
          <w:i/>
          <w:szCs w:val="22"/>
        </w:rPr>
        <w:lastRenderedPageBreak/>
        <w:t>ejercer el derecho de acceso a la información, mediante solicitudes de información y deberá apoyar al solicitante en la elaboración de las mismas.</w:t>
      </w:r>
    </w:p>
    <w:p w:rsidR="005E7CE0" w:rsidRPr="00A91E8E" w:rsidRDefault="005E7CE0" w:rsidP="005E7CE0">
      <w:pPr>
        <w:pStyle w:val="Prrafodelista"/>
        <w:rPr>
          <w:rFonts w:ascii="Palatino Linotype" w:eastAsia="Calibri" w:hAnsi="Palatino Linotype" w:cs="Arial"/>
          <w:szCs w:val="22"/>
        </w:rPr>
      </w:pPr>
    </w:p>
    <w:p w:rsidR="005E7CE0" w:rsidRPr="00A91E8E" w:rsidRDefault="005E7CE0" w:rsidP="005E7CE0">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5E7CE0" w:rsidRPr="00A91E8E" w:rsidRDefault="005E7CE0" w:rsidP="005E7CE0">
      <w:pPr>
        <w:pStyle w:val="Prrafodelista"/>
        <w:rPr>
          <w:rFonts w:ascii="Palatino Linotype" w:hAnsi="Palatino Linotype"/>
          <w:szCs w:val="22"/>
        </w:rPr>
      </w:pPr>
    </w:p>
    <w:p w:rsidR="005E7CE0" w:rsidRPr="00A91E8E" w:rsidRDefault="005E7CE0" w:rsidP="005E7CE0">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hAnsi="Palatino Linotype"/>
          <w:szCs w:val="22"/>
        </w:rPr>
        <w:t xml:space="preserve">Es así que, su obligación es </w:t>
      </w:r>
      <w:r w:rsidRPr="00A91E8E">
        <w:rPr>
          <w:rFonts w:ascii="Palatino Linotype" w:hAnsi="Palatino Linotype"/>
          <w:i/>
          <w:szCs w:val="22"/>
        </w:rPr>
        <w:t>realizar, con efectividad, los trámites internos necesarios para la atención de las solicitudes de información</w:t>
      </w:r>
      <w:r w:rsidRPr="00A91E8E">
        <w:rPr>
          <w:rStyle w:val="Refdenotaalpie"/>
          <w:rFonts w:ascii="Palatino Linotype" w:hAnsi="Palatino Linotype"/>
          <w:szCs w:val="22"/>
        </w:rPr>
        <w:footnoteReference w:id="2"/>
      </w:r>
      <w:r w:rsidRPr="00A91E8E">
        <w:rPr>
          <w:rFonts w:ascii="Palatino Linotype" w:hAnsi="Palatino Linotype"/>
          <w:szCs w:val="22"/>
        </w:rPr>
        <w:t>, es decir, deben otorgar respuestas concisas, contundentes y sobre todo que den la certeza de los actos que realizan.</w:t>
      </w:r>
    </w:p>
    <w:p w:rsidR="00E627EF" w:rsidRPr="00A91E8E" w:rsidRDefault="00E627EF" w:rsidP="00E627EF">
      <w:pPr>
        <w:pStyle w:val="Prrafodelista"/>
        <w:rPr>
          <w:rFonts w:ascii="Palatino Linotype" w:eastAsia="Calibri" w:hAnsi="Palatino Linotype" w:cs="Arial"/>
          <w:szCs w:val="22"/>
        </w:rPr>
      </w:pPr>
    </w:p>
    <w:p w:rsidR="00E627EF" w:rsidRPr="00A91E8E" w:rsidRDefault="00E627EF" w:rsidP="00E627EF">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En ese sentido, conviene señalar que la materia elemental de la solicitud versa sobre contratos, los cuales son derivados de la contratación de bienes y servicios. R</w:t>
      </w:r>
      <w:r w:rsidRPr="00A91E8E">
        <w:rPr>
          <w:rFonts w:ascii="Palatino Linotype" w:eastAsia="Palatino Linotype" w:hAnsi="Palatino Linotype" w:cs="Palatino Linotype"/>
          <w:szCs w:val="22"/>
        </w:rPr>
        <w:t xml:space="preserve">azón por la que es indispensable traer a contexto lo dispuesto en la Ley de la Contratación Pública del Estado de México y Municipios, la cual tiene por objeto regular los actos relativos a la planeación, programación, presupuestación, ejecución y control de </w:t>
      </w:r>
      <w:r w:rsidRPr="00A91E8E">
        <w:rPr>
          <w:rFonts w:ascii="Palatino Linotype" w:eastAsia="Palatino Linotype" w:hAnsi="Palatino Linotype" w:cs="Palatino Linotype"/>
          <w:b/>
          <w:szCs w:val="22"/>
        </w:rPr>
        <w:t xml:space="preserve">la </w:t>
      </w:r>
      <w:r w:rsidRPr="00A91E8E">
        <w:rPr>
          <w:rFonts w:ascii="Palatino Linotype" w:eastAsia="Palatino Linotype" w:hAnsi="Palatino Linotype" w:cs="Palatino Linotype"/>
          <w:b/>
          <w:szCs w:val="22"/>
          <w:u w:val="single"/>
        </w:rPr>
        <w:t>adquisición</w:t>
      </w:r>
      <w:r w:rsidRPr="00A91E8E">
        <w:rPr>
          <w:rFonts w:ascii="Palatino Linotype" w:eastAsia="Palatino Linotype" w:hAnsi="Palatino Linotype" w:cs="Palatino Linotype"/>
          <w:szCs w:val="22"/>
        </w:rPr>
        <w:t xml:space="preserve">, enajenación y </w:t>
      </w:r>
      <w:r w:rsidRPr="00A91E8E">
        <w:rPr>
          <w:rFonts w:ascii="Palatino Linotype" w:eastAsia="Palatino Linotype" w:hAnsi="Palatino Linotype" w:cs="Palatino Linotype"/>
          <w:b/>
          <w:szCs w:val="22"/>
        </w:rPr>
        <w:t xml:space="preserve">arrendamiento </w:t>
      </w:r>
      <w:r w:rsidRPr="00A91E8E">
        <w:rPr>
          <w:rFonts w:ascii="Palatino Linotype" w:eastAsia="Palatino Linotype" w:hAnsi="Palatino Linotype" w:cs="Palatino Linotype"/>
          <w:b/>
          <w:szCs w:val="22"/>
          <w:u w:val="single"/>
        </w:rPr>
        <w:t>de bienes</w:t>
      </w:r>
      <w:r w:rsidRPr="00A91E8E">
        <w:rPr>
          <w:rFonts w:ascii="Palatino Linotype" w:eastAsia="Palatino Linotype" w:hAnsi="Palatino Linotype" w:cs="Palatino Linotype"/>
          <w:szCs w:val="22"/>
        </w:rPr>
        <w:t xml:space="preserve">, </w:t>
      </w:r>
      <w:r w:rsidRPr="00A91E8E">
        <w:rPr>
          <w:rFonts w:ascii="Palatino Linotype" w:eastAsia="Palatino Linotype" w:hAnsi="Palatino Linotype" w:cs="Palatino Linotype"/>
          <w:b/>
          <w:szCs w:val="22"/>
        </w:rPr>
        <w:t xml:space="preserve">y la </w:t>
      </w:r>
      <w:r w:rsidRPr="00A91E8E">
        <w:rPr>
          <w:rFonts w:ascii="Palatino Linotype" w:eastAsia="Palatino Linotype" w:hAnsi="Palatino Linotype" w:cs="Palatino Linotype"/>
          <w:b/>
          <w:szCs w:val="22"/>
          <w:u w:val="single"/>
        </w:rPr>
        <w:t>contratación de servicios de cualquier naturaleza</w:t>
      </w:r>
      <w:r w:rsidRPr="00A91E8E">
        <w:rPr>
          <w:rFonts w:ascii="Palatino Linotype" w:eastAsia="Palatino Linotype" w:hAnsi="Palatino Linotype" w:cs="Palatino Linotype"/>
          <w:szCs w:val="22"/>
          <w:u w:val="single"/>
        </w:rPr>
        <w:t xml:space="preserve">, que realicen </w:t>
      </w:r>
      <w:r w:rsidRPr="00A91E8E">
        <w:rPr>
          <w:rFonts w:ascii="Palatino Linotype" w:eastAsia="Palatino Linotype" w:hAnsi="Palatino Linotype" w:cs="Palatino Linotype"/>
          <w:szCs w:val="22"/>
          <w:u w:val="single"/>
        </w:rPr>
        <w:lastRenderedPageBreak/>
        <w:t>los Ayuntamientos del Estado</w:t>
      </w:r>
      <w:r w:rsidRPr="00A91E8E">
        <w:rPr>
          <w:rFonts w:ascii="Palatino Linotype" w:eastAsia="Palatino Linotype" w:hAnsi="Palatino Linotype" w:cs="Palatino Linotype"/>
          <w:szCs w:val="22"/>
        </w:rPr>
        <w:t xml:space="preserve">; los cuales se adjudicarán a través de </w:t>
      </w:r>
      <w:r w:rsidRPr="00A91E8E">
        <w:rPr>
          <w:rFonts w:ascii="Palatino Linotype" w:eastAsia="Palatino Linotype" w:hAnsi="Palatino Linotype" w:cs="Palatino Linotype"/>
          <w:szCs w:val="22"/>
          <w:u w:val="single"/>
        </w:rPr>
        <w:t>licitaciones públicas</w:t>
      </w:r>
      <w:r w:rsidRPr="00A91E8E">
        <w:rPr>
          <w:rFonts w:ascii="Palatino Linotype" w:eastAsia="Palatino Linotype" w:hAnsi="Palatino Linotype" w:cs="Palatino Linotype"/>
          <w:szCs w:val="22"/>
        </w:rPr>
        <w:t>, i</w:t>
      </w:r>
      <w:r w:rsidRPr="00A91E8E">
        <w:rPr>
          <w:rFonts w:ascii="Palatino Linotype" w:eastAsia="Palatino Linotype" w:hAnsi="Palatino Linotype" w:cs="Palatino Linotype"/>
          <w:szCs w:val="22"/>
          <w:u w:val="single"/>
        </w:rPr>
        <w:t>nvitación restringida o adjudicación directa,</w:t>
      </w:r>
      <w:r w:rsidRPr="00A91E8E">
        <w:rPr>
          <w:rFonts w:ascii="Palatino Linotype" w:eastAsia="Palatino Linotype" w:hAnsi="Palatino Linotype" w:cs="Palatino Linotype"/>
          <w:szCs w:val="22"/>
        </w:rPr>
        <w:t xml:space="preserve"> mediante convocatoria pública, tal y como lo establecen los artículos 4, 26 y 27 de dicha Ley, los cuales son del tenor siguiente: </w:t>
      </w:r>
    </w:p>
    <w:p w:rsidR="00E627EF" w:rsidRPr="00A91E8E" w:rsidRDefault="00E627EF" w:rsidP="00E627EF">
      <w:pPr>
        <w:pStyle w:val="Prrafodelista"/>
        <w:tabs>
          <w:tab w:val="left" w:pos="567"/>
        </w:tabs>
        <w:spacing w:line="360" w:lineRule="auto"/>
        <w:ind w:left="0"/>
        <w:jc w:val="both"/>
        <w:rPr>
          <w:rFonts w:ascii="Palatino Linotype" w:eastAsia="Calibri" w:hAnsi="Palatino Linotype" w:cs="Arial"/>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w:t>
      </w:r>
      <w:r w:rsidRPr="00A91E8E">
        <w:rPr>
          <w:rFonts w:ascii="Palatino Linotype" w:eastAsia="Palatino Linotype" w:hAnsi="Palatino Linotype" w:cs="Palatino Linotype"/>
          <w:b/>
          <w:i/>
          <w:sz w:val="22"/>
          <w:szCs w:val="22"/>
        </w:rPr>
        <w:t>Artículo 4.-</w:t>
      </w:r>
      <w:r w:rsidRPr="00A91E8E">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u w:val="single"/>
        </w:rPr>
      </w:pPr>
      <w:r w:rsidRPr="00A91E8E">
        <w:rPr>
          <w:rFonts w:ascii="Palatino Linotype" w:eastAsia="Palatino Linotype" w:hAnsi="Palatino Linotype" w:cs="Palatino Linotype"/>
          <w:b/>
          <w:i/>
          <w:sz w:val="22"/>
          <w:szCs w:val="22"/>
          <w:u w:val="single"/>
        </w:rPr>
        <w:t xml:space="preserve">I. La adquisición de bienes muebles. </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II. La adquisición de bienes inmuebles, a través de compraventa. </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III. La enajenación de bienes muebles e inmuebles. </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IV. El arrendamiento de bienes muebles e inmuebles. </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u w:val="single"/>
        </w:rPr>
      </w:pPr>
      <w:r w:rsidRPr="00A91E8E">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VI. La contratación de los servicios de reconstrucción y mantenimiento de bienes muebles. </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u w:val="single"/>
        </w:rPr>
        <w:t>VII. La contratación de los servicios de maquila, seguros y transportación, así como de los de limpieza y vigilancia de bienes inmuebles</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u w:val="single"/>
        </w:rPr>
      </w:pPr>
      <w:r w:rsidRPr="00A91E8E">
        <w:rPr>
          <w:rFonts w:ascii="Palatino Linotype" w:eastAsia="Palatino Linotype" w:hAnsi="Palatino Linotype" w:cs="Palatino Linotype"/>
          <w:b/>
          <w:i/>
          <w:sz w:val="22"/>
          <w:szCs w:val="22"/>
          <w:u w:val="single"/>
        </w:rPr>
        <w:t>En general, otros actos que impliquen la contratación de servicios de cualquier naturaleza.</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rPr>
        <w:lastRenderedPageBreak/>
        <w:t>Artículo 26.- Las adquisiciones, arrendamientos y servicios se adjudicarán a través de licitaciones públicas, mediante convocatoria pública.</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t xml:space="preserve">Artículo 27.- </w:t>
      </w:r>
      <w:r w:rsidRPr="00A91E8E">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rPr>
        <w:t xml:space="preserve">I. Invitación restringida. </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rPr>
        <w:t>II. Adjudicación directa.”</w:t>
      </w:r>
    </w:p>
    <w:p w:rsidR="00E627EF" w:rsidRPr="00A91E8E" w:rsidRDefault="00E627EF" w:rsidP="00E627EF">
      <w:pPr>
        <w:spacing w:line="360" w:lineRule="auto"/>
        <w:ind w:left="567" w:right="567"/>
        <w:jc w:val="right"/>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(Énfasis añadido) </w:t>
      </w:r>
    </w:p>
    <w:p w:rsidR="00E627EF" w:rsidRPr="00A91E8E" w:rsidRDefault="00E627EF" w:rsidP="00E627EF">
      <w:pPr>
        <w:spacing w:line="360" w:lineRule="auto"/>
        <w:jc w:val="both"/>
        <w:rPr>
          <w:rFonts w:ascii="Palatino Linotype" w:eastAsia="Palatino Linotype" w:hAnsi="Palatino Linotype" w:cs="Palatino Linotype"/>
          <w:sz w:val="22"/>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rsidR="00E627EF" w:rsidRPr="00A91E8E" w:rsidRDefault="00E627EF" w:rsidP="00E627EF">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rsidR="00E627EF" w:rsidRPr="00A91E8E" w:rsidRDefault="00E627EF" w:rsidP="00E627EF">
      <w:pPr>
        <w:pStyle w:val="Prrafodelista"/>
        <w:spacing w:line="360" w:lineRule="auto"/>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Por lo que, en las licitaciones se debe seguir el procedimiento marcado en el artículo 35 del precitado ordenamiento, que literalmente establece:</w:t>
      </w:r>
    </w:p>
    <w:p w:rsidR="00E627EF" w:rsidRPr="00A91E8E" w:rsidRDefault="00E627EF" w:rsidP="00E627EF">
      <w:pPr>
        <w:spacing w:line="360" w:lineRule="auto"/>
        <w:jc w:val="both"/>
        <w:rPr>
          <w:rFonts w:ascii="Palatino Linotype" w:eastAsia="Palatino Linotype" w:hAnsi="Palatino Linotype" w:cs="Palatino Linotype"/>
          <w:sz w:val="22"/>
          <w:szCs w:val="22"/>
        </w:rPr>
      </w:pP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t>“Artículo 35</w:t>
      </w:r>
      <w:r w:rsidRPr="00A91E8E">
        <w:rPr>
          <w:rFonts w:ascii="Palatino Linotype" w:eastAsia="Palatino Linotype" w:hAnsi="Palatino Linotype" w:cs="Palatino Linotype"/>
          <w:i/>
          <w:sz w:val="22"/>
          <w:szCs w:val="22"/>
        </w:rPr>
        <w:t>.- En los procedimientos de licitación pública se observará lo siguiente:</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 xml:space="preserve">III. Las bases de licitación se pondrán a la venta a partir de la fecha de publicación de la convocatoria y hasta el día hábil anterior a la fecha de celebración </w:t>
      </w:r>
      <w:r w:rsidRPr="00A91E8E">
        <w:rPr>
          <w:rFonts w:ascii="Palatino Linotype" w:eastAsia="Palatino Linotype" w:hAnsi="Palatino Linotype" w:cs="Palatino Linotype"/>
          <w:b/>
          <w:i/>
          <w:sz w:val="22"/>
          <w:szCs w:val="22"/>
        </w:rPr>
        <w:t>de la junta de aclaraciones</w:t>
      </w:r>
      <w:r w:rsidRPr="00A91E8E">
        <w:rPr>
          <w:rFonts w:ascii="Palatino Linotype" w:eastAsia="Palatino Linotype" w:hAnsi="Palatino Linotype" w:cs="Palatino Linotype"/>
          <w:i/>
          <w:sz w:val="22"/>
          <w:szCs w:val="22"/>
        </w:rPr>
        <w:t xml:space="preserve"> o, en su defecto, del acto de presentación y apertura de propuestas.</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VII. Se emitirá el fallo dentro de los 15 días hábiles siguientes a la publicación de la convocatoria.</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lastRenderedPageBreak/>
        <w:t>VIII. Los licitantes se podrán registrar hasta el día y la hora fijados para el acto de presentación y apertura de propuestas.</w:t>
      </w:r>
      <w:r w:rsidRPr="00A91E8E">
        <w:rPr>
          <w:rFonts w:ascii="Palatino Linotype" w:eastAsia="Palatino Linotype" w:hAnsi="Palatino Linotype" w:cs="Palatino Linotype"/>
          <w:b/>
          <w:i/>
          <w:sz w:val="22"/>
          <w:szCs w:val="22"/>
        </w:rPr>
        <w:t>”</w:t>
      </w:r>
    </w:p>
    <w:p w:rsidR="00E627EF" w:rsidRPr="00A91E8E" w:rsidRDefault="00E627EF" w:rsidP="00E627EF">
      <w:pPr>
        <w:spacing w:line="360" w:lineRule="auto"/>
        <w:ind w:left="567" w:right="567"/>
        <w:jc w:val="right"/>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(Énfasis añadido)</w:t>
      </w: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rsidR="00E627EF" w:rsidRPr="00A91E8E" w:rsidRDefault="00E627EF" w:rsidP="00E627E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Además, respecto al dictamen y el fallo de la adjudicación, es de señalar que la Ley en mención indica lo siguiente:</w:t>
      </w:r>
    </w:p>
    <w:p w:rsidR="00E627EF" w:rsidRPr="00A91E8E" w:rsidRDefault="00E627EF" w:rsidP="00E627EF">
      <w:pPr>
        <w:spacing w:line="360" w:lineRule="auto"/>
        <w:jc w:val="both"/>
        <w:rPr>
          <w:rFonts w:ascii="Palatino Linotype" w:eastAsia="Palatino Linotype" w:hAnsi="Palatino Linotype" w:cs="Palatino Linotype"/>
          <w:sz w:val="22"/>
          <w:szCs w:val="22"/>
        </w:rPr>
      </w:pP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t>“Artículo 37.-</w:t>
      </w:r>
      <w:r w:rsidRPr="00A91E8E">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rsidR="00E627EF" w:rsidRPr="00A91E8E" w:rsidRDefault="00E627EF" w:rsidP="00E627EF">
      <w:pPr>
        <w:spacing w:line="360" w:lineRule="auto"/>
        <w:ind w:left="567" w:right="567"/>
        <w:jc w:val="both"/>
        <w:rPr>
          <w:rFonts w:ascii="Palatino Linotype" w:eastAsia="Palatino Linotype" w:hAnsi="Palatino Linotype" w:cs="Palatino Linotype"/>
          <w:b/>
          <w:i/>
          <w:sz w:val="22"/>
          <w:szCs w:val="22"/>
        </w:rPr>
      </w:pP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t>Artículo 38.-</w:t>
      </w:r>
      <w:r w:rsidRPr="00A91E8E">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w:t>
      </w:r>
      <w:r w:rsidRPr="00A91E8E">
        <w:rPr>
          <w:rFonts w:ascii="Palatino Linotype" w:eastAsia="Palatino Linotype" w:hAnsi="Palatino Linotype" w:cs="Palatino Linotype"/>
          <w:i/>
          <w:sz w:val="22"/>
          <w:szCs w:val="22"/>
        </w:rPr>
        <w:lastRenderedPageBreak/>
        <w:t>junta pública, cuya fecha se informará en el acto de presentación y apertura de proposiciones, pudiéndose diferir por una sola ocasión.</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A91E8E">
        <w:rPr>
          <w:rFonts w:ascii="Palatino Linotype" w:eastAsia="Palatino Linotype" w:hAnsi="Palatino Linotype" w:cs="Palatino Linotype"/>
          <w:b/>
          <w:i/>
          <w:sz w:val="22"/>
          <w:szCs w:val="22"/>
        </w:rPr>
        <w:t>”</w:t>
      </w:r>
      <w:r w:rsidRPr="00A91E8E">
        <w:rPr>
          <w:rFonts w:ascii="Palatino Linotype" w:eastAsia="Palatino Linotype" w:hAnsi="Palatino Linotype" w:cs="Palatino Linotype"/>
          <w:i/>
          <w:sz w:val="22"/>
          <w:szCs w:val="22"/>
        </w:rPr>
        <w:t xml:space="preserve"> </w:t>
      </w:r>
    </w:p>
    <w:p w:rsidR="00E627EF" w:rsidRPr="00A91E8E" w:rsidRDefault="00E627EF" w:rsidP="00E627EF">
      <w:pPr>
        <w:spacing w:line="360" w:lineRule="auto"/>
        <w:ind w:left="567" w:right="567"/>
        <w:jc w:val="both"/>
        <w:rPr>
          <w:rFonts w:ascii="Palatino Linotype" w:eastAsia="Palatino Linotype" w:hAnsi="Palatino Linotype" w:cs="Palatino Linotype"/>
          <w:i/>
          <w:sz w:val="22"/>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rsidR="00E627EF" w:rsidRPr="00A91E8E" w:rsidRDefault="00E627EF" w:rsidP="00E627EF">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rsidR="00E627EF" w:rsidRPr="00A91E8E" w:rsidRDefault="00E627EF" w:rsidP="00E627EF">
      <w:pPr>
        <w:spacing w:line="360" w:lineRule="auto"/>
        <w:jc w:val="both"/>
        <w:rPr>
          <w:rFonts w:ascii="Palatino Linotype" w:eastAsia="Palatino Linotype" w:hAnsi="Palatino Linotype" w:cs="Palatino Linotype"/>
          <w:sz w:val="22"/>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t>“Artículo 46.-</w:t>
      </w:r>
      <w:r w:rsidRPr="00A91E8E">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b/>
          <w:i/>
          <w:sz w:val="22"/>
          <w:szCs w:val="22"/>
        </w:rPr>
        <w:lastRenderedPageBreak/>
        <w:t>Artículo 90.-</w:t>
      </w:r>
      <w:r w:rsidRPr="00A91E8E">
        <w:rPr>
          <w:rFonts w:ascii="Palatino Linotype" w:eastAsia="Palatino Linotype" w:hAnsi="Palatino Linotype" w:cs="Palatino Linotype"/>
          <w:i/>
          <w:sz w:val="22"/>
          <w:szCs w:val="22"/>
        </w:rPr>
        <w:t xml:space="preserve"> En el procedimiento de invitación restringida se deberá observar lo siguiente:</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II. Las bases de la invitación restringida indicarán los aspectos de la adquisición o contratación; y</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i/>
          <w:sz w:val="22"/>
          <w:szCs w:val="22"/>
        </w:rPr>
        <w:t>III. Serán aplicables, en lo conducente, las disposiciones de la licitación pública.</w:t>
      </w:r>
      <w:r w:rsidRPr="00A91E8E">
        <w:rPr>
          <w:rFonts w:ascii="Palatino Linotype" w:eastAsia="Palatino Linotype" w:hAnsi="Palatino Linotype" w:cs="Palatino Linotype"/>
          <w:b/>
          <w:i/>
          <w:sz w:val="22"/>
          <w:szCs w:val="22"/>
        </w:rPr>
        <w:t>”</w:t>
      </w:r>
    </w:p>
    <w:p w:rsidR="00E627EF" w:rsidRPr="00A91E8E" w:rsidRDefault="00E627EF" w:rsidP="00E627EF">
      <w:pPr>
        <w:spacing w:line="360" w:lineRule="auto"/>
        <w:ind w:left="709" w:right="822"/>
        <w:jc w:val="both"/>
        <w:rPr>
          <w:rFonts w:ascii="Palatino Linotype" w:eastAsia="Palatino Linotype" w:hAnsi="Palatino Linotype" w:cs="Palatino Linotype"/>
          <w:i/>
          <w:sz w:val="22"/>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rsidR="00E627EF" w:rsidRPr="00A91E8E" w:rsidRDefault="00E627EF" w:rsidP="00E627EF">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Por último, y en cuanto hace a la adjudicación directa, el artículo 48 de la Ley de la Contratación Pública del Estado de México y Municipios y 91 del Reglamento de dicha Ley, indican en qué supuestos puede llevarse a cabo este procedimiento.</w:t>
      </w:r>
    </w:p>
    <w:p w:rsidR="00E627EF" w:rsidRPr="00A91E8E" w:rsidRDefault="00E627EF" w:rsidP="00E627EF">
      <w:pPr>
        <w:pStyle w:val="Prrafodelista"/>
        <w:spacing w:line="360" w:lineRule="auto"/>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 xml:space="preserve">En este sentido, el convocante debe solicitar a su comité el dictamen correspondiente del procedimiento de adjudicación directa, en el que se acredite previamente la descripción </w:t>
      </w:r>
      <w:r w:rsidRPr="00A91E8E">
        <w:rPr>
          <w:rFonts w:ascii="Palatino Linotype" w:eastAsia="Palatino Linotype" w:hAnsi="Palatino Linotype" w:cs="Palatino Linotype"/>
          <w:color w:val="000000"/>
          <w:szCs w:val="22"/>
        </w:rPr>
        <w:lastRenderedPageBreak/>
        <w:t xml:space="preserve">general de los bienes a adquirir; </w:t>
      </w:r>
      <w:r w:rsidRPr="00A91E8E">
        <w:rPr>
          <w:rFonts w:ascii="Palatino Linotype" w:eastAsia="Palatino Linotype" w:hAnsi="Palatino Linotype" w:cs="Palatino Linotype"/>
          <w:b/>
          <w:color w:val="000000"/>
          <w:szCs w:val="22"/>
        </w:rPr>
        <w:t>la justificación o conveniencia de llevar a cabo la adjudicación directa</w:t>
      </w:r>
      <w:r w:rsidRPr="00A91E8E">
        <w:rPr>
          <w:rFonts w:ascii="Palatino Linotype" w:eastAsia="Palatino Linotype" w:hAnsi="Palatino Linotype" w:cs="Palatino Linotype"/>
          <w:color w:val="000000"/>
          <w:szCs w:val="22"/>
        </w:rPr>
        <w:t>; y la certificación de suficiencia presupuestaria.</w:t>
      </w:r>
    </w:p>
    <w:p w:rsidR="00E627EF" w:rsidRPr="00A91E8E" w:rsidRDefault="00E627EF" w:rsidP="00E627EF">
      <w:pPr>
        <w:pStyle w:val="Prrafodelista"/>
        <w:spacing w:line="360" w:lineRule="auto"/>
        <w:rPr>
          <w:rFonts w:ascii="Palatino Linotype" w:eastAsia="Palatino Linotype" w:hAnsi="Palatino Linotype" w:cs="Palatino Linotype"/>
          <w:color w:val="000000"/>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A91E8E">
        <w:rPr>
          <w:rFonts w:ascii="Palatino Linotype" w:eastAsia="Palatino Linotype" w:hAnsi="Palatino Linotype" w:cs="Palatino Linotype"/>
          <w:color w:val="000000"/>
          <w:szCs w:val="22"/>
        </w:rPr>
        <w:t xml:space="preserve">En este sentido, debe decirse que los </w:t>
      </w:r>
      <w:r w:rsidRPr="00A91E8E">
        <w:rPr>
          <w:rFonts w:ascii="Palatino Linotype" w:eastAsia="Palatino Linotype" w:hAnsi="Palatino Linotype" w:cs="Palatino Linotype"/>
          <w:b/>
          <w:color w:val="000000"/>
          <w:szCs w:val="22"/>
          <w:u w:val="single"/>
        </w:rPr>
        <w:t>expedientes de las adquisiciones, arrendamientos, enajenaciones y servicios</w:t>
      </w:r>
      <w:r w:rsidRPr="00A91E8E">
        <w:rPr>
          <w:rFonts w:ascii="Palatino Linotype" w:eastAsia="Palatino Linotype" w:hAnsi="Palatino Linotype" w:cs="Palatino Linotype"/>
          <w:color w:val="000000"/>
          <w:szCs w:val="22"/>
        </w:rPr>
        <w:t>, se encuentra considerada como una de las obligaciones de transparencias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rsidR="00E627EF" w:rsidRPr="00A91E8E" w:rsidRDefault="00E627EF" w:rsidP="00E627EF">
      <w:pPr>
        <w:spacing w:line="360" w:lineRule="auto"/>
        <w:jc w:val="both"/>
        <w:rPr>
          <w:rFonts w:ascii="Palatino Linotype" w:eastAsia="Palatino Linotype" w:hAnsi="Palatino Linotype" w:cs="Palatino Linotype"/>
          <w:sz w:val="22"/>
          <w:szCs w:val="22"/>
        </w:rPr>
      </w:pP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“Artículo 92. </w:t>
      </w:r>
      <w:r w:rsidRPr="00A91E8E">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i/>
          <w:sz w:val="22"/>
          <w:szCs w:val="22"/>
        </w:rPr>
        <w:t>(…)</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XXIX. </w:t>
      </w:r>
      <w:r w:rsidRPr="00A91E8E">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A91E8E">
        <w:rPr>
          <w:rFonts w:ascii="Palatino Linotype" w:eastAsia="Palatino Linotype" w:hAnsi="Palatino Linotype" w:cs="Palatino Linotype"/>
          <w:b/>
          <w:i/>
          <w:sz w:val="22"/>
          <w:szCs w:val="22"/>
          <w:u w:val="single"/>
        </w:rPr>
        <w:t>incluyendo la versión pública del expediente respectivo y de los contratos</w:t>
      </w:r>
      <w:r w:rsidRPr="00A91E8E">
        <w:rPr>
          <w:rFonts w:ascii="Palatino Linotype" w:eastAsia="Palatino Linotype" w:hAnsi="Palatino Linotype" w:cs="Palatino Linotype"/>
          <w:i/>
          <w:sz w:val="22"/>
          <w:szCs w:val="22"/>
        </w:rPr>
        <w:t> celebrados, que deberán contener, por los menos, lo siguiente:</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a) </w:t>
      </w:r>
      <w:r w:rsidRPr="00A91E8E">
        <w:rPr>
          <w:rFonts w:ascii="Palatino Linotype" w:eastAsia="Palatino Linotype" w:hAnsi="Palatino Linotype" w:cs="Palatino Linotype"/>
          <w:i/>
          <w:sz w:val="22"/>
          <w:szCs w:val="22"/>
        </w:rPr>
        <w:t>De licitaciones públicas o procedimientos de invitación restringida:</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lastRenderedPageBreak/>
        <w:t>1)</w:t>
      </w:r>
      <w:r w:rsidRPr="00A91E8E">
        <w:rPr>
          <w:rFonts w:ascii="Palatino Linotype" w:eastAsia="Palatino Linotype" w:hAnsi="Palatino Linotype" w:cs="Palatino Linotype"/>
          <w:i/>
          <w:sz w:val="22"/>
          <w:szCs w:val="22"/>
        </w:rPr>
        <w:t> La convocatoria o invitación emitida, así como los fundamentos legales aplicados para llevarla a cabo;</w:t>
      </w:r>
    </w:p>
    <w:p w:rsidR="00E627EF" w:rsidRPr="00A91E8E" w:rsidRDefault="00E627EF" w:rsidP="00E627EF">
      <w:pPr>
        <w:spacing w:line="360" w:lineRule="auto"/>
        <w:ind w:left="567"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2) Los nombres de los participantes o invitados;</w:t>
      </w:r>
    </w:p>
    <w:p w:rsidR="00E627EF" w:rsidRPr="00A91E8E" w:rsidRDefault="00E627EF" w:rsidP="00E627EF">
      <w:pPr>
        <w:spacing w:line="360" w:lineRule="auto"/>
        <w:ind w:left="567"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3) El nombre del ganador y las razones que lo justifican;</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4) </w:t>
      </w:r>
      <w:r w:rsidRPr="00A91E8E">
        <w:rPr>
          <w:rFonts w:ascii="Palatino Linotype" w:eastAsia="Palatino Linotype" w:hAnsi="Palatino Linotype" w:cs="Palatino Linotype"/>
          <w:i/>
          <w:sz w:val="22"/>
          <w:szCs w:val="22"/>
        </w:rPr>
        <w:t>El área solicitante y la responsable de su ejecución;</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5) </w:t>
      </w:r>
      <w:r w:rsidRPr="00A91E8E">
        <w:rPr>
          <w:rFonts w:ascii="Palatino Linotype" w:eastAsia="Palatino Linotype" w:hAnsi="Palatino Linotype" w:cs="Palatino Linotype"/>
          <w:i/>
          <w:sz w:val="22"/>
          <w:szCs w:val="22"/>
        </w:rPr>
        <w:t>Las convocatorias e invitaciones emitidas;</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6) Los dictámenes y fallo de adjudicación;</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u w:val="single"/>
        </w:rPr>
        <w:t>7) El contrato y, en su caso, sus anexos</w:t>
      </w:r>
      <w:r w:rsidRPr="00A91E8E">
        <w:rPr>
          <w:rFonts w:ascii="Palatino Linotype" w:eastAsia="Palatino Linotype" w:hAnsi="Palatino Linotype" w:cs="Palatino Linotype"/>
          <w:b/>
          <w:i/>
          <w:sz w:val="22"/>
          <w:szCs w:val="22"/>
        </w:rPr>
        <w:t>;</w:t>
      </w:r>
    </w:p>
    <w:p w:rsidR="00E627EF" w:rsidRPr="00A91E8E" w:rsidRDefault="00E627EF" w:rsidP="00E627EF">
      <w:pPr>
        <w:spacing w:line="360" w:lineRule="auto"/>
        <w:ind w:left="567" w:right="822"/>
        <w:jc w:val="both"/>
        <w:rPr>
          <w:rFonts w:ascii="Palatino Linotype" w:eastAsia="Palatino Linotype" w:hAnsi="Palatino Linotype" w:cs="Palatino Linotype"/>
          <w:i/>
          <w:sz w:val="22"/>
          <w:szCs w:val="22"/>
        </w:rPr>
      </w:pPr>
      <w:r w:rsidRPr="00A91E8E">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9) </w:t>
      </w:r>
      <w:r w:rsidRPr="00A91E8E">
        <w:rPr>
          <w:rFonts w:ascii="Palatino Linotype" w:eastAsia="Palatino Linotype" w:hAnsi="Palatino Linotype" w:cs="Palatino Linotype"/>
          <w:i/>
          <w:sz w:val="22"/>
          <w:szCs w:val="22"/>
        </w:rPr>
        <w:t>La partida presupuestal, de conformidad con el clasificador por objeto del gasto, en el caso de ser aplicable;</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rsidR="00E627EF" w:rsidRPr="00A91E8E" w:rsidRDefault="00E627EF" w:rsidP="00E627EF">
      <w:pPr>
        <w:spacing w:line="360" w:lineRule="auto"/>
        <w:ind w:left="567"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11) Los convenios modificatorios que, en su caso, sean firmados, precisando el objeto y la fecha de celebración;</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12) </w:t>
      </w:r>
      <w:r w:rsidRPr="00A91E8E">
        <w:rPr>
          <w:rFonts w:ascii="Palatino Linotype" w:eastAsia="Palatino Linotype" w:hAnsi="Palatino Linotype" w:cs="Palatino Linotype"/>
          <w:i/>
          <w:sz w:val="22"/>
          <w:szCs w:val="22"/>
        </w:rPr>
        <w:t>Los informes de avance físico y financiero sobre las obras o servicios contratados;</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13) </w:t>
      </w:r>
      <w:r w:rsidRPr="00A91E8E">
        <w:rPr>
          <w:rFonts w:ascii="Palatino Linotype" w:eastAsia="Palatino Linotype" w:hAnsi="Palatino Linotype" w:cs="Palatino Linotype"/>
          <w:i/>
          <w:sz w:val="22"/>
          <w:szCs w:val="22"/>
        </w:rPr>
        <w:t>El convenio de terminación; y</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14) </w:t>
      </w:r>
      <w:r w:rsidRPr="00A91E8E">
        <w:rPr>
          <w:rFonts w:ascii="Palatino Linotype" w:eastAsia="Palatino Linotype" w:hAnsi="Palatino Linotype" w:cs="Palatino Linotype"/>
          <w:i/>
          <w:sz w:val="22"/>
          <w:szCs w:val="22"/>
        </w:rPr>
        <w:t>El finiquito.</w:t>
      </w:r>
    </w:p>
    <w:p w:rsidR="00E627EF" w:rsidRPr="00A91E8E" w:rsidRDefault="00E627EF" w:rsidP="00E627EF">
      <w:pPr>
        <w:spacing w:line="360" w:lineRule="auto"/>
        <w:ind w:left="426"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b) De las adjudicaciones directas:</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1) </w:t>
      </w:r>
      <w:r w:rsidRPr="00A91E8E">
        <w:rPr>
          <w:rFonts w:ascii="Palatino Linotype" w:eastAsia="Palatino Linotype" w:hAnsi="Palatino Linotype" w:cs="Palatino Linotype"/>
          <w:i/>
          <w:sz w:val="22"/>
          <w:szCs w:val="22"/>
        </w:rPr>
        <w:t>La propuesta enviada por el participante;</w:t>
      </w:r>
    </w:p>
    <w:p w:rsidR="00E627EF" w:rsidRPr="00A91E8E" w:rsidRDefault="00E627EF" w:rsidP="00E627EF">
      <w:pPr>
        <w:spacing w:line="360" w:lineRule="auto"/>
        <w:ind w:left="567"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2) Los motivos y fundamentos legales aplicados para llevarla a cabo;</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3) </w:t>
      </w:r>
      <w:r w:rsidRPr="00A91E8E">
        <w:rPr>
          <w:rFonts w:ascii="Palatino Linotype" w:eastAsia="Palatino Linotype" w:hAnsi="Palatino Linotype" w:cs="Palatino Linotype"/>
          <w:i/>
          <w:sz w:val="22"/>
          <w:szCs w:val="22"/>
        </w:rPr>
        <w:t>La autorización del ejercicio de la opción;</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i/>
          <w:sz w:val="22"/>
          <w:szCs w:val="22"/>
        </w:rPr>
        <w:lastRenderedPageBreak/>
        <w:t>4) En su caso, las cotizaciones consideradas, especificando los nombres de los proveedores y sus montos;</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5) </w:t>
      </w:r>
      <w:r w:rsidRPr="00A91E8E">
        <w:rPr>
          <w:rFonts w:ascii="Palatino Linotype" w:eastAsia="Palatino Linotype" w:hAnsi="Palatino Linotype" w:cs="Palatino Linotype"/>
          <w:i/>
          <w:sz w:val="22"/>
          <w:szCs w:val="22"/>
        </w:rPr>
        <w:t>El nombre de la persona física o jurídica colectiva adjudicada;</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6) </w:t>
      </w:r>
      <w:r w:rsidRPr="00A91E8E">
        <w:rPr>
          <w:rFonts w:ascii="Palatino Linotype" w:eastAsia="Palatino Linotype" w:hAnsi="Palatino Linotype" w:cs="Palatino Linotype"/>
          <w:i/>
          <w:sz w:val="22"/>
          <w:szCs w:val="22"/>
        </w:rPr>
        <w:t>La unidad administrativa solicitante y la responsable de su ejecución;</w:t>
      </w:r>
    </w:p>
    <w:p w:rsidR="00E627EF" w:rsidRPr="00A91E8E" w:rsidRDefault="00E627EF" w:rsidP="00E627EF">
      <w:pPr>
        <w:spacing w:line="360" w:lineRule="auto"/>
        <w:ind w:left="567" w:right="822"/>
        <w:jc w:val="both"/>
        <w:rPr>
          <w:rFonts w:ascii="Palatino Linotype" w:eastAsia="Palatino Linotype" w:hAnsi="Palatino Linotype" w:cs="Palatino Linotype"/>
          <w:b/>
          <w:sz w:val="22"/>
          <w:szCs w:val="22"/>
        </w:rPr>
      </w:pPr>
      <w:r w:rsidRPr="00A91E8E">
        <w:rPr>
          <w:rFonts w:ascii="Palatino Linotype" w:eastAsia="Palatino Linotype" w:hAnsi="Palatino Linotype" w:cs="Palatino Linotype"/>
          <w:b/>
          <w:i/>
          <w:sz w:val="22"/>
          <w:szCs w:val="22"/>
        </w:rPr>
        <w:t>7) El número, fecha, el monto del contrato y el plazo de entrega o de ejecución de los servicios u obra;</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8) </w:t>
      </w:r>
      <w:r w:rsidRPr="00A91E8E">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9) </w:t>
      </w:r>
      <w:r w:rsidRPr="00A91E8E">
        <w:rPr>
          <w:rFonts w:ascii="Palatino Linotype" w:eastAsia="Palatino Linotype" w:hAnsi="Palatino Linotype" w:cs="Palatino Linotype"/>
          <w:i/>
          <w:sz w:val="22"/>
          <w:szCs w:val="22"/>
        </w:rPr>
        <w:t>Los informes de avance sobre las obras o servicios contratados;</w:t>
      </w:r>
    </w:p>
    <w:p w:rsidR="00E627EF" w:rsidRPr="00A91E8E" w:rsidRDefault="00E627EF" w:rsidP="00E627EF">
      <w:pPr>
        <w:spacing w:line="360" w:lineRule="auto"/>
        <w:ind w:left="567" w:right="822"/>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b/>
          <w:i/>
          <w:sz w:val="22"/>
          <w:szCs w:val="22"/>
        </w:rPr>
        <w:t>10) </w:t>
      </w:r>
      <w:r w:rsidRPr="00A91E8E">
        <w:rPr>
          <w:rFonts w:ascii="Palatino Linotype" w:eastAsia="Palatino Linotype" w:hAnsi="Palatino Linotype" w:cs="Palatino Linotype"/>
          <w:i/>
          <w:sz w:val="22"/>
          <w:szCs w:val="22"/>
        </w:rPr>
        <w:t>El convenio de terminación; y</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r w:rsidRPr="00A91E8E">
        <w:rPr>
          <w:rFonts w:ascii="Palatino Linotype" w:eastAsia="Palatino Linotype" w:hAnsi="Palatino Linotype" w:cs="Palatino Linotype"/>
          <w:b/>
          <w:i/>
          <w:sz w:val="22"/>
          <w:szCs w:val="22"/>
        </w:rPr>
        <w:t>11) </w:t>
      </w:r>
      <w:r w:rsidRPr="00A91E8E">
        <w:rPr>
          <w:rFonts w:ascii="Palatino Linotype" w:eastAsia="Palatino Linotype" w:hAnsi="Palatino Linotype" w:cs="Palatino Linotype"/>
          <w:i/>
          <w:sz w:val="22"/>
          <w:szCs w:val="22"/>
        </w:rPr>
        <w:t>El finiquito.</w:t>
      </w:r>
      <w:r w:rsidRPr="00A91E8E">
        <w:rPr>
          <w:rFonts w:ascii="Palatino Linotype" w:eastAsia="Palatino Linotype" w:hAnsi="Palatino Linotype" w:cs="Palatino Linotype"/>
          <w:b/>
          <w:i/>
          <w:sz w:val="22"/>
          <w:szCs w:val="22"/>
        </w:rPr>
        <w:t>”</w:t>
      </w:r>
    </w:p>
    <w:p w:rsidR="00E627EF" w:rsidRPr="00A91E8E" w:rsidRDefault="00E627EF" w:rsidP="00E627EF">
      <w:pPr>
        <w:spacing w:line="360" w:lineRule="auto"/>
        <w:ind w:left="567" w:right="822"/>
        <w:jc w:val="both"/>
        <w:rPr>
          <w:rFonts w:ascii="Palatino Linotype" w:eastAsia="Palatino Linotype" w:hAnsi="Palatino Linotype" w:cs="Palatino Linotype"/>
          <w:b/>
          <w:i/>
          <w:sz w:val="22"/>
          <w:szCs w:val="22"/>
        </w:rPr>
      </w:pPr>
    </w:p>
    <w:p w:rsidR="00E627EF" w:rsidRPr="00A91E8E" w:rsidRDefault="00E627EF" w:rsidP="00E627EF">
      <w:pPr>
        <w:pStyle w:val="Prrafodelista"/>
        <w:numPr>
          <w:ilvl w:val="0"/>
          <w:numId w:val="1"/>
        </w:numPr>
        <w:pBdr>
          <w:top w:val="nil"/>
          <w:left w:val="nil"/>
          <w:bottom w:val="nil"/>
          <w:right w:val="nil"/>
          <w:between w:val="nil"/>
        </w:pBdr>
        <w:spacing w:line="360" w:lineRule="auto"/>
        <w:ind w:left="0" w:firstLine="0"/>
        <w:jc w:val="both"/>
        <w:rPr>
          <w:rFonts w:ascii="Palatino Linotype" w:eastAsia="Calibri" w:hAnsi="Palatino Linotype" w:cs="Arial"/>
          <w:color w:val="000000"/>
          <w:szCs w:val="22"/>
        </w:rPr>
      </w:pPr>
      <w:r w:rsidRPr="00A91E8E">
        <w:rPr>
          <w:rFonts w:ascii="Palatino Linotype" w:eastAsia="Palatino Linotype" w:hAnsi="Palatino Linotype" w:cs="Palatino Linotype"/>
          <w:color w:val="000000"/>
          <w:szCs w:val="22"/>
        </w:rPr>
        <w:t>Ahora bien,</w:t>
      </w:r>
      <w:r w:rsidR="00811A98" w:rsidRPr="00A91E8E">
        <w:rPr>
          <w:rFonts w:ascii="Palatino Linotype" w:eastAsia="Palatino Linotype" w:hAnsi="Palatino Linotype" w:cs="Palatino Linotype"/>
          <w:color w:val="000000"/>
          <w:szCs w:val="22"/>
        </w:rPr>
        <w:t xml:space="preserve"> atendiendo a la naturaleza de la información solicitada</w:t>
      </w:r>
      <w:r w:rsidRPr="00A91E8E">
        <w:rPr>
          <w:rFonts w:ascii="Palatino Linotype" w:eastAsia="Palatino Linotype" w:hAnsi="Palatino Linotype" w:cs="Palatino Linotype"/>
          <w:color w:val="000000"/>
          <w:szCs w:val="22"/>
        </w:rPr>
        <w:t>, el artículo 79 y 80 de la Ley de Contratación Pública establece</w:t>
      </w:r>
      <w:r w:rsidR="00811A98" w:rsidRPr="00A91E8E">
        <w:rPr>
          <w:rFonts w:ascii="Palatino Linotype" w:eastAsia="Palatino Linotype" w:hAnsi="Palatino Linotype" w:cs="Palatino Linotype"/>
          <w:color w:val="000000"/>
          <w:szCs w:val="22"/>
        </w:rPr>
        <w:t>n</w:t>
      </w:r>
      <w:r w:rsidRPr="00A91E8E">
        <w:rPr>
          <w:rFonts w:ascii="Palatino Linotype" w:eastAsia="Palatino Linotype" w:hAnsi="Palatino Linotype" w:cs="Palatino Linotype"/>
          <w:color w:val="000000"/>
          <w:szCs w:val="22"/>
        </w:rPr>
        <w:t xml:space="preserve"> lo siguiente:</w:t>
      </w:r>
    </w:p>
    <w:p w:rsidR="00E627EF" w:rsidRPr="00A91E8E" w:rsidRDefault="00E627EF" w:rsidP="00E627EF">
      <w:pPr>
        <w:pStyle w:val="Prrafodelista"/>
        <w:pBdr>
          <w:top w:val="nil"/>
          <w:left w:val="nil"/>
          <w:bottom w:val="nil"/>
          <w:right w:val="nil"/>
          <w:between w:val="nil"/>
        </w:pBdr>
        <w:spacing w:line="360" w:lineRule="auto"/>
        <w:ind w:left="0"/>
        <w:jc w:val="both"/>
        <w:rPr>
          <w:rFonts w:ascii="Palatino Linotype" w:eastAsia="Calibri" w:hAnsi="Palatino Linotype" w:cs="Arial"/>
          <w:color w:val="000000"/>
          <w:szCs w:val="22"/>
        </w:rPr>
      </w:pPr>
    </w:p>
    <w:p w:rsidR="00E627EF" w:rsidRPr="00A91E8E" w:rsidRDefault="00E627EF" w:rsidP="00E627EF">
      <w:pPr>
        <w:pStyle w:val="Prrafodelista"/>
        <w:pBdr>
          <w:top w:val="nil"/>
          <w:left w:val="nil"/>
          <w:bottom w:val="nil"/>
          <w:right w:val="nil"/>
          <w:between w:val="nil"/>
        </w:pBdr>
        <w:spacing w:line="360" w:lineRule="auto"/>
        <w:ind w:left="851" w:right="822"/>
        <w:jc w:val="center"/>
        <w:rPr>
          <w:rFonts w:ascii="Palatino Linotype" w:hAnsi="Palatino Linotype"/>
          <w:i/>
        </w:rPr>
      </w:pPr>
      <w:r w:rsidRPr="00A91E8E">
        <w:rPr>
          <w:rFonts w:ascii="Palatino Linotype" w:hAnsi="Palatino Linotype"/>
          <w:i/>
        </w:rPr>
        <w:t>CAPÍTULO DÉCIMO</w:t>
      </w:r>
    </w:p>
    <w:p w:rsidR="00E627EF" w:rsidRPr="00A91E8E" w:rsidRDefault="00E627EF" w:rsidP="00E627EF">
      <w:pPr>
        <w:pStyle w:val="Prrafodelista"/>
        <w:pBdr>
          <w:top w:val="nil"/>
          <w:left w:val="nil"/>
          <w:bottom w:val="nil"/>
          <w:right w:val="nil"/>
          <w:between w:val="nil"/>
        </w:pBdr>
        <w:spacing w:line="360" w:lineRule="auto"/>
        <w:ind w:left="851" w:right="822"/>
        <w:jc w:val="center"/>
        <w:rPr>
          <w:rFonts w:ascii="Palatino Linotype" w:hAnsi="Palatino Linotype"/>
          <w:i/>
        </w:rPr>
      </w:pPr>
      <w:r w:rsidRPr="00A91E8E">
        <w:rPr>
          <w:rFonts w:ascii="Palatino Linotype" w:hAnsi="Palatino Linotype"/>
          <w:i/>
        </w:rPr>
        <w:t>DE LOS CONTRATOS ABIERTOS, ACUERDOS DE COORDINACIÓN Y CONTRATOS PEDIDO</w:t>
      </w:r>
    </w:p>
    <w:p w:rsidR="00E627EF" w:rsidRPr="00A91E8E" w:rsidRDefault="00E627EF" w:rsidP="00E627EF">
      <w:pPr>
        <w:pStyle w:val="Prrafodelista"/>
        <w:pBdr>
          <w:top w:val="nil"/>
          <w:left w:val="nil"/>
          <w:bottom w:val="nil"/>
          <w:right w:val="nil"/>
          <w:between w:val="nil"/>
        </w:pBdr>
        <w:spacing w:line="360" w:lineRule="auto"/>
        <w:ind w:left="851" w:right="822"/>
        <w:jc w:val="both"/>
        <w:rPr>
          <w:rFonts w:ascii="Palatino Linotype" w:hAnsi="Palatino Linotype"/>
          <w:i/>
        </w:rPr>
      </w:pPr>
      <w:r w:rsidRPr="00A91E8E">
        <w:rPr>
          <w:rFonts w:ascii="Palatino Linotype" w:hAnsi="Palatino Linotype"/>
          <w:i/>
        </w:rPr>
        <w:t>Artículo 79.- La Oficialía Mayor podrá celebrar acuerdos de coordinación con las entidades y, en su caso, con los ayuntamientos que así lo soliciten, para la realización de procedimientos adquisitivos en los términos de esta Ley y de su Reglamento.</w:t>
      </w:r>
    </w:p>
    <w:p w:rsidR="00E627EF" w:rsidRPr="00A91E8E" w:rsidRDefault="00E627EF" w:rsidP="00E627EF">
      <w:pPr>
        <w:pStyle w:val="Prrafodelista"/>
        <w:pBdr>
          <w:top w:val="nil"/>
          <w:left w:val="nil"/>
          <w:bottom w:val="nil"/>
          <w:right w:val="nil"/>
          <w:between w:val="nil"/>
        </w:pBdr>
        <w:spacing w:line="360" w:lineRule="auto"/>
        <w:ind w:left="851" w:right="822"/>
        <w:jc w:val="both"/>
        <w:rPr>
          <w:rFonts w:ascii="Palatino Linotype" w:hAnsi="Palatino Linotype"/>
          <w:i/>
        </w:rPr>
      </w:pPr>
      <w:r w:rsidRPr="00A91E8E">
        <w:rPr>
          <w:rFonts w:ascii="Palatino Linotype" w:hAnsi="Palatino Linotype"/>
          <w:i/>
        </w:rPr>
        <w:t xml:space="preserve">Artículo 80.- Los contratos pedido son aquellos instrumentos que permiten a las dependencias, a las entidades, a los tribunales administrativos y a los ayuntamientos </w:t>
      </w:r>
      <w:r w:rsidRPr="00A91E8E">
        <w:rPr>
          <w:rFonts w:ascii="Palatino Linotype" w:hAnsi="Palatino Linotype"/>
          <w:i/>
        </w:rPr>
        <w:lastRenderedPageBreak/>
        <w:t xml:space="preserve">adquirir bienes o contratar servicios por una cantidad que no exceda los montos establecidos para la adjudicación directa, de conformidad con lo previsto en la fracción XI del artículo 48 de la presente Ley. </w:t>
      </w:r>
    </w:p>
    <w:p w:rsidR="00E627EF" w:rsidRPr="00A91E8E" w:rsidRDefault="00E627EF" w:rsidP="00E627EF">
      <w:pPr>
        <w:pStyle w:val="Prrafodelista"/>
        <w:pBdr>
          <w:top w:val="nil"/>
          <w:left w:val="nil"/>
          <w:bottom w:val="nil"/>
          <w:right w:val="nil"/>
          <w:between w:val="nil"/>
        </w:pBdr>
        <w:spacing w:line="360" w:lineRule="auto"/>
        <w:ind w:left="851" w:right="822"/>
        <w:jc w:val="both"/>
        <w:rPr>
          <w:rFonts w:ascii="Palatino Linotype" w:hAnsi="Palatino Linotype"/>
          <w:i/>
        </w:rPr>
      </w:pPr>
      <w:r w:rsidRPr="00A91E8E">
        <w:rPr>
          <w:rFonts w:ascii="Palatino Linotype" w:hAnsi="Palatino Linotype"/>
          <w:i/>
        </w:rPr>
        <w:t>Las dependencias deberán celebrar contratos pedido para la contratación de bienes o de servicios, que realicen al amparo de dicha fracción.</w:t>
      </w:r>
    </w:p>
    <w:p w:rsidR="005E7CE0" w:rsidRPr="00A91E8E" w:rsidRDefault="005E7CE0" w:rsidP="005E7CE0">
      <w:pPr>
        <w:pStyle w:val="Prrafodelista"/>
        <w:spacing w:line="360" w:lineRule="auto"/>
        <w:ind w:left="0"/>
        <w:jc w:val="both"/>
        <w:rPr>
          <w:rFonts w:ascii="Palatino Linotype" w:eastAsia="Calibri" w:hAnsi="Palatino Linotype" w:cs="Arial"/>
          <w:szCs w:val="22"/>
        </w:rPr>
      </w:pPr>
    </w:p>
    <w:p w:rsidR="00E627EF" w:rsidRPr="00A91E8E" w:rsidRDefault="00E627EF" w:rsidP="002F1E87">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 xml:space="preserve">Por su parte, </w:t>
      </w:r>
      <w:r w:rsidR="00811A98" w:rsidRPr="00A91E8E">
        <w:rPr>
          <w:rFonts w:ascii="Palatino Linotype" w:eastAsia="Calibri" w:hAnsi="Palatino Linotype" w:cs="Arial"/>
          <w:szCs w:val="22"/>
        </w:rPr>
        <w:t xml:space="preserve">el artículo 76, fracción IV de la Ley de Contratación, establece que los proveedores o prestadores de servicios que celebren los contratos de adquisiciones y servicios, deberán garantizar a favor del contratante, en su caso, los defectos o vicios ocultos de los bienes, en el que las garantías se constituirán hasta por un diez por ciento del importe total del contrato, sin incluir el Impuesto al Valor Agregado. </w:t>
      </w:r>
    </w:p>
    <w:p w:rsidR="00E627EF" w:rsidRPr="00A91E8E" w:rsidRDefault="00E627EF" w:rsidP="00811A98">
      <w:pPr>
        <w:pStyle w:val="Prrafodelista"/>
        <w:spacing w:line="360" w:lineRule="auto"/>
        <w:ind w:left="0"/>
        <w:jc w:val="both"/>
        <w:rPr>
          <w:rFonts w:ascii="Palatino Linotype" w:eastAsia="Calibri" w:hAnsi="Palatino Linotype" w:cs="Arial"/>
          <w:szCs w:val="22"/>
        </w:rPr>
      </w:pPr>
    </w:p>
    <w:p w:rsidR="005E7CE0" w:rsidRPr="00A91E8E" w:rsidRDefault="005E7CE0" w:rsidP="002F1E87">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hAnsi="Palatino Linotype" w:cs="Arial"/>
          <w:bCs/>
          <w:szCs w:val="22"/>
        </w:rPr>
        <w:t xml:space="preserve">Dicho lo anterior, </w:t>
      </w:r>
      <w:r w:rsidRPr="00A91E8E">
        <w:rPr>
          <w:rFonts w:ascii="Palatino Linotype" w:eastAsia="Calibri" w:hAnsi="Palatino Linotype" w:cs="Arial"/>
          <w:szCs w:val="22"/>
        </w:rPr>
        <w:t xml:space="preserve">conviene </w:t>
      </w:r>
      <w:r w:rsidR="00463478" w:rsidRPr="00A91E8E">
        <w:rPr>
          <w:rFonts w:ascii="Palatino Linotype" w:eastAsia="Calibri" w:hAnsi="Palatino Linotype" w:cs="Arial"/>
          <w:szCs w:val="22"/>
        </w:rPr>
        <w:t xml:space="preserve">señalar los artículo </w:t>
      </w:r>
      <w:r w:rsidR="00FC76AB" w:rsidRPr="00A91E8E">
        <w:rPr>
          <w:rFonts w:ascii="Palatino Linotype" w:eastAsia="Calibri" w:hAnsi="Palatino Linotype" w:cs="Arial"/>
          <w:szCs w:val="22"/>
        </w:rPr>
        <w:t xml:space="preserve">1, 23 fracción XVIII, 58 y 59 fracción IV, XIII y XX </w:t>
      </w:r>
      <w:r w:rsidR="002F1E87" w:rsidRPr="00A91E8E">
        <w:rPr>
          <w:rFonts w:ascii="Palatino Linotype" w:eastAsia="Calibri" w:hAnsi="Palatino Linotype" w:cs="Arial"/>
          <w:szCs w:val="22"/>
        </w:rPr>
        <w:t xml:space="preserve">de la Ley Orgánica de la Administración Pública del Estado de México, </w:t>
      </w:r>
      <w:r w:rsidR="00FC76AB" w:rsidRPr="00A91E8E">
        <w:rPr>
          <w:rFonts w:ascii="Palatino Linotype" w:eastAsia="Calibri" w:hAnsi="Palatino Linotype" w:cs="Arial"/>
          <w:szCs w:val="22"/>
        </w:rPr>
        <w:t>que establecen:</w:t>
      </w:r>
    </w:p>
    <w:p w:rsidR="00FC76AB" w:rsidRPr="00A91E8E" w:rsidRDefault="00FC76AB" w:rsidP="00FC76AB">
      <w:pPr>
        <w:pStyle w:val="Prrafodelista"/>
        <w:rPr>
          <w:rFonts w:ascii="Palatino Linotype" w:eastAsia="Calibri" w:hAnsi="Palatino Linotype" w:cs="Arial"/>
          <w:szCs w:val="22"/>
        </w:rPr>
      </w:pP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 xml:space="preserve">“Artículo 1. Esta Ley establece las bases para la organización y el funcionamiento de la Administración Pública Estatal, Centralizada y Paraestatal. </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Las secretarías, así como las unidades administrativas que dependan directamente de la persona titular del Poder Ejecutivo del Estado integrarán la Administración Pública Centralizada. A todas ellas se les denominará dependencias.</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“Artículo 23. Para el estudio, planeación y despacho de los asuntos, en los diversos ramos de la Administración Pública, auxiliarán a la persona titular del Poder Ejecutivo del Estado, las siguientes dependencias:</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895B43" w:rsidRPr="00A91E8E" w:rsidRDefault="00895B43" w:rsidP="00FC76AB">
      <w:pPr>
        <w:pStyle w:val="Prrafodelista"/>
        <w:spacing w:before="100" w:beforeAutospacing="1" w:after="100" w:afterAutospacing="1" w:line="276" w:lineRule="auto"/>
        <w:ind w:left="851" w:right="822"/>
        <w:jc w:val="both"/>
        <w:rPr>
          <w:rFonts w:ascii="Palatino Linotype" w:hAnsi="Palatino Linotype"/>
          <w:b/>
          <w:i/>
        </w:rPr>
      </w:pPr>
      <w:r w:rsidRPr="00A91E8E">
        <w:rPr>
          <w:rFonts w:ascii="Palatino Linotype" w:hAnsi="Palatino Linotype"/>
          <w:b/>
          <w:i/>
        </w:rPr>
        <w:lastRenderedPageBreak/>
        <w:t>II. Secretaría de Seguridad;</w:t>
      </w:r>
    </w:p>
    <w:p w:rsidR="00895B43" w:rsidRPr="00A91E8E" w:rsidRDefault="00895B43" w:rsidP="00FC76AB">
      <w:pPr>
        <w:pStyle w:val="Prrafodelista"/>
        <w:spacing w:before="100" w:beforeAutospacing="1" w:after="100" w:afterAutospacing="1" w:line="276" w:lineRule="auto"/>
        <w:ind w:left="851" w:right="822"/>
        <w:jc w:val="both"/>
        <w:rPr>
          <w:rFonts w:ascii="Palatino Linotype" w:hAnsi="Palatino Linotype"/>
          <w:b/>
          <w:i/>
        </w:rPr>
      </w:pPr>
      <w:r w:rsidRPr="00A91E8E">
        <w:rPr>
          <w:rFonts w:ascii="Palatino Linotype" w:hAnsi="Palatino Linotype"/>
          <w:b/>
          <w:i/>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eastAsia="Calibri" w:hAnsi="Palatino Linotype" w:cs="Arial"/>
          <w:b/>
          <w:i/>
          <w:szCs w:val="22"/>
        </w:rPr>
      </w:pPr>
      <w:r w:rsidRPr="00A91E8E">
        <w:rPr>
          <w:rFonts w:ascii="Palatino Linotype" w:eastAsia="Calibri" w:hAnsi="Palatino Linotype" w:cs="Arial"/>
          <w:b/>
          <w:i/>
          <w:szCs w:val="22"/>
        </w:rPr>
        <w:t>XVIII. Oficialía Mayor.</w:t>
      </w:r>
    </w:p>
    <w:p w:rsidR="00FC76AB" w:rsidRPr="00A91E8E" w:rsidRDefault="00FC76AB" w:rsidP="00FC76AB">
      <w:pPr>
        <w:pStyle w:val="Prrafodelista"/>
        <w:spacing w:before="100" w:beforeAutospacing="1" w:after="100" w:afterAutospacing="1" w:line="276" w:lineRule="auto"/>
        <w:ind w:left="851" w:right="822"/>
        <w:jc w:val="both"/>
        <w:rPr>
          <w:rFonts w:ascii="Palatino Linotype" w:eastAsia="Calibri" w:hAnsi="Palatino Linotype" w:cs="Arial"/>
          <w:i/>
          <w:szCs w:val="22"/>
        </w:rPr>
      </w:pPr>
      <w:r w:rsidRPr="00A91E8E">
        <w:rPr>
          <w:rFonts w:ascii="Palatino Linotype" w:eastAsia="Calibri" w:hAnsi="Palatino Linotype" w:cs="Arial"/>
          <w:i/>
          <w:szCs w:val="22"/>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“Artículo 58. La Oficialía Mayor es la encargada de planear, organizar, normar y dirigir la administración y desarrollo de los recursos humanos, materiales y servicios para el apoyo administrativo y tecnológico que requieran las dependencias del Poder Ejecutivo del Estado.”</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“Artículo 59. La Oficialía Mayor contará con las siguientes atribuciones:</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IV. Proyectar y calcular el gasto anual requerido para las dependencias, por concepto de servicios personales, materiales, servicios y de inversión pública para someterlo a consideración de la persona titular del Poder Ejecutivo del Estado, que se entregará a la Secretaría de Finanzas para su incorporación en el Proyecto de Presupuesto de Egresos del Gobierno del Estado de México, con apego a los principios constitucionales de eficiencia, eficacia, economía, transparencia, honradez;</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XII. Celebrar, otorgar y suscribir contratos, convenios, escrituras públicas y demás actos jurídicos de cualquier índole,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así como registrar y normar los actos y contratos relacionados con recursos humanos, materiales, de servicios y de tecnología de los que resulten derechos y obligaciones para el Gobierno del Estado;</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 xml:space="preserve">XX. Planear, coordinar, controlar y realizar los procesos de adquisición, enajenación y arrendamiento de bienes y contratación de servicios para proveer oportunamente a las dependencias del Ejecutivo y demás entes públicos que lo requieran, de los elementos humanos y materiales de trabajo necesarios pare el desarrollo de sus </w:t>
      </w:r>
      <w:r w:rsidRPr="00A91E8E">
        <w:rPr>
          <w:rFonts w:ascii="Palatino Linotype" w:hAnsi="Palatino Linotype"/>
          <w:i/>
        </w:rPr>
        <w:lastRenderedPageBreak/>
        <w:t>funciones, cualquiera que sea su fuente de financiamiento, bajo criterios de economía, eficiencia, eficacia, honradez, transparencia y combate a la corrupción y que aseguren las mejores condiciones de calidad, precio, financiamiento y entrega, conforme a la normatividad establecida;</w:t>
      </w:r>
    </w:p>
    <w:p w:rsidR="00FC76AB" w:rsidRPr="00A91E8E" w:rsidRDefault="00FC76AB" w:rsidP="00FC76AB">
      <w:pPr>
        <w:pStyle w:val="Prrafodelista"/>
        <w:spacing w:before="100" w:beforeAutospacing="1" w:after="100" w:afterAutospacing="1" w:line="276" w:lineRule="auto"/>
        <w:ind w:left="851" w:right="822"/>
        <w:jc w:val="both"/>
        <w:rPr>
          <w:rFonts w:ascii="Palatino Linotype" w:hAnsi="Palatino Linotype"/>
          <w:i/>
        </w:rPr>
      </w:pPr>
      <w:r w:rsidRPr="00A91E8E">
        <w:rPr>
          <w:rFonts w:ascii="Palatino Linotype" w:hAnsi="Palatino Linotype"/>
          <w:i/>
        </w:rPr>
        <w:t>…”</w:t>
      </w:r>
    </w:p>
    <w:p w:rsidR="00FC76AB" w:rsidRPr="00A91E8E" w:rsidRDefault="00FC76AB" w:rsidP="00FC76AB">
      <w:pPr>
        <w:pStyle w:val="Prrafodelista"/>
        <w:spacing w:before="100" w:beforeAutospacing="1" w:after="100" w:afterAutospacing="1" w:line="360" w:lineRule="auto"/>
        <w:ind w:left="0"/>
        <w:jc w:val="both"/>
        <w:rPr>
          <w:rFonts w:ascii="Palatino Linotype" w:eastAsia="Calibri" w:hAnsi="Palatino Linotype" w:cs="Arial"/>
          <w:szCs w:val="22"/>
        </w:rPr>
      </w:pPr>
    </w:p>
    <w:p w:rsidR="00463478" w:rsidRPr="00A91E8E" w:rsidRDefault="00895B43" w:rsidP="005E7CE0">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 xml:space="preserve">De los preceptos legales señalados, se puede advertir que Oficialía Mayor es la dependencia que integra la Administración Pública </w:t>
      </w:r>
      <w:r w:rsidR="00AD542A" w:rsidRPr="00A91E8E">
        <w:rPr>
          <w:rFonts w:ascii="Palatino Linotype" w:eastAsia="Calibri" w:hAnsi="Palatino Linotype" w:cs="Arial"/>
          <w:szCs w:val="22"/>
        </w:rPr>
        <w:t xml:space="preserve">dependiente del Poder Ejecutivo que tiene entre sus atribuciones </w:t>
      </w:r>
      <w:r w:rsidRPr="00A91E8E">
        <w:rPr>
          <w:rFonts w:ascii="Palatino Linotype" w:eastAsia="Calibri" w:hAnsi="Palatino Linotype" w:cs="Arial"/>
          <w:szCs w:val="22"/>
        </w:rPr>
        <w:t xml:space="preserve"> </w:t>
      </w:r>
      <w:r w:rsidR="00AD542A" w:rsidRPr="00A91E8E">
        <w:rPr>
          <w:rFonts w:ascii="Palatino Linotype" w:eastAsia="Calibri" w:hAnsi="Palatino Linotype" w:cs="Arial"/>
          <w:szCs w:val="22"/>
        </w:rPr>
        <w:t>la adquisición, enajenación, arrendamiento de bienes y contratación de servicios para proveer a las dependencias del Poder Ejecutivo, entre las que se encuen</w:t>
      </w:r>
      <w:r w:rsidR="002F1E87" w:rsidRPr="00A91E8E">
        <w:rPr>
          <w:rFonts w:ascii="Palatino Linotype" w:eastAsia="Calibri" w:hAnsi="Palatino Linotype" w:cs="Arial"/>
          <w:szCs w:val="22"/>
        </w:rPr>
        <w:t>tran la Secretaría de Seguridad.</w:t>
      </w:r>
      <w:r w:rsidR="00AD542A" w:rsidRPr="00A91E8E">
        <w:rPr>
          <w:rFonts w:ascii="Palatino Linotype" w:eastAsia="Calibri" w:hAnsi="Palatino Linotype" w:cs="Arial"/>
          <w:szCs w:val="22"/>
        </w:rPr>
        <w:t xml:space="preserve"> </w:t>
      </w:r>
    </w:p>
    <w:p w:rsidR="00463478" w:rsidRPr="00A91E8E" w:rsidRDefault="00463478" w:rsidP="00AD542A">
      <w:pPr>
        <w:pStyle w:val="Prrafodelista"/>
        <w:spacing w:line="360" w:lineRule="auto"/>
        <w:ind w:left="0"/>
        <w:jc w:val="both"/>
        <w:rPr>
          <w:rFonts w:ascii="Palatino Linotype" w:eastAsia="Calibri" w:hAnsi="Palatino Linotype" w:cs="Arial"/>
          <w:szCs w:val="22"/>
        </w:rPr>
      </w:pPr>
    </w:p>
    <w:p w:rsidR="00463478" w:rsidRPr="00A91E8E" w:rsidRDefault="00AD542A" w:rsidP="005E7CE0">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 xml:space="preserve">Asimismo, conviene señalar el artículo 5 de la Ley de Contratación Pública del Estado de México y Municipios que establece que la Oficialía Mayor llevara a cabo los procedimientos de adquisición de bienes o servicios que requieran las dependencias, conforma a sus respectivos programas de adquisición. En el mismo contexto, el artículo 32 del Reglamento Interior de la Secretaría de Seguridad, establece que corresponde a la Oficialía Mayor, coordinar y supervisar el Programa Anual de Adquisiciones, Arrendamientos y Servicios, así como los requerimientos de operaciones consolidadas de la Secretaría, con la participación de las áreas competentes. </w:t>
      </w:r>
    </w:p>
    <w:p w:rsidR="005E7CE0" w:rsidRPr="00A91E8E" w:rsidRDefault="005E7CE0" w:rsidP="005E7CE0">
      <w:pPr>
        <w:pStyle w:val="Prrafodelista"/>
        <w:spacing w:line="360" w:lineRule="auto"/>
        <w:ind w:left="0"/>
        <w:jc w:val="both"/>
        <w:rPr>
          <w:rFonts w:ascii="Palatino Linotype" w:eastAsia="Calibri" w:hAnsi="Palatino Linotype" w:cs="Arial"/>
          <w:szCs w:val="22"/>
        </w:rPr>
      </w:pPr>
    </w:p>
    <w:p w:rsidR="00811A98" w:rsidRPr="00A91E8E" w:rsidRDefault="005E7CE0" w:rsidP="00776B27">
      <w:pPr>
        <w:pStyle w:val="Prrafodelista"/>
        <w:numPr>
          <w:ilvl w:val="0"/>
          <w:numId w:val="1"/>
        </w:numPr>
        <w:spacing w:line="360" w:lineRule="auto"/>
        <w:ind w:left="0" w:firstLine="0"/>
        <w:jc w:val="both"/>
        <w:rPr>
          <w:rFonts w:ascii="Palatino Linotype" w:eastAsia="Calibri" w:hAnsi="Palatino Linotype" w:cs="Arial"/>
          <w:szCs w:val="22"/>
        </w:rPr>
      </w:pPr>
      <w:r w:rsidRPr="00A91E8E">
        <w:rPr>
          <w:rFonts w:ascii="Palatino Linotype" w:eastAsia="Calibri" w:hAnsi="Palatino Linotype" w:cs="Arial"/>
          <w:szCs w:val="22"/>
        </w:rPr>
        <w:t xml:space="preserve">Derivado de lo expuesto en líneas anteriores, </w:t>
      </w:r>
      <w:r w:rsidR="002F1E87" w:rsidRPr="00A91E8E">
        <w:rPr>
          <w:rFonts w:ascii="Palatino Linotype" w:eastAsia="Calibri" w:hAnsi="Palatino Linotype" w:cs="Arial"/>
          <w:szCs w:val="22"/>
        </w:rPr>
        <w:t>podemos advertir que</w:t>
      </w:r>
      <w:r w:rsidR="00AE735B" w:rsidRPr="00A91E8E">
        <w:rPr>
          <w:rFonts w:ascii="Palatino Linotype" w:eastAsia="Calibri" w:hAnsi="Palatino Linotype" w:cs="Arial"/>
          <w:szCs w:val="22"/>
        </w:rPr>
        <w:t>,</w:t>
      </w:r>
      <w:r w:rsidR="002F1E87" w:rsidRPr="00A91E8E">
        <w:rPr>
          <w:rFonts w:ascii="Palatino Linotype" w:eastAsia="Calibri" w:hAnsi="Palatino Linotype" w:cs="Arial"/>
          <w:szCs w:val="22"/>
        </w:rPr>
        <w:t xml:space="preserve"> la Oficialía Mayor es quien genera la información solicitada, sin embargo, también lo es que</w:t>
      </w:r>
      <w:r w:rsidR="00AE735B" w:rsidRPr="00A91E8E">
        <w:rPr>
          <w:rFonts w:ascii="Palatino Linotype" w:eastAsia="Calibri" w:hAnsi="Palatino Linotype" w:cs="Arial"/>
          <w:szCs w:val="22"/>
        </w:rPr>
        <w:t>, el Sujeto Obligado es parte en los contratos, por lo tanto, posee y admini</w:t>
      </w:r>
      <w:r w:rsidR="00811A98" w:rsidRPr="00A91E8E">
        <w:rPr>
          <w:rFonts w:ascii="Palatino Linotype" w:eastAsia="Calibri" w:hAnsi="Palatino Linotype" w:cs="Arial"/>
          <w:szCs w:val="22"/>
        </w:rPr>
        <w:t>stra la información solicitada.</w:t>
      </w:r>
    </w:p>
    <w:p w:rsidR="00811A98" w:rsidRPr="00A91E8E" w:rsidRDefault="00811A98" w:rsidP="00811A98">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sz w:val="22"/>
          <w:szCs w:val="22"/>
        </w:rPr>
      </w:pPr>
      <w:r w:rsidRPr="00A91E8E">
        <w:rPr>
          <w:rFonts w:ascii="Palatino Linotype" w:eastAsia="Palatino Linotype" w:hAnsi="Palatino Linotype" w:cs="Palatino Linotype"/>
          <w:sz w:val="22"/>
          <w:szCs w:val="22"/>
        </w:rPr>
        <w:lastRenderedPageBreak/>
        <w:t xml:space="preserve">Por lo tanto, en consecuencia y en mérito de lo expuesto en líneas anteriores, resultan fundadas las razones o motivos de inconformidad hechos valer por el </w:t>
      </w:r>
      <w:r w:rsidRPr="00A91E8E">
        <w:rPr>
          <w:rFonts w:ascii="Palatino Linotype" w:eastAsia="Palatino Linotype" w:hAnsi="Palatino Linotype" w:cs="Palatino Linotype"/>
          <w:b/>
          <w:sz w:val="22"/>
          <w:szCs w:val="22"/>
        </w:rPr>
        <w:t>RECURRENTE</w:t>
      </w:r>
      <w:r w:rsidRPr="00A91E8E">
        <w:rPr>
          <w:rFonts w:ascii="Palatino Linotype" w:eastAsia="Palatino Linotype" w:hAnsi="Palatino Linotype" w:cs="Palatino Linotype"/>
          <w:sz w:val="22"/>
          <w:szCs w:val="22"/>
        </w:rPr>
        <w:t xml:space="preserve"> dentro del recurso de revisión </w:t>
      </w:r>
      <w:r w:rsidR="00776B27" w:rsidRPr="00A91E8E">
        <w:rPr>
          <w:rFonts w:ascii="Palatino Linotype" w:eastAsia="Palatino Linotype" w:hAnsi="Palatino Linotype" w:cs="Palatino Linotype"/>
          <w:b/>
          <w:sz w:val="22"/>
          <w:szCs w:val="22"/>
        </w:rPr>
        <w:t>05068</w:t>
      </w:r>
      <w:r w:rsidRPr="00A91E8E">
        <w:rPr>
          <w:rFonts w:ascii="Palatino Linotype" w:eastAsia="Palatino Linotype" w:hAnsi="Palatino Linotype" w:cs="Palatino Linotype"/>
          <w:b/>
          <w:sz w:val="22"/>
          <w:szCs w:val="22"/>
        </w:rPr>
        <w:t>/INFOEM/IP/RR/2024</w:t>
      </w:r>
      <w:r w:rsidRPr="00A91E8E">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A91E8E">
        <w:rPr>
          <w:rFonts w:ascii="Palatino Linotype" w:eastAsia="Palatino Linotype" w:hAnsi="Palatino Linotype" w:cs="Palatino Linotype"/>
          <w:b/>
          <w:sz w:val="22"/>
          <w:szCs w:val="22"/>
        </w:rPr>
        <w:t>REVOCA</w:t>
      </w:r>
      <w:r w:rsidRPr="00A91E8E">
        <w:rPr>
          <w:rFonts w:ascii="Palatino Linotype" w:eastAsia="Palatino Linotype" w:hAnsi="Palatino Linotype" w:cs="Palatino Linotype"/>
          <w:sz w:val="22"/>
          <w:szCs w:val="22"/>
        </w:rPr>
        <w:t xml:space="preserve"> la respuesta a la solicitud de información número </w:t>
      </w:r>
      <w:hyperlink r:id="rId9" w:history="1">
        <w:r w:rsidR="00776B27" w:rsidRPr="00A91E8E">
          <w:rPr>
            <w:rStyle w:val="Hipervnculo"/>
            <w:rFonts w:ascii="Palatino Linotype" w:eastAsia="Palatino Linotype" w:hAnsi="Palatino Linotype" w:cs="Palatino Linotype"/>
            <w:b/>
            <w:bCs/>
            <w:color w:val="auto"/>
            <w:sz w:val="22"/>
            <w:szCs w:val="22"/>
            <w:u w:val="none"/>
          </w:rPr>
          <w:t>00419/SSEM/IP/2024</w:t>
        </w:r>
      </w:hyperlink>
      <w:r w:rsidRPr="00A91E8E">
        <w:rPr>
          <w:rFonts w:ascii="Palatino Linotype" w:eastAsia="Palatino Linotype" w:hAnsi="Palatino Linotype" w:cs="Palatino Linotype"/>
          <w:sz w:val="22"/>
          <w:szCs w:val="22"/>
        </w:rPr>
        <w:t>.</w:t>
      </w:r>
    </w:p>
    <w:p w:rsidR="00811A98" w:rsidRPr="00A91E8E" w:rsidRDefault="00811A98" w:rsidP="00811A98">
      <w:pPr>
        <w:pStyle w:val="Ttulo1"/>
        <w:spacing w:line="360" w:lineRule="auto"/>
        <w:rPr>
          <w:rFonts w:ascii="Palatino Linotype" w:hAnsi="Palatino Linotype"/>
          <w:b/>
          <w:color w:val="auto"/>
          <w:sz w:val="22"/>
          <w:szCs w:val="22"/>
          <w:lang w:val="es-ES_tradnl"/>
        </w:rPr>
      </w:pPr>
      <w:bookmarkStart w:id="10" w:name="_Toc87549682"/>
      <w:r w:rsidRPr="00A91E8E">
        <w:rPr>
          <w:rFonts w:ascii="Palatino Linotype" w:hAnsi="Palatino Linotype"/>
          <w:b/>
          <w:color w:val="auto"/>
          <w:sz w:val="22"/>
          <w:szCs w:val="22"/>
          <w:lang w:val="es-ES_tradnl"/>
        </w:rPr>
        <w:t>QUINTO. De la versión pública.</w:t>
      </w:r>
      <w:bookmarkEnd w:id="10"/>
    </w:p>
    <w:p w:rsidR="00811A98" w:rsidRPr="00A91E8E" w:rsidRDefault="00811A98" w:rsidP="00811A98">
      <w:pPr>
        <w:spacing w:line="360" w:lineRule="auto"/>
        <w:rPr>
          <w:rFonts w:ascii="Palatino Linotype" w:hAnsi="Palatino Linotype"/>
          <w:sz w:val="22"/>
          <w:szCs w:val="22"/>
          <w:lang w:eastAsia="es-ES_tradnl"/>
        </w:rPr>
      </w:pPr>
    </w:p>
    <w:p w:rsidR="00811A98" w:rsidRPr="00A91E8E" w:rsidRDefault="00811A98" w:rsidP="00811A98">
      <w:pPr>
        <w:pStyle w:val="Prrafodelista"/>
        <w:numPr>
          <w:ilvl w:val="0"/>
          <w:numId w:val="1"/>
        </w:numPr>
        <w:tabs>
          <w:tab w:val="left" w:pos="284"/>
        </w:tabs>
        <w:spacing w:line="360" w:lineRule="auto"/>
        <w:ind w:left="0" w:right="49" w:firstLine="0"/>
        <w:jc w:val="both"/>
        <w:rPr>
          <w:rFonts w:ascii="Palatino Linotype" w:hAnsi="Palatino Linotype" w:cs="Arial"/>
          <w:color w:val="000000"/>
          <w:szCs w:val="22"/>
        </w:rPr>
      </w:pPr>
      <w:r w:rsidRPr="00A91E8E">
        <w:rPr>
          <w:rFonts w:ascii="Palatino Linotype" w:hAnsi="Palatino Linotype" w:cs="Arial"/>
          <w:color w:val="000000"/>
          <w:szCs w:val="22"/>
        </w:rPr>
        <w:t>Debe destacarse que, debido a la naturaleza de la información solicitada</w:t>
      </w:r>
      <w:r w:rsidRPr="00A91E8E">
        <w:rPr>
          <w:rFonts w:ascii="Palatino Linotype" w:hAnsi="Palatino Linotype" w:cs="Arial"/>
          <w:b/>
          <w:color w:val="000000"/>
          <w:szCs w:val="22"/>
        </w:rPr>
        <w:t xml:space="preserve">, </w:t>
      </w:r>
      <w:r w:rsidRPr="00A91E8E">
        <w:rPr>
          <w:rFonts w:ascii="Palatino Linotype" w:hAnsi="Palatino Linotype" w:cs="Arial"/>
          <w:color w:val="000000"/>
          <w:szCs w:val="22"/>
        </w:rPr>
        <w:t xml:space="preserve">eventualmente pudiera obrar datos personales susceptibles de protegerse, así como información susceptible de clasificarse como reservada, el </w:t>
      </w:r>
      <w:r w:rsidRPr="00A91E8E">
        <w:rPr>
          <w:rFonts w:ascii="Palatino Linotype" w:hAnsi="Palatino Linotype" w:cs="Arial"/>
          <w:b/>
          <w:bCs/>
          <w:color w:val="000000"/>
          <w:szCs w:val="22"/>
        </w:rPr>
        <w:t xml:space="preserve">Sujeto Obligado </w:t>
      </w:r>
      <w:r w:rsidRPr="00A91E8E">
        <w:rPr>
          <w:rFonts w:ascii="Palatino Linotype" w:hAnsi="Palatino Linotype" w:cs="Arial"/>
          <w:color w:val="000000"/>
          <w:szCs w:val="22"/>
        </w:rPr>
        <w:t xml:space="preserve">deberá de hacer la adecuada versión pública, protegiendo los datos que no son susceptibles de ser proporcionados. </w:t>
      </w:r>
    </w:p>
    <w:p w:rsidR="00811A98" w:rsidRPr="00A91E8E" w:rsidRDefault="00811A98" w:rsidP="00811A98">
      <w:pPr>
        <w:pStyle w:val="Prrafodelista"/>
        <w:tabs>
          <w:tab w:val="left" w:pos="0"/>
          <w:tab w:val="left" w:pos="284"/>
        </w:tabs>
        <w:spacing w:line="360" w:lineRule="auto"/>
        <w:ind w:left="0" w:right="49"/>
        <w:jc w:val="both"/>
        <w:rPr>
          <w:rFonts w:ascii="Palatino Linotype" w:eastAsia="MS Mincho" w:hAnsi="Palatino Linotype"/>
          <w:szCs w:val="22"/>
          <w:lang w:val="es-ES"/>
        </w:rPr>
      </w:pPr>
    </w:p>
    <w:p w:rsidR="00811A98" w:rsidRPr="00A91E8E" w:rsidRDefault="00811A98" w:rsidP="00811A98">
      <w:pPr>
        <w:numPr>
          <w:ilvl w:val="0"/>
          <w:numId w:val="1"/>
        </w:numPr>
        <w:tabs>
          <w:tab w:val="left" w:pos="284"/>
        </w:tabs>
        <w:spacing w:line="360" w:lineRule="auto"/>
        <w:ind w:left="0" w:right="49" w:firstLine="0"/>
        <w:contextualSpacing/>
        <w:jc w:val="both"/>
        <w:rPr>
          <w:rFonts w:ascii="Palatino Linotype" w:hAnsi="Palatino Linotype" w:cs="Arial"/>
          <w:color w:val="000000"/>
          <w:sz w:val="22"/>
          <w:szCs w:val="22"/>
        </w:rPr>
      </w:pPr>
      <w:r w:rsidRPr="00A91E8E">
        <w:rPr>
          <w:rFonts w:ascii="Palatino Linotype" w:hAnsi="Palatino Linotype" w:cs="Arial"/>
          <w:color w:val="000000"/>
          <w:sz w:val="22"/>
          <w:szCs w:val="22"/>
        </w:rPr>
        <w:t xml:space="preserve">No pasa desapercibido para este Órgano Garante que los </w:t>
      </w:r>
      <w:r w:rsidRPr="00A91E8E">
        <w:rPr>
          <w:rFonts w:ascii="Palatino Linotype" w:hAnsi="Palatino Linotype" w:cs="Arial"/>
          <w:b/>
          <w:bCs/>
          <w:color w:val="000000"/>
          <w:sz w:val="22"/>
          <w:szCs w:val="22"/>
        </w:rPr>
        <w:t xml:space="preserve">Sujetos Obligados </w:t>
      </w:r>
      <w:r w:rsidRPr="00A91E8E">
        <w:rPr>
          <w:rFonts w:ascii="Palatino Linotype"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811A98" w:rsidRPr="00A91E8E" w:rsidRDefault="00811A98" w:rsidP="00811A98">
      <w:pPr>
        <w:tabs>
          <w:tab w:val="left" w:pos="284"/>
        </w:tabs>
        <w:spacing w:line="360" w:lineRule="auto"/>
        <w:ind w:right="49"/>
        <w:contextualSpacing/>
        <w:jc w:val="both"/>
        <w:rPr>
          <w:rFonts w:ascii="Palatino Linotype" w:hAnsi="Palatino Linotype" w:cs="Arial"/>
          <w:color w:val="000000"/>
          <w:sz w:val="22"/>
          <w:szCs w:val="22"/>
        </w:rPr>
      </w:pPr>
    </w:p>
    <w:tbl>
      <w:tblPr>
        <w:tblStyle w:val="Tablanormal1"/>
        <w:tblW w:w="8505" w:type="dxa"/>
        <w:tblInd w:w="137" w:type="dxa"/>
        <w:tblLook w:val="04A0" w:firstRow="1" w:lastRow="0" w:firstColumn="1" w:lastColumn="0" w:noHBand="0" w:noVBand="1"/>
      </w:tblPr>
      <w:tblGrid>
        <w:gridCol w:w="1838"/>
        <w:gridCol w:w="6667"/>
      </w:tblGrid>
      <w:tr w:rsidR="00811A98" w:rsidRPr="00A91E8E" w:rsidTr="003D7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811A98" w:rsidRPr="00A91E8E" w:rsidRDefault="00811A98" w:rsidP="003D7037">
            <w:pPr>
              <w:tabs>
                <w:tab w:val="left" w:pos="284"/>
              </w:tabs>
              <w:spacing w:line="360" w:lineRule="auto"/>
              <w:rPr>
                <w:rFonts w:ascii="Palatino Linotype" w:hAnsi="Palatino Linotype"/>
                <w:bCs w:val="0"/>
              </w:rPr>
            </w:pPr>
            <w:r w:rsidRPr="00A91E8E">
              <w:rPr>
                <w:rFonts w:ascii="Palatino Linotype" w:hAnsi="Palatino Linotype" w:cstheme="majorBidi"/>
              </w:rPr>
              <w:t>a) Requisitos previos.</w:t>
            </w:r>
          </w:p>
        </w:tc>
        <w:tc>
          <w:tcPr>
            <w:tcW w:w="6667" w:type="dxa"/>
            <w:hideMark/>
          </w:tcPr>
          <w:p w:rsidR="00811A98" w:rsidRPr="00A91E8E" w:rsidRDefault="00811A98" w:rsidP="003D703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A91E8E">
              <w:rPr>
                <w:rFonts w:ascii="Palatino Linotype" w:hAnsi="Palatino Linotype" w:cs="Arial"/>
                <w:color w:val="000000"/>
              </w:rPr>
              <w:t xml:space="preserve">Los artículos 100 y 122 de la Ley Estatal y de la Ley General, respectivamente, señalan que si los Sujetos Obligados </w:t>
            </w:r>
            <w:r w:rsidRPr="00A91E8E">
              <w:rPr>
                <w:rFonts w:ascii="Palatino Linotype" w:hAnsi="Palatino Linotype" w:cs="Arial"/>
                <w:color w:val="000000"/>
              </w:rPr>
              <w:lastRenderedPageBreak/>
              <w:t xml:space="preserve">determinan que la información actualiza alguno de los supuestos de clasificación, es deber de los titulares de las áreas proponer su clasificación y no del Comité de Transparencia. </w:t>
            </w:r>
          </w:p>
          <w:p w:rsidR="00811A98" w:rsidRPr="00A91E8E" w:rsidRDefault="00811A98" w:rsidP="003D703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A91E8E">
              <w:rPr>
                <w:rFonts w:ascii="Palatino Linotype" w:hAnsi="Palatino Linotype" w:cs="Arial"/>
                <w:color w:val="000000"/>
              </w:rPr>
              <w:t>Al hacerlo tienen que precisar de qué información se trata, señalando el supuesto de clasificación (confidencialidad o reserva).</w:t>
            </w:r>
          </w:p>
          <w:p w:rsidR="00811A98" w:rsidRPr="00A91E8E" w:rsidRDefault="00811A98" w:rsidP="003D703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A91E8E">
              <w:rPr>
                <w:rFonts w:ascii="Palatino Linotype" w:hAnsi="Palatino Linotype" w:cs="Arial"/>
                <w:color w:val="000000"/>
              </w:rPr>
              <w:t>Además, se debe señalar el procedimiento, de los tres que establecen los artículos 132 y 106 de la Ley Estatal y General, respectivamente.</w:t>
            </w:r>
          </w:p>
          <w:p w:rsidR="00811A98" w:rsidRPr="00A91E8E" w:rsidRDefault="00811A98" w:rsidP="003D703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A91E8E">
              <w:rPr>
                <w:rFonts w:ascii="Palatino Linotype" w:hAnsi="Palatino Linotype" w:cs="Arial"/>
                <w:color w:val="000000"/>
              </w:rPr>
              <w:t xml:space="preserve">El último de estos requisitos previos consiste en que no se pueden emitir acuerdos de carácter general ni particular, esto es, </w:t>
            </w:r>
            <w:r w:rsidRPr="00A91E8E">
              <w:rPr>
                <w:rFonts w:ascii="Palatino Linotype" w:hAnsi="Palatino Linotype" w:cs="Arial"/>
                <w:color w:val="000000"/>
                <w:u w:val="single"/>
              </w:rPr>
              <w:t>no se puede hacer un acuerdo para clasificar de manera general todos los documentos de un expediente o área, sin</w:t>
            </w:r>
            <w:r w:rsidRPr="00A91E8E">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811A98" w:rsidRPr="00A91E8E" w:rsidTr="003D7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811A98" w:rsidRPr="00A91E8E" w:rsidRDefault="00811A98" w:rsidP="003D7037">
            <w:pPr>
              <w:tabs>
                <w:tab w:val="left" w:pos="284"/>
              </w:tabs>
              <w:spacing w:line="360" w:lineRule="auto"/>
              <w:rPr>
                <w:rFonts w:ascii="Palatino Linotype" w:hAnsi="Palatino Linotype"/>
                <w:bCs w:val="0"/>
              </w:rPr>
            </w:pPr>
            <w:r w:rsidRPr="00A91E8E">
              <w:rPr>
                <w:rFonts w:ascii="Palatino Linotype" w:hAnsi="Palatino Linotype" w:cstheme="majorBidi"/>
              </w:rPr>
              <w:lastRenderedPageBreak/>
              <w:t>b) Supuestos de clasificación.</w:t>
            </w:r>
          </w:p>
        </w:tc>
        <w:tc>
          <w:tcPr>
            <w:tcW w:w="6667" w:type="dxa"/>
            <w:hideMark/>
          </w:tcPr>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Las disposiciones constitucionales y legales en la materia establecen los dos supuestos generales para clasificar la información: por reserva y por confidencialidad.</w:t>
            </w:r>
          </w:p>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11A98" w:rsidRPr="00A91E8E" w:rsidRDefault="00811A98" w:rsidP="003D703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1E8E">
              <w:rPr>
                <w:rFonts w:ascii="Palatino Linotype" w:hAnsi="Palatino Linotype" w:cs="Arial"/>
                <w:color w:val="000000"/>
              </w:rPr>
              <w:t xml:space="preserve">El </w:t>
            </w:r>
            <w:r w:rsidRPr="00A91E8E">
              <w:rPr>
                <w:rFonts w:ascii="Palatino Linotype" w:hAnsi="Palatino Linotype" w:cs="Arial"/>
                <w:b/>
                <w:color w:val="000000"/>
              </w:rPr>
              <w:t>Sujeto Obligado</w:t>
            </w:r>
            <w:r w:rsidRPr="00A91E8E">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11A98" w:rsidRPr="00A91E8E" w:rsidTr="003D7037">
        <w:tc>
          <w:tcPr>
            <w:cnfStyle w:val="001000000000" w:firstRow="0" w:lastRow="0" w:firstColumn="1" w:lastColumn="0" w:oddVBand="0" w:evenVBand="0" w:oddHBand="0" w:evenHBand="0" w:firstRowFirstColumn="0" w:firstRowLastColumn="0" w:lastRowFirstColumn="0" w:lastRowLastColumn="0"/>
            <w:tcW w:w="1838" w:type="dxa"/>
            <w:hideMark/>
          </w:tcPr>
          <w:p w:rsidR="00811A98" w:rsidRPr="00A91E8E" w:rsidRDefault="00811A98" w:rsidP="003D7037">
            <w:pPr>
              <w:tabs>
                <w:tab w:val="left" w:pos="284"/>
              </w:tabs>
              <w:spacing w:line="360" w:lineRule="auto"/>
              <w:rPr>
                <w:rFonts w:ascii="Palatino Linotype" w:hAnsi="Palatino Linotype"/>
                <w:bCs w:val="0"/>
              </w:rPr>
            </w:pPr>
            <w:r w:rsidRPr="00A91E8E">
              <w:rPr>
                <w:rFonts w:ascii="Palatino Linotype" w:hAnsi="Palatino Linotype" w:cstheme="majorBidi"/>
              </w:rPr>
              <w:lastRenderedPageBreak/>
              <w:t>c) Formalidades para emitir el acuerdo de clasificación.</w:t>
            </w:r>
          </w:p>
        </w:tc>
        <w:tc>
          <w:tcPr>
            <w:tcW w:w="6667" w:type="dxa"/>
            <w:hideMark/>
          </w:tcPr>
          <w:p w:rsidR="00811A98" w:rsidRPr="00A91E8E" w:rsidRDefault="00811A98" w:rsidP="003D703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rsidR="00811A98" w:rsidRPr="00A91E8E" w:rsidRDefault="00811A98" w:rsidP="003D703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lastRenderedPageBreak/>
              <w:t xml:space="preserve">Es necesario que </w:t>
            </w:r>
            <w:r w:rsidRPr="00A91E8E">
              <w:rPr>
                <w:rFonts w:ascii="Palatino Linotype" w:hAnsi="Palatino Linotype" w:cs="Arial"/>
                <w:b/>
                <w:color w:val="000000"/>
                <w:u w:val="single"/>
              </w:rPr>
              <w:t>el acto reúna con los requisitos elementales</w:t>
            </w:r>
            <w:r w:rsidRPr="00A91E8E">
              <w:rPr>
                <w:rFonts w:ascii="Palatino Linotype" w:hAnsi="Palatino Linotype" w:cs="Arial"/>
                <w:color w:val="000000"/>
              </w:rPr>
              <w:t>, entre ellos, que la autoridad que va a emitir el acto de autoridad sea la legalmente facultada para ello.</w:t>
            </w:r>
          </w:p>
          <w:p w:rsidR="00811A98" w:rsidRPr="00A91E8E" w:rsidRDefault="00811A98" w:rsidP="003D703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1E8E">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11A98" w:rsidRPr="00A91E8E" w:rsidTr="003D7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811A98" w:rsidRPr="00A91E8E" w:rsidRDefault="00811A98" w:rsidP="003D7037">
            <w:pPr>
              <w:tabs>
                <w:tab w:val="left" w:pos="284"/>
              </w:tabs>
              <w:spacing w:line="360" w:lineRule="auto"/>
              <w:rPr>
                <w:rFonts w:ascii="Palatino Linotype" w:hAnsi="Palatino Linotype"/>
                <w:b w:val="0"/>
              </w:rPr>
            </w:pPr>
          </w:p>
          <w:p w:rsidR="00811A98" w:rsidRPr="00A91E8E" w:rsidRDefault="00811A98" w:rsidP="003D7037">
            <w:pPr>
              <w:tabs>
                <w:tab w:val="left" w:pos="284"/>
              </w:tabs>
              <w:spacing w:line="360" w:lineRule="auto"/>
              <w:jc w:val="both"/>
              <w:rPr>
                <w:rFonts w:ascii="Palatino Linotype" w:hAnsi="Palatino Linotype"/>
                <w:bCs w:val="0"/>
              </w:rPr>
            </w:pPr>
            <w:r w:rsidRPr="00A91E8E">
              <w:rPr>
                <w:rFonts w:ascii="Palatino Linotype" w:hAnsi="Palatino Linotype" w:cs="Arial"/>
                <w:color w:val="000000"/>
              </w:rPr>
              <w:t xml:space="preserve">d) Requisitos de fondo del acuerdo de clasificación. </w:t>
            </w:r>
          </w:p>
        </w:tc>
        <w:tc>
          <w:tcPr>
            <w:tcW w:w="6667" w:type="dxa"/>
            <w:hideMark/>
          </w:tcPr>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91E8E">
              <w:rPr>
                <w:rFonts w:ascii="Palatino Linotype" w:hAnsi="Palatino Linotype" w:cs="Arial"/>
                <w:b/>
                <w:color w:val="000000"/>
              </w:rPr>
              <w:t>Sujetos Obligados</w:t>
            </w:r>
            <w:r w:rsidRPr="00A91E8E">
              <w:rPr>
                <w:rFonts w:ascii="Palatino Linotype" w:hAnsi="Palatino Linotype" w:cs="Arial"/>
                <w:color w:val="000000"/>
              </w:rPr>
              <w:t xml:space="preserve">, por lo que deberán fundar y motivar debidamente la clasificación. </w:t>
            </w:r>
          </w:p>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lastRenderedPageBreak/>
              <w:t xml:space="preserve">De lo anterior, se desprende que para una correcta </w:t>
            </w:r>
            <w:r w:rsidRPr="00A91E8E">
              <w:rPr>
                <w:rFonts w:ascii="Palatino Linotype" w:hAnsi="Palatino Linotype" w:cs="Arial"/>
                <w:b/>
                <w:color w:val="000000"/>
              </w:rPr>
              <w:t>clasificación total o parcial</w:t>
            </w:r>
            <w:r w:rsidRPr="00A91E8E">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rsidR="00811A98" w:rsidRPr="00A91E8E" w:rsidRDefault="00811A98" w:rsidP="003D703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lastRenderedPageBreak/>
              <w:t xml:space="preserve">Ahora bien, </w:t>
            </w:r>
            <w:r w:rsidRPr="00A91E8E">
              <w:rPr>
                <w:rFonts w:ascii="Palatino Linotype" w:hAnsi="Palatino Linotype" w:cs="Arial"/>
                <w:b/>
                <w:color w:val="000000"/>
                <w:u w:val="single"/>
              </w:rPr>
              <w:t>para cada caso además de fundar y motivar</w:t>
            </w:r>
            <w:r w:rsidRPr="00A91E8E">
              <w:rPr>
                <w:rFonts w:ascii="Palatino Linotype" w:hAnsi="Palatino Linotype" w:cs="Arial"/>
                <w:color w:val="000000"/>
              </w:rPr>
              <w:t xml:space="preserve">, se debe identificar con claridad que datos contenidos en las documentales que son susceptibles de suprimirse, por ejemplo; </w:t>
            </w:r>
            <w:r w:rsidRPr="00A91E8E">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11A98" w:rsidRPr="00A91E8E" w:rsidTr="003D7037">
        <w:tc>
          <w:tcPr>
            <w:cnfStyle w:val="001000000000" w:firstRow="0" w:lastRow="0" w:firstColumn="1" w:lastColumn="0" w:oddVBand="0" w:evenVBand="0" w:oddHBand="0" w:evenHBand="0" w:firstRowFirstColumn="0" w:firstRowLastColumn="0" w:lastRowFirstColumn="0" w:lastRowLastColumn="0"/>
            <w:tcW w:w="1838" w:type="dxa"/>
          </w:tcPr>
          <w:p w:rsidR="00811A98" w:rsidRPr="00A91E8E" w:rsidRDefault="00811A98" w:rsidP="003D7037">
            <w:pPr>
              <w:tabs>
                <w:tab w:val="left" w:pos="284"/>
              </w:tabs>
              <w:spacing w:line="360" w:lineRule="auto"/>
              <w:ind w:right="49"/>
              <w:jc w:val="both"/>
              <w:rPr>
                <w:rFonts w:ascii="Palatino Linotype" w:hAnsi="Palatino Linotype" w:cs="Arial"/>
                <w:bCs w:val="0"/>
              </w:rPr>
            </w:pPr>
            <w:r w:rsidRPr="00A91E8E">
              <w:rPr>
                <w:rFonts w:ascii="Palatino Linotype" w:eastAsia="MS Gothic" w:hAnsi="Palatino Linotype"/>
              </w:rPr>
              <w:lastRenderedPageBreak/>
              <w:t xml:space="preserve">e) Condiciones especiales de la clasificación de la información como confidencial. </w:t>
            </w:r>
          </w:p>
        </w:tc>
        <w:tc>
          <w:tcPr>
            <w:tcW w:w="6667" w:type="dxa"/>
            <w:hideMark/>
          </w:tcPr>
          <w:p w:rsidR="00811A98" w:rsidRPr="00A91E8E" w:rsidRDefault="00811A98" w:rsidP="003D703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rsidR="00811A98" w:rsidRPr="00A91E8E" w:rsidRDefault="00811A98" w:rsidP="003D703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A91E8E">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811A98" w:rsidRPr="00A91E8E" w:rsidRDefault="00811A98" w:rsidP="003D703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1E8E">
              <w:rPr>
                <w:rFonts w:ascii="Palatino Linotype" w:hAnsi="Palatino Linotype" w:cs="Arial"/>
                <w:color w:val="000000"/>
              </w:rPr>
              <w:t xml:space="preserve">Pero si la información que se pretende clasificar como confidencial no se encuentra en los supuestos de los </w:t>
            </w:r>
            <w:r w:rsidRPr="00A91E8E">
              <w:rPr>
                <w:rFonts w:ascii="Palatino Linotype" w:hAnsi="Palatino Linotype" w:cs="Arial"/>
                <w:color w:val="000000"/>
              </w:rPr>
              <w:lastRenderedPageBreak/>
              <w:t>artículos señalados y es posible, se deberá consultar al titular de los datos si permite o no el acceso. De no ser posible, la realización de la consulta, procede, fundando y motivando, la clasificación.</w:t>
            </w:r>
          </w:p>
        </w:tc>
      </w:tr>
      <w:bookmarkEnd w:id="9"/>
    </w:tbl>
    <w:p w:rsidR="00AE735B" w:rsidRPr="00A91E8E" w:rsidRDefault="00AE735B" w:rsidP="001F4E19">
      <w:pPr>
        <w:pStyle w:val="Prrafodelista"/>
        <w:spacing w:line="360" w:lineRule="auto"/>
        <w:ind w:left="0"/>
        <w:jc w:val="both"/>
        <w:rPr>
          <w:rFonts w:ascii="Palatino Linotype" w:eastAsia="Calibri" w:hAnsi="Palatino Linotype" w:cs="Arial"/>
          <w:szCs w:val="22"/>
        </w:rPr>
      </w:pPr>
    </w:p>
    <w:p w:rsidR="009B3CC3" w:rsidRPr="00A91E8E" w:rsidRDefault="009B3CC3" w:rsidP="009B3CC3">
      <w:pPr>
        <w:pStyle w:val="Prrafodelista"/>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Cs w:val="22"/>
        </w:rPr>
      </w:pPr>
      <w:r w:rsidRPr="00A91E8E">
        <w:rPr>
          <w:rFonts w:ascii="Palatino Linotype" w:hAnsi="Palatino Linotype" w:cs="Tahoma"/>
          <w:bCs/>
          <w:iCs/>
          <w:szCs w:val="22"/>
        </w:rPr>
        <w:t xml:space="preserve">Bajo este esquema a continuación se analizan los datos personales susceptibles de clasificación que podrían estar contenidos en los documentos que se ordenan entregar, tales como el </w:t>
      </w:r>
      <w:r w:rsidRPr="00A91E8E">
        <w:rPr>
          <w:rFonts w:ascii="Palatino Linotype" w:hAnsi="Palatino Linotype" w:cs="Tahoma"/>
          <w:b/>
          <w:bCs/>
          <w:iCs/>
          <w:szCs w:val="22"/>
        </w:rPr>
        <w:t>Registro Federal de Contribuyentes</w:t>
      </w:r>
      <w:r w:rsidRPr="00A91E8E">
        <w:rPr>
          <w:rFonts w:ascii="Palatino Linotype" w:hAnsi="Palatino Linotype" w:cs="Tahoma"/>
          <w:bCs/>
          <w:iCs/>
          <w:szCs w:val="22"/>
        </w:rPr>
        <w:t xml:space="preserve"> (RFC) de servidores públicos, la </w:t>
      </w:r>
      <w:r w:rsidRPr="00A91E8E">
        <w:rPr>
          <w:rFonts w:ascii="Palatino Linotype" w:hAnsi="Palatino Linotype" w:cs="Tahoma"/>
          <w:b/>
          <w:bCs/>
          <w:iCs/>
          <w:szCs w:val="22"/>
        </w:rPr>
        <w:t>Clave Única de Registro de Población</w:t>
      </w:r>
      <w:r w:rsidRPr="00A91E8E">
        <w:rPr>
          <w:rFonts w:ascii="Palatino Linotype" w:hAnsi="Palatino Linotype" w:cs="Tahoma"/>
          <w:bCs/>
          <w:iCs/>
          <w:szCs w:val="22"/>
        </w:rPr>
        <w:t xml:space="preserve"> (CURP).</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pStyle w:val="Prrafodelista"/>
        <w:numPr>
          <w:ilvl w:val="0"/>
          <w:numId w:val="9"/>
        </w:numPr>
        <w:spacing w:line="360" w:lineRule="auto"/>
        <w:ind w:right="-93"/>
        <w:jc w:val="both"/>
        <w:rPr>
          <w:rFonts w:ascii="Palatino Linotype" w:hAnsi="Palatino Linotype" w:cs="Tahoma"/>
          <w:bCs/>
          <w:iCs/>
          <w:szCs w:val="22"/>
        </w:rPr>
      </w:pPr>
      <w:r w:rsidRPr="00A91E8E">
        <w:rPr>
          <w:rFonts w:ascii="Palatino Linotype" w:hAnsi="Palatino Linotype" w:cs="Tahoma"/>
          <w:b/>
          <w:bCs/>
          <w:iCs/>
          <w:szCs w:val="22"/>
        </w:rPr>
        <w:t>Registro Federal de Contribuyentes</w:t>
      </w:r>
      <w:r w:rsidRPr="00A91E8E">
        <w:rPr>
          <w:rFonts w:ascii="Palatino Linotype" w:hAnsi="Palatino Linotype" w:cs="Tahoma"/>
          <w:bCs/>
          <w:iCs/>
          <w:szCs w:val="22"/>
        </w:rPr>
        <w:t xml:space="preserve"> (RFC)</w:t>
      </w:r>
    </w:p>
    <w:p w:rsidR="009B3CC3" w:rsidRPr="00A91E8E" w:rsidRDefault="009B3CC3" w:rsidP="009B3CC3">
      <w:pPr>
        <w:spacing w:line="360" w:lineRule="auto"/>
        <w:ind w:left="360" w:right="-93"/>
        <w:jc w:val="both"/>
        <w:rPr>
          <w:rFonts w:ascii="Palatino Linotype" w:hAnsi="Palatino Linotype" w:cs="Tahoma"/>
          <w:bCs/>
          <w:iCs/>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A91E8E">
        <w:rPr>
          <w:rFonts w:ascii="Palatino Linotype" w:hAnsi="Palatino Linotype" w:cs="Tahoma"/>
          <w:bCs/>
          <w:iCs/>
          <w:sz w:val="22"/>
          <w:szCs w:val="22"/>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spacing w:line="360" w:lineRule="auto"/>
        <w:ind w:right="-93"/>
        <w:jc w:val="both"/>
        <w:rPr>
          <w:rFonts w:ascii="Palatino Linotype" w:hAnsi="Palatino Linotype" w:cs="Tahoma"/>
          <w:bCs/>
          <w:iCs/>
          <w:sz w:val="22"/>
          <w:szCs w:val="22"/>
        </w:rPr>
      </w:pPr>
      <w:r w:rsidRPr="00A91E8E">
        <w:rPr>
          <w:rFonts w:ascii="Palatino Linotype" w:hAnsi="Palatino Linotype" w:cs="Tahoma"/>
          <w:bCs/>
          <w:iCs/>
          <w:sz w:val="22"/>
          <w:szCs w:val="22"/>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A91E8E">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A91E8E">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A91E8E">
        <w:rPr>
          <w:rFonts w:ascii="Palatino Linotype" w:hAnsi="Palatino Linotype" w:cs="Tahoma"/>
          <w:bCs/>
          <w:iCs/>
          <w:sz w:val="22"/>
          <w:szCs w:val="22"/>
        </w:rPr>
        <w:t>Lo anterior, resulta congruente con el Criterio 19/17 emitido por el Instituto Nacional de Transparencia, Acceso a la Información y Protección de Datos Personales, en el cual se señala lo siguiente:</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spacing w:line="360" w:lineRule="auto"/>
        <w:ind w:left="567" w:right="539"/>
        <w:jc w:val="both"/>
        <w:rPr>
          <w:rFonts w:ascii="Palatino Linotype" w:hAnsi="Palatino Linotype" w:cs="Tahoma"/>
          <w:bCs/>
          <w:i/>
          <w:iCs/>
          <w:sz w:val="22"/>
          <w:szCs w:val="22"/>
        </w:rPr>
      </w:pPr>
      <w:r w:rsidRPr="00A91E8E">
        <w:rPr>
          <w:rFonts w:ascii="Palatino Linotype" w:hAnsi="Palatino Linotype" w:cs="Tahoma"/>
          <w:bCs/>
          <w:i/>
          <w:iCs/>
          <w:sz w:val="22"/>
          <w:szCs w:val="22"/>
        </w:rPr>
        <w:t>“</w:t>
      </w:r>
      <w:r w:rsidRPr="00A91E8E">
        <w:rPr>
          <w:rFonts w:ascii="Palatino Linotype" w:hAnsi="Palatino Linotype" w:cs="Tahoma"/>
          <w:b/>
          <w:bCs/>
          <w:i/>
          <w:iCs/>
          <w:sz w:val="22"/>
          <w:szCs w:val="22"/>
        </w:rPr>
        <w:t>Registro Federal de Contribuyentes (RFC) de personas físicas</w:t>
      </w:r>
      <w:r w:rsidRPr="00A91E8E">
        <w:rPr>
          <w:rFonts w:ascii="Palatino Linotype" w:hAnsi="Palatino Linotype" w:cs="Tahoma"/>
          <w:bCs/>
          <w:i/>
          <w:iCs/>
          <w:sz w:val="22"/>
          <w:szCs w:val="22"/>
        </w:rPr>
        <w:t>. El RFC es una clave de carácter fiscal, única e irrepetible, que permite identificar al titular, su edad y fecha de nacimiento, por lo que es un dato personal de carácter confidencial.”</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A91E8E">
        <w:rPr>
          <w:rFonts w:ascii="Palatino Linotype" w:hAnsi="Palatino Linotype" w:cs="Tahoma"/>
          <w:bCs/>
          <w:iCs/>
          <w:sz w:val="22"/>
          <w:szCs w:val="22"/>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9B3CC3" w:rsidRPr="00A91E8E" w:rsidRDefault="009B3CC3" w:rsidP="009B3CC3">
      <w:pPr>
        <w:spacing w:line="360" w:lineRule="auto"/>
        <w:ind w:right="-93"/>
        <w:jc w:val="both"/>
        <w:rPr>
          <w:rFonts w:ascii="Palatino Linotype" w:hAnsi="Palatino Linotype" w:cs="Tahoma"/>
          <w:bCs/>
          <w:iCs/>
          <w:sz w:val="22"/>
          <w:szCs w:val="22"/>
        </w:rPr>
      </w:pPr>
    </w:p>
    <w:p w:rsidR="009B3CC3" w:rsidRPr="00A91E8E" w:rsidRDefault="009B3CC3" w:rsidP="009B3CC3">
      <w:pPr>
        <w:pStyle w:val="Prrafodelista"/>
        <w:numPr>
          <w:ilvl w:val="0"/>
          <w:numId w:val="9"/>
        </w:numPr>
        <w:spacing w:line="360" w:lineRule="auto"/>
        <w:ind w:right="-91"/>
        <w:jc w:val="both"/>
        <w:rPr>
          <w:rFonts w:ascii="Palatino Linotype" w:eastAsia="Calibri" w:hAnsi="Palatino Linotype" w:cs="Tahoma"/>
          <w:bCs/>
          <w:szCs w:val="22"/>
          <w:lang w:val="es-ES" w:eastAsia="en-US"/>
        </w:rPr>
      </w:pPr>
      <w:r w:rsidRPr="00A91E8E">
        <w:rPr>
          <w:rFonts w:ascii="Palatino Linotype" w:hAnsi="Palatino Linotype" w:cs="Tahoma"/>
          <w:b/>
          <w:bCs/>
          <w:iCs/>
          <w:szCs w:val="22"/>
        </w:rPr>
        <w:t>Registro Federal de Contribuyentes</w:t>
      </w:r>
      <w:r w:rsidRPr="00A91E8E">
        <w:rPr>
          <w:rFonts w:ascii="Palatino Linotype" w:hAnsi="Palatino Linotype" w:cs="Tahoma"/>
          <w:bCs/>
          <w:iCs/>
          <w:szCs w:val="22"/>
        </w:rPr>
        <w:t xml:space="preserve"> (RFC) de proveedores </w:t>
      </w:r>
    </w:p>
    <w:p w:rsidR="009B3CC3" w:rsidRPr="00A91E8E" w:rsidRDefault="009B3CC3" w:rsidP="009B3CC3">
      <w:pPr>
        <w:pStyle w:val="Prrafodelista"/>
        <w:spacing w:line="360" w:lineRule="auto"/>
        <w:ind w:right="-91"/>
        <w:jc w:val="both"/>
        <w:rPr>
          <w:rFonts w:ascii="Palatino Linotype" w:eastAsia="Calibri" w:hAnsi="Palatino Linotype" w:cs="Tahoma"/>
          <w:bCs/>
          <w:szCs w:val="22"/>
          <w:lang w:val="es-ES" w:eastAsia="en-US"/>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A91E8E">
        <w:rPr>
          <w:rFonts w:ascii="Palatino Linotype" w:eastAsia="Calibri" w:hAnsi="Palatino Linotype" w:cs="Tahoma"/>
          <w:bCs/>
          <w:sz w:val="22"/>
          <w:szCs w:val="22"/>
          <w:lang w:val="es-ES" w:eastAsia="en-US"/>
        </w:rPr>
        <w:t xml:space="preserve">Por otro lado, el RFC de proveedores </w:t>
      </w:r>
      <w:r w:rsidRPr="00A91E8E">
        <w:rPr>
          <w:rFonts w:ascii="Palatino Linotype" w:eastAsia="Calibri" w:hAnsi="Palatino Linotype" w:cs="Tahoma"/>
          <w:b/>
          <w:bCs/>
          <w:sz w:val="22"/>
          <w:szCs w:val="22"/>
          <w:u w:val="single"/>
          <w:lang w:val="es-ES" w:eastAsia="en-US"/>
        </w:rPr>
        <w:t>no puede considerarse como clasificado</w:t>
      </w:r>
      <w:r w:rsidRPr="00A91E8E">
        <w:rPr>
          <w:rFonts w:ascii="Palatino Linotype" w:eastAsia="Calibri" w:hAnsi="Palatino Linotype" w:cs="Tahoma"/>
          <w:bCs/>
          <w:sz w:val="22"/>
          <w:szCs w:val="22"/>
          <w:lang w:val="es-ES" w:eastAsia="en-US"/>
        </w:rPr>
        <w:t xml:space="preserve"> aun siendo de </w:t>
      </w:r>
      <w:r w:rsidRPr="00A91E8E">
        <w:rPr>
          <w:rFonts w:ascii="Palatino Linotype" w:hAnsi="Palatino Linotype" w:cs="Tahoma"/>
          <w:bCs/>
          <w:iCs/>
          <w:sz w:val="22"/>
          <w:szCs w:val="22"/>
        </w:rPr>
        <w:t>personas</w:t>
      </w:r>
      <w:r w:rsidRPr="00A91E8E">
        <w:rPr>
          <w:rFonts w:ascii="Palatino Linotype" w:eastAsia="Calibri" w:hAnsi="Palatino Linotype" w:cs="Tahoma"/>
          <w:bCs/>
          <w:sz w:val="22"/>
          <w:szCs w:val="22"/>
          <w:lang w:val="es-ES" w:eastAsia="en-US"/>
        </w:rPr>
        <w:t xml:space="preserve">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rsidR="009B3CC3" w:rsidRPr="00A91E8E" w:rsidRDefault="009B3CC3" w:rsidP="009B3CC3">
      <w:pPr>
        <w:spacing w:line="360" w:lineRule="auto"/>
        <w:ind w:right="-91"/>
        <w:jc w:val="both"/>
        <w:rPr>
          <w:rFonts w:ascii="Palatino Linotype" w:eastAsia="Calibri" w:hAnsi="Palatino Linotype" w:cs="Tahoma"/>
          <w:bCs/>
          <w:sz w:val="22"/>
          <w:szCs w:val="22"/>
          <w:lang w:val="es-ES" w:eastAsia="en-US"/>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A91E8E">
        <w:rPr>
          <w:rFonts w:ascii="Palatino Linotype" w:eastAsia="Calibri" w:hAnsi="Palatino Linotype" w:cs="Tahoma"/>
          <w:bCs/>
          <w:sz w:val="22"/>
          <w:szCs w:val="22"/>
          <w:lang w:val="es-ES" w:eastAsia="en-US"/>
        </w:rPr>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rsidR="009B3CC3" w:rsidRPr="00A91E8E" w:rsidRDefault="009B3CC3" w:rsidP="009B3CC3">
      <w:pPr>
        <w:spacing w:line="360" w:lineRule="auto"/>
        <w:ind w:right="-91"/>
        <w:jc w:val="both"/>
        <w:rPr>
          <w:rFonts w:ascii="Palatino Linotype" w:eastAsia="Calibri" w:hAnsi="Palatino Linotype" w:cs="Tahoma"/>
          <w:bCs/>
          <w:sz w:val="22"/>
          <w:szCs w:val="22"/>
          <w:lang w:val="es-ES" w:eastAsia="en-US"/>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A91E8E">
        <w:rPr>
          <w:rFonts w:ascii="Palatino Linotype" w:eastAsia="Calibri" w:hAnsi="Palatino Linotype" w:cs="Tahoma"/>
          <w:bCs/>
          <w:sz w:val="22"/>
          <w:szCs w:val="22"/>
          <w:lang w:val="es-ES" w:eastAsia="en-US"/>
        </w:rPr>
        <w:lastRenderedPageBreak/>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rsidR="009B3CC3" w:rsidRPr="00A91E8E" w:rsidRDefault="009B3CC3" w:rsidP="009B3CC3">
      <w:pPr>
        <w:spacing w:line="360" w:lineRule="auto"/>
        <w:ind w:right="-91"/>
        <w:jc w:val="both"/>
        <w:rPr>
          <w:rFonts w:ascii="Palatino Linotype" w:eastAsia="Calibri" w:hAnsi="Palatino Linotype" w:cs="Tahoma"/>
          <w:bCs/>
          <w:sz w:val="22"/>
          <w:szCs w:val="22"/>
          <w:lang w:val="es-ES" w:eastAsia="en-US"/>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A91E8E">
        <w:rPr>
          <w:rFonts w:ascii="Palatino Linotype" w:eastAsia="Calibri" w:hAnsi="Palatino Linotype" w:cs="Tahoma"/>
          <w:bCs/>
          <w:sz w:val="22"/>
          <w:szCs w:val="22"/>
          <w:lang w:val="es-ES" w:eastAsia="en-U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rsidR="009B3CC3" w:rsidRPr="00A91E8E" w:rsidRDefault="009B3CC3" w:rsidP="009B3CC3">
      <w:pPr>
        <w:spacing w:line="360" w:lineRule="auto"/>
        <w:ind w:right="-91"/>
        <w:jc w:val="both"/>
        <w:rPr>
          <w:rFonts w:ascii="Palatino Linotype" w:eastAsia="Calibri" w:hAnsi="Palatino Linotype" w:cs="Tahoma"/>
          <w:bCs/>
          <w:sz w:val="22"/>
          <w:szCs w:val="22"/>
          <w:lang w:val="es-ES" w:eastAsia="en-US"/>
        </w:rPr>
      </w:pPr>
    </w:p>
    <w:p w:rsidR="009B3CC3" w:rsidRPr="00A91E8E" w:rsidRDefault="009B3CC3" w:rsidP="009B3CC3">
      <w:pPr>
        <w:spacing w:line="360" w:lineRule="auto"/>
        <w:ind w:left="567" w:right="539"/>
        <w:jc w:val="both"/>
        <w:rPr>
          <w:rFonts w:ascii="Palatino Linotype" w:eastAsia="Calibri" w:hAnsi="Palatino Linotype" w:cs="Tahoma"/>
          <w:bCs/>
          <w:i/>
          <w:sz w:val="22"/>
          <w:szCs w:val="22"/>
          <w:lang w:val="es-ES" w:eastAsia="en-US"/>
        </w:rPr>
      </w:pPr>
      <w:r w:rsidRPr="00A91E8E">
        <w:rPr>
          <w:rFonts w:ascii="Palatino Linotype" w:eastAsia="Calibri" w:hAnsi="Palatino Linotype" w:cs="Tahoma"/>
          <w:b/>
          <w:bCs/>
          <w:i/>
          <w:sz w:val="22"/>
          <w:szCs w:val="22"/>
          <w:lang w:val="es-ES" w:eastAsia="en-US"/>
        </w:rPr>
        <w:t>Denominación o razón social, y Registro Federal de Contribuyentes de personas morales, no constituyen información confidencial</w:t>
      </w:r>
      <w:r w:rsidRPr="00A91E8E">
        <w:rPr>
          <w:rFonts w:ascii="Palatino Linotype" w:eastAsia="Calibri" w:hAnsi="Palatino Linotype" w:cs="Tahoma"/>
          <w:bCs/>
          <w:i/>
          <w:sz w:val="22"/>
          <w:szCs w:val="22"/>
          <w:lang w:val="es-ES" w:eastAsia="en-US"/>
        </w:rPr>
        <w:t xml:space="preserve">. La denominación o razón social de personas morales es pública, por encontrarse inscritas en el Registro Público de Comercio. Por lo que respecta a su Registro Federal de Contribuyentes (RFC), en principio, también 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w:t>
      </w:r>
      <w:r w:rsidRPr="00A91E8E">
        <w:rPr>
          <w:rFonts w:ascii="Palatino Linotype" w:eastAsia="Calibri" w:hAnsi="Palatino Linotype" w:cs="Tahoma"/>
          <w:bCs/>
          <w:i/>
          <w:sz w:val="22"/>
          <w:szCs w:val="22"/>
          <w:lang w:val="es-ES" w:eastAsia="en-US"/>
        </w:rPr>
        <w:lastRenderedPageBreak/>
        <w:t>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rsidR="009B3CC3" w:rsidRPr="00A91E8E" w:rsidRDefault="009B3CC3" w:rsidP="009B3CC3">
      <w:pPr>
        <w:spacing w:line="360" w:lineRule="auto"/>
        <w:ind w:right="-91"/>
        <w:jc w:val="both"/>
        <w:rPr>
          <w:rFonts w:ascii="Palatino Linotype" w:eastAsia="Calibri" w:hAnsi="Palatino Linotype" w:cs="Tahoma"/>
          <w:bCs/>
          <w:sz w:val="22"/>
          <w:szCs w:val="22"/>
          <w:lang w:val="es-ES" w:eastAsia="en-US"/>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eastAsia="Calibri" w:hAnsi="Palatino Linotype" w:cs="Tahoma"/>
          <w:bCs/>
          <w:sz w:val="22"/>
          <w:szCs w:val="22"/>
          <w:lang w:val="es-ES" w:eastAsia="en-US"/>
        </w:rPr>
        <w:t xml:space="preserve">Por consiguiente, no procede clasificar como confidencial con fundamento en el artículo 143, </w:t>
      </w:r>
      <w:r w:rsidRPr="00A91E8E">
        <w:rPr>
          <w:rFonts w:ascii="Palatino Linotype" w:hAnsi="Palatino Linotype" w:cs="Tahoma"/>
          <w:sz w:val="22"/>
          <w:szCs w:val="22"/>
        </w:rPr>
        <w:t xml:space="preserve">fracción I, </w:t>
      </w:r>
      <w:r w:rsidRPr="00A91E8E">
        <w:rPr>
          <w:rFonts w:ascii="Palatino Linotype" w:eastAsia="Calibri" w:hAnsi="Palatino Linotype" w:cs="Tahoma"/>
          <w:bCs/>
          <w:sz w:val="22"/>
          <w:szCs w:val="22"/>
          <w:lang w:val="es-ES" w:eastAsia="en-US"/>
        </w:rPr>
        <w:t>de</w:t>
      </w:r>
      <w:r w:rsidRPr="00A91E8E">
        <w:rPr>
          <w:rFonts w:ascii="Palatino Linotype" w:hAnsi="Palatino Linotype" w:cs="Tahoma"/>
          <w:sz w:val="22"/>
          <w:szCs w:val="22"/>
        </w:rPr>
        <w:t xml:space="preserve"> la Ley de Transparencia y Acceso a la Información Pública del Estado de México y Municipios y, eliminar RFC de personas físicas ni de personas jurídico-colectivas en los documentos que pudiera proporcionar el Sujeto Obligado</w:t>
      </w:r>
    </w:p>
    <w:p w:rsidR="009B3CC3" w:rsidRPr="00A91E8E" w:rsidRDefault="009B3CC3" w:rsidP="009B3CC3">
      <w:pPr>
        <w:spacing w:line="360" w:lineRule="auto"/>
        <w:jc w:val="both"/>
        <w:rPr>
          <w:rFonts w:ascii="Palatino Linotype" w:hAnsi="Palatino Linotype" w:cs="Tahoma"/>
          <w:sz w:val="22"/>
          <w:szCs w:val="22"/>
        </w:rPr>
      </w:pPr>
    </w:p>
    <w:p w:rsidR="009B3CC3" w:rsidRPr="00A91E8E" w:rsidRDefault="009B3CC3" w:rsidP="009B3CC3">
      <w:pPr>
        <w:pStyle w:val="Prrafodelista"/>
        <w:numPr>
          <w:ilvl w:val="0"/>
          <w:numId w:val="9"/>
        </w:numPr>
        <w:spacing w:line="360" w:lineRule="auto"/>
        <w:jc w:val="both"/>
        <w:rPr>
          <w:rFonts w:ascii="Palatino Linotype" w:hAnsi="Palatino Linotype" w:cs="Tahoma"/>
          <w:b/>
          <w:szCs w:val="22"/>
        </w:rPr>
      </w:pPr>
      <w:r w:rsidRPr="00A91E8E">
        <w:rPr>
          <w:rFonts w:ascii="Palatino Linotype" w:hAnsi="Palatino Linotype" w:cs="Tahoma"/>
          <w:b/>
          <w:szCs w:val="22"/>
        </w:rPr>
        <w:t xml:space="preserve">Clave </w:t>
      </w:r>
      <w:r w:rsidRPr="00A91E8E">
        <w:rPr>
          <w:rFonts w:ascii="Palatino Linotype" w:hAnsi="Palatino Linotype" w:cs="Tahoma"/>
          <w:b/>
          <w:caps/>
          <w:szCs w:val="22"/>
        </w:rPr>
        <w:t>ú</w:t>
      </w:r>
      <w:r w:rsidRPr="00A91E8E">
        <w:rPr>
          <w:rFonts w:ascii="Palatino Linotype" w:hAnsi="Palatino Linotype" w:cs="Tahoma"/>
          <w:b/>
          <w:szCs w:val="22"/>
        </w:rPr>
        <w:t>nica de Registro de Población –CURP-.</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 xml:space="preserve">El </w:t>
      </w:r>
      <w:r w:rsidRPr="00A91E8E">
        <w:rPr>
          <w:rFonts w:ascii="Palatino Linotype" w:eastAsia="Calibri" w:hAnsi="Palatino Linotype" w:cs="Tahoma"/>
          <w:bCs/>
          <w:sz w:val="22"/>
          <w:szCs w:val="22"/>
          <w:lang w:val="es-ES" w:eastAsia="en-US"/>
        </w:rPr>
        <w:t>artículo</w:t>
      </w:r>
      <w:r w:rsidRPr="00A91E8E">
        <w:rPr>
          <w:rFonts w:ascii="Palatino Linotype" w:hAnsi="Palatino Linotype" w:cs="Tahoma"/>
          <w:sz w:val="22"/>
          <w:szCs w:val="22"/>
        </w:rPr>
        <w:t xml:space="preserve"> 36 de la Constitución Política de los Estados Unidos Mexicanos, dispone la obligación de los ciudadanos de inscribirse en el Registro Nacional de Ciudadanos. </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El artículo 85 de la Ley General de Población, prevé que corresponde a la Secretaría de Gobernación el registro y acreditación de la identidad de todas las personas residentes en el país y de los nacionales que residan en el extranjero.</w:t>
      </w:r>
    </w:p>
    <w:p w:rsidR="009B3CC3" w:rsidRPr="00A91E8E" w:rsidRDefault="009B3CC3" w:rsidP="009B3CC3">
      <w:pPr>
        <w:pStyle w:val="Prrafodelista"/>
        <w:rPr>
          <w:rFonts w:ascii="Palatino Linotype" w:hAnsi="Palatino Linotype" w:cs="Tahoma"/>
          <w:szCs w:val="22"/>
          <w:lang w:eastAsia="es-MX"/>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w:t>
      </w:r>
      <w:r w:rsidRPr="00A91E8E">
        <w:rPr>
          <w:rFonts w:ascii="Palatino Linotype" w:hAnsi="Palatino Linotype" w:cs="Tahoma"/>
          <w:sz w:val="22"/>
          <w:szCs w:val="22"/>
        </w:rPr>
        <w:lastRenderedPageBreak/>
        <w:t>Registro de Población a todas las personas residentes en el país, así como a los mexicanos que residan en el extranjero.</w:t>
      </w: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 xml:space="preserve">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A91E8E">
        <w:rPr>
          <w:rFonts w:ascii="Palatino Linotype" w:hAnsi="Palatino Linotype" w:cs="Tahoma"/>
          <w:b/>
          <w:sz w:val="22"/>
          <w:szCs w:val="22"/>
        </w:rPr>
        <w:t xml:space="preserve">se generan a partir de los datos contenidos en el documento probatorio de la identidad del interesado </w:t>
      </w:r>
      <w:r w:rsidRPr="00A91E8E">
        <w:rPr>
          <w:rFonts w:ascii="Palatino Linotype" w:hAnsi="Palatino Linotype" w:cs="Tahoma"/>
          <w:sz w:val="22"/>
          <w:szCs w:val="22"/>
        </w:rPr>
        <w:t>(acta de nacimiento, carta de naturalización o documento migratorio) de la siguiente forma:</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spacing w:line="360" w:lineRule="auto"/>
        <w:ind w:left="720"/>
        <w:contextualSpacing/>
        <w:jc w:val="both"/>
        <w:rPr>
          <w:rFonts w:ascii="Palatino Linotype" w:hAnsi="Palatino Linotype" w:cs="Tahoma"/>
          <w:sz w:val="22"/>
          <w:szCs w:val="22"/>
        </w:rPr>
      </w:pPr>
      <w:r w:rsidRPr="00A91E8E">
        <w:rPr>
          <w:rFonts w:ascii="Palatino Linotype" w:hAnsi="Palatino Linotype" w:cs="Tahoma"/>
          <w:sz w:val="22"/>
          <w:szCs w:val="22"/>
        </w:rPr>
        <w:t xml:space="preserve"> • El primero y segundo apellidos, así como al nombre de pila.</w:t>
      </w:r>
    </w:p>
    <w:p w:rsidR="009B3CC3" w:rsidRPr="00A91E8E" w:rsidRDefault="009B3CC3" w:rsidP="009B3CC3">
      <w:pPr>
        <w:spacing w:line="360" w:lineRule="auto"/>
        <w:ind w:left="720"/>
        <w:contextualSpacing/>
        <w:jc w:val="both"/>
        <w:rPr>
          <w:rFonts w:ascii="Palatino Linotype" w:hAnsi="Palatino Linotype" w:cs="Tahoma"/>
          <w:sz w:val="22"/>
          <w:szCs w:val="22"/>
        </w:rPr>
      </w:pPr>
      <w:r w:rsidRPr="00A91E8E">
        <w:rPr>
          <w:rFonts w:ascii="Palatino Linotype" w:hAnsi="Palatino Linotype" w:cs="Tahoma"/>
          <w:sz w:val="22"/>
          <w:szCs w:val="22"/>
        </w:rPr>
        <w:t xml:space="preserve"> • La fecha de nacimiento.</w:t>
      </w:r>
    </w:p>
    <w:p w:rsidR="009B3CC3" w:rsidRPr="00A91E8E" w:rsidRDefault="009B3CC3" w:rsidP="009B3CC3">
      <w:pPr>
        <w:spacing w:line="360" w:lineRule="auto"/>
        <w:ind w:left="720"/>
        <w:contextualSpacing/>
        <w:jc w:val="both"/>
        <w:rPr>
          <w:rFonts w:ascii="Palatino Linotype" w:hAnsi="Palatino Linotype" w:cs="Tahoma"/>
          <w:sz w:val="22"/>
          <w:szCs w:val="22"/>
        </w:rPr>
      </w:pPr>
      <w:r w:rsidRPr="00A91E8E">
        <w:rPr>
          <w:rFonts w:ascii="Palatino Linotype" w:hAnsi="Palatino Linotype" w:cs="Tahoma"/>
          <w:sz w:val="22"/>
          <w:szCs w:val="22"/>
        </w:rPr>
        <w:t xml:space="preserve"> • El sexo.</w:t>
      </w:r>
    </w:p>
    <w:p w:rsidR="009B3CC3" w:rsidRPr="00A91E8E" w:rsidRDefault="009B3CC3" w:rsidP="009B3CC3">
      <w:pPr>
        <w:spacing w:line="360" w:lineRule="auto"/>
        <w:ind w:left="720"/>
        <w:contextualSpacing/>
        <w:jc w:val="both"/>
        <w:rPr>
          <w:rFonts w:ascii="Palatino Linotype" w:hAnsi="Palatino Linotype" w:cs="Tahoma"/>
          <w:sz w:val="22"/>
          <w:szCs w:val="22"/>
        </w:rPr>
      </w:pPr>
      <w:r w:rsidRPr="00A91E8E">
        <w:rPr>
          <w:rFonts w:ascii="Palatino Linotype" w:hAnsi="Palatino Linotype" w:cs="Tahoma"/>
          <w:sz w:val="22"/>
          <w:szCs w:val="22"/>
        </w:rPr>
        <w:t xml:space="preserve"> • La entidad federativa de nacimiento.</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Los dos últimos elementos de la CURP evitan la duplicidad de la Clave y garantizan su correcta integración.</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lastRenderedPageBreak/>
        <w:t>Resulta aplicable en la especie, como argumento orientador, el Criterio 3/10, emitido por el INAI.</w:t>
      </w:r>
    </w:p>
    <w:p w:rsidR="009B3CC3" w:rsidRPr="00A91E8E" w:rsidRDefault="009B3CC3" w:rsidP="009B3CC3">
      <w:pPr>
        <w:spacing w:line="360" w:lineRule="auto"/>
        <w:contextualSpacing/>
        <w:jc w:val="both"/>
        <w:rPr>
          <w:rFonts w:ascii="Palatino Linotype" w:hAnsi="Palatino Linotype" w:cs="Tahoma"/>
          <w:sz w:val="22"/>
          <w:szCs w:val="22"/>
        </w:rPr>
      </w:pPr>
    </w:p>
    <w:p w:rsidR="009B3CC3" w:rsidRPr="00A91E8E" w:rsidRDefault="009B3CC3" w:rsidP="009B3CC3">
      <w:pPr>
        <w:autoSpaceDE w:val="0"/>
        <w:autoSpaceDN w:val="0"/>
        <w:adjustRightInd w:val="0"/>
        <w:spacing w:line="360" w:lineRule="auto"/>
        <w:ind w:left="567" w:right="567"/>
        <w:jc w:val="both"/>
        <w:rPr>
          <w:rFonts w:ascii="Palatino Linotype" w:eastAsia="Calibri" w:hAnsi="Palatino Linotype" w:cs="Tahoma"/>
          <w:i/>
          <w:color w:val="000000"/>
          <w:sz w:val="22"/>
          <w:szCs w:val="22"/>
        </w:rPr>
      </w:pPr>
      <w:r w:rsidRPr="00A91E8E">
        <w:rPr>
          <w:rFonts w:ascii="Palatino Linotype" w:eastAsia="Calibri" w:hAnsi="Palatino Linotype" w:cs="Tahoma"/>
          <w:b/>
          <w:bCs/>
          <w:i/>
          <w:color w:val="000000"/>
          <w:sz w:val="22"/>
          <w:szCs w:val="22"/>
        </w:rPr>
        <w:t xml:space="preserve">“Clave Única de Registro de Población (CURP) es un dato personal confidencial. </w:t>
      </w:r>
      <w:r w:rsidRPr="00A91E8E">
        <w:rPr>
          <w:rFonts w:ascii="Palatino Linotype" w:eastAsia="Calibri" w:hAnsi="Palatino Linotype" w:cs="Tahoma"/>
          <w:i/>
          <w:color w:val="000000"/>
          <w:sz w:val="22"/>
          <w:szCs w:val="22"/>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p>
    <w:p w:rsidR="009B3CC3" w:rsidRPr="00A91E8E" w:rsidRDefault="009B3CC3" w:rsidP="009B3CC3">
      <w:pPr>
        <w:spacing w:line="360" w:lineRule="auto"/>
        <w:jc w:val="both"/>
        <w:rPr>
          <w:rFonts w:ascii="Palatino Linotype" w:hAnsi="Palatino Linotype" w:cs="Tahoma"/>
          <w:sz w:val="22"/>
          <w:szCs w:val="22"/>
        </w:rPr>
      </w:pPr>
    </w:p>
    <w:p w:rsidR="009B3CC3" w:rsidRPr="00A91E8E" w:rsidRDefault="009B3CC3" w:rsidP="009B3CC3">
      <w:pPr>
        <w:numPr>
          <w:ilvl w:val="0"/>
          <w:numId w:val="1"/>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A91E8E">
        <w:rPr>
          <w:rFonts w:ascii="Palatino Linotype" w:hAnsi="Palatino Linotype" w:cs="Tahoma"/>
          <w:sz w:val="22"/>
          <w:szCs w:val="22"/>
        </w:rPr>
        <w:t>De acuerdo con lo anterior, se la clave CURP, es un dato personal confidencial, en términos del artículo 143, fracción I de la Ley de Transparencia y Acceso a la Información Pública del Estado de México y Municipios.</w:t>
      </w:r>
    </w:p>
    <w:p w:rsidR="009B3CC3" w:rsidRPr="00A91E8E" w:rsidRDefault="009B3CC3" w:rsidP="009B3CC3">
      <w:pPr>
        <w:pStyle w:val="Prrafodelista"/>
        <w:tabs>
          <w:tab w:val="left" w:pos="567"/>
        </w:tabs>
        <w:spacing w:line="360" w:lineRule="auto"/>
        <w:ind w:left="0"/>
        <w:jc w:val="both"/>
        <w:rPr>
          <w:rFonts w:ascii="Palatino Linotype" w:eastAsia="Calibri" w:hAnsi="Palatino Linotype" w:cs="Arial"/>
          <w:szCs w:val="22"/>
        </w:rPr>
      </w:pPr>
    </w:p>
    <w:p w:rsidR="005E7CE0" w:rsidRPr="00A91E8E" w:rsidRDefault="005E7CE0" w:rsidP="005E7CE0">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A91E8E">
        <w:rPr>
          <w:rFonts w:ascii="Palatino Linotype" w:hAnsi="Palatino Linotype" w:cs="Arial"/>
          <w:color w:val="222222"/>
          <w:szCs w:val="22"/>
          <w:lang w:eastAsia="es-MX"/>
        </w:rPr>
        <w:t xml:space="preserve">Por lo anteriormente expuesto y fundado, este </w:t>
      </w:r>
      <w:r w:rsidRPr="00A91E8E">
        <w:rPr>
          <w:rFonts w:ascii="Palatino Linotype" w:hAnsi="Palatino Linotype" w:cs="Arial"/>
          <w:b/>
          <w:bCs/>
          <w:color w:val="222222"/>
          <w:szCs w:val="22"/>
          <w:lang w:eastAsia="es-MX"/>
        </w:rPr>
        <w:t>ÓRGANO GARANTE</w:t>
      </w:r>
      <w:r w:rsidRPr="00A91E8E">
        <w:rPr>
          <w:rFonts w:ascii="Palatino Linotype" w:hAnsi="Palatino Linotype" w:cs="Arial"/>
          <w:color w:val="222222"/>
          <w:szCs w:val="22"/>
          <w:lang w:eastAsia="es-MX"/>
        </w:rPr>
        <w:t xml:space="preserve"> emite los siguientes:</w:t>
      </w:r>
    </w:p>
    <w:p w:rsidR="005E7CE0" w:rsidRPr="00A91E8E" w:rsidRDefault="005E7CE0" w:rsidP="005E7CE0">
      <w:pPr>
        <w:pStyle w:val="Ttulo1"/>
        <w:jc w:val="center"/>
        <w:rPr>
          <w:rFonts w:ascii="Palatino Linotype" w:hAnsi="Palatino Linotype"/>
          <w:b/>
          <w:color w:val="auto"/>
          <w:sz w:val="22"/>
          <w:szCs w:val="22"/>
        </w:rPr>
      </w:pPr>
      <w:bookmarkStart w:id="11" w:name="_Toc4061692"/>
      <w:bookmarkStart w:id="12" w:name="_Toc486525261"/>
      <w:bookmarkStart w:id="13" w:name="_Toc445745148"/>
      <w:bookmarkStart w:id="14" w:name="_Toc447699324"/>
      <w:bookmarkStart w:id="15" w:name="_Toc87549684"/>
      <w:r w:rsidRPr="00A91E8E">
        <w:rPr>
          <w:rFonts w:ascii="Palatino Linotype" w:hAnsi="Palatino Linotype"/>
          <w:b/>
          <w:color w:val="auto"/>
          <w:sz w:val="22"/>
          <w:szCs w:val="22"/>
        </w:rPr>
        <w:lastRenderedPageBreak/>
        <w:t>R E S O L U T I V O S</w:t>
      </w:r>
      <w:bookmarkEnd w:id="11"/>
      <w:bookmarkEnd w:id="12"/>
      <w:bookmarkEnd w:id="13"/>
      <w:bookmarkEnd w:id="14"/>
      <w:bookmarkEnd w:id="15"/>
    </w:p>
    <w:p w:rsidR="005E7CE0" w:rsidRPr="00A91E8E" w:rsidRDefault="005E7CE0" w:rsidP="005E7CE0">
      <w:pPr>
        <w:keepNext/>
        <w:keepLines/>
        <w:spacing w:line="360" w:lineRule="auto"/>
        <w:jc w:val="center"/>
        <w:outlineLvl w:val="0"/>
        <w:rPr>
          <w:rFonts w:ascii="Palatino Linotype" w:hAnsi="Palatino Linotype" w:cstheme="majorBidi"/>
          <w:b/>
          <w:bCs/>
          <w:sz w:val="22"/>
          <w:szCs w:val="22"/>
        </w:rPr>
      </w:pPr>
    </w:p>
    <w:p w:rsidR="001F4E19" w:rsidRPr="00A91E8E" w:rsidRDefault="001F4E19" w:rsidP="001F4E19">
      <w:pPr>
        <w:spacing w:line="360" w:lineRule="auto"/>
        <w:jc w:val="both"/>
        <w:rPr>
          <w:rFonts w:ascii="Palatino Linotype" w:hAnsi="Palatino Linotype"/>
          <w:sz w:val="22"/>
          <w:szCs w:val="22"/>
        </w:rPr>
      </w:pPr>
      <w:r w:rsidRPr="00A91E8E">
        <w:rPr>
          <w:rFonts w:ascii="Palatino Linotype" w:hAnsi="Palatino Linotype" w:cs="Arial"/>
          <w:b/>
          <w:sz w:val="22"/>
          <w:szCs w:val="22"/>
        </w:rPr>
        <w:t xml:space="preserve">PRIMERO. </w:t>
      </w:r>
      <w:r w:rsidRPr="00A91E8E">
        <w:rPr>
          <w:rFonts w:ascii="Palatino Linotype" w:hAnsi="Palatino Linotype" w:cs="Arial"/>
          <w:sz w:val="22"/>
          <w:szCs w:val="22"/>
        </w:rPr>
        <w:t>Resultan fundadas las</w:t>
      </w:r>
      <w:r w:rsidRPr="00A91E8E">
        <w:rPr>
          <w:rFonts w:ascii="Palatino Linotype" w:hAnsi="Palatino Linotype" w:cs="Arial"/>
          <w:b/>
          <w:sz w:val="22"/>
          <w:szCs w:val="22"/>
        </w:rPr>
        <w:t xml:space="preserve"> </w:t>
      </w:r>
      <w:r w:rsidRPr="00A91E8E">
        <w:rPr>
          <w:rFonts w:ascii="Palatino Linotype" w:hAnsi="Palatino Linotype" w:cs="Arial"/>
          <w:sz w:val="22"/>
          <w:szCs w:val="22"/>
          <w:lang w:val="es-ES"/>
        </w:rPr>
        <w:t xml:space="preserve">razones o motivos de inconformidad hechos valer </w:t>
      </w:r>
      <w:r w:rsidRPr="00A91E8E">
        <w:rPr>
          <w:rFonts w:ascii="Palatino Linotype" w:eastAsia="Calibri" w:hAnsi="Palatino Linotype" w:cs="Arial"/>
          <w:sz w:val="22"/>
          <w:szCs w:val="22"/>
          <w:lang w:val="es-ES"/>
        </w:rPr>
        <w:t xml:space="preserve">en el recurso de revisión </w:t>
      </w:r>
      <w:r w:rsidRPr="00A91E8E">
        <w:rPr>
          <w:rFonts w:ascii="Palatino Linotype" w:eastAsia="Calibri" w:hAnsi="Palatino Linotype" w:cs="Tahoma"/>
          <w:b/>
          <w:sz w:val="22"/>
          <w:szCs w:val="22"/>
          <w:lang w:eastAsia="en-US"/>
        </w:rPr>
        <w:t>05068/INFOEM/IP/RR/2024</w:t>
      </w:r>
      <w:r w:rsidRPr="00A91E8E">
        <w:rPr>
          <w:rFonts w:ascii="Palatino Linotype" w:hAnsi="Palatino Linotype"/>
          <w:b/>
          <w:sz w:val="22"/>
          <w:szCs w:val="22"/>
        </w:rPr>
        <w:t xml:space="preserve"> </w:t>
      </w:r>
      <w:r w:rsidRPr="00A91E8E">
        <w:rPr>
          <w:rFonts w:ascii="Palatino Linotype" w:hAnsi="Palatino Linotype"/>
          <w:sz w:val="22"/>
          <w:szCs w:val="22"/>
        </w:rPr>
        <w:t>en términos de los</w:t>
      </w:r>
      <w:r w:rsidRPr="00A91E8E">
        <w:rPr>
          <w:rFonts w:ascii="Palatino Linotype" w:hAnsi="Palatino Linotype"/>
          <w:b/>
          <w:bCs/>
          <w:sz w:val="22"/>
          <w:szCs w:val="22"/>
        </w:rPr>
        <w:t xml:space="preserve"> Considerandos</w:t>
      </w:r>
      <w:r w:rsidRPr="00A91E8E">
        <w:rPr>
          <w:rFonts w:ascii="Palatino Linotype" w:hAnsi="Palatino Linotype"/>
          <w:sz w:val="22"/>
          <w:szCs w:val="22"/>
        </w:rPr>
        <w:t xml:space="preserve"> </w:t>
      </w:r>
      <w:r w:rsidRPr="00A91E8E">
        <w:rPr>
          <w:rFonts w:ascii="Palatino Linotype" w:hAnsi="Palatino Linotype"/>
          <w:b/>
          <w:sz w:val="22"/>
          <w:szCs w:val="22"/>
        </w:rPr>
        <w:t>CUARTO y QUINTO</w:t>
      </w:r>
      <w:r w:rsidRPr="00A91E8E">
        <w:rPr>
          <w:rFonts w:ascii="Palatino Linotype" w:hAnsi="Palatino Linotype"/>
          <w:sz w:val="22"/>
          <w:szCs w:val="22"/>
        </w:rPr>
        <w:t xml:space="preserve"> de la presente resolución.</w:t>
      </w:r>
    </w:p>
    <w:p w:rsidR="001F4E19" w:rsidRPr="00A91E8E" w:rsidRDefault="001F4E19" w:rsidP="001F4E19">
      <w:pPr>
        <w:spacing w:line="360" w:lineRule="auto"/>
        <w:contextualSpacing/>
        <w:jc w:val="both"/>
        <w:rPr>
          <w:rFonts w:ascii="Palatino Linotype" w:eastAsia="Calibri" w:hAnsi="Palatino Linotype" w:cs="Arial"/>
          <w:b/>
          <w:bCs/>
          <w:sz w:val="22"/>
          <w:szCs w:val="22"/>
          <w:lang w:val="es-ES"/>
        </w:rPr>
      </w:pPr>
    </w:p>
    <w:p w:rsidR="001F4E19" w:rsidRPr="00A91E8E" w:rsidRDefault="001F4E19" w:rsidP="001F4E19">
      <w:pPr>
        <w:pStyle w:val="Sinespaciado"/>
        <w:spacing w:line="360" w:lineRule="auto"/>
        <w:ind w:left="0" w:right="0"/>
        <w:rPr>
          <w:rFonts w:ascii="Palatino Linotype" w:eastAsia="Calibri" w:hAnsi="Palatino Linotype" w:cs="Arial"/>
          <w:bCs/>
          <w:sz w:val="22"/>
          <w:szCs w:val="22"/>
          <w:lang w:val="es-ES"/>
        </w:rPr>
      </w:pPr>
      <w:r w:rsidRPr="00A91E8E">
        <w:rPr>
          <w:rFonts w:ascii="Palatino Linotype" w:eastAsia="Calibri" w:hAnsi="Palatino Linotype" w:cs="Arial"/>
          <w:b/>
          <w:bCs/>
          <w:sz w:val="22"/>
          <w:szCs w:val="22"/>
          <w:lang w:val="es-ES"/>
        </w:rPr>
        <w:t xml:space="preserve">SEGUNDO. </w:t>
      </w:r>
      <w:r w:rsidRPr="00A91E8E">
        <w:rPr>
          <w:rFonts w:ascii="Palatino Linotype" w:eastAsia="Calibri" w:hAnsi="Palatino Linotype" w:cs="Arial"/>
          <w:bCs/>
          <w:sz w:val="22"/>
          <w:szCs w:val="22"/>
          <w:lang w:val="es-ES"/>
        </w:rPr>
        <w:t xml:space="preserve">Se </w:t>
      </w:r>
      <w:r w:rsidRPr="00A91E8E">
        <w:rPr>
          <w:rFonts w:ascii="Palatino Linotype" w:eastAsia="Calibri" w:hAnsi="Palatino Linotype" w:cs="Arial"/>
          <w:b/>
          <w:bCs/>
          <w:sz w:val="22"/>
          <w:szCs w:val="22"/>
          <w:lang w:val="es-ES"/>
        </w:rPr>
        <w:t>REVOCA</w:t>
      </w:r>
      <w:r w:rsidRPr="00A91E8E">
        <w:rPr>
          <w:rFonts w:ascii="Palatino Linotype" w:eastAsia="Calibri" w:hAnsi="Palatino Linotype" w:cs="Arial"/>
          <w:bCs/>
          <w:sz w:val="22"/>
          <w:szCs w:val="22"/>
          <w:lang w:val="es-ES"/>
        </w:rPr>
        <w:t xml:space="preserve"> la respuesta y se </w:t>
      </w:r>
      <w:r w:rsidRPr="00A91E8E">
        <w:rPr>
          <w:rFonts w:ascii="Palatino Linotype" w:eastAsia="Calibri" w:hAnsi="Palatino Linotype" w:cs="Arial"/>
          <w:b/>
          <w:bCs/>
          <w:sz w:val="22"/>
          <w:szCs w:val="22"/>
          <w:lang w:val="es-ES"/>
        </w:rPr>
        <w:t xml:space="preserve">ORDENA </w:t>
      </w:r>
      <w:r w:rsidRPr="00A91E8E">
        <w:rPr>
          <w:rFonts w:ascii="Palatino Linotype" w:eastAsia="Calibri" w:hAnsi="Palatino Linotype" w:cs="Arial"/>
          <w:bCs/>
          <w:sz w:val="22"/>
          <w:szCs w:val="22"/>
          <w:lang w:val="es-ES"/>
        </w:rPr>
        <w:t xml:space="preserve">a la </w:t>
      </w:r>
      <w:r w:rsidRPr="00A91E8E">
        <w:rPr>
          <w:rFonts w:ascii="Palatino Linotype" w:eastAsia="Calibri" w:hAnsi="Palatino Linotype" w:cs="Arial"/>
          <w:b/>
          <w:sz w:val="22"/>
          <w:szCs w:val="22"/>
        </w:rPr>
        <w:t>Secretaría de Seguridad</w:t>
      </w:r>
      <w:r w:rsidRPr="00A91E8E">
        <w:rPr>
          <w:rFonts w:ascii="Palatino Linotype" w:eastAsia="Calibri" w:hAnsi="Palatino Linotype" w:cs="Arial"/>
          <w:b/>
          <w:bCs/>
          <w:sz w:val="22"/>
          <w:szCs w:val="22"/>
          <w:lang w:val="es-ES"/>
        </w:rPr>
        <w:t xml:space="preserve"> </w:t>
      </w:r>
      <w:r w:rsidRPr="00A91E8E">
        <w:rPr>
          <w:rFonts w:ascii="Palatino Linotype" w:eastAsia="Calibri" w:hAnsi="Palatino Linotype" w:cs="Arial"/>
          <w:bCs/>
          <w:sz w:val="22"/>
          <w:szCs w:val="22"/>
          <w:lang w:val="es-ES"/>
        </w:rPr>
        <w:t xml:space="preserve">entregar vía </w:t>
      </w:r>
      <w:r w:rsidRPr="00A91E8E">
        <w:rPr>
          <w:rFonts w:ascii="Palatino Linotype" w:eastAsia="Calibri" w:hAnsi="Palatino Linotype" w:cs="Arial"/>
          <w:b/>
          <w:bCs/>
          <w:sz w:val="22"/>
          <w:szCs w:val="22"/>
          <w:lang w:val="es-ES"/>
        </w:rPr>
        <w:t xml:space="preserve">Sistema de Acceso a la Información Mexiquense (SAIMEX), </w:t>
      </w:r>
      <w:r w:rsidRPr="00A91E8E">
        <w:rPr>
          <w:rFonts w:ascii="Palatino Linotype" w:eastAsia="Calibri" w:hAnsi="Palatino Linotype" w:cs="Arial"/>
          <w:bCs/>
          <w:sz w:val="22"/>
          <w:szCs w:val="22"/>
          <w:lang w:val="es-ES"/>
        </w:rPr>
        <w:t>de ser el caso en versión pública</w:t>
      </w:r>
      <w:r w:rsidRPr="00A91E8E">
        <w:rPr>
          <w:rFonts w:ascii="Palatino Linotype" w:eastAsia="Calibri" w:hAnsi="Palatino Linotype" w:cs="Arial"/>
          <w:b/>
          <w:bCs/>
          <w:sz w:val="22"/>
          <w:szCs w:val="22"/>
          <w:lang w:val="es-ES"/>
        </w:rPr>
        <w:t xml:space="preserve">, </w:t>
      </w:r>
      <w:r w:rsidRPr="00A91E8E">
        <w:rPr>
          <w:rFonts w:ascii="Palatino Linotype" w:eastAsia="Calibri" w:hAnsi="Palatino Linotype" w:cs="Arial"/>
          <w:sz w:val="22"/>
          <w:szCs w:val="22"/>
          <w:lang w:val="es-ES"/>
        </w:rPr>
        <w:t>la</w:t>
      </w:r>
      <w:r w:rsidRPr="00A91E8E">
        <w:rPr>
          <w:rFonts w:ascii="Palatino Linotype" w:eastAsia="Calibri" w:hAnsi="Palatino Linotype" w:cs="Arial"/>
          <w:bCs/>
          <w:sz w:val="22"/>
          <w:szCs w:val="22"/>
          <w:lang w:val="es-ES"/>
        </w:rPr>
        <w:t xml:space="preserve"> siguiente información:</w:t>
      </w:r>
    </w:p>
    <w:p w:rsidR="001F4E19" w:rsidRPr="00A91E8E" w:rsidRDefault="001F4E19" w:rsidP="001F4E19">
      <w:pPr>
        <w:spacing w:line="360" w:lineRule="auto"/>
        <w:ind w:right="-93"/>
        <w:jc w:val="both"/>
        <w:rPr>
          <w:rFonts w:ascii="Palatino Linotype" w:hAnsi="Palatino Linotype" w:cs="Tahoma"/>
          <w:sz w:val="22"/>
          <w:szCs w:val="22"/>
          <w:lang w:val="es-ES"/>
        </w:rPr>
      </w:pPr>
    </w:p>
    <w:p w:rsidR="001F4E19" w:rsidRPr="00A91E8E" w:rsidRDefault="001F4E19" w:rsidP="001F4E19">
      <w:pPr>
        <w:pStyle w:val="Prrafodelista"/>
        <w:numPr>
          <w:ilvl w:val="0"/>
          <w:numId w:val="7"/>
        </w:numPr>
        <w:spacing w:line="360" w:lineRule="auto"/>
        <w:ind w:right="616"/>
        <w:jc w:val="both"/>
        <w:rPr>
          <w:rFonts w:ascii="Palatino Linotype" w:eastAsia="Calibri" w:hAnsi="Palatino Linotype" w:cs="Arial"/>
          <w:szCs w:val="22"/>
        </w:rPr>
      </w:pPr>
      <w:r w:rsidRPr="00A91E8E">
        <w:rPr>
          <w:rFonts w:ascii="Palatino Linotype" w:hAnsi="Palatino Linotype"/>
          <w:b/>
          <w:szCs w:val="22"/>
        </w:rPr>
        <w:t xml:space="preserve">Contratos pedido, garantías de vicios ocultos </w:t>
      </w:r>
      <w:r w:rsidR="00005770" w:rsidRPr="00A91E8E">
        <w:rPr>
          <w:rFonts w:ascii="Palatino Linotype" w:hAnsi="Palatino Linotype"/>
          <w:b/>
          <w:szCs w:val="22"/>
        </w:rPr>
        <w:t xml:space="preserve">en los contratos </w:t>
      </w:r>
      <w:r w:rsidRPr="00A91E8E">
        <w:rPr>
          <w:rFonts w:ascii="Palatino Linotype" w:hAnsi="Palatino Linotype"/>
          <w:b/>
          <w:szCs w:val="22"/>
        </w:rPr>
        <w:t xml:space="preserve">y las actas administrativas circunstanciadas celebradas para testificar los contratos, del periodo comprendido del primero de enero de dos mil veintitrés al treinta de junio de dos mil veinticuatro. </w:t>
      </w:r>
    </w:p>
    <w:p w:rsidR="001F4E19" w:rsidRPr="00A91E8E" w:rsidRDefault="001F4E19" w:rsidP="001F4E19">
      <w:pPr>
        <w:pStyle w:val="Prrafodelista"/>
        <w:spacing w:line="360" w:lineRule="auto"/>
        <w:ind w:right="616"/>
        <w:jc w:val="both"/>
        <w:rPr>
          <w:rFonts w:ascii="Palatino Linotype" w:eastAsia="Calibri" w:hAnsi="Palatino Linotype" w:cs="Arial"/>
          <w:szCs w:val="22"/>
        </w:rPr>
      </w:pPr>
    </w:p>
    <w:p w:rsidR="001F4E19" w:rsidRPr="00A91E8E" w:rsidRDefault="001F4E19" w:rsidP="001F4E19">
      <w:pPr>
        <w:spacing w:line="360" w:lineRule="auto"/>
        <w:ind w:left="360"/>
        <w:jc w:val="both"/>
        <w:rPr>
          <w:rFonts w:ascii="Palatino Linotype" w:eastAsia="Calibri" w:hAnsi="Palatino Linotype" w:cs="Arial"/>
          <w:sz w:val="22"/>
          <w:szCs w:val="22"/>
        </w:rPr>
      </w:pPr>
      <w:r w:rsidRPr="00A91E8E">
        <w:rPr>
          <w:rFonts w:ascii="Palatino Linotype" w:eastAsia="Calibri" w:hAnsi="Palatino Linotype" w:cs="Arial"/>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rsidR="001F4E19" w:rsidRPr="00A91E8E" w:rsidRDefault="001F4E19" w:rsidP="001F4E19">
      <w:pPr>
        <w:spacing w:line="360" w:lineRule="auto"/>
        <w:ind w:left="360"/>
        <w:jc w:val="both"/>
        <w:rPr>
          <w:rFonts w:ascii="Palatino Linotype" w:eastAsia="Calibri" w:hAnsi="Palatino Linotype" w:cs="Arial"/>
          <w:sz w:val="22"/>
          <w:szCs w:val="22"/>
        </w:rPr>
      </w:pPr>
    </w:p>
    <w:p w:rsidR="001F4E19" w:rsidRPr="00A91E8E" w:rsidRDefault="001F4E19" w:rsidP="001F4E19">
      <w:pPr>
        <w:spacing w:line="360" w:lineRule="auto"/>
        <w:ind w:left="360"/>
        <w:jc w:val="both"/>
        <w:rPr>
          <w:rFonts w:ascii="Palatino Linotype" w:eastAsia="Calibri" w:hAnsi="Palatino Linotype" w:cs="Arial"/>
          <w:sz w:val="22"/>
          <w:szCs w:val="22"/>
        </w:rPr>
      </w:pPr>
      <w:r w:rsidRPr="00A91E8E">
        <w:rPr>
          <w:rFonts w:ascii="Palatino Linotype" w:eastAsia="Calibri" w:hAnsi="Palatino Linotype" w:cs="Arial"/>
          <w:sz w:val="22"/>
          <w:szCs w:val="22"/>
        </w:rPr>
        <w:t xml:space="preserve">De ser el caso de que no se cuente con la información que se ordena, el Sujeto Obligado deberá de manifestar las razones por las que no se cuenta con la información, en términos </w:t>
      </w:r>
      <w:r w:rsidRPr="00A91E8E">
        <w:rPr>
          <w:rFonts w:ascii="Palatino Linotype" w:eastAsia="Calibri" w:hAnsi="Palatino Linotype" w:cs="Arial"/>
          <w:sz w:val="22"/>
          <w:szCs w:val="22"/>
        </w:rPr>
        <w:lastRenderedPageBreak/>
        <w:t>del artículo 19, segundo párrafo de la Ley de Transparencia y Acceso a la Información Pública del Estado de México y Municipios</w:t>
      </w:r>
    </w:p>
    <w:p w:rsidR="001F4E19" w:rsidRPr="00A91E8E" w:rsidRDefault="001F4E19" w:rsidP="001F4E19">
      <w:pPr>
        <w:spacing w:line="360" w:lineRule="auto"/>
        <w:ind w:left="360"/>
        <w:jc w:val="both"/>
        <w:rPr>
          <w:rFonts w:ascii="Palatino Linotype" w:eastAsia="Calibri" w:hAnsi="Palatino Linotype" w:cs="Arial"/>
          <w:sz w:val="22"/>
          <w:szCs w:val="22"/>
        </w:rPr>
      </w:pPr>
    </w:p>
    <w:p w:rsidR="001F4E19" w:rsidRPr="00A91E8E" w:rsidRDefault="001F4E19" w:rsidP="001F4E19">
      <w:pPr>
        <w:tabs>
          <w:tab w:val="left" w:pos="284"/>
          <w:tab w:val="left" w:pos="8080"/>
        </w:tabs>
        <w:spacing w:line="360" w:lineRule="auto"/>
        <w:ind w:right="49"/>
        <w:contextualSpacing/>
        <w:jc w:val="both"/>
        <w:rPr>
          <w:rFonts w:ascii="Palatino Linotype" w:hAnsi="Palatino Linotype" w:cs="Arial"/>
          <w:color w:val="222222"/>
          <w:sz w:val="22"/>
          <w:szCs w:val="22"/>
          <w:shd w:val="clear" w:color="auto" w:fill="FFFFFF"/>
        </w:rPr>
      </w:pPr>
      <w:r w:rsidRPr="00A91E8E">
        <w:rPr>
          <w:rFonts w:ascii="Palatino Linotype" w:eastAsia="Palatino Linotype" w:hAnsi="Palatino Linotype" w:cs="Palatino Linotype"/>
          <w:b/>
          <w:sz w:val="22"/>
          <w:szCs w:val="22"/>
          <w:lang w:val="es-ES_tradnl"/>
        </w:rPr>
        <w:t xml:space="preserve">TERCERO. </w:t>
      </w:r>
      <w:r w:rsidRPr="00A91E8E">
        <w:rPr>
          <w:rFonts w:ascii="Palatino Linotype" w:hAnsi="Palatino Linotype" w:cs="Arial"/>
          <w:b/>
          <w:color w:val="222222"/>
          <w:sz w:val="22"/>
          <w:szCs w:val="22"/>
          <w:shd w:val="clear" w:color="auto" w:fill="FFFFFF"/>
        </w:rPr>
        <w:t>NOTIFÍQUESE</w:t>
      </w:r>
      <w:r w:rsidRPr="00A91E8E">
        <w:rPr>
          <w:rFonts w:ascii="Palatino Linotype" w:hAnsi="Palatino Linotype" w:cs="Arial"/>
          <w:color w:val="222222"/>
          <w:sz w:val="22"/>
          <w:szCs w:val="22"/>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F4E19" w:rsidRPr="00A91E8E" w:rsidRDefault="001F4E19" w:rsidP="001F4E19">
      <w:pPr>
        <w:tabs>
          <w:tab w:val="left" w:pos="284"/>
          <w:tab w:val="left" w:pos="8080"/>
        </w:tabs>
        <w:spacing w:line="360" w:lineRule="auto"/>
        <w:ind w:right="49"/>
        <w:contextualSpacing/>
        <w:jc w:val="both"/>
        <w:rPr>
          <w:rFonts w:ascii="Palatino Linotype" w:eastAsiaTheme="minorEastAsia" w:hAnsi="Palatino Linotype"/>
          <w:color w:val="222222"/>
          <w:sz w:val="22"/>
          <w:szCs w:val="22"/>
          <w:shd w:val="clear" w:color="auto" w:fill="FFFFFF"/>
          <w:lang w:val="es-ES_tradnl"/>
        </w:rPr>
      </w:pPr>
      <w:bookmarkStart w:id="16" w:name="_GoBack"/>
      <w:bookmarkEnd w:id="16"/>
    </w:p>
    <w:p w:rsidR="001F4E19" w:rsidRPr="00A91E8E" w:rsidRDefault="001F4E19" w:rsidP="001F4E19">
      <w:pPr>
        <w:tabs>
          <w:tab w:val="left" w:pos="284"/>
        </w:tabs>
        <w:spacing w:line="360" w:lineRule="auto"/>
        <w:jc w:val="both"/>
        <w:rPr>
          <w:rFonts w:ascii="Palatino Linotype" w:eastAsia="MS Mincho" w:hAnsi="Palatino Linotype"/>
          <w:sz w:val="22"/>
          <w:szCs w:val="22"/>
          <w:lang w:val="es-ES_tradnl"/>
        </w:rPr>
      </w:pPr>
      <w:r w:rsidRPr="00A91E8E">
        <w:rPr>
          <w:rFonts w:ascii="Palatino Linotype" w:hAnsi="Palatino Linotype" w:cs="Arial"/>
          <w:b/>
          <w:sz w:val="22"/>
          <w:szCs w:val="22"/>
          <w:lang w:val="es-ES_tradnl"/>
        </w:rPr>
        <w:t xml:space="preserve">CUARTO. </w:t>
      </w:r>
      <w:r w:rsidRPr="00A91E8E">
        <w:rPr>
          <w:rFonts w:ascii="Palatino Linotype" w:hAnsi="Palatino Linotype"/>
          <w:b/>
          <w:bCs/>
          <w:color w:val="222222"/>
          <w:sz w:val="22"/>
          <w:szCs w:val="22"/>
          <w:lang w:val="es-ES"/>
        </w:rPr>
        <w:t xml:space="preserve">Notifíquese </w:t>
      </w:r>
      <w:r w:rsidRPr="00A91E8E">
        <w:rPr>
          <w:rFonts w:ascii="Palatino Linotype" w:hAnsi="Palatino Linotype"/>
          <w:bCs/>
          <w:color w:val="222222"/>
          <w:sz w:val="22"/>
          <w:szCs w:val="22"/>
          <w:lang w:val="es-ES"/>
        </w:rPr>
        <w:t xml:space="preserve">al </w:t>
      </w:r>
      <w:r w:rsidRPr="00A91E8E">
        <w:rPr>
          <w:rFonts w:ascii="Palatino Linotype" w:hAnsi="Palatino Linotype"/>
          <w:b/>
          <w:bCs/>
          <w:color w:val="222222"/>
          <w:sz w:val="22"/>
          <w:szCs w:val="22"/>
          <w:lang w:val="es-ES"/>
        </w:rPr>
        <w:t>RECURRENTE</w:t>
      </w:r>
      <w:r w:rsidRPr="00A91E8E">
        <w:rPr>
          <w:rFonts w:ascii="Palatino Linotype" w:hAnsi="Palatino Linotype"/>
          <w:b/>
          <w:color w:val="222222"/>
          <w:sz w:val="22"/>
          <w:szCs w:val="22"/>
          <w:lang w:val="es-ES"/>
        </w:rPr>
        <w:t xml:space="preserve"> </w:t>
      </w:r>
      <w:r w:rsidRPr="00A91E8E">
        <w:rPr>
          <w:rFonts w:ascii="Palatino Linotype" w:eastAsiaTheme="minorEastAsia" w:hAnsi="Palatino Linotype"/>
          <w:sz w:val="22"/>
          <w:szCs w:val="22"/>
          <w:lang w:val="es-ES_tradnl"/>
        </w:rPr>
        <w:t>la presente resolución</w:t>
      </w:r>
      <w:r w:rsidRPr="00A91E8E">
        <w:rPr>
          <w:rFonts w:ascii="Palatino Linotype" w:eastAsia="MS Mincho" w:hAnsi="Palatino Linotype"/>
          <w:sz w:val="22"/>
          <w:szCs w:val="22"/>
          <w:lang w:val="es-ES_tradnl"/>
        </w:rPr>
        <w:t xml:space="preserve"> a través del Sistema de Acceso a la Información Mexiquense (SAIMEX).</w:t>
      </w:r>
    </w:p>
    <w:p w:rsidR="001F4E19" w:rsidRPr="00A91E8E" w:rsidRDefault="001F4E19" w:rsidP="001F4E19">
      <w:pPr>
        <w:tabs>
          <w:tab w:val="left" w:pos="284"/>
        </w:tabs>
        <w:spacing w:line="360" w:lineRule="auto"/>
        <w:jc w:val="both"/>
        <w:rPr>
          <w:rFonts w:ascii="Palatino Linotype" w:eastAsia="MS Mincho" w:hAnsi="Palatino Linotype"/>
          <w:sz w:val="22"/>
          <w:szCs w:val="22"/>
          <w:lang w:val="es-ES_tradnl"/>
        </w:rPr>
      </w:pPr>
    </w:p>
    <w:p w:rsidR="001F4E19" w:rsidRPr="00A91E8E" w:rsidRDefault="001F4E19" w:rsidP="001F4E19">
      <w:pPr>
        <w:spacing w:line="360" w:lineRule="auto"/>
        <w:jc w:val="both"/>
        <w:rPr>
          <w:rFonts w:ascii="Palatino Linotype" w:eastAsia="Calibri" w:hAnsi="Palatino Linotype" w:cs="Arial"/>
          <w:bCs/>
          <w:sz w:val="22"/>
          <w:szCs w:val="22"/>
        </w:rPr>
      </w:pPr>
      <w:r w:rsidRPr="00A91E8E">
        <w:rPr>
          <w:rFonts w:ascii="Palatino Linotype" w:hAnsi="Palatino Linotype" w:cs="Arial"/>
          <w:b/>
          <w:sz w:val="22"/>
          <w:szCs w:val="22"/>
        </w:rPr>
        <w:t xml:space="preserve">QUINTO. </w:t>
      </w:r>
      <w:r w:rsidRPr="00A91E8E">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F4E19" w:rsidRPr="00A91E8E" w:rsidRDefault="001F4E19" w:rsidP="001F4E19">
      <w:pPr>
        <w:shd w:val="clear" w:color="auto" w:fill="FFFFFF"/>
        <w:spacing w:before="240" w:after="360" w:line="360" w:lineRule="auto"/>
        <w:jc w:val="both"/>
        <w:rPr>
          <w:rFonts w:ascii="Palatino Linotype" w:eastAsia="MS Mincho" w:hAnsi="Palatino Linotype"/>
          <w:sz w:val="22"/>
          <w:szCs w:val="22"/>
          <w:lang w:val="es-ES"/>
        </w:rPr>
      </w:pPr>
      <w:r w:rsidRPr="00A91E8E">
        <w:rPr>
          <w:rFonts w:ascii="Palatino Linotype" w:eastAsia="MS Mincho" w:hAnsi="Palatino Linotype"/>
          <w:b/>
          <w:sz w:val="22"/>
          <w:szCs w:val="22"/>
          <w:lang w:val="es-ES_tradnl"/>
        </w:rPr>
        <w:t>SEXTO.</w:t>
      </w:r>
      <w:r w:rsidRPr="00A91E8E">
        <w:rPr>
          <w:rFonts w:ascii="Palatino Linotype" w:eastAsia="MS Mincho" w:hAnsi="Palatino Linotype"/>
          <w:b/>
          <w:color w:val="000000"/>
          <w:sz w:val="22"/>
          <w:szCs w:val="22"/>
          <w:lang w:val="es-ES_tradnl"/>
        </w:rPr>
        <w:t xml:space="preserve"> </w:t>
      </w:r>
      <w:r w:rsidRPr="00A91E8E">
        <w:rPr>
          <w:rFonts w:ascii="Palatino Linotype" w:eastAsia="MS Mincho" w:hAnsi="Palatino Linotype"/>
          <w:sz w:val="22"/>
          <w:szCs w:val="22"/>
          <w:lang w:val="es-ES"/>
        </w:rPr>
        <w:t xml:space="preserve">Se hace del conocimiento de </w:t>
      </w:r>
      <w:r w:rsidRPr="00A91E8E">
        <w:rPr>
          <w:rFonts w:ascii="Palatino Linotype" w:hAnsi="Palatino Linotype"/>
          <w:b/>
          <w:sz w:val="22"/>
          <w:szCs w:val="22"/>
        </w:rPr>
        <w:t>RECURRENTE</w:t>
      </w:r>
      <w:r w:rsidRPr="00A91E8E">
        <w:rPr>
          <w:rFonts w:ascii="Palatino Linotype" w:hAnsi="Palatino Linotype"/>
          <w:sz w:val="22"/>
          <w:szCs w:val="22"/>
        </w:rPr>
        <w:t xml:space="preserve"> </w:t>
      </w:r>
      <w:r w:rsidRPr="00A91E8E">
        <w:rPr>
          <w:rFonts w:ascii="Palatino Linotype" w:eastAsia="MS Mincho" w:hAnsi="Palatino Linotype"/>
          <w:sz w:val="22"/>
          <w:szCs w:val="22"/>
          <w:lang w:val="es-ES"/>
        </w:rPr>
        <w:t xml:space="preserve">que, de conformidad con lo establecido en el artículo 196 de la Ley de Transparencia y Acceso a la Información Pública del Estado de </w:t>
      </w:r>
      <w:r w:rsidRPr="00A91E8E">
        <w:rPr>
          <w:rFonts w:ascii="Palatino Linotype" w:eastAsia="MS Mincho" w:hAnsi="Palatino Linotype"/>
          <w:sz w:val="22"/>
          <w:szCs w:val="22"/>
          <w:lang w:val="es-ES"/>
        </w:rPr>
        <w:lastRenderedPageBreak/>
        <w:t>México y Municipios,</w:t>
      </w:r>
      <w:r w:rsidRPr="00A91E8E">
        <w:rPr>
          <w:rFonts w:ascii="Palatino Linotype" w:hAnsi="Palatino Linotype"/>
          <w:color w:val="000000"/>
          <w:sz w:val="22"/>
          <w:szCs w:val="22"/>
        </w:rPr>
        <w:t xml:space="preserve"> en caso de que considere que la resolución le cause algún perjuicio podrá impugnarla vía </w:t>
      </w:r>
      <w:r w:rsidRPr="00A91E8E">
        <w:rPr>
          <w:rFonts w:ascii="Palatino Linotype" w:eastAsia="MS Mincho" w:hAnsi="Palatino Linotype"/>
          <w:bCs/>
          <w:sz w:val="22"/>
          <w:szCs w:val="22"/>
          <w:lang w:val="es-ES"/>
        </w:rPr>
        <w:t>juicio de amparo</w:t>
      </w:r>
      <w:r w:rsidRPr="00A91E8E">
        <w:rPr>
          <w:rFonts w:ascii="Palatino Linotype" w:eastAsia="MS Mincho" w:hAnsi="Palatino Linotype"/>
          <w:sz w:val="22"/>
          <w:szCs w:val="22"/>
          <w:lang w:val="es-ES"/>
        </w:rPr>
        <w:t> en los términos de las leyes aplicables.</w:t>
      </w:r>
    </w:p>
    <w:p w:rsidR="00E57C97" w:rsidRPr="00E57C97" w:rsidRDefault="00E57C97" w:rsidP="00E57C97">
      <w:pPr>
        <w:spacing w:line="360" w:lineRule="auto"/>
        <w:ind w:right="-28" w:firstLine="1"/>
        <w:jc w:val="both"/>
        <w:rPr>
          <w:rFonts w:ascii="Palatino Linotype" w:hAnsi="Palatino Linotype"/>
          <w:sz w:val="22"/>
        </w:rPr>
      </w:pPr>
      <w:r w:rsidRPr="00A91E8E">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E57C97">
        <w:rPr>
          <w:rFonts w:ascii="Palatino Linotype" w:hAnsi="Palatino Linotype"/>
          <w:sz w:val="22"/>
        </w:rPr>
        <w:t xml:space="preserve"> </w:t>
      </w:r>
    </w:p>
    <w:p w:rsidR="005E7CE0" w:rsidRPr="00463478" w:rsidRDefault="005E7CE0" w:rsidP="005E7CE0">
      <w:pPr>
        <w:spacing w:before="240" w:after="360" w:line="360" w:lineRule="auto"/>
        <w:jc w:val="both"/>
        <w:rPr>
          <w:rFonts w:ascii="Palatino Linotype" w:hAnsi="Palatino Linotype"/>
          <w:color w:val="222222"/>
          <w:sz w:val="22"/>
          <w:szCs w:val="22"/>
          <w:lang w:val="es-ES"/>
        </w:rPr>
      </w:pPr>
    </w:p>
    <w:p w:rsidR="005E7CE0" w:rsidRPr="00463478" w:rsidRDefault="005E7CE0" w:rsidP="005E7CE0">
      <w:pPr>
        <w:spacing w:before="240" w:after="360" w:line="360" w:lineRule="auto"/>
        <w:jc w:val="both"/>
        <w:rPr>
          <w:rFonts w:ascii="Palatino Linotype" w:hAnsi="Palatino Linotype"/>
          <w:color w:val="222222"/>
          <w:sz w:val="22"/>
          <w:szCs w:val="22"/>
          <w:lang w:val="es-ES"/>
        </w:rPr>
      </w:pPr>
    </w:p>
    <w:p w:rsidR="005E7CE0" w:rsidRPr="00463478" w:rsidRDefault="005E7CE0" w:rsidP="005E7CE0">
      <w:pPr>
        <w:spacing w:before="240" w:after="360" w:line="360" w:lineRule="auto"/>
        <w:jc w:val="both"/>
        <w:rPr>
          <w:rFonts w:ascii="Palatino Linotype" w:hAnsi="Palatino Linotype"/>
          <w:color w:val="222222"/>
          <w:sz w:val="22"/>
          <w:szCs w:val="22"/>
          <w:lang w:val="es-ES"/>
        </w:rPr>
      </w:pPr>
    </w:p>
    <w:p w:rsidR="005E7CE0" w:rsidRDefault="005E7CE0"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Default="00A91E8E" w:rsidP="005E7CE0">
      <w:pPr>
        <w:rPr>
          <w:rFonts w:ascii="Palatino Linotype" w:hAnsi="Palatino Linotype"/>
          <w:sz w:val="22"/>
          <w:szCs w:val="22"/>
        </w:rPr>
      </w:pPr>
    </w:p>
    <w:p w:rsidR="00A91E8E" w:rsidRPr="00463478" w:rsidRDefault="00A91E8E" w:rsidP="005E7CE0">
      <w:pPr>
        <w:rPr>
          <w:rFonts w:ascii="Palatino Linotype" w:hAnsi="Palatino Linotype"/>
          <w:sz w:val="22"/>
          <w:szCs w:val="22"/>
        </w:rPr>
      </w:pPr>
    </w:p>
    <w:p w:rsidR="005E7CE0" w:rsidRPr="00463478" w:rsidRDefault="005E7CE0" w:rsidP="005E7CE0">
      <w:pPr>
        <w:rPr>
          <w:sz w:val="22"/>
          <w:szCs w:val="22"/>
        </w:rPr>
      </w:pPr>
    </w:p>
    <w:p w:rsidR="005E7CE0" w:rsidRPr="00463478" w:rsidRDefault="005E7CE0" w:rsidP="005E7CE0">
      <w:pPr>
        <w:rPr>
          <w:sz w:val="22"/>
          <w:szCs w:val="22"/>
        </w:rPr>
      </w:pPr>
    </w:p>
    <w:p w:rsidR="00DD4308" w:rsidRPr="00463478" w:rsidRDefault="00DD4308">
      <w:pPr>
        <w:rPr>
          <w:sz w:val="22"/>
          <w:szCs w:val="22"/>
        </w:rPr>
      </w:pPr>
    </w:p>
    <w:sectPr w:rsidR="00DD4308" w:rsidRPr="00463478" w:rsidSect="005E7CE0">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24" w:rsidRDefault="00DF1024" w:rsidP="005E7CE0">
      <w:r>
        <w:separator/>
      </w:r>
    </w:p>
  </w:endnote>
  <w:endnote w:type="continuationSeparator" w:id="0">
    <w:p w:rsidR="00DF1024" w:rsidRDefault="00DF1024" w:rsidP="005E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E627EF" w:rsidRDefault="00E627EF">
            <w:pPr>
              <w:pStyle w:val="Piedepgina"/>
              <w:jc w:val="right"/>
            </w:pPr>
          </w:p>
          <w:p w:rsidR="00E627EF" w:rsidRDefault="00E627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1E8E">
              <w:rPr>
                <w:b/>
                <w:bCs/>
                <w:noProof/>
              </w:rPr>
              <w:t>39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1E8E">
              <w:rPr>
                <w:b/>
                <w:bCs/>
                <w:noProof/>
              </w:rPr>
              <w:t>40</w:t>
            </w:r>
            <w:r>
              <w:rPr>
                <w:b/>
                <w:bCs/>
                <w:sz w:val="24"/>
                <w:szCs w:val="24"/>
              </w:rPr>
              <w:fldChar w:fldCharType="end"/>
            </w:r>
          </w:p>
        </w:sdtContent>
      </w:sdt>
    </w:sdtContent>
  </w:sdt>
  <w:p w:rsidR="00E627EF" w:rsidRDefault="00E627EF">
    <w:pPr>
      <w:pStyle w:val="Piedepgina"/>
    </w:pPr>
  </w:p>
  <w:p w:rsidR="00E627EF" w:rsidRDefault="00E627EF"/>
  <w:p w:rsidR="00E627EF" w:rsidRDefault="00E627EF"/>
  <w:p w:rsidR="00E627EF" w:rsidRDefault="00E627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E627EF" w:rsidRDefault="00E627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1E8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1E8E">
              <w:rPr>
                <w:b/>
                <w:bCs/>
                <w:noProof/>
              </w:rPr>
              <w:t>40</w:t>
            </w:r>
            <w:r>
              <w:rPr>
                <w:b/>
                <w:bCs/>
                <w:sz w:val="24"/>
                <w:szCs w:val="24"/>
              </w:rPr>
              <w:fldChar w:fldCharType="end"/>
            </w:r>
          </w:p>
        </w:sdtContent>
      </w:sdt>
    </w:sdtContent>
  </w:sdt>
  <w:p w:rsidR="00E627EF" w:rsidRDefault="00E627EF">
    <w:pPr>
      <w:pStyle w:val="Piedepgina"/>
    </w:pPr>
  </w:p>
  <w:p w:rsidR="00E627EF" w:rsidRDefault="00E627EF"/>
  <w:p w:rsidR="00E627EF" w:rsidRDefault="00E627EF"/>
  <w:p w:rsidR="00E627EF" w:rsidRDefault="00E62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24" w:rsidRDefault="00DF1024" w:rsidP="005E7CE0">
      <w:r>
        <w:separator/>
      </w:r>
    </w:p>
  </w:footnote>
  <w:footnote w:type="continuationSeparator" w:id="0">
    <w:p w:rsidR="00DF1024" w:rsidRDefault="00DF1024" w:rsidP="005E7CE0">
      <w:r>
        <w:continuationSeparator/>
      </w:r>
    </w:p>
  </w:footnote>
  <w:footnote w:id="1">
    <w:p w:rsidR="00E627EF" w:rsidRDefault="00E627EF" w:rsidP="005E7CE0">
      <w:pPr>
        <w:pStyle w:val="Textonotapie"/>
      </w:pPr>
      <w:r>
        <w:rPr>
          <w:rStyle w:val="Refdenotaalpie"/>
        </w:rPr>
        <w:footnoteRef/>
      </w:r>
      <w:r>
        <w:t xml:space="preserve"> Artículo 150. Ley de Transparencia y Acceso a la Información Pública del Estado de México y Municipios.</w:t>
      </w:r>
    </w:p>
    <w:p w:rsidR="00E627EF" w:rsidRDefault="00E627EF" w:rsidP="005E7CE0">
      <w:pPr>
        <w:pStyle w:val="Textonotapie"/>
      </w:pPr>
      <w:r>
        <w:t>Artículo 151. Ibídem.</w:t>
      </w:r>
    </w:p>
  </w:footnote>
  <w:footnote w:id="2">
    <w:p w:rsidR="00E627EF" w:rsidRDefault="00E627EF" w:rsidP="005E7CE0">
      <w:pPr>
        <w:pStyle w:val="Textonotapie"/>
      </w:pPr>
      <w:r>
        <w:rPr>
          <w:rStyle w:val="Refdenotaalpie"/>
        </w:rPr>
        <w:footnoteRef/>
      </w:r>
      <w:r>
        <w:t xml:space="preserve"> Fracción IV. Artículo 53. Ibídem.</w:t>
      </w:r>
    </w:p>
    <w:p w:rsidR="00E627EF" w:rsidRDefault="00E627EF" w:rsidP="005E7CE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EF" w:rsidRDefault="00DF1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49"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rsidR="00E627EF" w:rsidRDefault="00E627EF"/>
  <w:p w:rsidR="00E627EF" w:rsidRDefault="00E627EF"/>
  <w:p w:rsidR="00E627EF" w:rsidRDefault="00E627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E627EF" w:rsidTr="005E7CE0">
      <w:trPr>
        <w:trHeight w:val="1435"/>
      </w:trPr>
      <w:tc>
        <w:tcPr>
          <w:tcW w:w="1843" w:type="dxa"/>
          <w:shd w:val="clear" w:color="auto" w:fill="auto"/>
        </w:tcPr>
        <w:p w:rsidR="00E627EF" w:rsidRDefault="00E627EF">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E627EF" w:rsidRDefault="00E627EF"/>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627EF" w:rsidTr="005E7CE0">
            <w:trPr>
              <w:trHeight w:val="338"/>
            </w:trPr>
            <w:tc>
              <w:tcPr>
                <w:tcW w:w="2551" w:type="dxa"/>
              </w:tcPr>
              <w:p w:rsidR="00E627EF" w:rsidRDefault="00E627EF">
                <w:pPr>
                  <w:tabs>
                    <w:tab w:val="right" w:pos="8838"/>
                  </w:tabs>
                  <w:ind w:right="-105"/>
                  <w:rPr>
                    <w:rFonts w:ascii="Palatino Linotype" w:eastAsia="Calibri" w:hAnsi="Palatino Linotype" w:cs="Tahoma"/>
                    <w:b/>
                    <w:sz w:val="22"/>
                    <w:szCs w:val="22"/>
                    <w:lang w:eastAsia="en-US"/>
                  </w:rPr>
                </w:pPr>
              </w:p>
              <w:p w:rsidR="00E627EF" w:rsidRDefault="00E627EF">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E627EF" w:rsidRDefault="00E627EF" w:rsidP="005E7CE0">
                <w:pPr>
                  <w:tabs>
                    <w:tab w:val="right" w:pos="8838"/>
                  </w:tabs>
                  <w:ind w:right="-105" w:hanging="101"/>
                  <w:jc w:val="both"/>
                  <w:rPr>
                    <w:rFonts w:ascii="Palatino Linotype" w:eastAsia="Calibri" w:hAnsi="Palatino Linotype" w:cs="Tahoma"/>
                    <w:bCs/>
                    <w:sz w:val="22"/>
                    <w:szCs w:val="22"/>
                    <w:lang w:eastAsia="en-US"/>
                  </w:rPr>
                </w:pPr>
              </w:p>
              <w:p w:rsidR="00E627EF" w:rsidRPr="00D43F5D" w:rsidRDefault="00E627EF" w:rsidP="005E7CE0">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05068/INFOEM/IP/RR/2024</w:t>
                </w:r>
              </w:p>
            </w:tc>
          </w:tr>
          <w:tr w:rsidR="00E627EF" w:rsidTr="005E7CE0">
            <w:trPr>
              <w:trHeight w:val="283"/>
            </w:trPr>
            <w:tc>
              <w:tcPr>
                <w:tcW w:w="2551" w:type="dxa"/>
              </w:tcPr>
              <w:p w:rsidR="00E627EF" w:rsidRDefault="00E627EF">
                <w:pPr>
                  <w:tabs>
                    <w:tab w:val="right" w:pos="8838"/>
                  </w:tabs>
                  <w:ind w:right="-105"/>
                  <w:rPr>
                    <w:rFonts w:ascii="Palatino Linotype" w:eastAsia="Calibri" w:hAnsi="Palatino Linotype" w:cs="Tahoma"/>
                    <w:b/>
                    <w:sz w:val="22"/>
                    <w:szCs w:val="22"/>
                    <w:lang w:eastAsia="en-US"/>
                  </w:rPr>
                </w:pPr>
                <w:bookmarkStart w:id="17" w:name="_Hlk33010189"/>
                <w:r>
                  <w:rPr>
                    <w:rFonts w:ascii="Palatino Linotype" w:eastAsia="Calibri" w:hAnsi="Palatino Linotype" w:cs="Tahoma"/>
                    <w:b/>
                    <w:sz w:val="22"/>
                    <w:szCs w:val="22"/>
                    <w:lang w:eastAsia="en-US"/>
                  </w:rPr>
                  <w:t>Sujeto Obligado:</w:t>
                </w:r>
              </w:p>
            </w:tc>
            <w:tc>
              <w:tcPr>
                <w:tcW w:w="2977" w:type="dxa"/>
              </w:tcPr>
              <w:p w:rsidR="00E627EF" w:rsidRPr="00B41E3A" w:rsidRDefault="00E627EF" w:rsidP="005E7CE0">
                <w:pPr>
                  <w:tabs>
                    <w:tab w:val="left" w:pos="2834"/>
                    <w:tab w:val="right" w:pos="8838"/>
                  </w:tabs>
                  <w:ind w:left="-113" w:right="-107"/>
                  <w:jc w:val="both"/>
                  <w:rPr>
                    <w:rFonts w:ascii="Palatino Linotype" w:eastAsia="Calibri" w:hAnsi="Palatino Linotype" w:cs="Tahoma"/>
                    <w:sz w:val="22"/>
                    <w:szCs w:val="22"/>
                    <w:lang w:eastAsia="en-US"/>
                  </w:rPr>
                </w:pPr>
                <w:r w:rsidRPr="005E7CE0">
                  <w:rPr>
                    <w:rFonts w:ascii="Palatino Linotype" w:eastAsia="Calibri" w:hAnsi="Palatino Linotype" w:cs="Arial"/>
                    <w:bCs/>
                    <w:sz w:val="22"/>
                    <w:lang w:val="es-MX"/>
                  </w:rPr>
                  <w:t>Secretaría de Seguridad</w:t>
                </w:r>
              </w:p>
            </w:tc>
          </w:tr>
          <w:bookmarkEnd w:id="17"/>
          <w:tr w:rsidR="00E627EF" w:rsidTr="005E7CE0">
            <w:trPr>
              <w:trHeight w:val="283"/>
            </w:trPr>
            <w:tc>
              <w:tcPr>
                <w:tcW w:w="2551" w:type="dxa"/>
              </w:tcPr>
              <w:p w:rsidR="00E627EF" w:rsidRDefault="00E627EF">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E627EF" w:rsidRDefault="00E627EF" w:rsidP="005E7CE0">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E627EF" w:rsidRDefault="00E627EF">
          <w:pPr>
            <w:tabs>
              <w:tab w:val="right" w:pos="8838"/>
            </w:tabs>
            <w:ind w:left="-28"/>
            <w:jc w:val="both"/>
            <w:rPr>
              <w:rFonts w:ascii="Arial" w:eastAsia="Calibri" w:hAnsi="Arial" w:cs="Arial"/>
              <w:b/>
              <w:sz w:val="22"/>
              <w:szCs w:val="22"/>
              <w:lang w:eastAsia="en-US"/>
            </w:rPr>
          </w:pPr>
        </w:p>
      </w:tc>
    </w:tr>
  </w:tbl>
  <w:p w:rsidR="00E627EF" w:rsidRDefault="00DF1024" w:rsidP="005E7CE0">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rsidR="00E627EF" w:rsidRDefault="00E627EF"/>
  <w:p w:rsidR="00E627EF" w:rsidRDefault="00E627EF"/>
  <w:p w:rsidR="00E627EF" w:rsidRDefault="00E627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E627EF" w:rsidTr="005E7CE0">
      <w:trPr>
        <w:trHeight w:val="1435"/>
      </w:trPr>
      <w:tc>
        <w:tcPr>
          <w:tcW w:w="1560" w:type="dxa"/>
          <w:shd w:val="clear" w:color="auto" w:fill="auto"/>
        </w:tcPr>
        <w:p w:rsidR="00E627EF" w:rsidRDefault="00E627EF">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E627EF" w:rsidTr="005E7CE0">
            <w:trPr>
              <w:trHeight w:val="144"/>
            </w:trPr>
            <w:tc>
              <w:tcPr>
                <w:tcW w:w="2444" w:type="dxa"/>
              </w:tcPr>
              <w:p w:rsidR="00E627EF" w:rsidRDefault="00E627EF" w:rsidP="005E7CE0">
                <w:pPr>
                  <w:tabs>
                    <w:tab w:val="right" w:pos="8838"/>
                  </w:tabs>
                  <w:ind w:left="-74" w:right="-105"/>
                  <w:rPr>
                    <w:rFonts w:ascii="Palatino Linotype" w:eastAsia="Calibri" w:hAnsi="Palatino Linotype" w:cs="Tahoma"/>
                    <w:b/>
                    <w:sz w:val="22"/>
                    <w:szCs w:val="22"/>
                    <w:lang w:eastAsia="en-US"/>
                  </w:rPr>
                </w:pPr>
                <w:bookmarkStart w:id="18" w:name="_Hlk12526980"/>
                <w:r>
                  <w:rPr>
                    <w:rFonts w:ascii="Palatino Linotype" w:eastAsia="Calibri" w:hAnsi="Palatino Linotype" w:cs="Tahoma"/>
                    <w:b/>
                    <w:sz w:val="22"/>
                    <w:szCs w:val="22"/>
                    <w:lang w:eastAsia="en-US"/>
                  </w:rPr>
                  <w:t>Recurso de Revisión:</w:t>
                </w:r>
              </w:p>
            </w:tc>
            <w:tc>
              <w:tcPr>
                <w:tcW w:w="3084" w:type="dxa"/>
              </w:tcPr>
              <w:p w:rsidR="00E627EF" w:rsidRPr="005E7CE0" w:rsidRDefault="00E627EF" w:rsidP="005E7CE0">
                <w:pPr>
                  <w:tabs>
                    <w:tab w:val="right" w:pos="8838"/>
                  </w:tabs>
                  <w:ind w:left="-3" w:right="-105"/>
                  <w:jc w:val="both"/>
                  <w:rPr>
                    <w:rFonts w:ascii="Palatino Linotype" w:eastAsia="Calibri" w:hAnsi="Palatino Linotype" w:cs="Tahoma"/>
                    <w:sz w:val="22"/>
                    <w:lang w:eastAsia="en-US"/>
                  </w:rPr>
                </w:pPr>
                <w:r>
                  <w:rPr>
                    <w:rFonts w:ascii="Palatino Linotype" w:eastAsia="Calibri" w:hAnsi="Palatino Linotype" w:cs="Tahoma"/>
                    <w:sz w:val="22"/>
                    <w:lang w:eastAsia="en-US"/>
                  </w:rPr>
                  <w:t>05068/INFOEM/IP/RR/2024</w:t>
                </w:r>
                <w:r w:rsidRPr="004943CF">
                  <w:rPr>
                    <w:rFonts w:ascii="Palatino Linotype" w:eastAsia="Calibri" w:hAnsi="Palatino Linotype" w:cs="Tahoma"/>
                    <w:sz w:val="18"/>
                    <w:lang w:eastAsia="en-US"/>
                  </w:rPr>
                  <w:t xml:space="preserve"> </w:t>
                </w:r>
              </w:p>
            </w:tc>
            <w:tc>
              <w:tcPr>
                <w:tcW w:w="3402" w:type="dxa"/>
              </w:tcPr>
              <w:p w:rsidR="00E627EF" w:rsidRDefault="00E627EF">
                <w:pPr>
                  <w:tabs>
                    <w:tab w:val="right" w:pos="8838"/>
                  </w:tabs>
                  <w:ind w:left="-74" w:right="-105"/>
                  <w:jc w:val="both"/>
                  <w:rPr>
                    <w:rFonts w:ascii="Palatino Linotype" w:eastAsia="Calibri" w:hAnsi="Palatino Linotype" w:cs="Tahoma"/>
                    <w:bCs/>
                    <w:sz w:val="22"/>
                    <w:szCs w:val="22"/>
                    <w:lang w:eastAsia="en-US"/>
                  </w:rPr>
                </w:pPr>
              </w:p>
            </w:tc>
          </w:tr>
          <w:tr w:rsidR="00E627EF" w:rsidTr="005E7CE0">
            <w:trPr>
              <w:trHeight w:val="144"/>
            </w:trPr>
            <w:tc>
              <w:tcPr>
                <w:tcW w:w="2444" w:type="dxa"/>
              </w:tcPr>
              <w:p w:rsidR="00E627EF" w:rsidRDefault="00E627EF" w:rsidP="005E7CE0">
                <w:pPr>
                  <w:tabs>
                    <w:tab w:val="right" w:pos="8838"/>
                  </w:tabs>
                  <w:ind w:left="-74" w:right="-105"/>
                  <w:rPr>
                    <w:rFonts w:ascii="Palatino Linotype" w:eastAsia="Calibri" w:hAnsi="Palatino Linotype" w:cs="Tahoma"/>
                    <w:b/>
                    <w:sz w:val="22"/>
                    <w:szCs w:val="22"/>
                    <w:lang w:eastAsia="en-US"/>
                  </w:rPr>
                </w:pPr>
                <w:bookmarkStart w:id="19" w:name="_Hlk10641523"/>
                <w:bookmarkEnd w:id="18"/>
                <w:r>
                  <w:rPr>
                    <w:rFonts w:ascii="Palatino Linotype" w:eastAsia="Calibri" w:hAnsi="Palatino Linotype" w:cs="Tahoma"/>
                    <w:b/>
                    <w:sz w:val="22"/>
                    <w:szCs w:val="22"/>
                    <w:lang w:eastAsia="en-US"/>
                  </w:rPr>
                  <w:t>Recurrente:</w:t>
                </w:r>
              </w:p>
            </w:tc>
            <w:tc>
              <w:tcPr>
                <w:tcW w:w="3084" w:type="dxa"/>
              </w:tcPr>
              <w:p w:rsidR="00E627EF" w:rsidRPr="009D0A9B" w:rsidRDefault="00E627EF" w:rsidP="005E7CE0">
                <w:pPr>
                  <w:tabs>
                    <w:tab w:val="left" w:pos="3122"/>
                    <w:tab w:val="right" w:pos="8838"/>
                  </w:tabs>
                  <w:ind w:right="178"/>
                  <w:jc w:val="both"/>
                  <w:rPr>
                    <w:rFonts w:ascii="Palatino Linotype" w:eastAsia="Calibri" w:hAnsi="Palatino Linotype" w:cs="Tahoma"/>
                    <w:sz w:val="22"/>
                    <w:szCs w:val="22"/>
                    <w:lang w:eastAsia="en-US"/>
                  </w:rPr>
                </w:pPr>
              </w:p>
            </w:tc>
            <w:tc>
              <w:tcPr>
                <w:tcW w:w="3402" w:type="dxa"/>
              </w:tcPr>
              <w:p w:rsidR="00E627EF" w:rsidRDefault="00E627EF" w:rsidP="005E7CE0">
                <w:pPr>
                  <w:tabs>
                    <w:tab w:val="left" w:pos="3122"/>
                    <w:tab w:val="right" w:pos="8838"/>
                  </w:tabs>
                  <w:ind w:right="-105"/>
                  <w:jc w:val="both"/>
                  <w:rPr>
                    <w:rFonts w:ascii="Palatino Linotype" w:eastAsia="Calibri" w:hAnsi="Palatino Linotype" w:cs="Tahoma"/>
                    <w:sz w:val="22"/>
                    <w:szCs w:val="22"/>
                    <w:lang w:eastAsia="en-US"/>
                  </w:rPr>
                </w:pPr>
              </w:p>
            </w:tc>
          </w:tr>
          <w:bookmarkEnd w:id="19"/>
          <w:tr w:rsidR="00E627EF" w:rsidTr="005E7CE0">
            <w:trPr>
              <w:trHeight w:val="283"/>
            </w:trPr>
            <w:tc>
              <w:tcPr>
                <w:tcW w:w="2444" w:type="dxa"/>
              </w:tcPr>
              <w:p w:rsidR="00E627EF" w:rsidRDefault="00E627EF" w:rsidP="005E7CE0">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E627EF" w:rsidRPr="009D0A9B" w:rsidRDefault="00E627EF" w:rsidP="005E7CE0">
                <w:pPr>
                  <w:tabs>
                    <w:tab w:val="left" w:pos="2834"/>
                    <w:tab w:val="right" w:pos="8838"/>
                  </w:tabs>
                  <w:ind w:left="-3" w:right="-105"/>
                  <w:jc w:val="both"/>
                  <w:rPr>
                    <w:rFonts w:ascii="Palatino Linotype" w:eastAsia="Calibri" w:hAnsi="Palatino Linotype" w:cs="Tahoma"/>
                    <w:sz w:val="22"/>
                    <w:szCs w:val="22"/>
                    <w:lang w:eastAsia="en-US"/>
                  </w:rPr>
                </w:pPr>
                <w:r w:rsidRPr="005E7CE0">
                  <w:rPr>
                    <w:rFonts w:ascii="Palatino Linotype" w:eastAsia="Calibri" w:hAnsi="Palatino Linotype" w:cs="Arial"/>
                    <w:bCs/>
                    <w:sz w:val="22"/>
                    <w:lang w:val="es-MX"/>
                  </w:rPr>
                  <w:t>Secretaría de Seguridad</w:t>
                </w:r>
              </w:p>
            </w:tc>
            <w:tc>
              <w:tcPr>
                <w:tcW w:w="3402" w:type="dxa"/>
              </w:tcPr>
              <w:p w:rsidR="00E627EF" w:rsidRDefault="00E627EF">
                <w:pPr>
                  <w:tabs>
                    <w:tab w:val="left" w:pos="2834"/>
                    <w:tab w:val="right" w:pos="8838"/>
                  </w:tabs>
                  <w:ind w:left="-74" w:right="-105"/>
                  <w:jc w:val="both"/>
                  <w:rPr>
                    <w:rFonts w:ascii="Palatino Linotype" w:eastAsia="Calibri" w:hAnsi="Palatino Linotype" w:cs="Tahoma"/>
                    <w:sz w:val="22"/>
                    <w:szCs w:val="22"/>
                    <w:lang w:eastAsia="en-US"/>
                  </w:rPr>
                </w:pPr>
              </w:p>
            </w:tc>
          </w:tr>
          <w:tr w:rsidR="00E627EF" w:rsidTr="005E7CE0">
            <w:trPr>
              <w:trHeight w:val="283"/>
            </w:trPr>
            <w:tc>
              <w:tcPr>
                <w:tcW w:w="2444" w:type="dxa"/>
              </w:tcPr>
              <w:p w:rsidR="00E627EF" w:rsidRDefault="00E627EF" w:rsidP="005E7CE0">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E627EF" w:rsidRPr="003037E1" w:rsidRDefault="00E627EF" w:rsidP="005E7CE0">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E627EF" w:rsidRDefault="00E627EF">
                <w:pPr>
                  <w:tabs>
                    <w:tab w:val="right" w:pos="8838"/>
                  </w:tabs>
                  <w:ind w:left="-74" w:right="-105"/>
                  <w:jc w:val="both"/>
                  <w:rPr>
                    <w:rFonts w:ascii="Palatino Linotype" w:eastAsia="Calibri" w:hAnsi="Palatino Linotype" w:cs="Tahoma"/>
                    <w:sz w:val="22"/>
                    <w:szCs w:val="22"/>
                    <w:lang w:eastAsia="en-US"/>
                  </w:rPr>
                </w:pPr>
              </w:p>
            </w:tc>
          </w:tr>
        </w:tbl>
        <w:p w:rsidR="00E627EF" w:rsidRDefault="00E627EF">
          <w:pPr>
            <w:tabs>
              <w:tab w:val="right" w:pos="8838"/>
            </w:tabs>
            <w:ind w:left="-28"/>
            <w:jc w:val="both"/>
            <w:rPr>
              <w:rFonts w:ascii="Arial" w:eastAsia="Calibri" w:hAnsi="Arial" w:cs="Arial"/>
              <w:b/>
              <w:sz w:val="22"/>
              <w:szCs w:val="22"/>
              <w:lang w:eastAsia="en-US"/>
            </w:rPr>
          </w:pPr>
        </w:p>
      </w:tc>
    </w:tr>
  </w:tbl>
  <w:p w:rsidR="00E627EF" w:rsidRDefault="00DF1024" w:rsidP="005E7CE0">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1"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rsidR="00E627EF" w:rsidRDefault="00E627EF"/>
  <w:p w:rsidR="00E627EF" w:rsidRDefault="00E62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97BBB"/>
    <w:multiLevelType w:val="multilevel"/>
    <w:tmpl w:val="A0FA3BD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Palatino Linotype" w:eastAsia="Calibri" w:hAnsi="Palatino Linotype"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F08129A"/>
    <w:multiLevelType w:val="hybridMultilevel"/>
    <w:tmpl w:val="0680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447460"/>
    <w:multiLevelType w:val="hybridMultilevel"/>
    <w:tmpl w:val="C06805C0"/>
    <w:lvl w:ilvl="0" w:tplc="3F6EC1F0">
      <w:start w:val="1"/>
      <w:numFmt w:val="lowerLetter"/>
      <w:lvlText w:val="%1."/>
      <w:lvlJc w:val="left"/>
      <w:pPr>
        <w:ind w:left="720" w:hanging="360"/>
      </w:pPr>
      <w:rPr>
        <w:rFonts w:eastAsia="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927C22"/>
    <w:multiLevelType w:val="multilevel"/>
    <w:tmpl w:val="CCF8E8CA"/>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E0"/>
    <w:rsid w:val="00005770"/>
    <w:rsid w:val="00075226"/>
    <w:rsid w:val="001F4E19"/>
    <w:rsid w:val="002F1E87"/>
    <w:rsid w:val="00463478"/>
    <w:rsid w:val="005E7CE0"/>
    <w:rsid w:val="00776B27"/>
    <w:rsid w:val="00811A98"/>
    <w:rsid w:val="00812E82"/>
    <w:rsid w:val="00895B43"/>
    <w:rsid w:val="009B3CC3"/>
    <w:rsid w:val="00A909BD"/>
    <w:rsid w:val="00A91E8E"/>
    <w:rsid w:val="00AD542A"/>
    <w:rsid w:val="00AE735B"/>
    <w:rsid w:val="00BC60E9"/>
    <w:rsid w:val="00DD4308"/>
    <w:rsid w:val="00DF1024"/>
    <w:rsid w:val="00E57C97"/>
    <w:rsid w:val="00E627EF"/>
    <w:rsid w:val="00EA05C9"/>
    <w:rsid w:val="00FC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84FD963-E71E-4877-BE26-8CF93796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E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E7CE0"/>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5E7CE0"/>
    <w:pPr>
      <w:keepNext/>
      <w:keepLines/>
      <w:spacing w:before="40"/>
      <w:outlineLvl w:val="1"/>
    </w:pPr>
    <w:rPr>
      <w:rFonts w:asciiTheme="majorHAnsi" w:eastAsiaTheme="majorEastAsia" w:hAnsiTheme="majorHAnsi" w:cstheme="majorBidi"/>
      <w:color w:val="2E74B5"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7CE0"/>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5E7CE0"/>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E7CE0"/>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E7CE0"/>
    <w:rPr>
      <w:rFonts w:ascii="Calibri" w:eastAsia="Calibri" w:hAnsi="Calibri" w:cs="Times New Roman"/>
      <w:sz w:val="20"/>
      <w:szCs w:val="20"/>
    </w:rPr>
  </w:style>
  <w:style w:type="paragraph" w:styleId="Encabezado">
    <w:name w:val="header"/>
    <w:basedOn w:val="Normal"/>
    <w:link w:val="EncabezadoCar"/>
    <w:uiPriority w:val="99"/>
    <w:unhideWhenUsed/>
    <w:qFormat/>
    <w:rsid w:val="005E7CE0"/>
    <w:pPr>
      <w:tabs>
        <w:tab w:val="center" w:pos="4419"/>
        <w:tab w:val="right" w:pos="8838"/>
      </w:tabs>
    </w:pPr>
    <w:rPr>
      <w:sz w:val="20"/>
      <w:szCs w:val="20"/>
      <w:lang w:eastAsia="es-ES"/>
    </w:rPr>
  </w:style>
  <w:style w:type="character" w:customStyle="1" w:styleId="EncabezadoCar">
    <w:name w:val="Encabezado Car"/>
    <w:basedOn w:val="Fuentedeprrafopredeter"/>
    <w:link w:val="Encabezado"/>
    <w:uiPriority w:val="99"/>
    <w:qFormat/>
    <w:rsid w:val="005E7CE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5E7CE0"/>
    <w:pPr>
      <w:tabs>
        <w:tab w:val="center" w:pos="4419"/>
        <w:tab w:val="right" w:pos="8838"/>
      </w:tabs>
    </w:pPr>
    <w:rPr>
      <w:sz w:val="20"/>
      <w:szCs w:val="20"/>
      <w:lang w:eastAsia="es-ES"/>
    </w:rPr>
  </w:style>
  <w:style w:type="character" w:customStyle="1" w:styleId="PiedepginaCar">
    <w:name w:val="Pie de página Car"/>
    <w:basedOn w:val="Fuentedeprrafopredeter"/>
    <w:link w:val="Piedepgina"/>
    <w:uiPriority w:val="99"/>
    <w:qFormat/>
    <w:rsid w:val="005E7CE0"/>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E7CE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5E7CE0"/>
    <w:rPr>
      <w:color w:val="0563C1" w:themeColor="hyperlink"/>
      <w:u w:val="single"/>
    </w:rPr>
  </w:style>
  <w:style w:type="table" w:styleId="Tablaconcuadrcula">
    <w:name w:val="Table Grid"/>
    <w:basedOn w:val="Tablanormal"/>
    <w:uiPriority w:val="39"/>
    <w:qFormat/>
    <w:rsid w:val="005E7CE0"/>
    <w:pPr>
      <w:spacing w:after="0" w:line="240" w:lineRule="auto"/>
    </w:pPr>
    <w:rPr>
      <w:rFonts w:ascii="Times New Roman" w:eastAsia="SimSun" w:hAnsi="Times New Roman" w:cs="Times New Roman"/>
      <w:sz w:val="20"/>
      <w:szCs w:val="20"/>
      <w:lang w:val="es-E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E7CE0"/>
    <w:pPr>
      <w:ind w:left="720"/>
      <w:contextualSpacing/>
    </w:pPr>
    <w:rPr>
      <w:rFonts w:ascii="Century Gothic" w:hAnsi="Century Gothic"/>
      <w:sz w:val="22"/>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5E7CE0"/>
    <w:rPr>
      <w:rFonts w:ascii="Century Gothic" w:eastAsia="Times New Roman" w:hAnsi="Century Gothic" w:cs="Times New Roman"/>
      <w:szCs w:val="24"/>
      <w:lang w:eastAsia="es-ES"/>
    </w:rPr>
  </w:style>
  <w:style w:type="paragraph" w:customStyle="1" w:styleId="Default">
    <w:name w:val="Default"/>
    <w:rsid w:val="005E7CE0"/>
    <w:pPr>
      <w:autoSpaceDE w:val="0"/>
      <w:autoSpaceDN w:val="0"/>
      <w:adjustRightInd w:val="0"/>
      <w:spacing w:after="0" w:line="240" w:lineRule="auto"/>
    </w:pPr>
    <w:rPr>
      <w:rFonts w:ascii="Arial" w:hAnsi="Arial" w:cs="Arial"/>
      <w:color w:val="000000"/>
      <w:sz w:val="24"/>
      <w:szCs w:val="24"/>
    </w:rPr>
  </w:style>
  <w:style w:type="table" w:styleId="Tablanormal1">
    <w:name w:val="Plain Table 1"/>
    <w:basedOn w:val="Tablanormal"/>
    <w:uiPriority w:val="41"/>
    <w:rsid w:val="00811A9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aliases w:val="Francesa,INAI"/>
    <w:link w:val="SinespaciadoCar"/>
    <w:uiPriority w:val="1"/>
    <w:qFormat/>
    <w:rsid w:val="001F4E19"/>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1F4E19"/>
    <w:rPr>
      <w:rFonts w:ascii="Arial" w:eastAsia="Batang"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0084.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195944.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Acuse(61613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40</Pages>
  <Words>8435</Words>
  <Characters>46394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6</cp:revision>
  <cp:lastPrinted>2025-03-13T16:55:00Z</cp:lastPrinted>
  <dcterms:created xsi:type="dcterms:W3CDTF">2025-03-06T01:12:00Z</dcterms:created>
  <dcterms:modified xsi:type="dcterms:W3CDTF">2025-03-13T16:55:00Z</dcterms:modified>
</cp:coreProperties>
</file>