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DF5858" w14:textId="77777777" w:rsidR="004C465F" w:rsidRPr="00B16FBB" w:rsidRDefault="004C465F" w:rsidP="001B6133">
      <w:pPr>
        <w:tabs>
          <w:tab w:val="left" w:pos="8931"/>
        </w:tabs>
        <w:spacing w:after="0" w:line="360" w:lineRule="auto"/>
        <w:rPr>
          <w:color w:val="FF0000"/>
        </w:rPr>
      </w:pPr>
    </w:p>
    <w:sdt>
      <w:sdtPr>
        <w:rPr>
          <w:rFonts w:ascii="Palatino Linotype" w:eastAsia="Palatino Linotype" w:hAnsi="Palatino Linotype" w:cs="Palatino Linotype"/>
          <w:color w:val="FF0000"/>
          <w:sz w:val="22"/>
          <w:szCs w:val="22"/>
          <w:lang w:val="es-ES"/>
        </w:rPr>
        <w:id w:val="789625836"/>
        <w:docPartObj>
          <w:docPartGallery w:val="Table of Contents"/>
          <w:docPartUnique/>
        </w:docPartObj>
      </w:sdtPr>
      <w:sdtEndPr>
        <w:rPr>
          <w:b/>
          <w:bCs/>
        </w:rPr>
      </w:sdtEndPr>
      <w:sdtContent>
        <w:p w14:paraId="7F182055" w14:textId="07B06C8F" w:rsidR="00C4052B" w:rsidRPr="00B16FBB" w:rsidRDefault="00C4052B" w:rsidP="001B6133">
          <w:pPr>
            <w:pStyle w:val="TtulodeTDC"/>
            <w:spacing w:before="0" w:line="360" w:lineRule="auto"/>
            <w:jc w:val="center"/>
            <w:rPr>
              <w:rFonts w:ascii="Palatino Linotype" w:hAnsi="Palatino Linotype"/>
              <w:color w:val="auto"/>
              <w:sz w:val="22"/>
              <w:szCs w:val="22"/>
            </w:rPr>
          </w:pPr>
          <w:r w:rsidRPr="00B16FBB">
            <w:rPr>
              <w:rFonts w:ascii="Palatino Linotype" w:hAnsi="Palatino Linotype"/>
              <w:color w:val="auto"/>
              <w:sz w:val="22"/>
              <w:szCs w:val="22"/>
              <w:lang w:val="es-ES"/>
            </w:rPr>
            <w:t xml:space="preserve">RESOLUCIÓN DEL RECURSO DE REVISIÓN </w:t>
          </w:r>
          <w:r w:rsidR="00A479FA" w:rsidRPr="00B16FBB">
            <w:rPr>
              <w:rFonts w:ascii="Palatino Linotype" w:hAnsi="Palatino Linotype"/>
              <w:color w:val="auto"/>
              <w:sz w:val="22"/>
              <w:szCs w:val="22"/>
            </w:rPr>
            <w:t>0</w:t>
          </w:r>
          <w:r w:rsidR="00364CCB">
            <w:rPr>
              <w:rFonts w:ascii="Palatino Linotype" w:hAnsi="Palatino Linotype"/>
              <w:color w:val="auto"/>
              <w:sz w:val="22"/>
              <w:szCs w:val="22"/>
            </w:rPr>
            <w:t>7976</w:t>
          </w:r>
          <w:r w:rsidR="00A479FA" w:rsidRPr="00B16FBB">
            <w:rPr>
              <w:rFonts w:ascii="Palatino Linotype" w:hAnsi="Palatino Linotype"/>
              <w:color w:val="auto"/>
              <w:sz w:val="22"/>
              <w:szCs w:val="22"/>
            </w:rPr>
            <w:t>/INFOEM/IP/RR/2025</w:t>
          </w:r>
        </w:p>
        <w:p w14:paraId="73933EFA" w14:textId="77777777" w:rsidR="00C4052B" w:rsidRPr="00B16FBB" w:rsidRDefault="00C4052B" w:rsidP="001B6133">
          <w:pPr>
            <w:spacing w:after="0" w:line="360" w:lineRule="auto"/>
            <w:rPr>
              <w:color w:val="FF0000"/>
            </w:rPr>
          </w:pPr>
        </w:p>
        <w:p w14:paraId="3EB46928" w14:textId="550B007A" w:rsidR="00EA3B0E" w:rsidRDefault="00C4052B">
          <w:pPr>
            <w:pStyle w:val="TDC1"/>
            <w:tabs>
              <w:tab w:val="right" w:leader="dot" w:pos="8921"/>
            </w:tabs>
            <w:rPr>
              <w:rFonts w:asciiTheme="minorHAnsi" w:eastAsiaTheme="minorEastAsia" w:hAnsiTheme="minorHAnsi" w:cstheme="minorBidi"/>
              <w:noProof/>
              <w:color w:val="auto"/>
            </w:rPr>
          </w:pPr>
          <w:r w:rsidRPr="00B16FBB">
            <w:rPr>
              <w:color w:val="FF0000"/>
            </w:rPr>
            <w:fldChar w:fldCharType="begin"/>
          </w:r>
          <w:r w:rsidRPr="00B16FBB">
            <w:rPr>
              <w:color w:val="FF0000"/>
            </w:rPr>
            <w:instrText xml:space="preserve"> TOC \o "1-3" \h \z \u </w:instrText>
          </w:r>
          <w:r w:rsidRPr="00B16FBB">
            <w:rPr>
              <w:color w:val="FF0000"/>
            </w:rPr>
            <w:fldChar w:fldCharType="separate"/>
          </w:r>
          <w:hyperlink w:anchor="_Toc213948279" w:history="1">
            <w:r w:rsidR="00EA3B0E" w:rsidRPr="0055376E">
              <w:rPr>
                <w:rStyle w:val="Hipervnculo"/>
                <w:noProof/>
              </w:rPr>
              <w:t>A N T E C E D E N T E S</w:t>
            </w:r>
            <w:r w:rsidR="00EA3B0E">
              <w:rPr>
                <w:noProof/>
                <w:webHidden/>
              </w:rPr>
              <w:tab/>
            </w:r>
            <w:r w:rsidR="00EA3B0E">
              <w:rPr>
                <w:noProof/>
                <w:webHidden/>
              </w:rPr>
              <w:fldChar w:fldCharType="begin"/>
            </w:r>
            <w:r w:rsidR="00EA3B0E">
              <w:rPr>
                <w:noProof/>
                <w:webHidden/>
              </w:rPr>
              <w:instrText xml:space="preserve"> PAGEREF _Toc213948279 \h </w:instrText>
            </w:r>
            <w:r w:rsidR="00EA3B0E">
              <w:rPr>
                <w:noProof/>
                <w:webHidden/>
              </w:rPr>
            </w:r>
            <w:r w:rsidR="00EA3B0E">
              <w:rPr>
                <w:noProof/>
                <w:webHidden/>
              </w:rPr>
              <w:fldChar w:fldCharType="separate"/>
            </w:r>
            <w:r w:rsidR="00AD05B4">
              <w:rPr>
                <w:noProof/>
                <w:webHidden/>
              </w:rPr>
              <w:t>2</w:t>
            </w:r>
            <w:r w:rsidR="00EA3B0E">
              <w:rPr>
                <w:noProof/>
                <w:webHidden/>
              </w:rPr>
              <w:fldChar w:fldCharType="end"/>
            </w:r>
          </w:hyperlink>
        </w:p>
        <w:p w14:paraId="2A32EADD" w14:textId="6951CD0A" w:rsidR="00EA3B0E" w:rsidRDefault="00C75A27">
          <w:pPr>
            <w:pStyle w:val="TDC2"/>
            <w:tabs>
              <w:tab w:val="right" w:leader="dot" w:pos="8921"/>
            </w:tabs>
            <w:rPr>
              <w:rFonts w:asciiTheme="minorHAnsi" w:eastAsiaTheme="minorEastAsia" w:hAnsiTheme="minorHAnsi" w:cstheme="minorBidi"/>
              <w:noProof/>
              <w:color w:val="auto"/>
            </w:rPr>
          </w:pPr>
          <w:hyperlink w:anchor="_Toc213948280" w:history="1">
            <w:r w:rsidR="00EA3B0E" w:rsidRPr="0055376E">
              <w:rPr>
                <w:rStyle w:val="Hipervnculo"/>
                <w:noProof/>
                <w:lang w:eastAsia="es-ES"/>
              </w:rPr>
              <w:t>I. Presentación de la solicitud de información</w:t>
            </w:r>
            <w:r w:rsidR="00EA3B0E">
              <w:rPr>
                <w:noProof/>
                <w:webHidden/>
              </w:rPr>
              <w:tab/>
            </w:r>
            <w:r w:rsidR="00EA3B0E">
              <w:rPr>
                <w:noProof/>
                <w:webHidden/>
              </w:rPr>
              <w:fldChar w:fldCharType="begin"/>
            </w:r>
            <w:r w:rsidR="00EA3B0E">
              <w:rPr>
                <w:noProof/>
                <w:webHidden/>
              </w:rPr>
              <w:instrText xml:space="preserve"> PAGEREF _Toc213948280 \h </w:instrText>
            </w:r>
            <w:r w:rsidR="00EA3B0E">
              <w:rPr>
                <w:noProof/>
                <w:webHidden/>
              </w:rPr>
            </w:r>
            <w:r w:rsidR="00EA3B0E">
              <w:rPr>
                <w:noProof/>
                <w:webHidden/>
              </w:rPr>
              <w:fldChar w:fldCharType="separate"/>
            </w:r>
            <w:r w:rsidR="00AD05B4">
              <w:rPr>
                <w:noProof/>
                <w:webHidden/>
              </w:rPr>
              <w:t>2</w:t>
            </w:r>
            <w:r w:rsidR="00EA3B0E">
              <w:rPr>
                <w:noProof/>
                <w:webHidden/>
              </w:rPr>
              <w:fldChar w:fldCharType="end"/>
            </w:r>
          </w:hyperlink>
        </w:p>
        <w:p w14:paraId="7E68F720" w14:textId="1DBE8859" w:rsidR="00EA3B0E" w:rsidRDefault="00C75A27">
          <w:pPr>
            <w:pStyle w:val="TDC2"/>
            <w:tabs>
              <w:tab w:val="right" w:leader="dot" w:pos="8921"/>
            </w:tabs>
            <w:rPr>
              <w:rFonts w:asciiTheme="minorHAnsi" w:eastAsiaTheme="minorEastAsia" w:hAnsiTheme="minorHAnsi" w:cstheme="minorBidi"/>
              <w:noProof/>
              <w:color w:val="auto"/>
            </w:rPr>
          </w:pPr>
          <w:hyperlink w:anchor="_Toc213948281" w:history="1">
            <w:r w:rsidR="00EA3B0E" w:rsidRPr="0055376E">
              <w:rPr>
                <w:rStyle w:val="Hipervnculo"/>
                <w:noProof/>
              </w:rPr>
              <w:t>II. Respuesta del Sujeto Obligado</w:t>
            </w:r>
            <w:r w:rsidR="00EA3B0E">
              <w:rPr>
                <w:noProof/>
                <w:webHidden/>
              </w:rPr>
              <w:tab/>
            </w:r>
            <w:r w:rsidR="00EA3B0E">
              <w:rPr>
                <w:noProof/>
                <w:webHidden/>
              </w:rPr>
              <w:fldChar w:fldCharType="begin"/>
            </w:r>
            <w:r w:rsidR="00EA3B0E">
              <w:rPr>
                <w:noProof/>
                <w:webHidden/>
              </w:rPr>
              <w:instrText xml:space="preserve"> PAGEREF _Toc213948281 \h </w:instrText>
            </w:r>
            <w:r w:rsidR="00EA3B0E">
              <w:rPr>
                <w:noProof/>
                <w:webHidden/>
              </w:rPr>
            </w:r>
            <w:r w:rsidR="00EA3B0E">
              <w:rPr>
                <w:noProof/>
                <w:webHidden/>
              </w:rPr>
              <w:fldChar w:fldCharType="separate"/>
            </w:r>
            <w:r w:rsidR="00AD05B4">
              <w:rPr>
                <w:noProof/>
                <w:webHidden/>
              </w:rPr>
              <w:t>3</w:t>
            </w:r>
            <w:r w:rsidR="00EA3B0E">
              <w:rPr>
                <w:noProof/>
                <w:webHidden/>
              </w:rPr>
              <w:fldChar w:fldCharType="end"/>
            </w:r>
          </w:hyperlink>
        </w:p>
        <w:p w14:paraId="1BDD7479" w14:textId="522B0A81" w:rsidR="00EA3B0E" w:rsidRDefault="00C75A27">
          <w:pPr>
            <w:pStyle w:val="TDC2"/>
            <w:tabs>
              <w:tab w:val="right" w:leader="dot" w:pos="8921"/>
            </w:tabs>
            <w:rPr>
              <w:rFonts w:asciiTheme="minorHAnsi" w:eastAsiaTheme="minorEastAsia" w:hAnsiTheme="minorHAnsi" w:cstheme="minorBidi"/>
              <w:noProof/>
              <w:color w:val="auto"/>
            </w:rPr>
          </w:pPr>
          <w:hyperlink w:anchor="_Toc213948282" w:history="1">
            <w:r w:rsidR="00EA3B0E" w:rsidRPr="0055376E">
              <w:rPr>
                <w:rStyle w:val="Hipervnculo"/>
                <w:noProof/>
              </w:rPr>
              <w:t>III. Interposición del Recurso de Revisión</w:t>
            </w:r>
            <w:r w:rsidR="00EA3B0E">
              <w:rPr>
                <w:noProof/>
                <w:webHidden/>
              </w:rPr>
              <w:tab/>
            </w:r>
            <w:r w:rsidR="00EA3B0E">
              <w:rPr>
                <w:noProof/>
                <w:webHidden/>
              </w:rPr>
              <w:fldChar w:fldCharType="begin"/>
            </w:r>
            <w:r w:rsidR="00EA3B0E">
              <w:rPr>
                <w:noProof/>
                <w:webHidden/>
              </w:rPr>
              <w:instrText xml:space="preserve"> PAGEREF _Toc213948282 \h </w:instrText>
            </w:r>
            <w:r w:rsidR="00EA3B0E">
              <w:rPr>
                <w:noProof/>
                <w:webHidden/>
              </w:rPr>
            </w:r>
            <w:r w:rsidR="00EA3B0E">
              <w:rPr>
                <w:noProof/>
                <w:webHidden/>
              </w:rPr>
              <w:fldChar w:fldCharType="separate"/>
            </w:r>
            <w:r w:rsidR="00AD05B4">
              <w:rPr>
                <w:noProof/>
                <w:webHidden/>
              </w:rPr>
              <w:t>3</w:t>
            </w:r>
            <w:r w:rsidR="00EA3B0E">
              <w:rPr>
                <w:noProof/>
                <w:webHidden/>
              </w:rPr>
              <w:fldChar w:fldCharType="end"/>
            </w:r>
          </w:hyperlink>
        </w:p>
        <w:p w14:paraId="19CA0486" w14:textId="002954EA" w:rsidR="00EA3B0E" w:rsidRDefault="00C75A27">
          <w:pPr>
            <w:pStyle w:val="TDC2"/>
            <w:tabs>
              <w:tab w:val="right" w:leader="dot" w:pos="8921"/>
            </w:tabs>
            <w:rPr>
              <w:rFonts w:asciiTheme="minorHAnsi" w:eastAsiaTheme="minorEastAsia" w:hAnsiTheme="minorHAnsi" w:cstheme="minorBidi"/>
              <w:noProof/>
              <w:color w:val="auto"/>
            </w:rPr>
          </w:pPr>
          <w:hyperlink w:anchor="_Toc213948283" w:history="1">
            <w:r w:rsidR="00EA3B0E" w:rsidRPr="0055376E">
              <w:rPr>
                <w:rStyle w:val="Hipervnculo"/>
                <w:noProof/>
              </w:rPr>
              <w:t>IV. Trámite del Recurso de Revisión ante este Instituto</w:t>
            </w:r>
            <w:r w:rsidR="00EA3B0E">
              <w:rPr>
                <w:noProof/>
                <w:webHidden/>
              </w:rPr>
              <w:tab/>
            </w:r>
            <w:r w:rsidR="00EA3B0E">
              <w:rPr>
                <w:noProof/>
                <w:webHidden/>
              </w:rPr>
              <w:fldChar w:fldCharType="begin"/>
            </w:r>
            <w:r w:rsidR="00EA3B0E">
              <w:rPr>
                <w:noProof/>
                <w:webHidden/>
              </w:rPr>
              <w:instrText xml:space="preserve"> PAGEREF _Toc213948283 \h </w:instrText>
            </w:r>
            <w:r w:rsidR="00EA3B0E">
              <w:rPr>
                <w:noProof/>
                <w:webHidden/>
              </w:rPr>
            </w:r>
            <w:r w:rsidR="00EA3B0E">
              <w:rPr>
                <w:noProof/>
                <w:webHidden/>
              </w:rPr>
              <w:fldChar w:fldCharType="separate"/>
            </w:r>
            <w:r w:rsidR="00AD05B4">
              <w:rPr>
                <w:noProof/>
                <w:webHidden/>
              </w:rPr>
              <w:t>4</w:t>
            </w:r>
            <w:r w:rsidR="00EA3B0E">
              <w:rPr>
                <w:noProof/>
                <w:webHidden/>
              </w:rPr>
              <w:fldChar w:fldCharType="end"/>
            </w:r>
          </w:hyperlink>
        </w:p>
        <w:p w14:paraId="761C55DA" w14:textId="63C05AEE" w:rsidR="00EA3B0E" w:rsidRDefault="00C75A27">
          <w:pPr>
            <w:pStyle w:val="TDC1"/>
            <w:tabs>
              <w:tab w:val="right" w:leader="dot" w:pos="8921"/>
            </w:tabs>
            <w:rPr>
              <w:rFonts w:asciiTheme="minorHAnsi" w:eastAsiaTheme="minorEastAsia" w:hAnsiTheme="minorHAnsi" w:cstheme="minorBidi"/>
              <w:noProof/>
              <w:color w:val="auto"/>
            </w:rPr>
          </w:pPr>
          <w:hyperlink w:anchor="_Toc213948284" w:history="1">
            <w:r w:rsidR="00EA3B0E" w:rsidRPr="0055376E">
              <w:rPr>
                <w:rStyle w:val="Hipervnculo"/>
                <w:noProof/>
              </w:rPr>
              <w:t>C O N S I D E R A N D O S</w:t>
            </w:r>
            <w:r w:rsidR="00EA3B0E">
              <w:rPr>
                <w:noProof/>
                <w:webHidden/>
              </w:rPr>
              <w:tab/>
            </w:r>
            <w:r w:rsidR="00EA3B0E">
              <w:rPr>
                <w:noProof/>
                <w:webHidden/>
              </w:rPr>
              <w:fldChar w:fldCharType="begin"/>
            </w:r>
            <w:r w:rsidR="00EA3B0E">
              <w:rPr>
                <w:noProof/>
                <w:webHidden/>
              </w:rPr>
              <w:instrText xml:space="preserve"> PAGEREF _Toc213948284 \h </w:instrText>
            </w:r>
            <w:r w:rsidR="00EA3B0E">
              <w:rPr>
                <w:noProof/>
                <w:webHidden/>
              </w:rPr>
            </w:r>
            <w:r w:rsidR="00EA3B0E">
              <w:rPr>
                <w:noProof/>
                <w:webHidden/>
              </w:rPr>
              <w:fldChar w:fldCharType="separate"/>
            </w:r>
            <w:r w:rsidR="00AD05B4">
              <w:rPr>
                <w:noProof/>
                <w:webHidden/>
              </w:rPr>
              <w:t>5</w:t>
            </w:r>
            <w:r w:rsidR="00EA3B0E">
              <w:rPr>
                <w:noProof/>
                <w:webHidden/>
              </w:rPr>
              <w:fldChar w:fldCharType="end"/>
            </w:r>
          </w:hyperlink>
        </w:p>
        <w:p w14:paraId="38168FD8" w14:textId="2F1E5C37" w:rsidR="00EA3B0E" w:rsidRDefault="00C75A27">
          <w:pPr>
            <w:pStyle w:val="TDC2"/>
            <w:tabs>
              <w:tab w:val="right" w:leader="dot" w:pos="8921"/>
            </w:tabs>
            <w:rPr>
              <w:rFonts w:asciiTheme="minorHAnsi" w:eastAsiaTheme="minorEastAsia" w:hAnsiTheme="minorHAnsi" w:cstheme="minorBidi"/>
              <w:noProof/>
              <w:color w:val="auto"/>
            </w:rPr>
          </w:pPr>
          <w:hyperlink w:anchor="_Toc213948285" w:history="1">
            <w:r w:rsidR="00EA3B0E" w:rsidRPr="0055376E">
              <w:rPr>
                <w:rStyle w:val="Hipervnculo"/>
                <w:noProof/>
              </w:rPr>
              <w:t>PRIMERO. Competencia</w:t>
            </w:r>
            <w:r w:rsidR="00EA3B0E">
              <w:rPr>
                <w:noProof/>
                <w:webHidden/>
              </w:rPr>
              <w:tab/>
            </w:r>
            <w:r w:rsidR="00EA3B0E">
              <w:rPr>
                <w:noProof/>
                <w:webHidden/>
              </w:rPr>
              <w:fldChar w:fldCharType="begin"/>
            </w:r>
            <w:r w:rsidR="00EA3B0E">
              <w:rPr>
                <w:noProof/>
                <w:webHidden/>
              </w:rPr>
              <w:instrText xml:space="preserve"> PAGEREF _Toc213948285 \h </w:instrText>
            </w:r>
            <w:r w:rsidR="00EA3B0E">
              <w:rPr>
                <w:noProof/>
                <w:webHidden/>
              </w:rPr>
            </w:r>
            <w:r w:rsidR="00EA3B0E">
              <w:rPr>
                <w:noProof/>
                <w:webHidden/>
              </w:rPr>
              <w:fldChar w:fldCharType="separate"/>
            </w:r>
            <w:r w:rsidR="00AD05B4">
              <w:rPr>
                <w:noProof/>
                <w:webHidden/>
              </w:rPr>
              <w:t>6</w:t>
            </w:r>
            <w:r w:rsidR="00EA3B0E">
              <w:rPr>
                <w:noProof/>
                <w:webHidden/>
              </w:rPr>
              <w:fldChar w:fldCharType="end"/>
            </w:r>
          </w:hyperlink>
        </w:p>
        <w:p w14:paraId="549930DA" w14:textId="1FCB436C" w:rsidR="00EA3B0E" w:rsidRDefault="00C75A27">
          <w:pPr>
            <w:pStyle w:val="TDC2"/>
            <w:tabs>
              <w:tab w:val="right" w:leader="dot" w:pos="8921"/>
            </w:tabs>
            <w:rPr>
              <w:rFonts w:asciiTheme="minorHAnsi" w:eastAsiaTheme="minorEastAsia" w:hAnsiTheme="minorHAnsi" w:cstheme="minorBidi"/>
              <w:noProof/>
              <w:color w:val="auto"/>
            </w:rPr>
          </w:pPr>
          <w:hyperlink w:anchor="_Toc213948286" w:history="1">
            <w:r w:rsidR="00EA3B0E" w:rsidRPr="0055376E">
              <w:rPr>
                <w:rStyle w:val="Hipervnculo"/>
                <w:noProof/>
              </w:rPr>
              <w:t>SEGUNDO. Causales de improcedencia y sobreseimiento</w:t>
            </w:r>
            <w:r w:rsidR="00EA3B0E">
              <w:rPr>
                <w:noProof/>
                <w:webHidden/>
              </w:rPr>
              <w:tab/>
            </w:r>
            <w:r w:rsidR="00EA3B0E">
              <w:rPr>
                <w:noProof/>
                <w:webHidden/>
              </w:rPr>
              <w:fldChar w:fldCharType="begin"/>
            </w:r>
            <w:r w:rsidR="00EA3B0E">
              <w:rPr>
                <w:noProof/>
                <w:webHidden/>
              </w:rPr>
              <w:instrText xml:space="preserve"> PAGEREF _Toc213948286 \h </w:instrText>
            </w:r>
            <w:r w:rsidR="00EA3B0E">
              <w:rPr>
                <w:noProof/>
                <w:webHidden/>
              </w:rPr>
            </w:r>
            <w:r w:rsidR="00EA3B0E">
              <w:rPr>
                <w:noProof/>
                <w:webHidden/>
              </w:rPr>
              <w:fldChar w:fldCharType="separate"/>
            </w:r>
            <w:r w:rsidR="00AD05B4">
              <w:rPr>
                <w:noProof/>
                <w:webHidden/>
              </w:rPr>
              <w:t>6</w:t>
            </w:r>
            <w:r w:rsidR="00EA3B0E">
              <w:rPr>
                <w:noProof/>
                <w:webHidden/>
              </w:rPr>
              <w:fldChar w:fldCharType="end"/>
            </w:r>
          </w:hyperlink>
        </w:p>
        <w:p w14:paraId="13F3FDCE" w14:textId="426BEAD9" w:rsidR="00EA3B0E" w:rsidRDefault="00C75A27">
          <w:pPr>
            <w:pStyle w:val="TDC2"/>
            <w:tabs>
              <w:tab w:val="right" w:leader="dot" w:pos="8921"/>
            </w:tabs>
            <w:rPr>
              <w:rFonts w:asciiTheme="minorHAnsi" w:eastAsiaTheme="minorEastAsia" w:hAnsiTheme="minorHAnsi" w:cstheme="minorBidi"/>
              <w:noProof/>
              <w:color w:val="auto"/>
            </w:rPr>
          </w:pPr>
          <w:hyperlink w:anchor="_Toc213948287" w:history="1">
            <w:r w:rsidR="00EA3B0E" w:rsidRPr="0055376E">
              <w:rPr>
                <w:rStyle w:val="Hipervnculo"/>
                <w:noProof/>
              </w:rPr>
              <w:t>TERCERO. Determinación de la Controversia</w:t>
            </w:r>
            <w:r w:rsidR="00EA3B0E">
              <w:rPr>
                <w:noProof/>
                <w:webHidden/>
              </w:rPr>
              <w:tab/>
            </w:r>
            <w:r w:rsidR="00EA3B0E">
              <w:rPr>
                <w:noProof/>
                <w:webHidden/>
              </w:rPr>
              <w:fldChar w:fldCharType="begin"/>
            </w:r>
            <w:r w:rsidR="00EA3B0E">
              <w:rPr>
                <w:noProof/>
                <w:webHidden/>
              </w:rPr>
              <w:instrText xml:space="preserve"> PAGEREF _Toc213948287 \h </w:instrText>
            </w:r>
            <w:r w:rsidR="00EA3B0E">
              <w:rPr>
                <w:noProof/>
                <w:webHidden/>
              </w:rPr>
            </w:r>
            <w:r w:rsidR="00EA3B0E">
              <w:rPr>
                <w:noProof/>
                <w:webHidden/>
              </w:rPr>
              <w:fldChar w:fldCharType="separate"/>
            </w:r>
            <w:r w:rsidR="00AD05B4">
              <w:rPr>
                <w:noProof/>
                <w:webHidden/>
              </w:rPr>
              <w:t>8</w:t>
            </w:r>
            <w:r w:rsidR="00EA3B0E">
              <w:rPr>
                <w:noProof/>
                <w:webHidden/>
              </w:rPr>
              <w:fldChar w:fldCharType="end"/>
            </w:r>
          </w:hyperlink>
        </w:p>
        <w:p w14:paraId="125C7CD0" w14:textId="213D3F33" w:rsidR="00EA3B0E" w:rsidRDefault="00C75A27">
          <w:pPr>
            <w:pStyle w:val="TDC2"/>
            <w:tabs>
              <w:tab w:val="right" w:leader="dot" w:pos="8921"/>
            </w:tabs>
            <w:rPr>
              <w:rFonts w:asciiTheme="minorHAnsi" w:eastAsiaTheme="minorEastAsia" w:hAnsiTheme="minorHAnsi" w:cstheme="minorBidi"/>
              <w:noProof/>
              <w:color w:val="auto"/>
            </w:rPr>
          </w:pPr>
          <w:hyperlink w:anchor="_Toc213948288" w:history="1">
            <w:r w:rsidR="00EA3B0E" w:rsidRPr="0055376E">
              <w:rPr>
                <w:rStyle w:val="Hipervnculo"/>
                <w:noProof/>
              </w:rPr>
              <w:t>CUARTO. Marco normativo aplicable en materia de transparencia y acceso a la información pública</w:t>
            </w:r>
            <w:r w:rsidR="00EA3B0E">
              <w:rPr>
                <w:noProof/>
                <w:webHidden/>
              </w:rPr>
              <w:tab/>
            </w:r>
            <w:r w:rsidR="00EA3B0E">
              <w:rPr>
                <w:noProof/>
                <w:webHidden/>
              </w:rPr>
              <w:fldChar w:fldCharType="begin"/>
            </w:r>
            <w:r w:rsidR="00EA3B0E">
              <w:rPr>
                <w:noProof/>
                <w:webHidden/>
              </w:rPr>
              <w:instrText xml:space="preserve"> PAGEREF _Toc213948288 \h </w:instrText>
            </w:r>
            <w:r w:rsidR="00EA3B0E">
              <w:rPr>
                <w:noProof/>
                <w:webHidden/>
              </w:rPr>
            </w:r>
            <w:r w:rsidR="00EA3B0E">
              <w:rPr>
                <w:noProof/>
                <w:webHidden/>
              </w:rPr>
              <w:fldChar w:fldCharType="separate"/>
            </w:r>
            <w:r w:rsidR="00AD05B4">
              <w:rPr>
                <w:noProof/>
                <w:webHidden/>
              </w:rPr>
              <w:t>9</w:t>
            </w:r>
            <w:r w:rsidR="00EA3B0E">
              <w:rPr>
                <w:noProof/>
                <w:webHidden/>
              </w:rPr>
              <w:fldChar w:fldCharType="end"/>
            </w:r>
          </w:hyperlink>
        </w:p>
        <w:p w14:paraId="012CFB27" w14:textId="4992F618" w:rsidR="00EA3B0E" w:rsidRDefault="00C75A27">
          <w:pPr>
            <w:pStyle w:val="TDC2"/>
            <w:tabs>
              <w:tab w:val="right" w:leader="dot" w:pos="8921"/>
            </w:tabs>
            <w:rPr>
              <w:rFonts w:asciiTheme="minorHAnsi" w:eastAsiaTheme="minorEastAsia" w:hAnsiTheme="minorHAnsi" w:cstheme="minorBidi"/>
              <w:noProof/>
              <w:color w:val="auto"/>
            </w:rPr>
          </w:pPr>
          <w:hyperlink w:anchor="_Toc213948289" w:history="1">
            <w:r w:rsidR="00EA3B0E" w:rsidRPr="0055376E">
              <w:rPr>
                <w:rStyle w:val="Hipervnculo"/>
                <w:noProof/>
              </w:rPr>
              <w:t>QUINTO. Estudio de Fondo</w:t>
            </w:r>
            <w:r w:rsidR="00EA3B0E">
              <w:rPr>
                <w:noProof/>
                <w:webHidden/>
              </w:rPr>
              <w:tab/>
            </w:r>
            <w:r w:rsidR="00EA3B0E">
              <w:rPr>
                <w:noProof/>
                <w:webHidden/>
              </w:rPr>
              <w:fldChar w:fldCharType="begin"/>
            </w:r>
            <w:r w:rsidR="00EA3B0E">
              <w:rPr>
                <w:noProof/>
                <w:webHidden/>
              </w:rPr>
              <w:instrText xml:space="preserve"> PAGEREF _Toc213948289 \h </w:instrText>
            </w:r>
            <w:r w:rsidR="00EA3B0E">
              <w:rPr>
                <w:noProof/>
                <w:webHidden/>
              </w:rPr>
            </w:r>
            <w:r w:rsidR="00EA3B0E">
              <w:rPr>
                <w:noProof/>
                <w:webHidden/>
              </w:rPr>
              <w:fldChar w:fldCharType="separate"/>
            </w:r>
            <w:r w:rsidR="00AD05B4">
              <w:rPr>
                <w:noProof/>
                <w:webHidden/>
              </w:rPr>
              <w:t>10</w:t>
            </w:r>
            <w:r w:rsidR="00EA3B0E">
              <w:rPr>
                <w:noProof/>
                <w:webHidden/>
              </w:rPr>
              <w:fldChar w:fldCharType="end"/>
            </w:r>
          </w:hyperlink>
        </w:p>
        <w:p w14:paraId="35ABB480" w14:textId="2E8D352F" w:rsidR="00EA3B0E" w:rsidRDefault="00C75A27">
          <w:pPr>
            <w:pStyle w:val="TDC2"/>
            <w:tabs>
              <w:tab w:val="right" w:leader="dot" w:pos="8921"/>
            </w:tabs>
            <w:rPr>
              <w:rFonts w:asciiTheme="minorHAnsi" w:eastAsiaTheme="minorEastAsia" w:hAnsiTheme="minorHAnsi" w:cstheme="minorBidi"/>
              <w:noProof/>
              <w:color w:val="auto"/>
            </w:rPr>
          </w:pPr>
          <w:hyperlink w:anchor="_Toc213948290" w:history="1">
            <w:r w:rsidR="00EA3B0E" w:rsidRPr="0055376E">
              <w:rPr>
                <w:rStyle w:val="Hipervnculo"/>
                <w:noProof/>
              </w:rPr>
              <w:t>SEXTO. Decisión</w:t>
            </w:r>
            <w:r w:rsidR="00EA3B0E">
              <w:rPr>
                <w:noProof/>
                <w:webHidden/>
              </w:rPr>
              <w:tab/>
            </w:r>
            <w:r w:rsidR="00EA3B0E">
              <w:rPr>
                <w:noProof/>
                <w:webHidden/>
              </w:rPr>
              <w:fldChar w:fldCharType="begin"/>
            </w:r>
            <w:r w:rsidR="00EA3B0E">
              <w:rPr>
                <w:noProof/>
                <w:webHidden/>
              </w:rPr>
              <w:instrText xml:space="preserve"> PAGEREF _Toc213948290 \h </w:instrText>
            </w:r>
            <w:r w:rsidR="00EA3B0E">
              <w:rPr>
                <w:noProof/>
                <w:webHidden/>
              </w:rPr>
            </w:r>
            <w:r w:rsidR="00EA3B0E">
              <w:rPr>
                <w:noProof/>
                <w:webHidden/>
              </w:rPr>
              <w:fldChar w:fldCharType="separate"/>
            </w:r>
            <w:r w:rsidR="00AD05B4">
              <w:rPr>
                <w:noProof/>
                <w:webHidden/>
              </w:rPr>
              <w:t>23</w:t>
            </w:r>
            <w:r w:rsidR="00EA3B0E">
              <w:rPr>
                <w:noProof/>
                <w:webHidden/>
              </w:rPr>
              <w:fldChar w:fldCharType="end"/>
            </w:r>
          </w:hyperlink>
        </w:p>
        <w:p w14:paraId="17386839" w14:textId="3AFF8DAD" w:rsidR="00EA3B0E" w:rsidRDefault="00C75A27">
          <w:pPr>
            <w:pStyle w:val="TDC1"/>
            <w:tabs>
              <w:tab w:val="right" w:leader="dot" w:pos="8921"/>
            </w:tabs>
            <w:rPr>
              <w:rFonts w:asciiTheme="minorHAnsi" w:eastAsiaTheme="minorEastAsia" w:hAnsiTheme="minorHAnsi" w:cstheme="minorBidi"/>
              <w:noProof/>
              <w:color w:val="auto"/>
            </w:rPr>
          </w:pPr>
          <w:hyperlink w:anchor="_Toc213948291" w:history="1">
            <w:r w:rsidR="00EA3B0E" w:rsidRPr="0055376E">
              <w:rPr>
                <w:rStyle w:val="Hipervnculo"/>
                <w:noProof/>
              </w:rPr>
              <w:t>R E S U E L V E</w:t>
            </w:r>
            <w:r w:rsidR="00EA3B0E">
              <w:rPr>
                <w:noProof/>
                <w:webHidden/>
              </w:rPr>
              <w:tab/>
            </w:r>
            <w:r w:rsidR="00EA3B0E">
              <w:rPr>
                <w:noProof/>
                <w:webHidden/>
              </w:rPr>
              <w:fldChar w:fldCharType="begin"/>
            </w:r>
            <w:r w:rsidR="00EA3B0E">
              <w:rPr>
                <w:noProof/>
                <w:webHidden/>
              </w:rPr>
              <w:instrText xml:space="preserve"> PAGEREF _Toc213948291 \h </w:instrText>
            </w:r>
            <w:r w:rsidR="00EA3B0E">
              <w:rPr>
                <w:noProof/>
                <w:webHidden/>
              </w:rPr>
            </w:r>
            <w:r w:rsidR="00EA3B0E">
              <w:rPr>
                <w:noProof/>
                <w:webHidden/>
              </w:rPr>
              <w:fldChar w:fldCharType="separate"/>
            </w:r>
            <w:r w:rsidR="00AD05B4">
              <w:rPr>
                <w:noProof/>
                <w:webHidden/>
              </w:rPr>
              <w:t>24</w:t>
            </w:r>
            <w:r w:rsidR="00EA3B0E">
              <w:rPr>
                <w:noProof/>
                <w:webHidden/>
              </w:rPr>
              <w:fldChar w:fldCharType="end"/>
            </w:r>
          </w:hyperlink>
        </w:p>
        <w:p w14:paraId="5B9D6C11" w14:textId="3118323F" w:rsidR="00C4052B" w:rsidRPr="00B16FBB" w:rsidRDefault="00C4052B" w:rsidP="001B6133">
          <w:pPr>
            <w:spacing w:after="0" w:line="360" w:lineRule="auto"/>
            <w:rPr>
              <w:color w:val="FF0000"/>
            </w:rPr>
          </w:pPr>
          <w:r w:rsidRPr="00B16FBB">
            <w:rPr>
              <w:b/>
              <w:bCs/>
              <w:color w:val="FF0000"/>
              <w:lang w:val="es-ES"/>
            </w:rPr>
            <w:fldChar w:fldCharType="end"/>
          </w:r>
        </w:p>
      </w:sdtContent>
    </w:sdt>
    <w:p w14:paraId="57481942" w14:textId="77777777" w:rsidR="00C4052B" w:rsidRPr="00B16FBB" w:rsidRDefault="00C4052B" w:rsidP="001B6133">
      <w:pPr>
        <w:tabs>
          <w:tab w:val="left" w:pos="8931"/>
        </w:tabs>
        <w:spacing w:after="0" w:line="360" w:lineRule="auto"/>
        <w:rPr>
          <w:color w:val="FF0000"/>
        </w:rPr>
      </w:pPr>
    </w:p>
    <w:p w14:paraId="411B5995" w14:textId="77777777" w:rsidR="00C4052B" w:rsidRPr="00B16FBB" w:rsidRDefault="00C4052B" w:rsidP="001B6133">
      <w:pPr>
        <w:tabs>
          <w:tab w:val="left" w:pos="8931"/>
        </w:tabs>
        <w:spacing w:after="0" w:line="360" w:lineRule="auto"/>
        <w:rPr>
          <w:color w:val="FF0000"/>
        </w:rPr>
      </w:pPr>
    </w:p>
    <w:p w14:paraId="6784625D" w14:textId="77777777" w:rsidR="00C4052B" w:rsidRPr="00B16FBB" w:rsidRDefault="00C4052B" w:rsidP="001B6133">
      <w:pPr>
        <w:tabs>
          <w:tab w:val="left" w:pos="8931"/>
        </w:tabs>
        <w:spacing w:after="0" w:line="360" w:lineRule="auto"/>
        <w:rPr>
          <w:color w:val="FF0000"/>
        </w:rPr>
      </w:pPr>
    </w:p>
    <w:p w14:paraId="140888DD" w14:textId="77777777" w:rsidR="00C4052B" w:rsidRPr="00B16FBB" w:rsidRDefault="00C4052B" w:rsidP="001B6133">
      <w:pPr>
        <w:tabs>
          <w:tab w:val="left" w:pos="8931"/>
        </w:tabs>
        <w:spacing w:after="0" w:line="360" w:lineRule="auto"/>
        <w:rPr>
          <w:color w:val="FF0000"/>
        </w:rPr>
      </w:pPr>
    </w:p>
    <w:p w14:paraId="46268890" w14:textId="77777777" w:rsidR="00C4052B" w:rsidRPr="00B16FBB" w:rsidRDefault="00C4052B" w:rsidP="001B6133">
      <w:pPr>
        <w:tabs>
          <w:tab w:val="left" w:pos="8931"/>
        </w:tabs>
        <w:spacing w:after="0" w:line="360" w:lineRule="auto"/>
        <w:rPr>
          <w:color w:val="FF0000"/>
        </w:rPr>
      </w:pPr>
    </w:p>
    <w:p w14:paraId="147CC638" w14:textId="77777777" w:rsidR="00C4052B" w:rsidRPr="00B16FBB" w:rsidRDefault="00C4052B" w:rsidP="001B6133">
      <w:pPr>
        <w:tabs>
          <w:tab w:val="left" w:pos="8931"/>
        </w:tabs>
        <w:spacing w:after="0" w:line="360" w:lineRule="auto"/>
        <w:rPr>
          <w:color w:val="FF0000"/>
        </w:rPr>
      </w:pPr>
    </w:p>
    <w:p w14:paraId="01BB5716" w14:textId="77777777" w:rsidR="00C4052B" w:rsidRPr="00B16FBB" w:rsidRDefault="00C4052B" w:rsidP="001B6133">
      <w:pPr>
        <w:tabs>
          <w:tab w:val="left" w:pos="8931"/>
        </w:tabs>
        <w:spacing w:after="0" w:line="360" w:lineRule="auto"/>
        <w:rPr>
          <w:color w:val="FF0000"/>
        </w:rPr>
      </w:pPr>
    </w:p>
    <w:p w14:paraId="7F38981D" w14:textId="77777777" w:rsidR="00A55E82" w:rsidRPr="00B16FBB" w:rsidRDefault="00A55E82" w:rsidP="001B6133">
      <w:pPr>
        <w:tabs>
          <w:tab w:val="left" w:pos="8931"/>
        </w:tabs>
        <w:spacing w:after="0" w:line="360" w:lineRule="auto"/>
        <w:rPr>
          <w:color w:val="FF0000"/>
        </w:rPr>
      </w:pPr>
    </w:p>
    <w:p w14:paraId="7BA55BC0" w14:textId="77777777" w:rsidR="002F429F" w:rsidRPr="00B16FBB" w:rsidRDefault="002F429F" w:rsidP="001B6133">
      <w:pPr>
        <w:tabs>
          <w:tab w:val="left" w:pos="8931"/>
        </w:tabs>
        <w:spacing w:after="0" w:line="360" w:lineRule="auto"/>
        <w:rPr>
          <w:color w:val="FF0000"/>
        </w:rPr>
      </w:pPr>
    </w:p>
    <w:p w14:paraId="3FB7EB5E" w14:textId="4872BD3B" w:rsidR="005C690F" w:rsidRPr="00B16FBB" w:rsidRDefault="007D6307" w:rsidP="001B6133">
      <w:pPr>
        <w:tabs>
          <w:tab w:val="left" w:pos="8931"/>
        </w:tabs>
        <w:spacing w:after="0" w:line="360" w:lineRule="auto"/>
        <w:rPr>
          <w:color w:val="auto"/>
        </w:rPr>
      </w:pPr>
      <w:r w:rsidRPr="00B16FBB">
        <w:rPr>
          <w:color w:val="auto"/>
        </w:rPr>
        <w:lastRenderedPageBreak/>
        <w:t xml:space="preserve">Resolución del Pleno del Instituto de Transparencia, Acceso a la Información Pública y Protección de Datos Personales del Estado de México y Municipios, con domicilio en Metepec, Estado de México, de </w:t>
      </w:r>
      <w:r w:rsidR="00EF0C39" w:rsidRPr="00B16FBB">
        <w:rPr>
          <w:color w:val="auto"/>
        </w:rPr>
        <w:t xml:space="preserve">fecha </w:t>
      </w:r>
      <w:r w:rsidR="00EA3B0E">
        <w:rPr>
          <w:color w:val="auto"/>
        </w:rPr>
        <w:t xml:space="preserve">doce de noviembre </w:t>
      </w:r>
      <w:r w:rsidR="00945CB8" w:rsidRPr="00B16FBB">
        <w:rPr>
          <w:color w:val="auto"/>
        </w:rPr>
        <w:t>de dos mil veintic</w:t>
      </w:r>
      <w:r w:rsidR="00C11A18" w:rsidRPr="00B16FBB">
        <w:rPr>
          <w:color w:val="auto"/>
        </w:rPr>
        <w:t>inco</w:t>
      </w:r>
      <w:r w:rsidRPr="00B16FBB">
        <w:rPr>
          <w:color w:val="auto"/>
        </w:rPr>
        <w:t xml:space="preserve">. </w:t>
      </w:r>
    </w:p>
    <w:p w14:paraId="0DCD3B82" w14:textId="77777777" w:rsidR="005C690F" w:rsidRPr="00B16FBB" w:rsidRDefault="005C690F" w:rsidP="001B6133">
      <w:pPr>
        <w:spacing w:after="0" w:line="360" w:lineRule="auto"/>
        <w:rPr>
          <w:b/>
          <w:color w:val="FF0000"/>
        </w:rPr>
      </w:pPr>
    </w:p>
    <w:p w14:paraId="1570B336" w14:textId="463118CE" w:rsidR="005C690F" w:rsidRPr="00B16FBB" w:rsidRDefault="007D6307" w:rsidP="001B6133">
      <w:pPr>
        <w:spacing w:after="0" w:line="360" w:lineRule="auto"/>
        <w:rPr>
          <w:color w:val="auto"/>
        </w:rPr>
      </w:pPr>
      <w:r w:rsidRPr="00B16FBB">
        <w:rPr>
          <w:b/>
          <w:color w:val="auto"/>
        </w:rPr>
        <w:t xml:space="preserve">VISTO </w:t>
      </w:r>
      <w:r w:rsidRPr="00B16FBB">
        <w:rPr>
          <w:color w:val="auto"/>
        </w:rPr>
        <w:t xml:space="preserve">el expediente electrónico conformado con motivo del Recurso de Revisión </w:t>
      </w:r>
      <w:r w:rsidR="00B16FBB" w:rsidRPr="00446403">
        <w:rPr>
          <w:b/>
          <w:bCs/>
          <w:color w:val="auto"/>
        </w:rPr>
        <w:t>0</w:t>
      </w:r>
      <w:r w:rsidR="00364CCB" w:rsidRPr="00446403">
        <w:rPr>
          <w:b/>
          <w:bCs/>
          <w:color w:val="auto"/>
        </w:rPr>
        <w:t>7976</w:t>
      </w:r>
      <w:r w:rsidR="00B16FBB" w:rsidRPr="00446403">
        <w:rPr>
          <w:b/>
          <w:bCs/>
          <w:color w:val="auto"/>
        </w:rPr>
        <w:t>/INFOEM/IP/RR/2025</w:t>
      </w:r>
      <w:r w:rsidRPr="00B16FBB">
        <w:rPr>
          <w:bCs/>
          <w:color w:val="auto"/>
        </w:rPr>
        <w:t xml:space="preserve">, interpuesto </w:t>
      </w:r>
      <w:r w:rsidR="008415EA" w:rsidRPr="00B16FBB">
        <w:rPr>
          <w:bCs/>
          <w:color w:val="auto"/>
        </w:rPr>
        <w:t>por</w:t>
      </w:r>
      <w:r w:rsidR="00364CCB" w:rsidRPr="00364CCB">
        <w:t xml:space="preserve"> </w:t>
      </w:r>
      <w:bookmarkStart w:id="0" w:name="_GoBack"/>
      <w:bookmarkEnd w:id="0"/>
      <w:r w:rsidR="00A75605" w:rsidRPr="00A75605">
        <w:rPr>
          <w:b/>
          <w:bCs/>
          <w:highlight w:val="black"/>
        </w:rPr>
        <w:t>XXXXXXXXXXXXXX</w:t>
      </w:r>
      <w:r w:rsidR="00364CCB">
        <w:t>, en lo sucesivo</w:t>
      </w:r>
      <w:r w:rsidR="000D392E" w:rsidRPr="00B16FBB">
        <w:rPr>
          <w:bCs/>
          <w:color w:val="auto"/>
        </w:rPr>
        <w:t xml:space="preserve"> </w:t>
      </w:r>
      <w:r w:rsidR="00D906B2" w:rsidRPr="00B16FBB">
        <w:rPr>
          <w:bCs/>
          <w:color w:val="auto"/>
        </w:rPr>
        <w:t>la persona</w:t>
      </w:r>
      <w:r w:rsidRPr="00B16FBB">
        <w:rPr>
          <w:bCs/>
          <w:color w:val="auto"/>
        </w:rPr>
        <w:t xml:space="preserve"> Recurrente o Particular, en contra de la respuesta del Sujeto Obligado</w:t>
      </w:r>
      <w:r w:rsidR="00705FBB" w:rsidRPr="00B16FBB">
        <w:rPr>
          <w:bCs/>
          <w:color w:val="auto"/>
        </w:rPr>
        <w:t xml:space="preserve">, </w:t>
      </w:r>
      <w:r w:rsidR="00364CCB" w:rsidRPr="00446403">
        <w:rPr>
          <w:b/>
          <w:color w:val="auto"/>
        </w:rPr>
        <w:t>Sistema Municipal para el Desarrollo Integral de la Familia de Morelos</w:t>
      </w:r>
      <w:r w:rsidR="00EF0C39" w:rsidRPr="00446403">
        <w:rPr>
          <w:b/>
          <w:color w:val="auto"/>
        </w:rPr>
        <w:t>,</w:t>
      </w:r>
      <w:r w:rsidRPr="00B16FBB">
        <w:rPr>
          <w:bCs/>
          <w:color w:val="auto"/>
        </w:rPr>
        <w:t xml:space="preserve"> </w:t>
      </w:r>
      <w:r w:rsidRPr="00B16FBB">
        <w:rPr>
          <w:color w:val="auto"/>
        </w:rPr>
        <w:t>a la solicitud de acceso a la información pública</w:t>
      </w:r>
      <w:r w:rsidR="00800641" w:rsidRPr="00B16FBB">
        <w:rPr>
          <w:color w:val="auto"/>
        </w:rPr>
        <w:t xml:space="preserve"> </w:t>
      </w:r>
      <w:r w:rsidR="00364CCB">
        <w:rPr>
          <w:color w:val="auto"/>
        </w:rPr>
        <w:t>00010/DIFMORELOS/IP/2025</w:t>
      </w:r>
      <w:r w:rsidRPr="00B16FBB">
        <w:rPr>
          <w:color w:val="auto"/>
        </w:rPr>
        <w:t>, se emite la presente Resolución, con base en los Antecedentes y Considerandos que se exponen a continuación:</w:t>
      </w:r>
    </w:p>
    <w:p w14:paraId="1F97CEF3" w14:textId="77777777" w:rsidR="005C690F" w:rsidRPr="00B16FBB" w:rsidRDefault="005C690F" w:rsidP="001B6133">
      <w:pPr>
        <w:spacing w:after="0" w:line="360" w:lineRule="auto"/>
        <w:rPr>
          <w:b/>
          <w:color w:val="auto"/>
        </w:rPr>
      </w:pPr>
    </w:p>
    <w:p w14:paraId="1DEAF9D3" w14:textId="24D35555" w:rsidR="005C690F" w:rsidRPr="00B16FBB" w:rsidRDefault="00CD6238" w:rsidP="001B6133">
      <w:pPr>
        <w:pStyle w:val="Ttulo1"/>
        <w:spacing w:before="0" w:after="0" w:line="360" w:lineRule="auto"/>
        <w:jc w:val="center"/>
        <w:rPr>
          <w:color w:val="auto"/>
          <w:sz w:val="22"/>
          <w:szCs w:val="22"/>
        </w:rPr>
      </w:pPr>
      <w:bookmarkStart w:id="1" w:name="_Toc213948279"/>
      <w:r w:rsidRPr="00B16FBB">
        <w:rPr>
          <w:color w:val="auto"/>
          <w:sz w:val="22"/>
          <w:szCs w:val="22"/>
        </w:rPr>
        <w:t>A N T E C E D E N T E S</w:t>
      </w:r>
      <w:bookmarkEnd w:id="1"/>
    </w:p>
    <w:p w14:paraId="5A7EDA4F" w14:textId="77777777" w:rsidR="005C690F" w:rsidRPr="00B16FBB" w:rsidRDefault="005C690F" w:rsidP="001B6133">
      <w:pPr>
        <w:spacing w:after="0" w:line="360" w:lineRule="auto"/>
        <w:jc w:val="center"/>
        <w:rPr>
          <w:b/>
          <w:color w:val="FF0000"/>
        </w:rPr>
      </w:pPr>
    </w:p>
    <w:p w14:paraId="4930DAB9" w14:textId="701611A7" w:rsidR="00E22EA8" w:rsidRPr="00B16FBB" w:rsidRDefault="009215C2" w:rsidP="001B6133">
      <w:pPr>
        <w:pStyle w:val="Ttulo2"/>
        <w:spacing w:before="0" w:after="0" w:line="360" w:lineRule="auto"/>
        <w:rPr>
          <w:color w:val="auto"/>
          <w:sz w:val="22"/>
          <w:szCs w:val="22"/>
          <w:lang w:eastAsia="es-ES"/>
        </w:rPr>
      </w:pPr>
      <w:bookmarkStart w:id="2" w:name="_Toc213948280"/>
      <w:r w:rsidRPr="00B16FBB">
        <w:rPr>
          <w:color w:val="auto"/>
          <w:sz w:val="22"/>
          <w:szCs w:val="22"/>
          <w:lang w:eastAsia="es-ES"/>
        </w:rPr>
        <w:t xml:space="preserve">I. </w:t>
      </w:r>
      <w:r w:rsidR="00E22EA8" w:rsidRPr="00B16FBB">
        <w:rPr>
          <w:color w:val="auto"/>
          <w:sz w:val="22"/>
          <w:szCs w:val="22"/>
          <w:lang w:eastAsia="es-ES"/>
        </w:rPr>
        <w:t>Presentación de la solicitud de información</w:t>
      </w:r>
      <w:bookmarkEnd w:id="2"/>
    </w:p>
    <w:p w14:paraId="63A20E25" w14:textId="77777777" w:rsidR="009215C2" w:rsidRPr="00B16FBB" w:rsidRDefault="009215C2" w:rsidP="001B6133">
      <w:pPr>
        <w:tabs>
          <w:tab w:val="left" w:pos="567"/>
        </w:tabs>
        <w:spacing w:after="0" w:line="360" w:lineRule="auto"/>
        <w:rPr>
          <w:rFonts w:eastAsia="Times New Roman" w:cs="Tahoma"/>
          <w:color w:val="auto"/>
          <w:lang w:eastAsia="es-ES"/>
        </w:rPr>
      </w:pPr>
    </w:p>
    <w:p w14:paraId="301B8A4E" w14:textId="32BE66FF" w:rsidR="00E22EA8" w:rsidRPr="00B16FBB" w:rsidRDefault="00D906B2" w:rsidP="001B6133">
      <w:pPr>
        <w:spacing w:after="0" w:line="360" w:lineRule="auto"/>
        <w:rPr>
          <w:rFonts w:eastAsia="Times New Roman" w:cs="Tahoma"/>
          <w:color w:val="auto"/>
          <w:lang w:eastAsia="es-ES"/>
        </w:rPr>
      </w:pPr>
      <w:r w:rsidRPr="00B16FBB">
        <w:rPr>
          <w:rFonts w:eastAsia="Times New Roman" w:cs="Tahoma"/>
          <w:color w:val="auto"/>
          <w:lang w:eastAsia="es-ES"/>
        </w:rPr>
        <w:t>El</w:t>
      </w:r>
      <w:r w:rsidR="00D52EC1" w:rsidRPr="00B16FBB">
        <w:rPr>
          <w:rFonts w:eastAsia="Times New Roman" w:cs="Tahoma"/>
          <w:color w:val="auto"/>
          <w:lang w:eastAsia="es-ES"/>
        </w:rPr>
        <w:t xml:space="preserve"> </w:t>
      </w:r>
      <w:r w:rsidR="00364CCB">
        <w:rPr>
          <w:rFonts w:eastAsia="Times New Roman" w:cs="Tahoma"/>
          <w:color w:val="auto"/>
          <w:lang w:eastAsia="es-ES"/>
        </w:rPr>
        <w:t>doce de junio</w:t>
      </w:r>
      <w:r w:rsidR="00B16FBB" w:rsidRPr="00B16FBB">
        <w:rPr>
          <w:rFonts w:eastAsia="Times New Roman" w:cs="Tahoma"/>
          <w:color w:val="auto"/>
          <w:lang w:eastAsia="es-ES"/>
        </w:rPr>
        <w:t xml:space="preserve"> de dos </w:t>
      </w:r>
      <w:r w:rsidR="008E0DC4" w:rsidRPr="00B16FBB">
        <w:rPr>
          <w:rFonts w:eastAsia="Times New Roman" w:cs="Tahoma"/>
          <w:color w:val="auto"/>
          <w:lang w:eastAsia="es-ES"/>
        </w:rPr>
        <w:t>mil veinticinco</w:t>
      </w:r>
      <w:r w:rsidR="00BF362A" w:rsidRPr="00B16FBB">
        <w:rPr>
          <w:rFonts w:eastAsia="Times New Roman" w:cs="Tahoma"/>
          <w:color w:val="auto"/>
          <w:lang w:eastAsia="es-ES"/>
        </w:rPr>
        <w:t xml:space="preserve">, </w:t>
      </w:r>
      <w:r w:rsidR="00364CCB">
        <w:rPr>
          <w:rFonts w:eastAsia="Times New Roman" w:cs="Tahoma"/>
          <w:color w:val="auto"/>
          <w:lang w:eastAsia="es-ES"/>
        </w:rPr>
        <w:t xml:space="preserve">la persona </w:t>
      </w:r>
      <w:r w:rsidR="00E22EA8" w:rsidRPr="00B16FBB">
        <w:rPr>
          <w:rFonts w:eastAsia="Times New Roman" w:cs="Tahoma"/>
          <w:color w:val="auto"/>
          <w:lang w:eastAsia="es-ES"/>
        </w:rPr>
        <w:t>Particular presentó una solicitud de</w:t>
      </w:r>
      <w:r w:rsidR="00606553" w:rsidRPr="00B16FBB">
        <w:rPr>
          <w:rFonts w:eastAsia="Times New Roman" w:cs="Tahoma"/>
          <w:color w:val="auto"/>
          <w:lang w:eastAsia="es-ES"/>
        </w:rPr>
        <w:t xml:space="preserve"> acceso a la información pública</w:t>
      </w:r>
      <w:r w:rsidR="00E22EA8" w:rsidRPr="00B16FBB">
        <w:rPr>
          <w:rFonts w:eastAsia="Times New Roman" w:cs="Tahoma"/>
          <w:color w:val="auto"/>
          <w:lang w:eastAsia="es-ES"/>
        </w:rPr>
        <w:t>, a través del Sistema de Acceso a la Información Mexiquense (SAIMEX), ante</w:t>
      </w:r>
      <w:r w:rsidR="000B3C56" w:rsidRPr="00B16FBB">
        <w:rPr>
          <w:rFonts w:eastAsia="Times New Roman" w:cs="Tahoma"/>
          <w:color w:val="auto"/>
          <w:lang w:eastAsia="es-ES"/>
        </w:rPr>
        <w:t xml:space="preserve"> </w:t>
      </w:r>
      <w:r w:rsidR="00DC175C" w:rsidRPr="00B16FBB">
        <w:rPr>
          <w:rFonts w:eastAsia="Times New Roman" w:cs="Tahoma"/>
          <w:color w:val="auto"/>
          <w:lang w:eastAsia="es-ES"/>
        </w:rPr>
        <w:t>el</w:t>
      </w:r>
      <w:r w:rsidR="00DC175C" w:rsidRPr="00B16FBB">
        <w:rPr>
          <w:color w:val="auto"/>
        </w:rPr>
        <w:t xml:space="preserve"> </w:t>
      </w:r>
      <w:r w:rsidR="00364CCB">
        <w:rPr>
          <w:color w:val="auto"/>
        </w:rPr>
        <w:t>Sistema Municipal para el Desarrollo Integral de la Familia de Morelos</w:t>
      </w:r>
      <w:r w:rsidR="008E0DC4" w:rsidRPr="00B16FBB">
        <w:rPr>
          <w:rFonts w:eastAsia="Calibri" w:cs="Times New Roman"/>
          <w:color w:val="auto"/>
        </w:rPr>
        <w:t>,</w:t>
      </w:r>
      <w:r w:rsidR="00DC175C" w:rsidRPr="00B16FBB">
        <w:rPr>
          <w:rFonts w:eastAsia="Calibri" w:cs="Tahoma"/>
          <w:color w:val="auto"/>
        </w:rPr>
        <w:t xml:space="preserve"> </w:t>
      </w:r>
      <w:r w:rsidR="00E22EA8" w:rsidRPr="00B16FBB">
        <w:rPr>
          <w:rFonts w:eastAsia="Calibri" w:cs="Tahoma"/>
          <w:color w:val="auto"/>
        </w:rPr>
        <w:t xml:space="preserve">en los siguientes términos: </w:t>
      </w:r>
    </w:p>
    <w:p w14:paraId="2B959865" w14:textId="77777777" w:rsidR="00E22EA8" w:rsidRPr="00B16FBB" w:rsidRDefault="00E22EA8" w:rsidP="001B6133">
      <w:pPr>
        <w:spacing w:after="0" w:line="360" w:lineRule="auto"/>
        <w:rPr>
          <w:rFonts w:eastAsia="Calibri" w:cs="Tahoma"/>
          <w:color w:val="FF0000"/>
        </w:rPr>
      </w:pPr>
    </w:p>
    <w:p w14:paraId="3FBC9D66" w14:textId="0F26255C" w:rsidR="00A41789" w:rsidRPr="00B16FBB" w:rsidRDefault="00125F26" w:rsidP="001B6133">
      <w:pPr>
        <w:tabs>
          <w:tab w:val="left" w:pos="4667"/>
        </w:tabs>
        <w:spacing w:after="0" w:line="360" w:lineRule="auto"/>
        <w:ind w:left="567" w:right="567"/>
        <w:rPr>
          <w:rFonts w:eastAsia="Times New Roman" w:cs="Tahoma"/>
          <w:b/>
          <w:i/>
          <w:iCs/>
          <w:color w:val="auto"/>
          <w:sz w:val="20"/>
          <w:szCs w:val="20"/>
          <w:lang w:eastAsia="es-ES"/>
        </w:rPr>
      </w:pPr>
      <w:r w:rsidRPr="00B16FBB">
        <w:rPr>
          <w:rFonts w:eastAsia="Times New Roman" w:cs="Tahoma"/>
          <w:b/>
          <w:i/>
          <w:iCs/>
          <w:color w:val="auto"/>
          <w:sz w:val="20"/>
          <w:szCs w:val="20"/>
          <w:lang w:eastAsia="es-ES"/>
        </w:rPr>
        <w:t>“</w:t>
      </w:r>
      <w:r w:rsidR="00E22EA8" w:rsidRPr="00B16FBB">
        <w:rPr>
          <w:rFonts w:eastAsia="Times New Roman" w:cs="Tahoma"/>
          <w:b/>
          <w:i/>
          <w:iCs/>
          <w:color w:val="auto"/>
          <w:sz w:val="20"/>
          <w:szCs w:val="20"/>
          <w:lang w:eastAsia="es-ES"/>
        </w:rPr>
        <w:t>DESCRIPCIÓN CLARA Y PRECI</w:t>
      </w:r>
      <w:r w:rsidR="0084143D" w:rsidRPr="00B16FBB">
        <w:rPr>
          <w:rFonts w:eastAsia="Times New Roman" w:cs="Tahoma"/>
          <w:b/>
          <w:i/>
          <w:iCs/>
          <w:color w:val="auto"/>
          <w:sz w:val="20"/>
          <w:szCs w:val="20"/>
          <w:lang w:eastAsia="es-ES"/>
        </w:rPr>
        <w:t xml:space="preserve">SA DE LA </w:t>
      </w:r>
      <w:r w:rsidR="00A41789" w:rsidRPr="00B16FBB">
        <w:rPr>
          <w:rFonts w:eastAsia="Times New Roman" w:cs="Tahoma"/>
          <w:b/>
          <w:i/>
          <w:iCs/>
          <w:color w:val="auto"/>
          <w:sz w:val="20"/>
          <w:szCs w:val="20"/>
          <w:lang w:eastAsia="es-ES"/>
        </w:rPr>
        <w:t>INFORMACIÓN SOLICITADA</w:t>
      </w:r>
    </w:p>
    <w:p w14:paraId="2C6BC213" w14:textId="21BE34EA" w:rsidR="00E22EA8" w:rsidRPr="00B16FBB" w:rsidRDefault="00364CCB" w:rsidP="001B6133">
      <w:pPr>
        <w:tabs>
          <w:tab w:val="left" w:pos="4667"/>
        </w:tabs>
        <w:spacing w:after="0" w:line="360" w:lineRule="auto"/>
        <w:ind w:left="567" w:right="567"/>
        <w:rPr>
          <w:i/>
          <w:iCs/>
          <w:color w:val="auto"/>
          <w:sz w:val="20"/>
          <w:szCs w:val="20"/>
        </w:rPr>
      </w:pPr>
      <w:r w:rsidRPr="00364CCB">
        <w:rPr>
          <w:i/>
          <w:iCs/>
          <w:color w:val="auto"/>
          <w:sz w:val="20"/>
          <w:szCs w:val="20"/>
        </w:rPr>
        <w:t>SOLICITO COPIA POR SAIMEX DE LOS ESTADOS DE CUENTA BANCARIOS DE MARZO 2025 CORRESPONDIENTES A TODAS LAS CUENTAS BANCARIAS QUE TIENE EL SISTEMA DIF DE MORELOS</w:t>
      </w:r>
      <w:r w:rsidR="009215C2" w:rsidRPr="00B16FBB">
        <w:rPr>
          <w:i/>
          <w:iCs/>
          <w:color w:val="auto"/>
          <w:sz w:val="20"/>
          <w:szCs w:val="20"/>
        </w:rPr>
        <w:t>”</w:t>
      </w:r>
      <w:r w:rsidR="007F2A05" w:rsidRPr="00B16FBB">
        <w:rPr>
          <w:i/>
          <w:iCs/>
          <w:color w:val="auto"/>
          <w:sz w:val="20"/>
          <w:szCs w:val="20"/>
        </w:rPr>
        <w:t xml:space="preserve"> (Sic.)</w:t>
      </w:r>
      <w:r w:rsidR="00A479FA" w:rsidRPr="00B16FBB">
        <w:rPr>
          <w:i/>
          <w:iCs/>
          <w:color w:val="auto"/>
          <w:sz w:val="20"/>
          <w:szCs w:val="20"/>
        </w:rPr>
        <w:t xml:space="preserve"> </w:t>
      </w:r>
    </w:p>
    <w:p w14:paraId="5E88ED39" w14:textId="77777777" w:rsidR="00BF362A" w:rsidRDefault="00BF362A" w:rsidP="001B6133">
      <w:pPr>
        <w:tabs>
          <w:tab w:val="left" w:pos="4667"/>
        </w:tabs>
        <w:spacing w:after="0" w:line="360" w:lineRule="auto"/>
        <w:ind w:left="567" w:right="567"/>
        <w:rPr>
          <w:rFonts w:eastAsia="Times New Roman" w:cs="Tahoma"/>
          <w:b/>
          <w:bCs/>
          <w:i/>
          <w:iCs/>
          <w:color w:val="FF0000"/>
          <w:sz w:val="20"/>
          <w:lang w:eastAsia="es-ES"/>
        </w:rPr>
      </w:pPr>
    </w:p>
    <w:p w14:paraId="08289E85" w14:textId="77777777" w:rsidR="00364CCB" w:rsidRPr="00B16FBB" w:rsidRDefault="00364CCB" w:rsidP="001B6133">
      <w:pPr>
        <w:tabs>
          <w:tab w:val="left" w:pos="4667"/>
        </w:tabs>
        <w:spacing w:after="0" w:line="360" w:lineRule="auto"/>
        <w:ind w:left="567" w:right="567"/>
        <w:rPr>
          <w:rFonts w:eastAsia="Times New Roman" w:cs="Tahoma"/>
          <w:b/>
          <w:bCs/>
          <w:i/>
          <w:iCs/>
          <w:color w:val="FF0000"/>
          <w:sz w:val="20"/>
          <w:lang w:eastAsia="es-ES"/>
        </w:rPr>
      </w:pPr>
    </w:p>
    <w:p w14:paraId="6C0DE105" w14:textId="3FEE2196" w:rsidR="00E22EA8" w:rsidRPr="00B16FBB" w:rsidRDefault="00125F26" w:rsidP="001B6133">
      <w:pPr>
        <w:tabs>
          <w:tab w:val="left" w:pos="4667"/>
        </w:tabs>
        <w:spacing w:after="0" w:line="360" w:lineRule="auto"/>
        <w:ind w:left="567" w:right="567"/>
        <w:rPr>
          <w:rFonts w:eastAsia="Times New Roman" w:cs="Tahoma"/>
          <w:b/>
          <w:bCs/>
          <w:i/>
          <w:iCs/>
          <w:color w:val="auto"/>
          <w:sz w:val="20"/>
          <w:lang w:eastAsia="es-ES"/>
        </w:rPr>
      </w:pPr>
      <w:r w:rsidRPr="00B16FBB">
        <w:rPr>
          <w:rFonts w:eastAsia="Times New Roman" w:cs="Tahoma"/>
          <w:b/>
          <w:bCs/>
          <w:i/>
          <w:iCs/>
          <w:color w:val="auto"/>
          <w:sz w:val="20"/>
          <w:lang w:eastAsia="es-ES"/>
        </w:rPr>
        <w:t>“</w:t>
      </w:r>
      <w:r w:rsidR="00E22EA8" w:rsidRPr="00B16FBB">
        <w:rPr>
          <w:rFonts w:eastAsia="Times New Roman" w:cs="Tahoma"/>
          <w:b/>
          <w:bCs/>
          <w:i/>
          <w:iCs/>
          <w:color w:val="auto"/>
          <w:sz w:val="20"/>
          <w:lang w:eastAsia="es-ES"/>
        </w:rPr>
        <w:t>MODALIDAD DE ENTREGA</w:t>
      </w:r>
    </w:p>
    <w:p w14:paraId="0ECE13DD" w14:textId="4A758259" w:rsidR="002F5AA8" w:rsidRPr="00B16FBB" w:rsidRDefault="00BB6693" w:rsidP="001B6133">
      <w:pPr>
        <w:spacing w:after="0" w:line="360" w:lineRule="auto"/>
        <w:ind w:left="567" w:right="567"/>
        <w:rPr>
          <w:rFonts w:eastAsia="Times New Roman" w:cs="Arial"/>
          <w:bCs/>
          <w:i/>
          <w:iCs/>
          <w:color w:val="auto"/>
          <w:sz w:val="20"/>
          <w:lang w:eastAsia="es-ES"/>
        </w:rPr>
      </w:pPr>
      <w:r w:rsidRPr="00B16FBB">
        <w:rPr>
          <w:rFonts w:eastAsia="Times New Roman" w:cs="Arial"/>
          <w:bCs/>
          <w:i/>
          <w:iCs/>
          <w:color w:val="auto"/>
          <w:sz w:val="20"/>
          <w:lang w:eastAsia="es-ES"/>
        </w:rPr>
        <w:t>A través del SAIMEX</w:t>
      </w:r>
      <w:r w:rsidR="00E22EA8" w:rsidRPr="00B16FBB">
        <w:rPr>
          <w:rFonts w:eastAsia="Times New Roman" w:cs="Arial"/>
          <w:bCs/>
          <w:i/>
          <w:iCs/>
          <w:color w:val="auto"/>
          <w:sz w:val="20"/>
          <w:lang w:eastAsia="es-ES"/>
        </w:rPr>
        <w:t>”</w:t>
      </w:r>
    </w:p>
    <w:p w14:paraId="10BBB769" w14:textId="6F79E486" w:rsidR="00B16FBB" w:rsidRDefault="00B16FBB" w:rsidP="001B6133">
      <w:pPr>
        <w:spacing w:after="0" w:line="360" w:lineRule="auto"/>
        <w:ind w:left="567" w:right="567"/>
        <w:rPr>
          <w:rFonts w:eastAsia="Times New Roman" w:cs="Arial"/>
          <w:bCs/>
          <w:i/>
          <w:iCs/>
          <w:color w:val="FF0000"/>
          <w:sz w:val="20"/>
          <w:lang w:eastAsia="es-ES"/>
        </w:rPr>
      </w:pPr>
    </w:p>
    <w:p w14:paraId="0A604AAC" w14:textId="130E4423" w:rsidR="00E22EA8" w:rsidRPr="00B16FBB" w:rsidRDefault="00B16FBB" w:rsidP="001B6133">
      <w:pPr>
        <w:pStyle w:val="Ttulo2"/>
        <w:spacing w:before="0" w:after="0" w:line="360" w:lineRule="auto"/>
        <w:rPr>
          <w:color w:val="auto"/>
          <w:sz w:val="22"/>
          <w:szCs w:val="22"/>
        </w:rPr>
      </w:pPr>
      <w:bookmarkStart w:id="3" w:name="_Toc213948281"/>
      <w:r w:rsidRPr="00B16FBB">
        <w:rPr>
          <w:color w:val="auto"/>
          <w:sz w:val="22"/>
          <w:szCs w:val="22"/>
        </w:rPr>
        <w:t xml:space="preserve">II. </w:t>
      </w:r>
      <w:r w:rsidR="00E22EA8" w:rsidRPr="00B16FBB">
        <w:rPr>
          <w:color w:val="auto"/>
          <w:sz w:val="22"/>
          <w:szCs w:val="22"/>
        </w:rPr>
        <w:t>Respuesta del Sujeto Obligado</w:t>
      </w:r>
      <w:bookmarkEnd w:id="3"/>
    </w:p>
    <w:p w14:paraId="10CE94A9" w14:textId="77777777" w:rsidR="00C06004" w:rsidRPr="00B16FBB" w:rsidRDefault="00C06004" w:rsidP="001B6133">
      <w:pPr>
        <w:autoSpaceDE w:val="0"/>
        <w:autoSpaceDN w:val="0"/>
        <w:adjustRightInd w:val="0"/>
        <w:spacing w:after="0" w:line="360" w:lineRule="auto"/>
        <w:rPr>
          <w:b/>
          <w:bCs/>
          <w:color w:val="FF0000"/>
        </w:rPr>
      </w:pPr>
    </w:p>
    <w:p w14:paraId="404D540C" w14:textId="0C33844D" w:rsidR="002F429F" w:rsidRDefault="00011477" w:rsidP="001B6133">
      <w:pPr>
        <w:spacing w:after="0" w:line="360" w:lineRule="auto"/>
        <w:rPr>
          <w:color w:val="auto"/>
        </w:rPr>
      </w:pPr>
      <w:r w:rsidRPr="001A5C12">
        <w:rPr>
          <w:color w:val="auto"/>
        </w:rPr>
        <w:t xml:space="preserve">El </w:t>
      </w:r>
      <w:r w:rsidR="00364CCB">
        <w:rPr>
          <w:color w:val="auto"/>
        </w:rPr>
        <w:t>primero de julio</w:t>
      </w:r>
      <w:r w:rsidR="00CD4DE8" w:rsidRPr="001A5C12">
        <w:rPr>
          <w:color w:val="auto"/>
        </w:rPr>
        <w:t xml:space="preserve"> de dos mil veinticinco</w:t>
      </w:r>
      <w:r w:rsidR="00E22EA8" w:rsidRPr="001A5C12">
        <w:rPr>
          <w:color w:val="auto"/>
        </w:rPr>
        <w:t>, el Sujeto Obligado notificó, a través del Sistema de Acceso a la Información Mexiquense (SAIMEX), la respuesta a la solicitud de acceso a la información públ</w:t>
      </w:r>
      <w:r w:rsidR="006F4C3A" w:rsidRPr="001A5C12">
        <w:rPr>
          <w:color w:val="auto"/>
        </w:rPr>
        <w:t xml:space="preserve">ica, </w:t>
      </w:r>
      <w:r w:rsidR="00364CCB">
        <w:rPr>
          <w:color w:val="auto"/>
        </w:rPr>
        <w:t>por medio del oficio número</w:t>
      </w:r>
      <w:r w:rsidR="00364CCB" w:rsidRPr="00364CCB">
        <w:rPr>
          <w:color w:val="auto"/>
        </w:rPr>
        <w:t xml:space="preserve"> </w:t>
      </w:r>
      <w:r w:rsidR="00364CCB" w:rsidRPr="00364CCB">
        <w:rPr>
          <w:i/>
          <w:iCs/>
          <w:color w:val="auto"/>
        </w:rPr>
        <w:t>SMDIF/0028/06/2025</w:t>
      </w:r>
      <w:r w:rsidR="00364CCB">
        <w:rPr>
          <w:color w:val="auto"/>
        </w:rPr>
        <w:t>, del veintitrés de junio de dicho año, suscrito por el Tesorero y dirigido al Titular de la Unidad de Transparencia y UIPPE, por medio del cual informa lo siguiente:</w:t>
      </w:r>
    </w:p>
    <w:p w14:paraId="45266AA3" w14:textId="77777777" w:rsidR="001A5C12" w:rsidRPr="001A5C12" w:rsidRDefault="001A5C12" w:rsidP="001B6133">
      <w:pPr>
        <w:spacing w:after="0" w:line="360" w:lineRule="auto"/>
        <w:rPr>
          <w:color w:val="auto"/>
        </w:rPr>
      </w:pPr>
    </w:p>
    <w:p w14:paraId="05C44995" w14:textId="012C8519" w:rsidR="00364CCB" w:rsidRDefault="001A5C12" w:rsidP="001A5C12">
      <w:pPr>
        <w:spacing w:after="0" w:line="360" w:lineRule="auto"/>
        <w:ind w:left="567" w:right="567"/>
        <w:rPr>
          <w:i/>
          <w:iCs/>
          <w:color w:val="auto"/>
          <w:sz w:val="20"/>
          <w:szCs w:val="20"/>
        </w:rPr>
      </w:pPr>
      <w:r w:rsidRPr="001A5C12">
        <w:rPr>
          <w:i/>
          <w:iCs/>
          <w:color w:val="auto"/>
          <w:sz w:val="20"/>
          <w:szCs w:val="20"/>
        </w:rPr>
        <w:t xml:space="preserve">“…En atención </w:t>
      </w:r>
      <w:r w:rsidR="00364CCB">
        <w:rPr>
          <w:i/>
          <w:iCs/>
          <w:color w:val="auto"/>
          <w:sz w:val="20"/>
          <w:szCs w:val="20"/>
        </w:rPr>
        <w:t xml:space="preserve">a su oficio </w:t>
      </w:r>
      <w:r w:rsidR="00364CCB" w:rsidRPr="00364CCB">
        <w:rPr>
          <w:i/>
          <w:iCs/>
          <w:color w:val="auto"/>
          <w:sz w:val="20"/>
          <w:szCs w:val="20"/>
        </w:rPr>
        <w:t>SMDIF/</w:t>
      </w:r>
      <w:r w:rsidR="00364CCB">
        <w:rPr>
          <w:i/>
          <w:iCs/>
          <w:color w:val="auto"/>
          <w:sz w:val="20"/>
          <w:szCs w:val="20"/>
        </w:rPr>
        <w:t>UT/MOR/</w:t>
      </w:r>
      <w:r w:rsidR="00364CCB" w:rsidRPr="00364CCB">
        <w:rPr>
          <w:i/>
          <w:iCs/>
          <w:color w:val="auto"/>
          <w:sz w:val="20"/>
          <w:szCs w:val="20"/>
        </w:rPr>
        <w:t>00</w:t>
      </w:r>
      <w:r w:rsidR="00364CCB">
        <w:rPr>
          <w:i/>
          <w:iCs/>
          <w:color w:val="auto"/>
          <w:sz w:val="20"/>
          <w:szCs w:val="20"/>
        </w:rPr>
        <w:t>10</w:t>
      </w:r>
      <w:r w:rsidR="00364CCB" w:rsidRPr="00364CCB">
        <w:rPr>
          <w:i/>
          <w:iCs/>
          <w:color w:val="auto"/>
          <w:sz w:val="20"/>
          <w:szCs w:val="20"/>
        </w:rPr>
        <w:t>/2025</w:t>
      </w:r>
      <w:r w:rsidR="00364CCB">
        <w:rPr>
          <w:i/>
          <w:iCs/>
          <w:color w:val="auto"/>
          <w:sz w:val="20"/>
          <w:szCs w:val="20"/>
        </w:rPr>
        <w:t xml:space="preserve"> y la solicitud de información número </w:t>
      </w:r>
      <w:r w:rsidR="00364CCB" w:rsidRPr="00364CCB">
        <w:rPr>
          <w:i/>
          <w:iCs/>
          <w:color w:val="auto"/>
          <w:sz w:val="20"/>
          <w:szCs w:val="20"/>
        </w:rPr>
        <w:t>00010/DIFMORELOS/IP/2025</w:t>
      </w:r>
      <w:r w:rsidR="00364CCB">
        <w:rPr>
          <w:i/>
          <w:iCs/>
          <w:color w:val="auto"/>
          <w:sz w:val="20"/>
          <w:szCs w:val="20"/>
        </w:rPr>
        <w:t>; mediante la cual realiza una petición de información a esta dependencia, donde solicita copia de los estados de cuenta bancarios de marzo correspondientes a todas las cuentas bancarias que tiene el sistema DIF de Morelos, me permito informarle que, después de realizar el análisis correspondiente, se ha determinado que la información solicitada tiene el carácter de reservada, conforme a lo establecido en los artículos 125 y 140 de la Ley de Transparencia y Acceso a la Información Pública del Estado de México.</w:t>
      </w:r>
    </w:p>
    <w:p w14:paraId="652909E9" w14:textId="021679BE" w:rsidR="001A5C12" w:rsidRPr="001A5C12" w:rsidRDefault="001A5C12" w:rsidP="001A5C12">
      <w:pPr>
        <w:spacing w:after="0" w:line="360" w:lineRule="auto"/>
        <w:ind w:left="567" w:right="567"/>
        <w:rPr>
          <w:i/>
          <w:iCs/>
          <w:color w:val="auto"/>
          <w:sz w:val="20"/>
          <w:szCs w:val="20"/>
        </w:rPr>
      </w:pPr>
      <w:r w:rsidRPr="001A5C12">
        <w:rPr>
          <w:i/>
          <w:iCs/>
          <w:color w:val="auto"/>
          <w:sz w:val="20"/>
          <w:szCs w:val="20"/>
        </w:rPr>
        <w:t>…”</w:t>
      </w:r>
    </w:p>
    <w:p w14:paraId="5D1EA8AE" w14:textId="77777777" w:rsidR="002F429F" w:rsidRPr="001A5C12" w:rsidRDefault="002F429F" w:rsidP="001B6133">
      <w:pPr>
        <w:spacing w:after="0" w:line="360" w:lineRule="auto"/>
        <w:rPr>
          <w:color w:val="auto"/>
        </w:rPr>
      </w:pPr>
    </w:p>
    <w:p w14:paraId="7E7FBB31" w14:textId="2280B9F0" w:rsidR="00E22EA8" w:rsidRPr="001A5C12" w:rsidRDefault="00E22EA8" w:rsidP="001B6133">
      <w:pPr>
        <w:pStyle w:val="Ttulo2"/>
        <w:spacing w:before="0" w:after="0" w:line="360" w:lineRule="auto"/>
        <w:rPr>
          <w:color w:val="auto"/>
          <w:sz w:val="22"/>
          <w:szCs w:val="22"/>
        </w:rPr>
      </w:pPr>
      <w:bookmarkStart w:id="4" w:name="_Toc213948282"/>
      <w:r w:rsidRPr="001A5C12">
        <w:rPr>
          <w:color w:val="auto"/>
          <w:sz w:val="22"/>
          <w:szCs w:val="22"/>
        </w:rPr>
        <w:t>I</w:t>
      </w:r>
      <w:r w:rsidR="008D675D">
        <w:rPr>
          <w:color w:val="auto"/>
          <w:sz w:val="22"/>
          <w:szCs w:val="22"/>
        </w:rPr>
        <w:t>II</w:t>
      </w:r>
      <w:r w:rsidRPr="001A5C12">
        <w:rPr>
          <w:color w:val="auto"/>
          <w:sz w:val="22"/>
          <w:szCs w:val="22"/>
        </w:rPr>
        <w:t>. Interposición del Recurso de Revisión</w:t>
      </w:r>
      <w:bookmarkEnd w:id="4"/>
    </w:p>
    <w:p w14:paraId="053D45CF" w14:textId="77777777" w:rsidR="00E22EA8" w:rsidRPr="00B16FBB" w:rsidRDefault="00E22EA8" w:rsidP="001B6133">
      <w:pPr>
        <w:spacing w:after="0" w:line="360" w:lineRule="auto"/>
        <w:rPr>
          <w:b/>
          <w:color w:val="FF0000"/>
        </w:rPr>
      </w:pPr>
    </w:p>
    <w:p w14:paraId="355C8CC6" w14:textId="606624C2" w:rsidR="009C5A71" w:rsidRPr="002012D8" w:rsidRDefault="00083169" w:rsidP="001B6133">
      <w:pPr>
        <w:spacing w:after="0" w:line="360" w:lineRule="auto"/>
        <w:rPr>
          <w:bCs/>
          <w:color w:val="auto"/>
        </w:rPr>
      </w:pPr>
      <w:r w:rsidRPr="002012D8">
        <w:rPr>
          <w:bCs/>
          <w:color w:val="auto"/>
        </w:rPr>
        <w:t>El</w:t>
      </w:r>
      <w:r w:rsidR="008E5E71" w:rsidRPr="002012D8">
        <w:rPr>
          <w:bCs/>
          <w:color w:val="auto"/>
        </w:rPr>
        <w:t xml:space="preserve"> </w:t>
      </w:r>
      <w:r w:rsidR="008D675D">
        <w:rPr>
          <w:bCs/>
          <w:color w:val="auto"/>
        </w:rPr>
        <w:t>primero de julio</w:t>
      </w:r>
      <w:r w:rsidR="002012D8" w:rsidRPr="002012D8">
        <w:rPr>
          <w:bCs/>
          <w:color w:val="auto"/>
        </w:rPr>
        <w:t xml:space="preserve"> de dos mil veinticinco, </w:t>
      </w:r>
      <w:r w:rsidR="00E22EA8" w:rsidRPr="002012D8">
        <w:rPr>
          <w:bCs/>
          <w:color w:val="auto"/>
        </w:rPr>
        <w:t xml:space="preserve">se recibió en este Instituto, a través del </w:t>
      </w:r>
      <w:r w:rsidR="00E22EA8" w:rsidRPr="002012D8">
        <w:rPr>
          <w:bCs/>
          <w:color w:val="auto"/>
          <w:lang w:val="es-ES"/>
        </w:rPr>
        <w:t>Sistema de Acceso a la Información Mexiquense (SAIMEX)</w:t>
      </w:r>
      <w:r w:rsidR="00E22EA8" w:rsidRPr="002012D8">
        <w:rPr>
          <w:bCs/>
          <w:color w:val="auto"/>
        </w:rPr>
        <w:t xml:space="preserve">, </w:t>
      </w:r>
      <w:r w:rsidR="009019A8" w:rsidRPr="002012D8">
        <w:rPr>
          <w:bCs/>
          <w:color w:val="auto"/>
        </w:rPr>
        <w:t xml:space="preserve">el </w:t>
      </w:r>
      <w:r w:rsidR="00E22EA8" w:rsidRPr="002012D8">
        <w:rPr>
          <w:bCs/>
          <w:color w:val="auto"/>
        </w:rPr>
        <w:t>Recurso de Revisión interpuesto por la p</w:t>
      </w:r>
      <w:r w:rsidRPr="002012D8">
        <w:rPr>
          <w:bCs/>
          <w:color w:val="auto"/>
        </w:rPr>
        <w:t>ersona</w:t>
      </w:r>
      <w:r w:rsidR="00E22EA8" w:rsidRPr="002012D8">
        <w:rPr>
          <w:bCs/>
          <w:color w:val="auto"/>
        </w:rPr>
        <w:t xml:space="preserve"> Recurrente, en contra de la respuesta por el Sujeto Obligado, a la solicitud de información</w:t>
      </w:r>
      <w:r w:rsidR="00F43789" w:rsidRPr="002012D8">
        <w:rPr>
          <w:rFonts w:eastAsia="Calibri" w:cs="Times New Roman"/>
          <w:color w:val="auto"/>
        </w:rPr>
        <w:t xml:space="preserve">, </w:t>
      </w:r>
      <w:r w:rsidR="00E22EA8" w:rsidRPr="002012D8">
        <w:rPr>
          <w:bCs/>
          <w:color w:val="auto"/>
        </w:rPr>
        <w:t>en los siguientes términos:</w:t>
      </w:r>
      <w:r w:rsidR="00F90E50" w:rsidRPr="002012D8">
        <w:rPr>
          <w:bCs/>
          <w:color w:val="auto"/>
        </w:rPr>
        <w:t xml:space="preserve"> </w:t>
      </w:r>
    </w:p>
    <w:p w14:paraId="499DDBDB" w14:textId="77777777" w:rsidR="008E5E71" w:rsidRPr="00B16FBB" w:rsidRDefault="008E5E71" w:rsidP="001B6133">
      <w:pPr>
        <w:spacing w:after="0" w:line="360" w:lineRule="auto"/>
        <w:ind w:left="567" w:right="567"/>
        <w:rPr>
          <w:b/>
          <w:bCs/>
          <w:i/>
          <w:color w:val="FF0000"/>
          <w:sz w:val="20"/>
          <w:szCs w:val="20"/>
        </w:rPr>
      </w:pPr>
    </w:p>
    <w:p w14:paraId="1B2CCD45" w14:textId="1F34B3A9" w:rsidR="00E22EA8" w:rsidRPr="00E40930" w:rsidRDefault="00E12804" w:rsidP="001B6133">
      <w:pPr>
        <w:spacing w:after="0" w:line="360" w:lineRule="auto"/>
        <w:ind w:left="567" w:right="567"/>
        <w:rPr>
          <w:bCs/>
          <w:i/>
          <w:color w:val="auto"/>
          <w:sz w:val="20"/>
          <w:szCs w:val="20"/>
        </w:rPr>
      </w:pPr>
      <w:r w:rsidRPr="00E40930">
        <w:rPr>
          <w:b/>
          <w:bCs/>
          <w:i/>
          <w:color w:val="auto"/>
          <w:sz w:val="20"/>
          <w:szCs w:val="20"/>
        </w:rPr>
        <w:t>‘’</w:t>
      </w:r>
      <w:r w:rsidR="00E22EA8" w:rsidRPr="00E40930">
        <w:rPr>
          <w:b/>
          <w:bCs/>
          <w:i/>
          <w:color w:val="auto"/>
          <w:sz w:val="20"/>
          <w:szCs w:val="20"/>
        </w:rPr>
        <w:t>ACTO IMPUGNADO</w:t>
      </w:r>
    </w:p>
    <w:p w14:paraId="3B2615CC" w14:textId="14771F01" w:rsidR="00E22EA8" w:rsidRPr="00E40930" w:rsidRDefault="008D675D" w:rsidP="00E95056">
      <w:pPr>
        <w:spacing w:after="0" w:line="360" w:lineRule="auto"/>
        <w:ind w:left="567" w:right="567"/>
        <w:rPr>
          <w:i/>
          <w:iCs/>
          <w:color w:val="auto"/>
          <w:sz w:val="20"/>
          <w:szCs w:val="20"/>
        </w:rPr>
      </w:pPr>
      <w:r w:rsidRPr="008D675D">
        <w:rPr>
          <w:i/>
          <w:iCs/>
          <w:color w:val="auto"/>
          <w:sz w:val="20"/>
          <w:szCs w:val="20"/>
        </w:rPr>
        <w:t>LA NEGATIVA DE LA INFORMACIÓN</w:t>
      </w:r>
      <w:r w:rsidR="00E22EA8" w:rsidRPr="00E40930">
        <w:rPr>
          <w:i/>
          <w:iCs/>
          <w:color w:val="auto"/>
          <w:sz w:val="20"/>
          <w:szCs w:val="20"/>
        </w:rPr>
        <w:t>”</w:t>
      </w:r>
      <w:r w:rsidR="00E95056" w:rsidRPr="00E40930">
        <w:rPr>
          <w:i/>
          <w:iCs/>
          <w:color w:val="auto"/>
          <w:sz w:val="20"/>
          <w:szCs w:val="20"/>
        </w:rPr>
        <w:t xml:space="preserve"> (Sic.)</w:t>
      </w:r>
    </w:p>
    <w:p w14:paraId="27671E8D" w14:textId="77777777" w:rsidR="00E95056" w:rsidRPr="00E40930" w:rsidRDefault="00E95056" w:rsidP="00E95056">
      <w:pPr>
        <w:spacing w:after="0" w:line="360" w:lineRule="auto"/>
        <w:ind w:left="567" w:right="567"/>
        <w:rPr>
          <w:i/>
          <w:color w:val="auto"/>
          <w:sz w:val="20"/>
          <w:szCs w:val="20"/>
        </w:rPr>
      </w:pPr>
    </w:p>
    <w:p w14:paraId="3F1F07C7" w14:textId="49F2AE96" w:rsidR="00E22EA8" w:rsidRPr="00E40930" w:rsidRDefault="00E12804" w:rsidP="001B6133">
      <w:pPr>
        <w:spacing w:after="0" w:line="360" w:lineRule="auto"/>
        <w:ind w:left="567" w:right="567"/>
        <w:rPr>
          <w:b/>
          <w:i/>
          <w:color w:val="auto"/>
          <w:sz w:val="20"/>
          <w:szCs w:val="20"/>
        </w:rPr>
      </w:pPr>
      <w:r w:rsidRPr="00E40930">
        <w:rPr>
          <w:b/>
          <w:i/>
          <w:color w:val="auto"/>
          <w:sz w:val="20"/>
          <w:szCs w:val="20"/>
        </w:rPr>
        <w:t>‘’</w:t>
      </w:r>
      <w:r w:rsidR="00E22EA8" w:rsidRPr="00E40930">
        <w:rPr>
          <w:b/>
          <w:i/>
          <w:color w:val="auto"/>
          <w:sz w:val="20"/>
          <w:szCs w:val="20"/>
        </w:rPr>
        <w:t>RAZONES O MOTIVOS DE LA INCONFORMIDAD</w:t>
      </w:r>
    </w:p>
    <w:p w14:paraId="57774A64" w14:textId="66BA1358" w:rsidR="003C5F59" w:rsidRPr="00E40930" w:rsidRDefault="008D675D" w:rsidP="001B6133">
      <w:pPr>
        <w:spacing w:after="0" w:line="360" w:lineRule="auto"/>
        <w:ind w:left="567" w:right="567"/>
        <w:rPr>
          <w:i/>
          <w:iCs/>
          <w:color w:val="auto"/>
          <w:sz w:val="20"/>
          <w:szCs w:val="20"/>
        </w:rPr>
      </w:pPr>
      <w:r w:rsidRPr="008D675D">
        <w:rPr>
          <w:i/>
          <w:iCs/>
          <w:color w:val="auto"/>
          <w:sz w:val="20"/>
          <w:szCs w:val="20"/>
        </w:rPr>
        <w:t>SE MENCIONA QUE ES DE CARACTER RESERVADA CUANDO SE SABE DE PRIMERA MANO QUE TODO RECURSO PÚBLICO DE UN AYUNTAMIENTO U ORGANISMO DECENTRALIZZADOS NO CAE EN LOS SUPUESTOS DE RESERVA YA QUE ESTA SOLO APLICA EN SU MAYORIA EN SEÑALAMIENTOS DE UNA PERSONA DIRECTA O EN LA SEGURIDAD PÚBLICA, SE ENTIENDE QUE EL TESORERO HA ECHO MAL USO DE ESTOS RECURSOS POR ELLO SU NEGATIVA ANTE DICHA INFORMACIÓN</w:t>
      </w:r>
      <w:r w:rsidR="003C5F59" w:rsidRPr="00E40930">
        <w:rPr>
          <w:i/>
          <w:iCs/>
          <w:color w:val="auto"/>
          <w:sz w:val="20"/>
          <w:szCs w:val="20"/>
        </w:rPr>
        <w:t>”</w:t>
      </w:r>
      <w:r w:rsidR="00E95056" w:rsidRPr="00E40930">
        <w:rPr>
          <w:i/>
          <w:iCs/>
          <w:color w:val="auto"/>
          <w:sz w:val="20"/>
          <w:szCs w:val="20"/>
        </w:rPr>
        <w:t xml:space="preserve"> (Sic.)</w:t>
      </w:r>
    </w:p>
    <w:p w14:paraId="01179437" w14:textId="6B58335B" w:rsidR="00E22EA8" w:rsidRPr="00B16FBB" w:rsidRDefault="00E22EA8" w:rsidP="001B6133">
      <w:pPr>
        <w:spacing w:after="0" w:line="360" w:lineRule="auto"/>
        <w:ind w:right="567"/>
        <w:rPr>
          <w:i/>
          <w:color w:val="FF0000"/>
          <w:sz w:val="20"/>
          <w:szCs w:val="20"/>
        </w:rPr>
      </w:pPr>
    </w:p>
    <w:p w14:paraId="009DB65C" w14:textId="45D040D7" w:rsidR="00E22EA8" w:rsidRPr="00E40930" w:rsidRDefault="004D1D8F" w:rsidP="001B6133">
      <w:pPr>
        <w:pStyle w:val="Ttulo2"/>
        <w:spacing w:before="0" w:after="0" w:line="360" w:lineRule="auto"/>
        <w:rPr>
          <w:color w:val="auto"/>
          <w:sz w:val="22"/>
          <w:szCs w:val="22"/>
        </w:rPr>
      </w:pPr>
      <w:bookmarkStart w:id="5" w:name="_Toc213948283"/>
      <w:r w:rsidRPr="00E40930">
        <w:rPr>
          <w:color w:val="auto"/>
          <w:sz w:val="22"/>
          <w:szCs w:val="22"/>
        </w:rPr>
        <w:t>I</w:t>
      </w:r>
      <w:r w:rsidR="00E22EA8" w:rsidRPr="00E40930">
        <w:rPr>
          <w:color w:val="auto"/>
          <w:sz w:val="22"/>
          <w:szCs w:val="22"/>
        </w:rPr>
        <w:t>V. Trámite del Recurso de Revisión ante este Instituto</w:t>
      </w:r>
      <w:bookmarkEnd w:id="5"/>
    </w:p>
    <w:p w14:paraId="5C9B63F8" w14:textId="77777777" w:rsidR="009B2DAB" w:rsidRPr="00B16FBB" w:rsidRDefault="009B2DAB" w:rsidP="001B6133">
      <w:pPr>
        <w:spacing w:after="0" w:line="360" w:lineRule="auto"/>
        <w:rPr>
          <w:b/>
          <w:bCs/>
          <w:color w:val="FF0000"/>
        </w:rPr>
      </w:pPr>
    </w:p>
    <w:p w14:paraId="173768ED" w14:textId="2E984F5C" w:rsidR="00E22EA8" w:rsidRPr="00E40930" w:rsidRDefault="00E22EA8" w:rsidP="001B6133">
      <w:pPr>
        <w:spacing w:after="0" w:line="360" w:lineRule="auto"/>
        <w:rPr>
          <w:bCs/>
          <w:color w:val="auto"/>
        </w:rPr>
      </w:pPr>
      <w:r w:rsidRPr="00E40930">
        <w:rPr>
          <w:b/>
          <w:bCs/>
          <w:color w:val="auto"/>
        </w:rPr>
        <w:t>a) Turno del Medio de Impugnación.</w:t>
      </w:r>
      <w:r w:rsidR="000A706F" w:rsidRPr="00E40930">
        <w:rPr>
          <w:bCs/>
          <w:color w:val="auto"/>
        </w:rPr>
        <w:t xml:space="preserve"> </w:t>
      </w:r>
      <w:r w:rsidR="003C5F59" w:rsidRPr="00E40930">
        <w:rPr>
          <w:bCs/>
          <w:color w:val="auto"/>
        </w:rPr>
        <w:t xml:space="preserve">El </w:t>
      </w:r>
      <w:r w:rsidR="008D675D">
        <w:rPr>
          <w:bCs/>
          <w:color w:val="auto"/>
        </w:rPr>
        <w:t>primero de julio</w:t>
      </w:r>
      <w:r w:rsidR="00E40930" w:rsidRPr="00E40930">
        <w:rPr>
          <w:bCs/>
          <w:color w:val="auto"/>
        </w:rPr>
        <w:t xml:space="preserve"> </w:t>
      </w:r>
      <w:r w:rsidR="00E64E18" w:rsidRPr="00E40930">
        <w:rPr>
          <w:color w:val="auto"/>
        </w:rPr>
        <w:t>de dos mil veinticinco</w:t>
      </w:r>
      <w:r w:rsidRPr="00E40930">
        <w:rPr>
          <w:bCs/>
          <w:color w:val="auto"/>
        </w:rPr>
        <w:t xml:space="preserve">, el </w:t>
      </w:r>
      <w:r w:rsidRPr="00E40930">
        <w:rPr>
          <w:color w:val="auto"/>
          <w:lang w:val="es-ES"/>
        </w:rPr>
        <w:t>Sistema de Acceso a la Información Mexiquense (SAIMEX),</w:t>
      </w:r>
      <w:r w:rsidRPr="00E40930">
        <w:rPr>
          <w:bCs/>
          <w:color w:val="auto"/>
        </w:rPr>
        <w:t xml:space="preserve"> asignó el número de expediente </w:t>
      </w:r>
      <w:r w:rsidR="00A479FA" w:rsidRPr="00E40930">
        <w:rPr>
          <w:b/>
          <w:bCs/>
          <w:color w:val="auto"/>
        </w:rPr>
        <w:t>0</w:t>
      </w:r>
      <w:r w:rsidR="00364CCB">
        <w:rPr>
          <w:b/>
          <w:bCs/>
          <w:color w:val="auto"/>
        </w:rPr>
        <w:t>7976</w:t>
      </w:r>
      <w:r w:rsidR="00A479FA" w:rsidRPr="00E40930">
        <w:rPr>
          <w:b/>
          <w:bCs/>
          <w:color w:val="auto"/>
        </w:rPr>
        <w:t>/INFOEM/IP/RR/2025</w:t>
      </w:r>
      <w:r w:rsidRPr="00E40930">
        <w:rPr>
          <w:bCs/>
          <w:color w:val="auto"/>
        </w:rPr>
        <w:t xml:space="preserve">, al medio de impugnación que nos ocupa, con base en el sistema aprobado por el Pleno de este </w:t>
      </w:r>
      <w:r w:rsidR="00B65BCA" w:rsidRPr="00E40930">
        <w:rPr>
          <w:bCs/>
          <w:color w:val="auto"/>
        </w:rPr>
        <w:t>Organismo</w:t>
      </w:r>
      <w:r w:rsidRPr="00E40930">
        <w:rPr>
          <w:bCs/>
          <w:color w:val="auto"/>
        </w:rPr>
        <w:t xml:space="preserve"> Garante y lo turnó al Comisionado Ponente Luis Gustavo Parra Noriega, para los efectos del artículo 185, fracción I de la Ley de Transparencia y Acceso a la Información Pública del Estado de México y Municipios.</w:t>
      </w:r>
    </w:p>
    <w:p w14:paraId="59FB24F3" w14:textId="77777777" w:rsidR="005914EE" w:rsidRPr="00B16FBB" w:rsidRDefault="005914EE" w:rsidP="001B6133">
      <w:pPr>
        <w:spacing w:after="0" w:line="360" w:lineRule="auto"/>
        <w:rPr>
          <w:b/>
          <w:bCs/>
          <w:color w:val="FF0000"/>
        </w:rPr>
      </w:pPr>
    </w:p>
    <w:p w14:paraId="61891480" w14:textId="7B4DA686" w:rsidR="00E22EA8" w:rsidRPr="00E40930" w:rsidRDefault="00E22EA8" w:rsidP="001B6133">
      <w:pPr>
        <w:spacing w:after="0" w:line="360" w:lineRule="auto"/>
        <w:rPr>
          <w:color w:val="auto"/>
        </w:rPr>
      </w:pPr>
      <w:r w:rsidRPr="00E40930">
        <w:rPr>
          <w:b/>
          <w:bCs/>
          <w:color w:val="auto"/>
        </w:rPr>
        <w:t>b) Admisión del Recurso de Revisión</w:t>
      </w:r>
      <w:r w:rsidRPr="00E40930">
        <w:rPr>
          <w:b/>
          <w:bCs/>
          <w:color w:val="auto"/>
          <w:lang w:val="es-ES_tradnl"/>
        </w:rPr>
        <w:t xml:space="preserve">. </w:t>
      </w:r>
      <w:r w:rsidR="003C5F59" w:rsidRPr="00E40930">
        <w:rPr>
          <w:color w:val="auto"/>
        </w:rPr>
        <w:t xml:space="preserve">El </w:t>
      </w:r>
      <w:r w:rsidR="008D675D">
        <w:rPr>
          <w:color w:val="auto"/>
        </w:rPr>
        <w:t>cuatro de julio</w:t>
      </w:r>
      <w:r w:rsidR="00E40930" w:rsidRPr="00E40930">
        <w:rPr>
          <w:color w:val="auto"/>
        </w:rPr>
        <w:t xml:space="preserve"> de dos mil veinticinco, </w:t>
      </w:r>
      <w:r w:rsidRPr="00E40930">
        <w:rPr>
          <w:bCs/>
          <w:color w:val="auto"/>
          <w:lang w:val="es-ES_tradnl"/>
        </w:rPr>
        <w:t xml:space="preserve">se acordó la admisión del Recurso de Revisión interpuesto por </w:t>
      </w:r>
      <w:r w:rsidR="00261B92" w:rsidRPr="00E40930">
        <w:rPr>
          <w:bCs/>
          <w:color w:val="auto"/>
          <w:lang w:val="es-ES_tradnl"/>
        </w:rPr>
        <w:t>la persona</w:t>
      </w:r>
      <w:r w:rsidRPr="00E40930">
        <w:rPr>
          <w:bCs/>
          <w:color w:val="auto"/>
          <w:lang w:val="es-ES_tradnl"/>
        </w:rPr>
        <w:t xml:space="preserve"> Recurrente en contra del Sujeto Obligado, en términos del artículo 185, fracciones I y II de la Ley de Transparencia y Acceso a la Información Pública del Estado de México y Municipios, el cual fue notificado a las partes </w:t>
      </w:r>
      <w:r w:rsidR="00E10780" w:rsidRPr="00E40930">
        <w:rPr>
          <w:bCs/>
          <w:color w:val="auto"/>
          <w:lang w:val="es-ES_tradnl"/>
        </w:rPr>
        <w:t>el</w:t>
      </w:r>
      <w:r w:rsidR="00E40930" w:rsidRPr="00E40930">
        <w:rPr>
          <w:bCs/>
          <w:color w:val="auto"/>
          <w:lang w:val="es-ES_tradnl"/>
        </w:rPr>
        <w:t xml:space="preserve"> mismo día</w:t>
      </w:r>
      <w:r w:rsidRPr="00E40930">
        <w:rPr>
          <w:bCs/>
          <w:color w:val="auto"/>
          <w:lang w:val="es-ES_tradnl"/>
        </w:rPr>
        <w:t>, a través del Sistema de Acceso a la Información Mexiquense (SAIMEX), en el que se les otorgó un plazo de siete días hábiles posteriores a la misma, para que manifestaran lo que a su derecho conviniera y formularan alegatos.</w:t>
      </w:r>
    </w:p>
    <w:p w14:paraId="07DA89A0" w14:textId="77777777" w:rsidR="00E22EA8" w:rsidRPr="00E40930" w:rsidRDefault="00E22EA8" w:rsidP="001B6133">
      <w:pPr>
        <w:spacing w:after="0" w:line="360" w:lineRule="auto"/>
        <w:rPr>
          <w:rFonts w:cs="Tahoma"/>
          <w:color w:val="auto"/>
          <w:lang w:val="es-ES_tradnl"/>
        </w:rPr>
      </w:pPr>
    </w:p>
    <w:p w14:paraId="6F21EFB1" w14:textId="7B667E2E" w:rsidR="00E40930" w:rsidRPr="00E40930" w:rsidRDefault="00855EC9" w:rsidP="001B6133">
      <w:pPr>
        <w:spacing w:after="0" w:line="360" w:lineRule="auto"/>
        <w:rPr>
          <w:rFonts w:eastAsia="Times New Roman" w:cs="Tahoma"/>
          <w:color w:val="auto"/>
          <w:lang w:val="es-ES_tradnl"/>
        </w:rPr>
      </w:pPr>
      <w:bookmarkStart w:id="6" w:name="_Hlk182976945"/>
      <w:r w:rsidRPr="00E40930">
        <w:rPr>
          <w:b/>
          <w:color w:val="auto"/>
        </w:rPr>
        <w:t>c) Informe Justificado</w:t>
      </w:r>
      <w:r w:rsidR="008D675D">
        <w:rPr>
          <w:b/>
          <w:color w:val="auto"/>
        </w:rPr>
        <w:t xml:space="preserve"> o manifestaciones</w:t>
      </w:r>
      <w:r w:rsidRPr="00E40930">
        <w:rPr>
          <w:b/>
          <w:color w:val="auto"/>
        </w:rPr>
        <w:t xml:space="preserve">. </w:t>
      </w:r>
      <w:r w:rsidR="008D675D">
        <w:rPr>
          <w:rFonts w:eastAsia="Times New Roman" w:cs="Tahoma"/>
          <w:iCs/>
          <w:color w:val="auto"/>
          <w:lang w:val="es-ES"/>
        </w:rPr>
        <w:t>Las partes fueron omisas en emitir manifestaciones o alegatos.</w:t>
      </w:r>
    </w:p>
    <w:p w14:paraId="4D3C7697" w14:textId="77777777" w:rsidR="00E40930" w:rsidRDefault="00E40930" w:rsidP="001B6133">
      <w:pPr>
        <w:spacing w:after="0" w:line="360" w:lineRule="auto"/>
        <w:rPr>
          <w:rFonts w:eastAsia="Times New Roman" w:cs="Tahoma"/>
          <w:color w:val="FF0000"/>
          <w:lang w:val="es-ES_tradnl"/>
        </w:rPr>
      </w:pPr>
    </w:p>
    <w:p w14:paraId="3647941A" w14:textId="44AA436E" w:rsidR="00E20851" w:rsidRPr="00BF6D30" w:rsidRDefault="00EA3B0E" w:rsidP="001B6133">
      <w:pPr>
        <w:spacing w:after="0" w:line="360" w:lineRule="auto"/>
        <w:rPr>
          <w:rFonts w:eastAsia="Times New Roman" w:cs="Tahoma"/>
          <w:color w:val="auto"/>
          <w:szCs w:val="24"/>
          <w:lang w:eastAsia="es-ES"/>
        </w:rPr>
      </w:pPr>
      <w:r>
        <w:rPr>
          <w:rFonts w:eastAsia="Times New Roman" w:cs="Tahoma"/>
          <w:b/>
          <w:color w:val="auto"/>
          <w:szCs w:val="24"/>
          <w:lang w:eastAsia="es-ES"/>
        </w:rPr>
        <w:t>d</w:t>
      </w:r>
      <w:r w:rsidR="00E20851" w:rsidRPr="00BF6D30">
        <w:rPr>
          <w:rFonts w:eastAsia="Times New Roman" w:cs="Tahoma"/>
          <w:b/>
          <w:color w:val="auto"/>
          <w:szCs w:val="24"/>
          <w:lang w:eastAsia="es-ES"/>
        </w:rPr>
        <w:t xml:space="preserve">) Ampliación de plazo para resolver. </w:t>
      </w:r>
      <w:r w:rsidR="00E20851" w:rsidRPr="00BF6D30">
        <w:rPr>
          <w:rFonts w:eastAsia="Times New Roman" w:cs="Tahoma"/>
          <w:color w:val="auto"/>
          <w:szCs w:val="24"/>
          <w:lang w:eastAsia="es-ES"/>
        </w:rPr>
        <w:t xml:space="preserve">El </w:t>
      </w:r>
      <w:r w:rsidR="008D675D">
        <w:rPr>
          <w:rFonts w:eastAsia="Times New Roman" w:cs="Tahoma"/>
          <w:color w:val="auto"/>
          <w:szCs w:val="24"/>
          <w:lang w:eastAsia="es-ES"/>
        </w:rPr>
        <w:t>cuatro de noviembre</w:t>
      </w:r>
      <w:r w:rsidR="00E20851" w:rsidRPr="00BF6D30">
        <w:rPr>
          <w:rFonts w:eastAsia="Times New Roman" w:cs="Tahoma"/>
          <w:color w:val="auto"/>
          <w:szCs w:val="24"/>
          <w:lang w:eastAsia="es-ES"/>
        </w:rPr>
        <w:t xml:space="preserve"> de dos mil veinticinco, el Comisionado Ponente, con fundamento en lo dispuesto por el artículo 181, párrafo tercero, de la Ley de Transparencia y Acceso a la Información Pública del Estado de México y Municipios, acordó ampliar por un periodo </w:t>
      </w:r>
      <w:r w:rsidR="008D675D">
        <w:rPr>
          <w:rFonts w:eastAsia="Times New Roman" w:cs="Tahoma"/>
          <w:color w:val="auto"/>
          <w:szCs w:val="24"/>
          <w:lang w:eastAsia="es-ES"/>
        </w:rPr>
        <w:t>razonable</w:t>
      </w:r>
      <w:r w:rsidR="00E20851" w:rsidRPr="00BF6D30">
        <w:rPr>
          <w:rFonts w:eastAsia="Times New Roman" w:cs="Tahoma"/>
          <w:color w:val="auto"/>
          <w:szCs w:val="24"/>
          <w:lang w:eastAsia="es-ES"/>
        </w:rPr>
        <w:t>, el plazo para resolver el Recurso de Revisión que nos ocupa; acto que fue notificado a las partes el mismo día, mediante el Sistema de Acceso a la Información Mexiquense (SAIMEX).</w:t>
      </w:r>
    </w:p>
    <w:p w14:paraId="21A08F37" w14:textId="77777777" w:rsidR="00E20851" w:rsidRPr="00B16FBB" w:rsidRDefault="00E20851" w:rsidP="001B6133">
      <w:pPr>
        <w:spacing w:after="0" w:line="360" w:lineRule="auto"/>
        <w:rPr>
          <w:color w:val="FF0000"/>
        </w:rPr>
      </w:pPr>
    </w:p>
    <w:p w14:paraId="1220E37C" w14:textId="69240B51" w:rsidR="003C5FE0" w:rsidRPr="00BF6D30" w:rsidRDefault="00EA3B0E" w:rsidP="001B6133">
      <w:pPr>
        <w:spacing w:after="0" w:line="360" w:lineRule="auto"/>
        <w:contextualSpacing/>
        <w:rPr>
          <w:color w:val="auto"/>
          <w:lang w:val="es-ES"/>
        </w:rPr>
      </w:pPr>
      <w:r>
        <w:rPr>
          <w:rFonts w:eastAsia="Batang" w:cs="Tahoma"/>
          <w:b/>
          <w:color w:val="auto"/>
        </w:rPr>
        <w:t>e</w:t>
      </w:r>
      <w:r w:rsidR="003C5FE0" w:rsidRPr="00BF6D30">
        <w:rPr>
          <w:rFonts w:eastAsia="Batang" w:cs="Tahoma"/>
          <w:b/>
          <w:color w:val="auto"/>
        </w:rPr>
        <w:t xml:space="preserve">) </w:t>
      </w:r>
      <w:r w:rsidR="00002B20" w:rsidRPr="00BF6D30">
        <w:rPr>
          <w:rFonts w:eastAsia="Times New Roman" w:cs="Tahoma"/>
          <w:b/>
          <w:color w:val="auto"/>
          <w:szCs w:val="24"/>
          <w:lang w:eastAsia="es-ES"/>
        </w:rPr>
        <w:t>Cierre de instrucción.</w:t>
      </w:r>
      <w:r w:rsidR="00002B20" w:rsidRPr="00BF6D30">
        <w:rPr>
          <w:rFonts w:eastAsia="Times New Roman" w:cs="Tahoma"/>
          <w:color w:val="auto"/>
          <w:szCs w:val="24"/>
          <w:lang w:eastAsia="es-ES"/>
        </w:rPr>
        <w:t xml:space="preserve"> El </w:t>
      </w:r>
      <w:r w:rsidR="008D675D">
        <w:rPr>
          <w:rFonts w:eastAsia="Times New Roman" w:cs="Tahoma"/>
          <w:color w:val="auto"/>
          <w:szCs w:val="24"/>
          <w:lang w:eastAsia="es-ES"/>
        </w:rPr>
        <w:t xml:space="preserve">cuatro de noviembre </w:t>
      </w:r>
      <w:r w:rsidR="00002B20" w:rsidRPr="00BF6D30">
        <w:rPr>
          <w:rFonts w:eastAsia="Times New Roman" w:cs="Tahoma"/>
          <w:color w:val="auto"/>
          <w:szCs w:val="24"/>
          <w:lang w:eastAsia="es-ES"/>
        </w:rPr>
        <w:t xml:space="preserve">de dos mil veinticinco,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w:t>
      </w:r>
      <w:r w:rsidR="00002B20" w:rsidRPr="00BF6D30">
        <w:rPr>
          <w:color w:val="auto"/>
          <w:lang w:val="es-ES"/>
        </w:rPr>
        <w:t>acto que fue notificado a las partes, mediante el Sistema de Acceso a la Información Mexiquense (SAIMEX), el mismo día.</w:t>
      </w:r>
    </w:p>
    <w:p w14:paraId="767BC2E6" w14:textId="77777777" w:rsidR="00206A9B" w:rsidRPr="00B16FBB" w:rsidRDefault="00206A9B" w:rsidP="001B6133">
      <w:pPr>
        <w:spacing w:after="0" w:line="360" w:lineRule="auto"/>
        <w:contextualSpacing/>
        <w:rPr>
          <w:color w:val="FF0000"/>
          <w:lang w:val="es-ES"/>
        </w:rPr>
      </w:pPr>
    </w:p>
    <w:p w14:paraId="4EB4892E" w14:textId="1E4097E6" w:rsidR="00206A9B" w:rsidRPr="00BF6D30" w:rsidRDefault="00206A9B" w:rsidP="001B6133">
      <w:pPr>
        <w:spacing w:after="0" w:line="360" w:lineRule="auto"/>
        <w:rPr>
          <w:color w:val="auto"/>
        </w:rPr>
      </w:pPr>
      <w:r w:rsidRPr="00BF6D30">
        <w:rPr>
          <w:color w:val="auto"/>
        </w:rPr>
        <w:t>En razón de que fue debidamente sustanciado e integrado el expediente electrónico y no existe diligencia pendiente de desahogo, se emite la resolución que conforme a Derecho proceda, de acuerdo a los siguientes:</w:t>
      </w:r>
    </w:p>
    <w:bookmarkEnd w:id="6"/>
    <w:p w14:paraId="7C503569" w14:textId="77777777" w:rsidR="00183010" w:rsidRPr="00BF6D30" w:rsidRDefault="00183010" w:rsidP="001B6133">
      <w:pPr>
        <w:spacing w:after="0" w:line="360" w:lineRule="auto"/>
        <w:rPr>
          <w:rFonts w:eastAsia="Times New Roman" w:cs="Tahoma"/>
          <w:color w:val="auto"/>
          <w:szCs w:val="24"/>
          <w:lang w:eastAsia="es-ES"/>
        </w:rPr>
      </w:pPr>
    </w:p>
    <w:p w14:paraId="250F6589" w14:textId="3F880C72" w:rsidR="005C690F" w:rsidRPr="00BF6D30" w:rsidRDefault="00CD6238" w:rsidP="001B6133">
      <w:pPr>
        <w:pStyle w:val="Ttulo1"/>
        <w:spacing w:before="0" w:after="0" w:line="360" w:lineRule="auto"/>
        <w:jc w:val="center"/>
        <w:rPr>
          <w:color w:val="auto"/>
          <w:sz w:val="22"/>
          <w:szCs w:val="22"/>
        </w:rPr>
      </w:pPr>
      <w:bookmarkStart w:id="7" w:name="_Toc213948284"/>
      <w:r w:rsidRPr="00BF6D30">
        <w:rPr>
          <w:color w:val="auto"/>
          <w:sz w:val="22"/>
          <w:szCs w:val="22"/>
        </w:rPr>
        <w:t>C O N S I D E R A N D O S</w:t>
      </w:r>
      <w:bookmarkEnd w:id="7"/>
    </w:p>
    <w:p w14:paraId="5AB6ED71" w14:textId="77777777" w:rsidR="005C690F" w:rsidRPr="00B16FBB" w:rsidRDefault="005C690F" w:rsidP="001B6133">
      <w:pPr>
        <w:spacing w:after="0" w:line="360" w:lineRule="auto"/>
        <w:jc w:val="center"/>
        <w:rPr>
          <w:b/>
          <w:color w:val="FF0000"/>
        </w:rPr>
      </w:pPr>
    </w:p>
    <w:p w14:paraId="36BFFC7E" w14:textId="2F0F17EA" w:rsidR="005C690F" w:rsidRPr="00BF6D30" w:rsidRDefault="007D6307" w:rsidP="001B6133">
      <w:pPr>
        <w:pStyle w:val="Ttulo2"/>
        <w:spacing w:before="0" w:after="0" w:line="360" w:lineRule="auto"/>
        <w:rPr>
          <w:color w:val="auto"/>
          <w:sz w:val="22"/>
          <w:szCs w:val="22"/>
        </w:rPr>
      </w:pPr>
      <w:bookmarkStart w:id="8" w:name="_Toc213948285"/>
      <w:r w:rsidRPr="00BF6D30">
        <w:rPr>
          <w:color w:val="auto"/>
          <w:sz w:val="22"/>
          <w:szCs w:val="22"/>
        </w:rPr>
        <w:t xml:space="preserve">PRIMERO. </w:t>
      </w:r>
      <w:r w:rsidR="00CD6238" w:rsidRPr="00BF6D30">
        <w:rPr>
          <w:color w:val="auto"/>
          <w:sz w:val="22"/>
          <w:szCs w:val="22"/>
        </w:rPr>
        <w:t>Competencia</w:t>
      </w:r>
      <w:bookmarkEnd w:id="8"/>
    </w:p>
    <w:p w14:paraId="34E42005" w14:textId="77777777" w:rsidR="0084143D" w:rsidRPr="00BF6D30" w:rsidRDefault="0084143D" w:rsidP="001B6133">
      <w:pPr>
        <w:spacing w:after="0" w:line="360" w:lineRule="auto"/>
        <w:contextualSpacing/>
        <w:rPr>
          <w:rFonts w:eastAsia="Times New Roman" w:cs="Tahoma"/>
          <w:bCs/>
          <w:color w:val="auto"/>
          <w:lang w:eastAsia="es-ES"/>
        </w:rPr>
      </w:pPr>
      <w:bookmarkStart w:id="9" w:name="_heading=h.30j0zll" w:colFirst="0" w:colLast="0"/>
      <w:bookmarkEnd w:id="9"/>
    </w:p>
    <w:p w14:paraId="01F67A6C" w14:textId="77777777" w:rsidR="00D8214F" w:rsidRDefault="00D8214F" w:rsidP="00D8214F">
      <w:pPr>
        <w:spacing w:after="0" w:line="360" w:lineRule="auto"/>
        <w:rPr>
          <w:color w:val="000000"/>
        </w:rPr>
      </w:pPr>
      <w:r>
        <w:rPr>
          <w:color w:val="000000"/>
        </w:rPr>
        <w:t>El Instituto de Transparencia, Acceso a la Información Pública y Protección de Datos Personales del Estado de México y Municipios, es competente para conocer y resolver el presente recurso de revisión interpuesto por la persona Recurrente, conforme a lo dispuesto en los artículos 5°, párrafos cuadragésimo primero, cuadragésimo segundo y cuadragésimo tercero, fracciones IV y V de la Constitución Política del Estado Libre y Soberano de México; Cuarto Transitorio, párrafo segundo del Decreto número 198 de la “LXII” Legislatura del Estado de México; 1°, 2°, fracciones II y IV; 13, 29, 36, fracciones I y II; 176, 178, 179, 181 párrafo tercero, 185, 188 y 189 de la Ley Transparencia y Acceso a la Información Pública del Estado de México y Municipios; 7°, 9°, fracciones I y XXIII y 11 del Reglamento Interior del Instituto de Transparencia, Acceso a la Información Pública y Protección de Datos Personales del Estado de México y Municipios.</w:t>
      </w:r>
    </w:p>
    <w:p w14:paraId="4225FD09" w14:textId="77777777" w:rsidR="005C690F" w:rsidRPr="00B16FBB" w:rsidRDefault="005C690F" w:rsidP="001B6133">
      <w:pPr>
        <w:spacing w:after="0" w:line="360" w:lineRule="auto"/>
        <w:rPr>
          <w:b/>
          <w:color w:val="FF0000"/>
        </w:rPr>
      </w:pPr>
    </w:p>
    <w:p w14:paraId="46691DD5" w14:textId="4C1C70AD" w:rsidR="005C690F" w:rsidRPr="00BF6D30" w:rsidRDefault="007D6307" w:rsidP="001B6133">
      <w:pPr>
        <w:pStyle w:val="Ttulo2"/>
        <w:spacing w:before="0" w:after="0" w:line="360" w:lineRule="auto"/>
        <w:rPr>
          <w:color w:val="auto"/>
          <w:sz w:val="22"/>
          <w:szCs w:val="22"/>
        </w:rPr>
      </w:pPr>
      <w:bookmarkStart w:id="10" w:name="_Toc213948286"/>
      <w:r w:rsidRPr="00BF6D30">
        <w:rPr>
          <w:color w:val="auto"/>
          <w:sz w:val="22"/>
          <w:szCs w:val="22"/>
        </w:rPr>
        <w:t>SEGUNDO. Causales de</w:t>
      </w:r>
      <w:r w:rsidR="00CD6238" w:rsidRPr="00BF6D30">
        <w:rPr>
          <w:color w:val="auto"/>
          <w:sz w:val="22"/>
          <w:szCs w:val="22"/>
        </w:rPr>
        <w:t xml:space="preserve"> improcedencia y sobreseimiento</w:t>
      </w:r>
      <w:bookmarkEnd w:id="10"/>
    </w:p>
    <w:p w14:paraId="49AA4CDE" w14:textId="77777777" w:rsidR="005C690F" w:rsidRPr="00BF6D30" w:rsidRDefault="005C690F" w:rsidP="001B6133">
      <w:pPr>
        <w:spacing w:after="0" w:line="360" w:lineRule="auto"/>
        <w:rPr>
          <w:color w:val="auto"/>
        </w:rPr>
      </w:pPr>
    </w:p>
    <w:p w14:paraId="2553CE58" w14:textId="77777777" w:rsidR="005C690F" w:rsidRPr="00BF6D30" w:rsidRDefault="007D6307" w:rsidP="001B6133">
      <w:pPr>
        <w:spacing w:after="0" w:line="360" w:lineRule="auto"/>
        <w:rPr>
          <w:color w:val="auto"/>
        </w:rPr>
      </w:pPr>
      <w:r w:rsidRPr="00BF6D30">
        <w:rPr>
          <w:color w:val="auto"/>
        </w:rPr>
        <w:t xml:space="preserve">De las constancias que forma parte del Recurso de Revisión que se analiza, se advierte que previo al estudio del fondo de la </w:t>
      </w:r>
      <w:r w:rsidRPr="00BF6D30">
        <w:rPr>
          <w:i/>
          <w:color w:val="auto"/>
        </w:rPr>
        <w:t>litis</w:t>
      </w:r>
      <w:r w:rsidRPr="00BF6D30">
        <w:rPr>
          <w:color w:val="auto"/>
        </w:rPr>
        <w:t>, es necesario estudiar las causales de improcedencia y sobreseimiento que se adviertan, para determinar lo que en Derecho proceda.</w:t>
      </w:r>
    </w:p>
    <w:p w14:paraId="35A30074" w14:textId="77777777" w:rsidR="009B2DAB" w:rsidRPr="00BF6D30" w:rsidRDefault="009B2DAB" w:rsidP="001B6133">
      <w:pPr>
        <w:spacing w:after="0" w:line="360" w:lineRule="auto"/>
        <w:rPr>
          <w:color w:val="auto"/>
        </w:rPr>
      </w:pPr>
    </w:p>
    <w:p w14:paraId="3066DF0C" w14:textId="77777777" w:rsidR="005C690F" w:rsidRPr="00BF6D30" w:rsidRDefault="007D6307" w:rsidP="001B6133">
      <w:pPr>
        <w:spacing w:after="0" w:line="360" w:lineRule="auto"/>
        <w:rPr>
          <w:b/>
          <w:color w:val="auto"/>
        </w:rPr>
      </w:pPr>
      <w:r w:rsidRPr="00BF6D30">
        <w:rPr>
          <w:b/>
          <w:color w:val="auto"/>
        </w:rPr>
        <w:t>Causales de improcedencia</w:t>
      </w:r>
    </w:p>
    <w:p w14:paraId="706394D4" w14:textId="77777777" w:rsidR="00304DE6" w:rsidRPr="00BF6D30" w:rsidRDefault="00304DE6" w:rsidP="001B6133">
      <w:pPr>
        <w:spacing w:after="0" w:line="360" w:lineRule="auto"/>
        <w:rPr>
          <w:b/>
          <w:color w:val="auto"/>
        </w:rPr>
      </w:pPr>
    </w:p>
    <w:p w14:paraId="6C56CA88" w14:textId="77777777" w:rsidR="005C690F" w:rsidRPr="00BF6D30" w:rsidRDefault="007D6307" w:rsidP="001B6133">
      <w:pPr>
        <w:spacing w:after="0" w:line="360" w:lineRule="auto"/>
        <w:rPr>
          <w:color w:val="auto"/>
        </w:rPr>
      </w:pPr>
      <w:r w:rsidRPr="00BF6D30">
        <w:rPr>
          <w:color w:val="auto"/>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58A4A8EF" w14:textId="77777777" w:rsidR="005C690F" w:rsidRPr="00BF6D30" w:rsidRDefault="005C690F" w:rsidP="001B6133">
      <w:pPr>
        <w:spacing w:after="0" w:line="360" w:lineRule="auto"/>
        <w:rPr>
          <w:color w:val="auto"/>
        </w:rPr>
      </w:pPr>
    </w:p>
    <w:p w14:paraId="3FF1B775" w14:textId="71BDC8A3" w:rsidR="005C690F" w:rsidRPr="00BF6D30" w:rsidRDefault="007D6307" w:rsidP="001B6133">
      <w:pPr>
        <w:spacing w:after="0" w:line="360" w:lineRule="auto"/>
        <w:rPr>
          <w:color w:val="auto"/>
        </w:rPr>
      </w:pPr>
      <w:r w:rsidRPr="00BF6D30">
        <w:rPr>
          <w:color w:val="auto"/>
        </w:rPr>
        <w:t>En el presente caso, </w:t>
      </w:r>
      <w:r w:rsidRPr="00BF6D30">
        <w:rPr>
          <w:b/>
          <w:color w:val="auto"/>
        </w:rPr>
        <w:t>no se actualiza ninguna de las causales de improcedencia</w:t>
      </w:r>
      <w:r w:rsidRPr="00BF6D30">
        <w:rPr>
          <w:color w:val="auto"/>
        </w:rPr>
        <w:t> establecidas en el ordenamiento jurídico previamente señalado, toda vez que: este Instituto no tiene conocimiento de que se encuentre en trámite algún medio de defensa presentado por la</w:t>
      </w:r>
      <w:r w:rsidR="00261B92" w:rsidRPr="00BF6D30">
        <w:rPr>
          <w:color w:val="auto"/>
        </w:rPr>
        <w:t xml:space="preserve"> persona</w:t>
      </w:r>
      <w:r w:rsidRPr="00BF6D30">
        <w:rPr>
          <w:color w:val="auto"/>
        </w:rPr>
        <w:t xml:space="preserve"> Recurrente ante otra instancia; no existió prevención alguna; la veracidad de la respuesta no formó parte del agravio; ni se realizó una consulta o ampliación a los alcances del requerimiento informativo.</w:t>
      </w:r>
    </w:p>
    <w:p w14:paraId="22563DDB" w14:textId="77777777" w:rsidR="008D3B3F" w:rsidRPr="00B16FBB" w:rsidRDefault="008D3B3F" w:rsidP="001B6133">
      <w:pPr>
        <w:spacing w:after="0" w:line="360" w:lineRule="auto"/>
        <w:rPr>
          <w:color w:val="FF0000"/>
        </w:rPr>
      </w:pPr>
    </w:p>
    <w:p w14:paraId="1593A12B" w14:textId="1E5A8859" w:rsidR="00304DE6" w:rsidRPr="00BF6D30" w:rsidRDefault="007D6307" w:rsidP="001B6133">
      <w:pPr>
        <w:spacing w:after="0" w:line="360" w:lineRule="auto"/>
        <w:rPr>
          <w:color w:val="auto"/>
        </w:rPr>
      </w:pPr>
      <w:r w:rsidRPr="00BF6D30">
        <w:rPr>
          <w:color w:val="auto"/>
        </w:rPr>
        <w:t>Por lo cual, se actualiza la causal de procedencia del Recurso de Revisión señal</w:t>
      </w:r>
      <w:r w:rsidR="00261DF6" w:rsidRPr="00BF6D30">
        <w:rPr>
          <w:color w:val="auto"/>
        </w:rPr>
        <w:t>ada en el artículo 179, fracci</w:t>
      </w:r>
      <w:r w:rsidR="00121FBF" w:rsidRPr="00BF6D30">
        <w:rPr>
          <w:color w:val="auto"/>
        </w:rPr>
        <w:t>ón</w:t>
      </w:r>
      <w:r w:rsidR="00BF6D30" w:rsidRPr="00BF6D30">
        <w:rPr>
          <w:color w:val="auto"/>
        </w:rPr>
        <w:t xml:space="preserve"> </w:t>
      </w:r>
      <w:r w:rsidR="008D675D">
        <w:rPr>
          <w:color w:val="auto"/>
        </w:rPr>
        <w:t>I</w:t>
      </w:r>
      <w:r w:rsidR="00BF6D30" w:rsidRPr="00BF6D30">
        <w:rPr>
          <w:color w:val="auto"/>
        </w:rPr>
        <w:t xml:space="preserve">I, </w:t>
      </w:r>
      <w:r w:rsidRPr="00BF6D30">
        <w:rPr>
          <w:color w:val="auto"/>
        </w:rPr>
        <w:t>de la Ley en cita, pues la p</w:t>
      </w:r>
      <w:r w:rsidR="00261B92" w:rsidRPr="00BF6D30">
        <w:rPr>
          <w:color w:val="auto"/>
        </w:rPr>
        <w:t>ersona</w:t>
      </w:r>
      <w:r w:rsidRPr="00BF6D30">
        <w:rPr>
          <w:color w:val="auto"/>
        </w:rPr>
        <w:t xml:space="preserve"> Recurrente se inconformó </w:t>
      </w:r>
      <w:r w:rsidR="00121FBF" w:rsidRPr="00BF6D30">
        <w:rPr>
          <w:color w:val="auto"/>
        </w:rPr>
        <w:t>con la</w:t>
      </w:r>
      <w:r w:rsidR="00BA7E32" w:rsidRPr="00BF6D30">
        <w:rPr>
          <w:color w:val="auto"/>
        </w:rPr>
        <w:t xml:space="preserve"> </w:t>
      </w:r>
      <w:r w:rsidR="008D675D">
        <w:rPr>
          <w:color w:val="auto"/>
        </w:rPr>
        <w:t>clasificación de la información</w:t>
      </w:r>
      <w:r w:rsidR="00BF6D30" w:rsidRPr="00BF6D30">
        <w:rPr>
          <w:color w:val="auto"/>
        </w:rPr>
        <w:t>.</w:t>
      </w:r>
    </w:p>
    <w:p w14:paraId="7B59B025" w14:textId="77777777" w:rsidR="00712ED6" w:rsidRPr="00B16FBB" w:rsidRDefault="00712ED6" w:rsidP="001B6133">
      <w:pPr>
        <w:spacing w:after="0" w:line="360" w:lineRule="auto"/>
        <w:rPr>
          <w:color w:val="FF0000"/>
        </w:rPr>
      </w:pPr>
    </w:p>
    <w:p w14:paraId="55FF691A" w14:textId="6D373E30" w:rsidR="005C690F" w:rsidRPr="00BF6D30" w:rsidRDefault="007D6307" w:rsidP="001B6133">
      <w:pPr>
        <w:spacing w:after="0" w:line="360" w:lineRule="auto"/>
        <w:rPr>
          <w:color w:val="auto"/>
        </w:rPr>
      </w:pPr>
      <w:r w:rsidRPr="00BF6D30">
        <w:rPr>
          <w:b/>
          <w:color w:val="auto"/>
        </w:rPr>
        <w:t>Ca</w:t>
      </w:r>
      <w:r w:rsidR="00CD6238" w:rsidRPr="00BF6D30">
        <w:rPr>
          <w:b/>
          <w:color w:val="auto"/>
        </w:rPr>
        <w:t>usales de sobreseimiento</w:t>
      </w:r>
    </w:p>
    <w:p w14:paraId="426FEE7A" w14:textId="77777777" w:rsidR="005C690F" w:rsidRPr="00BF6D30" w:rsidRDefault="005C690F" w:rsidP="001B6133">
      <w:pPr>
        <w:spacing w:after="0" w:line="360" w:lineRule="auto"/>
        <w:rPr>
          <w:color w:val="auto"/>
        </w:rPr>
      </w:pPr>
    </w:p>
    <w:p w14:paraId="5B1C849A" w14:textId="77777777" w:rsidR="005C690F" w:rsidRPr="00BF6D30" w:rsidRDefault="007D6307" w:rsidP="001B6133">
      <w:pPr>
        <w:spacing w:after="0" w:line="360" w:lineRule="auto"/>
        <w:rPr>
          <w:color w:val="auto"/>
        </w:rPr>
      </w:pPr>
      <w:r w:rsidRPr="00BF6D30">
        <w:rPr>
          <w:color w:val="auto"/>
        </w:rPr>
        <w:t>Por ser de previo y especial pronunciamiento, este Instituto analiza si se actualiza alguna causal de sobreseimiento.</w:t>
      </w:r>
    </w:p>
    <w:p w14:paraId="5CEDF034" w14:textId="77777777" w:rsidR="00A96A4E" w:rsidRPr="00BF6D30" w:rsidRDefault="00A96A4E" w:rsidP="001B6133">
      <w:pPr>
        <w:spacing w:after="0" w:line="360" w:lineRule="auto"/>
        <w:rPr>
          <w:color w:val="auto"/>
        </w:rPr>
      </w:pPr>
    </w:p>
    <w:p w14:paraId="616B549A" w14:textId="34585935" w:rsidR="005C690F" w:rsidRPr="00BF6D30" w:rsidRDefault="007D6307" w:rsidP="001B6133">
      <w:pPr>
        <w:spacing w:after="0" w:line="360" w:lineRule="auto"/>
        <w:rPr>
          <w:color w:val="auto"/>
        </w:rPr>
      </w:pPr>
      <w:r w:rsidRPr="00BF6D30">
        <w:rPr>
          <w:color w:val="auto"/>
        </w:rPr>
        <w:t xml:space="preserve">Sobre el tema, 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la </w:t>
      </w:r>
      <w:r w:rsidR="00261B92" w:rsidRPr="00BF6D30">
        <w:rPr>
          <w:color w:val="auto"/>
        </w:rPr>
        <w:t xml:space="preserve">persona </w:t>
      </w:r>
      <w:r w:rsidRPr="00BF6D30">
        <w:rPr>
          <w:color w:val="auto"/>
        </w:rPr>
        <w:t>Recurrente se haya desistido del recurso, haya fallecido, sobreviniera alguna causal de improcedencia, que el Sujeto Obligado hubiese modificado o revocado el acto impugnado o bien, haya quedado sin materia.</w:t>
      </w:r>
    </w:p>
    <w:p w14:paraId="0FB75386" w14:textId="77777777" w:rsidR="00712ED6" w:rsidRPr="00BF6D30" w:rsidRDefault="00712ED6" w:rsidP="001B6133">
      <w:pPr>
        <w:spacing w:after="0" w:line="360" w:lineRule="auto"/>
        <w:rPr>
          <w:color w:val="auto"/>
        </w:rPr>
      </w:pPr>
    </w:p>
    <w:p w14:paraId="338973DD" w14:textId="77777777" w:rsidR="005C690F" w:rsidRPr="00BF6D30" w:rsidRDefault="007D6307" w:rsidP="001B6133">
      <w:pPr>
        <w:spacing w:after="0" w:line="360" w:lineRule="auto"/>
        <w:rPr>
          <w:color w:val="auto"/>
        </w:rPr>
      </w:pPr>
      <w:r w:rsidRPr="00BF6D30">
        <w:rPr>
          <w:color w:val="auto"/>
        </w:rPr>
        <w:t xml:space="preserve">Por tales motivos, se considera procedente entrar al fondo del presente asunto. </w:t>
      </w:r>
    </w:p>
    <w:p w14:paraId="3B2EB888" w14:textId="77777777" w:rsidR="005C690F" w:rsidRPr="00B16FBB" w:rsidRDefault="005C690F" w:rsidP="001B6133">
      <w:pPr>
        <w:spacing w:after="0" w:line="360" w:lineRule="auto"/>
        <w:rPr>
          <w:b/>
          <w:color w:val="FF0000"/>
        </w:rPr>
      </w:pPr>
    </w:p>
    <w:p w14:paraId="0A6A0BAE" w14:textId="184EF292" w:rsidR="005C690F" w:rsidRPr="00BF6D30" w:rsidRDefault="007D6307" w:rsidP="001B6133">
      <w:pPr>
        <w:pStyle w:val="Ttulo2"/>
        <w:spacing w:before="0" w:after="0" w:line="360" w:lineRule="auto"/>
        <w:rPr>
          <w:color w:val="auto"/>
          <w:sz w:val="22"/>
          <w:szCs w:val="22"/>
        </w:rPr>
      </w:pPr>
      <w:bookmarkStart w:id="11" w:name="_Toc213948287"/>
      <w:r w:rsidRPr="00BF6D30">
        <w:rPr>
          <w:color w:val="auto"/>
          <w:sz w:val="22"/>
          <w:szCs w:val="22"/>
        </w:rPr>
        <w:t>TERCERO. De</w:t>
      </w:r>
      <w:r w:rsidR="00CD6238" w:rsidRPr="00BF6D30">
        <w:rPr>
          <w:color w:val="auto"/>
          <w:sz w:val="22"/>
          <w:szCs w:val="22"/>
        </w:rPr>
        <w:t>terminación de la Controversia</w:t>
      </w:r>
      <w:bookmarkEnd w:id="11"/>
    </w:p>
    <w:p w14:paraId="4A0739CB" w14:textId="77777777" w:rsidR="00897A05" w:rsidRPr="00B16FBB" w:rsidRDefault="00897A05" w:rsidP="001B6133">
      <w:pPr>
        <w:spacing w:after="0" w:line="360" w:lineRule="auto"/>
        <w:rPr>
          <w:b/>
          <w:color w:val="FF0000"/>
        </w:rPr>
      </w:pPr>
    </w:p>
    <w:p w14:paraId="1D9FD16F" w14:textId="78A6098E" w:rsidR="00BF6D30" w:rsidRPr="00F259B3" w:rsidRDefault="007C7BAF" w:rsidP="005B2778">
      <w:pPr>
        <w:spacing w:after="0" w:line="360" w:lineRule="auto"/>
        <w:rPr>
          <w:rFonts w:cs="Tahoma"/>
          <w:color w:val="auto"/>
        </w:rPr>
      </w:pPr>
      <w:r w:rsidRPr="00BF6D30">
        <w:rPr>
          <w:rFonts w:cs="Tahoma"/>
          <w:color w:val="auto"/>
        </w:rPr>
        <w:t xml:space="preserve">Con el objetivo de ilustrar la controversia planteada, resulta conveniente precisar, que una vez realizado el estudio de las </w:t>
      </w:r>
      <w:r w:rsidRPr="00F259B3">
        <w:rPr>
          <w:rFonts w:cs="Tahoma"/>
          <w:color w:val="auto"/>
        </w:rPr>
        <w:t xml:space="preserve">constancias que integran el expediente en el que se actúa, se desprende que el Particular </w:t>
      </w:r>
      <w:r w:rsidR="00DF59CE" w:rsidRPr="00F259B3">
        <w:rPr>
          <w:rFonts w:cs="Tahoma"/>
          <w:color w:val="auto"/>
        </w:rPr>
        <w:t>requirió</w:t>
      </w:r>
      <w:r w:rsidR="005B2778" w:rsidRPr="00F259B3">
        <w:rPr>
          <w:rFonts w:cs="Tahoma"/>
          <w:color w:val="auto"/>
        </w:rPr>
        <w:t xml:space="preserve"> </w:t>
      </w:r>
      <w:r w:rsidR="00F259B3" w:rsidRPr="00F259B3">
        <w:rPr>
          <w:rFonts w:cs="Tahoma"/>
          <w:color w:val="auto"/>
        </w:rPr>
        <w:t xml:space="preserve">los estados de cuenta del </w:t>
      </w:r>
      <w:r w:rsidR="008D675D">
        <w:t>Sistema Municipal para el Desarrollo Integral de la Familia de Morelos,</w:t>
      </w:r>
      <w:r w:rsidR="00F259B3" w:rsidRPr="00F259B3">
        <w:rPr>
          <w:rFonts w:cs="Tahoma"/>
          <w:color w:val="auto"/>
        </w:rPr>
        <w:t xml:space="preserve"> de todas sus cuentas bancarias </w:t>
      </w:r>
      <w:r w:rsidR="008D675D">
        <w:rPr>
          <w:rFonts w:cs="Tahoma"/>
          <w:color w:val="auto"/>
        </w:rPr>
        <w:t>del mes de marzo de dos mil veinticinco.</w:t>
      </w:r>
    </w:p>
    <w:p w14:paraId="43823526" w14:textId="77777777" w:rsidR="005B2778" w:rsidRPr="00B16FBB" w:rsidRDefault="005B2778" w:rsidP="005B2778">
      <w:pPr>
        <w:spacing w:after="0" w:line="360" w:lineRule="auto"/>
        <w:rPr>
          <w:rFonts w:cs="Tahoma"/>
          <w:color w:val="FF0000"/>
        </w:rPr>
      </w:pPr>
    </w:p>
    <w:p w14:paraId="206562A8" w14:textId="0053307B" w:rsidR="000A43C5" w:rsidRDefault="007C7BAF" w:rsidP="001B6133">
      <w:pPr>
        <w:spacing w:after="0" w:line="360" w:lineRule="auto"/>
        <w:rPr>
          <w:rFonts w:eastAsia="Calibri" w:cs="Tahoma"/>
          <w:color w:val="auto"/>
        </w:rPr>
      </w:pPr>
      <w:r w:rsidRPr="00F259B3">
        <w:rPr>
          <w:color w:val="auto"/>
        </w:rPr>
        <w:t>En respuesta, el Sujeto Obligado,</w:t>
      </w:r>
      <w:r w:rsidR="00644832" w:rsidRPr="00F259B3">
        <w:rPr>
          <w:color w:val="auto"/>
        </w:rPr>
        <w:t xml:space="preserve"> </w:t>
      </w:r>
      <w:r w:rsidR="00C672CD" w:rsidRPr="00F259B3">
        <w:rPr>
          <w:color w:val="auto"/>
        </w:rPr>
        <w:t xml:space="preserve">a través </w:t>
      </w:r>
      <w:bookmarkStart w:id="12" w:name="_Hlk201138641"/>
      <w:r w:rsidR="008D675D">
        <w:rPr>
          <w:color w:val="auto"/>
        </w:rPr>
        <w:t>de la Tesorería</w:t>
      </w:r>
      <w:r w:rsidR="00F259B3">
        <w:rPr>
          <w:color w:val="auto"/>
        </w:rPr>
        <w:t xml:space="preserve"> </w:t>
      </w:r>
      <w:r w:rsidR="00DC3A07">
        <w:rPr>
          <w:color w:val="auto"/>
        </w:rPr>
        <w:t xml:space="preserve">refirió </w:t>
      </w:r>
      <w:bookmarkEnd w:id="12"/>
      <w:r w:rsidR="008D675D">
        <w:rPr>
          <w:color w:val="auto"/>
        </w:rPr>
        <w:t>que se trataba de información reservada</w:t>
      </w:r>
      <w:r w:rsidR="00C672CD" w:rsidRPr="00DC3A07">
        <w:rPr>
          <w:color w:val="auto"/>
          <w:sz w:val="24"/>
        </w:rPr>
        <w:t>;</w:t>
      </w:r>
      <w:r w:rsidRPr="00DC3A07">
        <w:rPr>
          <w:color w:val="auto"/>
        </w:rPr>
        <w:t xml:space="preserve"> </w:t>
      </w:r>
      <w:r w:rsidRPr="00DC3A07">
        <w:rPr>
          <w:rFonts w:cs="Tahoma"/>
          <w:color w:val="auto"/>
          <w:lang w:val="es-ES"/>
        </w:rPr>
        <w:t>ante dicha circunstancia, el Particular se inconformó</w:t>
      </w:r>
      <w:r w:rsidR="00DC3A07" w:rsidRPr="00DC3A07">
        <w:rPr>
          <w:rFonts w:cs="Tahoma"/>
          <w:color w:val="auto"/>
          <w:lang w:val="es-ES"/>
        </w:rPr>
        <w:t xml:space="preserve"> </w:t>
      </w:r>
      <w:r w:rsidR="008D675D">
        <w:rPr>
          <w:rFonts w:cs="Tahoma"/>
          <w:color w:val="auto"/>
          <w:lang w:val="es-ES"/>
        </w:rPr>
        <w:t>de la clasificación de la información, pues aludió que, al ser recursos públicos, no se podía reservar la información</w:t>
      </w:r>
      <w:r w:rsidR="000A43C5" w:rsidRPr="00DC3A07">
        <w:rPr>
          <w:rFonts w:cs="Tahoma"/>
          <w:color w:val="auto"/>
          <w:lang w:val="es-ES"/>
        </w:rPr>
        <w:t xml:space="preserve">, </w:t>
      </w:r>
      <w:r w:rsidRPr="00DC3A07">
        <w:rPr>
          <w:rFonts w:cs="Tahoma"/>
          <w:color w:val="auto"/>
          <w:lang w:val="es-ES"/>
        </w:rPr>
        <w:t xml:space="preserve">lo cual </w:t>
      </w:r>
      <w:r w:rsidRPr="00DC3A07">
        <w:rPr>
          <w:rFonts w:eastAsia="Calibri" w:cs="Tahoma"/>
          <w:color w:val="auto"/>
        </w:rPr>
        <w:t>actualiza la causal de proce</w:t>
      </w:r>
      <w:r w:rsidR="000A43C5" w:rsidRPr="00DC3A07">
        <w:rPr>
          <w:rFonts w:eastAsia="Calibri" w:cs="Tahoma"/>
          <w:color w:val="auto"/>
        </w:rPr>
        <w:t xml:space="preserve">dencia prevista en la fracción </w:t>
      </w:r>
      <w:r w:rsidR="008D675D">
        <w:rPr>
          <w:rFonts w:eastAsia="Calibri" w:cs="Tahoma"/>
          <w:color w:val="auto"/>
        </w:rPr>
        <w:t>I</w:t>
      </w:r>
      <w:r w:rsidR="00DC3A07" w:rsidRPr="00DC3A07">
        <w:rPr>
          <w:rFonts w:eastAsia="Calibri" w:cs="Tahoma"/>
          <w:color w:val="auto"/>
        </w:rPr>
        <w:t>I</w:t>
      </w:r>
      <w:r w:rsidRPr="00DC3A07">
        <w:rPr>
          <w:rFonts w:eastAsia="Calibri" w:cs="Tahoma"/>
          <w:color w:val="auto"/>
        </w:rPr>
        <w:t>, del artículo 179 de la Ley de Transparencia y Acceso a la Información Pública del Estado de México y Municipios</w:t>
      </w:r>
      <w:r w:rsidR="008D675D">
        <w:rPr>
          <w:color w:val="auto"/>
        </w:rPr>
        <w:t xml:space="preserve">. </w:t>
      </w:r>
      <w:r w:rsidR="000A43C5" w:rsidRPr="00DC3A07">
        <w:rPr>
          <w:rFonts w:eastAsia="Calibri" w:cs="Tahoma"/>
          <w:color w:val="auto"/>
        </w:rPr>
        <w:t xml:space="preserve">Así, las cosas, una vez admitido y notificado el Recurso de Revisión a las partes, </w:t>
      </w:r>
      <w:r w:rsidR="008D675D">
        <w:rPr>
          <w:rFonts w:eastAsia="Calibri" w:cs="Tahoma"/>
          <w:color w:val="auto"/>
        </w:rPr>
        <w:t>estas fueron omisas en manifestarse.</w:t>
      </w:r>
    </w:p>
    <w:p w14:paraId="1E585C95" w14:textId="77777777" w:rsidR="00DC3A07" w:rsidRDefault="00DC3A07" w:rsidP="001B6133">
      <w:pPr>
        <w:spacing w:after="0" w:line="360" w:lineRule="auto"/>
        <w:rPr>
          <w:rFonts w:eastAsia="Calibri" w:cs="Tahoma"/>
          <w:color w:val="auto"/>
        </w:rPr>
      </w:pPr>
    </w:p>
    <w:p w14:paraId="22C5958E" w14:textId="21BA6EB2" w:rsidR="007C7BAF" w:rsidRPr="00DC3A07" w:rsidRDefault="007C7BAF" w:rsidP="001B6133">
      <w:pPr>
        <w:tabs>
          <w:tab w:val="left" w:pos="4962"/>
        </w:tabs>
        <w:spacing w:after="0" w:line="360" w:lineRule="auto"/>
        <w:rPr>
          <w:rFonts w:eastAsia="Calibri" w:cs="Tahoma"/>
          <w:bCs/>
          <w:color w:val="auto"/>
        </w:rPr>
      </w:pPr>
      <w:r w:rsidRPr="00DC3A07">
        <w:rPr>
          <w:rFonts w:eastAsia="Calibri" w:cs="Tahoma"/>
          <w:iCs/>
          <w:color w:val="auto"/>
          <w:lang w:val="es-ES" w:eastAsia="es-ES_tradnl"/>
        </w:rPr>
        <w:t>Lo anterior, se desprende de las documentales que obran en el expediente de referencia, materia de la presente resolución, consistente en: la solic</w:t>
      </w:r>
      <w:r w:rsidR="00BB3F28" w:rsidRPr="00DC3A07">
        <w:rPr>
          <w:rFonts w:eastAsia="Calibri" w:cs="Tahoma"/>
          <w:iCs/>
          <w:color w:val="auto"/>
          <w:lang w:val="es-ES" w:eastAsia="es-ES_tradnl"/>
        </w:rPr>
        <w:t>i</w:t>
      </w:r>
      <w:r w:rsidR="0076190F" w:rsidRPr="00DC3A07">
        <w:rPr>
          <w:rFonts w:eastAsia="Calibri" w:cs="Tahoma"/>
          <w:iCs/>
          <w:color w:val="auto"/>
          <w:lang w:val="es-ES" w:eastAsia="es-ES_tradnl"/>
        </w:rPr>
        <w:t xml:space="preserve">tud de acceso a la información, </w:t>
      </w:r>
      <w:r w:rsidRPr="00DC3A07">
        <w:rPr>
          <w:rFonts w:eastAsia="Calibri" w:cs="Tahoma"/>
          <w:iCs/>
          <w:color w:val="auto"/>
          <w:lang w:eastAsia="es-ES_tradnl"/>
        </w:rPr>
        <w:t>el escrito recursal</w:t>
      </w:r>
      <w:r w:rsidR="0076190F" w:rsidRPr="00DC3A07">
        <w:rPr>
          <w:rFonts w:eastAsia="Calibri" w:cs="Tahoma"/>
          <w:iCs/>
          <w:color w:val="auto"/>
          <w:lang w:eastAsia="es-ES_tradnl"/>
        </w:rPr>
        <w:t xml:space="preserve"> y el Informe Justificado</w:t>
      </w:r>
      <w:r w:rsidRPr="00DC3A07">
        <w:rPr>
          <w:rFonts w:eastAsia="Calibri" w:cs="Tahoma"/>
          <w:iCs/>
          <w:color w:val="auto"/>
          <w:lang w:eastAsia="es-ES_tradnl"/>
        </w:rPr>
        <w:t xml:space="preserve">; </w:t>
      </w:r>
      <w:r w:rsidRPr="00DC3A07">
        <w:rPr>
          <w:rFonts w:eastAsia="Calibri" w:cs="Tahoma"/>
          <w:bCs/>
          <w:color w:val="auto"/>
        </w:rPr>
        <w:t>instrumentales que se toman en cuenta a efecto de resolver el presente medio de impugnación, conforme a lo dispuesto por el artículo 185, fracción IV, de la Ley de Transparencia y Acceso a la Información Pública del Estado de México y Municipios.</w:t>
      </w:r>
    </w:p>
    <w:p w14:paraId="766B3A4D" w14:textId="7FD5AF07" w:rsidR="00C672CD" w:rsidRPr="00B16FBB" w:rsidRDefault="00C672CD" w:rsidP="001B6133">
      <w:pPr>
        <w:pStyle w:val="Ttulo2"/>
        <w:spacing w:before="0" w:after="0" w:line="360" w:lineRule="auto"/>
        <w:rPr>
          <w:color w:val="FF0000"/>
          <w:sz w:val="22"/>
          <w:szCs w:val="22"/>
        </w:rPr>
      </w:pPr>
    </w:p>
    <w:p w14:paraId="36DCBD9D" w14:textId="0AA8912A" w:rsidR="005C690F" w:rsidRPr="00DC3A07" w:rsidRDefault="007D6307" w:rsidP="001B6133">
      <w:pPr>
        <w:pStyle w:val="Ttulo2"/>
        <w:spacing w:before="0" w:after="0" w:line="360" w:lineRule="auto"/>
        <w:rPr>
          <w:color w:val="auto"/>
          <w:sz w:val="22"/>
          <w:szCs w:val="22"/>
        </w:rPr>
      </w:pPr>
      <w:bookmarkStart w:id="13" w:name="_Toc213948288"/>
      <w:r w:rsidRPr="00DC3A07">
        <w:rPr>
          <w:color w:val="auto"/>
          <w:sz w:val="22"/>
          <w:szCs w:val="22"/>
        </w:rPr>
        <w:t xml:space="preserve">CUARTO. Marco normativo aplicable en materia de transparencia y </w:t>
      </w:r>
      <w:r w:rsidR="00CD6238" w:rsidRPr="00DC3A07">
        <w:rPr>
          <w:color w:val="auto"/>
          <w:sz w:val="22"/>
          <w:szCs w:val="22"/>
        </w:rPr>
        <w:t>acceso a la información pública</w:t>
      </w:r>
      <w:bookmarkEnd w:id="13"/>
    </w:p>
    <w:p w14:paraId="4D62F8F1" w14:textId="77777777" w:rsidR="005C690F" w:rsidRPr="00DC3A07" w:rsidRDefault="005C690F" w:rsidP="001B6133">
      <w:pPr>
        <w:spacing w:after="0" w:line="360" w:lineRule="auto"/>
        <w:rPr>
          <w:color w:val="auto"/>
        </w:rPr>
      </w:pPr>
    </w:p>
    <w:p w14:paraId="68F50546" w14:textId="77777777" w:rsidR="005C690F" w:rsidRPr="00DC3A07" w:rsidRDefault="007D6307" w:rsidP="001B6133">
      <w:pPr>
        <w:spacing w:after="0" w:line="360" w:lineRule="auto"/>
        <w:rPr>
          <w:color w:val="auto"/>
        </w:rPr>
      </w:pPr>
      <w:r w:rsidRPr="00DC3A07">
        <w:rPr>
          <w:color w:val="auto"/>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2A5D2D" w14:textId="77777777" w:rsidR="005C690F" w:rsidRPr="00DC3A07" w:rsidRDefault="005C690F" w:rsidP="001B6133">
      <w:pPr>
        <w:spacing w:after="0" w:line="360" w:lineRule="auto"/>
        <w:rPr>
          <w:color w:val="auto"/>
        </w:rPr>
      </w:pPr>
    </w:p>
    <w:p w14:paraId="69458899" w14:textId="77777777" w:rsidR="005C690F" w:rsidRPr="00DC3A07" w:rsidRDefault="007D6307" w:rsidP="001B6133">
      <w:pPr>
        <w:spacing w:after="0" w:line="360" w:lineRule="auto"/>
        <w:rPr>
          <w:color w:val="auto"/>
        </w:rPr>
      </w:pPr>
      <w:r w:rsidRPr="00DC3A07">
        <w:rPr>
          <w:color w:val="auto"/>
        </w:rPr>
        <w:t>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B963C29" w14:textId="77777777" w:rsidR="005C690F" w:rsidRPr="00DC3A07" w:rsidRDefault="005C690F" w:rsidP="001B6133">
      <w:pPr>
        <w:spacing w:after="0" w:line="360" w:lineRule="auto"/>
        <w:rPr>
          <w:color w:val="auto"/>
        </w:rPr>
      </w:pPr>
    </w:p>
    <w:p w14:paraId="3D8EBDEC" w14:textId="77777777" w:rsidR="005C690F" w:rsidRPr="00DC3A07" w:rsidRDefault="007D6307" w:rsidP="001B6133">
      <w:pPr>
        <w:spacing w:after="0" w:line="360" w:lineRule="auto"/>
        <w:rPr>
          <w:color w:val="auto"/>
        </w:rPr>
      </w:pPr>
      <w:r w:rsidRPr="00DC3A07">
        <w:rPr>
          <w:color w:val="auto"/>
        </w:rPr>
        <w:t>Por su parte, la Ley de Transparencia y Acceso a la Información Pública del Estado de México y Municipios (Reglamentaria del artículo 5° de la Constitución Local), establece lo siguiente:</w:t>
      </w:r>
    </w:p>
    <w:p w14:paraId="2818D616" w14:textId="77777777" w:rsidR="005C690F" w:rsidRPr="00DC3A07" w:rsidRDefault="005C690F" w:rsidP="001B6133">
      <w:pPr>
        <w:spacing w:after="0" w:line="360" w:lineRule="auto"/>
        <w:rPr>
          <w:color w:val="auto"/>
        </w:rPr>
      </w:pPr>
    </w:p>
    <w:p w14:paraId="5BD9CB2E" w14:textId="77777777" w:rsidR="005C690F" w:rsidRPr="00DC3A07" w:rsidRDefault="007D6307" w:rsidP="001B6133">
      <w:pPr>
        <w:spacing w:after="0" w:line="360" w:lineRule="auto"/>
        <w:rPr>
          <w:color w:val="auto"/>
        </w:rPr>
      </w:pPr>
      <w:r w:rsidRPr="00DC3A07">
        <w:rPr>
          <w:color w:val="auto"/>
        </w:rPr>
        <w:t>El artículo 12, que, quienes generen, recopilen, administren, manejen, procesen, archiven o conserven información pública serán responsables de la misma.</w:t>
      </w:r>
    </w:p>
    <w:p w14:paraId="6BD1FFBB" w14:textId="77777777" w:rsidR="007C02D1" w:rsidRPr="00DC3A07" w:rsidRDefault="007C02D1" w:rsidP="001B6133">
      <w:pPr>
        <w:spacing w:after="0" w:line="360" w:lineRule="auto"/>
        <w:rPr>
          <w:color w:val="auto"/>
        </w:rPr>
      </w:pPr>
    </w:p>
    <w:p w14:paraId="3D899A16" w14:textId="77777777" w:rsidR="005C690F" w:rsidRPr="00DC3A07" w:rsidRDefault="007D6307" w:rsidP="001B6133">
      <w:pPr>
        <w:widowControl w:val="0"/>
        <w:spacing w:after="0" w:line="360" w:lineRule="auto"/>
        <w:rPr>
          <w:color w:val="auto"/>
        </w:rPr>
      </w:pPr>
      <w:r w:rsidRPr="00DC3A07">
        <w:rPr>
          <w:color w:val="auto"/>
        </w:rPr>
        <w:t>El artículo 18, que, los Sujetos Obligados deberán documentar todo acto que derive del ejercicio de sus facultades, competencias o funciones, considerando desde su origen la eventual publicidad y reutilización de la información que generen.</w:t>
      </w:r>
    </w:p>
    <w:p w14:paraId="1E2F11F7" w14:textId="77777777" w:rsidR="00B153FA" w:rsidRPr="00DC3A07" w:rsidRDefault="00B153FA" w:rsidP="001B6133">
      <w:pPr>
        <w:widowControl w:val="0"/>
        <w:spacing w:after="0" w:line="360" w:lineRule="auto"/>
        <w:rPr>
          <w:color w:val="auto"/>
        </w:rPr>
      </w:pPr>
    </w:p>
    <w:p w14:paraId="70E5B643" w14:textId="378E2A57" w:rsidR="00B04A35" w:rsidRPr="00DC3A07" w:rsidRDefault="007D6307" w:rsidP="001B6133">
      <w:pPr>
        <w:spacing w:after="0" w:line="360" w:lineRule="auto"/>
        <w:rPr>
          <w:color w:val="auto"/>
        </w:rPr>
      </w:pPr>
      <w:r w:rsidRPr="00DC3A07">
        <w:rPr>
          <w:color w:val="auto"/>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30795D2E" w14:textId="77777777" w:rsidR="005C690F" w:rsidRPr="00DC3A07" w:rsidRDefault="005C690F" w:rsidP="001B6133">
      <w:pPr>
        <w:spacing w:after="0" w:line="360" w:lineRule="auto"/>
        <w:rPr>
          <w:color w:val="auto"/>
        </w:rPr>
      </w:pPr>
    </w:p>
    <w:p w14:paraId="3AF871E5" w14:textId="6FEB966D" w:rsidR="005C690F" w:rsidRPr="00DC3A07" w:rsidRDefault="00CD6238" w:rsidP="001B6133">
      <w:pPr>
        <w:pStyle w:val="Ttulo2"/>
        <w:spacing w:before="0" w:after="0" w:line="360" w:lineRule="auto"/>
        <w:rPr>
          <w:color w:val="auto"/>
          <w:sz w:val="22"/>
          <w:szCs w:val="22"/>
        </w:rPr>
      </w:pPr>
      <w:bookmarkStart w:id="14" w:name="_Toc213948289"/>
      <w:r w:rsidRPr="00DC3A07">
        <w:rPr>
          <w:color w:val="auto"/>
          <w:sz w:val="22"/>
          <w:szCs w:val="22"/>
        </w:rPr>
        <w:t>Q</w:t>
      </w:r>
      <w:r w:rsidR="0044017B" w:rsidRPr="00DC3A07">
        <w:rPr>
          <w:color w:val="auto"/>
          <w:sz w:val="22"/>
          <w:szCs w:val="22"/>
        </w:rPr>
        <w:t>UINTO</w:t>
      </w:r>
      <w:r w:rsidRPr="00DC3A07">
        <w:rPr>
          <w:color w:val="auto"/>
          <w:sz w:val="22"/>
          <w:szCs w:val="22"/>
        </w:rPr>
        <w:t>. Estudio de Fondo</w:t>
      </w:r>
      <w:bookmarkEnd w:id="14"/>
    </w:p>
    <w:p w14:paraId="2596B212" w14:textId="77777777" w:rsidR="00A56228" w:rsidRPr="00B16FBB" w:rsidRDefault="00A56228" w:rsidP="001B6133">
      <w:pPr>
        <w:spacing w:after="0" w:line="360" w:lineRule="auto"/>
        <w:rPr>
          <w:b/>
          <w:color w:val="FF0000"/>
        </w:rPr>
      </w:pPr>
    </w:p>
    <w:p w14:paraId="5F490A49" w14:textId="71CC9B98" w:rsidR="007F4407" w:rsidRPr="00DC3A07" w:rsidRDefault="0064067B" w:rsidP="001B6133">
      <w:pPr>
        <w:spacing w:after="0" w:line="360" w:lineRule="auto"/>
        <w:rPr>
          <w:rFonts w:eastAsia="Times New Roman" w:cs="Tahoma"/>
          <w:bCs/>
          <w:iCs/>
          <w:color w:val="auto"/>
          <w:lang w:eastAsia="es-ES"/>
        </w:rPr>
      </w:pPr>
      <w:r w:rsidRPr="00DC3A07">
        <w:rPr>
          <w:color w:val="auto"/>
        </w:rPr>
        <w:t>Expuestas las posturas de las partes, se procede al análisis de los agravios hechos valer por la persona Recurrente</w:t>
      </w:r>
      <w:r w:rsidR="00731FB9" w:rsidRPr="00DC3A07">
        <w:rPr>
          <w:color w:val="auto"/>
        </w:rPr>
        <w:t xml:space="preserve">, </w:t>
      </w:r>
      <w:r w:rsidR="007F4407" w:rsidRPr="00DC3A07">
        <w:rPr>
          <w:rFonts w:eastAsia="Times New Roman" w:cs="Tahoma"/>
          <w:bCs/>
          <w:iCs/>
          <w:color w:val="auto"/>
          <w:lang w:eastAsia="es-ES"/>
        </w:rPr>
        <w:t>por lo que, en principio es necesario contextualizar la solicitud de información.</w:t>
      </w:r>
    </w:p>
    <w:p w14:paraId="2F941D6C" w14:textId="77777777" w:rsidR="001F74C5" w:rsidRDefault="001F74C5" w:rsidP="001B6133">
      <w:pPr>
        <w:spacing w:after="0" w:line="360" w:lineRule="auto"/>
        <w:rPr>
          <w:rFonts w:eastAsia="Times New Roman" w:cs="Tahoma"/>
          <w:bCs/>
          <w:iCs/>
          <w:color w:val="auto"/>
          <w:lang w:eastAsia="es-ES"/>
        </w:rPr>
      </w:pPr>
    </w:p>
    <w:p w14:paraId="41454C03" w14:textId="1550DC8C" w:rsidR="009359CF" w:rsidRDefault="009359CF" w:rsidP="001B6133">
      <w:pPr>
        <w:spacing w:after="0" w:line="360" w:lineRule="auto"/>
        <w:rPr>
          <w:rFonts w:eastAsia="Times New Roman" w:cs="Tahoma"/>
          <w:bCs/>
          <w:iCs/>
          <w:color w:val="auto"/>
          <w:lang w:eastAsia="es-ES"/>
        </w:rPr>
      </w:pPr>
      <w:r>
        <w:rPr>
          <w:rFonts w:eastAsia="Times New Roman" w:cs="Tahoma"/>
          <w:bCs/>
          <w:iCs/>
          <w:color w:val="auto"/>
          <w:lang w:eastAsia="es-ES"/>
        </w:rPr>
        <w:t>En principio, el Glosario económico y financiero emitido por la</w:t>
      </w:r>
      <w:r w:rsidRPr="009359CF">
        <w:t xml:space="preserve"> </w:t>
      </w:r>
      <w:r w:rsidRPr="009359CF">
        <w:rPr>
          <w:rFonts w:eastAsia="Times New Roman" w:cs="Tahoma"/>
          <w:bCs/>
          <w:iCs/>
          <w:color w:val="auto"/>
          <w:lang w:eastAsia="es-ES"/>
        </w:rPr>
        <w:t>Comisión Nacional para la Protección y Defensa de los Usuarios de Servicios Financieros</w:t>
      </w:r>
      <w:r>
        <w:rPr>
          <w:rFonts w:eastAsia="Times New Roman" w:cs="Tahoma"/>
          <w:bCs/>
          <w:iCs/>
          <w:color w:val="auto"/>
          <w:lang w:eastAsia="es-ES"/>
        </w:rPr>
        <w:t>, establece que el Estado de cuenta es aquel documento que emite una institución financiera, donde se desglosan todas las disposiciones, pagos, intereses y comisiones que se efectuaron o se generaron en una cuenta durante un periodo determinado</w:t>
      </w:r>
      <w:r w:rsidR="007C536C">
        <w:rPr>
          <w:rFonts w:eastAsia="Times New Roman" w:cs="Tahoma"/>
          <w:bCs/>
          <w:iCs/>
          <w:color w:val="auto"/>
          <w:lang w:eastAsia="es-ES"/>
        </w:rPr>
        <w:t>.</w:t>
      </w:r>
    </w:p>
    <w:p w14:paraId="06C30DC3" w14:textId="77777777" w:rsidR="009359CF" w:rsidRDefault="009359CF" w:rsidP="001B6133">
      <w:pPr>
        <w:spacing w:after="0" w:line="360" w:lineRule="auto"/>
        <w:rPr>
          <w:rFonts w:eastAsia="Times New Roman" w:cs="Tahoma"/>
          <w:bCs/>
          <w:iCs/>
          <w:color w:val="auto"/>
          <w:lang w:eastAsia="es-ES"/>
        </w:rPr>
      </w:pPr>
    </w:p>
    <w:p w14:paraId="5CD2F3A7" w14:textId="189CC06A" w:rsidR="007C536C" w:rsidRDefault="007C536C" w:rsidP="009359CF">
      <w:pPr>
        <w:spacing w:after="0" w:line="360" w:lineRule="auto"/>
        <w:contextualSpacing/>
        <w:rPr>
          <w:color w:val="auto"/>
        </w:rPr>
      </w:pPr>
      <w:r>
        <w:rPr>
          <w:color w:val="auto"/>
        </w:rPr>
        <w:t>De la misma manera,</w:t>
      </w:r>
      <w:r w:rsidR="009359CF">
        <w:rPr>
          <w:color w:val="auto"/>
        </w:rPr>
        <w:t xml:space="preserve"> </w:t>
      </w:r>
      <w:r>
        <w:rPr>
          <w:color w:val="auto"/>
        </w:rPr>
        <w:t>I</w:t>
      </w:r>
      <w:r w:rsidRPr="007C536C">
        <w:rPr>
          <w:color w:val="auto"/>
        </w:rPr>
        <w:t>nstitución de Banca Múltiple</w:t>
      </w:r>
      <w:r>
        <w:rPr>
          <w:color w:val="auto"/>
        </w:rPr>
        <w:t xml:space="preserve"> BBVA, señala que es el documento oficial emitido por el banco al titular de una cuenta, en el que se pueden revisar todos los movimientos r</w:t>
      </w:r>
      <w:r w:rsidRPr="007C536C">
        <w:rPr>
          <w:color w:val="auto"/>
        </w:rPr>
        <w:t>ealizados durante el período: consumos, transferencias, pagos recibidos, retiros, uso y pagos de créditos, entre otros</w:t>
      </w:r>
      <w:r>
        <w:rPr>
          <w:color w:val="auto"/>
        </w:rPr>
        <w:t>.</w:t>
      </w:r>
    </w:p>
    <w:p w14:paraId="065AD32C" w14:textId="77777777" w:rsidR="007C536C" w:rsidRDefault="007C536C" w:rsidP="009359CF">
      <w:pPr>
        <w:spacing w:after="0" w:line="360" w:lineRule="auto"/>
        <w:contextualSpacing/>
        <w:rPr>
          <w:color w:val="auto"/>
        </w:rPr>
      </w:pPr>
    </w:p>
    <w:p w14:paraId="18E6A52F" w14:textId="6E02A795" w:rsidR="007C536C" w:rsidRDefault="007C536C" w:rsidP="007C536C">
      <w:pPr>
        <w:spacing w:line="360" w:lineRule="auto"/>
        <w:contextualSpacing/>
      </w:pPr>
      <w:r>
        <w:t>En ese orden de ideas, el diverso 8°, fracciones XI y XIV, de dicho ordenamiento jurídico, establece que el Órgano Superior de Fiscalización del Estado de México, será el encargado de establecer los lineamientos necesarios para la elaboración de los informes; además que verificará que dichos informes hayan sido presentados conforme a la normatividad aplicable.</w:t>
      </w:r>
    </w:p>
    <w:p w14:paraId="55640A3B" w14:textId="69012133" w:rsidR="007C536C" w:rsidRPr="007C536C" w:rsidRDefault="007C536C" w:rsidP="007C536C">
      <w:pPr>
        <w:spacing w:line="360" w:lineRule="auto"/>
        <w:contextualSpacing/>
        <w:rPr>
          <w:rFonts w:eastAsia="Times New Roman" w:cs="Tahoma"/>
          <w:iCs/>
          <w:color w:val="auto"/>
          <w:lang w:eastAsia="es-ES"/>
        </w:rPr>
      </w:pPr>
      <w:r w:rsidRPr="007C536C">
        <w:rPr>
          <w:rFonts w:eastAsia="Times New Roman" w:cs="Tahoma"/>
          <w:iCs/>
          <w:color w:val="auto"/>
          <w:lang w:eastAsia="es-ES"/>
        </w:rPr>
        <w:t xml:space="preserve">En ese contexto, los Lineamientos para la integración y presentación de los Informes Trimestrales Estatales y Municipales del Ejercicio Fiscal 2025, emitidos por el Órgano Superior de Fiscalización del Estado de México, establecen que los </w:t>
      </w:r>
      <w:r>
        <w:rPr>
          <w:rFonts w:eastAsia="Times New Roman" w:cs="Tahoma"/>
          <w:iCs/>
          <w:color w:val="auto"/>
          <w:lang w:eastAsia="es-ES"/>
        </w:rPr>
        <w:t xml:space="preserve">Organismos Públicos Municipales Descentralizados </w:t>
      </w:r>
      <w:r w:rsidRPr="007C536C">
        <w:rPr>
          <w:rFonts w:eastAsia="Times New Roman" w:cs="Tahoma"/>
          <w:iCs/>
          <w:color w:val="auto"/>
          <w:lang w:eastAsia="es-ES"/>
        </w:rPr>
        <w:t>deben de proporcionar, para su fiscalización, diversos documentos, entre los cuales se encuentran aquellos del Módulo 1, referente a la Información Cantable y Financiera, que contienen, las Conciliaciones Bancarias, mismas que se deberán generar de manera mensual.</w:t>
      </w:r>
    </w:p>
    <w:p w14:paraId="11E759E2" w14:textId="77777777" w:rsidR="009359CF" w:rsidRDefault="009359CF" w:rsidP="001B6133">
      <w:pPr>
        <w:spacing w:after="0" w:line="360" w:lineRule="auto"/>
        <w:rPr>
          <w:rFonts w:eastAsia="Times New Roman" w:cs="Tahoma"/>
          <w:bCs/>
          <w:iCs/>
          <w:color w:val="auto"/>
          <w:lang w:eastAsia="es-ES"/>
        </w:rPr>
      </w:pPr>
    </w:p>
    <w:p w14:paraId="092348EB" w14:textId="77777777" w:rsidR="007C536C" w:rsidRDefault="007C536C" w:rsidP="007C536C">
      <w:pPr>
        <w:spacing w:line="360" w:lineRule="auto"/>
        <w:contextualSpacing/>
        <w:rPr>
          <w:rFonts w:eastAsia="Times New Roman" w:cs="Tahoma"/>
          <w:iCs/>
          <w:color w:val="auto"/>
          <w:lang w:eastAsia="es-ES"/>
        </w:rPr>
      </w:pPr>
      <w:r>
        <w:rPr>
          <w:rFonts w:eastAsia="Times New Roman" w:cs="Tahoma"/>
          <w:iCs/>
          <w:color w:val="auto"/>
          <w:lang w:eastAsia="es-ES"/>
        </w:rPr>
        <w:t xml:space="preserve">En ese contexto, el Instructivo de llenado del módulo 1 “Información Contable y Financiera”, establece que las Conciliaciones Bancarias deberá integrarse en un archivo “PDF”, las cuales deben de contener la Carátula de la Conciliación, la Relación de las Partida en Conciliación y el </w:t>
      </w:r>
      <w:r>
        <w:rPr>
          <w:rFonts w:eastAsia="Times New Roman" w:cs="Tahoma"/>
          <w:b/>
          <w:bCs/>
          <w:iCs/>
          <w:color w:val="auto"/>
          <w:lang w:eastAsia="es-ES"/>
        </w:rPr>
        <w:t xml:space="preserve">Estado de Cuenta Bancario; </w:t>
      </w:r>
      <w:r>
        <w:rPr>
          <w:rFonts w:eastAsia="Times New Roman" w:cs="Tahoma"/>
          <w:iCs/>
          <w:color w:val="auto"/>
          <w:lang w:eastAsia="es-ES"/>
        </w:rPr>
        <w:t xml:space="preserve">además, establece que las Conciliaciones Bancarias deberán contener diversos datos, entre los cuales se encuentran </w:t>
      </w:r>
      <w:r>
        <w:rPr>
          <w:rFonts w:eastAsia="Times New Roman" w:cs="Tahoma"/>
          <w:b/>
          <w:bCs/>
          <w:iCs/>
          <w:color w:val="auto"/>
          <w:lang w:eastAsia="es-ES"/>
        </w:rPr>
        <w:t>“Saldo en Estado de Cuenta Bancario</w:t>
      </w:r>
      <w:r>
        <w:rPr>
          <w:rFonts w:eastAsia="Times New Roman" w:cs="Tahoma"/>
          <w:iCs/>
          <w:color w:val="auto"/>
          <w:lang w:eastAsia="es-ES"/>
        </w:rPr>
        <w:t>, que contiene el saldo final reportado en la documental emitida por la institución financiera.</w:t>
      </w:r>
    </w:p>
    <w:p w14:paraId="5763AA44" w14:textId="77777777" w:rsidR="007C536C" w:rsidRPr="00DC3A07" w:rsidRDefault="007C536C" w:rsidP="001B6133">
      <w:pPr>
        <w:spacing w:after="0" w:line="360" w:lineRule="auto"/>
        <w:rPr>
          <w:rFonts w:eastAsia="Times New Roman" w:cs="Tahoma"/>
          <w:bCs/>
          <w:iCs/>
          <w:color w:val="auto"/>
          <w:lang w:eastAsia="es-ES"/>
        </w:rPr>
      </w:pPr>
    </w:p>
    <w:p w14:paraId="09C0EDF1" w14:textId="6F253950" w:rsidR="00995CFF" w:rsidRDefault="00995CFF" w:rsidP="00995CFF">
      <w:pPr>
        <w:spacing w:after="0" w:line="360" w:lineRule="auto"/>
        <w:rPr>
          <w:rFonts w:cs="Tahoma"/>
          <w:color w:val="auto"/>
        </w:rPr>
      </w:pPr>
      <w:r>
        <w:rPr>
          <w:rFonts w:eastAsia="Calibri" w:cs="Tahoma"/>
          <w:bCs/>
          <w:color w:val="auto"/>
          <w:lang w:eastAsia="en-US"/>
        </w:rPr>
        <w:t xml:space="preserve">Conforme a lo anterior, se logra vislumbrar que la pretensión del ahora Recurrente, es obtener </w:t>
      </w:r>
      <w:r>
        <w:rPr>
          <w:rFonts w:cs="Tahoma"/>
          <w:color w:val="auto"/>
        </w:rPr>
        <w:t xml:space="preserve">los Estados de cuenta bancarios del mes de marzo de dos mil veinticinco; establecido lo anterior, es necesario precisar que de las constancias que obran en el expediente se logra vislumbrar que el Sujeto Obligado turno la solicitud de información a la </w:t>
      </w:r>
      <w:r>
        <w:rPr>
          <w:rFonts w:cs="Tahoma"/>
          <w:b/>
          <w:bCs/>
          <w:color w:val="auto"/>
        </w:rPr>
        <w:t>Tesorería</w:t>
      </w:r>
      <w:r>
        <w:rPr>
          <w:rFonts w:cs="Tahoma"/>
          <w:color w:val="auto"/>
        </w:rPr>
        <w:t xml:space="preserve">, por lo que, es necesario hacer referencia </w:t>
      </w:r>
      <w:r>
        <w:rPr>
          <w:rFonts w:cs="Tahoma"/>
          <w:b/>
          <w:bCs/>
          <w:color w:val="auto"/>
        </w:rPr>
        <w:t>al procedimiento de búsqueda que deben de seguir los Sujetos Obligados para localizar la información</w:t>
      </w:r>
      <w:r>
        <w:rPr>
          <w:rFonts w:cs="Tahoma"/>
          <w:color w:val="auto"/>
        </w:rPr>
        <w:t xml:space="preserve">, el cual se encuentra previsto en el artículo 162 de la Ley de </w:t>
      </w:r>
      <w:r>
        <w:rPr>
          <w:rFonts w:eastAsia="Calibri" w:cs="Tahoma"/>
          <w:bCs/>
          <w:color w:val="auto"/>
          <w:lang w:eastAsia="en-US"/>
        </w:rPr>
        <w:t>Transparencia y Acceso a la Información Pública del Estado de México y Municipios, el cual establece que las Unidades de Transparencia garantizarán que las solicitudes de acceso a la información se turnen a todas las áreas competentes que cuenten con la</w:t>
      </w:r>
      <w:r>
        <w:rPr>
          <w:color w:val="auto"/>
        </w:rPr>
        <w:t xml:space="preserve"> </w:t>
      </w:r>
      <w:r>
        <w:rPr>
          <w:rFonts w:eastAsia="Calibri" w:cs="Tahoma"/>
          <w:bCs/>
          <w:color w:val="auto"/>
          <w:lang w:eastAsia="en-US"/>
        </w:rPr>
        <w:t>información o deban tenerla de acuerdo con las facultades, competencias y funciones, con el objeto de que dichas áreas realicen una búsqueda exhaustiva y razonable de la información requerida.</w:t>
      </w:r>
    </w:p>
    <w:p w14:paraId="4974D9B1" w14:textId="77777777" w:rsidR="00995CFF" w:rsidRDefault="00995CFF" w:rsidP="00995CFF">
      <w:pPr>
        <w:spacing w:after="0" w:line="360" w:lineRule="auto"/>
        <w:rPr>
          <w:rFonts w:eastAsia="Times New Roman" w:cs="Tahoma"/>
          <w:iCs/>
          <w:color w:val="FF0000"/>
          <w:lang w:eastAsia="es-ES"/>
        </w:rPr>
      </w:pPr>
    </w:p>
    <w:p w14:paraId="22D03C69" w14:textId="4ED60100" w:rsidR="00995CFF" w:rsidRDefault="00995CFF" w:rsidP="00995CFF">
      <w:pPr>
        <w:spacing w:after="0" w:line="360" w:lineRule="auto"/>
      </w:pPr>
      <w:r>
        <w:rPr>
          <w:rFonts w:eastAsia="Times New Roman" w:cs="Tahoma"/>
          <w:iCs/>
          <w:color w:val="auto"/>
          <w:lang w:eastAsia="es-ES"/>
        </w:rPr>
        <w:t>Así y en atención al Portal de Información Pública de Oficio Mexiquense, se logra vislumbrar que el Sujeto Obligado cuenta con una Tesorería encargada de administrar los recursos financieros; de elaborar y supervisar el ejercicio presupuestal del Organismo, así como, registrar, controlar y reportar los ingresos y egresos; por lo que, se logra colegir que el Sujeto Obligado cumplió con el procedimiento de búsqueda establecido en el artículo 162 de la Ley de Transparencia y Acceso a la Información Pública del Estado de México y Municipios, toda vez, que turnó el requerimiento informativo al área encargada de conocer de lo peticionado.</w:t>
      </w:r>
    </w:p>
    <w:p w14:paraId="00B4E206" w14:textId="77777777" w:rsidR="00B61219" w:rsidRDefault="00B61219" w:rsidP="00995CFF">
      <w:pPr>
        <w:spacing w:after="0" w:line="360" w:lineRule="auto"/>
        <w:rPr>
          <w:color w:val="auto"/>
        </w:rPr>
      </w:pPr>
    </w:p>
    <w:p w14:paraId="378E8741" w14:textId="73128C6F" w:rsidR="00995CFF" w:rsidRDefault="00995CFF" w:rsidP="00995CFF">
      <w:pPr>
        <w:spacing w:after="0" w:line="360" w:lineRule="auto"/>
      </w:pPr>
      <w:r>
        <w:t>Ahora bien, dicha área mencionó que la información solicitada no podía ser proporcionada al ser información reservada, en términos del artículo 140 de la Ley de Transparencia y Acceso a la Información Pública del Estado de México y Municipios.</w:t>
      </w:r>
    </w:p>
    <w:p w14:paraId="0329F0BE" w14:textId="77777777" w:rsidR="00FD2125" w:rsidRDefault="00FD2125" w:rsidP="001F74C5">
      <w:pPr>
        <w:spacing w:after="0" w:line="360" w:lineRule="auto"/>
      </w:pPr>
    </w:p>
    <w:p w14:paraId="2781A8E7" w14:textId="77777777" w:rsidR="003E60A2" w:rsidRDefault="003E60A2" w:rsidP="003E60A2">
      <w:pPr>
        <w:spacing w:after="0" w:line="360" w:lineRule="auto"/>
      </w:pPr>
      <w:r>
        <w:t xml:space="preserve">En ese sentido, según Trujillo, Humberto (2019), en el “Diccionario de Transparencia y Acceso a la Información Pública” (p. 201), </w:t>
      </w:r>
      <w:r>
        <w:rPr>
          <w:b/>
          <w:bCs/>
        </w:rPr>
        <w:t>la negativa de acceso a la información</w:t>
      </w:r>
      <w:r>
        <w:t xml:space="preserve"> ocurre cuanto de manera fundada y motivada, una autoridad la niega o la limita, por alguna de las siguientes razones:</w:t>
      </w:r>
    </w:p>
    <w:p w14:paraId="34395F04" w14:textId="77777777" w:rsidR="003E60A2" w:rsidRDefault="003E60A2" w:rsidP="003E60A2">
      <w:pPr>
        <w:spacing w:after="0" w:line="360" w:lineRule="auto"/>
        <w:rPr>
          <w:rFonts w:eastAsia="Times New Roman" w:cs="Tahoma"/>
          <w:iCs/>
          <w:color w:val="FF0000"/>
          <w:lang w:eastAsia="es-ES"/>
        </w:rPr>
      </w:pPr>
    </w:p>
    <w:p w14:paraId="17FEDFAB" w14:textId="77777777" w:rsidR="003E60A2" w:rsidRDefault="003E60A2" w:rsidP="003E60A2">
      <w:pPr>
        <w:pStyle w:val="Prrafodelista"/>
        <w:numPr>
          <w:ilvl w:val="0"/>
          <w:numId w:val="39"/>
        </w:numPr>
        <w:spacing w:line="360" w:lineRule="auto"/>
        <w:rPr>
          <w:color w:val="auto"/>
        </w:rPr>
      </w:pPr>
      <w:r>
        <w:rPr>
          <w:b/>
          <w:bCs/>
          <w:color w:val="auto"/>
        </w:rPr>
        <w:t>La inexistencia de la información (p. 171):</w:t>
      </w:r>
      <w:r>
        <w:rPr>
          <w:color w:val="auto"/>
        </w:rPr>
        <w:t xml:space="preserve"> Sucede cuando la información solicitada no se encuentra en los archivos públicos o clasificados de los entes sujetos a las Leyes de Transparencia.</w:t>
      </w:r>
    </w:p>
    <w:p w14:paraId="27D753FA" w14:textId="77777777" w:rsidR="003E60A2" w:rsidRDefault="003E60A2" w:rsidP="003E60A2">
      <w:pPr>
        <w:spacing w:after="0" w:line="360" w:lineRule="auto"/>
        <w:rPr>
          <w:color w:val="auto"/>
        </w:rPr>
      </w:pPr>
    </w:p>
    <w:p w14:paraId="0ABD61C9" w14:textId="77777777" w:rsidR="003E60A2" w:rsidRDefault="003E60A2" w:rsidP="003E60A2">
      <w:pPr>
        <w:pStyle w:val="Prrafodelista"/>
        <w:numPr>
          <w:ilvl w:val="0"/>
          <w:numId w:val="39"/>
        </w:numPr>
        <w:spacing w:line="360" w:lineRule="auto"/>
        <w:rPr>
          <w:color w:val="auto"/>
        </w:rPr>
      </w:pPr>
      <w:r>
        <w:rPr>
          <w:b/>
          <w:bCs/>
          <w:color w:val="auto"/>
        </w:rPr>
        <w:t>La incompetencia del Sujeto Obligado (p. 171):</w:t>
      </w:r>
      <w:r>
        <w:rPr>
          <w:color w:val="auto"/>
        </w:rPr>
        <w:t xml:space="preserve"> Ocurre cuando el Sujeto Obligado carece de atribuciones para poseer la información peticionada.</w:t>
      </w:r>
    </w:p>
    <w:p w14:paraId="1E5D05D5" w14:textId="77777777" w:rsidR="003E60A2" w:rsidRDefault="003E60A2" w:rsidP="003E60A2">
      <w:pPr>
        <w:spacing w:after="0" w:line="360" w:lineRule="auto"/>
        <w:rPr>
          <w:color w:val="auto"/>
        </w:rPr>
      </w:pPr>
    </w:p>
    <w:p w14:paraId="71B57D7D" w14:textId="77777777" w:rsidR="003E60A2" w:rsidRDefault="003E60A2" w:rsidP="003E60A2">
      <w:pPr>
        <w:pStyle w:val="Prrafodelista"/>
        <w:numPr>
          <w:ilvl w:val="0"/>
          <w:numId w:val="39"/>
        </w:numPr>
        <w:spacing w:line="360" w:lineRule="auto"/>
        <w:rPr>
          <w:rFonts w:cs="Tahoma"/>
          <w:iCs/>
          <w:color w:val="auto"/>
        </w:rPr>
      </w:pPr>
      <w:r>
        <w:rPr>
          <w:b/>
          <w:bCs/>
          <w:color w:val="auto"/>
        </w:rPr>
        <w:t>La clasificación de la información (p. 70):</w:t>
      </w:r>
      <w:r>
        <w:rPr>
          <w:color w:val="auto"/>
        </w:rPr>
        <w:t xml:space="preserve"> Es el proceso o conjunto de acciones que realizan los sujetos obligados para establecer que determinada información se encuentra en alguno de los supuestos de reserva o confidencialidad establecidos en la legislación en materia de transparencia.</w:t>
      </w:r>
    </w:p>
    <w:p w14:paraId="5A9C1EB1" w14:textId="77777777" w:rsidR="003E60A2" w:rsidRDefault="003E60A2" w:rsidP="003E60A2">
      <w:pPr>
        <w:spacing w:after="0" w:line="360" w:lineRule="auto"/>
      </w:pPr>
    </w:p>
    <w:p w14:paraId="325256ED" w14:textId="77777777" w:rsidR="003E60A2" w:rsidRDefault="003E60A2" w:rsidP="003E60A2">
      <w:pPr>
        <w:spacing w:after="0" w:line="360" w:lineRule="auto"/>
        <w:rPr>
          <w:b/>
          <w:bCs/>
        </w:rPr>
      </w:pPr>
      <w:r>
        <w:t xml:space="preserve">Conforme a lo anterior, es de señalar que las excepciones al derecho de acceso a la información, consisten en que </w:t>
      </w:r>
      <w:r>
        <w:rPr>
          <w:b/>
          <w:bCs/>
        </w:rPr>
        <w:t>la documentación sea inexistente, obre en los archivos, pero se encuentre clasificada, o bien, el Sujeto Obligado sea incompetente</w:t>
      </w:r>
      <w:r>
        <w:t xml:space="preserve"> para contar con esta; esto es, la negativa de acceso a la información, recae cuando la documentación no se encuentre en los archivos del sujeto obligado, o bien exista, pero no pueda proporcionarse por contener datos </w:t>
      </w:r>
      <w:r>
        <w:rPr>
          <w:b/>
          <w:bCs/>
        </w:rPr>
        <w:t>confidenciales o reservados.</w:t>
      </w:r>
    </w:p>
    <w:p w14:paraId="1BDD87C9" w14:textId="77777777" w:rsidR="003E60A2" w:rsidRDefault="003E60A2" w:rsidP="003E60A2">
      <w:pPr>
        <w:spacing w:after="0" w:line="360" w:lineRule="auto"/>
      </w:pPr>
    </w:p>
    <w:p w14:paraId="1CAEDAA7" w14:textId="77777777" w:rsidR="003E60A2" w:rsidRDefault="003E60A2" w:rsidP="003E60A2">
      <w:pPr>
        <w:spacing w:after="0" w:line="360" w:lineRule="auto"/>
      </w:pPr>
      <w:r>
        <w:t xml:space="preserve">En ese contexto, es de referir que el Sujeto Obligado, precisó que no podía entregar la información al ser información confidencial; sobre el tema, en los artículos 122, 128 y 130 de la Ley Transparencia y Acceso a la Información Pública del Estado de México y Municipios, se prevé que la clasificación es el proceso mediante el cual los sujetos obligados determinan que la información en su poder, actualiza alguno de los supuestos de </w:t>
      </w:r>
      <w:r>
        <w:rPr>
          <w:b/>
          <w:bCs/>
        </w:rPr>
        <w:t>reserva o confidencialidad</w:t>
      </w:r>
      <w:r>
        <w:t>. Además, que dichos entes deberán aplicar de manera restrictiva y limitada, las excepciones al derecho de acceso a la información, por lo que, tendrán que acreditar la procedencia.</w:t>
      </w:r>
    </w:p>
    <w:p w14:paraId="7B06E7B8" w14:textId="77777777" w:rsidR="003E60A2" w:rsidRDefault="003E60A2" w:rsidP="003E60A2">
      <w:pPr>
        <w:spacing w:after="0" w:line="360" w:lineRule="auto"/>
      </w:pPr>
    </w:p>
    <w:p w14:paraId="52F480BE" w14:textId="77777777" w:rsidR="003E60A2" w:rsidRDefault="003E60A2" w:rsidP="003E60A2">
      <w:pPr>
        <w:spacing w:after="0" w:line="360" w:lineRule="auto"/>
      </w:pPr>
      <w:r>
        <w:t xml:space="preserve">Por lo cual, en los casos en que se niegue el acceso a la información, por actualizarse alguno de los supuestos de clasificación, </w:t>
      </w:r>
      <w:r>
        <w:rPr>
          <w:b/>
          <w:bCs/>
        </w:rPr>
        <w:t>el Comité de Transparencia deberá confirmar, modificar o revocar la decisión;</w:t>
      </w:r>
      <w:r>
        <w:t xml:space="preserve"> además, deberá motivar la confirmación de dicha situación, señalando las razones, motivos o circunstancias especiales que llevaron al sujeto obligado a concluir que en el caso particular se ajusta al supuesto previsto por la norma legal invocada como fundamento.</w:t>
      </w:r>
    </w:p>
    <w:p w14:paraId="08FBDF74" w14:textId="77777777" w:rsidR="003E60A2" w:rsidRDefault="003E60A2" w:rsidP="003E60A2">
      <w:pPr>
        <w:spacing w:after="0" w:line="360" w:lineRule="auto"/>
      </w:pPr>
    </w:p>
    <w:p w14:paraId="41B8243B" w14:textId="77777777" w:rsidR="003E60A2" w:rsidRDefault="003E60A2" w:rsidP="003E60A2">
      <w:pPr>
        <w:spacing w:after="0" w:line="360" w:lineRule="auto"/>
        <w:rPr>
          <w:b/>
          <w:bCs/>
        </w:rPr>
      </w:pPr>
      <w:r>
        <w:t xml:space="preserve">En ese contexto, de la interpretación del artículo 134 de la Ley de Transparencia y Acceso a la Información Pública del Estado de México y Municipios, se logra observar que </w:t>
      </w:r>
      <w:r>
        <w:rPr>
          <w:b/>
          <w:bCs/>
        </w:rPr>
        <w:t>la clasificación depende del contenido de los documentos, pues de su análisis se establece si corresponde a una clasificación total o parcial.</w:t>
      </w:r>
    </w:p>
    <w:p w14:paraId="5052C306" w14:textId="77777777" w:rsidR="003E60A2" w:rsidRDefault="003E60A2" w:rsidP="003E60A2">
      <w:pPr>
        <w:spacing w:after="0" w:line="360" w:lineRule="auto"/>
      </w:pPr>
    </w:p>
    <w:p w14:paraId="1210A3FC" w14:textId="77777777" w:rsidR="003E60A2" w:rsidRDefault="003E60A2" w:rsidP="003E60A2">
      <w:pPr>
        <w:spacing w:after="0" w:line="360" w:lineRule="auto"/>
      </w:pPr>
      <w:r>
        <w:t>En otro orden de ideas, la clasificación como reservada o confidencial, en materia de transparencia y acceso a la información, va tendiente al contenido de los documentos, sin tomar en cuenta otras situaciones como la localización o ubicación de los archivos, pues su fin es proteger la información contenida en estos</w:t>
      </w:r>
    </w:p>
    <w:p w14:paraId="236FB61E" w14:textId="77777777" w:rsidR="003E60A2" w:rsidRDefault="003E60A2" w:rsidP="003E60A2">
      <w:pPr>
        <w:spacing w:after="0" w:line="360" w:lineRule="auto"/>
        <w:rPr>
          <w:b/>
          <w:bCs/>
        </w:rPr>
      </w:pPr>
    </w:p>
    <w:p w14:paraId="0FAA5FE3" w14:textId="77777777" w:rsidR="003E60A2" w:rsidRDefault="003E60A2" w:rsidP="003E60A2">
      <w:pPr>
        <w:spacing w:after="0" w:line="360" w:lineRule="auto"/>
        <w:rPr>
          <w:b/>
          <w:bCs/>
        </w:rPr>
      </w:pPr>
      <w:r>
        <w:t xml:space="preserve">En ese contexto, según Bonifaz, Leticia (2016), en la “Ley General de Transparencia y Acceso a la Información Pública Comentada” (p. 342), la </w:t>
      </w:r>
      <w:r>
        <w:rPr>
          <w:b/>
          <w:bCs/>
        </w:rPr>
        <w:t>clasificación de la información</w:t>
      </w:r>
      <w:r>
        <w:t xml:space="preserve">, ocurre cuando la autoridad niega el acceso a esta, por ser confidencial o reservada, para lo cual, los sujetos obligados, deberán realizar el proceso de clasificación, a la luz de los principios y disposiciones establecidas en las Leyes de Transparencia, fundando y motivando, </w:t>
      </w:r>
      <w:r>
        <w:rPr>
          <w:b/>
          <w:bCs/>
        </w:rPr>
        <w:t>de manera adecuada la negativa de información.</w:t>
      </w:r>
    </w:p>
    <w:p w14:paraId="162D49C7" w14:textId="77777777" w:rsidR="003E60A2" w:rsidRDefault="003E60A2" w:rsidP="003E60A2">
      <w:pPr>
        <w:spacing w:after="0" w:line="360" w:lineRule="auto"/>
        <w:rPr>
          <w:b/>
          <w:bCs/>
        </w:rPr>
      </w:pPr>
    </w:p>
    <w:p w14:paraId="6274279D" w14:textId="77777777" w:rsidR="003E60A2" w:rsidRDefault="003E60A2" w:rsidP="003E60A2">
      <w:pPr>
        <w:spacing w:after="0" w:line="360" w:lineRule="auto"/>
        <w:rPr>
          <w:rFonts w:cs="Tahoma"/>
          <w:b/>
          <w:bCs/>
          <w:iCs/>
          <w:color w:val="auto"/>
        </w:rPr>
      </w:pPr>
      <w:r>
        <w:t xml:space="preserve">Además, conforme al 134 de la Ley de Transparencia y Acceso a la Información Pública del Estado de México y Municipios y el Sexto de los Lineamientos Generales en Materia de Clasificación y Desclasificación de la Información, así como para la Elaboración de Versiones Públicas –Lineamientos Generales-, los sujetos obligados no podrán emitir acuerdos de carácter general que clasifiquen documentos o expedientes; por lo que, la clasificación de información se llevará a cabo mediante un </w:t>
      </w:r>
      <w:r>
        <w:rPr>
          <w:b/>
          <w:bCs/>
        </w:rPr>
        <w:t>análisis caso por caso.</w:t>
      </w:r>
    </w:p>
    <w:p w14:paraId="1D20A773" w14:textId="77777777" w:rsidR="003E60A2" w:rsidRDefault="003E60A2" w:rsidP="003E60A2">
      <w:pPr>
        <w:spacing w:after="0" w:line="360" w:lineRule="auto"/>
      </w:pPr>
    </w:p>
    <w:p w14:paraId="08C4B275" w14:textId="77777777" w:rsidR="003E60A2" w:rsidRDefault="003E60A2" w:rsidP="003E60A2">
      <w:pPr>
        <w:spacing w:after="0" w:line="360" w:lineRule="auto"/>
      </w:pPr>
      <w:r>
        <w:t>Sobre lo anterior, el artículo 131 de la Ley referida, así como el Quinto de los Lineamientos Generales, establecen que los sujetos obligados deberán fundar y motivar debidamente la clasificación de la información.</w:t>
      </w:r>
    </w:p>
    <w:p w14:paraId="7CFEF782" w14:textId="77777777" w:rsidR="003E60A2" w:rsidRDefault="003E60A2" w:rsidP="003E60A2">
      <w:pPr>
        <w:spacing w:after="0" w:line="360" w:lineRule="auto"/>
      </w:pPr>
    </w:p>
    <w:p w14:paraId="5C6A4197" w14:textId="77777777" w:rsidR="003E60A2" w:rsidRDefault="003E60A2" w:rsidP="003E60A2">
      <w:pPr>
        <w:spacing w:after="0" w:line="360" w:lineRule="auto"/>
      </w:pPr>
      <w:r>
        <w:t>Al respecto, el Octavo de los Lineamientos Generales, precisa lo siguiente:</w:t>
      </w:r>
    </w:p>
    <w:p w14:paraId="7363385C" w14:textId="77777777" w:rsidR="003E60A2" w:rsidRDefault="003E60A2" w:rsidP="003E60A2">
      <w:pPr>
        <w:spacing w:after="0" w:line="360" w:lineRule="auto"/>
      </w:pPr>
    </w:p>
    <w:p w14:paraId="407620F3" w14:textId="77777777" w:rsidR="003E60A2" w:rsidRDefault="003E60A2" w:rsidP="003E60A2">
      <w:pPr>
        <w:pStyle w:val="Prrafodelista"/>
        <w:numPr>
          <w:ilvl w:val="0"/>
          <w:numId w:val="40"/>
        </w:numPr>
        <w:spacing w:line="360" w:lineRule="auto"/>
        <w:rPr>
          <w:u w:val="single"/>
        </w:rPr>
      </w:pPr>
      <w:r>
        <w:rPr>
          <w:b/>
          <w:bCs/>
        </w:rPr>
        <w:t>Para fundar la clasificación</w:t>
      </w:r>
      <w:r>
        <w:t xml:space="preserve"> de la información se deberán </w:t>
      </w:r>
      <w:r>
        <w:rPr>
          <w:u w:val="single"/>
        </w:rPr>
        <w:t>señalar el artículo, fracción, inciso, párrafo o numeral de la Ley aplicable.</w:t>
      </w:r>
    </w:p>
    <w:p w14:paraId="0EDAEA1D" w14:textId="77777777" w:rsidR="003E60A2" w:rsidRDefault="003E60A2" w:rsidP="003E60A2">
      <w:pPr>
        <w:pStyle w:val="Prrafodelista"/>
        <w:spacing w:line="360" w:lineRule="auto"/>
        <w:rPr>
          <w:u w:val="single"/>
        </w:rPr>
      </w:pPr>
    </w:p>
    <w:p w14:paraId="7F541A38" w14:textId="77777777" w:rsidR="003E60A2" w:rsidRDefault="003E60A2" w:rsidP="003E60A2">
      <w:pPr>
        <w:pStyle w:val="Prrafodelista"/>
        <w:numPr>
          <w:ilvl w:val="0"/>
          <w:numId w:val="40"/>
        </w:numPr>
        <w:spacing w:line="360" w:lineRule="auto"/>
        <w:rPr>
          <w:rFonts w:cs="Tahoma"/>
          <w:iCs/>
          <w:color w:val="auto"/>
        </w:rPr>
      </w:pPr>
      <w:r>
        <w:rPr>
          <w:b/>
          <w:bCs/>
        </w:rPr>
        <w:t>Para motivar la clasificación</w:t>
      </w:r>
      <w:r>
        <w:t xml:space="preserve"> se deberán </w:t>
      </w:r>
      <w:r>
        <w:rPr>
          <w:u w:val="single"/>
        </w:rPr>
        <w:t>indicar las razones y circunstancias</w:t>
      </w:r>
      <w:r>
        <w:t xml:space="preserve"> especiales que lo llevaron a concluir que el caso particular se ajusta al supuesto previsto por la norma legal invocada.</w:t>
      </w:r>
    </w:p>
    <w:p w14:paraId="587EE5AE" w14:textId="77777777" w:rsidR="003E60A2" w:rsidRDefault="003E60A2" w:rsidP="003E60A2">
      <w:pPr>
        <w:pStyle w:val="Prrafodelista"/>
        <w:spacing w:line="360" w:lineRule="auto"/>
        <w:rPr>
          <w:rFonts w:cs="Tahoma"/>
          <w:iCs/>
          <w:color w:val="auto"/>
        </w:rPr>
      </w:pPr>
    </w:p>
    <w:p w14:paraId="173E307C" w14:textId="77777777" w:rsidR="003E60A2" w:rsidRDefault="003E60A2" w:rsidP="003E60A2">
      <w:pPr>
        <w:spacing w:after="0" w:line="360" w:lineRule="auto"/>
      </w:pPr>
      <w:r>
        <w:t>Lo anterior, toma sustento en la fracción VII, del artículo 1.8, del Código Administrativo del Estado de México, que establece que todo acto administrativo, debe estar fundado y motivado, esto es, que contenga con precisión, los preceptos legales aplicables, las circunstancias generales o especiales, razones particulares y causas que se hayan tomado en cuenta para la emisión del mismo; asimismo, se trae cita por analogía la Tesis aislada número I. 4o. P. 56 P, Octava Época, publicada en el Semanario Judicial de la Federación, Tomo XIV, noviembre de mil novecientos noventa y cuatro, (p. 450), que establece lo siguiente:</w:t>
      </w:r>
    </w:p>
    <w:p w14:paraId="47D6CA95" w14:textId="77777777" w:rsidR="003E60A2" w:rsidRDefault="003E60A2" w:rsidP="003E60A2">
      <w:pPr>
        <w:spacing w:after="0" w:line="360" w:lineRule="auto"/>
      </w:pPr>
    </w:p>
    <w:p w14:paraId="16267F30" w14:textId="77777777" w:rsidR="003E60A2" w:rsidRDefault="003E60A2" w:rsidP="003E60A2">
      <w:pPr>
        <w:spacing w:after="0" w:line="360" w:lineRule="auto"/>
        <w:ind w:left="567" w:right="567"/>
        <w:rPr>
          <w:i/>
          <w:iCs/>
          <w:color w:val="auto"/>
          <w:sz w:val="20"/>
          <w:szCs w:val="20"/>
        </w:rPr>
      </w:pPr>
      <w:r>
        <w:rPr>
          <w:b/>
          <w:bCs/>
          <w:i/>
          <w:iCs/>
          <w:color w:val="auto"/>
          <w:sz w:val="20"/>
          <w:szCs w:val="20"/>
        </w:rPr>
        <w:t>“FUNDAMENTACION Y MOTIVACION, CONCEPTO DE.</w:t>
      </w:r>
      <w:r>
        <w:rPr>
          <w:i/>
          <w:iCs/>
          <w:color w:val="auto"/>
          <w:sz w:val="20"/>
          <w:szCs w:val="20"/>
        </w:rPr>
        <w:t xml:space="preserve"> La garantía de legalidad consagrada en el artículo 16 de nuestra Carta Magna, establece que todo acto de autoridad precisa encontrarse debidamente fundado y motivado, entendiéndose por lo primero la obligación de la autoridad que lo emite, para citar los preceptos legales, sustantivos y adjetivos, en que se apoye la determinación adoptada; y por lo segundo, que exprese una serie de razonamientos lógico-jurídicos sobre el por qué consideró que el caso concreto se ajusta a la hipótesis normativa.”</w:t>
      </w:r>
    </w:p>
    <w:p w14:paraId="5DEA0BBC" w14:textId="77777777" w:rsidR="003E60A2" w:rsidRDefault="003E60A2" w:rsidP="003E60A2">
      <w:pPr>
        <w:spacing w:after="0" w:line="360" w:lineRule="auto"/>
        <w:rPr>
          <w:rFonts w:cs="Tahoma"/>
          <w:iCs/>
          <w:color w:val="auto"/>
        </w:rPr>
      </w:pPr>
    </w:p>
    <w:p w14:paraId="76D10715" w14:textId="77777777" w:rsidR="003E60A2" w:rsidRDefault="003E60A2" w:rsidP="003E60A2">
      <w:pPr>
        <w:spacing w:after="0" w:line="360" w:lineRule="auto"/>
      </w:pPr>
      <w:r>
        <w:t>Conforme a lo anterior, se advierte lo siguiente:</w:t>
      </w:r>
    </w:p>
    <w:p w14:paraId="4C099E06" w14:textId="77777777" w:rsidR="003E60A2" w:rsidRDefault="003E60A2" w:rsidP="003E60A2">
      <w:pPr>
        <w:spacing w:after="0" w:line="360" w:lineRule="auto"/>
      </w:pPr>
    </w:p>
    <w:p w14:paraId="28002D83" w14:textId="77777777" w:rsidR="003E60A2" w:rsidRDefault="003E60A2" w:rsidP="003E60A2">
      <w:pPr>
        <w:pStyle w:val="Prrafodelista"/>
        <w:numPr>
          <w:ilvl w:val="0"/>
          <w:numId w:val="41"/>
        </w:numPr>
        <w:spacing w:line="360" w:lineRule="auto"/>
      </w:pPr>
      <w:r>
        <w:rPr>
          <w:b/>
          <w:bCs/>
        </w:rPr>
        <w:t>Fundamentación:</w:t>
      </w:r>
      <w:r>
        <w:t xml:space="preserve"> Obligación de la autoridad que emite un acto, para citar los preceptos legales, sustantivos y adjetivos, en que se apoye para la determinación tomada. </w:t>
      </w:r>
    </w:p>
    <w:p w14:paraId="29DED28F" w14:textId="77777777" w:rsidR="003E60A2" w:rsidRDefault="003E60A2" w:rsidP="003E60A2">
      <w:pPr>
        <w:pStyle w:val="Prrafodelista"/>
        <w:spacing w:line="360" w:lineRule="auto"/>
      </w:pPr>
    </w:p>
    <w:p w14:paraId="644074DD" w14:textId="77777777" w:rsidR="003E60A2" w:rsidRDefault="003E60A2" w:rsidP="003E60A2">
      <w:pPr>
        <w:pStyle w:val="Prrafodelista"/>
        <w:numPr>
          <w:ilvl w:val="0"/>
          <w:numId w:val="41"/>
        </w:numPr>
        <w:spacing w:line="360" w:lineRule="auto"/>
      </w:pPr>
      <w:r>
        <w:rPr>
          <w:b/>
          <w:bCs/>
        </w:rPr>
        <w:t>Motivación:</w:t>
      </w:r>
      <w:r>
        <w:t xml:space="preserve"> Razonamientos lógico-jurídicos sobre porque se consideró en el caso en concreto, que se ajusta a la hipótesis normativa.</w:t>
      </w:r>
    </w:p>
    <w:p w14:paraId="4423C3B3" w14:textId="2500F875" w:rsidR="00C468D6" w:rsidRPr="009C2F56" w:rsidRDefault="00C468D6" w:rsidP="001F74C5">
      <w:pPr>
        <w:spacing w:after="0" w:line="360" w:lineRule="auto"/>
        <w:rPr>
          <w:b/>
          <w:bCs/>
          <w:color w:val="auto"/>
        </w:rPr>
      </w:pPr>
    </w:p>
    <w:p w14:paraId="31A29EB4" w14:textId="77777777" w:rsidR="003E60A2" w:rsidRPr="003E60A2" w:rsidRDefault="003E60A2" w:rsidP="003E60A2">
      <w:pPr>
        <w:spacing w:after="0" w:line="360" w:lineRule="auto"/>
        <w:rPr>
          <w:color w:val="auto"/>
        </w:rPr>
      </w:pPr>
      <w:r w:rsidRPr="003E60A2">
        <w:rPr>
          <w:color w:val="auto"/>
        </w:rPr>
        <w:t>En ese orden de ideas, el Trigésimo tercero de los Lineamientos Generales, establece la forma en que se debe fundamentar y motivar la reserva de la información, es decir, a través de los siguientes pasos:</w:t>
      </w:r>
    </w:p>
    <w:p w14:paraId="46AF303D" w14:textId="77777777" w:rsidR="003E60A2" w:rsidRPr="003E60A2" w:rsidRDefault="003E60A2" w:rsidP="003E60A2">
      <w:pPr>
        <w:spacing w:after="0" w:line="360" w:lineRule="auto"/>
        <w:rPr>
          <w:color w:val="FF0000"/>
        </w:rPr>
      </w:pPr>
    </w:p>
    <w:p w14:paraId="49DA6DA0" w14:textId="774C05B0" w:rsidR="003E60A2" w:rsidRPr="003E60A2" w:rsidRDefault="003E60A2" w:rsidP="003E60A2">
      <w:pPr>
        <w:numPr>
          <w:ilvl w:val="0"/>
          <w:numId w:val="43"/>
        </w:numPr>
        <w:spacing w:after="0" w:line="360" w:lineRule="auto"/>
        <w:contextualSpacing/>
        <w:rPr>
          <w:rFonts w:eastAsia="Times New Roman" w:cs="Times New Roman"/>
          <w:color w:val="auto"/>
          <w:szCs w:val="24"/>
          <w:lang w:eastAsia="es-ES"/>
        </w:rPr>
      </w:pPr>
      <w:r w:rsidRPr="003E60A2">
        <w:rPr>
          <w:rFonts w:eastAsia="Times New Roman" w:cs="Times New Roman"/>
          <w:color w:val="auto"/>
          <w:szCs w:val="24"/>
          <w:lang w:eastAsia="es-ES"/>
        </w:rPr>
        <w:t>Se deberá citar la fracción y, en su caso, la causal aplicable de la Ley de Transparencia y Acceso a la Información Pública del Estado de México y Municipios, vinculándola con el Lineamiento específico;</w:t>
      </w:r>
    </w:p>
    <w:p w14:paraId="5BAC6851" w14:textId="77777777" w:rsidR="003E60A2" w:rsidRPr="003E60A2" w:rsidRDefault="003E60A2" w:rsidP="003E60A2">
      <w:pPr>
        <w:spacing w:after="0" w:line="360" w:lineRule="auto"/>
        <w:ind w:left="720"/>
        <w:contextualSpacing/>
        <w:rPr>
          <w:rFonts w:eastAsia="Times New Roman" w:cs="Times New Roman"/>
          <w:color w:val="auto"/>
          <w:szCs w:val="24"/>
          <w:lang w:eastAsia="es-ES"/>
        </w:rPr>
      </w:pPr>
    </w:p>
    <w:p w14:paraId="002AD96D" w14:textId="77777777" w:rsidR="003E60A2" w:rsidRPr="003E60A2" w:rsidRDefault="003E60A2" w:rsidP="003E60A2">
      <w:pPr>
        <w:numPr>
          <w:ilvl w:val="0"/>
          <w:numId w:val="43"/>
        </w:numPr>
        <w:spacing w:after="0" w:line="360" w:lineRule="auto"/>
        <w:contextualSpacing/>
        <w:rPr>
          <w:rFonts w:eastAsia="Times New Roman" w:cs="Times New Roman"/>
          <w:color w:val="auto"/>
          <w:szCs w:val="24"/>
          <w:lang w:eastAsia="es-ES"/>
        </w:rPr>
      </w:pPr>
      <w:r w:rsidRPr="003E60A2">
        <w:rPr>
          <w:rFonts w:eastAsia="Times New Roman" w:cs="Times New Roman"/>
          <w:color w:val="auto"/>
          <w:szCs w:val="24"/>
          <w:lang w:eastAsia="es-ES"/>
        </w:rPr>
        <w:t>Se deberá demostrar que la publicidad de la información generaría un riesgo de perjuicio, que rebasa el interés público;</w:t>
      </w:r>
    </w:p>
    <w:p w14:paraId="06E3D097" w14:textId="77777777" w:rsidR="003E60A2" w:rsidRPr="003E60A2" w:rsidRDefault="003E60A2" w:rsidP="003E60A2">
      <w:pPr>
        <w:spacing w:after="0" w:line="360" w:lineRule="auto"/>
        <w:ind w:left="720"/>
        <w:contextualSpacing/>
        <w:rPr>
          <w:rFonts w:eastAsia="Times New Roman" w:cs="Times New Roman"/>
          <w:color w:val="auto"/>
          <w:szCs w:val="24"/>
          <w:lang w:eastAsia="es-ES"/>
        </w:rPr>
      </w:pPr>
    </w:p>
    <w:p w14:paraId="6CC5E7DA" w14:textId="77777777" w:rsidR="003E60A2" w:rsidRPr="003E60A2" w:rsidRDefault="003E60A2" w:rsidP="003E60A2">
      <w:pPr>
        <w:numPr>
          <w:ilvl w:val="0"/>
          <w:numId w:val="43"/>
        </w:numPr>
        <w:spacing w:after="0" w:line="360" w:lineRule="auto"/>
        <w:contextualSpacing/>
        <w:rPr>
          <w:rFonts w:eastAsia="Times New Roman" w:cs="Times New Roman"/>
          <w:color w:val="auto"/>
          <w:szCs w:val="24"/>
          <w:lang w:eastAsia="es-ES"/>
        </w:rPr>
      </w:pPr>
      <w:r w:rsidRPr="003E60A2">
        <w:rPr>
          <w:rFonts w:eastAsia="Times New Roman" w:cs="Times New Roman"/>
          <w:color w:val="auto"/>
          <w:szCs w:val="24"/>
          <w:lang w:eastAsia="es-ES"/>
        </w:rPr>
        <w:t xml:space="preserve">Se acreditará el vínculo entre la difusión de la información y la afectación del interés jurídico tutelado; </w:t>
      </w:r>
    </w:p>
    <w:p w14:paraId="7F5C8AD9" w14:textId="77777777" w:rsidR="003E60A2" w:rsidRPr="003E60A2" w:rsidRDefault="003E60A2" w:rsidP="003E60A2">
      <w:pPr>
        <w:spacing w:after="0" w:line="360" w:lineRule="auto"/>
        <w:ind w:left="720"/>
        <w:contextualSpacing/>
        <w:rPr>
          <w:rFonts w:eastAsia="Times New Roman" w:cs="Times New Roman"/>
          <w:color w:val="auto"/>
          <w:szCs w:val="24"/>
          <w:lang w:eastAsia="es-ES"/>
        </w:rPr>
      </w:pPr>
    </w:p>
    <w:p w14:paraId="1C4790B5" w14:textId="77777777" w:rsidR="003E60A2" w:rsidRPr="003E60A2" w:rsidRDefault="003E60A2" w:rsidP="003E60A2">
      <w:pPr>
        <w:numPr>
          <w:ilvl w:val="0"/>
          <w:numId w:val="43"/>
        </w:numPr>
        <w:spacing w:after="0" w:line="360" w:lineRule="auto"/>
        <w:contextualSpacing/>
        <w:rPr>
          <w:rFonts w:eastAsia="Times New Roman" w:cs="Times New Roman"/>
          <w:color w:val="auto"/>
          <w:szCs w:val="24"/>
          <w:lang w:eastAsia="es-ES"/>
        </w:rPr>
      </w:pPr>
      <w:r w:rsidRPr="003E60A2">
        <w:rPr>
          <w:rFonts w:eastAsia="Times New Roman" w:cs="Times New Roman"/>
          <w:color w:val="auto"/>
          <w:szCs w:val="24"/>
          <w:lang w:eastAsia="es-ES"/>
        </w:rPr>
        <w:t xml:space="preserve">Se precisará las razones objetivas por las que la apertura de la información generaría una afectación, por medio del riesgo real, demostrable e identificable; </w:t>
      </w:r>
    </w:p>
    <w:p w14:paraId="00873C8F" w14:textId="77777777" w:rsidR="003E60A2" w:rsidRPr="003E60A2" w:rsidRDefault="003E60A2" w:rsidP="003E60A2">
      <w:pPr>
        <w:spacing w:after="0" w:line="360" w:lineRule="auto"/>
        <w:ind w:left="720"/>
        <w:contextualSpacing/>
        <w:rPr>
          <w:rFonts w:eastAsia="Times New Roman" w:cs="Times New Roman"/>
          <w:color w:val="auto"/>
          <w:szCs w:val="24"/>
          <w:lang w:eastAsia="es-ES"/>
        </w:rPr>
      </w:pPr>
    </w:p>
    <w:p w14:paraId="5F2AF464" w14:textId="77777777" w:rsidR="003E60A2" w:rsidRPr="003E60A2" w:rsidRDefault="003E60A2" w:rsidP="003E60A2">
      <w:pPr>
        <w:numPr>
          <w:ilvl w:val="0"/>
          <w:numId w:val="43"/>
        </w:numPr>
        <w:spacing w:after="0" w:line="360" w:lineRule="auto"/>
        <w:contextualSpacing/>
        <w:rPr>
          <w:rFonts w:eastAsia="Times New Roman" w:cs="Times New Roman"/>
          <w:color w:val="auto"/>
          <w:szCs w:val="24"/>
          <w:lang w:eastAsia="es-ES"/>
        </w:rPr>
      </w:pPr>
      <w:r w:rsidRPr="003E60A2">
        <w:rPr>
          <w:rFonts w:eastAsia="Times New Roman" w:cs="Times New Roman"/>
          <w:color w:val="auto"/>
          <w:szCs w:val="24"/>
          <w:lang w:eastAsia="es-ES"/>
        </w:rPr>
        <w:t xml:space="preserve">Se deberán señalar las circunstancias de modo, tiempo y lugar del daño, y </w:t>
      </w:r>
    </w:p>
    <w:p w14:paraId="0DEE943F" w14:textId="77777777" w:rsidR="003E60A2" w:rsidRPr="003E60A2" w:rsidRDefault="003E60A2" w:rsidP="003E60A2">
      <w:pPr>
        <w:spacing w:after="0" w:line="240" w:lineRule="auto"/>
        <w:ind w:left="720"/>
        <w:contextualSpacing/>
        <w:rPr>
          <w:rFonts w:eastAsia="Times New Roman" w:cs="Times New Roman"/>
          <w:color w:val="auto"/>
          <w:szCs w:val="24"/>
          <w:lang w:eastAsia="es-ES"/>
        </w:rPr>
      </w:pPr>
    </w:p>
    <w:p w14:paraId="14B9F3C1" w14:textId="77777777" w:rsidR="003E60A2" w:rsidRPr="003E60A2" w:rsidRDefault="003E60A2" w:rsidP="003E60A2">
      <w:pPr>
        <w:numPr>
          <w:ilvl w:val="0"/>
          <w:numId w:val="43"/>
        </w:numPr>
        <w:spacing w:after="0" w:line="360" w:lineRule="auto"/>
        <w:contextualSpacing/>
        <w:rPr>
          <w:rFonts w:eastAsia="Times New Roman" w:cs="Times New Roman"/>
          <w:color w:val="auto"/>
          <w:szCs w:val="24"/>
          <w:lang w:eastAsia="es-ES"/>
        </w:rPr>
      </w:pPr>
      <w:r w:rsidRPr="003E60A2">
        <w:rPr>
          <w:rFonts w:eastAsia="Times New Roman" w:cs="Times New Roman"/>
          <w:color w:val="auto"/>
          <w:szCs w:val="24"/>
          <w:lang w:eastAsia="es-ES"/>
        </w:rPr>
        <w:t>Se elegirá la opción de excepción al acceso a la información que menos restrinja, la cual será adecuada y proporcional para la protección del interés público.</w:t>
      </w:r>
    </w:p>
    <w:p w14:paraId="3CC8F5CD" w14:textId="77777777" w:rsidR="003E60A2" w:rsidRPr="003E60A2" w:rsidRDefault="003E60A2" w:rsidP="003E60A2">
      <w:pPr>
        <w:spacing w:after="0" w:line="360" w:lineRule="auto"/>
        <w:ind w:left="360"/>
        <w:rPr>
          <w:color w:val="auto"/>
        </w:rPr>
      </w:pPr>
    </w:p>
    <w:p w14:paraId="048A8647" w14:textId="77777777" w:rsidR="003E60A2" w:rsidRPr="003E60A2" w:rsidRDefault="003E60A2" w:rsidP="003E60A2">
      <w:pPr>
        <w:spacing w:after="0" w:line="360" w:lineRule="auto"/>
        <w:rPr>
          <w:color w:val="auto"/>
        </w:rPr>
      </w:pPr>
      <w:r w:rsidRPr="003E60A2">
        <w:rPr>
          <w:color w:val="auto"/>
        </w:rPr>
        <w:t>Ahora bien, de las constancias que obran en el expediente, se advierte que no fundamentó, ni motivó la clasificación de la información, de manera correcta, por las siguientes consideraciones:</w:t>
      </w:r>
    </w:p>
    <w:p w14:paraId="514E0C3C" w14:textId="77777777" w:rsidR="003E60A2" w:rsidRPr="003E60A2" w:rsidRDefault="003E60A2" w:rsidP="003E60A2">
      <w:pPr>
        <w:spacing w:after="0" w:line="360" w:lineRule="auto"/>
        <w:rPr>
          <w:color w:val="auto"/>
        </w:rPr>
      </w:pPr>
    </w:p>
    <w:p w14:paraId="1C5B5802" w14:textId="0B58A17F" w:rsidR="003E60A2" w:rsidRPr="003E60A2" w:rsidRDefault="003E60A2" w:rsidP="003E60A2">
      <w:pPr>
        <w:numPr>
          <w:ilvl w:val="0"/>
          <w:numId w:val="42"/>
        </w:numPr>
        <w:pBdr>
          <w:top w:val="nil"/>
          <w:left w:val="nil"/>
          <w:bottom w:val="nil"/>
          <w:right w:val="nil"/>
          <w:between w:val="nil"/>
        </w:pBdr>
        <w:spacing w:after="0" w:line="360" w:lineRule="auto"/>
        <w:rPr>
          <w:color w:val="auto"/>
        </w:rPr>
      </w:pPr>
      <w:r>
        <w:rPr>
          <w:rFonts w:eastAsia="Times New Roman" w:cs="Times New Roman"/>
          <w:color w:val="auto"/>
          <w:szCs w:val="24"/>
          <w:lang w:eastAsia="es-ES"/>
        </w:rPr>
        <w:t xml:space="preserve">No se precisó la causal específica de reserva del catálogo establecido en la </w:t>
      </w:r>
      <w:r w:rsidRPr="003E60A2">
        <w:rPr>
          <w:rFonts w:eastAsia="Times New Roman" w:cs="Times New Roman"/>
          <w:color w:val="auto"/>
          <w:szCs w:val="24"/>
          <w:lang w:eastAsia="es-ES"/>
        </w:rPr>
        <w:t>Ley de Transparencia y Acceso a la Información Pública del Estado de México y Municipios, vinculándola con el Lineamiento específico</w:t>
      </w:r>
      <w:r>
        <w:rPr>
          <w:rFonts w:eastAsia="Times New Roman" w:cs="Times New Roman"/>
          <w:color w:val="auto"/>
          <w:szCs w:val="24"/>
          <w:lang w:eastAsia="es-ES"/>
        </w:rPr>
        <w:t>.</w:t>
      </w:r>
    </w:p>
    <w:p w14:paraId="06C54FDE" w14:textId="77777777" w:rsidR="003E60A2" w:rsidRDefault="003E60A2" w:rsidP="003E60A2">
      <w:pPr>
        <w:pBdr>
          <w:top w:val="nil"/>
          <w:left w:val="nil"/>
          <w:bottom w:val="nil"/>
          <w:right w:val="nil"/>
          <w:between w:val="nil"/>
        </w:pBdr>
        <w:spacing w:after="0" w:line="360" w:lineRule="auto"/>
        <w:ind w:left="720"/>
        <w:rPr>
          <w:color w:val="auto"/>
        </w:rPr>
      </w:pPr>
    </w:p>
    <w:p w14:paraId="3A384DB6" w14:textId="364BFDFB" w:rsidR="003E60A2" w:rsidRPr="003E60A2" w:rsidRDefault="003E60A2" w:rsidP="003E60A2">
      <w:pPr>
        <w:numPr>
          <w:ilvl w:val="0"/>
          <w:numId w:val="42"/>
        </w:numPr>
        <w:pBdr>
          <w:top w:val="nil"/>
          <w:left w:val="nil"/>
          <w:bottom w:val="nil"/>
          <w:right w:val="nil"/>
          <w:between w:val="nil"/>
        </w:pBdr>
        <w:spacing w:after="0" w:line="360" w:lineRule="auto"/>
        <w:rPr>
          <w:color w:val="auto"/>
        </w:rPr>
      </w:pPr>
      <w:r w:rsidRPr="003E60A2">
        <w:rPr>
          <w:color w:val="auto"/>
        </w:rPr>
        <w:t xml:space="preserve">No precisó las razones objetivas, concretas y específicas por las cuales la apertura de la información generaría una afectación que rebase el interés público, pues, el Sujeto Obligado confundió la argumentación, entre diversos supuestos de clasificación distintos. </w:t>
      </w:r>
    </w:p>
    <w:p w14:paraId="1D0A18E2" w14:textId="77777777" w:rsidR="003E60A2" w:rsidRPr="003E60A2" w:rsidRDefault="003E60A2" w:rsidP="003E60A2">
      <w:pPr>
        <w:pBdr>
          <w:top w:val="nil"/>
          <w:left w:val="nil"/>
          <w:bottom w:val="nil"/>
          <w:right w:val="nil"/>
          <w:between w:val="nil"/>
        </w:pBdr>
        <w:spacing w:after="0" w:line="360" w:lineRule="auto"/>
        <w:ind w:left="720"/>
        <w:rPr>
          <w:color w:val="auto"/>
        </w:rPr>
      </w:pPr>
    </w:p>
    <w:p w14:paraId="276960CF" w14:textId="77777777" w:rsidR="003E60A2" w:rsidRPr="003E60A2" w:rsidRDefault="003E60A2" w:rsidP="003E60A2">
      <w:pPr>
        <w:numPr>
          <w:ilvl w:val="0"/>
          <w:numId w:val="42"/>
        </w:numPr>
        <w:pBdr>
          <w:top w:val="nil"/>
          <w:left w:val="nil"/>
          <w:bottom w:val="nil"/>
          <w:right w:val="nil"/>
          <w:between w:val="nil"/>
        </w:pBdr>
        <w:spacing w:after="0" w:line="360" w:lineRule="auto"/>
        <w:rPr>
          <w:color w:val="auto"/>
        </w:rPr>
      </w:pPr>
      <w:r w:rsidRPr="003E60A2">
        <w:rPr>
          <w:color w:val="auto"/>
        </w:rPr>
        <w:t xml:space="preserve">No acreditó el vínculo entre la información peticionada y la afectación que podría causar, pues únicamente precisó diversos supuestos establecidos en la Ley de la materia. </w:t>
      </w:r>
    </w:p>
    <w:p w14:paraId="10B39C5A" w14:textId="77777777" w:rsidR="003E60A2" w:rsidRPr="003E60A2" w:rsidRDefault="003E60A2" w:rsidP="003E60A2">
      <w:pPr>
        <w:pBdr>
          <w:top w:val="nil"/>
          <w:left w:val="nil"/>
          <w:bottom w:val="nil"/>
          <w:right w:val="nil"/>
          <w:between w:val="nil"/>
        </w:pBdr>
        <w:spacing w:after="0" w:line="360" w:lineRule="auto"/>
        <w:ind w:left="720"/>
        <w:rPr>
          <w:color w:val="auto"/>
        </w:rPr>
      </w:pPr>
    </w:p>
    <w:p w14:paraId="5581D02E" w14:textId="77777777" w:rsidR="003E60A2" w:rsidRPr="003E60A2" w:rsidRDefault="003E60A2" w:rsidP="003E60A2">
      <w:pPr>
        <w:numPr>
          <w:ilvl w:val="0"/>
          <w:numId w:val="42"/>
        </w:numPr>
        <w:pBdr>
          <w:top w:val="nil"/>
          <w:left w:val="nil"/>
          <w:bottom w:val="nil"/>
          <w:right w:val="nil"/>
          <w:between w:val="nil"/>
        </w:pBdr>
        <w:spacing w:after="0" w:line="360" w:lineRule="auto"/>
        <w:rPr>
          <w:color w:val="auto"/>
        </w:rPr>
      </w:pPr>
      <w:r w:rsidRPr="003E60A2">
        <w:rPr>
          <w:color w:val="auto"/>
        </w:rPr>
        <w:t xml:space="preserve">Omitió señalar, las circunstancias de tiempo, modo y lugar del daño que produciría entregar la información peticionada. </w:t>
      </w:r>
    </w:p>
    <w:p w14:paraId="701C6A59" w14:textId="77777777" w:rsidR="003E60A2" w:rsidRPr="003E60A2" w:rsidRDefault="003E60A2" w:rsidP="003E60A2">
      <w:pPr>
        <w:spacing w:after="0" w:line="360" w:lineRule="auto"/>
        <w:rPr>
          <w:color w:val="FF0000"/>
        </w:rPr>
      </w:pPr>
    </w:p>
    <w:p w14:paraId="20D55CBD" w14:textId="62917111" w:rsidR="003E60A2" w:rsidRPr="003E60A2" w:rsidRDefault="003E60A2" w:rsidP="003E60A2">
      <w:pPr>
        <w:spacing w:after="0" w:line="360" w:lineRule="auto"/>
        <w:rPr>
          <w:b/>
          <w:color w:val="auto"/>
        </w:rPr>
      </w:pPr>
      <w:r w:rsidRPr="003E60A2">
        <w:rPr>
          <w:color w:val="auto"/>
        </w:rPr>
        <w:t>Así, se advierte que el Sujeto Obligado, no fundamentó y motivó la reserva, pues no realizó la prueba de daño de manera correcta, señalada en el Trigésimo tercero de los Lineamientos Generales, relacionado con el artículo 129 de la Ley de Transparencia y Acceso a la Información Pública del Estado de México y Municipios, que es la argumentación fundada y motivada que se debe realizar para acreditar que la divulgación de la información lesiona el interés jurídicamente protegido por la normatividad aplicable y que el daño que puede producirse con la publicidad de la información es mayor que el interés de conocerla</w:t>
      </w:r>
      <w:r>
        <w:rPr>
          <w:color w:val="auto"/>
        </w:rPr>
        <w:t xml:space="preserve">, lo cual da como resultado que el agravio sea </w:t>
      </w:r>
      <w:r>
        <w:rPr>
          <w:b/>
          <w:color w:val="auto"/>
        </w:rPr>
        <w:t>FUNDADO.</w:t>
      </w:r>
    </w:p>
    <w:p w14:paraId="1F8B5C0F" w14:textId="77777777" w:rsidR="003E60A2" w:rsidRDefault="003E60A2" w:rsidP="003E60A2">
      <w:pPr>
        <w:spacing w:after="0" w:line="360" w:lineRule="auto"/>
        <w:rPr>
          <w:color w:val="auto"/>
        </w:rPr>
      </w:pPr>
    </w:p>
    <w:p w14:paraId="0F6BB5CF" w14:textId="7A655B0C" w:rsidR="003E60A2" w:rsidRDefault="003E60A2" w:rsidP="003E60A2">
      <w:pPr>
        <w:spacing w:after="0" w:line="360" w:lineRule="auto"/>
      </w:pPr>
      <w:r>
        <w:t>Además, este Instituto considera que las cuentas bancarias con las que cuenta el Sujeto Obligado, son aquellas en la que reciben y ejercen recursos públicos y, por lo tanto, no procede su clasificación; lo cual toma relevancia, pues conforme la Cuadragésimo Segundo de los Lineamientos Generales, cuando el Sujeto Obligado sea habiente de una institución financiera y que las operaciones involucren recursos públicos, no se podrán clasificar la información relativa a operaciones bancarias.</w:t>
      </w:r>
    </w:p>
    <w:p w14:paraId="523D57E2" w14:textId="322A72C9" w:rsidR="003E60A2" w:rsidRDefault="003E60A2" w:rsidP="003E60A2">
      <w:pPr>
        <w:spacing w:after="0" w:line="360" w:lineRule="auto"/>
      </w:pPr>
    </w:p>
    <w:p w14:paraId="353AAB9A" w14:textId="0581D915" w:rsidR="003E60A2" w:rsidRDefault="003E60A2" w:rsidP="003E60A2">
      <w:pPr>
        <w:spacing w:after="0" w:line="360" w:lineRule="auto"/>
        <w:rPr>
          <w:rFonts w:eastAsia="Times New Roman" w:cs="Arial"/>
          <w:lang w:val="x-none" w:eastAsia="es-ES"/>
        </w:rPr>
      </w:pPr>
      <w:r>
        <w:t>En ese contexto, toda vez que los Estados de Cuenta solicitados contienen las operaciones bancarias realizadas por el Ente Recurr</w:t>
      </w:r>
      <w:r w:rsidR="0005074C">
        <w:t>ido</w:t>
      </w:r>
      <w:r>
        <w:t xml:space="preserve">, con recursos públicos, no procede su clasificación como </w:t>
      </w:r>
      <w:r w:rsidR="0005074C">
        <w:t>reservadas</w:t>
      </w:r>
      <w:r>
        <w:t xml:space="preserve">; por lo que, el documento en cuestión </w:t>
      </w:r>
      <w:r>
        <w:rPr>
          <w:rFonts w:eastAsia="Calibri" w:cs="Tahoma"/>
          <w:bCs/>
        </w:rPr>
        <w:t>rinde cuentas de la forma en que utiliza el Ayuntamiento los recursos públicos</w:t>
      </w:r>
      <w:r>
        <w:rPr>
          <w:rFonts w:eastAsia="Times New Roman" w:cs="Tahoma"/>
          <w:bCs/>
          <w:iCs/>
          <w:lang w:val="es-ES_tradnl" w:eastAsia="es-ES"/>
        </w:rPr>
        <w:t>; sobre</w:t>
      </w:r>
      <w:r>
        <w:rPr>
          <w:rFonts w:eastAsia="Times New Roman" w:cs="Tahoma"/>
          <w:lang w:val="es-ES" w:eastAsia="es-ES"/>
        </w:rPr>
        <w:t xml:space="preserve"> el tema, </w:t>
      </w:r>
      <w:r>
        <w:rPr>
          <w:rFonts w:eastAsia="Times New Roman" w:cs="Arial"/>
          <w:bCs/>
          <w:lang w:eastAsia="es-ES"/>
        </w:rPr>
        <w:t xml:space="preserve">según Arizmendi, Guillermo (2016), en la “Ley General de Transparencia y Acceso a la Información Pública Comentada” (p. 240 y 241), los recursos públicos, deber ser administrado con responsabilidad y transparencia. </w:t>
      </w:r>
      <w:r>
        <w:rPr>
          <w:rFonts w:eastAsia="Times New Roman" w:cs="Tahoma"/>
          <w:lang w:val="es-ES" w:eastAsia="es-ES"/>
        </w:rPr>
        <w:t xml:space="preserve">En ese orden de ideas, según Trujillo, Humberto (2019), en el “Diccionario de Transparencia y Acceso a la Información Pública” (p. 276), </w:t>
      </w:r>
      <w:r>
        <w:rPr>
          <w:rFonts w:eastAsia="Times New Roman" w:cs="Tahoma"/>
          <w:b/>
          <w:lang w:val="es-ES" w:eastAsia="es-ES"/>
        </w:rPr>
        <w:t>los recursos públicos son los ingresos económicos, que obtiene el Estado y que asigna (a partir del presupuesto) al ejercicio de sus actividades, los cuales deben ser asignados de manera transparente y bajo un sistema de rendición de cuentas, para que las personas puedan monitorear, evaluar y cuestionar su gasto.</w:t>
      </w:r>
    </w:p>
    <w:p w14:paraId="32A7BD62" w14:textId="77777777" w:rsidR="007D34E9" w:rsidRPr="003E60A2" w:rsidRDefault="007D34E9" w:rsidP="007D34E9">
      <w:pPr>
        <w:spacing w:after="0" w:line="360" w:lineRule="auto"/>
        <w:contextualSpacing/>
        <w:rPr>
          <w:rFonts w:eastAsia="Times New Roman" w:cs="Tahoma"/>
          <w:color w:val="auto"/>
          <w:lang w:val="x-none" w:eastAsia="es-ES"/>
        </w:rPr>
      </w:pPr>
    </w:p>
    <w:p w14:paraId="7790CE9E" w14:textId="77777777" w:rsidR="0005074C" w:rsidRDefault="0005074C" w:rsidP="0005074C">
      <w:pPr>
        <w:spacing w:after="0" w:line="360" w:lineRule="auto"/>
        <w:rPr>
          <w:rFonts w:eastAsia="Times New Roman" w:cs="Tahoma"/>
          <w:lang w:eastAsia="es-ES"/>
        </w:rPr>
      </w:pPr>
      <w:r>
        <w:rPr>
          <w:rFonts w:eastAsia="Times New Roman" w:cs="Tahoma"/>
          <w:lang w:val="es-ES" w:eastAsia="es-ES"/>
        </w:rPr>
        <w:t xml:space="preserve">Además, los artículos 134 de la Constitución Política de los Estados Unidos Mexicanos y el 129 de la Constitución Política del Estado Libre y Soberano de México, establecen que los recursos públicos de que dispongan, entre otros, los Municipios, se administrarán con eficiencia, eficacia, economía, </w:t>
      </w:r>
      <w:r>
        <w:rPr>
          <w:rFonts w:eastAsia="Times New Roman" w:cs="Tahoma"/>
          <w:b/>
          <w:lang w:val="es-ES" w:eastAsia="es-ES"/>
        </w:rPr>
        <w:t xml:space="preserve">transparencia </w:t>
      </w:r>
      <w:r>
        <w:rPr>
          <w:rFonts w:eastAsia="Times New Roman" w:cs="Tahoma"/>
          <w:lang w:val="es-ES" w:eastAsia="es-ES"/>
        </w:rPr>
        <w:t xml:space="preserve">y honradez; sobre lo referido,  </w:t>
      </w:r>
      <w:r>
        <w:rPr>
          <w:rFonts w:eastAsia="Times New Roman" w:cs="Tahoma"/>
          <w:lang w:eastAsia="es-ES"/>
        </w:rPr>
        <w:t>la Tesis número 1a.CXLV/2009, Novena Época, publicada en el Semanario Judicial de la Federación, Tomo XXX, de septiembre de dos mil nueve, (p. 2712), establece lo siguiente:</w:t>
      </w:r>
    </w:p>
    <w:p w14:paraId="09537957" w14:textId="77777777" w:rsidR="0005074C" w:rsidRDefault="0005074C" w:rsidP="0005074C">
      <w:pPr>
        <w:spacing w:after="0" w:line="360" w:lineRule="auto"/>
        <w:rPr>
          <w:rFonts w:eastAsia="Times New Roman" w:cs="Tahoma"/>
          <w:lang w:val="es-ES" w:eastAsia="es-ES"/>
        </w:rPr>
      </w:pPr>
    </w:p>
    <w:p w14:paraId="6262AE7C" w14:textId="77777777" w:rsidR="0005074C" w:rsidRDefault="0005074C" w:rsidP="0005074C">
      <w:pPr>
        <w:spacing w:after="0" w:line="360" w:lineRule="auto"/>
        <w:ind w:left="567" w:right="567"/>
        <w:rPr>
          <w:rFonts w:eastAsia="Times New Roman" w:cs="Tahoma"/>
          <w:bCs/>
          <w:i/>
          <w:iCs/>
          <w:sz w:val="20"/>
          <w:szCs w:val="20"/>
          <w:lang w:val="es-ES" w:eastAsia="es-ES"/>
        </w:rPr>
      </w:pPr>
      <w:r>
        <w:rPr>
          <w:rFonts w:eastAsia="Times New Roman" w:cs="Tahoma"/>
          <w:b/>
          <w:bCs/>
          <w:i/>
          <w:iCs/>
          <w:sz w:val="20"/>
          <w:szCs w:val="20"/>
          <w:lang w:val="es-ES" w:eastAsia="es-ES"/>
        </w:rPr>
        <w:t>“</w:t>
      </w:r>
      <w:r>
        <w:rPr>
          <w:rFonts w:eastAsia="Times New Roman" w:cs="Tahoma"/>
          <w:b/>
          <w:bCs/>
          <w:i/>
          <w:iCs/>
          <w:sz w:val="20"/>
          <w:szCs w:val="20"/>
          <w:lang w:eastAsia="es-ES"/>
        </w:rPr>
        <w:t xml:space="preserve">GASTO PÚBLICO. EL ARTÍCULO 134 DE LA CONSTITUCIÓN POLÍTICA DE LOS ESTADOS UNIDOS MEXICANOS ELEVA A RANGO CONSTITUCIONAL LOS PRINCIPIOS DE LEGALIDAD, EFICIENCIA, EFICACIA, ECONOMÍA, TRANSPARENCIA Y HONRADEZ EN ESTA MATERIA. </w:t>
      </w:r>
      <w:r>
        <w:rPr>
          <w:rFonts w:eastAsia="Times New Roman" w:cs="Tahoma"/>
          <w:bCs/>
          <w:i/>
          <w:iCs/>
          <w:sz w:val="20"/>
          <w:szCs w:val="20"/>
          <w:lang w:eastAsia="es-ES"/>
        </w:rPr>
        <w:t>Del citado precepto constitucional se advierte que el correcto ejercicio del gasto público se salvaguarda por los siguientes principios: 1. Legalidad, en tanto que debe estar prescrito en el Presupuesto de Egresos o, en su defecto, en una ley expedida por el Congreso de la Unión, lo cual significa la sujeción de las autoridades a un modelo normativo previamente establecido; 2. Honradez, pues implica que no debe llevarse a cabo de manera abusiva, ni para un destino diverso al programado; 3. Eficiencia, en el entendido de que las autoridades deben disponer de los medios que estimen convenientes para que el ejercicio del gasto público logre el fin para el cual se programó y destinó; 4. Eficacia, ya que es indispensable contar con la capacidad suficiente para lograr las metas estimadas; 5. Economía, en el sentido de que el gasto público debe ejercerse recta y prudentemente, lo cual implica que los servidores públicos siempre deben buscar las mejores condiciones de contratación para el Estado, y 6. Transparencia, para permitir hacer del conocimiento público el ejercicio del gasto estatal.</w:t>
      </w:r>
      <w:r>
        <w:rPr>
          <w:rFonts w:eastAsia="Times New Roman" w:cs="Tahoma"/>
          <w:bCs/>
          <w:i/>
          <w:iCs/>
          <w:sz w:val="20"/>
          <w:szCs w:val="20"/>
          <w:lang w:val="es-ES" w:eastAsia="es-ES"/>
        </w:rPr>
        <w:t>”</w:t>
      </w:r>
    </w:p>
    <w:p w14:paraId="7ECCA781" w14:textId="77777777" w:rsidR="0005074C" w:rsidRDefault="0005074C" w:rsidP="0005074C">
      <w:pPr>
        <w:spacing w:after="0" w:line="360" w:lineRule="auto"/>
        <w:rPr>
          <w:rFonts w:eastAsia="Times New Roman" w:cs="Tahoma"/>
          <w:bCs/>
          <w:iCs/>
          <w:lang w:val="es-ES" w:eastAsia="es-ES"/>
        </w:rPr>
      </w:pPr>
    </w:p>
    <w:p w14:paraId="0C43059D" w14:textId="77777777" w:rsidR="0005074C" w:rsidRDefault="0005074C" w:rsidP="0005074C">
      <w:pPr>
        <w:spacing w:after="0" w:line="360" w:lineRule="auto"/>
        <w:rPr>
          <w:rFonts w:eastAsia="Times New Roman" w:cs="Tahoma"/>
          <w:bCs/>
          <w:iCs/>
          <w:lang w:val="es-ES" w:eastAsia="es-ES"/>
        </w:rPr>
      </w:pPr>
      <w:r>
        <w:rPr>
          <w:rFonts w:eastAsia="Times New Roman" w:cs="Tahoma"/>
          <w:bCs/>
          <w:iCs/>
          <w:lang w:val="es-ES" w:eastAsia="es-ES"/>
        </w:rPr>
        <w:t>Como se logra observar, el ejercicio de recursos públicos por parte de los tres niveles de Gobierno, que incluye a los Municipios, debe seguir el Principio de Transparencia, que implica permitir a la ciudadanía conocer en la forma en que se gasta el Estado, los recursos con los que cuenta para el cumplimiento de sus obligaciones y atribuciones.</w:t>
      </w:r>
    </w:p>
    <w:p w14:paraId="023B145B" w14:textId="77777777" w:rsidR="0005074C" w:rsidRDefault="0005074C" w:rsidP="0005074C">
      <w:pPr>
        <w:spacing w:after="0" w:line="360" w:lineRule="auto"/>
        <w:rPr>
          <w:rFonts w:eastAsia="Times New Roman" w:cs="Tahoma"/>
          <w:bCs/>
          <w:iCs/>
          <w:lang w:val="es-ES" w:eastAsia="es-ES"/>
        </w:rPr>
      </w:pPr>
    </w:p>
    <w:p w14:paraId="2F88A301" w14:textId="77777777" w:rsidR="0005074C" w:rsidRDefault="0005074C" w:rsidP="0005074C">
      <w:pPr>
        <w:spacing w:after="0" w:line="360" w:lineRule="auto"/>
        <w:rPr>
          <w:rFonts w:eastAsia="Times New Roman" w:cs="Tahoma"/>
          <w:lang w:val="es-ES" w:eastAsia="es-ES"/>
        </w:rPr>
      </w:pPr>
      <w:r>
        <w:rPr>
          <w:rFonts w:eastAsia="Times New Roman" w:cs="Tahoma"/>
          <w:bCs/>
          <w:iCs/>
          <w:lang w:val="es-ES" w:eastAsia="es-ES"/>
        </w:rPr>
        <w:t xml:space="preserve">Al respecto, </w:t>
      </w:r>
      <w:r>
        <w:rPr>
          <w:rFonts w:eastAsia="Times New Roman" w:cs="Tahoma"/>
          <w:lang w:val="es-ES" w:eastAsia="es-ES"/>
        </w:rPr>
        <w:t xml:space="preserve">según Merino, Mauricio (2019), en el “Diccionario de Transparencia y Acceso a la Información Pública” (p. 276), </w:t>
      </w:r>
      <w:r>
        <w:rPr>
          <w:rFonts w:eastAsia="Times New Roman" w:cs="Tahoma"/>
          <w:b/>
          <w:lang w:val="es-ES" w:eastAsia="es-ES"/>
        </w:rPr>
        <w:t xml:space="preserve">la rendición de cuentas, </w:t>
      </w:r>
      <w:r>
        <w:rPr>
          <w:rFonts w:eastAsia="Times New Roman" w:cs="Tahoma"/>
          <w:lang w:val="es-ES" w:eastAsia="es-ES"/>
        </w:rPr>
        <w:t xml:space="preserve">es un ejercicio de transparencia e información pública; es un medio a través del cual los gobiernos informan al público de sus actividades, </w:t>
      </w:r>
      <w:r>
        <w:rPr>
          <w:rFonts w:eastAsia="Times New Roman" w:cs="Tahoma"/>
          <w:b/>
          <w:lang w:val="es-ES" w:eastAsia="es-ES"/>
        </w:rPr>
        <w:t>de los recursos que han ejercido</w:t>
      </w:r>
      <w:r>
        <w:rPr>
          <w:rFonts w:eastAsia="Times New Roman" w:cs="Tahoma"/>
          <w:lang w:val="es-ES" w:eastAsia="es-ES"/>
        </w:rPr>
        <w:t xml:space="preserve"> y de los resultados obtenidos.</w:t>
      </w:r>
    </w:p>
    <w:p w14:paraId="27E21CD5" w14:textId="77777777" w:rsidR="0005074C" w:rsidRDefault="0005074C" w:rsidP="0005074C">
      <w:pPr>
        <w:spacing w:after="0" w:line="360" w:lineRule="auto"/>
        <w:rPr>
          <w:rFonts w:eastAsia="Times New Roman" w:cs="Tahoma"/>
          <w:lang w:val="es-ES" w:eastAsia="es-ES"/>
        </w:rPr>
      </w:pPr>
    </w:p>
    <w:p w14:paraId="2878DC17" w14:textId="77777777" w:rsidR="0005074C" w:rsidRDefault="0005074C" w:rsidP="0005074C">
      <w:pPr>
        <w:spacing w:after="0" w:line="360" w:lineRule="auto"/>
        <w:rPr>
          <w:rFonts w:eastAsia="Times New Roman" w:cs="Tahoma"/>
          <w:bCs/>
          <w:iCs/>
          <w:lang w:val="es-ES" w:eastAsia="es-ES"/>
        </w:rPr>
      </w:pPr>
      <w:r>
        <w:rPr>
          <w:rFonts w:eastAsia="Times New Roman" w:cs="Tahoma"/>
          <w:bCs/>
          <w:iCs/>
          <w:lang w:val="es-ES" w:eastAsia="es-ES"/>
        </w:rPr>
        <w:t>Además, de manera de referencia, el artículo 6°, fracción XXXVIII, de la Ley de Transparencia, Acceso a la Información Pública y Rendición de Cuentas de la Ciudad de México, establece que la rendición de cuentas, vista desde la perspectiva de la transparencia y acceso a la información, consiste en la potestad del individuo para exigir al poder público, informe y ponga a disposición, las acciones y decisiones emprendidas, así como los indicadores que permitan el conocimiento y la forma en que se llevaron a cabo, que incluya los resultados obtenidos.</w:t>
      </w:r>
    </w:p>
    <w:p w14:paraId="3FA0277C" w14:textId="77777777" w:rsidR="0005074C" w:rsidRDefault="0005074C" w:rsidP="0005074C">
      <w:pPr>
        <w:spacing w:after="0" w:line="360" w:lineRule="auto"/>
        <w:rPr>
          <w:rFonts w:eastAsia="Times New Roman" w:cs="Tahoma"/>
          <w:bCs/>
          <w:iCs/>
          <w:lang w:val="es-ES" w:eastAsia="es-ES"/>
        </w:rPr>
      </w:pPr>
    </w:p>
    <w:p w14:paraId="7E17A4AC" w14:textId="77777777" w:rsidR="0005074C" w:rsidRDefault="0005074C" w:rsidP="0005074C">
      <w:pPr>
        <w:spacing w:after="0" w:line="360" w:lineRule="auto"/>
        <w:rPr>
          <w:rFonts w:eastAsia="Times New Roman" w:cs="Tahoma"/>
          <w:bCs/>
          <w:iCs/>
          <w:lang w:val="es-ES" w:eastAsia="es-ES"/>
        </w:rPr>
      </w:pPr>
      <w:r>
        <w:rPr>
          <w:rFonts w:eastAsia="Times New Roman" w:cs="Tahoma"/>
          <w:bCs/>
          <w:iCs/>
          <w:lang w:val="es-ES" w:eastAsia="es-ES"/>
        </w:rPr>
        <w:t xml:space="preserve">Toma relevancia lo anterior, pues conforme al artículo 2°, fracción VII de la Ley General de Transparencia y Acceso a la Información Pública y de la Ley de Transparencia y Acceso a la Información Pública del Estado de México y Municipios, establece que es un objetivo de dichos ordenamientos jurídicos, promover, fomentar y difundir la cultura de la transparencia en el ejercicio de la función pública, así como, la rendición de cuentas, a través del establecimiento de mecanismos que garanticen la publicidad de la información oportuna, verificable, comprensible, actualizada y completa. </w:t>
      </w:r>
    </w:p>
    <w:p w14:paraId="6C155883" w14:textId="77777777" w:rsidR="0005074C" w:rsidRDefault="0005074C" w:rsidP="0005074C">
      <w:pPr>
        <w:spacing w:after="0" w:line="360" w:lineRule="auto"/>
        <w:rPr>
          <w:rFonts w:eastAsia="Times New Roman" w:cs="Tahoma"/>
          <w:bCs/>
          <w:iCs/>
          <w:lang w:val="es-ES" w:eastAsia="es-ES"/>
        </w:rPr>
      </w:pPr>
    </w:p>
    <w:p w14:paraId="09F18783" w14:textId="77777777" w:rsidR="0005074C" w:rsidRDefault="0005074C" w:rsidP="0005074C">
      <w:pPr>
        <w:spacing w:after="0" w:line="360" w:lineRule="auto"/>
        <w:rPr>
          <w:rFonts w:eastAsia="Times New Roman" w:cs="Tahoma"/>
          <w:bCs/>
          <w:iCs/>
          <w:lang w:eastAsia="es-ES"/>
        </w:rPr>
      </w:pPr>
      <w:r>
        <w:rPr>
          <w:rFonts w:eastAsia="Times New Roman" w:cs="Tahoma"/>
          <w:bCs/>
          <w:iCs/>
          <w:lang w:eastAsia="es-ES"/>
        </w:rPr>
        <w:t>Conforme a lo anterior, se logra vislumbrar que, en el presente caso, la información solicitada, rinde cuentas de la forma de utilización de los recursos públicos con los que contaba el Sujeto Obligado; por lo que, no procede su clasificación en su totalidad.</w:t>
      </w:r>
    </w:p>
    <w:p w14:paraId="06A86DA4" w14:textId="77777777" w:rsidR="003E60A2" w:rsidRDefault="003E60A2" w:rsidP="007D34E9">
      <w:pPr>
        <w:spacing w:after="0" w:line="360" w:lineRule="auto"/>
        <w:contextualSpacing/>
        <w:rPr>
          <w:rFonts w:eastAsia="Times New Roman" w:cs="Tahoma"/>
          <w:color w:val="auto"/>
          <w:lang w:eastAsia="es-ES"/>
        </w:rPr>
      </w:pPr>
    </w:p>
    <w:p w14:paraId="54328BEA" w14:textId="77777777" w:rsidR="0005074C" w:rsidRDefault="0005074C" w:rsidP="0005074C">
      <w:pPr>
        <w:spacing w:after="0" w:line="360" w:lineRule="auto"/>
      </w:pPr>
      <w:r>
        <w:t xml:space="preserve">En ese contexto, el artículo 137 de la Ley de Transparencia y Acceso a la Información Pública del Estado de México y Municipios y los numerales Segundo, fracción XVIII, y Quincuagésimo sexto de los Lineamientos Generales, establecen que cuando un documento contenga información pública y reservada o confidencial, la Unidad de Transparencia para efectos de atender al requerimiento informativo, </w:t>
      </w:r>
      <w:r>
        <w:rPr>
          <w:b/>
          <w:bCs/>
        </w:rPr>
        <w:t xml:space="preserve">deberá elaborar una versión pública </w:t>
      </w:r>
      <w:r>
        <w:t>en la que se testen las partes o secciones clasificadas, indicando su contenido de manera genérica y fundando y motivando su clasificación; documento que deberá ser aprobado por el Comité de Transparencia.</w:t>
      </w:r>
    </w:p>
    <w:p w14:paraId="4DBA2CDA" w14:textId="77777777" w:rsidR="0005074C" w:rsidRDefault="0005074C" w:rsidP="007D34E9">
      <w:pPr>
        <w:spacing w:after="0" w:line="360" w:lineRule="auto"/>
        <w:contextualSpacing/>
        <w:rPr>
          <w:rFonts w:eastAsia="Times New Roman" w:cs="Tahoma"/>
          <w:color w:val="auto"/>
          <w:lang w:eastAsia="es-ES"/>
        </w:rPr>
      </w:pPr>
    </w:p>
    <w:p w14:paraId="3501A490" w14:textId="77777777" w:rsidR="0005074C" w:rsidRDefault="0005074C" w:rsidP="0005074C">
      <w:pPr>
        <w:spacing w:after="0" w:line="360" w:lineRule="auto"/>
      </w:pPr>
      <w:r>
        <w:t>Como se logra observar, la clasificación total del documento no es la única forma de proteger información localizada en este, pues existe otro procedimiento, en el cual, solamente se testan las partes que contienen datos o información, denominado versión pública; con lo cual, el Sujeto Obligado podría testar los datos confidenciales y proporcionar el documento que da cuenta de la información solicitada.</w:t>
      </w:r>
    </w:p>
    <w:p w14:paraId="156826AA" w14:textId="77777777" w:rsidR="0005074C" w:rsidRDefault="0005074C" w:rsidP="007D34E9">
      <w:pPr>
        <w:spacing w:after="0" w:line="360" w:lineRule="auto"/>
        <w:contextualSpacing/>
        <w:rPr>
          <w:rFonts w:eastAsia="Times New Roman" w:cs="Tahoma"/>
          <w:color w:val="auto"/>
          <w:lang w:eastAsia="es-ES"/>
        </w:rPr>
      </w:pPr>
    </w:p>
    <w:p w14:paraId="7FB8D191" w14:textId="62BC3E26" w:rsidR="0005074C" w:rsidRDefault="0005074C" w:rsidP="0005074C">
      <w:pPr>
        <w:spacing w:after="0" w:line="360" w:lineRule="auto"/>
      </w:pPr>
      <w:r>
        <w:t xml:space="preserve">Así, este Instituto considera que para atender el requerimiento de información, el Sujeto Obligado deberá realizar una búsqueda exhaustiva y razonable en todas la áreas competentes, entre las cuales no podrá omitir a la </w:t>
      </w:r>
      <w:r>
        <w:rPr>
          <w:b/>
          <w:bCs/>
        </w:rPr>
        <w:t xml:space="preserve">Tesorería, </w:t>
      </w:r>
      <w:r>
        <w:t>a efecto de que proporcione los estados de cuenta solicitados; dicha situación toma sustento en el artículo 12 de la Ley de Transparencia y Acceso a la Información Pública del Estado de México y Municipios, que establece que los Sujetos Obligados sólo están constreñidos a proporcionar la información pública que obre en sus archivos, en el estado en que esta se encuentre; por lo que, la entrega no comprende el procesamiento de la misma, ni presentarla conforme al interés del Solicitante.</w:t>
      </w:r>
    </w:p>
    <w:p w14:paraId="4605A44D" w14:textId="77777777" w:rsidR="0005074C" w:rsidRDefault="0005074C" w:rsidP="007D34E9">
      <w:pPr>
        <w:spacing w:after="0" w:line="360" w:lineRule="auto"/>
        <w:contextualSpacing/>
        <w:rPr>
          <w:rFonts w:eastAsia="Times New Roman" w:cs="Tahoma"/>
          <w:color w:val="auto"/>
          <w:lang w:eastAsia="es-ES"/>
        </w:rPr>
      </w:pPr>
    </w:p>
    <w:p w14:paraId="54DF938D" w14:textId="77777777" w:rsidR="0005074C" w:rsidRDefault="0005074C" w:rsidP="0005074C">
      <w:pPr>
        <w:spacing w:after="0" w:line="360" w:lineRule="auto"/>
      </w:pPr>
      <w:r>
        <w:t xml:space="preserve">De esta manera, el derecho de acceso a la información pública se satisface en aquellos casos en que se entregue el soporte documental en el que conste la información solicitada, sin necesidad de elaborar documentos </w:t>
      </w:r>
      <w:r>
        <w:rPr>
          <w:i/>
          <w:iCs/>
        </w:rPr>
        <w:t>ad hoc</w:t>
      </w:r>
      <w:r>
        <w:t>; lo cual, de conformidad con en el artículo 160 de la Ley de Transparencia y Acceso a la Información Pública del Estado de México y Municipios, el cual refiere que los sujetos obligados deberán entregar la información que obre en sus archivos.</w:t>
      </w:r>
    </w:p>
    <w:p w14:paraId="202C674F" w14:textId="77777777" w:rsidR="0005074C" w:rsidRDefault="0005074C" w:rsidP="0005074C">
      <w:pPr>
        <w:spacing w:after="0" w:line="360" w:lineRule="auto"/>
      </w:pPr>
    </w:p>
    <w:p w14:paraId="6284086E" w14:textId="77777777" w:rsidR="0005074C" w:rsidRDefault="0005074C" w:rsidP="0005074C">
      <w:pPr>
        <w:spacing w:after="0" w:line="360" w:lineRule="auto"/>
      </w:pPr>
      <w: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deberá entregar la información solicitada.</w:t>
      </w:r>
    </w:p>
    <w:p w14:paraId="6852AE4E" w14:textId="77777777" w:rsidR="003E60A2" w:rsidRDefault="003E60A2" w:rsidP="007D34E9">
      <w:pPr>
        <w:spacing w:after="0" w:line="360" w:lineRule="auto"/>
        <w:contextualSpacing/>
        <w:rPr>
          <w:rFonts w:eastAsia="Times New Roman" w:cs="Tahoma"/>
          <w:color w:val="auto"/>
          <w:lang w:eastAsia="es-ES"/>
        </w:rPr>
      </w:pPr>
    </w:p>
    <w:p w14:paraId="617B11A0" w14:textId="01C9D084" w:rsidR="0005074C" w:rsidRDefault="0005074C" w:rsidP="0005074C">
      <w:pPr>
        <w:spacing w:line="360" w:lineRule="auto"/>
        <w:contextualSpacing/>
        <w:rPr>
          <w:color w:val="auto"/>
          <w:lang w:eastAsia="es-ES"/>
        </w:rPr>
      </w:pPr>
      <w:r>
        <w:rPr>
          <w:color w:val="auto"/>
          <w:lang w:eastAsia="es-ES"/>
        </w:rPr>
        <w:t xml:space="preserve">Finalmente, para el caso de que los documentos que den cuenta de lo solicitado, contengan datos confidenciales, este deberá </w:t>
      </w:r>
      <w:r>
        <w:rPr>
          <w:bCs/>
          <w:color w:val="auto"/>
          <w:lang w:eastAsia="es-ES"/>
        </w:rPr>
        <w:t>entregarlos, en versión pública, en donde se eliminen estos, tales como número de cuenta e institución bancaria de proveedores, contratistas, servidores públicos, entre otros; sobre dicha situación, el</w:t>
      </w:r>
      <w:r>
        <w:rPr>
          <w:color w:val="auto"/>
          <w:lang w:eastAsia="es-ES"/>
        </w:rPr>
        <w:t xml:space="preserve"> artículo 3°, fracción XLV, relacionado con el 137, ambos de la Ley de Transparencia y Acceso a la Información Pública del Estado de México y Municipios, establece que cuando un documento contenga información pública y reservada o confidencial, para efectos de atender al requerimiento informativo, deberá elaborar una versión Pública en la que se testen las partes o secciones clasificadas, en donde se indique su contenido de manera genérica y se funde y motive su clasificación.</w:t>
      </w:r>
    </w:p>
    <w:p w14:paraId="49601126" w14:textId="77777777" w:rsidR="0005074C" w:rsidRDefault="0005074C" w:rsidP="0005074C">
      <w:pPr>
        <w:spacing w:line="360" w:lineRule="auto"/>
        <w:contextualSpacing/>
        <w:rPr>
          <w:color w:val="auto"/>
          <w:lang w:eastAsia="es-ES"/>
        </w:rPr>
      </w:pPr>
    </w:p>
    <w:p w14:paraId="057EB979" w14:textId="77777777" w:rsidR="0005074C" w:rsidRDefault="0005074C" w:rsidP="0005074C">
      <w:pPr>
        <w:spacing w:line="360" w:lineRule="auto"/>
        <w:contextualSpacing/>
        <w:rPr>
          <w:color w:val="auto"/>
          <w:lang w:eastAsia="es-ES"/>
        </w:rPr>
      </w:pPr>
      <w:r>
        <w:rPr>
          <w:color w:val="auto"/>
          <w:lang w:eastAsia="es-ES"/>
        </w:rPr>
        <w:t>Para tal situación, el Sujeto Obligado deberá seguir el procedimiento establecido en el artículo 168 de dicho ordenamiento jurídico; esto es, que el área competente deberá elaborar la versión pública, así como emitir el Acuerdo, por parte del Comité de Transparencia, donde confirme la clasificación de los datos, fundando y motivando la clasificación.</w:t>
      </w:r>
    </w:p>
    <w:p w14:paraId="5EE5787B" w14:textId="77777777" w:rsidR="003E60A2" w:rsidRDefault="003E60A2" w:rsidP="007D34E9">
      <w:pPr>
        <w:spacing w:after="0" w:line="360" w:lineRule="auto"/>
        <w:contextualSpacing/>
        <w:rPr>
          <w:rFonts w:eastAsia="Times New Roman" w:cs="Tahoma"/>
          <w:color w:val="auto"/>
          <w:lang w:eastAsia="es-ES"/>
        </w:rPr>
      </w:pPr>
    </w:p>
    <w:p w14:paraId="0CCF70E8" w14:textId="77777777" w:rsidR="00D1318A" w:rsidRPr="007556D8" w:rsidRDefault="00D1318A" w:rsidP="001B6133">
      <w:pPr>
        <w:pStyle w:val="Ttulo2"/>
        <w:spacing w:before="0" w:after="0" w:line="360" w:lineRule="auto"/>
        <w:rPr>
          <w:color w:val="auto"/>
          <w:sz w:val="22"/>
          <w:szCs w:val="22"/>
        </w:rPr>
      </w:pPr>
      <w:bookmarkStart w:id="15" w:name="_Toc213948290"/>
      <w:r w:rsidRPr="007556D8">
        <w:rPr>
          <w:color w:val="auto"/>
          <w:sz w:val="22"/>
          <w:szCs w:val="22"/>
        </w:rPr>
        <w:t>SEXTO. Decisión</w:t>
      </w:r>
      <w:bookmarkEnd w:id="15"/>
    </w:p>
    <w:p w14:paraId="0D2B29DC" w14:textId="77777777" w:rsidR="00D1318A" w:rsidRPr="00B16FBB" w:rsidRDefault="00D1318A" w:rsidP="001B6133">
      <w:pPr>
        <w:spacing w:after="0" w:line="360" w:lineRule="auto"/>
        <w:contextualSpacing/>
        <w:rPr>
          <w:rFonts w:eastAsia="Calibri" w:cs="Tahoma"/>
          <w:b/>
          <w:color w:val="FF0000"/>
        </w:rPr>
      </w:pPr>
    </w:p>
    <w:p w14:paraId="4BF18B87" w14:textId="381C4FFD" w:rsidR="00D1318A" w:rsidRPr="007556D8" w:rsidRDefault="00D1318A" w:rsidP="001B6133">
      <w:pPr>
        <w:spacing w:after="0" w:line="360" w:lineRule="auto"/>
        <w:rPr>
          <w:color w:val="auto"/>
        </w:rPr>
      </w:pPr>
      <w:r w:rsidRPr="007556D8">
        <w:rPr>
          <w:color w:val="auto"/>
        </w:rPr>
        <w:t xml:space="preserve">De acuerdo con lo expuesto y, con fundamento en el artículo 186, fracción III, de la Ley de Transparencia y Acceso a la Información Pública del Estado de México y Municipios, este Instituto considera procedente </w:t>
      </w:r>
      <w:r w:rsidR="00B61219">
        <w:rPr>
          <w:b/>
          <w:color w:val="auto"/>
        </w:rPr>
        <w:t>REVO</w:t>
      </w:r>
      <w:r w:rsidR="00F02E9C" w:rsidRPr="007556D8">
        <w:rPr>
          <w:b/>
          <w:color w:val="auto"/>
        </w:rPr>
        <w:t>CAR</w:t>
      </w:r>
      <w:r w:rsidRPr="007556D8">
        <w:rPr>
          <w:b/>
          <w:color w:val="auto"/>
        </w:rPr>
        <w:t xml:space="preserve"> </w:t>
      </w:r>
      <w:r w:rsidRPr="007556D8">
        <w:rPr>
          <w:color w:val="auto"/>
        </w:rPr>
        <w:t>la resp</w:t>
      </w:r>
      <w:r w:rsidR="00655068" w:rsidRPr="007556D8">
        <w:rPr>
          <w:color w:val="auto"/>
        </w:rPr>
        <w:t xml:space="preserve">uesta del </w:t>
      </w:r>
      <w:r w:rsidR="00364CCB">
        <w:rPr>
          <w:color w:val="auto"/>
        </w:rPr>
        <w:t>Sistema Municipal para el Desarrollo Integral de la Familia de Morelos</w:t>
      </w:r>
      <w:r w:rsidRPr="007556D8">
        <w:rPr>
          <w:b/>
          <w:color w:val="auto"/>
        </w:rPr>
        <w:t xml:space="preserve">, </w:t>
      </w:r>
      <w:r w:rsidRPr="007556D8">
        <w:rPr>
          <w:color w:val="auto"/>
        </w:rPr>
        <w:t>a efecto de que previa búsqueda exha</w:t>
      </w:r>
      <w:r w:rsidR="00C3103D" w:rsidRPr="007556D8">
        <w:rPr>
          <w:color w:val="auto"/>
        </w:rPr>
        <w:t>ustiva y razonable entregue,</w:t>
      </w:r>
      <w:r w:rsidR="00057905" w:rsidRPr="007556D8">
        <w:rPr>
          <w:color w:val="auto"/>
        </w:rPr>
        <w:t xml:space="preserve"> en </w:t>
      </w:r>
      <w:r w:rsidRPr="007556D8">
        <w:rPr>
          <w:color w:val="auto"/>
        </w:rPr>
        <w:t>versión pública, la información solicitada.</w:t>
      </w:r>
    </w:p>
    <w:p w14:paraId="46FD2602" w14:textId="77777777" w:rsidR="00D1318A" w:rsidRPr="00B16FBB" w:rsidRDefault="00D1318A" w:rsidP="001B6133">
      <w:pPr>
        <w:spacing w:after="0" w:line="360" w:lineRule="auto"/>
        <w:rPr>
          <w:color w:val="FF0000"/>
        </w:rPr>
      </w:pPr>
    </w:p>
    <w:p w14:paraId="0C829323" w14:textId="77777777" w:rsidR="00D1318A" w:rsidRPr="007556D8" w:rsidRDefault="00D1318A" w:rsidP="001B6133">
      <w:pPr>
        <w:spacing w:after="0" w:line="360" w:lineRule="auto"/>
        <w:contextualSpacing/>
        <w:rPr>
          <w:rFonts w:eastAsia="Calibri" w:cs="Tahoma"/>
          <w:b/>
          <w:bCs/>
          <w:color w:val="auto"/>
        </w:rPr>
      </w:pPr>
      <w:r w:rsidRPr="007556D8">
        <w:rPr>
          <w:rFonts w:eastAsia="Calibri" w:cs="Tahoma"/>
          <w:b/>
          <w:bCs/>
          <w:color w:val="auto"/>
        </w:rPr>
        <w:t>Términos de la Resolución para conocimiento del Particular</w:t>
      </w:r>
    </w:p>
    <w:p w14:paraId="08535812" w14:textId="77777777" w:rsidR="00D1318A" w:rsidRPr="00B16FBB" w:rsidRDefault="00D1318A" w:rsidP="001B6133">
      <w:pPr>
        <w:spacing w:after="0" w:line="360" w:lineRule="auto"/>
        <w:contextualSpacing/>
        <w:rPr>
          <w:rFonts w:eastAsia="Calibri" w:cs="Tahoma"/>
          <w:b/>
          <w:bCs/>
          <w:color w:val="FF0000"/>
        </w:rPr>
      </w:pPr>
    </w:p>
    <w:p w14:paraId="195CA8D9" w14:textId="59A4B171" w:rsidR="000733DF" w:rsidRDefault="0005074C" w:rsidP="001B6133">
      <w:pPr>
        <w:spacing w:after="0" w:line="360" w:lineRule="auto"/>
        <w:rPr>
          <w:color w:val="auto"/>
        </w:rPr>
      </w:pPr>
      <w:r>
        <w:rPr>
          <w:color w:val="auto"/>
        </w:rPr>
        <w:t xml:space="preserve">Se le hace del conocimiento a la persona Recurrente que, en el presente asunto, se le da la razón, pues el Sujeto Obligado, </w:t>
      </w:r>
      <w:r>
        <w:rPr>
          <w:rFonts w:eastAsia="Times New Roman" w:cs="Times New Roman"/>
          <w:color w:val="000000"/>
          <w:lang w:eastAsia="es-ES"/>
        </w:rPr>
        <w:t>clasificó información que es de acceso público, por lo que, lo procedente es ordenar la entrega de los estados de cuenta requeridos</w:t>
      </w:r>
      <w:r>
        <w:rPr>
          <w:color w:val="auto"/>
        </w:rPr>
        <w:t>.</w:t>
      </w:r>
    </w:p>
    <w:p w14:paraId="49E51949" w14:textId="77777777" w:rsidR="0005074C" w:rsidRPr="00B16FBB" w:rsidRDefault="0005074C" w:rsidP="001B6133">
      <w:pPr>
        <w:spacing w:after="0" w:line="360" w:lineRule="auto"/>
        <w:rPr>
          <w:color w:val="FF0000"/>
        </w:rPr>
      </w:pPr>
    </w:p>
    <w:p w14:paraId="378B69A1" w14:textId="77777777" w:rsidR="000733DF" w:rsidRPr="007556D8" w:rsidRDefault="000733DF" w:rsidP="000733DF">
      <w:pPr>
        <w:spacing w:after="0" w:line="360" w:lineRule="auto"/>
        <w:rPr>
          <w:color w:val="auto"/>
        </w:rPr>
      </w:pPr>
      <w:r w:rsidRPr="007556D8">
        <w:rPr>
          <w:color w:val="auto"/>
        </w:rPr>
        <w:t>Finalmente, se le hace de su conocimiento que la labor del Instituto de Transparencia, Acceso a la Información Pública y Protección de Datos Personales del Estado de México y Municipios, es apoyar a la población a acceder a la información pública y garantizar la protección de sus datos personales.</w:t>
      </w:r>
    </w:p>
    <w:p w14:paraId="1C805ED0" w14:textId="77777777" w:rsidR="00D1318A" w:rsidRPr="007556D8" w:rsidRDefault="00D1318A" w:rsidP="001B6133">
      <w:pPr>
        <w:spacing w:after="0" w:line="360" w:lineRule="auto"/>
        <w:contextualSpacing/>
        <w:rPr>
          <w:rFonts w:eastAsia="Calibri"/>
          <w:color w:val="auto"/>
        </w:rPr>
      </w:pPr>
      <w:r w:rsidRPr="007556D8">
        <w:rPr>
          <w:rFonts w:eastAsia="Calibri"/>
          <w:color w:val="auto"/>
        </w:rPr>
        <w:t>Por lo expuesto y fundado, este Pleno:</w:t>
      </w:r>
    </w:p>
    <w:p w14:paraId="7E4B6E8F" w14:textId="77777777" w:rsidR="00057905" w:rsidRPr="007556D8" w:rsidRDefault="00057905" w:rsidP="001B6133">
      <w:pPr>
        <w:spacing w:after="0" w:line="360" w:lineRule="auto"/>
        <w:contextualSpacing/>
        <w:rPr>
          <w:rFonts w:eastAsia="Calibri"/>
          <w:color w:val="auto"/>
        </w:rPr>
      </w:pPr>
    </w:p>
    <w:p w14:paraId="4969F2B6" w14:textId="77777777" w:rsidR="00D1318A" w:rsidRPr="007556D8" w:rsidRDefault="00D1318A" w:rsidP="001B6133">
      <w:pPr>
        <w:pStyle w:val="Ttulo1"/>
        <w:spacing w:before="0" w:after="0" w:line="360" w:lineRule="auto"/>
        <w:jc w:val="center"/>
        <w:rPr>
          <w:color w:val="auto"/>
          <w:sz w:val="22"/>
          <w:szCs w:val="22"/>
        </w:rPr>
      </w:pPr>
      <w:bookmarkStart w:id="16" w:name="_Toc213948291"/>
      <w:r w:rsidRPr="007556D8">
        <w:rPr>
          <w:color w:val="auto"/>
          <w:sz w:val="22"/>
          <w:szCs w:val="22"/>
        </w:rPr>
        <w:t>R E S U E L V E</w:t>
      </w:r>
      <w:bookmarkEnd w:id="16"/>
    </w:p>
    <w:p w14:paraId="00911B7E" w14:textId="77777777" w:rsidR="00D1318A" w:rsidRPr="007556D8" w:rsidRDefault="00D1318A" w:rsidP="001B6133">
      <w:pPr>
        <w:spacing w:after="0" w:line="360" w:lineRule="auto"/>
        <w:contextualSpacing/>
        <w:rPr>
          <w:rFonts w:eastAsia="Calibri"/>
          <w:b/>
          <w:bCs/>
          <w:color w:val="auto"/>
        </w:rPr>
      </w:pPr>
    </w:p>
    <w:p w14:paraId="59D86F6A" w14:textId="3C241120" w:rsidR="00D1318A" w:rsidRPr="007556D8" w:rsidRDefault="00D1318A" w:rsidP="001B6133">
      <w:pPr>
        <w:spacing w:after="0" w:line="360" w:lineRule="auto"/>
        <w:contextualSpacing/>
        <w:rPr>
          <w:color w:val="FF0000"/>
        </w:rPr>
      </w:pPr>
      <w:r w:rsidRPr="007556D8">
        <w:rPr>
          <w:rFonts w:cs="Tahoma"/>
          <w:b/>
          <w:bCs/>
          <w:color w:val="auto"/>
        </w:rPr>
        <w:t xml:space="preserve">PRIMERO. </w:t>
      </w:r>
      <w:r w:rsidRPr="007556D8">
        <w:rPr>
          <w:rFonts w:cs="Tahoma"/>
          <w:bCs/>
          <w:color w:val="auto"/>
        </w:rPr>
        <w:t xml:space="preserve">Se </w:t>
      </w:r>
      <w:r w:rsidR="0005074C">
        <w:rPr>
          <w:rFonts w:cs="Tahoma"/>
          <w:b/>
          <w:bCs/>
          <w:color w:val="auto"/>
        </w:rPr>
        <w:t>REVOCA</w:t>
      </w:r>
      <w:r w:rsidRPr="007556D8">
        <w:rPr>
          <w:rFonts w:cs="Tahoma"/>
          <w:b/>
          <w:bCs/>
          <w:color w:val="auto"/>
        </w:rPr>
        <w:t xml:space="preserve"> </w:t>
      </w:r>
      <w:r w:rsidRPr="007556D8">
        <w:rPr>
          <w:rFonts w:cs="Tahoma"/>
          <w:bCs/>
          <w:color w:val="auto"/>
        </w:rPr>
        <w:t>la respuesta entrega</w:t>
      </w:r>
      <w:r w:rsidR="00655068" w:rsidRPr="007556D8">
        <w:rPr>
          <w:rFonts w:cs="Tahoma"/>
          <w:bCs/>
          <w:color w:val="auto"/>
        </w:rPr>
        <w:t xml:space="preserve">da por el </w:t>
      </w:r>
      <w:r w:rsidR="00364CCB">
        <w:rPr>
          <w:rFonts w:cs="Tahoma"/>
          <w:bCs/>
          <w:color w:val="auto"/>
        </w:rPr>
        <w:t>Sistema Municipal para el Desarrollo Integral de la Familia de Morelos</w:t>
      </w:r>
      <w:r w:rsidRPr="007556D8">
        <w:rPr>
          <w:rFonts w:cs="Tahoma"/>
          <w:bCs/>
          <w:color w:val="auto"/>
        </w:rPr>
        <w:t xml:space="preserve">, a la solicitud de </w:t>
      </w:r>
      <w:r w:rsidRPr="007556D8">
        <w:rPr>
          <w:color w:val="auto"/>
        </w:rPr>
        <w:t>información</w:t>
      </w:r>
      <w:r w:rsidR="00655068" w:rsidRPr="007556D8">
        <w:rPr>
          <w:color w:val="auto"/>
        </w:rPr>
        <w:t xml:space="preserve"> </w:t>
      </w:r>
      <w:r w:rsidR="00364CCB">
        <w:rPr>
          <w:color w:val="auto"/>
        </w:rPr>
        <w:t>00010/DIFMORELOS/IP/2025</w:t>
      </w:r>
      <w:r w:rsidRPr="007556D8">
        <w:rPr>
          <w:bCs/>
          <w:color w:val="auto"/>
        </w:rPr>
        <w:t xml:space="preserve">, por resultar </w:t>
      </w:r>
      <w:r w:rsidRPr="007556D8">
        <w:rPr>
          <w:b/>
          <w:bCs/>
          <w:color w:val="auto"/>
        </w:rPr>
        <w:t>FUNDADAS</w:t>
      </w:r>
      <w:r w:rsidRPr="007556D8">
        <w:rPr>
          <w:rFonts w:cs="Tahoma"/>
          <w:b/>
          <w:bCs/>
          <w:color w:val="auto"/>
        </w:rPr>
        <w:t xml:space="preserve"> </w:t>
      </w:r>
      <w:r w:rsidRPr="007556D8">
        <w:rPr>
          <w:rFonts w:eastAsia="Calibri" w:cs="Tahoma"/>
          <w:bCs/>
          <w:color w:val="auto"/>
        </w:rPr>
        <w:t>las razones o motivos de inconformidad hechos valer por el Recurrente</w:t>
      </w:r>
      <w:r w:rsidRPr="007556D8">
        <w:rPr>
          <w:rFonts w:cs="Tahoma"/>
          <w:bCs/>
          <w:color w:val="auto"/>
        </w:rPr>
        <w:t xml:space="preserve">, </w:t>
      </w:r>
      <w:r w:rsidRPr="007556D8">
        <w:rPr>
          <w:rFonts w:eastAsia="Calibri" w:cs="Tahoma"/>
          <w:bCs/>
          <w:color w:val="auto"/>
        </w:rPr>
        <w:t>en términos de los considerandos QUINTO y SEXTO de la presente Resolución.</w:t>
      </w:r>
    </w:p>
    <w:p w14:paraId="5F3709A7" w14:textId="77777777" w:rsidR="00D1318A" w:rsidRPr="00B16FBB" w:rsidRDefault="00D1318A" w:rsidP="001B6133">
      <w:pPr>
        <w:spacing w:after="0" w:line="360" w:lineRule="auto"/>
        <w:contextualSpacing/>
        <w:rPr>
          <w:rFonts w:eastAsia="Times New Roman" w:cs="Tahoma"/>
          <w:bCs/>
          <w:color w:val="FF0000"/>
          <w:lang w:eastAsia="es-ES"/>
        </w:rPr>
      </w:pPr>
    </w:p>
    <w:p w14:paraId="355B4965" w14:textId="4EB1D17D" w:rsidR="007556D8" w:rsidRDefault="00D1318A" w:rsidP="007556D8">
      <w:pPr>
        <w:spacing w:after="0" w:line="360" w:lineRule="auto"/>
        <w:rPr>
          <w:rFonts w:cs="Tahoma"/>
          <w:color w:val="auto"/>
        </w:rPr>
      </w:pPr>
      <w:r w:rsidRPr="007556D8">
        <w:rPr>
          <w:rFonts w:cs="Tahoma"/>
          <w:b/>
          <w:bCs/>
          <w:color w:val="auto"/>
        </w:rPr>
        <w:t xml:space="preserve">SEGUNDO. </w:t>
      </w:r>
      <w:r w:rsidRPr="007556D8">
        <w:rPr>
          <w:color w:val="auto"/>
        </w:rPr>
        <w:t xml:space="preserve">Se </w:t>
      </w:r>
      <w:r w:rsidRPr="007556D8">
        <w:rPr>
          <w:b/>
          <w:color w:val="auto"/>
        </w:rPr>
        <w:t>ORDENA</w:t>
      </w:r>
      <w:r w:rsidRPr="007556D8">
        <w:rPr>
          <w:color w:val="auto"/>
        </w:rPr>
        <w:t xml:space="preserve"> al Ente Recurrido</w:t>
      </w:r>
      <w:r w:rsidRPr="007556D8">
        <w:rPr>
          <w:b/>
          <w:color w:val="auto"/>
        </w:rPr>
        <w:t xml:space="preserve">, </w:t>
      </w:r>
      <w:r w:rsidRPr="007556D8">
        <w:rPr>
          <w:color w:val="auto"/>
        </w:rPr>
        <w:t>a efecto de que previa búsqueda exhaustiva y razonable, en los archivos de las unidades administrativas competentes, entregue a través del Sistema de Acceso a la Información Mexiquense (SAIMEX), en versión pública</w:t>
      </w:r>
      <w:r w:rsidR="00655068" w:rsidRPr="007556D8">
        <w:rPr>
          <w:color w:val="auto"/>
        </w:rPr>
        <w:t xml:space="preserve">, </w:t>
      </w:r>
      <w:r w:rsidR="007556D8" w:rsidRPr="00A462FB">
        <w:rPr>
          <w:rFonts w:cs="Tahoma"/>
          <w:color w:val="auto"/>
        </w:rPr>
        <w:t xml:space="preserve">respecto </w:t>
      </w:r>
      <w:r w:rsidR="00B61219">
        <w:rPr>
          <w:rFonts w:cs="Tahoma"/>
          <w:color w:val="auto"/>
        </w:rPr>
        <w:t>a cada una de las</w:t>
      </w:r>
      <w:r w:rsidR="007556D8" w:rsidRPr="00A462FB">
        <w:rPr>
          <w:rFonts w:cs="Tahoma"/>
          <w:color w:val="auto"/>
        </w:rPr>
        <w:t xml:space="preserve"> cuentas bancarias</w:t>
      </w:r>
      <w:r w:rsidR="00B61219">
        <w:rPr>
          <w:rFonts w:cs="Tahoma"/>
          <w:color w:val="auto"/>
        </w:rPr>
        <w:t xml:space="preserve"> con las que contaba </w:t>
      </w:r>
      <w:r w:rsidR="007556D8" w:rsidRPr="00A462FB">
        <w:rPr>
          <w:rFonts w:cs="Tahoma"/>
          <w:color w:val="auto"/>
        </w:rPr>
        <w:t xml:space="preserve">el </w:t>
      </w:r>
      <w:r w:rsidR="00364CCB">
        <w:rPr>
          <w:rFonts w:cs="Tahoma"/>
          <w:color w:val="auto"/>
        </w:rPr>
        <w:t>Sistema Municipal para el Desarrollo Integral de la Familia de Morelos</w:t>
      </w:r>
      <w:r w:rsidR="007556D8">
        <w:rPr>
          <w:rFonts w:cs="Tahoma"/>
          <w:color w:val="auto"/>
        </w:rPr>
        <w:t>, lo siguiente:</w:t>
      </w:r>
    </w:p>
    <w:p w14:paraId="0A1B8714" w14:textId="77777777" w:rsidR="007556D8" w:rsidRDefault="007556D8" w:rsidP="007556D8">
      <w:pPr>
        <w:spacing w:after="0" w:line="360" w:lineRule="auto"/>
        <w:rPr>
          <w:rFonts w:cs="Tahoma"/>
          <w:color w:val="auto"/>
        </w:rPr>
      </w:pPr>
    </w:p>
    <w:p w14:paraId="49B0AAF9" w14:textId="4F0FB658" w:rsidR="004F55B4" w:rsidRDefault="0005074C" w:rsidP="007556D8">
      <w:pPr>
        <w:pStyle w:val="Prrafodelista"/>
        <w:numPr>
          <w:ilvl w:val="0"/>
          <w:numId w:val="38"/>
        </w:numPr>
        <w:spacing w:line="360" w:lineRule="auto"/>
        <w:rPr>
          <w:rFonts w:cs="Tahoma"/>
          <w:color w:val="auto"/>
        </w:rPr>
      </w:pPr>
      <w:r>
        <w:rPr>
          <w:rFonts w:cs="Tahoma"/>
          <w:color w:val="auto"/>
        </w:rPr>
        <w:t>Los estados de cuenta bancarios del mes de marzo de dos mil veinticinco</w:t>
      </w:r>
      <w:r w:rsidR="00B61219">
        <w:rPr>
          <w:rFonts w:cs="Tahoma"/>
          <w:color w:val="auto"/>
        </w:rPr>
        <w:t>.</w:t>
      </w:r>
    </w:p>
    <w:p w14:paraId="529743FB" w14:textId="77777777" w:rsidR="007556D8" w:rsidRPr="007556D8" w:rsidRDefault="007556D8" w:rsidP="007556D8">
      <w:pPr>
        <w:pStyle w:val="Prrafodelista"/>
        <w:spacing w:line="360" w:lineRule="auto"/>
        <w:rPr>
          <w:rFonts w:cs="Tahoma"/>
          <w:color w:val="auto"/>
        </w:rPr>
      </w:pPr>
    </w:p>
    <w:p w14:paraId="54DDC8F5" w14:textId="465FF88A" w:rsidR="00D1318A" w:rsidRPr="007556D8" w:rsidRDefault="00D1318A" w:rsidP="001B6133">
      <w:pPr>
        <w:spacing w:after="0" w:line="360" w:lineRule="auto"/>
        <w:rPr>
          <w:rFonts w:cs="Tahoma"/>
          <w:bCs/>
          <w:iCs/>
          <w:color w:val="auto"/>
          <w:lang w:eastAsia="es-ES"/>
        </w:rPr>
      </w:pPr>
      <w:r w:rsidRPr="007556D8">
        <w:rPr>
          <w:color w:val="auto"/>
        </w:rPr>
        <w:t>A</w:t>
      </w:r>
      <w:r w:rsidR="00655068" w:rsidRPr="007556D8">
        <w:rPr>
          <w:color w:val="auto"/>
        </w:rPr>
        <w:t>demás</w:t>
      </w:r>
      <w:r w:rsidR="00057905" w:rsidRPr="007556D8">
        <w:rPr>
          <w:color w:val="auto"/>
        </w:rPr>
        <w:t xml:space="preserve">, </w:t>
      </w:r>
      <w:r w:rsidRPr="007556D8">
        <w:rPr>
          <w:rFonts w:cs="Tahoma"/>
          <w:bCs/>
          <w:iCs/>
          <w:color w:val="auto"/>
          <w:lang w:eastAsia="es-ES"/>
        </w:rPr>
        <w:t>deberá proporcionar el Acuerdo de Clasificación donde el Comité de Transparencia, confirme la eliminación de los datos o información clasificada, en la versión pública</w:t>
      </w:r>
      <w:r w:rsidR="000733DF" w:rsidRPr="007556D8">
        <w:rPr>
          <w:rFonts w:cs="Tahoma"/>
          <w:bCs/>
          <w:iCs/>
          <w:color w:val="auto"/>
          <w:lang w:eastAsia="es-ES"/>
        </w:rPr>
        <w:t xml:space="preserve">, </w:t>
      </w:r>
      <w:r w:rsidRPr="007556D8">
        <w:rPr>
          <w:rFonts w:cs="Tahoma"/>
          <w:bCs/>
          <w:iCs/>
          <w:color w:val="auto"/>
          <w:lang w:eastAsia="es-ES"/>
        </w:rPr>
        <w:t>de conformidad con los artículos 49, fracciones II y VIII y 132, fracción II de la Ley de Transparencia y Acceso a la Información Pública del Estado de México y Municipios.</w:t>
      </w:r>
    </w:p>
    <w:p w14:paraId="5B734820" w14:textId="77777777" w:rsidR="00D1318A" w:rsidRPr="007556D8" w:rsidRDefault="00D1318A" w:rsidP="001B6133">
      <w:pPr>
        <w:spacing w:after="0" w:line="360" w:lineRule="auto"/>
        <w:ind w:right="-91"/>
        <w:contextualSpacing/>
        <w:rPr>
          <w:rFonts w:eastAsia="Calibri" w:cs="Tahoma"/>
          <w:b/>
          <w:bCs/>
          <w:color w:val="auto"/>
        </w:rPr>
      </w:pPr>
    </w:p>
    <w:p w14:paraId="2967B5AA" w14:textId="77777777" w:rsidR="000733DF" w:rsidRPr="007556D8" w:rsidRDefault="00D1318A" w:rsidP="001B6133">
      <w:pPr>
        <w:spacing w:after="0" w:line="360" w:lineRule="auto"/>
        <w:ind w:right="-28"/>
        <w:contextualSpacing/>
        <w:rPr>
          <w:rFonts w:cs="Tahoma"/>
          <w:bCs/>
          <w:iCs/>
          <w:color w:val="auto"/>
        </w:rPr>
      </w:pPr>
      <w:r w:rsidRPr="007556D8">
        <w:rPr>
          <w:rFonts w:eastAsia="Calibri" w:cs="Tahoma"/>
          <w:b/>
          <w:bCs/>
          <w:color w:val="auto"/>
        </w:rPr>
        <w:t xml:space="preserve">TERCERO. </w:t>
      </w:r>
      <w:r w:rsidRPr="007556D8">
        <w:rPr>
          <w:rFonts w:cs="Tahoma"/>
          <w:b/>
          <w:bCs/>
          <w:iCs/>
          <w:color w:val="auto"/>
        </w:rPr>
        <w:t xml:space="preserve">NOTIFÍQUESE POR SAIMEX </w:t>
      </w:r>
      <w:r w:rsidRPr="007556D8">
        <w:rPr>
          <w:rFonts w:cs="Tahoma"/>
          <w:bCs/>
          <w:iCs/>
          <w:color w:val="auto"/>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r w:rsidR="00D1305D" w:rsidRPr="007556D8">
        <w:rPr>
          <w:rFonts w:cs="Tahoma"/>
          <w:bCs/>
          <w:iCs/>
          <w:color w:val="auto"/>
        </w:rPr>
        <w:t xml:space="preserve"> </w:t>
      </w:r>
    </w:p>
    <w:p w14:paraId="4311AA0D" w14:textId="77777777" w:rsidR="000733DF" w:rsidRPr="007556D8" w:rsidRDefault="000733DF" w:rsidP="001B6133">
      <w:pPr>
        <w:spacing w:after="0" w:line="360" w:lineRule="auto"/>
        <w:ind w:right="-28"/>
        <w:contextualSpacing/>
        <w:rPr>
          <w:rFonts w:cs="Tahoma"/>
          <w:bCs/>
          <w:iCs/>
          <w:color w:val="auto"/>
        </w:rPr>
      </w:pPr>
    </w:p>
    <w:p w14:paraId="3EAE0142" w14:textId="0AB0FE1F" w:rsidR="00D1318A" w:rsidRPr="007556D8" w:rsidRDefault="00D1318A" w:rsidP="001B6133">
      <w:pPr>
        <w:spacing w:after="0" w:line="360" w:lineRule="auto"/>
        <w:ind w:right="-28"/>
        <w:contextualSpacing/>
        <w:rPr>
          <w:rFonts w:eastAsia="Calibri" w:cs="Tahoma"/>
          <w:iCs/>
          <w:color w:val="auto"/>
        </w:rPr>
      </w:pPr>
      <w:r w:rsidRPr="007556D8">
        <w:rPr>
          <w:rFonts w:eastAsia="Calibri" w:cs="Tahoma"/>
          <w:iCs/>
          <w:color w:val="auto"/>
        </w:rPr>
        <w:t>De conformidad con el artículo 198 de la Ley de la materia, de considerarlo procedente, el Sujeto Obligado de manera fundada y motivada, podrá solicitar una ampliación de plazo para el cumplimiento de la presente resolución.</w:t>
      </w:r>
    </w:p>
    <w:p w14:paraId="34731E30" w14:textId="77777777" w:rsidR="00D1318A" w:rsidRPr="007556D8" w:rsidRDefault="00D1318A" w:rsidP="001B6133">
      <w:pPr>
        <w:spacing w:after="0" w:line="360" w:lineRule="auto"/>
        <w:contextualSpacing/>
        <w:rPr>
          <w:rFonts w:eastAsia="Calibri" w:cs="Tahoma"/>
          <w:color w:val="auto"/>
          <w:lang w:val="es-ES"/>
        </w:rPr>
      </w:pPr>
    </w:p>
    <w:p w14:paraId="3F59EFC7" w14:textId="77777777" w:rsidR="00D1318A" w:rsidRPr="007556D8" w:rsidRDefault="00D1318A" w:rsidP="001B6133">
      <w:pPr>
        <w:spacing w:after="0" w:line="360" w:lineRule="auto"/>
        <w:contextualSpacing/>
        <w:rPr>
          <w:rFonts w:eastAsia="Times New Roman" w:cs="Tahoma"/>
          <w:color w:val="auto"/>
          <w:lang w:eastAsia="es-ES"/>
        </w:rPr>
      </w:pPr>
      <w:r w:rsidRPr="007556D8">
        <w:rPr>
          <w:rFonts w:eastAsia="Calibri" w:cs="Tahoma"/>
          <w:b/>
          <w:color w:val="auto"/>
        </w:rPr>
        <w:t>CUARTO</w:t>
      </w:r>
      <w:r w:rsidRPr="007556D8">
        <w:rPr>
          <w:rFonts w:eastAsia="Calibri" w:cs="Tahoma"/>
          <w:b/>
          <w:bCs/>
          <w:color w:val="auto"/>
        </w:rPr>
        <w:t xml:space="preserve">. </w:t>
      </w:r>
      <w:r w:rsidRPr="007556D8">
        <w:rPr>
          <w:rFonts w:cs="Tahoma"/>
          <w:b/>
          <w:color w:val="auto"/>
        </w:rPr>
        <w:t>NOTIFÍQUESE POR SAIMEX</w:t>
      </w:r>
      <w:r w:rsidRPr="007556D8">
        <w:rPr>
          <w:rFonts w:cs="Tahoma"/>
          <w:color w:val="auto"/>
        </w:rPr>
        <w:t xml:space="preserve"> a la persona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7850850C" w14:textId="77777777" w:rsidR="00D1318A" w:rsidRPr="00B16FBB" w:rsidRDefault="00D1318A" w:rsidP="001B6133">
      <w:pPr>
        <w:spacing w:after="0" w:line="360" w:lineRule="auto"/>
        <w:contextualSpacing/>
        <w:rPr>
          <w:rFonts w:cs="Arial"/>
          <w:b/>
          <w:bCs/>
          <w:color w:val="FF0000"/>
        </w:rPr>
      </w:pPr>
    </w:p>
    <w:p w14:paraId="440D22CF" w14:textId="1572E039" w:rsidR="00D1318A" w:rsidRPr="007556D8" w:rsidRDefault="00D1318A" w:rsidP="001B6133">
      <w:pPr>
        <w:spacing w:after="0" w:line="360" w:lineRule="auto"/>
        <w:contextualSpacing/>
        <w:rPr>
          <w:rFonts w:cs="Tahoma"/>
          <w:b/>
          <w:bCs/>
          <w:color w:val="auto"/>
        </w:rPr>
      </w:pPr>
      <w:r w:rsidRPr="007556D8">
        <w:rPr>
          <w:rFonts w:eastAsia="Calibri" w:cs="Tahoma"/>
          <w:bCs/>
          <w:color w:val="auto"/>
        </w:rPr>
        <w:t>ASÍ LO RESUELVE, POR </w:t>
      </w:r>
      <w:r w:rsidRPr="007556D8">
        <w:rPr>
          <w:rFonts w:eastAsia="Calibri" w:cs="Tahoma"/>
          <w:b/>
          <w:bCs/>
          <w:color w:val="auto"/>
        </w:rPr>
        <w:t>UNANIMIDAD</w:t>
      </w:r>
      <w:r w:rsidRPr="007556D8">
        <w:rPr>
          <w:rFonts w:eastAsia="Calibri" w:cs="Tahoma"/>
          <w:bCs/>
          <w:color w:val="auto"/>
        </w:rPr>
        <w:t>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CF7AA5" w:rsidRPr="007556D8">
        <w:rPr>
          <w:rFonts w:eastAsia="Calibri" w:cs="Tahoma"/>
          <w:bCs/>
          <w:color w:val="auto"/>
        </w:rPr>
        <w:t xml:space="preserve">, EN LA </w:t>
      </w:r>
      <w:r w:rsidR="0005074C">
        <w:rPr>
          <w:rFonts w:eastAsia="Calibri" w:cs="Tahoma"/>
          <w:bCs/>
          <w:color w:val="auto"/>
        </w:rPr>
        <w:t>CUADRAGÉSIMA</w:t>
      </w:r>
      <w:r w:rsidR="007556D8" w:rsidRPr="007556D8">
        <w:rPr>
          <w:rFonts w:eastAsia="Calibri" w:cs="Tahoma"/>
          <w:bCs/>
          <w:color w:val="auto"/>
        </w:rPr>
        <w:t xml:space="preserve"> </w:t>
      </w:r>
      <w:r w:rsidRPr="007556D8">
        <w:rPr>
          <w:rFonts w:eastAsia="Calibri" w:cs="Tahoma"/>
          <w:bCs/>
          <w:color w:val="auto"/>
        </w:rPr>
        <w:t>SESIÓN ORDINA</w:t>
      </w:r>
      <w:r w:rsidR="0028277C" w:rsidRPr="007556D8">
        <w:rPr>
          <w:rFonts w:eastAsia="Calibri" w:cs="Tahoma"/>
          <w:bCs/>
          <w:color w:val="auto"/>
        </w:rPr>
        <w:t xml:space="preserve">RIA, CELEBRADA EL </w:t>
      </w:r>
      <w:r w:rsidR="0005074C">
        <w:rPr>
          <w:rFonts w:eastAsia="Calibri" w:cs="Tahoma"/>
          <w:bCs/>
          <w:color w:val="auto"/>
        </w:rPr>
        <w:t>DOCE DE NOVIEMBRE</w:t>
      </w:r>
      <w:r w:rsidR="00847951" w:rsidRPr="007556D8">
        <w:rPr>
          <w:rFonts w:eastAsia="Calibri" w:cs="Tahoma"/>
          <w:bCs/>
          <w:color w:val="auto"/>
        </w:rPr>
        <w:t xml:space="preserve"> </w:t>
      </w:r>
      <w:r w:rsidRPr="007556D8">
        <w:rPr>
          <w:rFonts w:eastAsia="Calibri" w:cs="Tahoma"/>
          <w:bCs/>
          <w:color w:val="auto"/>
        </w:rPr>
        <w:t>DE DOS MIL VEINTICINCO, ANTE EL SECRETARIO TÉCNICO DEL PLENO, ALEXIS TAPIA RAMÍREZ.</w:t>
      </w:r>
    </w:p>
    <w:p w14:paraId="2BA380C7" w14:textId="77777777" w:rsidR="00D1318A" w:rsidRPr="00B16FBB" w:rsidRDefault="00D1318A" w:rsidP="001B6133">
      <w:pPr>
        <w:spacing w:after="0" w:line="360" w:lineRule="auto"/>
        <w:ind w:right="-28"/>
        <w:rPr>
          <w:color w:val="FF0000"/>
        </w:rPr>
      </w:pPr>
    </w:p>
    <w:p w14:paraId="1FFCF4F3" w14:textId="77777777" w:rsidR="00B02499" w:rsidRPr="00B16FBB" w:rsidRDefault="00B02499" w:rsidP="001B6133">
      <w:pPr>
        <w:spacing w:after="0" w:line="360" w:lineRule="auto"/>
        <w:rPr>
          <w:rFonts w:eastAsia="Calibri" w:cs="Times New Roman"/>
          <w:b/>
          <w:bCs/>
          <w:color w:val="FF0000"/>
        </w:rPr>
      </w:pPr>
    </w:p>
    <w:p w14:paraId="654C889D" w14:textId="77777777" w:rsidR="00B02499" w:rsidRPr="00B16FBB" w:rsidRDefault="00B02499" w:rsidP="001B6133">
      <w:pPr>
        <w:spacing w:after="0" w:line="360" w:lineRule="auto"/>
        <w:rPr>
          <w:rFonts w:eastAsia="Calibri" w:cs="Times New Roman"/>
          <w:b/>
          <w:bCs/>
          <w:color w:val="FF0000"/>
        </w:rPr>
      </w:pPr>
    </w:p>
    <w:p w14:paraId="097C707A" w14:textId="77777777" w:rsidR="004A10B0" w:rsidRPr="00B16FBB" w:rsidRDefault="004A10B0" w:rsidP="001B6133">
      <w:pPr>
        <w:spacing w:after="0" w:line="360" w:lineRule="auto"/>
        <w:contextualSpacing/>
        <w:rPr>
          <w:rFonts w:eastAsia="Calibri" w:cs="Times New Roman"/>
          <w:color w:val="FF0000"/>
        </w:rPr>
      </w:pPr>
    </w:p>
    <w:p w14:paraId="3677DBED" w14:textId="77777777" w:rsidR="004A10B0" w:rsidRPr="00B16FBB" w:rsidRDefault="004A10B0" w:rsidP="001B6133">
      <w:pPr>
        <w:spacing w:after="0" w:line="360" w:lineRule="auto"/>
        <w:contextualSpacing/>
        <w:rPr>
          <w:color w:val="FF0000"/>
        </w:rPr>
      </w:pPr>
    </w:p>
    <w:p w14:paraId="74E8DB3F" w14:textId="77777777" w:rsidR="00C556AB" w:rsidRPr="00B16FBB" w:rsidRDefault="00C556AB" w:rsidP="001B6133">
      <w:pPr>
        <w:spacing w:after="0" w:line="360" w:lineRule="auto"/>
        <w:rPr>
          <w:color w:val="FF0000"/>
        </w:rPr>
      </w:pPr>
    </w:p>
    <w:p w14:paraId="1A555613" w14:textId="77777777" w:rsidR="00023BBD" w:rsidRPr="00B16FBB" w:rsidRDefault="00023BBD" w:rsidP="001B6133">
      <w:pPr>
        <w:spacing w:after="0" w:line="360" w:lineRule="auto"/>
        <w:rPr>
          <w:color w:val="FF0000"/>
        </w:rPr>
      </w:pPr>
    </w:p>
    <w:p w14:paraId="2DB71CAF" w14:textId="49BEE08C" w:rsidR="001D4F21" w:rsidRPr="00B16FBB" w:rsidRDefault="001D4F21" w:rsidP="001B6133">
      <w:pPr>
        <w:spacing w:after="0" w:line="360" w:lineRule="auto"/>
        <w:rPr>
          <w:color w:val="FF0000"/>
        </w:rPr>
      </w:pPr>
    </w:p>
    <w:p w14:paraId="38B4EF2E" w14:textId="77777777" w:rsidR="001D4F21" w:rsidRPr="00B16FBB" w:rsidRDefault="001D4F21" w:rsidP="001B6133">
      <w:pPr>
        <w:spacing w:after="0" w:line="360" w:lineRule="auto"/>
        <w:rPr>
          <w:color w:val="FF0000"/>
        </w:rPr>
      </w:pPr>
    </w:p>
    <w:p w14:paraId="4201A0A0" w14:textId="77777777" w:rsidR="00E864E9" w:rsidRPr="00B16FBB" w:rsidRDefault="00E864E9" w:rsidP="001B6133">
      <w:pPr>
        <w:tabs>
          <w:tab w:val="right" w:pos="8931"/>
        </w:tabs>
        <w:spacing w:after="0" w:line="360" w:lineRule="auto"/>
        <w:rPr>
          <w:color w:val="FF0000"/>
        </w:rPr>
      </w:pPr>
    </w:p>
    <w:p w14:paraId="543728D1" w14:textId="77777777" w:rsidR="00E864E9" w:rsidRPr="00B16FBB" w:rsidRDefault="00E864E9" w:rsidP="001B6133">
      <w:pPr>
        <w:tabs>
          <w:tab w:val="right" w:pos="8931"/>
        </w:tabs>
        <w:spacing w:after="0" w:line="360" w:lineRule="auto"/>
        <w:rPr>
          <w:color w:val="FF0000"/>
        </w:rPr>
      </w:pPr>
    </w:p>
    <w:p w14:paraId="0E4439D0" w14:textId="5248D3C9" w:rsidR="007B58B9" w:rsidRPr="00B16FBB" w:rsidRDefault="007B58B9" w:rsidP="001B6133">
      <w:pPr>
        <w:spacing w:after="0" w:line="360" w:lineRule="auto"/>
        <w:rPr>
          <w:color w:val="FF0000"/>
        </w:rPr>
      </w:pPr>
    </w:p>
    <w:p w14:paraId="26916C77" w14:textId="77777777" w:rsidR="00A37EDE" w:rsidRPr="00B16FBB" w:rsidRDefault="00A37EDE" w:rsidP="001B6133">
      <w:pPr>
        <w:spacing w:after="0" w:line="360" w:lineRule="auto"/>
        <w:rPr>
          <w:color w:val="FF0000"/>
        </w:rPr>
      </w:pPr>
    </w:p>
    <w:sectPr w:rsidR="00A37EDE" w:rsidRPr="00B16FBB" w:rsidSect="000B49C4">
      <w:headerReference w:type="even" r:id="rId9"/>
      <w:headerReference w:type="default" r:id="rId10"/>
      <w:footerReference w:type="even" r:id="rId11"/>
      <w:footerReference w:type="default" r:id="rId12"/>
      <w:headerReference w:type="first" r:id="rId13"/>
      <w:footerReference w:type="first" r:id="rId14"/>
      <w:pgSz w:w="12240" w:h="15840"/>
      <w:pgMar w:top="1418" w:right="1608" w:bottom="1560" w:left="1701" w:header="222"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F8E0564" w14:textId="77777777" w:rsidR="00C75A27" w:rsidRDefault="00C75A27">
      <w:pPr>
        <w:spacing w:after="0" w:line="240" w:lineRule="auto"/>
      </w:pPr>
      <w:r>
        <w:separator/>
      </w:r>
    </w:p>
  </w:endnote>
  <w:endnote w:type="continuationSeparator" w:id="0">
    <w:p w14:paraId="208315AB" w14:textId="77777777" w:rsidR="00C75A27" w:rsidRDefault="00C75A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CC53DA" w14:textId="20383E56" w:rsidR="00BF6D30" w:rsidRDefault="00BF6D3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D05B4">
      <w:rPr>
        <w:b/>
        <w:noProof/>
        <w:color w:val="000000"/>
        <w:sz w:val="24"/>
        <w:szCs w:val="24"/>
      </w:rPr>
      <w:t>26</w:t>
    </w:r>
    <w:r>
      <w:rPr>
        <w:b/>
        <w:color w:val="000000"/>
        <w:sz w:val="24"/>
        <w:szCs w:val="24"/>
      </w:rPr>
      <w:fldChar w:fldCharType="end"/>
    </w:r>
  </w:p>
  <w:p w14:paraId="7EB9860B" w14:textId="77777777" w:rsidR="00BF6D30" w:rsidRDefault="00BF6D30">
    <w:pPr>
      <w:pBdr>
        <w:top w:val="nil"/>
        <w:left w:val="nil"/>
        <w:bottom w:val="nil"/>
        <w:right w:val="nil"/>
        <w:between w:val="nil"/>
      </w:pBdr>
      <w:tabs>
        <w:tab w:val="center" w:pos="4419"/>
        <w:tab w:val="right" w:pos="8838"/>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28E74" w14:textId="39395077" w:rsidR="00BF6D30" w:rsidRDefault="00BF6D3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A75605">
      <w:rPr>
        <w:b/>
        <w:noProof/>
        <w:color w:val="000000"/>
        <w:sz w:val="24"/>
        <w:szCs w:val="24"/>
      </w:rPr>
      <w:t>22</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A75605">
      <w:rPr>
        <w:b/>
        <w:noProof/>
        <w:color w:val="000000"/>
        <w:sz w:val="24"/>
        <w:szCs w:val="24"/>
      </w:rPr>
      <w:t>26</w:t>
    </w:r>
    <w:r>
      <w:rPr>
        <w:b/>
        <w:color w:val="000000"/>
        <w:sz w:val="24"/>
        <w:szCs w:val="24"/>
      </w:rPr>
      <w:fldChar w:fldCharType="end"/>
    </w:r>
  </w:p>
  <w:p w14:paraId="0D7FA8D9" w14:textId="77777777" w:rsidR="00BF6D30" w:rsidRDefault="00BF6D30">
    <w:pPr>
      <w:pBdr>
        <w:top w:val="nil"/>
        <w:left w:val="nil"/>
        <w:bottom w:val="nil"/>
        <w:right w:val="nil"/>
        <w:between w:val="nil"/>
      </w:pBdr>
      <w:tabs>
        <w:tab w:val="center" w:pos="4419"/>
        <w:tab w:val="right" w:pos="8838"/>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ECEF7" w14:textId="77777777" w:rsidR="00BF6D30" w:rsidRDefault="00BF6D30">
    <w:pPr>
      <w:pBdr>
        <w:top w:val="nil"/>
        <w:left w:val="nil"/>
        <w:bottom w:val="nil"/>
        <w:right w:val="nil"/>
        <w:between w:val="nil"/>
      </w:pBdr>
      <w:tabs>
        <w:tab w:val="center" w:pos="4419"/>
        <w:tab w:val="right" w:pos="8838"/>
      </w:tabs>
      <w:spacing w:after="0" w:line="240" w:lineRule="auto"/>
      <w:jc w:val="right"/>
      <w:rPr>
        <w:color w:val="000000"/>
      </w:rPr>
    </w:pPr>
    <w:r>
      <w:rPr>
        <w:color w:val="000000"/>
      </w:rPr>
      <w:t xml:space="preserve">Página </w:t>
    </w:r>
    <w:r>
      <w:rPr>
        <w:b/>
        <w:color w:val="000000"/>
        <w:sz w:val="24"/>
        <w:szCs w:val="24"/>
      </w:rPr>
      <w:fldChar w:fldCharType="begin"/>
    </w:r>
    <w:r>
      <w:rPr>
        <w:b/>
        <w:color w:val="000000"/>
        <w:sz w:val="24"/>
        <w:szCs w:val="24"/>
      </w:rPr>
      <w:instrText>PAGE</w:instrText>
    </w:r>
    <w:r>
      <w:rPr>
        <w:b/>
        <w:color w:val="000000"/>
        <w:sz w:val="24"/>
        <w:szCs w:val="24"/>
      </w:rPr>
      <w:fldChar w:fldCharType="separate"/>
    </w:r>
    <w:r w:rsidR="00C75A27">
      <w:rPr>
        <w:b/>
        <w:noProof/>
        <w:color w:val="000000"/>
        <w:sz w:val="24"/>
        <w:szCs w:val="24"/>
      </w:rPr>
      <w:t>1</w:t>
    </w:r>
    <w:r>
      <w:rPr>
        <w:b/>
        <w:color w:val="000000"/>
        <w:sz w:val="24"/>
        <w:szCs w:val="24"/>
      </w:rPr>
      <w:fldChar w:fldCharType="end"/>
    </w:r>
    <w:r>
      <w:rPr>
        <w:color w:val="000000"/>
      </w:rPr>
      <w:t xml:space="preserve"> de </w:t>
    </w:r>
    <w:r>
      <w:rPr>
        <w:b/>
        <w:color w:val="000000"/>
        <w:sz w:val="24"/>
        <w:szCs w:val="24"/>
      </w:rPr>
      <w:fldChar w:fldCharType="begin"/>
    </w:r>
    <w:r>
      <w:rPr>
        <w:b/>
        <w:color w:val="000000"/>
        <w:sz w:val="24"/>
        <w:szCs w:val="24"/>
      </w:rPr>
      <w:instrText>NUMPAGES</w:instrText>
    </w:r>
    <w:r>
      <w:rPr>
        <w:b/>
        <w:color w:val="000000"/>
        <w:sz w:val="24"/>
        <w:szCs w:val="24"/>
      </w:rPr>
      <w:fldChar w:fldCharType="separate"/>
    </w:r>
    <w:r w:rsidR="00C75A27">
      <w:rPr>
        <w:b/>
        <w:noProof/>
        <w:color w:val="000000"/>
        <w:sz w:val="24"/>
        <w:szCs w:val="24"/>
      </w:rPr>
      <w:t>1</w:t>
    </w:r>
    <w:r>
      <w:rPr>
        <w:b/>
        <w:color w:val="000000"/>
        <w:sz w:val="24"/>
        <w:szCs w:val="24"/>
      </w:rPr>
      <w:fldChar w:fldCharType="end"/>
    </w:r>
  </w:p>
  <w:p w14:paraId="6796AF5F" w14:textId="77777777" w:rsidR="00BF6D30" w:rsidRDefault="00BF6D30">
    <w:pPr>
      <w:pBdr>
        <w:top w:val="nil"/>
        <w:left w:val="nil"/>
        <w:bottom w:val="nil"/>
        <w:right w:val="nil"/>
        <w:between w:val="nil"/>
      </w:pBdr>
      <w:tabs>
        <w:tab w:val="center" w:pos="4419"/>
        <w:tab w:val="right" w:pos="88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2DCD2D" w14:textId="77777777" w:rsidR="00C75A27" w:rsidRDefault="00C75A27">
      <w:pPr>
        <w:spacing w:after="0" w:line="240" w:lineRule="auto"/>
      </w:pPr>
      <w:r>
        <w:separator/>
      </w:r>
    </w:p>
  </w:footnote>
  <w:footnote w:type="continuationSeparator" w:id="0">
    <w:p w14:paraId="3347CDA7" w14:textId="77777777" w:rsidR="00C75A27" w:rsidRDefault="00C75A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0A9F14" w14:textId="77777777" w:rsidR="00BF6D30" w:rsidRDefault="00BF6D30">
    <w:pPr>
      <w:widowControl w:val="0"/>
      <w:pBdr>
        <w:top w:val="nil"/>
        <w:left w:val="nil"/>
        <w:bottom w:val="nil"/>
        <w:right w:val="nil"/>
        <w:between w:val="nil"/>
      </w:pBdr>
      <w:spacing w:after="0" w:line="276" w:lineRule="auto"/>
      <w:jc w:val="left"/>
      <w:rPr>
        <w:color w:val="000000"/>
      </w:rPr>
    </w:pPr>
  </w:p>
  <w:tbl>
    <w:tblPr>
      <w:tblStyle w:val="2"/>
      <w:tblW w:w="6096" w:type="dxa"/>
      <w:tblInd w:w="2835" w:type="dxa"/>
      <w:tblBorders>
        <w:top w:val="nil"/>
        <w:left w:val="nil"/>
        <w:bottom w:val="nil"/>
        <w:right w:val="nil"/>
        <w:insideH w:val="nil"/>
        <w:insideV w:val="nil"/>
      </w:tblBorders>
      <w:tblLayout w:type="fixed"/>
      <w:tblLook w:val="0400" w:firstRow="0" w:lastRow="0" w:firstColumn="0" w:lastColumn="0" w:noHBand="0" w:noVBand="1"/>
    </w:tblPr>
    <w:tblGrid>
      <w:gridCol w:w="2691"/>
      <w:gridCol w:w="3405"/>
    </w:tblGrid>
    <w:tr w:rsidR="00BF6D30" w14:paraId="10C29E94" w14:textId="77777777">
      <w:trPr>
        <w:trHeight w:val="132"/>
      </w:trPr>
      <w:tc>
        <w:tcPr>
          <w:tcW w:w="2691" w:type="dxa"/>
        </w:tcPr>
        <w:p w14:paraId="7D85A4B8" w14:textId="77777777" w:rsidR="00BF6D30" w:rsidRDefault="00BF6D30">
          <w:pPr>
            <w:tabs>
              <w:tab w:val="right" w:pos="8838"/>
            </w:tabs>
            <w:ind w:right="-105"/>
            <w:rPr>
              <w:b/>
            </w:rPr>
          </w:pPr>
          <w:r>
            <w:rPr>
              <w:b/>
            </w:rPr>
            <w:t>Recurso de Revisión:</w:t>
          </w:r>
        </w:p>
      </w:tc>
      <w:tc>
        <w:tcPr>
          <w:tcW w:w="3405" w:type="dxa"/>
        </w:tcPr>
        <w:p w14:paraId="0B0D1A9D" w14:textId="77777777" w:rsidR="00BF6D30" w:rsidRDefault="00BF6D30">
          <w:pPr>
            <w:tabs>
              <w:tab w:val="right" w:pos="8838"/>
            </w:tabs>
            <w:ind w:left="-28" w:right="-32"/>
          </w:pPr>
          <w:r>
            <w:t>03846/INFOEM/IP/RR/2020</w:t>
          </w:r>
        </w:p>
      </w:tc>
    </w:tr>
    <w:tr w:rsidR="00BF6D30" w14:paraId="2F47AC72" w14:textId="77777777">
      <w:trPr>
        <w:trHeight w:val="261"/>
      </w:trPr>
      <w:tc>
        <w:tcPr>
          <w:tcW w:w="2691" w:type="dxa"/>
        </w:tcPr>
        <w:p w14:paraId="154A4752" w14:textId="77777777" w:rsidR="00BF6D30" w:rsidRDefault="00BF6D30">
          <w:pPr>
            <w:tabs>
              <w:tab w:val="right" w:pos="8838"/>
            </w:tabs>
            <w:ind w:right="-105"/>
            <w:rPr>
              <w:b/>
            </w:rPr>
          </w:pPr>
          <w:r>
            <w:rPr>
              <w:b/>
            </w:rPr>
            <w:t>Sujeto Obligado:</w:t>
          </w:r>
        </w:p>
      </w:tc>
      <w:tc>
        <w:tcPr>
          <w:tcW w:w="3405" w:type="dxa"/>
        </w:tcPr>
        <w:p w14:paraId="5D9EC711" w14:textId="77777777" w:rsidR="00BF6D30" w:rsidRDefault="00BF6D30">
          <w:pPr>
            <w:tabs>
              <w:tab w:val="right" w:pos="8838"/>
            </w:tabs>
            <w:ind w:right="-32"/>
          </w:pPr>
          <w:r>
            <w:t>Ayuntamiento de Temascalcingo</w:t>
          </w:r>
        </w:p>
      </w:tc>
    </w:tr>
    <w:tr w:rsidR="00BF6D30" w14:paraId="11FBB450" w14:textId="77777777">
      <w:trPr>
        <w:trHeight w:val="261"/>
      </w:trPr>
      <w:tc>
        <w:tcPr>
          <w:tcW w:w="2691" w:type="dxa"/>
        </w:tcPr>
        <w:p w14:paraId="6BAF6003" w14:textId="77777777" w:rsidR="00BF6D30" w:rsidRDefault="00BF6D30">
          <w:pPr>
            <w:tabs>
              <w:tab w:val="right" w:pos="8838"/>
            </w:tabs>
            <w:ind w:right="-105"/>
            <w:rPr>
              <w:b/>
            </w:rPr>
          </w:pPr>
          <w:r>
            <w:rPr>
              <w:b/>
            </w:rPr>
            <w:t>Comisionado Ponente:</w:t>
          </w:r>
        </w:p>
      </w:tc>
      <w:tc>
        <w:tcPr>
          <w:tcW w:w="3405" w:type="dxa"/>
        </w:tcPr>
        <w:p w14:paraId="420341AF" w14:textId="77777777" w:rsidR="00BF6D30" w:rsidRDefault="00BF6D30">
          <w:pPr>
            <w:tabs>
              <w:tab w:val="right" w:pos="8838"/>
            </w:tabs>
            <w:ind w:right="-32"/>
            <w:rPr>
              <w:b/>
            </w:rPr>
          </w:pPr>
          <w:r>
            <w:t>Luis Gustavo Parra Noriega</w:t>
          </w:r>
        </w:p>
      </w:tc>
    </w:tr>
  </w:tbl>
  <w:p w14:paraId="00411D75" w14:textId="77777777" w:rsidR="00BF6D30" w:rsidRDefault="00C75A27">
    <w:pPr>
      <w:pBdr>
        <w:top w:val="nil"/>
        <w:left w:val="nil"/>
        <w:bottom w:val="nil"/>
        <w:right w:val="nil"/>
        <w:between w:val="nil"/>
      </w:pBdr>
      <w:tabs>
        <w:tab w:val="center" w:pos="4419"/>
        <w:tab w:val="right" w:pos="8838"/>
      </w:tabs>
      <w:spacing w:after="0" w:line="240" w:lineRule="auto"/>
      <w:rPr>
        <w:color w:val="000000"/>
      </w:rPr>
    </w:pPr>
    <w:r>
      <w:rPr>
        <w:color w:val="000000"/>
      </w:rPr>
      <w:pict w14:anchorId="390D42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MARCA DE AGUA - HOJA RESOLUCIÓN" style="position:absolute;left:0;text-align:left;margin-left:0;margin-top:0;width:663.5pt;height:12in;z-index:-251657728;mso-wrap-edited:f;mso-width-percent:0;mso-height-percent:0;mso-position-horizontal:center;mso-position-horizontal-relative:margin;mso-position-vertical:center;mso-position-vertical-relative:margin;mso-width-percent:0;mso-height-percent:0">
          <v:imagedata r:id="rId1" o:title="image5"/>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C8C837" w14:textId="67B323BB" w:rsidR="00BF6D30" w:rsidRDefault="00C75A27">
    <w:pPr>
      <w:widowControl w:val="0"/>
      <w:pBdr>
        <w:top w:val="nil"/>
        <w:left w:val="nil"/>
        <w:bottom w:val="nil"/>
        <w:right w:val="nil"/>
        <w:between w:val="nil"/>
      </w:pBdr>
      <w:spacing w:after="0" w:line="276" w:lineRule="auto"/>
      <w:jc w:val="left"/>
    </w:pPr>
    <w:r>
      <w:rPr>
        <w:color w:val="000000"/>
      </w:rPr>
      <w:pict w14:anchorId="4CAD8A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0" type="#_x0000_t75" alt="MARCA DE AGUA - HOJA RESOLUCIÓN" style="position:absolute;margin-left:-85.35pt;margin-top:-137.45pt;width:663.5pt;height:12in;z-index:-251659776;mso-wrap-edited:f;mso-width-percent:0;mso-height-percent:0;mso-position-horizontal-relative:margin;mso-position-vertical-relative:margin;mso-width-percent:0;mso-height-percent:0">
          <v:imagedata r:id="rId1" o:title="image5"/>
          <w10:wrap anchorx="margin" anchory="margin"/>
        </v:shape>
      </w:pict>
    </w:r>
  </w:p>
  <w:tbl>
    <w:tblPr>
      <w:tblStyle w:val="3"/>
      <w:tblW w:w="6662"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693"/>
      <w:gridCol w:w="3969"/>
    </w:tblGrid>
    <w:tr w:rsidR="00BF6D30" w14:paraId="40D5D5A3" w14:textId="77777777" w:rsidTr="008D675D">
      <w:trPr>
        <w:trHeight w:val="138"/>
      </w:trPr>
      <w:tc>
        <w:tcPr>
          <w:tcW w:w="2693" w:type="dxa"/>
          <w:vAlign w:val="center"/>
        </w:tcPr>
        <w:p w14:paraId="43377EBE" w14:textId="77777777" w:rsidR="00BF6D30" w:rsidRDefault="00BF6D30" w:rsidP="008C266D">
          <w:pPr>
            <w:tabs>
              <w:tab w:val="right" w:pos="8838"/>
            </w:tabs>
            <w:ind w:left="-108" w:right="-105"/>
            <w:jc w:val="left"/>
            <w:rPr>
              <w:b/>
            </w:rPr>
          </w:pPr>
        </w:p>
        <w:p w14:paraId="1DB5C8D0" w14:textId="7E98B3D2" w:rsidR="00BF6D30" w:rsidRDefault="00BF6D30" w:rsidP="008C266D">
          <w:pPr>
            <w:tabs>
              <w:tab w:val="right" w:pos="8838"/>
            </w:tabs>
            <w:ind w:left="-108" w:right="-105"/>
            <w:jc w:val="left"/>
            <w:rPr>
              <w:b/>
            </w:rPr>
          </w:pPr>
          <w:r>
            <w:rPr>
              <w:b/>
            </w:rPr>
            <w:t>Recurso de Revisión:</w:t>
          </w:r>
        </w:p>
      </w:tc>
      <w:tc>
        <w:tcPr>
          <w:tcW w:w="3969" w:type="dxa"/>
        </w:tcPr>
        <w:p w14:paraId="5BCC69C4" w14:textId="77777777" w:rsidR="00BF6D30" w:rsidRPr="00EF0C39" w:rsidRDefault="00BF6D30" w:rsidP="008C266D">
          <w:pPr>
            <w:tabs>
              <w:tab w:val="right" w:pos="8838"/>
            </w:tabs>
            <w:ind w:right="57"/>
          </w:pPr>
        </w:p>
        <w:p w14:paraId="61E59D71" w14:textId="6626CF22" w:rsidR="00BF6D30" w:rsidRPr="00EF0C39" w:rsidRDefault="00BF6D30" w:rsidP="008C266D">
          <w:pPr>
            <w:tabs>
              <w:tab w:val="right" w:pos="8838"/>
            </w:tabs>
            <w:ind w:right="57"/>
          </w:pPr>
          <w:r w:rsidRPr="00B16FBB">
            <w:t>0</w:t>
          </w:r>
          <w:r w:rsidR="00364CCB">
            <w:t>7976</w:t>
          </w:r>
          <w:r w:rsidRPr="00B16FBB">
            <w:t>/INFOEM/IP/RR/2025</w:t>
          </w:r>
        </w:p>
      </w:tc>
    </w:tr>
    <w:tr w:rsidR="00BF6D30" w14:paraId="7A281F30" w14:textId="77777777" w:rsidTr="008D675D">
      <w:trPr>
        <w:trHeight w:val="273"/>
      </w:trPr>
      <w:tc>
        <w:tcPr>
          <w:tcW w:w="2693" w:type="dxa"/>
        </w:tcPr>
        <w:p w14:paraId="6671A308" w14:textId="77777777" w:rsidR="00BF6D30" w:rsidRDefault="00BF6D30" w:rsidP="008C266D">
          <w:pPr>
            <w:tabs>
              <w:tab w:val="right" w:pos="8838"/>
            </w:tabs>
            <w:ind w:left="-108" w:right="-105"/>
            <w:rPr>
              <w:b/>
            </w:rPr>
          </w:pPr>
          <w:r>
            <w:rPr>
              <w:b/>
            </w:rPr>
            <w:t>Sujeto Obligado:</w:t>
          </w:r>
        </w:p>
      </w:tc>
      <w:tc>
        <w:tcPr>
          <w:tcW w:w="3969" w:type="dxa"/>
        </w:tcPr>
        <w:p w14:paraId="30885B6D" w14:textId="49FD1657" w:rsidR="00BF6D30" w:rsidRPr="00EF0C39" w:rsidRDefault="00364CCB" w:rsidP="007B4717">
          <w:pPr>
            <w:tabs>
              <w:tab w:val="right" w:pos="8838"/>
            </w:tabs>
            <w:ind w:right="180"/>
          </w:pPr>
          <w:r>
            <w:t>Sistema Municipal para el Desarrollo Integral de la Familia de Morelos</w:t>
          </w:r>
        </w:p>
      </w:tc>
    </w:tr>
    <w:tr w:rsidR="00BF6D30" w14:paraId="00C22F2F" w14:textId="77777777" w:rsidTr="008D675D">
      <w:trPr>
        <w:trHeight w:val="273"/>
      </w:trPr>
      <w:tc>
        <w:tcPr>
          <w:tcW w:w="2693" w:type="dxa"/>
        </w:tcPr>
        <w:p w14:paraId="70417649" w14:textId="77777777" w:rsidR="00BF6D30" w:rsidRDefault="00BF6D30" w:rsidP="008C266D">
          <w:pPr>
            <w:tabs>
              <w:tab w:val="right" w:pos="8838"/>
            </w:tabs>
            <w:ind w:left="-108" w:right="-105"/>
            <w:rPr>
              <w:b/>
            </w:rPr>
          </w:pPr>
          <w:r>
            <w:rPr>
              <w:b/>
            </w:rPr>
            <w:t>Comisionado Ponente:</w:t>
          </w:r>
        </w:p>
      </w:tc>
      <w:tc>
        <w:tcPr>
          <w:tcW w:w="3969" w:type="dxa"/>
        </w:tcPr>
        <w:p w14:paraId="5E6EB38B" w14:textId="77777777" w:rsidR="00BF6D30" w:rsidRPr="00EF0C39" w:rsidRDefault="00BF6D30" w:rsidP="008C266D">
          <w:pPr>
            <w:tabs>
              <w:tab w:val="right" w:pos="8838"/>
            </w:tabs>
            <w:ind w:right="-170"/>
          </w:pPr>
          <w:r w:rsidRPr="00EF0C39">
            <w:t>Luis Gustavo Parra Noriega</w:t>
          </w:r>
        </w:p>
        <w:p w14:paraId="1A63C67B" w14:textId="77777777" w:rsidR="00BF6D30" w:rsidRPr="00EF0C39" w:rsidRDefault="00BF6D30" w:rsidP="008C266D">
          <w:pPr>
            <w:tabs>
              <w:tab w:val="right" w:pos="8838"/>
            </w:tabs>
            <w:ind w:right="-170"/>
            <w:rPr>
              <w:b/>
            </w:rPr>
          </w:pPr>
        </w:p>
      </w:tc>
    </w:tr>
  </w:tbl>
  <w:p w14:paraId="3498D107" w14:textId="7E17876C" w:rsidR="00BF6D30" w:rsidRDefault="00BF6D30" w:rsidP="008C266D">
    <w:pPr>
      <w:pBdr>
        <w:top w:val="nil"/>
        <w:left w:val="nil"/>
        <w:bottom w:val="nil"/>
        <w:right w:val="nil"/>
        <w:between w:val="nil"/>
      </w:pBdr>
      <w:tabs>
        <w:tab w:val="center" w:pos="4419"/>
        <w:tab w:val="right" w:pos="8838"/>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AA3F9" w14:textId="77777777" w:rsidR="00BF6D30" w:rsidRDefault="00BF6D30">
    <w:pPr>
      <w:widowControl w:val="0"/>
      <w:pBdr>
        <w:top w:val="nil"/>
        <w:left w:val="nil"/>
        <w:bottom w:val="nil"/>
        <w:right w:val="nil"/>
        <w:between w:val="nil"/>
      </w:pBdr>
      <w:spacing w:after="0" w:line="276" w:lineRule="auto"/>
      <w:jc w:val="left"/>
      <w:rPr>
        <w:color w:val="000000"/>
      </w:rPr>
    </w:pPr>
  </w:p>
  <w:tbl>
    <w:tblPr>
      <w:tblStyle w:val="1"/>
      <w:tblW w:w="6379" w:type="dxa"/>
      <w:tblInd w:w="2552" w:type="dxa"/>
      <w:tblBorders>
        <w:top w:val="nil"/>
        <w:left w:val="nil"/>
        <w:bottom w:val="nil"/>
        <w:right w:val="nil"/>
        <w:insideH w:val="nil"/>
        <w:insideV w:val="nil"/>
      </w:tblBorders>
      <w:tblLayout w:type="fixed"/>
      <w:tblLook w:val="0400" w:firstRow="0" w:lastRow="0" w:firstColumn="0" w:lastColumn="0" w:noHBand="0" w:noVBand="1"/>
    </w:tblPr>
    <w:tblGrid>
      <w:gridCol w:w="2551"/>
      <w:gridCol w:w="3828"/>
    </w:tblGrid>
    <w:tr w:rsidR="00BF6D30" w14:paraId="6B3232BD" w14:textId="77777777" w:rsidTr="00364CCB">
      <w:trPr>
        <w:trHeight w:val="132"/>
      </w:trPr>
      <w:tc>
        <w:tcPr>
          <w:tcW w:w="2551" w:type="dxa"/>
        </w:tcPr>
        <w:p w14:paraId="38F16E2F" w14:textId="77777777" w:rsidR="00BF6D30" w:rsidRDefault="00BF6D30">
          <w:pPr>
            <w:tabs>
              <w:tab w:val="right" w:pos="8838"/>
            </w:tabs>
            <w:ind w:right="-105"/>
            <w:rPr>
              <w:b/>
            </w:rPr>
          </w:pPr>
          <w:r>
            <w:rPr>
              <w:b/>
            </w:rPr>
            <w:t>Recurso de Revisión:</w:t>
          </w:r>
        </w:p>
      </w:tc>
      <w:tc>
        <w:tcPr>
          <w:tcW w:w="3828" w:type="dxa"/>
        </w:tcPr>
        <w:p w14:paraId="211CDC0A" w14:textId="6847B98E" w:rsidR="00BF6D30" w:rsidRPr="00026C6B" w:rsidRDefault="00BF6D30" w:rsidP="00026C6B">
          <w:r w:rsidRPr="00B16FBB">
            <w:t>0</w:t>
          </w:r>
          <w:r w:rsidR="00364CCB">
            <w:t>7976</w:t>
          </w:r>
          <w:r w:rsidRPr="00B16FBB">
            <w:t>/INFOEM/IP/RR/2025</w:t>
          </w:r>
        </w:p>
      </w:tc>
    </w:tr>
    <w:tr w:rsidR="00BF6D30" w14:paraId="6AA3CC58" w14:textId="77777777" w:rsidTr="00364CCB">
      <w:trPr>
        <w:trHeight w:val="132"/>
      </w:trPr>
      <w:tc>
        <w:tcPr>
          <w:tcW w:w="2551" w:type="dxa"/>
        </w:tcPr>
        <w:p w14:paraId="7FD164F5" w14:textId="77777777" w:rsidR="00BF6D30" w:rsidRDefault="00BF6D30">
          <w:pPr>
            <w:tabs>
              <w:tab w:val="left" w:pos="1875"/>
            </w:tabs>
            <w:ind w:right="-105"/>
            <w:rPr>
              <w:b/>
            </w:rPr>
          </w:pPr>
          <w:r>
            <w:rPr>
              <w:b/>
            </w:rPr>
            <w:t>Recurrente:</w:t>
          </w:r>
          <w:r>
            <w:rPr>
              <w:b/>
            </w:rPr>
            <w:tab/>
          </w:r>
        </w:p>
      </w:tc>
      <w:tc>
        <w:tcPr>
          <w:tcW w:w="3828" w:type="dxa"/>
        </w:tcPr>
        <w:p w14:paraId="1F1B0537" w14:textId="5FD5E2E3" w:rsidR="00BF6D30" w:rsidRPr="00EF0C39" w:rsidRDefault="00A75605" w:rsidP="006D7FDA">
          <w:pPr>
            <w:tabs>
              <w:tab w:val="right" w:pos="8838"/>
            </w:tabs>
            <w:ind w:right="-250"/>
          </w:pPr>
          <w:r w:rsidRPr="00A75605">
            <w:rPr>
              <w:highlight w:val="black"/>
            </w:rPr>
            <w:t>XXXXXXXXXXXXXX</w:t>
          </w:r>
        </w:p>
      </w:tc>
    </w:tr>
    <w:tr w:rsidR="00BF6D30" w14:paraId="5113CAA6" w14:textId="77777777" w:rsidTr="00364CCB">
      <w:trPr>
        <w:trHeight w:val="261"/>
      </w:trPr>
      <w:tc>
        <w:tcPr>
          <w:tcW w:w="2551" w:type="dxa"/>
        </w:tcPr>
        <w:p w14:paraId="28E3431B" w14:textId="30EC7C18" w:rsidR="00BF6D30" w:rsidRDefault="00BF6D30">
          <w:pPr>
            <w:tabs>
              <w:tab w:val="right" w:pos="8838"/>
            </w:tabs>
            <w:ind w:right="-105"/>
            <w:rPr>
              <w:b/>
            </w:rPr>
          </w:pPr>
          <w:r>
            <w:rPr>
              <w:b/>
            </w:rPr>
            <w:t>Sujeto Obligado:</w:t>
          </w:r>
        </w:p>
      </w:tc>
      <w:tc>
        <w:tcPr>
          <w:tcW w:w="3828" w:type="dxa"/>
        </w:tcPr>
        <w:p w14:paraId="3192354E" w14:textId="279B90DA" w:rsidR="00BF6D30" w:rsidRPr="00026C6B" w:rsidRDefault="00364CCB" w:rsidP="00026C6B">
          <w:r>
            <w:t>Sistema Municipal para el Desarrollo Integral de la Familia de Morelos</w:t>
          </w:r>
        </w:p>
      </w:tc>
    </w:tr>
    <w:tr w:rsidR="00BF6D30" w14:paraId="5D4C2A35" w14:textId="77777777" w:rsidTr="00364CCB">
      <w:trPr>
        <w:trHeight w:val="261"/>
      </w:trPr>
      <w:tc>
        <w:tcPr>
          <w:tcW w:w="2551" w:type="dxa"/>
        </w:tcPr>
        <w:p w14:paraId="7F522FEC" w14:textId="77777777" w:rsidR="00BF6D30" w:rsidRDefault="00BF6D30">
          <w:pPr>
            <w:tabs>
              <w:tab w:val="right" w:pos="8838"/>
            </w:tabs>
            <w:ind w:right="-105"/>
            <w:rPr>
              <w:b/>
            </w:rPr>
          </w:pPr>
          <w:r>
            <w:rPr>
              <w:b/>
            </w:rPr>
            <w:t>Comisionado Ponente:</w:t>
          </w:r>
        </w:p>
      </w:tc>
      <w:tc>
        <w:tcPr>
          <w:tcW w:w="3828" w:type="dxa"/>
        </w:tcPr>
        <w:p w14:paraId="0F0566F9" w14:textId="77777777" w:rsidR="00BF6D30" w:rsidRPr="00EF0C39" w:rsidRDefault="00BF6D30" w:rsidP="00C46A25">
          <w:pPr>
            <w:tabs>
              <w:tab w:val="right" w:pos="8838"/>
            </w:tabs>
            <w:ind w:right="-32"/>
            <w:rPr>
              <w:b/>
            </w:rPr>
          </w:pPr>
          <w:r w:rsidRPr="00EF0C39">
            <w:t>Luis Gustavo Parra Noriega</w:t>
          </w:r>
        </w:p>
      </w:tc>
    </w:tr>
  </w:tbl>
  <w:p w14:paraId="4DFC2598" w14:textId="77777777" w:rsidR="00BF6D30" w:rsidRDefault="00C75A27">
    <w:pPr>
      <w:pBdr>
        <w:top w:val="nil"/>
        <w:left w:val="nil"/>
        <w:bottom w:val="nil"/>
        <w:right w:val="nil"/>
        <w:between w:val="nil"/>
      </w:pBdr>
      <w:tabs>
        <w:tab w:val="center" w:pos="4419"/>
        <w:tab w:val="right" w:pos="8838"/>
        <w:tab w:val="left" w:pos="5812"/>
      </w:tabs>
      <w:spacing w:after="0" w:line="240" w:lineRule="auto"/>
      <w:rPr>
        <w:color w:val="000000"/>
      </w:rPr>
    </w:pPr>
    <w:r>
      <w:rPr>
        <w:color w:val="000000"/>
      </w:rPr>
      <w:pict w14:anchorId="389CC8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MARCA DE AGUA - HOJA RESOLUCIÓN" style="position:absolute;left:0;text-align:left;margin-left:-89.1pt;margin-top:-125pt;width:663.5pt;height:12in;z-index:-251658752;mso-wrap-edited:f;mso-width-percent:0;mso-height-percent:0;mso-position-horizontal-relative:margin;mso-position-vertical-relative:margin;mso-width-percent:0;mso-height-percent:0">
          <v:imagedata r:id="rId1" o:title="image5"/>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F3C54"/>
    <w:multiLevelType w:val="multilevel"/>
    <w:tmpl w:val="4542650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5CD2801"/>
    <w:multiLevelType w:val="hybridMultilevel"/>
    <w:tmpl w:val="B69C108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194FE3"/>
    <w:multiLevelType w:val="hybridMultilevel"/>
    <w:tmpl w:val="11F67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246215"/>
    <w:multiLevelType w:val="multilevel"/>
    <w:tmpl w:val="1E562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08A3ED3"/>
    <w:multiLevelType w:val="hybridMultilevel"/>
    <w:tmpl w:val="E654E9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215631B"/>
    <w:multiLevelType w:val="hybridMultilevel"/>
    <w:tmpl w:val="8CE8374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15:restartNumberingAfterBreak="0">
    <w:nsid w:val="193A6EE7"/>
    <w:multiLevelType w:val="hybridMultilevel"/>
    <w:tmpl w:val="A2145D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A8C1EE1"/>
    <w:multiLevelType w:val="multilevel"/>
    <w:tmpl w:val="C3B68F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F110A4F"/>
    <w:multiLevelType w:val="hybridMultilevel"/>
    <w:tmpl w:val="480EC64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F9021DE"/>
    <w:multiLevelType w:val="hybridMultilevel"/>
    <w:tmpl w:val="2C0E9194"/>
    <w:lvl w:ilvl="0" w:tplc="2D9068C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0A51843"/>
    <w:multiLevelType w:val="multilevel"/>
    <w:tmpl w:val="06649B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2391D96"/>
    <w:multiLevelType w:val="hybridMultilevel"/>
    <w:tmpl w:val="76F04D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3F06191"/>
    <w:multiLevelType w:val="hybridMultilevel"/>
    <w:tmpl w:val="A8BA55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E74379"/>
    <w:multiLevelType w:val="hybridMultilevel"/>
    <w:tmpl w:val="703621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10085C"/>
    <w:multiLevelType w:val="hybridMultilevel"/>
    <w:tmpl w:val="E39A411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BBE57AB"/>
    <w:multiLevelType w:val="hybridMultilevel"/>
    <w:tmpl w:val="85522A22"/>
    <w:lvl w:ilvl="0" w:tplc="CB725072">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2C295C81"/>
    <w:multiLevelType w:val="hybridMultilevel"/>
    <w:tmpl w:val="1D5258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7" w15:restartNumberingAfterBreak="0">
    <w:nsid w:val="2CC94914"/>
    <w:multiLevelType w:val="hybridMultilevel"/>
    <w:tmpl w:val="89BA42A4"/>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1F661A8"/>
    <w:multiLevelType w:val="hybridMultilevel"/>
    <w:tmpl w:val="B53444A2"/>
    <w:lvl w:ilvl="0" w:tplc="49B0512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45B5565"/>
    <w:multiLevelType w:val="hybridMultilevel"/>
    <w:tmpl w:val="A8BA55E4"/>
    <w:lvl w:ilvl="0" w:tplc="FFFFFFF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50E0AF9"/>
    <w:multiLevelType w:val="multilevel"/>
    <w:tmpl w:val="26AE5D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36245395"/>
    <w:multiLevelType w:val="hybridMultilevel"/>
    <w:tmpl w:val="89504490"/>
    <w:lvl w:ilvl="0" w:tplc="CDA00B6C">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7481485"/>
    <w:multiLevelType w:val="hybridMultilevel"/>
    <w:tmpl w:val="AC98F0B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376A132C"/>
    <w:multiLevelType w:val="hybridMultilevel"/>
    <w:tmpl w:val="867E037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3AB60987"/>
    <w:multiLevelType w:val="hybridMultilevel"/>
    <w:tmpl w:val="52A4CD4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6" w15:restartNumberingAfterBreak="0">
    <w:nsid w:val="3F987E85"/>
    <w:multiLevelType w:val="hybridMultilevel"/>
    <w:tmpl w:val="7BAC01DA"/>
    <w:lvl w:ilvl="0" w:tplc="D9AC5BAE">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40083E1A"/>
    <w:multiLevelType w:val="hybridMultilevel"/>
    <w:tmpl w:val="B69C10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351370C"/>
    <w:multiLevelType w:val="multilevel"/>
    <w:tmpl w:val="1E5627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4B7C2679"/>
    <w:multiLevelType w:val="hybridMultilevel"/>
    <w:tmpl w:val="C8C48654"/>
    <w:lvl w:ilvl="0" w:tplc="6F6ABC3C">
      <w:start w:val="1"/>
      <w:numFmt w:val="upperRoman"/>
      <w:lvlText w:val="%1."/>
      <w:lvlJc w:val="left"/>
      <w:pPr>
        <w:ind w:left="1080" w:hanging="720"/>
      </w:pPr>
      <w:rPr>
        <w:b/>
      </w:r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0" w15:restartNumberingAfterBreak="0">
    <w:nsid w:val="4CA477A9"/>
    <w:multiLevelType w:val="hybridMultilevel"/>
    <w:tmpl w:val="CF1622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1" w15:restartNumberingAfterBreak="0">
    <w:nsid w:val="53A113CD"/>
    <w:multiLevelType w:val="hybridMultilevel"/>
    <w:tmpl w:val="AE12829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2" w15:restartNumberingAfterBreak="0">
    <w:nsid w:val="57952FB7"/>
    <w:multiLevelType w:val="multilevel"/>
    <w:tmpl w:val="77987D86"/>
    <w:lvl w:ilvl="0">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8185B50"/>
    <w:multiLevelType w:val="hybridMultilevel"/>
    <w:tmpl w:val="7878FC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85C0488"/>
    <w:multiLevelType w:val="hybridMultilevel"/>
    <w:tmpl w:val="135C0DCC"/>
    <w:lvl w:ilvl="0" w:tplc="5E5C78FE">
      <w:start w:val="2"/>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5D9B49FC"/>
    <w:multiLevelType w:val="hybridMultilevel"/>
    <w:tmpl w:val="2280EFF0"/>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627F658B"/>
    <w:multiLevelType w:val="hybridMultilevel"/>
    <w:tmpl w:val="896212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76C6E88"/>
    <w:multiLevelType w:val="hybridMultilevel"/>
    <w:tmpl w:val="540A6BBA"/>
    <w:lvl w:ilvl="0" w:tplc="080A001B">
      <w:start w:val="1"/>
      <w:numFmt w:val="low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80D7E91"/>
    <w:multiLevelType w:val="hybridMultilevel"/>
    <w:tmpl w:val="A8BA55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7ADA4D23"/>
    <w:multiLevelType w:val="hybridMultilevel"/>
    <w:tmpl w:val="D59A05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BED7F96"/>
    <w:multiLevelType w:val="hybridMultilevel"/>
    <w:tmpl w:val="F836EC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024B27"/>
    <w:multiLevelType w:val="hybridMultilevel"/>
    <w:tmpl w:val="A6E6627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11"/>
  </w:num>
  <w:num w:numId="5">
    <w:abstractNumId w:val="14"/>
  </w:num>
  <w:num w:numId="6">
    <w:abstractNumId w:val="8"/>
  </w:num>
  <w:num w:numId="7">
    <w:abstractNumId w:val="30"/>
  </w:num>
  <w:num w:numId="8">
    <w:abstractNumId w:val="9"/>
  </w:num>
  <w:num w:numId="9">
    <w:abstractNumId w:val="15"/>
  </w:num>
  <w:num w:numId="10">
    <w:abstractNumId w:val="34"/>
  </w:num>
  <w:num w:numId="11">
    <w:abstractNumId w:val="22"/>
  </w:num>
  <w:num w:numId="12">
    <w:abstractNumId w:val="4"/>
  </w:num>
  <w:num w:numId="13">
    <w:abstractNumId w:val="25"/>
  </w:num>
  <w:num w:numId="14">
    <w:abstractNumId w:val="31"/>
  </w:num>
  <w:num w:numId="15">
    <w:abstractNumId w:val="35"/>
  </w:num>
  <w:num w:numId="16">
    <w:abstractNumId w:val="18"/>
  </w:num>
  <w:num w:numId="17">
    <w:abstractNumId w:val="26"/>
  </w:num>
  <w:num w:numId="18">
    <w:abstractNumId w:val="33"/>
  </w:num>
  <w:num w:numId="19">
    <w:abstractNumId w:val="1"/>
  </w:num>
  <w:num w:numId="20">
    <w:abstractNumId w:val="27"/>
  </w:num>
  <w:num w:numId="21">
    <w:abstractNumId w:val="20"/>
  </w:num>
  <w:num w:numId="22">
    <w:abstractNumId w:val="12"/>
  </w:num>
  <w:num w:numId="23">
    <w:abstractNumId w:val="38"/>
  </w:num>
  <w:num w:numId="24">
    <w:abstractNumId w:val="23"/>
  </w:num>
  <w:num w:numId="2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6"/>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0"/>
  </w:num>
  <w:num w:numId="29">
    <w:abstractNumId w:val="21"/>
  </w:num>
  <w:num w:numId="30">
    <w:abstractNumId w:val="32"/>
  </w:num>
  <w:num w:numId="3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9"/>
  </w:num>
  <w:num w:numId="33">
    <w:abstractNumId w:val="10"/>
  </w:num>
  <w:num w:numId="34">
    <w:abstractNumId w:val="7"/>
  </w:num>
  <w:num w:numId="35">
    <w:abstractNumId w:val="40"/>
  </w:num>
  <w:num w:numId="36">
    <w:abstractNumId w:val="37"/>
  </w:num>
  <w:num w:numId="37">
    <w:abstractNumId w:val="2"/>
  </w:num>
  <w:num w:numId="38">
    <w:abstractNumId w:val="13"/>
  </w:num>
  <w:num w:numId="39">
    <w:abstractNumId w:val="17"/>
  </w:num>
  <w:num w:numId="40">
    <w:abstractNumId w:val="24"/>
  </w:num>
  <w:num w:numId="41">
    <w:abstractNumId w:val="16"/>
  </w:num>
  <w:num w:numId="42">
    <w:abstractNumId w:val="28"/>
  </w:num>
  <w:num w:numId="43">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savePreviewPicture/>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90F"/>
    <w:rsid w:val="0000012A"/>
    <w:rsid w:val="00001ADF"/>
    <w:rsid w:val="00002B20"/>
    <w:rsid w:val="00003081"/>
    <w:rsid w:val="000053EA"/>
    <w:rsid w:val="0000637C"/>
    <w:rsid w:val="00006A45"/>
    <w:rsid w:val="0001108B"/>
    <w:rsid w:val="00011477"/>
    <w:rsid w:val="00011608"/>
    <w:rsid w:val="00012A1C"/>
    <w:rsid w:val="00014169"/>
    <w:rsid w:val="00014EE2"/>
    <w:rsid w:val="00016290"/>
    <w:rsid w:val="000201B0"/>
    <w:rsid w:val="00021BE0"/>
    <w:rsid w:val="00023BBD"/>
    <w:rsid w:val="000255D3"/>
    <w:rsid w:val="0002588C"/>
    <w:rsid w:val="00026B5A"/>
    <w:rsid w:val="00026C6B"/>
    <w:rsid w:val="0003084A"/>
    <w:rsid w:val="000316C2"/>
    <w:rsid w:val="00033026"/>
    <w:rsid w:val="0003318A"/>
    <w:rsid w:val="00033683"/>
    <w:rsid w:val="00033F2C"/>
    <w:rsid w:val="00035F18"/>
    <w:rsid w:val="0003782D"/>
    <w:rsid w:val="000410E6"/>
    <w:rsid w:val="0004134C"/>
    <w:rsid w:val="00041A91"/>
    <w:rsid w:val="000426D2"/>
    <w:rsid w:val="0005074C"/>
    <w:rsid w:val="00050E2E"/>
    <w:rsid w:val="00057905"/>
    <w:rsid w:val="000602BA"/>
    <w:rsid w:val="00061123"/>
    <w:rsid w:val="000709AA"/>
    <w:rsid w:val="000733DF"/>
    <w:rsid w:val="000735F0"/>
    <w:rsid w:val="00075996"/>
    <w:rsid w:val="00075A71"/>
    <w:rsid w:val="00075CAF"/>
    <w:rsid w:val="00076FB6"/>
    <w:rsid w:val="00081D01"/>
    <w:rsid w:val="0008295C"/>
    <w:rsid w:val="00082B5B"/>
    <w:rsid w:val="00083169"/>
    <w:rsid w:val="00085D44"/>
    <w:rsid w:val="000866B0"/>
    <w:rsid w:val="00087074"/>
    <w:rsid w:val="00087EDB"/>
    <w:rsid w:val="0009167E"/>
    <w:rsid w:val="00092501"/>
    <w:rsid w:val="000946F3"/>
    <w:rsid w:val="00095FB6"/>
    <w:rsid w:val="00096C21"/>
    <w:rsid w:val="00096CFE"/>
    <w:rsid w:val="00097C52"/>
    <w:rsid w:val="000A2EA2"/>
    <w:rsid w:val="000A3910"/>
    <w:rsid w:val="000A43C5"/>
    <w:rsid w:val="000A5B44"/>
    <w:rsid w:val="000A706F"/>
    <w:rsid w:val="000B2470"/>
    <w:rsid w:val="000B3514"/>
    <w:rsid w:val="000B3C56"/>
    <w:rsid w:val="000B4503"/>
    <w:rsid w:val="000B49C4"/>
    <w:rsid w:val="000C0CBE"/>
    <w:rsid w:val="000C10A2"/>
    <w:rsid w:val="000C4A35"/>
    <w:rsid w:val="000C567D"/>
    <w:rsid w:val="000C7D5D"/>
    <w:rsid w:val="000D04D2"/>
    <w:rsid w:val="000D0539"/>
    <w:rsid w:val="000D1EFD"/>
    <w:rsid w:val="000D257F"/>
    <w:rsid w:val="000D392E"/>
    <w:rsid w:val="000D3AD3"/>
    <w:rsid w:val="000D46ED"/>
    <w:rsid w:val="000D5595"/>
    <w:rsid w:val="000D6774"/>
    <w:rsid w:val="000D7457"/>
    <w:rsid w:val="000E3169"/>
    <w:rsid w:val="000F3B49"/>
    <w:rsid w:val="000F4583"/>
    <w:rsid w:val="000F4AC1"/>
    <w:rsid w:val="000F562C"/>
    <w:rsid w:val="000F6219"/>
    <w:rsid w:val="000F6768"/>
    <w:rsid w:val="000F6E36"/>
    <w:rsid w:val="001055EA"/>
    <w:rsid w:val="001061B1"/>
    <w:rsid w:val="001065C6"/>
    <w:rsid w:val="0011010D"/>
    <w:rsid w:val="001135C1"/>
    <w:rsid w:val="001150A1"/>
    <w:rsid w:val="00115992"/>
    <w:rsid w:val="00116C35"/>
    <w:rsid w:val="00121FBF"/>
    <w:rsid w:val="00122ED0"/>
    <w:rsid w:val="00122FBD"/>
    <w:rsid w:val="00123FD7"/>
    <w:rsid w:val="00124AF7"/>
    <w:rsid w:val="00125905"/>
    <w:rsid w:val="00125F26"/>
    <w:rsid w:val="001260CE"/>
    <w:rsid w:val="0012618B"/>
    <w:rsid w:val="00126A15"/>
    <w:rsid w:val="00126AD3"/>
    <w:rsid w:val="001325F3"/>
    <w:rsid w:val="00132F29"/>
    <w:rsid w:val="00134465"/>
    <w:rsid w:val="00136DA6"/>
    <w:rsid w:val="001418BD"/>
    <w:rsid w:val="00141BAD"/>
    <w:rsid w:val="001425CB"/>
    <w:rsid w:val="001434E7"/>
    <w:rsid w:val="00144B2C"/>
    <w:rsid w:val="001479C0"/>
    <w:rsid w:val="00147F25"/>
    <w:rsid w:val="001502AB"/>
    <w:rsid w:val="001507E8"/>
    <w:rsid w:val="00153139"/>
    <w:rsid w:val="001548D6"/>
    <w:rsid w:val="001558BD"/>
    <w:rsid w:val="00155BD1"/>
    <w:rsid w:val="001566D4"/>
    <w:rsid w:val="001578F5"/>
    <w:rsid w:val="00160112"/>
    <w:rsid w:val="0016373E"/>
    <w:rsid w:val="00163D9F"/>
    <w:rsid w:val="00165AB2"/>
    <w:rsid w:val="00166452"/>
    <w:rsid w:val="00166907"/>
    <w:rsid w:val="00166A42"/>
    <w:rsid w:val="00170ACC"/>
    <w:rsid w:val="001710E2"/>
    <w:rsid w:val="0017245F"/>
    <w:rsid w:val="00175607"/>
    <w:rsid w:val="00175910"/>
    <w:rsid w:val="00181A02"/>
    <w:rsid w:val="00181D59"/>
    <w:rsid w:val="00183010"/>
    <w:rsid w:val="0018371A"/>
    <w:rsid w:val="00184025"/>
    <w:rsid w:val="00184ED6"/>
    <w:rsid w:val="00187287"/>
    <w:rsid w:val="00192C48"/>
    <w:rsid w:val="00193CE3"/>
    <w:rsid w:val="00195EC3"/>
    <w:rsid w:val="0019787E"/>
    <w:rsid w:val="001A0321"/>
    <w:rsid w:val="001A2062"/>
    <w:rsid w:val="001A5A72"/>
    <w:rsid w:val="001A5B6F"/>
    <w:rsid w:val="001A5C12"/>
    <w:rsid w:val="001A6C0E"/>
    <w:rsid w:val="001A7F04"/>
    <w:rsid w:val="001B2090"/>
    <w:rsid w:val="001B34AA"/>
    <w:rsid w:val="001B6133"/>
    <w:rsid w:val="001B7EFB"/>
    <w:rsid w:val="001C638A"/>
    <w:rsid w:val="001D1635"/>
    <w:rsid w:val="001D24CD"/>
    <w:rsid w:val="001D3FB9"/>
    <w:rsid w:val="001D4F21"/>
    <w:rsid w:val="001D5DBE"/>
    <w:rsid w:val="001D7D0E"/>
    <w:rsid w:val="001E4284"/>
    <w:rsid w:val="001E4ECA"/>
    <w:rsid w:val="001E6077"/>
    <w:rsid w:val="001F285F"/>
    <w:rsid w:val="001F6FD5"/>
    <w:rsid w:val="001F74C5"/>
    <w:rsid w:val="00200B40"/>
    <w:rsid w:val="00200E63"/>
    <w:rsid w:val="002012D8"/>
    <w:rsid w:val="002025F4"/>
    <w:rsid w:val="00203F8C"/>
    <w:rsid w:val="00204DE3"/>
    <w:rsid w:val="00206A9B"/>
    <w:rsid w:val="0020727C"/>
    <w:rsid w:val="00207552"/>
    <w:rsid w:val="00211CD8"/>
    <w:rsid w:val="002217AE"/>
    <w:rsid w:val="00223487"/>
    <w:rsid w:val="002238B8"/>
    <w:rsid w:val="00227456"/>
    <w:rsid w:val="00230985"/>
    <w:rsid w:val="00230B8F"/>
    <w:rsid w:val="00243764"/>
    <w:rsid w:val="002475DE"/>
    <w:rsid w:val="00251665"/>
    <w:rsid w:val="00252910"/>
    <w:rsid w:val="002529AD"/>
    <w:rsid w:val="00252A2A"/>
    <w:rsid w:val="00253448"/>
    <w:rsid w:val="00253A9C"/>
    <w:rsid w:val="0025520C"/>
    <w:rsid w:val="00257477"/>
    <w:rsid w:val="00257C2B"/>
    <w:rsid w:val="0026163E"/>
    <w:rsid w:val="00261B92"/>
    <w:rsid w:val="00261CB4"/>
    <w:rsid w:val="00261DF6"/>
    <w:rsid w:val="0026345D"/>
    <w:rsid w:val="00266E26"/>
    <w:rsid w:val="00267457"/>
    <w:rsid w:val="00271E54"/>
    <w:rsid w:val="00271E85"/>
    <w:rsid w:val="00273A4E"/>
    <w:rsid w:val="00274745"/>
    <w:rsid w:val="00280625"/>
    <w:rsid w:val="00280ABA"/>
    <w:rsid w:val="00280CF8"/>
    <w:rsid w:val="00282176"/>
    <w:rsid w:val="002822A3"/>
    <w:rsid w:val="002825E3"/>
    <w:rsid w:val="0028277C"/>
    <w:rsid w:val="00287374"/>
    <w:rsid w:val="0029130B"/>
    <w:rsid w:val="00291318"/>
    <w:rsid w:val="0029310D"/>
    <w:rsid w:val="00293A22"/>
    <w:rsid w:val="00294C03"/>
    <w:rsid w:val="00295482"/>
    <w:rsid w:val="0029784D"/>
    <w:rsid w:val="002A02CD"/>
    <w:rsid w:val="002A376A"/>
    <w:rsid w:val="002A3A8E"/>
    <w:rsid w:val="002A5DEB"/>
    <w:rsid w:val="002B2FEA"/>
    <w:rsid w:val="002B5A2D"/>
    <w:rsid w:val="002B772B"/>
    <w:rsid w:val="002C0003"/>
    <w:rsid w:val="002C0C3A"/>
    <w:rsid w:val="002C3C45"/>
    <w:rsid w:val="002C4A39"/>
    <w:rsid w:val="002C516D"/>
    <w:rsid w:val="002C7C43"/>
    <w:rsid w:val="002D2107"/>
    <w:rsid w:val="002D2619"/>
    <w:rsid w:val="002D2A77"/>
    <w:rsid w:val="002E2627"/>
    <w:rsid w:val="002E34B7"/>
    <w:rsid w:val="002E5C60"/>
    <w:rsid w:val="002E6125"/>
    <w:rsid w:val="002F0526"/>
    <w:rsid w:val="002F08A1"/>
    <w:rsid w:val="002F12B4"/>
    <w:rsid w:val="002F389A"/>
    <w:rsid w:val="002F429F"/>
    <w:rsid w:val="002F44A5"/>
    <w:rsid w:val="002F5845"/>
    <w:rsid w:val="002F5AA8"/>
    <w:rsid w:val="002F5CFB"/>
    <w:rsid w:val="002F72B7"/>
    <w:rsid w:val="0030116D"/>
    <w:rsid w:val="00302BCB"/>
    <w:rsid w:val="003037BC"/>
    <w:rsid w:val="00303A1B"/>
    <w:rsid w:val="00303BA0"/>
    <w:rsid w:val="00304DE6"/>
    <w:rsid w:val="00310366"/>
    <w:rsid w:val="00310A3F"/>
    <w:rsid w:val="00311CAF"/>
    <w:rsid w:val="0031200F"/>
    <w:rsid w:val="00312EFE"/>
    <w:rsid w:val="003131F2"/>
    <w:rsid w:val="00313684"/>
    <w:rsid w:val="00314919"/>
    <w:rsid w:val="003155C2"/>
    <w:rsid w:val="00316458"/>
    <w:rsid w:val="00320D4E"/>
    <w:rsid w:val="0032276A"/>
    <w:rsid w:val="0032438A"/>
    <w:rsid w:val="00325B13"/>
    <w:rsid w:val="00325D1E"/>
    <w:rsid w:val="00330566"/>
    <w:rsid w:val="00330942"/>
    <w:rsid w:val="00333468"/>
    <w:rsid w:val="0033681E"/>
    <w:rsid w:val="00336E20"/>
    <w:rsid w:val="00341669"/>
    <w:rsid w:val="00342465"/>
    <w:rsid w:val="00342B5D"/>
    <w:rsid w:val="00345E3B"/>
    <w:rsid w:val="00353296"/>
    <w:rsid w:val="0035368D"/>
    <w:rsid w:val="00354255"/>
    <w:rsid w:val="00355D05"/>
    <w:rsid w:val="00356E1B"/>
    <w:rsid w:val="003602C9"/>
    <w:rsid w:val="0036042F"/>
    <w:rsid w:val="00364CCB"/>
    <w:rsid w:val="003663BF"/>
    <w:rsid w:val="00366BB8"/>
    <w:rsid w:val="003759E0"/>
    <w:rsid w:val="00376AEF"/>
    <w:rsid w:val="00381132"/>
    <w:rsid w:val="003814AE"/>
    <w:rsid w:val="0038398F"/>
    <w:rsid w:val="00384E82"/>
    <w:rsid w:val="00384E94"/>
    <w:rsid w:val="003876F1"/>
    <w:rsid w:val="00390A24"/>
    <w:rsid w:val="00391317"/>
    <w:rsid w:val="0039615C"/>
    <w:rsid w:val="00396F90"/>
    <w:rsid w:val="003A2B31"/>
    <w:rsid w:val="003A47C4"/>
    <w:rsid w:val="003A4CF8"/>
    <w:rsid w:val="003A4EEC"/>
    <w:rsid w:val="003B129A"/>
    <w:rsid w:val="003B3C6F"/>
    <w:rsid w:val="003B5A66"/>
    <w:rsid w:val="003B6F0C"/>
    <w:rsid w:val="003C13CD"/>
    <w:rsid w:val="003C28F2"/>
    <w:rsid w:val="003C5F59"/>
    <w:rsid w:val="003C5FE0"/>
    <w:rsid w:val="003C7338"/>
    <w:rsid w:val="003D0D51"/>
    <w:rsid w:val="003D1DC8"/>
    <w:rsid w:val="003D25DC"/>
    <w:rsid w:val="003D35DB"/>
    <w:rsid w:val="003D6C3F"/>
    <w:rsid w:val="003E00B8"/>
    <w:rsid w:val="003E018F"/>
    <w:rsid w:val="003E0898"/>
    <w:rsid w:val="003E1C9F"/>
    <w:rsid w:val="003E20C8"/>
    <w:rsid w:val="003E33FE"/>
    <w:rsid w:val="003E540A"/>
    <w:rsid w:val="003E60A2"/>
    <w:rsid w:val="003E6941"/>
    <w:rsid w:val="003F0A87"/>
    <w:rsid w:val="003F195E"/>
    <w:rsid w:val="003F1D74"/>
    <w:rsid w:val="003F2412"/>
    <w:rsid w:val="003F2BF4"/>
    <w:rsid w:val="003F2C8E"/>
    <w:rsid w:val="003F4C6D"/>
    <w:rsid w:val="003F5F91"/>
    <w:rsid w:val="003F6C55"/>
    <w:rsid w:val="0040398B"/>
    <w:rsid w:val="0041096D"/>
    <w:rsid w:val="00417AAE"/>
    <w:rsid w:val="00417F3A"/>
    <w:rsid w:val="00420209"/>
    <w:rsid w:val="004214D5"/>
    <w:rsid w:val="00422311"/>
    <w:rsid w:val="004326F9"/>
    <w:rsid w:val="00434B43"/>
    <w:rsid w:val="004352C6"/>
    <w:rsid w:val="00436F80"/>
    <w:rsid w:val="0044017B"/>
    <w:rsid w:val="00442432"/>
    <w:rsid w:val="0044320C"/>
    <w:rsid w:val="0044451C"/>
    <w:rsid w:val="00446403"/>
    <w:rsid w:val="00446CA3"/>
    <w:rsid w:val="004479B9"/>
    <w:rsid w:val="0045046D"/>
    <w:rsid w:val="00455EA5"/>
    <w:rsid w:val="00456B23"/>
    <w:rsid w:val="00461DF2"/>
    <w:rsid w:val="00462ED0"/>
    <w:rsid w:val="004649E0"/>
    <w:rsid w:val="00467659"/>
    <w:rsid w:val="00471E99"/>
    <w:rsid w:val="004721AA"/>
    <w:rsid w:val="00473151"/>
    <w:rsid w:val="00474793"/>
    <w:rsid w:val="00475E62"/>
    <w:rsid w:val="00481F23"/>
    <w:rsid w:val="00483320"/>
    <w:rsid w:val="00484E27"/>
    <w:rsid w:val="00487556"/>
    <w:rsid w:val="00487727"/>
    <w:rsid w:val="00491239"/>
    <w:rsid w:val="00492333"/>
    <w:rsid w:val="0049788F"/>
    <w:rsid w:val="004A10B0"/>
    <w:rsid w:val="004A10E6"/>
    <w:rsid w:val="004B0C65"/>
    <w:rsid w:val="004B27E7"/>
    <w:rsid w:val="004B33EF"/>
    <w:rsid w:val="004B58D3"/>
    <w:rsid w:val="004B7343"/>
    <w:rsid w:val="004B73FB"/>
    <w:rsid w:val="004C21E6"/>
    <w:rsid w:val="004C465F"/>
    <w:rsid w:val="004C56AA"/>
    <w:rsid w:val="004C6321"/>
    <w:rsid w:val="004D181B"/>
    <w:rsid w:val="004D1D8F"/>
    <w:rsid w:val="004D243B"/>
    <w:rsid w:val="004D51CB"/>
    <w:rsid w:val="004D63D9"/>
    <w:rsid w:val="004E0AD6"/>
    <w:rsid w:val="004E22FF"/>
    <w:rsid w:val="004E2942"/>
    <w:rsid w:val="004E3063"/>
    <w:rsid w:val="004E447B"/>
    <w:rsid w:val="004E47CC"/>
    <w:rsid w:val="004F0490"/>
    <w:rsid w:val="004F3DA9"/>
    <w:rsid w:val="004F55B4"/>
    <w:rsid w:val="004F56D3"/>
    <w:rsid w:val="004F59FB"/>
    <w:rsid w:val="004F76F4"/>
    <w:rsid w:val="004F7F19"/>
    <w:rsid w:val="00500B4F"/>
    <w:rsid w:val="005018D0"/>
    <w:rsid w:val="00506126"/>
    <w:rsid w:val="0051107B"/>
    <w:rsid w:val="00511E76"/>
    <w:rsid w:val="00512046"/>
    <w:rsid w:val="00512879"/>
    <w:rsid w:val="0051497B"/>
    <w:rsid w:val="00515399"/>
    <w:rsid w:val="00521F1D"/>
    <w:rsid w:val="00521F47"/>
    <w:rsid w:val="00522A47"/>
    <w:rsid w:val="00523008"/>
    <w:rsid w:val="00524283"/>
    <w:rsid w:val="00525A14"/>
    <w:rsid w:val="00526EC4"/>
    <w:rsid w:val="00527563"/>
    <w:rsid w:val="005302BB"/>
    <w:rsid w:val="00530B10"/>
    <w:rsid w:val="0053198B"/>
    <w:rsid w:val="00531A8A"/>
    <w:rsid w:val="00535A8D"/>
    <w:rsid w:val="00536382"/>
    <w:rsid w:val="00536941"/>
    <w:rsid w:val="00537C32"/>
    <w:rsid w:val="00545D04"/>
    <w:rsid w:val="005501BA"/>
    <w:rsid w:val="00550C0B"/>
    <w:rsid w:val="005520E3"/>
    <w:rsid w:val="00552C67"/>
    <w:rsid w:val="005569DD"/>
    <w:rsid w:val="00556A90"/>
    <w:rsid w:val="00562D89"/>
    <w:rsid w:val="0056443F"/>
    <w:rsid w:val="00565861"/>
    <w:rsid w:val="005720EF"/>
    <w:rsid w:val="00572946"/>
    <w:rsid w:val="005732F8"/>
    <w:rsid w:val="00580345"/>
    <w:rsid w:val="005816DE"/>
    <w:rsid w:val="00582764"/>
    <w:rsid w:val="00582FC0"/>
    <w:rsid w:val="00585C29"/>
    <w:rsid w:val="005867A9"/>
    <w:rsid w:val="0058767A"/>
    <w:rsid w:val="00590FB7"/>
    <w:rsid w:val="005914EE"/>
    <w:rsid w:val="005A0A77"/>
    <w:rsid w:val="005A2C4A"/>
    <w:rsid w:val="005A39F4"/>
    <w:rsid w:val="005A79D9"/>
    <w:rsid w:val="005A7C36"/>
    <w:rsid w:val="005B0D22"/>
    <w:rsid w:val="005B21C9"/>
    <w:rsid w:val="005B2778"/>
    <w:rsid w:val="005B6BFA"/>
    <w:rsid w:val="005C03D2"/>
    <w:rsid w:val="005C20B7"/>
    <w:rsid w:val="005C3BAC"/>
    <w:rsid w:val="005C4598"/>
    <w:rsid w:val="005C4CCD"/>
    <w:rsid w:val="005C6174"/>
    <w:rsid w:val="005C690F"/>
    <w:rsid w:val="005C6E2D"/>
    <w:rsid w:val="005C757F"/>
    <w:rsid w:val="005D1E83"/>
    <w:rsid w:val="005D2071"/>
    <w:rsid w:val="005D22D8"/>
    <w:rsid w:val="005D31EC"/>
    <w:rsid w:val="005D38F1"/>
    <w:rsid w:val="005D4959"/>
    <w:rsid w:val="005D53B0"/>
    <w:rsid w:val="005D7325"/>
    <w:rsid w:val="005D73EF"/>
    <w:rsid w:val="005E0BD4"/>
    <w:rsid w:val="005E16CC"/>
    <w:rsid w:val="005F199D"/>
    <w:rsid w:val="005F36FE"/>
    <w:rsid w:val="005F38B6"/>
    <w:rsid w:val="005F4B93"/>
    <w:rsid w:val="005F5498"/>
    <w:rsid w:val="005F773E"/>
    <w:rsid w:val="005F785A"/>
    <w:rsid w:val="00600A20"/>
    <w:rsid w:val="00602E5C"/>
    <w:rsid w:val="006033D0"/>
    <w:rsid w:val="006037C1"/>
    <w:rsid w:val="0060498C"/>
    <w:rsid w:val="006058A1"/>
    <w:rsid w:val="006059DA"/>
    <w:rsid w:val="00606553"/>
    <w:rsid w:val="00606B1A"/>
    <w:rsid w:val="006206A1"/>
    <w:rsid w:val="006207EF"/>
    <w:rsid w:val="00621F2D"/>
    <w:rsid w:val="00622401"/>
    <w:rsid w:val="00622CFB"/>
    <w:rsid w:val="006241B8"/>
    <w:rsid w:val="006242F2"/>
    <w:rsid w:val="00624488"/>
    <w:rsid w:val="006245B4"/>
    <w:rsid w:val="0062539C"/>
    <w:rsid w:val="006271E6"/>
    <w:rsid w:val="006272E2"/>
    <w:rsid w:val="00627513"/>
    <w:rsid w:val="00631035"/>
    <w:rsid w:val="00631EA9"/>
    <w:rsid w:val="00632F61"/>
    <w:rsid w:val="00635A27"/>
    <w:rsid w:val="00637B1E"/>
    <w:rsid w:val="00640115"/>
    <w:rsid w:val="0064067B"/>
    <w:rsid w:val="006418B3"/>
    <w:rsid w:val="00642F0D"/>
    <w:rsid w:val="006430B1"/>
    <w:rsid w:val="00644832"/>
    <w:rsid w:val="00644B2E"/>
    <w:rsid w:val="00654DE3"/>
    <w:rsid w:val="00655068"/>
    <w:rsid w:val="00655B7F"/>
    <w:rsid w:val="006573B9"/>
    <w:rsid w:val="00660AAD"/>
    <w:rsid w:val="00661603"/>
    <w:rsid w:val="0066178F"/>
    <w:rsid w:val="00661B94"/>
    <w:rsid w:val="00662C70"/>
    <w:rsid w:val="00662D89"/>
    <w:rsid w:val="0066640F"/>
    <w:rsid w:val="006664D4"/>
    <w:rsid w:val="00667F81"/>
    <w:rsid w:val="00670EAA"/>
    <w:rsid w:val="006715A0"/>
    <w:rsid w:val="00671B38"/>
    <w:rsid w:val="00671BB1"/>
    <w:rsid w:val="006731C7"/>
    <w:rsid w:val="00673306"/>
    <w:rsid w:val="00674B25"/>
    <w:rsid w:val="00674DAF"/>
    <w:rsid w:val="00674E18"/>
    <w:rsid w:val="00680F20"/>
    <w:rsid w:val="00684E69"/>
    <w:rsid w:val="00687BCB"/>
    <w:rsid w:val="00690202"/>
    <w:rsid w:val="0069037C"/>
    <w:rsid w:val="00692763"/>
    <w:rsid w:val="00692CEE"/>
    <w:rsid w:val="00694971"/>
    <w:rsid w:val="0069657C"/>
    <w:rsid w:val="006A0CDD"/>
    <w:rsid w:val="006A6ABE"/>
    <w:rsid w:val="006B0607"/>
    <w:rsid w:val="006B083B"/>
    <w:rsid w:val="006B3839"/>
    <w:rsid w:val="006B4C0B"/>
    <w:rsid w:val="006B634B"/>
    <w:rsid w:val="006C0BD7"/>
    <w:rsid w:val="006C17DE"/>
    <w:rsid w:val="006C25E4"/>
    <w:rsid w:val="006C2D41"/>
    <w:rsid w:val="006C3470"/>
    <w:rsid w:val="006C43E9"/>
    <w:rsid w:val="006C6EBC"/>
    <w:rsid w:val="006C7CD1"/>
    <w:rsid w:val="006C7E76"/>
    <w:rsid w:val="006D16BD"/>
    <w:rsid w:val="006D1CE7"/>
    <w:rsid w:val="006D2366"/>
    <w:rsid w:val="006D2960"/>
    <w:rsid w:val="006D49E4"/>
    <w:rsid w:val="006D65A5"/>
    <w:rsid w:val="006D6790"/>
    <w:rsid w:val="006D7FDA"/>
    <w:rsid w:val="006E33C5"/>
    <w:rsid w:val="006E72D4"/>
    <w:rsid w:val="006E7C4E"/>
    <w:rsid w:val="006E7CFC"/>
    <w:rsid w:val="006F134A"/>
    <w:rsid w:val="006F1838"/>
    <w:rsid w:val="006F272D"/>
    <w:rsid w:val="006F4C3A"/>
    <w:rsid w:val="006F4CC9"/>
    <w:rsid w:val="006F60D5"/>
    <w:rsid w:val="006F79F1"/>
    <w:rsid w:val="006F7CBF"/>
    <w:rsid w:val="007001B2"/>
    <w:rsid w:val="00702D5F"/>
    <w:rsid w:val="007041F9"/>
    <w:rsid w:val="00704B14"/>
    <w:rsid w:val="0070504C"/>
    <w:rsid w:val="00705FBB"/>
    <w:rsid w:val="0070680E"/>
    <w:rsid w:val="0071036C"/>
    <w:rsid w:val="00711EA0"/>
    <w:rsid w:val="00712ED6"/>
    <w:rsid w:val="00716DFD"/>
    <w:rsid w:val="00717D87"/>
    <w:rsid w:val="007248C4"/>
    <w:rsid w:val="007279D2"/>
    <w:rsid w:val="0073003B"/>
    <w:rsid w:val="00730D6D"/>
    <w:rsid w:val="00731FB9"/>
    <w:rsid w:val="007331D2"/>
    <w:rsid w:val="007379F0"/>
    <w:rsid w:val="00741DC7"/>
    <w:rsid w:val="007428C7"/>
    <w:rsid w:val="00743915"/>
    <w:rsid w:val="0074523A"/>
    <w:rsid w:val="00747CDF"/>
    <w:rsid w:val="00751A94"/>
    <w:rsid w:val="00754111"/>
    <w:rsid w:val="00754B31"/>
    <w:rsid w:val="007556D8"/>
    <w:rsid w:val="0076190F"/>
    <w:rsid w:val="00762A7C"/>
    <w:rsid w:val="00764BBE"/>
    <w:rsid w:val="0076657F"/>
    <w:rsid w:val="007709FF"/>
    <w:rsid w:val="00770BF5"/>
    <w:rsid w:val="00770DC0"/>
    <w:rsid w:val="00770E69"/>
    <w:rsid w:val="00771614"/>
    <w:rsid w:val="007723F6"/>
    <w:rsid w:val="00775391"/>
    <w:rsid w:val="0077760E"/>
    <w:rsid w:val="00781F61"/>
    <w:rsid w:val="007823A6"/>
    <w:rsid w:val="00782D16"/>
    <w:rsid w:val="00783335"/>
    <w:rsid w:val="00784CEA"/>
    <w:rsid w:val="00792220"/>
    <w:rsid w:val="00792309"/>
    <w:rsid w:val="00796030"/>
    <w:rsid w:val="007962A6"/>
    <w:rsid w:val="00796712"/>
    <w:rsid w:val="007A097D"/>
    <w:rsid w:val="007A0BC3"/>
    <w:rsid w:val="007A1ACB"/>
    <w:rsid w:val="007A2872"/>
    <w:rsid w:val="007A3334"/>
    <w:rsid w:val="007A540E"/>
    <w:rsid w:val="007A6A27"/>
    <w:rsid w:val="007A6BC8"/>
    <w:rsid w:val="007B0293"/>
    <w:rsid w:val="007B38A7"/>
    <w:rsid w:val="007B4143"/>
    <w:rsid w:val="007B4717"/>
    <w:rsid w:val="007B4E28"/>
    <w:rsid w:val="007B58B9"/>
    <w:rsid w:val="007B5B46"/>
    <w:rsid w:val="007B5CE4"/>
    <w:rsid w:val="007B65AB"/>
    <w:rsid w:val="007B6891"/>
    <w:rsid w:val="007B6F45"/>
    <w:rsid w:val="007C02D1"/>
    <w:rsid w:val="007C305A"/>
    <w:rsid w:val="007C536C"/>
    <w:rsid w:val="007C636E"/>
    <w:rsid w:val="007C76F2"/>
    <w:rsid w:val="007C7BAF"/>
    <w:rsid w:val="007D04B8"/>
    <w:rsid w:val="007D086D"/>
    <w:rsid w:val="007D34E9"/>
    <w:rsid w:val="007D354B"/>
    <w:rsid w:val="007D6307"/>
    <w:rsid w:val="007D6AB8"/>
    <w:rsid w:val="007E0603"/>
    <w:rsid w:val="007E172B"/>
    <w:rsid w:val="007E1EF5"/>
    <w:rsid w:val="007E25E4"/>
    <w:rsid w:val="007E6087"/>
    <w:rsid w:val="007E6354"/>
    <w:rsid w:val="007E64DE"/>
    <w:rsid w:val="007E6532"/>
    <w:rsid w:val="007E65E1"/>
    <w:rsid w:val="007E79A0"/>
    <w:rsid w:val="007E7B3F"/>
    <w:rsid w:val="007F2A05"/>
    <w:rsid w:val="007F4407"/>
    <w:rsid w:val="007F6273"/>
    <w:rsid w:val="007F75BA"/>
    <w:rsid w:val="00800641"/>
    <w:rsid w:val="008027F2"/>
    <w:rsid w:val="00803119"/>
    <w:rsid w:val="00803884"/>
    <w:rsid w:val="0081186D"/>
    <w:rsid w:val="00812FF1"/>
    <w:rsid w:val="0081756A"/>
    <w:rsid w:val="00817BB5"/>
    <w:rsid w:val="008201FA"/>
    <w:rsid w:val="008234EA"/>
    <w:rsid w:val="00826071"/>
    <w:rsid w:val="00826E84"/>
    <w:rsid w:val="00830986"/>
    <w:rsid w:val="00832312"/>
    <w:rsid w:val="00836749"/>
    <w:rsid w:val="0084143D"/>
    <w:rsid w:val="008415EA"/>
    <w:rsid w:val="008416D9"/>
    <w:rsid w:val="008441D0"/>
    <w:rsid w:val="008473B9"/>
    <w:rsid w:val="00847951"/>
    <w:rsid w:val="00847C64"/>
    <w:rsid w:val="00850BF6"/>
    <w:rsid w:val="00853828"/>
    <w:rsid w:val="00853A05"/>
    <w:rsid w:val="00853AA3"/>
    <w:rsid w:val="008546E5"/>
    <w:rsid w:val="0085490B"/>
    <w:rsid w:val="00855381"/>
    <w:rsid w:val="00855EC9"/>
    <w:rsid w:val="00857B5B"/>
    <w:rsid w:val="008614CC"/>
    <w:rsid w:val="0086265B"/>
    <w:rsid w:val="0086309F"/>
    <w:rsid w:val="008638A5"/>
    <w:rsid w:val="00864C7E"/>
    <w:rsid w:val="008659CE"/>
    <w:rsid w:val="0087213E"/>
    <w:rsid w:val="008758D4"/>
    <w:rsid w:val="00877B42"/>
    <w:rsid w:val="00877D7C"/>
    <w:rsid w:val="00881288"/>
    <w:rsid w:val="0088400C"/>
    <w:rsid w:val="00884148"/>
    <w:rsid w:val="00884812"/>
    <w:rsid w:val="00884B61"/>
    <w:rsid w:val="008870EB"/>
    <w:rsid w:val="008932E1"/>
    <w:rsid w:val="008956AA"/>
    <w:rsid w:val="00897A05"/>
    <w:rsid w:val="008A1159"/>
    <w:rsid w:val="008A1573"/>
    <w:rsid w:val="008A233A"/>
    <w:rsid w:val="008A460F"/>
    <w:rsid w:val="008A60AE"/>
    <w:rsid w:val="008A64DD"/>
    <w:rsid w:val="008B21BC"/>
    <w:rsid w:val="008B270A"/>
    <w:rsid w:val="008B7D4E"/>
    <w:rsid w:val="008C1F18"/>
    <w:rsid w:val="008C266D"/>
    <w:rsid w:val="008C37E8"/>
    <w:rsid w:val="008C40B1"/>
    <w:rsid w:val="008D28E1"/>
    <w:rsid w:val="008D3B3F"/>
    <w:rsid w:val="008D43A8"/>
    <w:rsid w:val="008D46FC"/>
    <w:rsid w:val="008D58F4"/>
    <w:rsid w:val="008D675D"/>
    <w:rsid w:val="008D7C22"/>
    <w:rsid w:val="008E0D53"/>
    <w:rsid w:val="008E0DC4"/>
    <w:rsid w:val="008E5E71"/>
    <w:rsid w:val="008E736C"/>
    <w:rsid w:val="008E7959"/>
    <w:rsid w:val="008F0749"/>
    <w:rsid w:val="008F4E82"/>
    <w:rsid w:val="008F5A51"/>
    <w:rsid w:val="008F6C8E"/>
    <w:rsid w:val="00900916"/>
    <w:rsid w:val="009019A8"/>
    <w:rsid w:val="00903E21"/>
    <w:rsid w:val="0090431D"/>
    <w:rsid w:val="009048A7"/>
    <w:rsid w:val="00904B2E"/>
    <w:rsid w:val="00905638"/>
    <w:rsid w:val="00910872"/>
    <w:rsid w:val="00913279"/>
    <w:rsid w:val="00913AC7"/>
    <w:rsid w:val="00915E1E"/>
    <w:rsid w:val="00916347"/>
    <w:rsid w:val="009215C2"/>
    <w:rsid w:val="00922F61"/>
    <w:rsid w:val="00922F8C"/>
    <w:rsid w:val="00926758"/>
    <w:rsid w:val="00927131"/>
    <w:rsid w:val="009319F4"/>
    <w:rsid w:val="00933E27"/>
    <w:rsid w:val="00934D26"/>
    <w:rsid w:val="009359CF"/>
    <w:rsid w:val="00937325"/>
    <w:rsid w:val="00937C87"/>
    <w:rsid w:val="00940831"/>
    <w:rsid w:val="00940E97"/>
    <w:rsid w:val="00943435"/>
    <w:rsid w:val="00945CB8"/>
    <w:rsid w:val="0094798B"/>
    <w:rsid w:val="009502F9"/>
    <w:rsid w:val="00950D76"/>
    <w:rsid w:val="00950ED4"/>
    <w:rsid w:val="0095477E"/>
    <w:rsid w:val="0095571A"/>
    <w:rsid w:val="00956E0E"/>
    <w:rsid w:val="00960DEA"/>
    <w:rsid w:val="00960E46"/>
    <w:rsid w:val="00962C51"/>
    <w:rsid w:val="00963E6F"/>
    <w:rsid w:val="009643D0"/>
    <w:rsid w:val="00965741"/>
    <w:rsid w:val="00966BF0"/>
    <w:rsid w:val="0097142D"/>
    <w:rsid w:val="00972243"/>
    <w:rsid w:val="009739BA"/>
    <w:rsid w:val="0097583D"/>
    <w:rsid w:val="00977989"/>
    <w:rsid w:val="00983208"/>
    <w:rsid w:val="00983A37"/>
    <w:rsid w:val="00983F77"/>
    <w:rsid w:val="00986D91"/>
    <w:rsid w:val="00992901"/>
    <w:rsid w:val="009948FA"/>
    <w:rsid w:val="00995CFF"/>
    <w:rsid w:val="00996BDA"/>
    <w:rsid w:val="0099716B"/>
    <w:rsid w:val="009973CB"/>
    <w:rsid w:val="009A5A8E"/>
    <w:rsid w:val="009B1B0E"/>
    <w:rsid w:val="009B2DAB"/>
    <w:rsid w:val="009B3CF8"/>
    <w:rsid w:val="009B614F"/>
    <w:rsid w:val="009C04AF"/>
    <w:rsid w:val="009C11B4"/>
    <w:rsid w:val="009C166D"/>
    <w:rsid w:val="009C1F1B"/>
    <w:rsid w:val="009C2F56"/>
    <w:rsid w:val="009C3818"/>
    <w:rsid w:val="009C3A1D"/>
    <w:rsid w:val="009C3C89"/>
    <w:rsid w:val="009C5A71"/>
    <w:rsid w:val="009C6467"/>
    <w:rsid w:val="009D07C4"/>
    <w:rsid w:val="009D41AB"/>
    <w:rsid w:val="009D4333"/>
    <w:rsid w:val="009D443C"/>
    <w:rsid w:val="009D4BA7"/>
    <w:rsid w:val="009D7D07"/>
    <w:rsid w:val="009E03A4"/>
    <w:rsid w:val="009E0F24"/>
    <w:rsid w:val="009E263E"/>
    <w:rsid w:val="009E29E8"/>
    <w:rsid w:val="009E2E2A"/>
    <w:rsid w:val="009E4128"/>
    <w:rsid w:val="009E4A04"/>
    <w:rsid w:val="009F2202"/>
    <w:rsid w:val="009F3790"/>
    <w:rsid w:val="009F39DF"/>
    <w:rsid w:val="009F5B25"/>
    <w:rsid w:val="009F6813"/>
    <w:rsid w:val="00A00550"/>
    <w:rsid w:val="00A03F49"/>
    <w:rsid w:val="00A03F8F"/>
    <w:rsid w:val="00A042BC"/>
    <w:rsid w:val="00A045F2"/>
    <w:rsid w:val="00A05311"/>
    <w:rsid w:val="00A071E9"/>
    <w:rsid w:val="00A1369B"/>
    <w:rsid w:val="00A15402"/>
    <w:rsid w:val="00A16D8E"/>
    <w:rsid w:val="00A20875"/>
    <w:rsid w:val="00A220A4"/>
    <w:rsid w:val="00A244C7"/>
    <w:rsid w:val="00A33F9B"/>
    <w:rsid w:val="00A361DB"/>
    <w:rsid w:val="00A363DD"/>
    <w:rsid w:val="00A36DDE"/>
    <w:rsid w:val="00A36E65"/>
    <w:rsid w:val="00A37912"/>
    <w:rsid w:val="00A37EDE"/>
    <w:rsid w:val="00A41789"/>
    <w:rsid w:val="00A41A9E"/>
    <w:rsid w:val="00A43BA2"/>
    <w:rsid w:val="00A45EE8"/>
    <w:rsid w:val="00A462A9"/>
    <w:rsid w:val="00A462FB"/>
    <w:rsid w:val="00A479FA"/>
    <w:rsid w:val="00A51D86"/>
    <w:rsid w:val="00A52408"/>
    <w:rsid w:val="00A538A9"/>
    <w:rsid w:val="00A54AEE"/>
    <w:rsid w:val="00A55E82"/>
    <w:rsid w:val="00A56228"/>
    <w:rsid w:val="00A576F9"/>
    <w:rsid w:val="00A60433"/>
    <w:rsid w:val="00A60BDF"/>
    <w:rsid w:val="00A61891"/>
    <w:rsid w:val="00A620E2"/>
    <w:rsid w:val="00A63444"/>
    <w:rsid w:val="00A63E30"/>
    <w:rsid w:val="00A6488A"/>
    <w:rsid w:val="00A660B5"/>
    <w:rsid w:val="00A70748"/>
    <w:rsid w:val="00A70A4D"/>
    <w:rsid w:val="00A71C66"/>
    <w:rsid w:val="00A73E9A"/>
    <w:rsid w:val="00A7487F"/>
    <w:rsid w:val="00A753B3"/>
    <w:rsid w:val="00A75605"/>
    <w:rsid w:val="00A75C5D"/>
    <w:rsid w:val="00A805B7"/>
    <w:rsid w:val="00A8342D"/>
    <w:rsid w:val="00A84E9B"/>
    <w:rsid w:val="00A85D07"/>
    <w:rsid w:val="00A915DD"/>
    <w:rsid w:val="00A9286C"/>
    <w:rsid w:val="00A941FB"/>
    <w:rsid w:val="00A94490"/>
    <w:rsid w:val="00A95E07"/>
    <w:rsid w:val="00A96A4E"/>
    <w:rsid w:val="00AA21E0"/>
    <w:rsid w:val="00AA345B"/>
    <w:rsid w:val="00AA556D"/>
    <w:rsid w:val="00AA6BA1"/>
    <w:rsid w:val="00AB0BA1"/>
    <w:rsid w:val="00AB1C9F"/>
    <w:rsid w:val="00AB328F"/>
    <w:rsid w:val="00AB4AC2"/>
    <w:rsid w:val="00AB4F34"/>
    <w:rsid w:val="00AB51A8"/>
    <w:rsid w:val="00AC0AE0"/>
    <w:rsid w:val="00AC45E1"/>
    <w:rsid w:val="00AC4EC9"/>
    <w:rsid w:val="00AC5582"/>
    <w:rsid w:val="00AC5D01"/>
    <w:rsid w:val="00AC70CA"/>
    <w:rsid w:val="00AC7111"/>
    <w:rsid w:val="00AD002D"/>
    <w:rsid w:val="00AD05B4"/>
    <w:rsid w:val="00AD3E0D"/>
    <w:rsid w:val="00AD468B"/>
    <w:rsid w:val="00AD4F7B"/>
    <w:rsid w:val="00AD7954"/>
    <w:rsid w:val="00AE08D5"/>
    <w:rsid w:val="00AE23FB"/>
    <w:rsid w:val="00AE256C"/>
    <w:rsid w:val="00AE5058"/>
    <w:rsid w:val="00AE6691"/>
    <w:rsid w:val="00AF4BF2"/>
    <w:rsid w:val="00AF4DA4"/>
    <w:rsid w:val="00AF592A"/>
    <w:rsid w:val="00AF7546"/>
    <w:rsid w:val="00B00C4E"/>
    <w:rsid w:val="00B02499"/>
    <w:rsid w:val="00B02796"/>
    <w:rsid w:val="00B02A3F"/>
    <w:rsid w:val="00B03235"/>
    <w:rsid w:val="00B03A57"/>
    <w:rsid w:val="00B04A35"/>
    <w:rsid w:val="00B04BE1"/>
    <w:rsid w:val="00B050D9"/>
    <w:rsid w:val="00B123FB"/>
    <w:rsid w:val="00B1247F"/>
    <w:rsid w:val="00B153FA"/>
    <w:rsid w:val="00B16FBB"/>
    <w:rsid w:val="00B222E1"/>
    <w:rsid w:val="00B22A17"/>
    <w:rsid w:val="00B22B9F"/>
    <w:rsid w:val="00B22F78"/>
    <w:rsid w:val="00B27131"/>
    <w:rsid w:val="00B27951"/>
    <w:rsid w:val="00B31892"/>
    <w:rsid w:val="00B32689"/>
    <w:rsid w:val="00B331EC"/>
    <w:rsid w:val="00B346B3"/>
    <w:rsid w:val="00B35F83"/>
    <w:rsid w:val="00B36A30"/>
    <w:rsid w:val="00B42F31"/>
    <w:rsid w:val="00B43C12"/>
    <w:rsid w:val="00B43D92"/>
    <w:rsid w:val="00B4581E"/>
    <w:rsid w:val="00B51050"/>
    <w:rsid w:val="00B52CAD"/>
    <w:rsid w:val="00B53EAF"/>
    <w:rsid w:val="00B554D6"/>
    <w:rsid w:val="00B61219"/>
    <w:rsid w:val="00B6454E"/>
    <w:rsid w:val="00B65BCA"/>
    <w:rsid w:val="00B6639B"/>
    <w:rsid w:val="00B66F84"/>
    <w:rsid w:val="00B675A3"/>
    <w:rsid w:val="00B67947"/>
    <w:rsid w:val="00B7570D"/>
    <w:rsid w:val="00B80E36"/>
    <w:rsid w:val="00B84F6E"/>
    <w:rsid w:val="00B85702"/>
    <w:rsid w:val="00B9039A"/>
    <w:rsid w:val="00B9500B"/>
    <w:rsid w:val="00B970C0"/>
    <w:rsid w:val="00BA1D80"/>
    <w:rsid w:val="00BA4E6F"/>
    <w:rsid w:val="00BA56A8"/>
    <w:rsid w:val="00BA784F"/>
    <w:rsid w:val="00BA7A1E"/>
    <w:rsid w:val="00BA7E32"/>
    <w:rsid w:val="00BB3F28"/>
    <w:rsid w:val="00BB4FD9"/>
    <w:rsid w:val="00BB5711"/>
    <w:rsid w:val="00BB5722"/>
    <w:rsid w:val="00BB6693"/>
    <w:rsid w:val="00BB6BB6"/>
    <w:rsid w:val="00BB6CD0"/>
    <w:rsid w:val="00BC02E9"/>
    <w:rsid w:val="00BC17E4"/>
    <w:rsid w:val="00BC3EC5"/>
    <w:rsid w:val="00BC43BF"/>
    <w:rsid w:val="00BC46B6"/>
    <w:rsid w:val="00BC5546"/>
    <w:rsid w:val="00BD2771"/>
    <w:rsid w:val="00BD35AA"/>
    <w:rsid w:val="00BD3C78"/>
    <w:rsid w:val="00BD6505"/>
    <w:rsid w:val="00BE57BB"/>
    <w:rsid w:val="00BE7092"/>
    <w:rsid w:val="00BE7118"/>
    <w:rsid w:val="00BF0C25"/>
    <w:rsid w:val="00BF362A"/>
    <w:rsid w:val="00BF3C34"/>
    <w:rsid w:val="00BF5AD6"/>
    <w:rsid w:val="00BF6C5C"/>
    <w:rsid w:val="00BF6D30"/>
    <w:rsid w:val="00BF7869"/>
    <w:rsid w:val="00C06004"/>
    <w:rsid w:val="00C06389"/>
    <w:rsid w:val="00C11279"/>
    <w:rsid w:val="00C11A18"/>
    <w:rsid w:val="00C128FC"/>
    <w:rsid w:val="00C12B98"/>
    <w:rsid w:val="00C13A67"/>
    <w:rsid w:val="00C13CD5"/>
    <w:rsid w:val="00C13D18"/>
    <w:rsid w:val="00C145F6"/>
    <w:rsid w:val="00C157A7"/>
    <w:rsid w:val="00C16735"/>
    <w:rsid w:val="00C2045C"/>
    <w:rsid w:val="00C2145F"/>
    <w:rsid w:val="00C218B8"/>
    <w:rsid w:val="00C231AA"/>
    <w:rsid w:val="00C26633"/>
    <w:rsid w:val="00C27AAC"/>
    <w:rsid w:val="00C3103D"/>
    <w:rsid w:val="00C335A8"/>
    <w:rsid w:val="00C34810"/>
    <w:rsid w:val="00C362E2"/>
    <w:rsid w:val="00C4052B"/>
    <w:rsid w:val="00C409B6"/>
    <w:rsid w:val="00C40CD5"/>
    <w:rsid w:val="00C40DD3"/>
    <w:rsid w:val="00C41F61"/>
    <w:rsid w:val="00C42A8E"/>
    <w:rsid w:val="00C42EF8"/>
    <w:rsid w:val="00C44308"/>
    <w:rsid w:val="00C45B10"/>
    <w:rsid w:val="00C468D6"/>
    <w:rsid w:val="00C46A25"/>
    <w:rsid w:val="00C47E88"/>
    <w:rsid w:val="00C500A8"/>
    <w:rsid w:val="00C51B7F"/>
    <w:rsid w:val="00C529B0"/>
    <w:rsid w:val="00C52E9B"/>
    <w:rsid w:val="00C53D9F"/>
    <w:rsid w:val="00C540CA"/>
    <w:rsid w:val="00C556AB"/>
    <w:rsid w:val="00C56B62"/>
    <w:rsid w:val="00C6050D"/>
    <w:rsid w:val="00C60D14"/>
    <w:rsid w:val="00C62138"/>
    <w:rsid w:val="00C64E46"/>
    <w:rsid w:val="00C650CF"/>
    <w:rsid w:val="00C65690"/>
    <w:rsid w:val="00C66F2D"/>
    <w:rsid w:val="00C672CD"/>
    <w:rsid w:val="00C67A41"/>
    <w:rsid w:val="00C67C95"/>
    <w:rsid w:val="00C67CE6"/>
    <w:rsid w:val="00C71154"/>
    <w:rsid w:val="00C71160"/>
    <w:rsid w:val="00C7208B"/>
    <w:rsid w:val="00C72B48"/>
    <w:rsid w:val="00C737F2"/>
    <w:rsid w:val="00C74467"/>
    <w:rsid w:val="00C75A27"/>
    <w:rsid w:val="00C75DFF"/>
    <w:rsid w:val="00C77D00"/>
    <w:rsid w:val="00C8054F"/>
    <w:rsid w:val="00C8214A"/>
    <w:rsid w:val="00C825E5"/>
    <w:rsid w:val="00C8345C"/>
    <w:rsid w:val="00C849B4"/>
    <w:rsid w:val="00C85CD7"/>
    <w:rsid w:val="00C91A6F"/>
    <w:rsid w:val="00C91E33"/>
    <w:rsid w:val="00C930C8"/>
    <w:rsid w:val="00C95611"/>
    <w:rsid w:val="00C97FC1"/>
    <w:rsid w:val="00CA45CB"/>
    <w:rsid w:val="00CA4C3A"/>
    <w:rsid w:val="00CA4E57"/>
    <w:rsid w:val="00CA7AA6"/>
    <w:rsid w:val="00CA7ADA"/>
    <w:rsid w:val="00CA7C07"/>
    <w:rsid w:val="00CA7EAE"/>
    <w:rsid w:val="00CA7F1D"/>
    <w:rsid w:val="00CB5C38"/>
    <w:rsid w:val="00CC0581"/>
    <w:rsid w:val="00CC1C87"/>
    <w:rsid w:val="00CC1F8C"/>
    <w:rsid w:val="00CC29B3"/>
    <w:rsid w:val="00CC2EA8"/>
    <w:rsid w:val="00CC5112"/>
    <w:rsid w:val="00CC5500"/>
    <w:rsid w:val="00CC6E48"/>
    <w:rsid w:val="00CD1F31"/>
    <w:rsid w:val="00CD3A31"/>
    <w:rsid w:val="00CD4DE8"/>
    <w:rsid w:val="00CD5841"/>
    <w:rsid w:val="00CD5A8F"/>
    <w:rsid w:val="00CD611D"/>
    <w:rsid w:val="00CD6238"/>
    <w:rsid w:val="00CD6617"/>
    <w:rsid w:val="00CD6876"/>
    <w:rsid w:val="00CD6D28"/>
    <w:rsid w:val="00CD6DE8"/>
    <w:rsid w:val="00CE0F1F"/>
    <w:rsid w:val="00CE2494"/>
    <w:rsid w:val="00CE2973"/>
    <w:rsid w:val="00CE3BC3"/>
    <w:rsid w:val="00CE4073"/>
    <w:rsid w:val="00CE719D"/>
    <w:rsid w:val="00CE724E"/>
    <w:rsid w:val="00CE7470"/>
    <w:rsid w:val="00CE7DD9"/>
    <w:rsid w:val="00CE7F68"/>
    <w:rsid w:val="00CF23A0"/>
    <w:rsid w:val="00CF4EFF"/>
    <w:rsid w:val="00CF55B7"/>
    <w:rsid w:val="00CF6B54"/>
    <w:rsid w:val="00CF723E"/>
    <w:rsid w:val="00CF74E9"/>
    <w:rsid w:val="00CF7AA5"/>
    <w:rsid w:val="00D02831"/>
    <w:rsid w:val="00D04C47"/>
    <w:rsid w:val="00D05EDE"/>
    <w:rsid w:val="00D069F8"/>
    <w:rsid w:val="00D07E4B"/>
    <w:rsid w:val="00D11711"/>
    <w:rsid w:val="00D1305D"/>
    <w:rsid w:val="00D1318A"/>
    <w:rsid w:val="00D13CEA"/>
    <w:rsid w:val="00D13F20"/>
    <w:rsid w:val="00D144B1"/>
    <w:rsid w:val="00D15014"/>
    <w:rsid w:val="00D15AA1"/>
    <w:rsid w:val="00D164BC"/>
    <w:rsid w:val="00D20047"/>
    <w:rsid w:val="00D203E4"/>
    <w:rsid w:val="00D23481"/>
    <w:rsid w:val="00D25C63"/>
    <w:rsid w:val="00D279F0"/>
    <w:rsid w:val="00D3496C"/>
    <w:rsid w:val="00D36A13"/>
    <w:rsid w:val="00D36A9F"/>
    <w:rsid w:val="00D42E23"/>
    <w:rsid w:val="00D466A8"/>
    <w:rsid w:val="00D46E14"/>
    <w:rsid w:val="00D474D0"/>
    <w:rsid w:val="00D51004"/>
    <w:rsid w:val="00D5128D"/>
    <w:rsid w:val="00D52E5B"/>
    <w:rsid w:val="00D52EC1"/>
    <w:rsid w:val="00D579E6"/>
    <w:rsid w:val="00D61FF9"/>
    <w:rsid w:val="00D62480"/>
    <w:rsid w:val="00D629E3"/>
    <w:rsid w:val="00D64273"/>
    <w:rsid w:val="00D64C4F"/>
    <w:rsid w:val="00D66DDB"/>
    <w:rsid w:val="00D70766"/>
    <w:rsid w:val="00D7252C"/>
    <w:rsid w:val="00D7768F"/>
    <w:rsid w:val="00D8214F"/>
    <w:rsid w:val="00D82691"/>
    <w:rsid w:val="00D829A3"/>
    <w:rsid w:val="00D837B0"/>
    <w:rsid w:val="00D83FBA"/>
    <w:rsid w:val="00D906B2"/>
    <w:rsid w:val="00D91F3E"/>
    <w:rsid w:val="00D92325"/>
    <w:rsid w:val="00D95A1B"/>
    <w:rsid w:val="00DA1EA0"/>
    <w:rsid w:val="00DA2E83"/>
    <w:rsid w:val="00DA3868"/>
    <w:rsid w:val="00DA3A68"/>
    <w:rsid w:val="00DA4E7C"/>
    <w:rsid w:val="00DB277C"/>
    <w:rsid w:val="00DB3FB8"/>
    <w:rsid w:val="00DB5A7F"/>
    <w:rsid w:val="00DB7DC5"/>
    <w:rsid w:val="00DC0C32"/>
    <w:rsid w:val="00DC12CC"/>
    <w:rsid w:val="00DC175C"/>
    <w:rsid w:val="00DC3A07"/>
    <w:rsid w:val="00DC69D9"/>
    <w:rsid w:val="00DC7159"/>
    <w:rsid w:val="00DC7C06"/>
    <w:rsid w:val="00DC7E08"/>
    <w:rsid w:val="00DD0CD5"/>
    <w:rsid w:val="00DD162C"/>
    <w:rsid w:val="00DD1932"/>
    <w:rsid w:val="00DD2423"/>
    <w:rsid w:val="00DD4191"/>
    <w:rsid w:val="00DD732B"/>
    <w:rsid w:val="00DE00C2"/>
    <w:rsid w:val="00DE00CB"/>
    <w:rsid w:val="00DE02CA"/>
    <w:rsid w:val="00DE224D"/>
    <w:rsid w:val="00DE41C5"/>
    <w:rsid w:val="00DF43D9"/>
    <w:rsid w:val="00DF59CE"/>
    <w:rsid w:val="00DF7F84"/>
    <w:rsid w:val="00E022A1"/>
    <w:rsid w:val="00E0245B"/>
    <w:rsid w:val="00E02A52"/>
    <w:rsid w:val="00E0447A"/>
    <w:rsid w:val="00E052B8"/>
    <w:rsid w:val="00E0653E"/>
    <w:rsid w:val="00E10780"/>
    <w:rsid w:val="00E10D32"/>
    <w:rsid w:val="00E12804"/>
    <w:rsid w:val="00E134FA"/>
    <w:rsid w:val="00E20394"/>
    <w:rsid w:val="00E20851"/>
    <w:rsid w:val="00E22006"/>
    <w:rsid w:val="00E22EA8"/>
    <w:rsid w:val="00E23058"/>
    <w:rsid w:val="00E25D40"/>
    <w:rsid w:val="00E319EF"/>
    <w:rsid w:val="00E31CB8"/>
    <w:rsid w:val="00E31FB7"/>
    <w:rsid w:val="00E332FF"/>
    <w:rsid w:val="00E354BF"/>
    <w:rsid w:val="00E361ED"/>
    <w:rsid w:val="00E40395"/>
    <w:rsid w:val="00E40930"/>
    <w:rsid w:val="00E40CA6"/>
    <w:rsid w:val="00E41747"/>
    <w:rsid w:val="00E44D06"/>
    <w:rsid w:val="00E46240"/>
    <w:rsid w:val="00E54144"/>
    <w:rsid w:val="00E547F7"/>
    <w:rsid w:val="00E55636"/>
    <w:rsid w:val="00E57404"/>
    <w:rsid w:val="00E57797"/>
    <w:rsid w:val="00E57A6E"/>
    <w:rsid w:val="00E64BEF"/>
    <w:rsid w:val="00E64E18"/>
    <w:rsid w:val="00E66BEB"/>
    <w:rsid w:val="00E71771"/>
    <w:rsid w:val="00E71F80"/>
    <w:rsid w:val="00E73985"/>
    <w:rsid w:val="00E7452D"/>
    <w:rsid w:val="00E74CB0"/>
    <w:rsid w:val="00E81B7C"/>
    <w:rsid w:val="00E83159"/>
    <w:rsid w:val="00E85AC5"/>
    <w:rsid w:val="00E864E9"/>
    <w:rsid w:val="00E865E5"/>
    <w:rsid w:val="00E909E3"/>
    <w:rsid w:val="00E91D41"/>
    <w:rsid w:val="00E95056"/>
    <w:rsid w:val="00E9742F"/>
    <w:rsid w:val="00EA372C"/>
    <w:rsid w:val="00EA3B0E"/>
    <w:rsid w:val="00EA7F32"/>
    <w:rsid w:val="00EB020F"/>
    <w:rsid w:val="00EB33A4"/>
    <w:rsid w:val="00EB6216"/>
    <w:rsid w:val="00EB6CF0"/>
    <w:rsid w:val="00EC1274"/>
    <w:rsid w:val="00EC285A"/>
    <w:rsid w:val="00EC3047"/>
    <w:rsid w:val="00EC4067"/>
    <w:rsid w:val="00EC4F2E"/>
    <w:rsid w:val="00EC5C68"/>
    <w:rsid w:val="00EC6576"/>
    <w:rsid w:val="00ED3627"/>
    <w:rsid w:val="00ED37B8"/>
    <w:rsid w:val="00ED3C94"/>
    <w:rsid w:val="00ED5B5F"/>
    <w:rsid w:val="00ED6770"/>
    <w:rsid w:val="00ED67BB"/>
    <w:rsid w:val="00EE1B70"/>
    <w:rsid w:val="00EE1C1D"/>
    <w:rsid w:val="00EE3EC4"/>
    <w:rsid w:val="00EE53C1"/>
    <w:rsid w:val="00EF0C39"/>
    <w:rsid w:val="00EF36E1"/>
    <w:rsid w:val="00EF6C8B"/>
    <w:rsid w:val="00EF7B71"/>
    <w:rsid w:val="00F028A5"/>
    <w:rsid w:val="00F02ACE"/>
    <w:rsid w:val="00F02E9C"/>
    <w:rsid w:val="00F03463"/>
    <w:rsid w:val="00F03E2D"/>
    <w:rsid w:val="00F05082"/>
    <w:rsid w:val="00F06AF6"/>
    <w:rsid w:val="00F104DF"/>
    <w:rsid w:val="00F11FD9"/>
    <w:rsid w:val="00F1561E"/>
    <w:rsid w:val="00F15D30"/>
    <w:rsid w:val="00F16F36"/>
    <w:rsid w:val="00F20567"/>
    <w:rsid w:val="00F21BA6"/>
    <w:rsid w:val="00F259B3"/>
    <w:rsid w:val="00F26C65"/>
    <w:rsid w:val="00F316B5"/>
    <w:rsid w:val="00F378E3"/>
    <w:rsid w:val="00F42088"/>
    <w:rsid w:val="00F43789"/>
    <w:rsid w:val="00F47855"/>
    <w:rsid w:val="00F50072"/>
    <w:rsid w:val="00F507C6"/>
    <w:rsid w:val="00F51CCB"/>
    <w:rsid w:val="00F51D19"/>
    <w:rsid w:val="00F530A8"/>
    <w:rsid w:val="00F53362"/>
    <w:rsid w:val="00F540AF"/>
    <w:rsid w:val="00F550A0"/>
    <w:rsid w:val="00F56036"/>
    <w:rsid w:val="00F56168"/>
    <w:rsid w:val="00F6097F"/>
    <w:rsid w:val="00F62018"/>
    <w:rsid w:val="00F62E83"/>
    <w:rsid w:val="00F65096"/>
    <w:rsid w:val="00F65D8D"/>
    <w:rsid w:val="00F65F80"/>
    <w:rsid w:val="00F70A24"/>
    <w:rsid w:val="00F71565"/>
    <w:rsid w:val="00F7237E"/>
    <w:rsid w:val="00F73D29"/>
    <w:rsid w:val="00F7642B"/>
    <w:rsid w:val="00F80790"/>
    <w:rsid w:val="00F80D91"/>
    <w:rsid w:val="00F846EC"/>
    <w:rsid w:val="00F8788F"/>
    <w:rsid w:val="00F87926"/>
    <w:rsid w:val="00F908B7"/>
    <w:rsid w:val="00F90E50"/>
    <w:rsid w:val="00F91851"/>
    <w:rsid w:val="00F933B4"/>
    <w:rsid w:val="00F936DE"/>
    <w:rsid w:val="00F93F64"/>
    <w:rsid w:val="00F955F5"/>
    <w:rsid w:val="00FA03D1"/>
    <w:rsid w:val="00FA2ED3"/>
    <w:rsid w:val="00FA3A0C"/>
    <w:rsid w:val="00FA3EA6"/>
    <w:rsid w:val="00FA6B8E"/>
    <w:rsid w:val="00FB0D59"/>
    <w:rsid w:val="00FB1BAA"/>
    <w:rsid w:val="00FB1BCD"/>
    <w:rsid w:val="00FB1D33"/>
    <w:rsid w:val="00FB7C3A"/>
    <w:rsid w:val="00FC01D5"/>
    <w:rsid w:val="00FC1B00"/>
    <w:rsid w:val="00FC2034"/>
    <w:rsid w:val="00FC387F"/>
    <w:rsid w:val="00FC6F1F"/>
    <w:rsid w:val="00FD2125"/>
    <w:rsid w:val="00FD34DC"/>
    <w:rsid w:val="00FD3D7D"/>
    <w:rsid w:val="00FD5141"/>
    <w:rsid w:val="00FD5CCF"/>
    <w:rsid w:val="00FD667D"/>
    <w:rsid w:val="00FE58DC"/>
    <w:rsid w:val="00FE609B"/>
    <w:rsid w:val="00FE62B8"/>
    <w:rsid w:val="00FE7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F5B0F61"/>
  <w15:docId w15:val="{AC7952D2-BA0F-4FAD-97EA-516D766C9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n-US"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F0D"/>
    <w:pPr>
      <w:spacing w:line="254" w:lineRule="auto"/>
    </w:pPr>
    <w:rPr>
      <w:color w:val="000000" w:themeColor="text1"/>
      <w:lang w:eastAsia="es-MX"/>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4">
    <w:name w:val="4"/>
    <w:basedOn w:val="TableNormal"/>
    <w:pPr>
      <w:spacing w:after="0" w:line="240" w:lineRule="auto"/>
    </w:pPr>
    <w:tblPr>
      <w:tblStyleRowBandSize w:val="1"/>
      <w:tblStyleColBandSize w:val="1"/>
      <w:tblCellMar>
        <w:left w:w="108" w:type="dxa"/>
        <w:right w:w="108" w:type="dxa"/>
      </w:tblCellMar>
    </w:tblPr>
  </w:style>
  <w:style w:type="table" w:customStyle="1" w:styleId="3">
    <w:name w:val="3"/>
    <w:basedOn w:val="TableNormal"/>
    <w:pPr>
      <w:spacing w:after="0" w:line="240" w:lineRule="auto"/>
    </w:pPr>
    <w:tblPr>
      <w:tblStyleRowBandSize w:val="1"/>
      <w:tblStyleColBandSize w:val="1"/>
      <w:tblCellMar>
        <w:left w:w="108" w:type="dxa"/>
        <w:right w:w="108" w:type="dxa"/>
      </w:tblCellMar>
    </w:tblPr>
  </w:style>
  <w:style w:type="table" w:customStyle="1" w:styleId="2">
    <w:name w:val="2"/>
    <w:basedOn w:val="TableNormal"/>
    <w:pPr>
      <w:spacing w:after="0" w:line="240" w:lineRule="auto"/>
    </w:pPr>
    <w:tblPr>
      <w:tblStyleRowBandSize w:val="1"/>
      <w:tblStyleColBandSize w:val="1"/>
      <w:tblCellMar>
        <w:left w:w="108" w:type="dxa"/>
        <w:right w:w="108" w:type="dxa"/>
      </w:tblCellMar>
    </w:tblPr>
  </w:style>
  <w:style w:type="table" w:customStyle="1" w:styleId="1">
    <w:name w:val="1"/>
    <w:basedOn w:val="TableNormal"/>
    <w:pPr>
      <w:spacing w:after="0" w:line="240" w:lineRule="auto"/>
    </w:pPr>
    <w:tblPr>
      <w:tblStyleRowBandSize w:val="1"/>
      <w:tblStyleColBandSize w:val="1"/>
      <w:tblCellMar>
        <w:left w:w="108" w:type="dxa"/>
        <w:right w:w="108" w:type="dxa"/>
      </w:tblCellMar>
    </w:tblPr>
  </w:style>
  <w:style w:type="character" w:styleId="Hipervnculo">
    <w:name w:val="Hyperlink"/>
    <w:aliases w:val="Hipervínculo1,Hipervínculo11,Hipervínculo12,Hipervínculo13,Hipervínculo14,Hipervínculo15"/>
    <w:basedOn w:val="Fuentedeprrafopredeter"/>
    <w:uiPriority w:val="99"/>
    <w:unhideWhenUsed/>
    <w:qFormat/>
    <w:rsid w:val="001558BD"/>
    <w:rPr>
      <w:color w:val="0000FF" w:themeColor="hyperlink"/>
      <w:u w:val="single"/>
    </w:rPr>
  </w:style>
  <w:style w:type="character" w:customStyle="1" w:styleId="Mencinsinresolver1">
    <w:name w:val="Mención sin resolver1"/>
    <w:basedOn w:val="Fuentedeprrafopredeter"/>
    <w:uiPriority w:val="99"/>
    <w:semiHidden/>
    <w:unhideWhenUsed/>
    <w:rsid w:val="001558BD"/>
    <w:rPr>
      <w:color w:val="605E5C"/>
      <w:shd w:val="clear" w:color="auto" w:fill="E1DFDD"/>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locked/>
    <w:rsid w:val="00BD6505"/>
    <w:rPr>
      <w:rFonts w:eastAsia="Times New Roman" w:cs="Times New Roman"/>
      <w:color w:val="000000" w:themeColor="text1"/>
      <w:szCs w:val="24"/>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D6505"/>
    <w:pPr>
      <w:spacing w:after="0" w:line="240" w:lineRule="auto"/>
      <w:ind w:left="720"/>
      <w:contextualSpacing/>
    </w:pPr>
    <w:rPr>
      <w:rFonts w:eastAsia="Times New Roman" w:cs="Times New Roman"/>
      <w:szCs w:val="24"/>
      <w:lang w:eastAsia="es-ES"/>
    </w:rPr>
  </w:style>
  <w:style w:type="character" w:styleId="Hipervnculovisitado">
    <w:name w:val="FollowedHyperlink"/>
    <w:basedOn w:val="Fuentedeprrafopredeter"/>
    <w:uiPriority w:val="99"/>
    <w:semiHidden/>
    <w:unhideWhenUsed/>
    <w:rsid w:val="002F08A1"/>
    <w:rPr>
      <w:color w:val="800080" w:themeColor="followedHyperlink"/>
      <w:u w:val="single"/>
    </w:rPr>
  </w:style>
  <w:style w:type="table" w:styleId="Tablaconcuadrcula">
    <w:name w:val="Table Grid"/>
    <w:basedOn w:val="Tablanormal"/>
    <w:uiPriority w:val="59"/>
    <w:qFormat/>
    <w:rsid w:val="00B22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2">
    <w:name w:val="Mención sin resolver2"/>
    <w:basedOn w:val="Fuentedeprrafopredeter"/>
    <w:uiPriority w:val="99"/>
    <w:semiHidden/>
    <w:unhideWhenUsed/>
    <w:rsid w:val="00943435"/>
    <w:rPr>
      <w:color w:val="605E5C"/>
      <w:shd w:val="clear" w:color="auto" w:fill="E1DFDD"/>
    </w:rPr>
  </w:style>
  <w:style w:type="character" w:customStyle="1" w:styleId="normaltextrun">
    <w:name w:val="normaltextrun"/>
    <w:basedOn w:val="Fuentedeprrafopredeter"/>
    <w:rsid w:val="00572946"/>
  </w:style>
  <w:style w:type="table" w:customStyle="1" w:styleId="Tablaconcuadrcula3">
    <w:name w:val="Tabla con cuadrícula3"/>
    <w:basedOn w:val="Tablanormal"/>
    <w:uiPriority w:val="59"/>
    <w:rsid w:val="00572946"/>
    <w:pPr>
      <w:spacing w:after="0" w:line="240" w:lineRule="auto"/>
      <w:jc w:val="left"/>
    </w:pPr>
    <w:rPr>
      <w:rFonts w:asciiTheme="minorHAnsi" w:eastAsia="Calibri" w:hAnsiTheme="minorHAnsi" w:cstheme="minorBidi"/>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C0BD7"/>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character" w:customStyle="1" w:styleId="Mencinsinresolver3">
    <w:name w:val="Mención sin resolver3"/>
    <w:basedOn w:val="Fuentedeprrafopredeter"/>
    <w:uiPriority w:val="99"/>
    <w:semiHidden/>
    <w:unhideWhenUsed/>
    <w:rsid w:val="00DB277C"/>
    <w:rPr>
      <w:color w:val="605E5C"/>
      <w:shd w:val="clear" w:color="auto" w:fill="E1DFDD"/>
    </w:rPr>
  </w:style>
  <w:style w:type="paragraph" w:styleId="NormalWeb">
    <w:name w:val="Normal (Web)"/>
    <w:basedOn w:val="Normal"/>
    <w:uiPriority w:val="99"/>
    <w:unhideWhenUsed/>
    <w:rsid w:val="007C7BAF"/>
    <w:pPr>
      <w:spacing w:line="256" w:lineRule="auto"/>
    </w:pPr>
    <w:rPr>
      <w:rFonts w:ascii="Times New Roman" w:eastAsiaTheme="minorHAnsi" w:hAnsi="Times New Roman" w:cs="Times New Roman"/>
      <w:sz w:val="24"/>
      <w:szCs w:val="24"/>
    </w:rPr>
  </w:style>
  <w:style w:type="paragraph" w:customStyle="1" w:styleId="list-group-item-text">
    <w:name w:val="list-group-item-text"/>
    <w:basedOn w:val="Normal"/>
    <w:rsid w:val="0090431D"/>
    <w:pPr>
      <w:spacing w:before="100" w:beforeAutospacing="1" w:after="100" w:afterAutospacing="1" w:line="240" w:lineRule="auto"/>
      <w:jc w:val="left"/>
    </w:pPr>
    <w:rPr>
      <w:rFonts w:ascii="Times New Roman" w:eastAsia="Times New Roman" w:hAnsi="Times New Roman" w:cs="Times New Roman"/>
      <w:sz w:val="24"/>
      <w:szCs w:val="24"/>
      <w:lang w:val="en-US"/>
    </w:rPr>
  </w:style>
  <w:style w:type="paragraph" w:styleId="TtulodeTDC">
    <w:name w:val="TOC Heading"/>
    <w:basedOn w:val="Ttulo1"/>
    <w:next w:val="Normal"/>
    <w:uiPriority w:val="39"/>
    <w:unhideWhenUsed/>
    <w:qFormat/>
    <w:rsid w:val="00C4052B"/>
    <w:pPr>
      <w:spacing w:before="240" w:after="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C4052B"/>
    <w:pPr>
      <w:spacing w:after="100"/>
    </w:pPr>
  </w:style>
  <w:style w:type="paragraph" w:styleId="TDC2">
    <w:name w:val="toc 2"/>
    <w:basedOn w:val="Normal"/>
    <w:next w:val="Normal"/>
    <w:autoRedefine/>
    <w:uiPriority w:val="39"/>
    <w:unhideWhenUsed/>
    <w:rsid w:val="00C4052B"/>
    <w:pPr>
      <w:spacing w:after="100"/>
      <w:ind w:left="220"/>
    </w:pPr>
  </w:style>
  <w:style w:type="character" w:customStyle="1" w:styleId="Mencinsinresolver4">
    <w:name w:val="Mención sin resolver4"/>
    <w:basedOn w:val="Fuentedeprrafopredeter"/>
    <w:uiPriority w:val="99"/>
    <w:semiHidden/>
    <w:unhideWhenUsed/>
    <w:rsid w:val="00C97FC1"/>
    <w:rPr>
      <w:color w:val="605E5C"/>
      <w:shd w:val="clear" w:color="auto" w:fill="E1DFDD"/>
    </w:rPr>
  </w:style>
  <w:style w:type="character" w:customStyle="1" w:styleId="Mencinsinresolver5">
    <w:name w:val="Mención sin resolver5"/>
    <w:basedOn w:val="Fuentedeprrafopredeter"/>
    <w:uiPriority w:val="99"/>
    <w:semiHidden/>
    <w:unhideWhenUsed/>
    <w:rsid w:val="00E831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358064">
      <w:bodyDiv w:val="1"/>
      <w:marLeft w:val="0"/>
      <w:marRight w:val="0"/>
      <w:marTop w:val="0"/>
      <w:marBottom w:val="0"/>
      <w:divBdr>
        <w:top w:val="none" w:sz="0" w:space="0" w:color="auto"/>
        <w:left w:val="none" w:sz="0" w:space="0" w:color="auto"/>
        <w:bottom w:val="none" w:sz="0" w:space="0" w:color="auto"/>
        <w:right w:val="none" w:sz="0" w:space="0" w:color="auto"/>
      </w:divBdr>
    </w:div>
    <w:div w:id="29646083">
      <w:bodyDiv w:val="1"/>
      <w:marLeft w:val="0"/>
      <w:marRight w:val="0"/>
      <w:marTop w:val="0"/>
      <w:marBottom w:val="0"/>
      <w:divBdr>
        <w:top w:val="none" w:sz="0" w:space="0" w:color="auto"/>
        <w:left w:val="none" w:sz="0" w:space="0" w:color="auto"/>
        <w:bottom w:val="none" w:sz="0" w:space="0" w:color="auto"/>
        <w:right w:val="none" w:sz="0" w:space="0" w:color="auto"/>
      </w:divBdr>
    </w:div>
    <w:div w:id="31005225">
      <w:bodyDiv w:val="1"/>
      <w:marLeft w:val="0"/>
      <w:marRight w:val="0"/>
      <w:marTop w:val="0"/>
      <w:marBottom w:val="0"/>
      <w:divBdr>
        <w:top w:val="none" w:sz="0" w:space="0" w:color="auto"/>
        <w:left w:val="none" w:sz="0" w:space="0" w:color="auto"/>
        <w:bottom w:val="none" w:sz="0" w:space="0" w:color="auto"/>
        <w:right w:val="none" w:sz="0" w:space="0" w:color="auto"/>
      </w:divBdr>
    </w:div>
    <w:div w:id="59989977">
      <w:bodyDiv w:val="1"/>
      <w:marLeft w:val="0"/>
      <w:marRight w:val="0"/>
      <w:marTop w:val="0"/>
      <w:marBottom w:val="0"/>
      <w:divBdr>
        <w:top w:val="none" w:sz="0" w:space="0" w:color="auto"/>
        <w:left w:val="none" w:sz="0" w:space="0" w:color="auto"/>
        <w:bottom w:val="none" w:sz="0" w:space="0" w:color="auto"/>
        <w:right w:val="none" w:sz="0" w:space="0" w:color="auto"/>
      </w:divBdr>
    </w:div>
    <w:div w:id="66348591">
      <w:bodyDiv w:val="1"/>
      <w:marLeft w:val="0"/>
      <w:marRight w:val="0"/>
      <w:marTop w:val="0"/>
      <w:marBottom w:val="0"/>
      <w:divBdr>
        <w:top w:val="none" w:sz="0" w:space="0" w:color="auto"/>
        <w:left w:val="none" w:sz="0" w:space="0" w:color="auto"/>
        <w:bottom w:val="none" w:sz="0" w:space="0" w:color="auto"/>
        <w:right w:val="none" w:sz="0" w:space="0" w:color="auto"/>
      </w:divBdr>
    </w:div>
    <w:div w:id="75444692">
      <w:bodyDiv w:val="1"/>
      <w:marLeft w:val="0"/>
      <w:marRight w:val="0"/>
      <w:marTop w:val="0"/>
      <w:marBottom w:val="0"/>
      <w:divBdr>
        <w:top w:val="none" w:sz="0" w:space="0" w:color="auto"/>
        <w:left w:val="none" w:sz="0" w:space="0" w:color="auto"/>
        <w:bottom w:val="none" w:sz="0" w:space="0" w:color="auto"/>
        <w:right w:val="none" w:sz="0" w:space="0" w:color="auto"/>
      </w:divBdr>
    </w:div>
    <w:div w:id="91513401">
      <w:bodyDiv w:val="1"/>
      <w:marLeft w:val="0"/>
      <w:marRight w:val="0"/>
      <w:marTop w:val="0"/>
      <w:marBottom w:val="0"/>
      <w:divBdr>
        <w:top w:val="none" w:sz="0" w:space="0" w:color="auto"/>
        <w:left w:val="none" w:sz="0" w:space="0" w:color="auto"/>
        <w:bottom w:val="none" w:sz="0" w:space="0" w:color="auto"/>
        <w:right w:val="none" w:sz="0" w:space="0" w:color="auto"/>
      </w:divBdr>
    </w:div>
    <w:div w:id="95179579">
      <w:bodyDiv w:val="1"/>
      <w:marLeft w:val="0"/>
      <w:marRight w:val="0"/>
      <w:marTop w:val="0"/>
      <w:marBottom w:val="0"/>
      <w:divBdr>
        <w:top w:val="none" w:sz="0" w:space="0" w:color="auto"/>
        <w:left w:val="none" w:sz="0" w:space="0" w:color="auto"/>
        <w:bottom w:val="none" w:sz="0" w:space="0" w:color="auto"/>
        <w:right w:val="none" w:sz="0" w:space="0" w:color="auto"/>
      </w:divBdr>
    </w:div>
    <w:div w:id="100809732">
      <w:bodyDiv w:val="1"/>
      <w:marLeft w:val="0"/>
      <w:marRight w:val="0"/>
      <w:marTop w:val="0"/>
      <w:marBottom w:val="0"/>
      <w:divBdr>
        <w:top w:val="none" w:sz="0" w:space="0" w:color="auto"/>
        <w:left w:val="none" w:sz="0" w:space="0" w:color="auto"/>
        <w:bottom w:val="none" w:sz="0" w:space="0" w:color="auto"/>
        <w:right w:val="none" w:sz="0" w:space="0" w:color="auto"/>
      </w:divBdr>
    </w:div>
    <w:div w:id="161548693">
      <w:bodyDiv w:val="1"/>
      <w:marLeft w:val="0"/>
      <w:marRight w:val="0"/>
      <w:marTop w:val="0"/>
      <w:marBottom w:val="0"/>
      <w:divBdr>
        <w:top w:val="none" w:sz="0" w:space="0" w:color="auto"/>
        <w:left w:val="none" w:sz="0" w:space="0" w:color="auto"/>
        <w:bottom w:val="none" w:sz="0" w:space="0" w:color="auto"/>
        <w:right w:val="none" w:sz="0" w:space="0" w:color="auto"/>
      </w:divBdr>
    </w:div>
    <w:div w:id="180364341">
      <w:bodyDiv w:val="1"/>
      <w:marLeft w:val="0"/>
      <w:marRight w:val="0"/>
      <w:marTop w:val="0"/>
      <w:marBottom w:val="0"/>
      <w:divBdr>
        <w:top w:val="none" w:sz="0" w:space="0" w:color="auto"/>
        <w:left w:val="none" w:sz="0" w:space="0" w:color="auto"/>
        <w:bottom w:val="none" w:sz="0" w:space="0" w:color="auto"/>
        <w:right w:val="none" w:sz="0" w:space="0" w:color="auto"/>
      </w:divBdr>
    </w:div>
    <w:div w:id="188031732">
      <w:bodyDiv w:val="1"/>
      <w:marLeft w:val="0"/>
      <w:marRight w:val="0"/>
      <w:marTop w:val="0"/>
      <w:marBottom w:val="0"/>
      <w:divBdr>
        <w:top w:val="none" w:sz="0" w:space="0" w:color="auto"/>
        <w:left w:val="none" w:sz="0" w:space="0" w:color="auto"/>
        <w:bottom w:val="none" w:sz="0" w:space="0" w:color="auto"/>
        <w:right w:val="none" w:sz="0" w:space="0" w:color="auto"/>
      </w:divBdr>
    </w:div>
    <w:div w:id="211500099">
      <w:bodyDiv w:val="1"/>
      <w:marLeft w:val="0"/>
      <w:marRight w:val="0"/>
      <w:marTop w:val="0"/>
      <w:marBottom w:val="0"/>
      <w:divBdr>
        <w:top w:val="none" w:sz="0" w:space="0" w:color="auto"/>
        <w:left w:val="none" w:sz="0" w:space="0" w:color="auto"/>
        <w:bottom w:val="none" w:sz="0" w:space="0" w:color="auto"/>
        <w:right w:val="none" w:sz="0" w:space="0" w:color="auto"/>
      </w:divBdr>
    </w:div>
    <w:div w:id="225997556">
      <w:bodyDiv w:val="1"/>
      <w:marLeft w:val="0"/>
      <w:marRight w:val="0"/>
      <w:marTop w:val="0"/>
      <w:marBottom w:val="0"/>
      <w:divBdr>
        <w:top w:val="none" w:sz="0" w:space="0" w:color="auto"/>
        <w:left w:val="none" w:sz="0" w:space="0" w:color="auto"/>
        <w:bottom w:val="none" w:sz="0" w:space="0" w:color="auto"/>
        <w:right w:val="none" w:sz="0" w:space="0" w:color="auto"/>
      </w:divBdr>
    </w:div>
    <w:div w:id="238367303">
      <w:bodyDiv w:val="1"/>
      <w:marLeft w:val="0"/>
      <w:marRight w:val="0"/>
      <w:marTop w:val="0"/>
      <w:marBottom w:val="0"/>
      <w:divBdr>
        <w:top w:val="none" w:sz="0" w:space="0" w:color="auto"/>
        <w:left w:val="none" w:sz="0" w:space="0" w:color="auto"/>
        <w:bottom w:val="none" w:sz="0" w:space="0" w:color="auto"/>
        <w:right w:val="none" w:sz="0" w:space="0" w:color="auto"/>
      </w:divBdr>
    </w:div>
    <w:div w:id="243883936">
      <w:bodyDiv w:val="1"/>
      <w:marLeft w:val="0"/>
      <w:marRight w:val="0"/>
      <w:marTop w:val="0"/>
      <w:marBottom w:val="0"/>
      <w:divBdr>
        <w:top w:val="none" w:sz="0" w:space="0" w:color="auto"/>
        <w:left w:val="none" w:sz="0" w:space="0" w:color="auto"/>
        <w:bottom w:val="none" w:sz="0" w:space="0" w:color="auto"/>
        <w:right w:val="none" w:sz="0" w:space="0" w:color="auto"/>
      </w:divBdr>
    </w:div>
    <w:div w:id="285963118">
      <w:bodyDiv w:val="1"/>
      <w:marLeft w:val="0"/>
      <w:marRight w:val="0"/>
      <w:marTop w:val="0"/>
      <w:marBottom w:val="0"/>
      <w:divBdr>
        <w:top w:val="none" w:sz="0" w:space="0" w:color="auto"/>
        <w:left w:val="none" w:sz="0" w:space="0" w:color="auto"/>
        <w:bottom w:val="none" w:sz="0" w:space="0" w:color="auto"/>
        <w:right w:val="none" w:sz="0" w:space="0" w:color="auto"/>
      </w:divBdr>
    </w:div>
    <w:div w:id="311721060">
      <w:bodyDiv w:val="1"/>
      <w:marLeft w:val="0"/>
      <w:marRight w:val="0"/>
      <w:marTop w:val="0"/>
      <w:marBottom w:val="0"/>
      <w:divBdr>
        <w:top w:val="none" w:sz="0" w:space="0" w:color="auto"/>
        <w:left w:val="none" w:sz="0" w:space="0" w:color="auto"/>
        <w:bottom w:val="none" w:sz="0" w:space="0" w:color="auto"/>
        <w:right w:val="none" w:sz="0" w:space="0" w:color="auto"/>
      </w:divBdr>
    </w:div>
    <w:div w:id="347029534">
      <w:bodyDiv w:val="1"/>
      <w:marLeft w:val="0"/>
      <w:marRight w:val="0"/>
      <w:marTop w:val="0"/>
      <w:marBottom w:val="0"/>
      <w:divBdr>
        <w:top w:val="none" w:sz="0" w:space="0" w:color="auto"/>
        <w:left w:val="none" w:sz="0" w:space="0" w:color="auto"/>
        <w:bottom w:val="none" w:sz="0" w:space="0" w:color="auto"/>
        <w:right w:val="none" w:sz="0" w:space="0" w:color="auto"/>
      </w:divBdr>
    </w:div>
    <w:div w:id="349069491">
      <w:bodyDiv w:val="1"/>
      <w:marLeft w:val="0"/>
      <w:marRight w:val="0"/>
      <w:marTop w:val="0"/>
      <w:marBottom w:val="0"/>
      <w:divBdr>
        <w:top w:val="none" w:sz="0" w:space="0" w:color="auto"/>
        <w:left w:val="none" w:sz="0" w:space="0" w:color="auto"/>
        <w:bottom w:val="none" w:sz="0" w:space="0" w:color="auto"/>
        <w:right w:val="none" w:sz="0" w:space="0" w:color="auto"/>
      </w:divBdr>
    </w:div>
    <w:div w:id="382801422">
      <w:bodyDiv w:val="1"/>
      <w:marLeft w:val="0"/>
      <w:marRight w:val="0"/>
      <w:marTop w:val="0"/>
      <w:marBottom w:val="0"/>
      <w:divBdr>
        <w:top w:val="none" w:sz="0" w:space="0" w:color="auto"/>
        <w:left w:val="none" w:sz="0" w:space="0" w:color="auto"/>
        <w:bottom w:val="none" w:sz="0" w:space="0" w:color="auto"/>
        <w:right w:val="none" w:sz="0" w:space="0" w:color="auto"/>
      </w:divBdr>
    </w:div>
    <w:div w:id="396781848">
      <w:bodyDiv w:val="1"/>
      <w:marLeft w:val="0"/>
      <w:marRight w:val="0"/>
      <w:marTop w:val="0"/>
      <w:marBottom w:val="0"/>
      <w:divBdr>
        <w:top w:val="none" w:sz="0" w:space="0" w:color="auto"/>
        <w:left w:val="none" w:sz="0" w:space="0" w:color="auto"/>
        <w:bottom w:val="none" w:sz="0" w:space="0" w:color="auto"/>
        <w:right w:val="none" w:sz="0" w:space="0" w:color="auto"/>
      </w:divBdr>
    </w:div>
    <w:div w:id="398094207">
      <w:bodyDiv w:val="1"/>
      <w:marLeft w:val="0"/>
      <w:marRight w:val="0"/>
      <w:marTop w:val="0"/>
      <w:marBottom w:val="0"/>
      <w:divBdr>
        <w:top w:val="none" w:sz="0" w:space="0" w:color="auto"/>
        <w:left w:val="none" w:sz="0" w:space="0" w:color="auto"/>
        <w:bottom w:val="none" w:sz="0" w:space="0" w:color="auto"/>
        <w:right w:val="none" w:sz="0" w:space="0" w:color="auto"/>
      </w:divBdr>
    </w:div>
    <w:div w:id="439036356">
      <w:bodyDiv w:val="1"/>
      <w:marLeft w:val="0"/>
      <w:marRight w:val="0"/>
      <w:marTop w:val="0"/>
      <w:marBottom w:val="0"/>
      <w:divBdr>
        <w:top w:val="none" w:sz="0" w:space="0" w:color="auto"/>
        <w:left w:val="none" w:sz="0" w:space="0" w:color="auto"/>
        <w:bottom w:val="none" w:sz="0" w:space="0" w:color="auto"/>
        <w:right w:val="none" w:sz="0" w:space="0" w:color="auto"/>
      </w:divBdr>
    </w:div>
    <w:div w:id="454718827">
      <w:bodyDiv w:val="1"/>
      <w:marLeft w:val="0"/>
      <w:marRight w:val="0"/>
      <w:marTop w:val="0"/>
      <w:marBottom w:val="0"/>
      <w:divBdr>
        <w:top w:val="none" w:sz="0" w:space="0" w:color="auto"/>
        <w:left w:val="none" w:sz="0" w:space="0" w:color="auto"/>
        <w:bottom w:val="none" w:sz="0" w:space="0" w:color="auto"/>
        <w:right w:val="none" w:sz="0" w:space="0" w:color="auto"/>
      </w:divBdr>
    </w:div>
    <w:div w:id="462506921">
      <w:bodyDiv w:val="1"/>
      <w:marLeft w:val="0"/>
      <w:marRight w:val="0"/>
      <w:marTop w:val="0"/>
      <w:marBottom w:val="0"/>
      <w:divBdr>
        <w:top w:val="none" w:sz="0" w:space="0" w:color="auto"/>
        <w:left w:val="none" w:sz="0" w:space="0" w:color="auto"/>
        <w:bottom w:val="none" w:sz="0" w:space="0" w:color="auto"/>
        <w:right w:val="none" w:sz="0" w:space="0" w:color="auto"/>
      </w:divBdr>
    </w:div>
    <w:div w:id="466317430">
      <w:bodyDiv w:val="1"/>
      <w:marLeft w:val="0"/>
      <w:marRight w:val="0"/>
      <w:marTop w:val="0"/>
      <w:marBottom w:val="0"/>
      <w:divBdr>
        <w:top w:val="none" w:sz="0" w:space="0" w:color="auto"/>
        <w:left w:val="none" w:sz="0" w:space="0" w:color="auto"/>
        <w:bottom w:val="none" w:sz="0" w:space="0" w:color="auto"/>
        <w:right w:val="none" w:sz="0" w:space="0" w:color="auto"/>
      </w:divBdr>
    </w:div>
    <w:div w:id="469056934">
      <w:bodyDiv w:val="1"/>
      <w:marLeft w:val="0"/>
      <w:marRight w:val="0"/>
      <w:marTop w:val="0"/>
      <w:marBottom w:val="0"/>
      <w:divBdr>
        <w:top w:val="none" w:sz="0" w:space="0" w:color="auto"/>
        <w:left w:val="none" w:sz="0" w:space="0" w:color="auto"/>
        <w:bottom w:val="none" w:sz="0" w:space="0" w:color="auto"/>
        <w:right w:val="none" w:sz="0" w:space="0" w:color="auto"/>
      </w:divBdr>
    </w:div>
    <w:div w:id="479731557">
      <w:bodyDiv w:val="1"/>
      <w:marLeft w:val="0"/>
      <w:marRight w:val="0"/>
      <w:marTop w:val="0"/>
      <w:marBottom w:val="0"/>
      <w:divBdr>
        <w:top w:val="none" w:sz="0" w:space="0" w:color="auto"/>
        <w:left w:val="none" w:sz="0" w:space="0" w:color="auto"/>
        <w:bottom w:val="none" w:sz="0" w:space="0" w:color="auto"/>
        <w:right w:val="none" w:sz="0" w:space="0" w:color="auto"/>
      </w:divBdr>
    </w:div>
    <w:div w:id="484904314">
      <w:bodyDiv w:val="1"/>
      <w:marLeft w:val="0"/>
      <w:marRight w:val="0"/>
      <w:marTop w:val="0"/>
      <w:marBottom w:val="0"/>
      <w:divBdr>
        <w:top w:val="none" w:sz="0" w:space="0" w:color="auto"/>
        <w:left w:val="none" w:sz="0" w:space="0" w:color="auto"/>
        <w:bottom w:val="none" w:sz="0" w:space="0" w:color="auto"/>
        <w:right w:val="none" w:sz="0" w:space="0" w:color="auto"/>
      </w:divBdr>
    </w:div>
    <w:div w:id="488062170">
      <w:bodyDiv w:val="1"/>
      <w:marLeft w:val="0"/>
      <w:marRight w:val="0"/>
      <w:marTop w:val="0"/>
      <w:marBottom w:val="0"/>
      <w:divBdr>
        <w:top w:val="none" w:sz="0" w:space="0" w:color="auto"/>
        <w:left w:val="none" w:sz="0" w:space="0" w:color="auto"/>
        <w:bottom w:val="none" w:sz="0" w:space="0" w:color="auto"/>
        <w:right w:val="none" w:sz="0" w:space="0" w:color="auto"/>
      </w:divBdr>
    </w:div>
    <w:div w:id="518472343">
      <w:bodyDiv w:val="1"/>
      <w:marLeft w:val="0"/>
      <w:marRight w:val="0"/>
      <w:marTop w:val="0"/>
      <w:marBottom w:val="0"/>
      <w:divBdr>
        <w:top w:val="none" w:sz="0" w:space="0" w:color="auto"/>
        <w:left w:val="none" w:sz="0" w:space="0" w:color="auto"/>
        <w:bottom w:val="none" w:sz="0" w:space="0" w:color="auto"/>
        <w:right w:val="none" w:sz="0" w:space="0" w:color="auto"/>
      </w:divBdr>
    </w:div>
    <w:div w:id="558443091">
      <w:bodyDiv w:val="1"/>
      <w:marLeft w:val="0"/>
      <w:marRight w:val="0"/>
      <w:marTop w:val="0"/>
      <w:marBottom w:val="0"/>
      <w:divBdr>
        <w:top w:val="none" w:sz="0" w:space="0" w:color="auto"/>
        <w:left w:val="none" w:sz="0" w:space="0" w:color="auto"/>
        <w:bottom w:val="none" w:sz="0" w:space="0" w:color="auto"/>
        <w:right w:val="none" w:sz="0" w:space="0" w:color="auto"/>
      </w:divBdr>
    </w:div>
    <w:div w:id="586154936">
      <w:bodyDiv w:val="1"/>
      <w:marLeft w:val="0"/>
      <w:marRight w:val="0"/>
      <w:marTop w:val="0"/>
      <w:marBottom w:val="0"/>
      <w:divBdr>
        <w:top w:val="none" w:sz="0" w:space="0" w:color="auto"/>
        <w:left w:val="none" w:sz="0" w:space="0" w:color="auto"/>
        <w:bottom w:val="none" w:sz="0" w:space="0" w:color="auto"/>
        <w:right w:val="none" w:sz="0" w:space="0" w:color="auto"/>
      </w:divBdr>
    </w:div>
    <w:div w:id="598762096">
      <w:bodyDiv w:val="1"/>
      <w:marLeft w:val="0"/>
      <w:marRight w:val="0"/>
      <w:marTop w:val="0"/>
      <w:marBottom w:val="0"/>
      <w:divBdr>
        <w:top w:val="none" w:sz="0" w:space="0" w:color="auto"/>
        <w:left w:val="none" w:sz="0" w:space="0" w:color="auto"/>
        <w:bottom w:val="none" w:sz="0" w:space="0" w:color="auto"/>
        <w:right w:val="none" w:sz="0" w:space="0" w:color="auto"/>
      </w:divBdr>
    </w:div>
    <w:div w:id="634944190">
      <w:bodyDiv w:val="1"/>
      <w:marLeft w:val="0"/>
      <w:marRight w:val="0"/>
      <w:marTop w:val="0"/>
      <w:marBottom w:val="0"/>
      <w:divBdr>
        <w:top w:val="none" w:sz="0" w:space="0" w:color="auto"/>
        <w:left w:val="none" w:sz="0" w:space="0" w:color="auto"/>
        <w:bottom w:val="none" w:sz="0" w:space="0" w:color="auto"/>
        <w:right w:val="none" w:sz="0" w:space="0" w:color="auto"/>
      </w:divBdr>
    </w:div>
    <w:div w:id="639963624">
      <w:bodyDiv w:val="1"/>
      <w:marLeft w:val="0"/>
      <w:marRight w:val="0"/>
      <w:marTop w:val="0"/>
      <w:marBottom w:val="0"/>
      <w:divBdr>
        <w:top w:val="none" w:sz="0" w:space="0" w:color="auto"/>
        <w:left w:val="none" w:sz="0" w:space="0" w:color="auto"/>
        <w:bottom w:val="none" w:sz="0" w:space="0" w:color="auto"/>
        <w:right w:val="none" w:sz="0" w:space="0" w:color="auto"/>
      </w:divBdr>
    </w:div>
    <w:div w:id="645402130">
      <w:bodyDiv w:val="1"/>
      <w:marLeft w:val="0"/>
      <w:marRight w:val="0"/>
      <w:marTop w:val="0"/>
      <w:marBottom w:val="0"/>
      <w:divBdr>
        <w:top w:val="none" w:sz="0" w:space="0" w:color="auto"/>
        <w:left w:val="none" w:sz="0" w:space="0" w:color="auto"/>
        <w:bottom w:val="none" w:sz="0" w:space="0" w:color="auto"/>
        <w:right w:val="none" w:sz="0" w:space="0" w:color="auto"/>
      </w:divBdr>
    </w:div>
    <w:div w:id="651562446">
      <w:bodyDiv w:val="1"/>
      <w:marLeft w:val="0"/>
      <w:marRight w:val="0"/>
      <w:marTop w:val="0"/>
      <w:marBottom w:val="0"/>
      <w:divBdr>
        <w:top w:val="none" w:sz="0" w:space="0" w:color="auto"/>
        <w:left w:val="none" w:sz="0" w:space="0" w:color="auto"/>
        <w:bottom w:val="none" w:sz="0" w:space="0" w:color="auto"/>
        <w:right w:val="none" w:sz="0" w:space="0" w:color="auto"/>
      </w:divBdr>
    </w:div>
    <w:div w:id="681784046">
      <w:bodyDiv w:val="1"/>
      <w:marLeft w:val="0"/>
      <w:marRight w:val="0"/>
      <w:marTop w:val="0"/>
      <w:marBottom w:val="0"/>
      <w:divBdr>
        <w:top w:val="none" w:sz="0" w:space="0" w:color="auto"/>
        <w:left w:val="none" w:sz="0" w:space="0" w:color="auto"/>
        <w:bottom w:val="none" w:sz="0" w:space="0" w:color="auto"/>
        <w:right w:val="none" w:sz="0" w:space="0" w:color="auto"/>
      </w:divBdr>
    </w:div>
    <w:div w:id="686836146">
      <w:bodyDiv w:val="1"/>
      <w:marLeft w:val="0"/>
      <w:marRight w:val="0"/>
      <w:marTop w:val="0"/>
      <w:marBottom w:val="0"/>
      <w:divBdr>
        <w:top w:val="none" w:sz="0" w:space="0" w:color="auto"/>
        <w:left w:val="none" w:sz="0" w:space="0" w:color="auto"/>
        <w:bottom w:val="none" w:sz="0" w:space="0" w:color="auto"/>
        <w:right w:val="none" w:sz="0" w:space="0" w:color="auto"/>
      </w:divBdr>
    </w:div>
    <w:div w:id="730033078">
      <w:bodyDiv w:val="1"/>
      <w:marLeft w:val="0"/>
      <w:marRight w:val="0"/>
      <w:marTop w:val="0"/>
      <w:marBottom w:val="0"/>
      <w:divBdr>
        <w:top w:val="none" w:sz="0" w:space="0" w:color="auto"/>
        <w:left w:val="none" w:sz="0" w:space="0" w:color="auto"/>
        <w:bottom w:val="none" w:sz="0" w:space="0" w:color="auto"/>
        <w:right w:val="none" w:sz="0" w:space="0" w:color="auto"/>
      </w:divBdr>
    </w:div>
    <w:div w:id="736363224">
      <w:bodyDiv w:val="1"/>
      <w:marLeft w:val="0"/>
      <w:marRight w:val="0"/>
      <w:marTop w:val="0"/>
      <w:marBottom w:val="0"/>
      <w:divBdr>
        <w:top w:val="none" w:sz="0" w:space="0" w:color="auto"/>
        <w:left w:val="none" w:sz="0" w:space="0" w:color="auto"/>
        <w:bottom w:val="none" w:sz="0" w:space="0" w:color="auto"/>
        <w:right w:val="none" w:sz="0" w:space="0" w:color="auto"/>
      </w:divBdr>
    </w:div>
    <w:div w:id="744496349">
      <w:bodyDiv w:val="1"/>
      <w:marLeft w:val="0"/>
      <w:marRight w:val="0"/>
      <w:marTop w:val="0"/>
      <w:marBottom w:val="0"/>
      <w:divBdr>
        <w:top w:val="none" w:sz="0" w:space="0" w:color="auto"/>
        <w:left w:val="none" w:sz="0" w:space="0" w:color="auto"/>
        <w:bottom w:val="none" w:sz="0" w:space="0" w:color="auto"/>
        <w:right w:val="none" w:sz="0" w:space="0" w:color="auto"/>
      </w:divBdr>
    </w:div>
    <w:div w:id="767580846">
      <w:bodyDiv w:val="1"/>
      <w:marLeft w:val="0"/>
      <w:marRight w:val="0"/>
      <w:marTop w:val="0"/>
      <w:marBottom w:val="0"/>
      <w:divBdr>
        <w:top w:val="none" w:sz="0" w:space="0" w:color="auto"/>
        <w:left w:val="none" w:sz="0" w:space="0" w:color="auto"/>
        <w:bottom w:val="none" w:sz="0" w:space="0" w:color="auto"/>
        <w:right w:val="none" w:sz="0" w:space="0" w:color="auto"/>
      </w:divBdr>
    </w:div>
    <w:div w:id="772359099">
      <w:bodyDiv w:val="1"/>
      <w:marLeft w:val="0"/>
      <w:marRight w:val="0"/>
      <w:marTop w:val="0"/>
      <w:marBottom w:val="0"/>
      <w:divBdr>
        <w:top w:val="none" w:sz="0" w:space="0" w:color="auto"/>
        <w:left w:val="none" w:sz="0" w:space="0" w:color="auto"/>
        <w:bottom w:val="none" w:sz="0" w:space="0" w:color="auto"/>
        <w:right w:val="none" w:sz="0" w:space="0" w:color="auto"/>
      </w:divBdr>
    </w:div>
    <w:div w:id="802773721">
      <w:bodyDiv w:val="1"/>
      <w:marLeft w:val="0"/>
      <w:marRight w:val="0"/>
      <w:marTop w:val="0"/>
      <w:marBottom w:val="0"/>
      <w:divBdr>
        <w:top w:val="none" w:sz="0" w:space="0" w:color="auto"/>
        <w:left w:val="none" w:sz="0" w:space="0" w:color="auto"/>
        <w:bottom w:val="none" w:sz="0" w:space="0" w:color="auto"/>
        <w:right w:val="none" w:sz="0" w:space="0" w:color="auto"/>
      </w:divBdr>
    </w:div>
    <w:div w:id="835804432">
      <w:bodyDiv w:val="1"/>
      <w:marLeft w:val="0"/>
      <w:marRight w:val="0"/>
      <w:marTop w:val="0"/>
      <w:marBottom w:val="0"/>
      <w:divBdr>
        <w:top w:val="none" w:sz="0" w:space="0" w:color="auto"/>
        <w:left w:val="none" w:sz="0" w:space="0" w:color="auto"/>
        <w:bottom w:val="none" w:sz="0" w:space="0" w:color="auto"/>
        <w:right w:val="none" w:sz="0" w:space="0" w:color="auto"/>
      </w:divBdr>
    </w:div>
    <w:div w:id="839389233">
      <w:bodyDiv w:val="1"/>
      <w:marLeft w:val="0"/>
      <w:marRight w:val="0"/>
      <w:marTop w:val="0"/>
      <w:marBottom w:val="0"/>
      <w:divBdr>
        <w:top w:val="none" w:sz="0" w:space="0" w:color="auto"/>
        <w:left w:val="none" w:sz="0" w:space="0" w:color="auto"/>
        <w:bottom w:val="none" w:sz="0" w:space="0" w:color="auto"/>
        <w:right w:val="none" w:sz="0" w:space="0" w:color="auto"/>
      </w:divBdr>
    </w:div>
    <w:div w:id="850222671">
      <w:bodyDiv w:val="1"/>
      <w:marLeft w:val="0"/>
      <w:marRight w:val="0"/>
      <w:marTop w:val="0"/>
      <w:marBottom w:val="0"/>
      <w:divBdr>
        <w:top w:val="none" w:sz="0" w:space="0" w:color="auto"/>
        <w:left w:val="none" w:sz="0" w:space="0" w:color="auto"/>
        <w:bottom w:val="none" w:sz="0" w:space="0" w:color="auto"/>
        <w:right w:val="none" w:sz="0" w:space="0" w:color="auto"/>
      </w:divBdr>
    </w:div>
    <w:div w:id="868028154">
      <w:bodyDiv w:val="1"/>
      <w:marLeft w:val="0"/>
      <w:marRight w:val="0"/>
      <w:marTop w:val="0"/>
      <w:marBottom w:val="0"/>
      <w:divBdr>
        <w:top w:val="none" w:sz="0" w:space="0" w:color="auto"/>
        <w:left w:val="none" w:sz="0" w:space="0" w:color="auto"/>
        <w:bottom w:val="none" w:sz="0" w:space="0" w:color="auto"/>
        <w:right w:val="none" w:sz="0" w:space="0" w:color="auto"/>
      </w:divBdr>
    </w:div>
    <w:div w:id="875970713">
      <w:bodyDiv w:val="1"/>
      <w:marLeft w:val="0"/>
      <w:marRight w:val="0"/>
      <w:marTop w:val="0"/>
      <w:marBottom w:val="0"/>
      <w:divBdr>
        <w:top w:val="none" w:sz="0" w:space="0" w:color="auto"/>
        <w:left w:val="none" w:sz="0" w:space="0" w:color="auto"/>
        <w:bottom w:val="none" w:sz="0" w:space="0" w:color="auto"/>
        <w:right w:val="none" w:sz="0" w:space="0" w:color="auto"/>
      </w:divBdr>
    </w:div>
    <w:div w:id="881556457">
      <w:bodyDiv w:val="1"/>
      <w:marLeft w:val="0"/>
      <w:marRight w:val="0"/>
      <w:marTop w:val="0"/>
      <w:marBottom w:val="0"/>
      <w:divBdr>
        <w:top w:val="none" w:sz="0" w:space="0" w:color="auto"/>
        <w:left w:val="none" w:sz="0" w:space="0" w:color="auto"/>
        <w:bottom w:val="none" w:sz="0" w:space="0" w:color="auto"/>
        <w:right w:val="none" w:sz="0" w:space="0" w:color="auto"/>
      </w:divBdr>
    </w:div>
    <w:div w:id="887959706">
      <w:bodyDiv w:val="1"/>
      <w:marLeft w:val="0"/>
      <w:marRight w:val="0"/>
      <w:marTop w:val="0"/>
      <w:marBottom w:val="0"/>
      <w:divBdr>
        <w:top w:val="none" w:sz="0" w:space="0" w:color="auto"/>
        <w:left w:val="none" w:sz="0" w:space="0" w:color="auto"/>
        <w:bottom w:val="none" w:sz="0" w:space="0" w:color="auto"/>
        <w:right w:val="none" w:sz="0" w:space="0" w:color="auto"/>
      </w:divBdr>
    </w:div>
    <w:div w:id="910427633">
      <w:bodyDiv w:val="1"/>
      <w:marLeft w:val="0"/>
      <w:marRight w:val="0"/>
      <w:marTop w:val="0"/>
      <w:marBottom w:val="0"/>
      <w:divBdr>
        <w:top w:val="none" w:sz="0" w:space="0" w:color="auto"/>
        <w:left w:val="none" w:sz="0" w:space="0" w:color="auto"/>
        <w:bottom w:val="none" w:sz="0" w:space="0" w:color="auto"/>
        <w:right w:val="none" w:sz="0" w:space="0" w:color="auto"/>
      </w:divBdr>
    </w:div>
    <w:div w:id="910849126">
      <w:bodyDiv w:val="1"/>
      <w:marLeft w:val="0"/>
      <w:marRight w:val="0"/>
      <w:marTop w:val="0"/>
      <w:marBottom w:val="0"/>
      <w:divBdr>
        <w:top w:val="none" w:sz="0" w:space="0" w:color="auto"/>
        <w:left w:val="none" w:sz="0" w:space="0" w:color="auto"/>
        <w:bottom w:val="none" w:sz="0" w:space="0" w:color="auto"/>
        <w:right w:val="none" w:sz="0" w:space="0" w:color="auto"/>
      </w:divBdr>
    </w:div>
    <w:div w:id="921764810">
      <w:bodyDiv w:val="1"/>
      <w:marLeft w:val="0"/>
      <w:marRight w:val="0"/>
      <w:marTop w:val="0"/>
      <w:marBottom w:val="0"/>
      <w:divBdr>
        <w:top w:val="none" w:sz="0" w:space="0" w:color="auto"/>
        <w:left w:val="none" w:sz="0" w:space="0" w:color="auto"/>
        <w:bottom w:val="none" w:sz="0" w:space="0" w:color="auto"/>
        <w:right w:val="none" w:sz="0" w:space="0" w:color="auto"/>
      </w:divBdr>
    </w:div>
    <w:div w:id="934705975">
      <w:bodyDiv w:val="1"/>
      <w:marLeft w:val="0"/>
      <w:marRight w:val="0"/>
      <w:marTop w:val="0"/>
      <w:marBottom w:val="0"/>
      <w:divBdr>
        <w:top w:val="none" w:sz="0" w:space="0" w:color="auto"/>
        <w:left w:val="none" w:sz="0" w:space="0" w:color="auto"/>
        <w:bottom w:val="none" w:sz="0" w:space="0" w:color="auto"/>
        <w:right w:val="none" w:sz="0" w:space="0" w:color="auto"/>
      </w:divBdr>
    </w:div>
    <w:div w:id="952827934">
      <w:bodyDiv w:val="1"/>
      <w:marLeft w:val="0"/>
      <w:marRight w:val="0"/>
      <w:marTop w:val="0"/>
      <w:marBottom w:val="0"/>
      <w:divBdr>
        <w:top w:val="none" w:sz="0" w:space="0" w:color="auto"/>
        <w:left w:val="none" w:sz="0" w:space="0" w:color="auto"/>
        <w:bottom w:val="none" w:sz="0" w:space="0" w:color="auto"/>
        <w:right w:val="none" w:sz="0" w:space="0" w:color="auto"/>
      </w:divBdr>
    </w:div>
    <w:div w:id="1060321789">
      <w:bodyDiv w:val="1"/>
      <w:marLeft w:val="0"/>
      <w:marRight w:val="0"/>
      <w:marTop w:val="0"/>
      <w:marBottom w:val="0"/>
      <w:divBdr>
        <w:top w:val="none" w:sz="0" w:space="0" w:color="auto"/>
        <w:left w:val="none" w:sz="0" w:space="0" w:color="auto"/>
        <w:bottom w:val="none" w:sz="0" w:space="0" w:color="auto"/>
        <w:right w:val="none" w:sz="0" w:space="0" w:color="auto"/>
      </w:divBdr>
    </w:div>
    <w:div w:id="1065181585">
      <w:bodyDiv w:val="1"/>
      <w:marLeft w:val="0"/>
      <w:marRight w:val="0"/>
      <w:marTop w:val="0"/>
      <w:marBottom w:val="0"/>
      <w:divBdr>
        <w:top w:val="none" w:sz="0" w:space="0" w:color="auto"/>
        <w:left w:val="none" w:sz="0" w:space="0" w:color="auto"/>
        <w:bottom w:val="none" w:sz="0" w:space="0" w:color="auto"/>
        <w:right w:val="none" w:sz="0" w:space="0" w:color="auto"/>
      </w:divBdr>
    </w:div>
    <w:div w:id="1070736064">
      <w:bodyDiv w:val="1"/>
      <w:marLeft w:val="0"/>
      <w:marRight w:val="0"/>
      <w:marTop w:val="0"/>
      <w:marBottom w:val="0"/>
      <w:divBdr>
        <w:top w:val="none" w:sz="0" w:space="0" w:color="auto"/>
        <w:left w:val="none" w:sz="0" w:space="0" w:color="auto"/>
        <w:bottom w:val="none" w:sz="0" w:space="0" w:color="auto"/>
        <w:right w:val="none" w:sz="0" w:space="0" w:color="auto"/>
      </w:divBdr>
    </w:div>
    <w:div w:id="1092555682">
      <w:bodyDiv w:val="1"/>
      <w:marLeft w:val="0"/>
      <w:marRight w:val="0"/>
      <w:marTop w:val="0"/>
      <w:marBottom w:val="0"/>
      <w:divBdr>
        <w:top w:val="none" w:sz="0" w:space="0" w:color="auto"/>
        <w:left w:val="none" w:sz="0" w:space="0" w:color="auto"/>
        <w:bottom w:val="none" w:sz="0" w:space="0" w:color="auto"/>
        <w:right w:val="none" w:sz="0" w:space="0" w:color="auto"/>
      </w:divBdr>
    </w:div>
    <w:div w:id="1096288685">
      <w:bodyDiv w:val="1"/>
      <w:marLeft w:val="0"/>
      <w:marRight w:val="0"/>
      <w:marTop w:val="0"/>
      <w:marBottom w:val="0"/>
      <w:divBdr>
        <w:top w:val="none" w:sz="0" w:space="0" w:color="auto"/>
        <w:left w:val="none" w:sz="0" w:space="0" w:color="auto"/>
        <w:bottom w:val="none" w:sz="0" w:space="0" w:color="auto"/>
        <w:right w:val="none" w:sz="0" w:space="0" w:color="auto"/>
      </w:divBdr>
    </w:div>
    <w:div w:id="1121143689">
      <w:bodyDiv w:val="1"/>
      <w:marLeft w:val="0"/>
      <w:marRight w:val="0"/>
      <w:marTop w:val="0"/>
      <w:marBottom w:val="0"/>
      <w:divBdr>
        <w:top w:val="none" w:sz="0" w:space="0" w:color="auto"/>
        <w:left w:val="none" w:sz="0" w:space="0" w:color="auto"/>
        <w:bottom w:val="none" w:sz="0" w:space="0" w:color="auto"/>
        <w:right w:val="none" w:sz="0" w:space="0" w:color="auto"/>
      </w:divBdr>
    </w:div>
    <w:div w:id="1145470126">
      <w:bodyDiv w:val="1"/>
      <w:marLeft w:val="0"/>
      <w:marRight w:val="0"/>
      <w:marTop w:val="0"/>
      <w:marBottom w:val="0"/>
      <w:divBdr>
        <w:top w:val="none" w:sz="0" w:space="0" w:color="auto"/>
        <w:left w:val="none" w:sz="0" w:space="0" w:color="auto"/>
        <w:bottom w:val="none" w:sz="0" w:space="0" w:color="auto"/>
        <w:right w:val="none" w:sz="0" w:space="0" w:color="auto"/>
      </w:divBdr>
    </w:div>
    <w:div w:id="1146749580">
      <w:bodyDiv w:val="1"/>
      <w:marLeft w:val="0"/>
      <w:marRight w:val="0"/>
      <w:marTop w:val="0"/>
      <w:marBottom w:val="0"/>
      <w:divBdr>
        <w:top w:val="none" w:sz="0" w:space="0" w:color="auto"/>
        <w:left w:val="none" w:sz="0" w:space="0" w:color="auto"/>
        <w:bottom w:val="none" w:sz="0" w:space="0" w:color="auto"/>
        <w:right w:val="none" w:sz="0" w:space="0" w:color="auto"/>
      </w:divBdr>
    </w:div>
    <w:div w:id="1149589980">
      <w:bodyDiv w:val="1"/>
      <w:marLeft w:val="0"/>
      <w:marRight w:val="0"/>
      <w:marTop w:val="0"/>
      <w:marBottom w:val="0"/>
      <w:divBdr>
        <w:top w:val="none" w:sz="0" w:space="0" w:color="auto"/>
        <w:left w:val="none" w:sz="0" w:space="0" w:color="auto"/>
        <w:bottom w:val="none" w:sz="0" w:space="0" w:color="auto"/>
        <w:right w:val="none" w:sz="0" w:space="0" w:color="auto"/>
      </w:divBdr>
    </w:div>
    <w:div w:id="1161890339">
      <w:bodyDiv w:val="1"/>
      <w:marLeft w:val="0"/>
      <w:marRight w:val="0"/>
      <w:marTop w:val="0"/>
      <w:marBottom w:val="0"/>
      <w:divBdr>
        <w:top w:val="none" w:sz="0" w:space="0" w:color="auto"/>
        <w:left w:val="none" w:sz="0" w:space="0" w:color="auto"/>
        <w:bottom w:val="none" w:sz="0" w:space="0" w:color="auto"/>
        <w:right w:val="none" w:sz="0" w:space="0" w:color="auto"/>
      </w:divBdr>
    </w:div>
    <w:div w:id="1166507363">
      <w:bodyDiv w:val="1"/>
      <w:marLeft w:val="0"/>
      <w:marRight w:val="0"/>
      <w:marTop w:val="0"/>
      <w:marBottom w:val="0"/>
      <w:divBdr>
        <w:top w:val="none" w:sz="0" w:space="0" w:color="auto"/>
        <w:left w:val="none" w:sz="0" w:space="0" w:color="auto"/>
        <w:bottom w:val="none" w:sz="0" w:space="0" w:color="auto"/>
        <w:right w:val="none" w:sz="0" w:space="0" w:color="auto"/>
      </w:divBdr>
    </w:div>
    <w:div w:id="1198161898">
      <w:bodyDiv w:val="1"/>
      <w:marLeft w:val="0"/>
      <w:marRight w:val="0"/>
      <w:marTop w:val="0"/>
      <w:marBottom w:val="0"/>
      <w:divBdr>
        <w:top w:val="none" w:sz="0" w:space="0" w:color="auto"/>
        <w:left w:val="none" w:sz="0" w:space="0" w:color="auto"/>
        <w:bottom w:val="none" w:sz="0" w:space="0" w:color="auto"/>
        <w:right w:val="none" w:sz="0" w:space="0" w:color="auto"/>
      </w:divBdr>
    </w:div>
    <w:div w:id="1204369781">
      <w:bodyDiv w:val="1"/>
      <w:marLeft w:val="0"/>
      <w:marRight w:val="0"/>
      <w:marTop w:val="0"/>
      <w:marBottom w:val="0"/>
      <w:divBdr>
        <w:top w:val="none" w:sz="0" w:space="0" w:color="auto"/>
        <w:left w:val="none" w:sz="0" w:space="0" w:color="auto"/>
        <w:bottom w:val="none" w:sz="0" w:space="0" w:color="auto"/>
        <w:right w:val="none" w:sz="0" w:space="0" w:color="auto"/>
      </w:divBdr>
    </w:div>
    <w:div w:id="1208180446">
      <w:bodyDiv w:val="1"/>
      <w:marLeft w:val="0"/>
      <w:marRight w:val="0"/>
      <w:marTop w:val="0"/>
      <w:marBottom w:val="0"/>
      <w:divBdr>
        <w:top w:val="none" w:sz="0" w:space="0" w:color="auto"/>
        <w:left w:val="none" w:sz="0" w:space="0" w:color="auto"/>
        <w:bottom w:val="none" w:sz="0" w:space="0" w:color="auto"/>
        <w:right w:val="none" w:sz="0" w:space="0" w:color="auto"/>
      </w:divBdr>
    </w:div>
    <w:div w:id="1222863811">
      <w:bodyDiv w:val="1"/>
      <w:marLeft w:val="0"/>
      <w:marRight w:val="0"/>
      <w:marTop w:val="0"/>
      <w:marBottom w:val="0"/>
      <w:divBdr>
        <w:top w:val="none" w:sz="0" w:space="0" w:color="auto"/>
        <w:left w:val="none" w:sz="0" w:space="0" w:color="auto"/>
        <w:bottom w:val="none" w:sz="0" w:space="0" w:color="auto"/>
        <w:right w:val="none" w:sz="0" w:space="0" w:color="auto"/>
      </w:divBdr>
    </w:div>
    <w:div w:id="1238324750">
      <w:bodyDiv w:val="1"/>
      <w:marLeft w:val="0"/>
      <w:marRight w:val="0"/>
      <w:marTop w:val="0"/>
      <w:marBottom w:val="0"/>
      <w:divBdr>
        <w:top w:val="none" w:sz="0" w:space="0" w:color="auto"/>
        <w:left w:val="none" w:sz="0" w:space="0" w:color="auto"/>
        <w:bottom w:val="none" w:sz="0" w:space="0" w:color="auto"/>
        <w:right w:val="none" w:sz="0" w:space="0" w:color="auto"/>
      </w:divBdr>
    </w:div>
    <w:div w:id="1240554962">
      <w:bodyDiv w:val="1"/>
      <w:marLeft w:val="0"/>
      <w:marRight w:val="0"/>
      <w:marTop w:val="0"/>
      <w:marBottom w:val="0"/>
      <w:divBdr>
        <w:top w:val="none" w:sz="0" w:space="0" w:color="auto"/>
        <w:left w:val="none" w:sz="0" w:space="0" w:color="auto"/>
        <w:bottom w:val="none" w:sz="0" w:space="0" w:color="auto"/>
        <w:right w:val="none" w:sz="0" w:space="0" w:color="auto"/>
      </w:divBdr>
    </w:div>
    <w:div w:id="1263034440">
      <w:bodyDiv w:val="1"/>
      <w:marLeft w:val="0"/>
      <w:marRight w:val="0"/>
      <w:marTop w:val="0"/>
      <w:marBottom w:val="0"/>
      <w:divBdr>
        <w:top w:val="none" w:sz="0" w:space="0" w:color="auto"/>
        <w:left w:val="none" w:sz="0" w:space="0" w:color="auto"/>
        <w:bottom w:val="none" w:sz="0" w:space="0" w:color="auto"/>
        <w:right w:val="none" w:sz="0" w:space="0" w:color="auto"/>
      </w:divBdr>
    </w:div>
    <w:div w:id="1268659197">
      <w:bodyDiv w:val="1"/>
      <w:marLeft w:val="0"/>
      <w:marRight w:val="0"/>
      <w:marTop w:val="0"/>
      <w:marBottom w:val="0"/>
      <w:divBdr>
        <w:top w:val="none" w:sz="0" w:space="0" w:color="auto"/>
        <w:left w:val="none" w:sz="0" w:space="0" w:color="auto"/>
        <w:bottom w:val="none" w:sz="0" w:space="0" w:color="auto"/>
        <w:right w:val="none" w:sz="0" w:space="0" w:color="auto"/>
      </w:divBdr>
    </w:div>
    <w:div w:id="1270091683">
      <w:bodyDiv w:val="1"/>
      <w:marLeft w:val="0"/>
      <w:marRight w:val="0"/>
      <w:marTop w:val="0"/>
      <w:marBottom w:val="0"/>
      <w:divBdr>
        <w:top w:val="none" w:sz="0" w:space="0" w:color="auto"/>
        <w:left w:val="none" w:sz="0" w:space="0" w:color="auto"/>
        <w:bottom w:val="none" w:sz="0" w:space="0" w:color="auto"/>
        <w:right w:val="none" w:sz="0" w:space="0" w:color="auto"/>
      </w:divBdr>
    </w:div>
    <w:div w:id="1279222341">
      <w:bodyDiv w:val="1"/>
      <w:marLeft w:val="0"/>
      <w:marRight w:val="0"/>
      <w:marTop w:val="0"/>
      <w:marBottom w:val="0"/>
      <w:divBdr>
        <w:top w:val="none" w:sz="0" w:space="0" w:color="auto"/>
        <w:left w:val="none" w:sz="0" w:space="0" w:color="auto"/>
        <w:bottom w:val="none" w:sz="0" w:space="0" w:color="auto"/>
        <w:right w:val="none" w:sz="0" w:space="0" w:color="auto"/>
      </w:divBdr>
    </w:div>
    <w:div w:id="1292637013">
      <w:bodyDiv w:val="1"/>
      <w:marLeft w:val="0"/>
      <w:marRight w:val="0"/>
      <w:marTop w:val="0"/>
      <w:marBottom w:val="0"/>
      <w:divBdr>
        <w:top w:val="none" w:sz="0" w:space="0" w:color="auto"/>
        <w:left w:val="none" w:sz="0" w:space="0" w:color="auto"/>
        <w:bottom w:val="none" w:sz="0" w:space="0" w:color="auto"/>
        <w:right w:val="none" w:sz="0" w:space="0" w:color="auto"/>
      </w:divBdr>
    </w:div>
    <w:div w:id="1292979441">
      <w:bodyDiv w:val="1"/>
      <w:marLeft w:val="0"/>
      <w:marRight w:val="0"/>
      <w:marTop w:val="0"/>
      <w:marBottom w:val="0"/>
      <w:divBdr>
        <w:top w:val="none" w:sz="0" w:space="0" w:color="auto"/>
        <w:left w:val="none" w:sz="0" w:space="0" w:color="auto"/>
        <w:bottom w:val="none" w:sz="0" w:space="0" w:color="auto"/>
        <w:right w:val="none" w:sz="0" w:space="0" w:color="auto"/>
      </w:divBdr>
    </w:div>
    <w:div w:id="1303148255">
      <w:bodyDiv w:val="1"/>
      <w:marLeft w:val="0"/>
      <w:marRight w:val="0"/>
      <w:marTop w:val="0"/>
      <w:marBottom w:val="0"/>
      <w:divBdr>
        <w:top w:val="none" w:sz="0" w:space="0" w:color="auto"/>
        <w:left w:val="none" w:sz="0" w:space="0" w:color="auto"/>
        <w:bottom w:val="none" w:sz="0" w:space="0" w:color="auto"/>
        <w:right w:val="none" w:sz="0" w:space="0" w:color="auto"/>
      </w:divBdr>
    </w:div>
    <w:div w:id="1316448042">
      <w:bodyDiv w:val="1"/>
      <w:marLeft w:val="0"/>
      <w:marRight w:val="0"/>
      <w:marTop w:val="0"/>
      <w:marBottom w:val="0"/>
      <w:divBdr>
        <w:top w:val="none" w:sz="0" w:space="0" w:color="auto"/>
        <w:left w:val="none" w:sz="0" w:space="0" w:color="auto"/>
        <w:bottom w:val="none" w:sz="0" w:space="0" w:color="auto"/>
        <w:right w:val="none" w:sz="0" w:space="0" w:color="auto"/>
      </w:divBdr>
    </w:div>
    <w:div w:id="1318192754">
      <w:bodyDiv w:val="1"/>
      <w:marLeft w:val="0"/>
      <w:marRight w:val="0"/>
      <w:marTop w:val="0"/>
      <w:marBottom w:val="0"/>
      <w:divBdr>
        <w:top w:val="none" w:sz="0" w:space="0" w:color="auto"/>
        <w:left w:val="none" w:sz="0" w:space="0" w:color="auto"/>
        <w:bottom w:val="none" w:sz="0" w:space="0" w:color="auto"/>
        <w:right w:val="none" w:sz="0" w:space="0" w:color="auto"/>
      </w:divBdr>
    </w:div>
    <w:div w:id="1349481541">
      <w:bodyDiv w:val="1"/>
      <w:marLeft w:val="0"/>
      <w:marRight w:val="0"/>
      <w:marTop w:val="0"/>
      <w:marBottom w:val="0"/>
      <w:divBdr>
        <w:top w:val="none" w:sz="0" w:space="0" w:color="auto"/>
        <w:left w:val="none" w:sz="0" w:space="0" w:color="auto"/>
        <w:bottom w:val="none" w:sz="0" w:space="0" w:color="auto"/>
        <w:right w:val="none" w:sz="0" w:space="0" w:color="auto"/>
      </w:divBdr>
    </w:div>
    <w:div w:id="1365247893">
      <w:bodyDiv w:val="1"/>
      <w:marLeft w:val="0"/>
      <w:marRight w:val="0"/>
      <w:marTop w:val="0"/>
      <w:marBottom w:val="0"/>
      <w:divBdr>
        <w:top w:val="none" w:sz="0" w:space="0" w:color="auto"/>
        <w:left w:val="none" w:sz="0" w:space="0" w:color="auto"/>
        <w:bottom w:val="none" w:sz="0" w:space="0" w:color="auto"/>
        <w:right w:val="none" w:sz="0" w:space="0" w:color="auto"/>
      </w:divBdr>
    </w:div>
    <w:div w:id="1395740382">
      <w:bodyDiv w:val="1"/>
      <w:marLeft w:val="0"/>
      <w:marRight w:val="0"/>
      <w:marTop w:val="0"/>
      <w:marBottom w:val="0"/>
      <w:divBdr>
        <w:top w:val="none" w:sz="0" w:space="0" w:color="auto"/>
        <w:left w:val="none" w:sz="0" w:space="0" w:color="auto"/>
        <w:bottom w:val="none" w:sz="0" w:space="0" w:color="auto"/>
        <w:right w:val="none" w:sz="0" w:space="0" w:color="auto"/>
      </w:divBdr>
    </w:div>
    <w:div w:id="1410613490">
      <w:bodyDiv w:val="1"/>
      <w:marLeft w:val="0"/>
      <w:marRight w:val="0"/>
      <w:marTop w:val="0"/>
      <w:marBottom w:val="0"/>
      <w:divBdr>
        <w:top w:val="none" w:sz="0" w:space="0" w:color="auto"/>
        <w:left w:val="none" w:sz="0" w:space="0" w:color="auto"/>
        <w:bottom w:val="none" w:sz="0" w:space="0" w:color="auto"/>
        <w:right w:val="none" w:sz="0" w:space="0" w:color="auto"/>
      </w:divBdr>
    </w:div>
    <w:div w:id="1466511206">
      <w:bodyDiv w:val="1"/>
      <w:marLeft w:val="0"/>
      <w:marRight w:val="0"/>
      <w:marTop w:val="0"/>
      <w:marBottom w:val="0"/>
      <w:divBdr>
        <w:top w:val="none" w:sz="0" w:space="0" w:color="auto"/>
        <w:left w:val="none" w:sz="0" w:space="0" w:color="auto"/>
        <w:bottom w:val="none" w:sz="0" w:space="0" w:color="auto"/>
        <w:right w:val="none" w:sz="0" w:space="0" w:color="auto"/>
      </w:divBdr>
    </w:div>
    <w:div w:id="1488748300">
      <w:bodyDiv w:val="1"/>
      <w:marLeft w:val="0"/>
      <w:marRight w:val="0"/>
      <w:marTop w:val="0"/>
      <w:marBottom w:val="0"/>
      <w:divBdr>
        <w:top w:val="none" w:sz="0" w:space="0" w:color="auto"/>
        <w:left w:val="none" w:sz="0" w:space="0" w:color="auto"/>
        <w:bottom w:val="none" w:sz="0" w:space="0" w:color="auto"/>
        <w:right w:val="none" w:sz="0" w:space="0" w:color="auto"/>
      </w:divBdr>
    </w:div>
    <w:div w:id="1491218193">
      <w:bodyDiv w:val="1"/>
      <w:marLeft w:val="0"/>
      <w:marRight w:val="0"/>
      <w:marTop w:val="0"/>
      <w:marBottom w:val="0"/>
      <w:divBdr>
        <w:top w:val="none" w:sz="0" w:space="0" w:color="auto"/>
        <w:left w:val="none" w:sz="0" w:space="0" w:color="auto"/>
        <w:bottom w:val="none" w:sz="0" w:space="0" w:color="auto"/>
        <w:right w:val="none" w:sz="0" w:space="0" w:color="auto"/>
      </w:divBdr>
    </w:div>
    <w:div w:id="1541362030">
      <w:bodyDiv w:val="1"/>
      <w:marLeft w:val="0"/>
      <w:marRight w:val="0"/>
      <w:marTop w:val="0"/>
      <w:marBottom w:val="0"/>
      <w:divBdr>
        <w:top w:val="none" w:sz="0" w:space="0" w:color="auto"/>
        <w:left w:val="none" w:sz="0" w:space="0" w:color="auto"/>
        <w:bottom w:val="none" w:sz="0" w:space="0" w:color="auto"/>
        <w:right w:val="none" w:sz="0" w:space="0" w:color="auto"/>
      </w:divBdr>
    </w:div>
    <w:div w:id="1563564928">
      <w:bodyDiv w:val="1"/>
      <w:marLeft w:val="0"/>
      <w:marRight w:val="0"/>
      <w:marTop w:val="0"/>
      <w:marBottom w:val="0"/>
      <w:divBdr>
        <w:top w:val="none" w:sz="0" w:space="0" w:color="auto"/>
        <w:left w:val="none" w:sz="0" w:space="0" w:color="auto"/>
        <w:bottom w:val="none" w:sz="0" w:space="0" w:color="auto"/>
        <w:right w:val="none" w:sz="0" w:space="0" w:color="auto"/>
      </w:divBdr>
    </w:div>
    <w:div w:id="1584486929">
      <w:bodyDiv w:val="1"/>
      <w:marLeft w:val="0"/>
      <w:marRight w:val="0"/>
      <w:marTop w:val="0"/>
      <w:marBottom w:val="0"/>
      <w:divBdr>
        <w:top w:val="none" w:sz="0" w:space="0" w:color="auto"/>
        <w:left w:val="none" w:sz="0" w:space="0" w:color="auto"/>
        <w:bottom w:val="none" w:sz="0" w:space="0" w:color="auto"/>
        <w:right w:val="none" w:sz="0" w:space="0" w:color="auto"/>
      </w:divBdr>
    </w:div>
    <w:div w:id="1652828471">
      <w:bodyDiv w:val="1"/>
      <w:marLeft w:val="0"/>
      <w:marRight w:val="0"/>
      <w:marTop w:val="0"/>
      <w:marBottom w:val="0"/>
      <w:divBdr>
        <w:top w:val="none" w:sz="0" w:space="0" w:color="auto"/>
        <w:left w:val="none" w:sz="0" w:space="0" w:color="auto"/>
        <w:bottom w:val="none" w:sz="0" w:space="0" w:color="auto"/>
        <w:right w:val="none" w:sz="0" w:space="0" w:color="auto"/>
      </w:divBdr>
    </w:div>
    <w:div w:id="1663896990">
      <w:bodyDiv w:val="1"/>
      <w:marLeft w:val="0"/>
      <w:marRight w:val="0"/>
      <w:marTop w:val="0"/>
      <w:marBottom w:val="0"/>
      <w:divBdr>
        <w:top w:val="none" w:sz="0" w:space="0" w:color="auto"/>
        <w:left w:val="none" w:sz="0" w:space="0" w:color="auto"/>
        <w:bottom w:val="none" w:sz="0" w:space="0" w:color="auto"/>
        <w:right w:val="none" w:sz="0" w:space="0" w:color="auto"/>
      </w:divBdr>
    </w:div>
    <w:div w:id="1666712973">
      <w:bodyDiv w:val="1"/>
      <w:marLeft w:val="0"/>
      <w:marRight w:val="0"/>
      <w:marTop w:val="0"/>
      <w:marBottom w:val="0"/>
      <w:divBdr>
        <w:top w:val="none" w:sz="0" w:space="0" w:color="auto"/>
        <w:left w:val="none" w:sz="0" w:space="0" w:color="auto"/>
        <w:bottom w:val="none" w:sz="0" w:space="0" w:color="auto"/>
        <w:right w:val="none" w:sz="0" w:space="0" w:color="auto"/>
      </w:divBdr>
    </w:div>
    <w:div w:id="1671983403">
      <w:bodyDiv w:val="1"/>
      <w:marLeft w:val="0"/>
      <w:marRight w:val="0"/>
      <w:marTop w:val="0"/>
      <w:marBottom w:val="0"/>
      <w:divBdr>
        <w:top w:val="none" w:sz="0" w:space="0" w:color="auto"/>
        <w:left w:val="none" w:sz="0" w:space="0" w:color="auto"/>
        <w:bottom w:val="none" w:sz="0" w:space="0" w:color="auto"/>
        <w:right w:val="none" w:sz="0" w:space="0" w:color="auto"/>
      </w:divBdr>
    </w:div>
    <w:div w:id="1688945657">
      <w:bodyDiv w:val="1"/>
      <w:marLeft w:val="0"/>
      <w:marRight w:val="0"/>
      <w:marTop w:val="0"/>
      <w:marBottom w:val="0"/>
      <w:divBdr>
        <w:top w:val="none" w:sz="0" w:space="0" w:color="auto"/>
        <w:left w:val="none" w:sz="0" w:space="0" w:color="auto"/>
        <w:bottom w:val="none" w:sz="0" w:space="0" w:color="auto"/>
        <w:right w:val="none" w:sz="0" w:space="0" w:color="auto"/>
      </w:divBdr>
    </w:div>
    <w:div w:id="1704209204">
      <w:bodyDiv w:val="1"/>
      <w:marLeft w:val="0"/>
      <w:marRight w:val="0"/>
      <w:marTop w:val="0"/>
      <w:marBottom w:val="0"/>
      <w:divBdr>
        <w:top w:val="none" w:sz="0" w:space="0" w:color="auto"/>
        <w:left w:val="none" w:sz="0" w:space="0" w:color="auto"/>
        <w:bottom w:val="none" w:sz="0" w:space="0" w:color="auto"/>
        <w:right w:val="none" w:sz="0" w:space="0" w:color="auto"/>
      </w:divBdr>
    </w:div>
    <w:div w:id="1727752345">
      <w:bodyDiv w:val="1"/>
      <w:marLeft w:val="0"/>
      <w:marRight w:val="0"/>
      <w:marTop w:val="0"/>
      <w:marBottom w:val="0"/>
      <w:divBdr>
        <w:top w:val="none" w:sz="0" w:space="0" w:color="auto"/>
        <w:left w:val="none" w:sz="0" w:space="0" w:color="auto"/>
        <w:bottom w:val="none" w:sz="0" w:space="0" w:color="auto"/>
        <w:right w:val="none" w:sz="0" w:space="0" w:color="auto"/>
      </w:divBdr>
    </w:div>
    <w:div w:id="1733960535">
      <w:bodyDiv w:val="1"/>
      <w:marLeft w:val="0"/>
      <w:marRight w:val="0"/>
      <w:marTop w:val="0"/>
      <w:marBottom w:val="0"/>
      <w:divBdr>
        <w:top w:val="none" w:sz="0" w:space="0" w:color="auto"/>
        <w:left w:val="none" w:sz="0" w:space="0" w:color="auto"/>
        <w:bottom w:val="none" w:sz="0" w:space="0" w:color="auto"/>
        <w:right w:val="none" w:sz="0" w:space="0" w:color="auto"/>
      </w:divBdr>
    </w:div>
    <w:div w:id="1758165129">
      <w:bodyDiv w:val="1"/>
      <w:marLeft w:val="0"/>
      <w:marRight w:val="0"/>
      <w:marTop w:val="0"/>
      <w:marBottom w:val="0"/>
      <w:divBdr>
        <w:top w:val="none" w:sz="0" w:space="0" w:color="auto"/>
        <w:left w:val="none" w:sz="0" w:space="0" w:color="auto"/>
        <w:bottom w:val="none" w:sz="0" w:space="0" w:color="auto"/>
        <w:right w:val="none" w:sz="0" w:space="0" w:color="auto"/>
      </w:divBdr>
    </w:div>
    <w:div w:id="1785881260">
      <w:bodyDiv w:val="1"/>
      <w:marLeft w:val="0"/>
      <w:marRight w:val="0"/>
      <w:marTop w:val="0"/>
      <w:marBottom w:val="0"/>
      <w:divBdr>
        <w:top w:val="none" w:sz="0" w:space="0" w:color="auto"/>
        <w:left w:val="none" w:sz="0" w:space="0" w:color="auto"/>
        <w:bottom w:val="none" w:sz="0" w:space="0" w:color="auto"/>
        <w:right w:val="none" w:sz="0" w:space="0" w:color="auto"/>
      </w:divBdr>
    </w:div>
    <w:div w:id="1851605226">
      <w:bodyDiv w:val="1"/>
      <w:marLeft w:val="0"/>
      <w:marRight w:val="0"/>
      <w:marTop w:val="0"/>
      <w:marBottom w:val="0"/>
      <w:divBdr>
        <w:top w:val="none" w:sz="0" w:space="0" w:color="auto"/>
        <w:left w:val="none" w:sz="0" w:space="0" w:color="auto"/>
        <w:bottom w:val="none" w:sz="0" w:space="0" w:color="auto"/>
        <w:right w:val="none" w:sz="0" w:space="0" w:color="auto"/>
      </w:divBdr>
    </w:div>
    <w:div w:id="1861620433">
      <w:bodyDiv w:val="1"/>
      <w:marLeft w:val="0"/>
      <w:marRight w:val="0"/>
      <w:marTop w:val="0"/>
      <w:marBottom w:val="0"/>
      <w:divBdr>
        <w:top w:val="none" w:sz="0" w:space="0" w:color="auto"/>
        <w:left w:val="none" w:sz="0" w:space="0" w:color="auto"/>
        <w:bottom w:val="none" w:sz="0" w:space="0" w:color="auto"/>
        <w:right w:val="none" w:sz="0" w:space="0" w:color="auto"/>
      </w:divBdr>
    </w:div>
    <w:div w:id="1880582109">
      <w:bodyDiv w:val="1"/>
      <w:marLeft w:val="0"/>
      <w:marRight w:val="0"/>
      <w:marTop w:val="0"/>
      <w:marBottom w:val="0"/>
      <w:divBdr>
        <w:top w:val="none" w:sz="0" w:space="0" w:color="auto"/>
        <w:left w:val="none" w:sz="0" w:space="0" w:color="auto"/>
        <w:bottom w:val="none" w:sz="0" w:space="0" w:color="auto"/>
        <w:right w:val="none" w:sz="0" w:space="0" w:color="auto"/>
      </w:divBdr>
    </w:div>
    <w:div w:id="1927107230">
      <w:bodyDiv w:val="1"/>
      <w:marLeft w:val="0"/>
      <w:marRight w:val="0"/>
      <w:marTop w:val="0"/>
      <w:marBottom w:val="0"/>
      <w:divBdr>
        <w:top w:val="none" w:sz="0" w:space="0" w:color="auto"/>
        <w:left w:val="none" w:sz="0" w:space="0" w:color="auto"/>
        <w:bottom w:val="none" w:sz="0" w:space="0" w:color="auto"/>
        <w:right w:val="none" w:sz="0" w:space="0" w:color="auto"/>
      </w:divBdr>
    </w:div>
    <w:div w:id="1962103896">
      <w:bodyDiv w:val="1"/>
      <w:marLeft w:val="0"/>
      <w:marRight w:val="0"/>
      <w:marTop w:val="0"/>
      <w:marBottom w:val="0"/>
      <w:divBdr>
        <w:top w:val="none" w:sz="0" w:space="0" w:color="auto"/>
        <w:left w:val="none" w:sz="0" w:space="0" w:color="auto"/>
        <w:bottom w:val="none" w:sz="0" w:space="0" w:color="auto"/>
        <w:right w:val="none" w:sz="0" w:space="0" w:color="auto"/>
      </w:divBdr>
    </w:div>
    <w:div w:id="1962758511">
      <w:bodyDiv w:val="1"/>
      <w:marLeft w:val="0"/>
      <w:marRight w:val="0"/>
      <w:marTop w:val="0"/>
      <w:marBottom w:val="0"/>
      <w:divBdr>
        <w:top w:val="none" w:sz="0" w:space="0" w:color="auto"/>
        <w:left w:val="none" w:sz="0" w:space="0" w:color="auto"/>
        <w:bottom w:val="none" w:sz="0" w:space="0" w:color="auto"/>
        <w:right w:val="none" w:sz="0" w:space="0" w:color="auto"/>
      </w:divBdr>
    </w:div>
    <w:div w:id="1973289925">
      <w:bodyDiv w:val="1"/>
      <w:marLeft w:val="0"/>
      <w:marRight w:val="0"/>
      <w:marTop w:val="0"/>
      <w:marBottom w:val="0"/>
      <w:divBdr>
        <w:top w:val="none" w:sz="0" w:space="0" w:color="auto"/>
        <w:left w:val="none" w:sz="0" w:space="0" w:color="auto"/>
        <w:bottom w:val="none" w:sz="0" w:space="0" w:color="auto"/>
        <w:right w:val="none" w:sz="0" w:space="0" w:color="auto"/>
      </w:divBdr>
    </w:div>
    <w:div w:id="1993752961">
      <w:bodyDiv w:val="1"/>
      <w:marLeft w:val="0"/>
      <w:marRight w:val="0"/>
      <w:marTop w:val="0"/>
      <w:marBottom w:val="0"/>
      <w:divBdr>
        <w:top w:val="none" w:sz="0" w:space="0" w:color="auto"/>
        <w:left w:val="none" w:sz="0" w:space="0" w:color="auto"/>
        <w:bottom w:val="none" w:sz="0" w:space="0" w:color="auto"/>
        <w:right w:val="none" w:sz="0" w:space="0" w:color="auto"/>
      </w:divBdr>
    </w:div>
    <w:div w:id="2012105293">
      <w:bodyDiv w:val="1"/>
      <w:marLeft w:val="0"/>
      <w:marRight w:val="0"/>
      <w:marTop w:val="0"/>
      <w:marBottom w:val="0"/>
      <w:divBdr>
        <w:top w:val="none" w:sz="0" w:space="0" w:color="auto"/>
        <w:left w:val="none" w:sz="0" w:space="0" w:color="auto"/>
        <w:bottom w:val="none" w:sz="0" w:space="0" w:color="auto"/>
        <w:right w:val="none" w:sz="0" w:space="0" w:color="auto"/>
      </w:divBdr>
    </w:div>
    <w:div w:id="2015182240">
      <w:bodyDiv w:val="1"/>
      <w:marLeft w:val="0"/>
      <w:marRight w:val="0"/>
      <w:marTop w:val="0"/>
      <w:marBottom w:val="0"/>
      <w:divBdr>
        <w:top w:val="none" w:sz="0" w:space="0" w:color="auto"/>
        <w:left w:val="none" w:sz="0" w:space="0" w:color="auto"/>
        <w:bottom w:val="none" w:sz="0" w:space="0" w:color="auto"/>
        <w:right w:val="none" w:sz="0" w:space="0" w:color="auto"/>
      </w:divBdr>
    </w:div>
    <w:div w:id="2050717720">
      <w:bodyDiv w:val="1"/>
      <w:marLeft w:val="0"/>
      <w:marRight w:val="0"/>
      <w:marTop w:val="0"/>
      <w:marBottom w:val="0"/>
      <w:divBdr>
        <w:top w:val="none" w:sz="0" w:space="0" w:color="auto"/>
        <w:left w:val="none" w:sz="0" w:space="0" w:color="auto"/>
        <w:bottom w:val="none" w:sz="0" w:space="0" w:color="auto"/>
        <w:right w:val="none" w:sz="0" w:space="0" w:color="auto"/>
      </w:divBdr>
    </w:div>
    <w:div w:id="2068986616">
      <w:bodyDiv w:val="1"/>
      <w:marLeft w:val="0"/>
      <w:marRight w:val="0"/>
      <w:marTop w:val="0"/>
      <w:marBottom w:val="0"/>
      <w:divBdr>
        <w:top w:val="none" w:sz="0" w:space="0" w:color="auto"/>
        <w:left w:val="none" w:sz="0" w:space="0" w:color="auto"/>
        <w:bottom w:val="none" w:sz="0" w:space="0" w:color="auto"/>
        <w:right w:val="none" w:sz="0" w:space="0" w:color="auto"/>
      </w:divBdr>
    </w:div>
    <w:div w:id="2071927763">
      <w:bodyDiv w:val="1"/>
      <w:marLeft w:val="0"/>
      <w:marRight w:val="0"/>
      <w:marTop w:val="0"/>
      <w:marBottom w:val="0"/>
      <w:divBdr>
        <w:top w:val="none" w:sz="0" w:space="0" w:color="auto"/>
        <w:left w:val="none" w:sz="0" w:space="0" w:color="auto"/>
        <w:bottom w:val="none" w:sz="0" w:space="0" w:color="auto"/>
        <w:right w:val="none" w:sz="0" w:space="0" w:color="auto"/>
      </w:divBdr>
    </w:div>
    <w:div w:id="2111077527">
      <w:bodyDiv w:val="1"/>
      <w:marLeft w:val="0"/>
      <w:marRight w:val="0"/>
      <w:marTop w:val="0"/>
      <w:marBottom w:val="0"/>
      <w:divBdr>
        <w:top w:val="none" w:sz="0" w:space="0" w:color="auto"/>
        <w:left w:val="none" w:sz="0" w:space="0" w:color="auto"/>
        <w:bottom w:val="none" w:sz="0" w:space="0" w:color="auto"/>
        <w:right w:val="none" w:sz="0" w:space="0" w:color="auto"/>
      </w:divBdr>
    </w:div>
    <w:div w:id="2125225496">
      <w:bodyDiv w:val="1"/>
      <w:marLeft w:val="0"/>
      <w:marRight w:val="0"/>
      <w:marTop w:val="0"/>
      <w:marBottom w:val="0"/>
      <w:divBdr>
        <w:top w:val="none" w:sz="0" w:space="0" w:color="auto"/>
        <w:left w:val="none" w:sz="0" w:space="0" w:color="auto"/>
        <w:bottom w:val="none" w:sz="0" w:space="0" w:color="auto"/>
        <w:right w:val="none" w:sz="0" w:space="0" w:color="auto"/>
      </w:divBdr>
    </w:div>
    <w:div w:id="213335685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3aIr9UojQM/wV1y+E4JPptzeNOA==">AMUW2mX6XfWilKOZK325xv/8M4yzOmA2OkxSKU0cxeQkI7/5C+L14wzYNPjHVed38/q5p+UJBCIwrB1FJ81EWWzvz1TYXvB7p50zJ/cXBPaOV3ut7E7zbwDZNHEZBBoL0vthUU+e2Gs1hK9VUYOLeXNIGt3WyENayg==</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5C13393-CBC0-46BB-AAF2-43CFC73F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26</Pages>
  <Words>6268</Words>
  <Characters>34480</Characters>
  <Application>Microsoft Office Word</Application>
  <DocSecurity>0</DocSecurity>
  <Lines>287</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ROX</cp:lastModifiedBy>
  <cp:revision>4</cp:revision>
  <cp:lastPrinted>2025-11-14T12:53:00Z</cp:lastPrinted>
  <dcterms:created xsi:type="dcterms:W3CDTF">2025-11-14T12:53:00Z</dcterms:created>
  <dcterms:modified xsi:type="dcterms:W3CDTF">2025-12-16T18:42:00Z</dcterms:modified>
</cp:coreProperties>
</file>