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774E4FEF"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6C6F30">
        <w:rPr>
          <w:rFonts w:ascii="Palatino Linotype" w:eastAsia="Palatino Linotype" w:hAnsi="Palatino Linotype" w:cs="Palatino Linotype"/>
          <w:color w:val="000000"/>
        </w:rPr>
        <w:t>treinta</w:t>
      </w:r>
      <w:r w:rsidR="00CE2F14">
        <w:rPr>
          <w:rFonts w:ascii="Palatino Linotype" w:eastAsia="Palatino Linotype" w:hAnsi="Palatino Linotype" w:cs="Palatino Linotype"/>
          <w:color w:val="000000"/>
        </w:rPr>
        <w:t xml:space="preserve"> de abril</w:t>
      </w:r>
      <w:r w:rsidR="00F51907">
        <w:rPr>
          <w:rFonts w:ascii="Palatino Linotype" w:eastAsia="Palatino Linotype" w:hAnsi="Palatino Linotype" w:cs="Palatino Linotype"/>
          <w:color w:val="000000"/>
        </w:rPr>
        <w:t xml:space="preserve">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685D7B78"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65569AD6" w14:textId="0BC2DD90"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0</w:t>
      </w:r>
      <w:r w:rsidR="006C6F30">
        <w:rPr>
          <w:rFonts w:ascii="Palatino Linotype" w:eastAsia="Palatino Linotype" w:hAnsi="Palatino Linotype" w:cs="Palatino Linotype"/>
          <w:b/>
          <w:sz w:val="23"/>
          <w:szCs w:val="23"/>
        </w:rPr>
        <w:t>3560</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 xml:space="preserve">, </w:t>
      </w:r>
      <w:r w:rsidR="00C1300D" w:rsidRPr="00C1300D">
        <w:rPr>
          <w:rFonts w:ascii="Palatino Linotype" w:eastAsia="Palatino Linotype" w:hAnsi="Palatino Linotype" w:cs="Palatino Linotype"/>
        </w:rPr>
        <w:t xml:space="preserve">interpuesto por </w:t>
      </w:r>
      <w:r w:rsidR="004B728A">
        <w:rPr>
          <w:rFonts w:ascii="Palatino Linotype" w:eastAsia="Palatino Linotype" w:hAnsi="Palatino Linotype" w:cs="Palatino Linotype"/>
        </w:rPr>
        <w:t xml:space="preserve">el </w:t>
      </w:r>
      <w:r w:rsidR="004B728A" w:rsidRPr="004B728A">
        <w:rPr>
          <w:rFonts w:ascii="Palatino Linotype" w:eastAsia="Palatino Linotype" w:hAnsi="Palatino Linotype" w:cs="Palatino Linotype"/>
          <w:b/>
          <w:bCs/>
        </w:rPr>
        <w:t xml:space="preserve">C. </w:t>
      </w:r>
      <w:r w:rsidR="00E536AA">
        <w:rPr>
          <w:rFonts w:ascii="Palatino Linotype" w:eastAsia="Palatino Linotype" w:hAnsi="Palatino Linotype" w:cs="Palatino Linotype"/>
          <w:b/>
          <w:bCs/>
        </w:rPr>
        <w:t>XXXXXXXXXXXXXXXXXXXXXX</w:t>
      </w:r>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201B6A" w:rsidRPr="00201B6A">
        <w:rPr>
          <w:rFonts w:ascii="Palatino Linotype" w:eastAsia="Palatino Linotype" w:hAnsi="Palatino Linotype" w:cs="Palatino Linotype"/>
          <w:b/>
        </w:rPr>
        <w:t>Ayuntamiento de Villa del Carbón</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CA47DE">
        <w:rPr>
          <w:rFonts w:ascii="Palatino Linotype" w:eastAsia="Palatino Linotype" w:hAnsi="Palatino Linotype" w:cs="Palatino Linotype"/>
        </w:rPr>
        <w:t xml:space="preserve"> el </w:t>
      </w:r>
      <w:r w:rsidR="005D216E">
        <w:rPr>
          <w:rFonts w:ascii="Palatino Linotype" w:eastAsia="Palatino Linotype" w:hAnsi="Palatino Linotype" w:cs="Palatino Linotype"/>
          <w:b/>
        </w:rPr>
        <w:t xml:space="preserve">Sujeto Obligado, </w:t>
      </w:r>
      <w:r w:rsidR="005D216E">
        <w:rPr>
          <w:rFonts w:ascii="Palatino Linotype" w:eastAsia="Palatino Linotype" w:hAnsi="Palatino Linotype" w:cs="Palatino Linotype"/>
        </w:rPr>
        <w:t>se procede a dictar la presente resolución.</w:t>
      </w: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w:t>
      </w:r>
      <w:bookmarkStart w:id="0" w:name="_GoBack"/>
      <w:bookmarkEnd w:id="0"/>
      <w:r>
        <w:rPr>
          <w:rFonts w:ascii="Palatino Linotype" w:eastAsia="Palatino Linotype" w:hAnsi="Palatino Linotype" w:cs="Palatino Linotype"/>
          <w:b/>
          <w:sz w:val="28"/>
          <w:szCs w:val="28"/>
        </w:rPr>
        <w:t xml:space="preserv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02E8BA14" w14:textId="6F7E7A47" w:rsidR="00CA47DE"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6C6F30">
        <w:rPr>
          <w:rFonts w:ascii="Palatino Linotype" w:eastAsia="Palatino Linotype" w:hAnsi="Palatino Linotype" w:cs="Palatino Linotype"/>
        </w:rPr>
        <w:t>veintisiete</w:t>
      </w:r>
      <w:r w:rsidR="00C1300D">
        <w:rPr>
          <w:rFonts w:ascii="Palatino Linotype" w:eastAsia="Palatino Linotype" w:hAnsi="Palatino Linotype" w:cs="Palatino Linotype"/>
        </w:rPr>
        <w:t xml:space="preserve"> de febrero</w:t>
      </w:r>
      <w:r w:rsidR="006B41E2">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6C6F30" w:rsidRPr="006C6F30">
        <w:rPr>
          <w:rFonts w:ascii="Palatino Linotype" w:eastAsia="Palatino Linotype" w:hAnsi="Palatino Linotype" w:cs="Palatino Linotype"/>
          <w:b/>
        </w:rPr>
        <w:t>00058/VICARBO/IP/2025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3CD09154" w14:textId="77777777" w:rsidR="00705B42" w:rsidRPr="00C1300D" w:rsidRDefault="00705B42" w:rsidP="00C1300D">
      <w:pPr>
        <w:pStyle w:val="Sinespaciado"/>
        <w:rPr>
          <w:rStyle w:val="Ttulodellibro"/>
          <w:rFonts w:ascii="Palatino Linotype" w:eastAsia="Palatino Linotype" w:hAnsi="Palatino Linotype" w:cs="Palatino Linotype"/>
          <w:b w:val="0"/>
          <w:bCs w:val="0"/>
          <w:i w:val="0"/>
          <w:iCs w:val="0"/>
          <w:spacing w:val="0"/>
          <w:sz w:val="16"/>
          <w:szCs w:val="16"/>
        </w:rPr>
      </w:pPr>
    </w:p>
    <w:p w14:paraId="19491BC9" w14:textId="328CBBFB" w:rsidR="00693587" w:rsidRDefault="00693587" w:rsidP="00C1300D">
      <w:pPr>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6C6F30" w:rsidRPr="006C6F30">
        <w:rPr>
          <w:rFonts w:ascii="Palatino Linotype" w:eastAsia="Palatino Linotype" w:hAnsi="Palatino Linotype" w:cs="Palatino Linotype"/>
          <w:i/>
        </w:rPr>
        <w:t>solicito el acta de cabildo donde se aprueba el presupuesto de año 2025 y el plan anual de obras</w:t>
      </w:r>
      <w:r w:rsidRPr="00693587">
        <w:rPr>
          <w:rFonts w:ascii="Palatino Linotype" w:eastAsia="Palatino Linotype" w:hAnsi="Palatino Linotype" w:cs="Palatino Linotype"/>
          <w:i/>
        </w:rPr>
        <w:t xml:space="preserve">” (Sic). </w:t>
      </w:r>
    </w:p>
    <w:p w14:paraId="121490CA" w14:textId="77777777" w:rsidR="006B41E2" w:rsidRPr="00693587" w:rsidRDefault="006B41E2" w:rsidP="006B41E2">
      <w:pPr>
        <w:spacing w:line="276" w:lineRule="auto"/>
        <w:ind w:left="567" w:right="474"/>
        <w:jc w:val="both"/>
        <w:rPr>
          <w:rFonts w:ascii="Palatino Linotype" w:eastAsia="Palatino Linotype" w:hAnsi="Palatino Linotype" w:cs="Palatino Linotype"/>
          <w:i/>
        </w:rPr>
      </w:pPr>
    </w:p>
    <w:p w14:paraId="14D55A45" w14:textId="6F63E30B" w:rsidR="00705B42"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157B2747" w14:textId="77777777" w:rsidR="006C6F30" w:rsidRDefault="006C6F30">
      <w:pPr>
        <w:spacing w:line="360" w:lineRule="auto"/>
        <w:ind w:right="850"/>
        <w:jc w:val="both"/>
        <w:rPr>
          <w:rFonts w:ascii="Palatino Linotype" w:eastAsia="Palatino Linotype" w:hAnsi="Palatino Linotype" w:cs="Palatino Linotype"/>
        </w:rPr>
      </w:pPr>
    </w:p>
    <w:p w14:paraId="6E7FFE41"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SEGUNDO.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w:t>
      </w:r>
      <w:r>
        <w:rPr>
          <w:rFonts w:ascii="Palatino Linotype" w:eastAsia="Palatino Linotype" w:hAnsi="Palatino Linotype" w:cs="Palatino Linotype"/>
        </w:rPr>
        <w:lastRenderedPageBreak/>
        <w:t xml:space="preserve">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14:paraId="727D5828" w14:textId="5811E4CE"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04245C">
        <w:rPr>
          <w:rFonts w:ascii="Palatino Linotype" w:eastAsia="Palatino Linotype" w:hAnsi="Palatino Linotype" w:cs="Palatino Linotype"/>
        </w:rPr>
        <w:t>veinti</w:t>
      </w:r>
      <w:r w:rsidR="006C6F30">
        <w:rPr>
          <w:rFonts w:ascii="Palatino Linotype" w:eastAsia="Palatino Linotype" w:hAnsi="Palatino Linotype" w:cs="Palatino Linotype"/>
        </w:rPr>
        <w:t>siete</w:t>
      </w:r>
      <w:r w:rsidR="00CA47DE">
        <w:rPr>
          <w:rFonts w:ascii="Palatino Linotype" w:eastAsia="Palatino Linotype" w:hAnsi="Palatino Linotype" w:cs="Palatino Linotype"/>
        </w:rPr>
        <w:t xml:space="preserve"> de </w:t>
      </w:r>
      <w:r w:rsidR="006C6F30">
        <w:rPr>
          <w:rFonts w:ascii="Palatino Linotype" w:eastAsia="Palatino Linotype" w:hAnsi="Palatino Linotype" w:cs="Palatino Linotype"/>
        </w:rPr>
        <w:t>marz</w:t>
      </w:r>
      <w:r w:rsidR="00CA47DE">
        <w:rPr>
          <w:rFonts w:ascii="Palatino Linotype" w:eastAsia="Palatino Linotype" w:hAnsi="Palatino Linotype" w:cs="Palatino Linotype"/>
        </w:rPr>
        <w:t>o</w:t>
      </w:r>
      <w:r>
        <w:rPr>
          <w:rFonts w:ascii="Palatino Linotype" w:eastAsia="Palatino Linotype" w:hAnsi="Palatino Linotype" w:cs="Palatino Linotype"/>
        </w:rPr>
        <w:t xml:space="preserve"> de 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6C6F30">
        <w:rPr>
          <w:rFonts w:ascii="Palatino Linotype" w:eastAsia="Palatino Linotype" w:hAnsi="Palatino Linotype" w:cs="Palatino Linotype"/>
          <w:b/>
          <w:sz w:val="23"/>
          <w:szCs w:val="23"/>
        </w:rPr>
        <w:t>3560</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1D66522D" w:rsidR="00785E98" w:rsidRPr="00693587" w:rsidRDefault="00693587" w:rsidP="0004245C">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6C6F30" w:rsidRPr="006C6F30">
        <w:rPr>
          <w:rFonts w:ascii="Palatino Linotype" w:eastAsia="Palatino Linotype" w:hAnsi="Palatino Linotype" w:cs="Palatino Linotype"/>
          <w:i/>
          <w:color w:val="000000"/>
        </w:rPr>
        <w:t>no se respondió la solicitud</w:t>
      </w:r>
      <w:r w:rsidRPr="00693587">
        <w:rPr>
          <w:rFonts w:ascii="Palatino Linotype" w:eastAsia="Palatino Linotype" w:hAnsi="Palatino Linotype" w:cs="Palatino Linotype"/>
          <w:i/>
          <w:color w:val="000000"/>
        </w:rPr>
        <w:t>” (Sic).</w:t>
      </w:r>
    </w:p>
    <w:p w14:paraId="570054AB" w14:textId="77777777" w:rsidR="00693587" w:rsidRDefault="00693587" w:rsidP="00693587">
      <w:pPr>
        <w:pStyle w:val="Prrafodelista"/>
        <w:pBdr>
          <w:top w:val="nil"/>
          <w:left w:val="nil"/>
          <w:bottom w:val="nil"/>
          <w:right w:val="nil"/>
          <w:between w:val="nil"/>
        </w:pBdr>
        <w:rPr>
          <w:rFonts w:ascii="Palatino Linotype" w:eastAsia="Palatino Linotype" w:hAnsi="Palatino Linotype" w:cs="Palatino Linotype"/>
          <w:color w:val="000000"/>
        </w:rPr>
      </w:pPr>
    </w:p>
    <w:p w14:paraId="42BD115E" w14:textId="0E4DA29B" w:rsidR="00693587" w:rsidRPr="00693587" w:rsidRDefault="00693587" w:rsidP="0004245C">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6C6F30" w:rsidRPr="006C6F30">
        <w:rPr>
          <w:rFonts w:ascii="Palatino Linotype" w:eastAsia="Palatino Linotype" w:hAnsi="Palatino Linotype" w:cs="Palatino Linotype"/>
          <w:i/>
          <w:color w:val="000000"/>
        </w:rPr>
        <w:t xml:space="preserve">el sujeto obligado no respondió mi solicitud de </w:t>
      </w:r>
      <w:proofErr w:type="spellStart"/>
      <w:r w:rsidR="006C6F30" w:rsidRPr="006C6F30">
        <w:rPr>
          <w:rFonts w:ascii="Palatino Linotype" w:eastAsia="Palatino Linotype" w:hAnsi="Palatino Linotype" w:cs="Palatino Linotype"/>
          <w:i/>
          <w:color w:val="000000"/>
        </w:rPr>
        <w:t>informacion</w:t>
      </w:r>
      <w:proofErr w:type="spellEnd"/>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77777777" w:rsidR="00785E98" w:rsidRPr="00E94B1F" w:rsidRDefault="005D216E">
      <w:pPr>
        <w:spacing w:line="360" w:lineRule="auto"/>
        <w:jc w:val="both"/>
        <w:rPr>
          <w:rFonts w:ascii="Palatino Linotype" w:eastAsia="Palatino Linotype" w:hAnsi="Palatino Linotype" w:cs="Palatino Linotype"/>
          <w:b/>
          <w:sz w:val="28"/>
          <w:szCs w:val="28"/>
        </w:rPr>
      </w:pPr>
      <w:r w:rsidRPr="00E94B1F">
        <w:rPr>
          <w:rFonts w:ascii="Palatino Linotype" w:eastAsia="Palatino Linotype" w:hAnsi="Palatino Linotype" w:cs="Palatino Linotype"/>
          <w:b/>
          <w:sz w:val="28"/>
          <w:szCs w:val="28"/>
        </w:rPr>
        <w:t>CUARTO</w:t>
      </w:r>
      <w:r w:rsidRPr="00E94B1F">
        <w:rPr>
          <w:rFonts w:ascii="Palatino Linotype" w:eastAsia="Palatino Linotype" w:hAnsi="Palatino Linotype" w:cs="Palatino Linotype"/>
          <w:b/>
        </w:rPr>
        <w:t xml:space="preserve">. </w:t>
      </w:r>
      <w:r w:rsidRPr="00E94B1F">
        <w:rPr>
          <w:rFonts w:ascii="Palatino Linotype" w:eastAsia="Palatino Linotype" w:hAnsi="Palatino Linotype" w:cs="Palatino Linotype"/>
          <w:b/>
          <w:sz w:val="28"/>
          <w:szCs w:val="28"/>
        </w:rPr>
        <w:t>Del turno del recurso de revisión.</w:t>
      </w:r>
    </w:p>
    <w:p w14:paraId="1F8FD466" w14:textId="0F53F0C2"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6C6F30">
        <w:rPr>
          <w:rFonts w:ascii="Palatino Linotype" w:eastAsia="Palatino Linotype" w:hAnsi="Palatino Linotype" w:cs="Palatino Linotype"/>
        </w:rPr>
        <w:t>uno de abril</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de dos mil 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3EAD7810" w14:textId="77777777" w:rsidR="006C6F30" w:rsidRDefault="006C6F30">
      <w:pPr>
        <w:spacing w:line="360" w:lineRule="auto"/>
        <w:jc w:val="both"/>
        <w:rPr>
          <w:rFonts w:ascii="Palatino Linotype" w:eastAsia="Palatino Linotype" w:hAnsi="Palatino Linotype" w:cs="Palatino Linotype"/>
        </w:rPr>
      </w:pPr>
    </w:p>
    <w:p w14:paraId="00C6EB03" w14:textId="77777777" w:rsidR="006C6F30" w:rsidRDefault="006C6F30">
      <w:pPr>
        <w:spacing w:line="360" w:lineRule="auto"/>
        <w:jc w:val="both"/>
        <w:rPr>
          <w:rFonts w:ascii="Palatino Linotype" w:eastAsia="Palatino Linotype" w:hAnsi="Palatino Linotype" w:cs="Palatino Linotype"/>
        </w:rPr>
      </w:pPr>
    </w:p>
    <w:p w14:paraId="2D3294C2" w14:textId="77777777" w:rsidR="006C6F30" w:rsidRDefault="006C6F30">
      <w:pPr>
        <w:spacing w:line="360" w:lineRule="auto"/>
        <w:jc w:val="both"/>
        <w:rPr>
          <w:rFonts w:ascii="Palatino Linotype" w:eastAsia="Palatino Linotype" w:hAnsi="Palatino Linotype" w:cs="Palatino Linotype"/>
        </w:rPr>
      </w:pPr>
    </w:p>
    <w:p w14:paraId="2547831B"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672EE8B8"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E94B1F">
        <w:rPr>
          <w:rFonts w:ascii="Palatino Linotype" w:eastAsia="Palatino Linotype" w:hAnsi="Palatino Linotype" w:cs="Palatino Linotype"/>
        </w:rPr>
        <w:t>.</w:t>
      </w:r>
    </w:p>
    <w:p w14:paraId="75465ACA" w14:textId="77777777" w:rsidR="00E94B1F" w:rsidRDefault="00E94B1F">
      <w:pPr>
        <w:spacing w:line="360" w:lineRule="auto"/>
        <w:jc w:val="both"/>
        <w:rPr>
          <w:rFonts w:ascii="Palatino Linotype" w:eastAsia="Palatino Linotype" w:hAnsi="Palatino Linotype" w:cs="Palatino Linotype"/>
        </w:rPr>
      </w:pPr>
    </w:p>
    <w:p w14:paraId="5438B373"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6E343A1D"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6C6F30">
        <w:rPr>
          <w:rFonts w:ascii="Palatino Linotype" w:eastAsia="Palatino Linotype" w:hAnsi="Palatino Linotype" w:cs="Palatino Linotype"/>
        </w:rPr>
        <w:t>once de abril</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6A6F2984" w14:textId="77777777" w:rsidR="006C6F30" w:rsidRPr="006C6F30" w:rsidRDefault="006C6F30" w:rsidP="006C6F30">
      <w:pPr>
        <w:spacing w:after="160" w:line="360" w:lineRule="auto"/>
        <w:jc w:val="both"/>
        <w:rPr>
          <w:rFonts w:ascii="Palatino Linotype" w:eastAsia="Calibri" w:hAnsi="Palatino Linotype"/>
          <w:kern w:val="2"/>
          <w:lang w:val="es-MX" w:eastAsia="en-US"/>
          <w14:ligatures w14:val="standardContextual"/>
        </w:rPr>
      </w:pPr>
      <w:bookmarkStart w:id="1" w:name="_Hlk194325801"/>
      <w:r w:rsidRPr="006C6F30">
        <w:rPr>
          <w:rFonts w:ascii="Palatino Linotype" w:eastAsia="Calibri" w:hAnsi="Palatino Linotype"/>
          <w:kern w:val="2"/>
          <w:lang w:val="es-MX" w:eastAsia="en-US"/>
          <w14:ligatures w14:val="standardContextual"/>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bookmarkEnd w:id="1"/>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lastRenderedPageBreak/>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49ECF4AB" w14:textId="77777777" w:rsidR="00785E98" w:rsidRDefault="00785E98">
      <w:pPr>
        <w:spacing w:line="360" w:lineRule="auto"/>
        <w:jc w:val="both"/>
        <w:rPr>
          <w:rFonts w:ascii="Palatino Linotype" w:eastAsia="Palatino Linotype" w:hAnsi="Palatino Linotype" w:cs="Palatino Linotype"/>
        </w:rPr>
      </w:pP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interpretación al precepto legal inserto, se advierte que el plazo que les asiste a los Sujetos Obligados para notificar la respuesta a una solicitud de información pública, es de quince días hábiles posteriores a la presentación de ésta.</w:t>
      </w:r>
    </w:p>
    <w:p w14:paraId="25C9D193" w14:textId="4BE886EA" w:rsidR="00785E98" w:rsidRDefault="005D216E" w:rsidP="00664FB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54FC0395" w14:textId="77777777" w:rsidR="00664FBF" w:rsidRPr="00664FBF" w:rsidRDefault="00664FBF" w:rsidP="00664FBF">
      <w:pPr>
        <w:spacing w:line="360" w:lineRule="auto"/>
        <w:jc w:val="both"/>
        <w:rPr>
          <w:rFonts w:ascii="Palatino Linotype" w:eastAsia="Palatino Linotype" w:hAnsi="Palatino Linotype" w:cs="Palatino Linotype"/>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partir de la cual pudiera computarse dicho plazo, por tal motivo es pertinente establecer que no existe plazo específico para la interposición del </w:t>
      </w:r>
      <w:r>
        <w:rPr>
          <w:rFonts w:ascii="Palatino Linotype" w:eastAsia="Palatino Linotype" w:hAnsi="Palatino Linotype" w:cs="Palatino Linotype"/>
          <w:color w:val="000000"/>
        </w:rPr>
        <w:lastRenderedPageBreak/>
        <w:t>recurso de revisión, y este puede ser presentado en cualquier momento. Por lo que la interposición del presente recurso de revisión resulta oportuna.</w:t>
      </w:r>
    </w:p>
    <w:p w14:paraId="320458C1" w14:textId="77777777" w:rsidR="006B41E2" w:rsidRDefault="006B4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7E2A2D" w14:textId="77777777" w:rsidR="006B41E2" w:rsidRPr="006B41E2" w:rsidRDefault="006B41E2" w:rsidP="006B41E2">
      <w:pPr>
        <w:autoSpaceDE w:val="0"/>
        <w:autoSpaceDN w:val="0"/>
        <w:adjustRightInd w:val="0"/>
        <w:spacing w:line="360" w:lineRule="auto"/>
        <w:jc w:val="both"/>
        <w:rPr>
          <w:rFonts w:ascii="Palatino Linotype" w:hAnsi="Palatino Linotype" w:cs="Arial"/>
          <w:b/>
          <w:lang w:eastAsia="es-ES"/>
        </w:rPr>
      </w:pPr>
      <w:r w:rsidRPr="006B41E2">
        <w:rPr>
          <w:rFonts w:ascii="Palatino Linotype" w:hAnsi="Palatino Linotype" w:cs="Arial"/>
          <w:b/>
          <w:sz w:val="28"/>
          <w:lang w:eastAsia="es-ES"/>
        </w:rPr>
        <w:t>TERCERO. Cuestiones de previo y especial pronunciamiento</w:t>
      </w:r>
      <w:r w:rsidRPr="006B41E2">
        <w:rPr>
          <w:rFonts w:ascii="Palatino Linotype" w:hAnsi="Palatino Linotype" w:cs="Arial"/>
          <w:b/>
          <w:lang w:eastAsia="es-ES"/>
        </w:rPr>
        <w:t>.</w:t>
      </w:r>
    </w:p>
    <w:p w14:paraId="6724DBD5" w14:textId="77777777" w:rsidR="006B41E2" w:rsidRPr="006B41E2" w:rsidRDefault="006B41E2" w:rsidP="006B41E2">
      <w:pPr>
        <w:spacing w:line="360" w:lineRule="auto"/>
        <w:jc w:val="both"/>
        <w:rPr>
          <w:rFonts w:ascii="Palatino Linotype" w:hAnsi="Palatino Linotype"/>
          <w:lang w:eastAsia="es-ES"/>
        </w:rPr>
      </w:pPr>
      <w:r w:rsidRPr="006B41E2">
        <w:rPr>
          <w:rFonts w:ascii="Palatino Linotype" w:hAnsi="Palatino Linotype"/>
          <w:lang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B41E2">
        <w:rPr>
          <w:rFonts w:ascii="Palatino Linotype" w:hAnsi="Palatino Linotype"/>
          <w:b/>
          <w:lang w:eastAsia="es-ES"/>
        </w:rPr>
        <w:t>Recurrente,</w:t>
      </w:r>
      <w:r w:rsidRPr="006B41E2">
        <w:rPr>
          <w:rFonts w:ascii="Palatino Linotype" w:hAnsi="Palatino Linotype"/>
          <w:lang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6B41E2">
        <w:rPr>
          <w:rFonts w:ascii="Palatino Linotype" w:hAnsi="Palatino Linotype" w:cs="Arial"/>
          <w:lang w:eastAsia="es-ES"/>
        </w:rPr>
        <w:t>, del cual no se colige que corresponda al nombre de una persona.</w:t>
      </w:r>
    </w:p>
    <w:p w14:paraId="0C127245"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3799AECA" w14:textId="0415392A" w:rsidR="00664FBF"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cs="Arial"/>
          <w:lang w:eastAsia="es-ES"/>
        </w:rPr>
        <w:t xml:space="preserve">Esta Ponencia considera importante abordar el análisis de los requisitos de procedibilidad de los recursos de revisión, así el artículo 180 de la </w:t>
      </w:r>
      <w:r w:rsidRPr="006B41E2">
        <w:rPr>
          <w:rFonts w:ascii="Palatino Linotype" w:hAnsi="Palatino Linotype" w:cs="Arial"/>
        </w:rPr>
        <w:t xml:space="preserve">Ley de Transparencia y Acceso a la Información Pública del Estado de México y Municipios, que </w:t>
      </w:r>
      <w:r w:rsidRPr="006B41E2">
        <w:rPr>
          <w:rFonts w:ascii="Palatino Linotype" w:hAnsi="Palatino Linotype" w:cs="Arial"/>
          <w:lang w:eastAsia="es-ES"/>
        </w:rPr>
        <w:t>establece lo siguiente:</w:t>
      </w:r>
    </w:p>
    <w:p w14:paraId="0279E301" w14:textId="77777777" w:rsidR="006B41E2" w:rsidRPr="006B41E2" w:rsidRDefault="006B41E2" w:rsidP="006B41E2">
      <w:pPr>
        <w:rPr>
          <w:lang w:val="es-MX" w:eastAsia="es-ES"/>
        </w:rPr>
      </w:pPr>
    </w:p>
    <w:p w14:paraId="19064202"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i/>
          <w:sz w:val="22"/>
          <w:lang w:eastAsia="es-ES"/>
        </w:rPr>
        <w:t>“</w:t>
      </w:r>
      <w:r w:rsidRPr="006B41E2">
        <w:rPr>
          <w:rFonts w:ascii="Palatino Linotype" w:hAnsi="Palatino Linotype"/>
          <w:b/>
          <w:i/>
          <w:sz w:val="22"/>
          <w:lang w:eastAsia="es-ES"/>
        </w:rPr>
        <w:t xml:space="preserve">Artículo 180. </w:t>
      </w:r>
      <w:r w:rsidRPr="006B41E2">
        <w:rPr>
          <w:rFonts w:ascii="Palatino Linotype" w:hAnsi="Palatino Linotype"/>
          <w:i/>
          <w:sz w:val="22"/>
          <w:lang w:eastAsia="es-ES"/>
        </w:rPr>
        <w:t xml:space="preserve">El </w:t>
      </w:r>
      <w:r w:rsidRPr="006B41E2">
        <w:rPr>
          <w:rFonts w:ascii="Palatino Linotype" w:hAnsi="Palatino Linotype" w:cs="Arial"/>
          <w:i/>
          <w:sz w:val="22"/>
          <w:lang w:eastAsia="es-ES"/>
        </w:rPr>
        <w:t>recurso</w:t>
      </w:r>
      <w:r w:rsidRPr="006B41E2">
        <w:rPr>
          <w:rFonts w:ascii="Palatino Linotype" w:hAnsi="Palatino Linotype"/>
          <w:i/>
          <w:sz w:val="22"/>
          <w:lang w:eastAsia="es-ES"/>
        </w:rPr>
        <w:t xml:space="preserve"> </w:t>
      </w:r>
      <w:r w:rsidRPr="006B41E2">
        <w:rPr>
          <w:rFonts w:ascii="Palatino Linotype" w:hAnsi="Palatino Linotype" w:cs="Arial"/>
          <w:i/>
          <w:sz w:val="22"/>
        </w:rPr>
        <w:t>de</w:t>
      </w:r>
      <w:r w:rsidRPr="006B41E2">
        <w:rPr>
          <w:rFonts w:ascii="Palatino Linotype" w:hAnsi="Palatino Linotype"/>
          <w:i/>
          <w:sz w:val="22"/>
          <w:lang w:eastAsia="es-ES"/>
        </w:rPr>
        <w:t xml:space="preserve"> revisión contendrá:</w:t>
      </w:r>
      <w:r w:rsidRPr="006B41E2">
        <w:rPr>
          <w:rFonts w:ascii="Palatino Linotype" w:hAnsi="Palatino Linotype"/>
          <w:b/>
          <w:i/>
          <w:sz w:val="22"/>
          <w:lang w:eastAsia="es-ES"/>
        </w:rPr>
        <w:t xml:space="preserve"> </w:t>
      </w:r>
    </w:p>
    <w:p w14:paraId="201EF363"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 </w:t>
      </w:r>
      <w:r w:rsidRPr="006B41E2">
        <w:rPr>
          <w:rFonts w:ascii="Palatino Linotype" w:hAnsi="Palatino Linotype"/>
          <w:i/>
          <w:sz w:val="22"/>
          <w:lang w:eastAsia="es-ES"/>
        </w:rPr>
        <w:t xml:space="preserve">El sujeto obligado ante </w:t>
      </w:r>
      <w:r w:rsidRPr="006B41E2">
        <w:rPr>
          <w:rFonts w:ascii="Palatino Linotype" w:hAnsi="Palatino Linotype" w:cs="Arial"/>
          <w:i/>
          <w:sz w:val="22"/>
          <w:lang w:eastAsia="es-ES"/>
        </w:rPr>
        <w:t>la</w:t>
      </w:r>
      <w:r w:rsidRPr="006B41E2">
        <w:rPr>
          <w:rFonts w:ascii="Palatino Linotype" w:hAnsi="Palatino Linotype"/>
          <w:i/>
          <w:sz w:val="22"/>
          <w:lang w:eastAsia="es-ES"/>
        </w:rPr>
        <w:t xml:space="preserve"> cual </w:t>
      </w:r>
      <w:r w:rsidRPr="006B41E2">
        <w:rPr>
          <w:rFonts w:ascii="Palatino Linotype" w:hAnsi="Palatino Linotype" w:cs="Arial"/>
          <w:i/>
          <w:sz w:val="22"/>
        </w:rPr>
        <w:t>se</w:t>
      </w:r>
      <w:r w:rsidRPr="006B41E2">
        <w:rPr>
          <w:rFonts w:ascii="Palatino Linotype" w:hAnsi="Palatino Linotype"/>
          <w:i/>
          <w:sz w:val="22"/>
          <w:lang w:eastAsia="es-ES"/>
        </w:rPr>
        <w:t xml:space="preserve"> presentó la solicitud;</w:t>
      </w:r>
      <w:r w:rsidRPr="006B41E2">
        <w:rPr>
          <w:rFonts w:ascii="Palatino Linotype" w:hAnsi="Palatino Linotype"/>
          <w:b/>
          <w:i/>
          <w:sz w:val="22"/>
          <w:lang w:eastAsia="es-ES"/>
        </w:rPr>
        <w:t xml:space="preserve"> </w:t>
      </w:r>
    </w:p>
    <w:p w14:paraId="5E6BF155"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II. </w:t>
      </w:r>
      <w:r w:rsidRPr="006B41E2">
        <w:rPr>
          <w:rFonts w:ascii="Palatino Linotype" w:hAnsi="Palatino Linotype"/>
          <w:b/>
          <w:i/>
          <w:sz w:val="22"/>
          <w:u w:val="single"/>
          <w:lang w:eastAsia="es-ES"/>
        </w:rPr>
        <w:t xml:space="preserve">El nombre del solicitante </w:t>
      </w:r>
      <w:r w:rsidRPr="006B41E2">
        <w:rPr>
          <w:rFonts w:ascii="Palatino Linotype" w:hAnsi="Palatino Linotype" w:cs="Arial"/>
          <w:b/>
          <w:i/>
          <w:sz w:val="22"/>
          <w:u w:val="single"/>
        </w:rPr>
        <w:t>que</w:t>
      </w:r>
      <w:r w:rsidRPr="006B41E2">
        <w:rPr>
          <w:rFonts w:ascii="Palatino Linotype" w:hAnsi="Palatino Linotype"/>
          <w:b/>
          <w:i/>
          <w:sz w:val="22"/>
          <w:u w:val="single"/>
          <w:lang w:eastAsia="es-ES"/>
        </w:rPr>
        <w:t xml:space="preserve"> recurre</w:t>
      </w:r>
      <w:r w:rsidRPr="006B41E2">
        <w:rPr>
          <w:rFonts w:ascii="Palatino Linotype" w:hAnsi="Palatino Linotype"/>
          <w:b/>
          <w:i/>
          <w:sz w:val="22"/>
          <w:lang w:eastAsia="es-ES"/>
        </w:rPr>
        <w:t xml:space="preserve"> </w:t>
      </w:r>
      <w:r w:rsidRPr="006B41E2">
        <w:rPr>
          <w:rFonts w:ascii="Palatino Linotype" w:hAnsi="Palatino Linotype"/>
          <w:i/>
          <w:sz w:val="22"/>
          <w:lang w:eastAsia="es-ES"/>
        </w:rPr>
        <w:t>o de su representante y, en su caso, del tercero interesado, así como la dirección o medio que señale para recibir notificaciones;</w:t>
      </w:r>
      <w:r w:rsidRPr="006B41E2">
        <w:rPr>
          <w:rFonts w:ascii="Palatino Linotype" w:hAnsi="Palatino Linotype"/>
          <w:b/>
          <w:i/>
          <w:sz w:val="22"/>
          <w:lang w:eastAsia="es-ES"/>
        </w:rPr>
        <w:t xml:space="preserve"> </w:t>
      </w:r>
    </w:p>
    <w:p w14:paraId="6E1637F2"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656D389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En principio, de una interpretación del artículo transcrito se observan los requisitos que </w:t>
      </w:r>
      <w:r w:rsidRPr="006B41E2">
        <w:rPr>
          <w:rFonts w:ascii="Palatino Linotype" w:hAnsi="Palatino Linotype" w:cs="Arial"/>
          <w:lang w:eastAsia="es-ES"/>
        </w:rPr>
        <w:t>deberán</w:t>
      </w:r>
      <w:r w:rsidRPr="006B41E2">
        <w:rPr>
          <w:rFonts w:ascii="Palatino Linotype" w:hAnsi="Palatino Linotype"/>
          <w:lang w:eastAsia="es-ES"/>
        </w:rPr>
        <w:t xml:space="preserve"> contener los recursos de revisión; sobre el particular, de la revisión del </w:t>
      </w:r>
      <w:r w:rsidRPr="006B41E2">
        <w:rPr>
          <w:rFonts w:ascii="Palatino Linotype" w:hAnsi="Palatino Linotype"/>
          <w:lang w:eastAsia="es-ES"/>
        </w:rPr>
        <w:lastRenderedPageBreak/>
        <w:t xml:space="preserve">expediente electrónico del </w:t>
      </w:r>
      <w:r w:rsidRPr="006B41E2">
        <w:rPr>
          <w:rFonts w:ascii="Palatino Linotype" w:hAnsi="Palatino Linotype"/>
          <w:b/>
          <w:lang w:eastAsia="es-ES"/>
        </w:rPr>
        <w:t>SAIMEX</w:t>
      </w:r>
      <w:r w:rsidRPr="006B41E2">
        <w:rPr>
          <w:rFonts w:ascii="Palatino Linotype" w:hAnsi="Palatino Linotype"/>
          <w:lang w:eastAsia="es-ES"/>
        </w:rPr>
        <w:t xml:space="preserve"> se desprende que el solicitante y ahora </w:t>
      </w:r>
      <w:r w:rsidRPr="006B41E2">
        <w:rPr>
          <w:rFonts w:ascii="Palatino Linotype" w:hAnsi="Palatino Linotype"/>
          <w:b/>
          <w:lang w:eastAsia="es-ES"/>
        </w:rPr>
        <w:t>Recurrente</w:t>
      </w:r>
      <w:r w:rsidRPr="006B41E2">
        <w:rPr>
          <w:rFonts w:ascii="Palatino Linotype" w:hAnsi="Palatino Linotype"/>
          <w:lang w:eastAsia="es-ES"/>
        </w:rPr>
        <w:t xml:space="preserve">, en ejercicio de su derecho de acceso a la información pública, no proporcionó un nombre para que </w:t>
      </w:r>
      <w:r w:rsidRPr="006B41E2">
        <w:rPr>
          <w:rFonts w:ascii="Palatino Linotype" w:hAnsi="Palatino Linotype" w:cs="Arial"/>
          <w:lang w:eastAsia="es-ES"/>
        </w:rPr>
        <w:t>sea</w:t>
      </w:r>
      <w:r w:rsidRPr="006B41E2">
        <w:rPr>
          <w:rFonts w:ascii="Palatino Linotype" w:hAnsi="Palatino Linotype"/>
          <w:lang w:eastAsia="es-ES"/>
        </w:rPr>
        <w:t xml:space="preserve"> identificado; por lo que no tiene certeza sobre su identidad, lo que en estricto sentido, no se colmarían los requisitos establecidos en el citado artículo 180, de la Ley de Transparencia.</w:t>
      </w:r>
    </w:p>
    <w:p w14:paraId="2A211ED3"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53A844F1"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lang w:eastAsia="es-ES"/>
        </w:rPr>
        <w:t xml:space="preserve">No obstante lo anterior, debe destacarse que el artículo 15, de </w:t>
      </w:r>
      <w:r w:rsidRPr="006B41E2">
        <w:rPr>
          <w:rFonts w:ascii="Palatino Linotype" w:hAnsi="Palatino Linotype" w:cs="Arial"/>
        </w:rPr>
        <w:t xml:space="preserve">Ley de Transparencia y Acceso a la </w:t>
      </w:r>
      <w:r w:rsidRPr="006B41E2">
        <w:rPr>
          <w:rFonts w:ascii="Palatino Linotype" w:hAnsi="Palatino Linotype" w:cs="Arial"/>
          <w:lang w:eastAsia="es-ES"/>
        </w:rPr>
        <w:t>Información</w:t>
      </w:r>
      <w:r w:rsidRPr="006B41E2">
        <w:rPr>
          <w:rFonts w:ascii="Palatino Linotype" w:hAnsi="Palatino Linotype" w:cs="Arial"/>
        </w:rPr>
        <w:t xml:space="preserve"> Pública del Estado de México y Municipios </w:t>
      </w:r>
      <w:r w:rsidRPr="006B41E2">
        <w:rPr>
          <w:rFonts w:ascii="Palatino Linotype" w:hAnsi="Palatino Linotype" w:cs="Arial"/>
          <w:iCs/>
          <w:lang w:eastAsia="es-ES"/>
        </w:rPr>
        <w:t xml:space="preserve">prevé que, </w:t>
      </w:r>
      <w:r w:rsidRPr="006B41E2">
        <w:rPr>
          <w:rFonts w:ascii="Palatino Linotype" w:hAnsi="Palatino Linotype"/>
          <w:lang w:eastAsia="es-ES"/>
        </w:rPr>
        <w:t xml:space="preserve">toda persona tendrá acceso a la información </w:t>
      </w:r>
      <w:r w:rsidRPr="006B41E2">
        <w:rPr>
          <w:rFonts w:ascii="Palatino Linotype" w:hAnsi="Palatino Linotype" w:cs="Arial"/>
          <w:lang w:eastAsia="es-ES"/>
        </w:rPr>
        <w:t xml:space="preserve">sin necesidad de acreditar interés alguno o justificar su utilización, de lo que se infiere que para el </w:t>
      </w:r>
      <w:r w:rsidRPr="006B41E2">
        <w:rPr>
          <w:rFonts w:ascii="Palatino Linotype" w:hAnsi="Palatino Linotype"/>
          <w:lang w:eastAsia="es-ES"/>
        </w:rPr>
        <w:t>ejercicio</w:t>
      </w:r>
      <w:r w:rsidRPr="006B41E2">
        <w:rPr>
          <w:rFonts w:ascii="Palatino Linotype" w:hAnsi="Palatino Linotype" w:cs="Arial"/>
          <w:lang w:eastAsia="es-ES"/>
        </w:rPr>
        <w:t xml:space="preserve"> del derecho de acceso a la información pública, el nombre no es un requisito </w:t>
      </w:r>
      <w:r w:rsidRPr="006B41E2">
        <w:rPr>
          <w:rFonts w:ascii="Palatino Linotype" w:hAnsi="Palatino Linotype" w:cs="Arial"/>
          <w:i/>
          <w:lang w:eastAsia="es-ES"/>
        </w:rPr>
        <w:t>sine qua non</w:t>
      </w:r>
      <w:r w:rsidRPr="006B41E2">
        <w:rPr>
          <w:rFonts w:ascii="Palatino Linotype" w:hAnsi="Palatino Linotype" w:cs="Arial"/>
          <w:lang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969A58B"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6500B716"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6B41E2">
        <w:rPr>
          <w:rFonts w:ascii="Palatino Linotype" w:hAnsi="Palatino Linotype" w:cs="Arial"/>
          <w:lang w:eastAsia="es-ES"/>
        </w:rPr>
        <w:t>derecho</w:t>
      </w:r>
      <w:r w:rsidRPr="006B41E2">
        <w:rPr>
          <w:rFonts w:ascii="Palatino Linotype" w:hAnsi="Palatino Linotype"/>
          <w:lang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BA994AD" w14:textId="77777777" w:rsidR="00785E98" w:rsidRDefault="00785E98">
      <w:pPr>
        <w:spacing w:line="360" w:lineRule="auto"/>
        <w:jc w:val="both"/>
        <w:rPr>
          <w:rFonts w:ascii="Palatino Linotype" w:eastAsia="Palatino Linotype" w:hAnsi="Palatino Linotype" w:cs="Palatino Linotype"/>
        </w:rPr>
      </w:pPr>
    </w:p>
    <w:p w14:paraId="2703E1AE" w14:textId="77777777" w:rsidR="009714F5" w:rsidRDefault="009714F5">
      <w:pPr>
        <w:spacing w:line="360" w:lineRule="auto"/>
        <w:jc w:val="both"/>
        <w:rPr>
          <w:rFonts w:ascii="Palatino Linotype" w:eastAsia="Palatino Linotype" w:hAnsi="Palatino Linotype" w:cs="Palatino Linotype"/>
        </w:rPr>
      </w:pPr>
    </w:p>
    <w:p w14:paraId="1C981143" w14:textId="77777777" w:rsidR="009714F5" w:rsidRDefault="009714F5">
      <w:pPr>
        <w:spacing w:line="360" w:lineRule="auto"/>
        <w:jc w:val="both"/>
        <w:rPr>
          <w:rFonts w:ascii="Palatino Linotype" w:eastAsia="Palatino Linotype" w:hAnsi="Palatino Linotype" w:cs="Palatino Linotype"/>
        </w:rPr>
      </w:pPr>
    </w:p>
    <w:p w14:paraId="73B98FA1" w14:textId="42B8689B" w:rsidR="00785E98" w:rsidRDefault="006B4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CUART</w:t>
      </w:r>
      <w:r w:rsidR="005D216E">
        <w:rPr>
          <w:rFonts w:ascii="Palatino Linotype" w:eastAsia="Palatino Linotype" w:hAnsi="Palatino Linotype" w:cs="Palatino Linotype"/>
          <w:b/>
          <w:sz w:val="28"/>
          <w:szCs w:val="28"/>
        </w:rPr>
        <w:t xml:space="preserve">O.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w:t>
      </w:r>
      <w:r>
        <w:rPr>
          <w:rFonts w:ascii="Palatino Linotype" w:eastAsia="Palatino Linotype" w:hAnsi="Palatino Linotype" w:cs="Palatino Linotype"/>
          <w:i/>
          <w:color w:val="000000"/>
          <w:sz w:val="22"/>
          <w:szCs w:val="22"/>
        </w:rPr>
        <w:lastRenderedPageBreak/>
        <w:t>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al no existir causas de improcedencia invocadas por las partes ni advertidas de oficio por este Resolutor, se proceden al análisis del fondo de los asuntos en los siguientes términos.</w:t>
      </w:r>
    </w:p>
    <w:p w14:paraId="398064D3" w14:textId="77777777" w:rsidR="009714F5" w:rsidRDefault="009714F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42B7AC" w14:textId="269BAE3A" w:rsidR="00785E98" w:rsidRDefault="006B41E2">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QUIN</w:t>
      </w:r>
      <w:r w:rsidR="005D216E">
        <w:rPr>
          <w:rFonts w:ascii="Palatino Linotype" w:eastAsia="Palatino Linotype" w:hAnsi="Palatino Linotype" w:cs="Palatino Linotype"/>
          <w:b/>
          <w:sz w:val="28"/>
          <w:szCs w:val="28"/>
        </w:rPr>
        <w:t xml:space="preserve">TO.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w:t>
      </w:r>
      <w:r>
        <w:rPr>
          <w:rFonts w:ascii="Palatino Linotype" w:eastAsia="Palatino Linotype" w:hAnsi="Palatino Linotype" w:cs="Palatino Linotype"/>
          <w:color w:val="000000"/>
        </w:rPr>
        <w:lastRenderedPageBreak/>
        <w:t xml:space="preserve">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w:t>
      </w:r>
      <w:r>
        <w:rPr>
          <w:rFonts w:ascii="Palatino Linotype" w:eastAsia="Palatino Linotype" w:hAnsi="Palatino Linotype" w:cs="Palatino Linotype"/>
        </w:rPr>
        <w:lastRenderedPageBreak/>
        <w:t xml:space="preserve">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w:t>
      </w:r>
      <w:r>
        <w:rPr>
          <w:rFonts w:ascii="Palatino Linotype" w:eastAsia="Palatino Linotype" w:hAnsi="Palatino Linotype" w:cs="Palatino Linotype"/>
        </w:rPr>
        <w:lastRenderedPageBreak/>
        <w:t>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72A60D1F" w14:textId="0DA8B352" w:rsidR="00705B42"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5DBF8FD2" w14:textId="77777777" w:rsidR="00705B42" w:rsidRDefault="00705B42">
      <w:pPr>
        <w:spacing w:line="360" w:lineRule="auto"/>
        <w:jc w:val="both"/>
        <w:rPr>
          <w:rFonts w:ascii="Palatino Linotype" w:eastAsia="Palatino Linotype" w:hAnsi="Palatino Linotype" w:cs="Palatino Linotype"/>
        </w:rPr>
      </w:pPr>
    </w:p>
    <w:p w14:paraId="4EFCC0CE" w14:textId="77777777" w:rsidR="00785E98" w:rsidRPr="006C6F30" w:rsidRDefault="005D216E" w:rsidP="00664FBF">
      <w:pPr>
        <w:numPr>
          <w:ilvl w:val="0"/>
          <w:numId w:val="1"/>
        </w:numPr>
        <w:pBdr>
          <w:top w:val="nil"/>
          <w:left w:val="nil"/>
          <w:bottom w:val="nil"/>
          <w:right w:val="nil"/>
          <w:between w:val="nil"/>
        </w:pBdr>
        <w:spacing w:line="360" w:lineRule="auto"/>
        <w:jc w:val="both"/>
        <w:rPr>
          <w:b/>
          <w:color w:val="000000"/>
          <w:sz w:val="28"/>
          <w:szCs w:val="28"/>
          <w:u w:val="single"/>
        </w:rPr>
      </w:pPr>
      <w:r w:rsidRPr="006C6F30">
        <w:rPr>
          <w:rFonts w:ascii="Palatino Linotype" w:eastAsia="Palatino Linotype" w:hAnsi="Palatino Linotype" w:cs="Palatino Linotype"/>
          <w:b/>
          <w:color w:val="000000"/>
          <w:sz w:val="28"/>
          <w:szCs w:val="28"/>
          <w:u w:val="single"/>
        </w:rPr>
        <w:t>De la clasificación de la información</w:t>
      </w:r>
    </w:p>
    <w:p w14:paraId="517D8DA7" w14:textId="77777777" w:rsidR="00785E98" w:rsidRDefault="005D216E" w:rsidP="00664FB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w:t>
      </w:r>
      <w:r>
        <w:rPr>
          <w:rFonts w:ascii="Palatino Linotype" w:eastAsia="Palatino Linotype" w:hAnsi="Palatino Linotype" w:cs="Palatino Linotype"/>
        </w:rPr>
        <w:lastRenderedPageBreak/>
        <w:t xml:space="preserve">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B0324F" w14:textId="77777777" w:rsidR="00785E98" w:rsidRDefault="00785E98">
      <w:pPr>
        <w:spacing w:after="160" w:line="360" w:lineRule="auto"/>
        <w:jc w:val="both"/>
        <w:rPr>
          <w:rFonts w:ascii="Palatino Linotype" w:eastAsia="Palatino Linotype" w:hAnsi="Palatino Linotype" w:cs="Palatino Linotype"/>
        </w:rPr>
      </w:pPr>
    </w:p>
    <w:p w14:paraId="7A86D71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21F677C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FDF56E6"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Pr="006C6F30" w:rsidRDefault="005D216E" w:rsidP="00664FBF">
      <w:pPr>
        <w:numPr>
          <w:ilvl w:val="0"/>
          <w:numId w:val="1"/>
        </w:numPr>
        <w:pBdr>
          <w:top w:val="nil"/>
          <w:left w:val="nil"/>
          <w:bottom w:val="nil"/>
          <w:right w:val="nil"/>
          <w:between w:val="nil"/>
        </w:pBdr>
        <w:tabs>
          <w:tab w:val="left" w:pos="7938"/>
        </w:tabs>
        <w:spacing w:line="360" w:lineRule="auto"/>
        <w:jc w:val="both"/>
        <w:rPr>
          <w:b/>
          <w:color w:val="000000"/>
          <w:sz w:val="28"/>
          <w:szCs w:val="28"/>
          <w:u w:val="single"/>
        </w:rPr>
      </w:pPr>
      <w:r w:rsidRPr="006C6F30">
        <w:rPr>
          <w:rFonts w:ascii="Palatino Linotype" w:eastAsia="Palatino Linotype" w:hAnsi="Palatino Linotype" w:cs="Palatino Linotype"/>
          <w:b/>
          <w:color w:val="000000"/>
          <w:sz w:val="28"/>
          <w:szCs w:val="28"/>
          <w:u w:val="single"/>
        </w:rPr>
        <w:t xml:space="preserve">De la vista a los órganos de control interno competentes </w:t>
      </w:r>
    </w:p>
    <w:p w14:paraId="299D5695" w14:textId="77777777" w:rsidR="00785E98" w:rsidRDefault="005D216E" w:rsidP="00664FBF">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 xml:space="preserve">de la Ley de Transparencia y Acceso a la Información Pública </w:t>
      </w:r>
      <w:r>
        <w:rPr>
          <w:rFonts w:ascii="Palatino Linotype" w:eastAsia="Palatino Linotype" w:hAnsi="Palatino Linotype" w:cs="Palatino Linotype"/>
        </w:rPr>
        <w:lastRenderedPageBreak/>
        <w:t>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07FDB5FA"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6C6F30" w:rsidRPr="006C6F30">
        <w:rPr>
          <w:rFonts w:ascii="Palatino Linotype" w:eastAsia="Palatino Linotype" w:hAnsi="Palatino Linotype" w:cs="Palatino Linotype"/>
          <w:b/>
        </w:rPr>
        <w:t>00058/VICARBO/IP/2025</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246F0C2F" w14:textId="77777777" w:rsidR="0004245C" w:rsidRPr="00CA19C9" w:rsidRDefault="0004245C"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14:paraId="3651E107" w14:textId="77777777" w:rsidR="00785E98" w:rsidRDefault="00785E98">
      <w:pPr>
        <w:pBdr>
          <w:top w:val="nil"/>
          <w:left w:val="nil"/>
          <w:bottom w:val="nil"/>
          <w:right w:val="nil"/>
          <w:between w:val="nil"/>
        </w:pBdr>
        <w:rPr>
          <w:color w:val="000000"/>
        </w:rPr>
      </w:pPr>
    </w:p>
    <w:p w14:paraId="7E328A81" w14:textId="56F5BED4"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64EC0AE2"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6C6F30" w:rsidRPr="006C6F30">
        <w:rPr>
          <w:rFonts w:ascii="Palatino Linotype" w:eastAsia="Palatino Linotype" w:hAnsi="Palatino Linotype" w:cs="Palatino Linotype"/>
          <w:b/>
        </w:rPr>
        <w:t>00058/VICARBO/IP/2025</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79ED268A" w14:textId="77777777" w:rsidR="009714F5" w:rsidRDefault="009714F5">
      <w:pPr>
        <w:spacing w:line="360" w:lineRule="auto"/>
        <w:jc w:val="both"/>
        <w:rPr>
          <w:rFonts w:ascii="Palatino Linotype" w:eastAsia="Palatino Linotype" w:hAnsi="Palatino Linotype" w:cs="Palatino Linotype"/>
        </w:rPr>
      </w:pP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la presente resolución al Titular de la Unidad de Transparencia del Sujeto </w:t>
      </w:r>
      <w:r>
        <w:rPr>
          <w:rFonts w:ascii="Palatino Linotype" w:eastAsia="Palatino Linotype" w:hAnsi="Palatino Linotype" w:cs="Palatino Linotype"/>
        </w:rPr>
        <w:lastRenderedPageBreak/>
        <w:t>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D0F4796" w14:textId="77777777" w:rsidR="009714F5" w:rsidRDefault="009714F5">
      <w:pPr>
        <w:spacing w:line="360" w:lineRule="auto"/>
        <w:jc w:val="both"/>
        <w:rPr>
          <w:rFonts w:ascii="Palatino Linotype" w:eastAsia="Palatino Linotype" w:hAnsi="Palatino Linotype" w:cs="Palatino Linotype"/>
        </w:rPr>
      </w:pPr>
    </w:p>
    <w:p w14:paraId="65E61E40" w14:textId="1D286F56"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sidRPr="0004245C">
        <w:rPr>
          <w:rFonts w:ascii="Palatino Linotype" w:eastAsia="Palatino Linotype" w:hAnsi="Palatino Linotype" w:cs="Palatino Linotype"/>
        </w:rPr>
        <w:t>o</w:t>
      </w:r>
      <w:r>
        <w:rPr>
          <w:rFonts w:ascii="Palatino Linotype" w:eastAsia="Palatino Linotype" w:hAnsi="Palatino Linotype" w:cs="Palatino Linotype"/>
        </w:rPr>
        <w:t xml:space="preserve">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6250F57A"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4245C">
        <w:rPr>
          <w:rFonts w:ascii="Palatino Linotype" w:eastAsia="Palatino Linotype" w:hAnsi="Palatino Linotype" w:cs="Palatino Linotype"/>
        </w:rPr>
        <w:t xml:space="preserve">DÉCIMA </w:t>
      </w:r>
      <w:r w:rsidR="006C6F30">
        <w:rPr>
          <w:rFonts w:ascii="Palatino Linotype" w:eastAsia="Palatino Linotype" w:hAnsi="Palatino Linotype" w:cs="Palatino Linotype"/>
        </w:rPr>
        <w:t>QUINT</w:t>
      </w:r>
      <w:r w:rsidR="00693587">
        <w:rPr>
          <w:rFonts w:ascii="Palatino Linotype" w:eastAsia="Palatino Linotype" w:hAnsi="Palatino Linotype" w:cs="Palatino Linotype"/>
        </w:rPr>
        <w: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6C6F30">
        <w:rPr>
          <w:rFonts w:ascii="Palatino Linotype" w:eastAsia="Palatino Linotype" w:hAnsi="Palatino Linotype" w:cs="Palatino Linotype"/>
        </w:rPr>
        <w:t>TREINTA</w:t>
      </w:r>
      <w:r w:rsidR="00705B42">
        <w:rPr>
          <w:rFonts w:ascii="Palatino Linotype" w:eastAsia="Palatino Linotype" w:hAnsi="Palatino Linotype" w:cs="Palatino Linotype"/>
        </w:rPr>
        <w:t xml:space="preserve"> DE ABRIL</w:t>
      </w:r>
      <w:r w:rsidR="00CA47DE" w:rsidRPr="00CA47DE">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r w:rsidR="0004245C">
        <w:rPr>
          <w:rFonts w:ascii="Palatino Linotype" w:eastAsia="Palatino Linotype" w:hAnsi="Palatino Linotype" w:cs="Palatino Linotype"/>
        </w:rPr>
        <w:t>------------------------------------------------------------------------------------------------------------------------------------------------------------------------------------------------------------------------------------------------------------------------------------------------------------------------------------------------------</w:t>
      </w:r>
    </w:p>
    <w:p w14:paraId="131AEDA1"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D19D5" w14:textId="77777777" w:rsidR="00C7345D" w:rsidRDefault="00C7345D">
      <w:r>
        <w:separator/>
      </w:r>
    </w:p>
  </w:endnote>
  <w:endnote w:type="continuationSeparator" w:id="0">
    <w:p w14:paraId="12424AFE" w14:textId="77777777" w:rsidR="00C7345D" w:rsidRDefault="00C7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536AA">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536AA">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536A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536AA">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8CE53" w14:textId="77777777" w:rsidR="00C7345D" w:rsidRDefault="00C7345D">
      <w:r>
        <w:separator/>
      </w:r>
    </w:p>
  </w:footnote>
  <w:footnote w:type="continuationSeparator" w:id="0">
    <w:p w14:paraId="5D136CC4" w14:textId="77777777" w:rsidR="00C7345D" w:rsidRDefault="00C7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E536AA">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E536AA">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29.35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673829CA"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6C6F30">
            <w:rPr>
              <w:rFonts w:ascii="Palatino Linotype" w:eastAsia="Palatino Linotype" w:hAnsi="Palatino Linotype" w:cs="Palatino Linotype"/>
              <w:sz w:val="22"/>
              <w:szCs w:val="22"/>
            </w:rPr>
            <w:t>3560</w:t>
          </w:r>
          <w:r>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599D11C" w14:textId="69E0B015" w:rsidR="00785E98" w:rsidRDefault="006C6F30">
          <w:pPr>
            <w:spacing w:line="276" w:lineRule="auto"/>
            <w:jc w:val="right"/>
            <w:rPr>
              <w:rFonts w:ascii="Palatino Linotype" w:eastAsia="Palatino Linotype" w:hAnsi="Palatino Linotype" w:cs="Palatino Linotype"/>
              <w:sz w:val="21"/>
              <w:szCs w:val="21"/>
            </w:rPr>
          </w:pPr>
          <w:r w:rsidRPr="006C6F30">
            <w:rPr>
              <w:rFonts w:ascii="Palatino Linotype" w:eastAsia="Palatino Linotype" w:hAnsi="Palatino Linotype" w:cs="Palatino Linotype"/>
              <w:sz w:val="21"/>
              <w:szCs w:val="21"/>
            </w:rPr>
            <w:t>Ayuntamiento de Villa del Carbón</w:t>
          </w:r>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E536A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4247E3FC"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4B728A">
            <w:rPr>
              <w:rFonts w:ascii="Palatino Linotype" w:eastAsia="Palatino Linotype" w:hAnsi="Palatino Linotype" w:cs="Palatino Linotype"/>
              <w:sz w:val="22"/>
              <w:szCs w:val="22"/>
            </w:rPr>
            <w:t>3560</w:t>
          </w:r>
          <w:r w:rsidR="00A15154">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16E51DFA" w:rsidR="00785E98" w:rsidRDefault="00E536AA">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XXXXXXXXXXXXXXXXXXXX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F222E84" w14:textId="14C7A9F4" w:rsidR="00785E98" w:rsidRDefault="006C6F30">
          <w:pPr>
            <w:jc w:val="right"/>
            <w:rPr>
              <w:rFonts w:ascii="Palatino Linotype" w:eastAsia="Palatino Linotype" w:hAnsi="Palatino Linotype" w:cs="Palatino Linotype"/>
              <w:sz w:val="21"/>
              <w:szCs w:val="21"/>
            </w:rPr>
          </w:pPr>
          <w:r w:rsidRPr="006C6F30">
            <w:rPr>
              <w:rFonts w:ascii="Palatino Linotype" w:eastAsia="Palatino Linotype" w:hAnsi="Palatino Linotype" w:cs="Palatino Linotype"/>
              <w:sz w:val="21"/>
              <w:szCs w:val="21"/>
            </w:rPr>
            <w:t>Ayuntamiento de Villa del Carbón</w:t>
          </w:r>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04245C"/>
    <w:rsid w:val="00100BBB"/>
    <w:rsid w:val="001471C7"/>
    <w:rsid w:val="001B0B8F"/>
    <w:rsid w:val="00201B6A"/>
    <w:rsid w:val="00202FB4"/>
    <w:rsid w:val="00232219"/>
    <w:rsid w:val="00233B15"/>
    <w:rsid w:val="00305209"/>
    <w:rsid w:val="003E300B"/>
    <w:rsid w:val="004169D1"/>
    <w:rsid w:val="004B728A"/>
    <w:rsid w:val="00543AA4"/>
    <w:rsid w:val="005B3D5F"/>
    <w:rsid w:val="005D216E"/>
    <w:rsid w:val="00603A5B"/>
    <w:rsid w:val="00621FB2"/>
    <w:rsid w:val="00643491"/>
    <w:rsid w:val="00645942"/>
    <w:rsid w:val="00664FBF"/>
    <w:rsid w:val="00693587"/>
    <w:rsid w:val="006B41E2"/>
    <w:rsid w:val="006C6F30"/>
    <w:rsid w:val="00705B42"/>
    <w:rsid w:val="00784677"/>
    <w:rsid w:val="00785E98"/>
    <w:rsid w:val="009714F5"/>
    <w:rsid w:val="00977E23"/>
    <w:rsid w:val="009E14D9"/>
    <w:rsid w:val="00A15154"/>
    <w:rsid w:val="00A40997"/>
    <w:rsid w:val="00B451BA"/>
    <w:rsid w:val="00B56255"/>
    <w:rsid w:val="00BE036E"/>
    <w:rsid w:val="00BE0D77"/>
    <w:rsid w:val="00C1300D"/>
    <w:rsid w:val="00C7345D"/>
    <w:rsid w:val="00CA19C9"/>
    <w:rsid w:val="00CA47DE"/>
    <w:rsid w:val="00CE2F14"/>
    <w:rsid w:val="00E536AA"/>
    <w:rsid w:val="00E56997"/>
    <w:rsid w:val="00E94B1F"/>
    <w:rsid w:val="00EB1290"/>
    <w:rsid w:val="00F41F5E"/>
    <w:rsid w:val="00F51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 w:type="paragraph" w:styleId="Sinespaciado">
    <w:name w:val="No Spacing"/>
    <w:uiPriority w:val="1"/>
    <w:qFormat/>
    <w:rsid w:val="00C1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4674</Words>
  <Characters>25711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5</cp:revision>
  <dcterms:created xsi:type="dcterms:W3CDTF">2025-04-11T04:01:00Z</dcterms:created>
  <dcterms:modified xsi:type="dcterms:W3CDTF">2025-05-13T18:36:00Z</dcterms:modified>
</cp:coreProperties>
</file>