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B65C2" w14:textId="4E9E798D"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DD555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021569" w:rsidRPr="00DD5552">
        <w:rPr>
          <w:rFonts w:ascii="Palatino Linotype" w:eastAsia="Palatino Linotype" w:hAnsi="Palatino Linotype" w:cs="Palatino Linotype"/>
          <w:sz w:val="22"/>
          <w:szCs w:val="22"/>
        </w:rPr>
        <w:t>cinco de noviembre</w:t>
      </w:r>
      <w:r w:rsidRPr="00DD5552">
        <w:rPr>
          <w:rFonts w:ascii="Palatino Linotype" w:eastAsia="Palatino Linotype" w:hAnsi="Palatino Linotype" w:cs="Palatino Linotype"/>
          <w:sz w:val="22"/>
          <w:szCs w:val="22"/>
        </w:rPr>
        <w:t xml:space="preserve"> de dos mil veinticinco. </w:t>
      </w:r>
    </w:p>
    <w:p w14:paraId="33DB6F9C" w14:textId="48F9203A" w:rsidR="00320E68" w:rsidRPr="00DD5552" w:rsidRDefault="00146250">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DD5552">
        <w:rPr>
          <w:rFonts w:ascii="Palatino Linotype" w:eastAsia="Palatino Linotype" w:hAnsi="Palatino Linotype" w:cs="Palatino Linotype"/>
          <w:b/>
          <w:sz w:val="22"/>
          <w:szCs w:val="22"/>
        </w:rPr>
        <w:t>VISTO</w:t>
      </w:r>
      <w:r w:rsidRPr="00DD5552">
        <w:rPr>
          <w:rFonts w:ascii="Palatino Linotype" w:eastAsia="Palatino Linotype" w:hAnsi="Palatino Linotype" w:cs="Palatino Linotype"/>
          <w:sz w:val="22"/>
          <w:szCs w:val="22"/>
        </w:rPr>
        <w:t xml:space="preserve"> el expediente formado con motivo del recurso de revisión </w:t>
      </w:r>
      <w:r w:rsidR="00021569" w:rsidRPr="00DD5552">
        <w:rPr>
          <w:rFonts w:ascii="Palatino Linotype" w:eastAsia="Palatino Linotype" w:hAnsi="Palatino Linotype" w:cs="Palatino Linotype"/>
          <w:b/>
          <w:sz w:val="22"/>
          <w:szCs w:val="22"/>
        </w:rPr>
        <w:t>10379</w:t>
      </w:r>
      <w:r w:rsidRPr="00DD5552">
        <w:rPr>
          <w:rFonts w:ascii="Palatino Linotype" w:eastAsia="Palatino Linotype" w:hAnsi="Palatino Linotype" w:cs="Palatino Linotype"/>
          <w:b/>
          <w:sz w:val="22"/>
          <w:szCs w:val="22"/>
        </w:rPr>
        <w:t>/INFOEM/IP/RR/2025</w:t>
      </w:r>
      <w:r w:rsidRPr="00DD5552">
        <w:rPr>
          <w:rFonts w:ascii="Palatino Linotype" w:eastAsia="Palatino Linotype" w:hAnsi="Palatino Linotype" w:cs="Palatino Linotype"/>
          <w:sz w:val="22"/>
          <w:szCs w:val="22"/>
        </w:rPr>
        <w:t>, interpuesto por</w:t>
      </w:r>
      <w:r w:rsidRPr="00DD5552">
        <w:rPr>
          <w:rFonts w:ascii="Palatino Linotype" w:eastAsia="Palatino Linotype" w:hAnsi="Palatino Linotype" w:cs="Palatino Linotype"/>
          <w:b/>
          <w:sz w:val="22"/>
          <w:szCs w:val="22"/>
        </w:rPr>
        <w:t xml:space="preserve"> </w:t>
      </w:r>
      <w:r w:rsidR="00981305" w:rsidRPr="00981305">
        <w:rPr>
          <w:rFonts w:ascii="Palatino Linotype" w:eastAsia="Palatino Linotype" w:hAnsi="Palatino Linotype" w:cs="Palatino Linotype"/>
          <w:b/>
          <w:sz w:val="22"/>
          <w:szCs w:val="22"/>
        </w:rPr>
        <w:t>XXXXX XXXXXXX XXXXXX</w:t>
      </w:r>
      <w:r w:rsidR="00021569" w:rsidRPr="00981305">
        <w:rPr>
          <w:rFonts w:ascii="Palatino Linotype" w:eastAsia="Palatino Linotype" w:hAnsi="Palatino Linotype" w:cs="Palatino Linotype"/>
          <w:b/>
          <w:sz w:val="22"/>
          <w:szCs w:val="22"/>
        </w:rPr>
        <w:t>,</w:t>
      </w:r>
      <w:bookmarkStart w:id="2" w:name="_GoBack"/>
      <w:bookmarkEnd w:id="2"/>
      <w:r w:rsidR="00021569" w:rsidRPr="00DD5552">
        <w:rPr>
          <w:rFonts w:ascii="Palatino Linotype" w:eastAsia="Palatino Linotype" w:hAnsi="Palatino Linotype" w:cs="Palatino Linotype"/>
          <w:b/>
          <w:sz w:val="22"/>
          <w:szCs w:val="22"/>
        </w:rPr>
        <w:t xml:space="preserve"> </w:t>
      </w:r>
      <w:r w:rsidRPr="00DD5552">
        <w:rPr>
          <w:rFonts w:ascii="Palatino Linotype" w:eastAsia="Palatino Linotype" w:hAnsi="Palatino Linotype" w:cs="Palatino Linotype"/>
          <w:sz w:val="22"/>
          <w:szCs w:val="22"/>
        </w:rPr>
        <w:t>en lo sucesivo</w:t>
      </w:r>
      <w:r w:rsidRPr="00DD5552">
        <w:rPr>
          <w:rFonts w:ascii="Palatino Linotype" w:eastAsia="Palatino Linotype" w:hAnsi="Palatino Linotype" w:cs="Palatino Linotype"/>
          <w:b/>
          <w:sz w:val="22"/>
          <w:szCs w:val="22"/>
        </w:rPr>
        <w:t xml:space="preserve"> </w:t>
      </w:r>
      <w:r w:rsidRPr="00DD5552">
        <w:rPr>
          <w:rFonts w:ascii="Palatino Linotype" w:eastAsia="Palatino Linotype" w:hAnsi="Palatino Linotype" w:cs="Palatino Linotype"/>
          <w:sz w:val="22"/>
          <w:szCs w:val="22"/>
        </w:rPr>
        <w:t xml:space="preserve">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xml:space="preserve"> en contra de la respuesta a la solicitud de información con número de folio</w:t>
      </w:r>
      <w:r w:rsidR="00021569" w:rsidRPr="00DD5552">
        <w:rPr>
          <w:rFonts w:ascii="Palatino Linotype" w:eastAsia="Palatino Linotype" w:hAnsi="Palatino Linotype" w:cs="Palatino Linotype"/>
          <w:b/>
          <w:sz w:val="22"/>
          <w:szCs w:val="22"/>
        </w:rPr>
        <w:t xml:space="preserve"> 00358/ALMOJU/IP/2025</w:t>
      </w:r>
      <w:r w:rsidRPr="00DD5552">
        <w:rPr>
          <w:rFonts w:ascii="Palatino Linotype" w:eastAsia="Palatino Linotype" w:hAnsi="Palatino Linotype" w:cs="Palatino Linotype"/>
          <w:b/>
          <w:sz w:val="22"/>
          <w:szCs w:val="22"/>
        </w:rPr>
        <w:t xml:space="preserve">, </w:t>
      </w:r>
      <w:r w:rsidRPr="00DD5552">
        <w:rPr>
          <w:rFonts w:ascii="Palatino Linotype" w:eastAsia="Palatino Linotype" w:hAnsi="Palatino Linotype" w:cs="Palatino Linotype"/>
          <w:sz w:val="22"/>
          <w:szCs w:val="22"/>
        </w:rPr>
        <w:t xml:space="preserve">por parte del </w:t>
      </w:r>
      <w:r w:rsidR="00021569" w:rsidRPr="00DD5552">
        <w:rPr>
          <w:rFonts w:ascii="Palatino Linotype" w:eastAsia="Palatino Linotype" w:hAnsi="Palatino Linotype" w:cs="Palatino Linotype"/>
          <w:b/>
          <w:sz w:val="22"/>
          <w:szCs w:val="22"/>
        </w:rPr>
        <w:t>Ayuntamiento de Almoloya de Juárez</w:t>
      </w:r>
      <w:r w:rsidRPr="00DD5552">
        <w:rPr>
          <w:rFonts w:ascii="Palatino Linotype" w:eastAsia="Palatino Linotype" w:hAnsi="Palatino Linotype" w:cs="Palatino Linotype"/>
          <w:b/>
          <w:sz w:val="22"/>
          <w:szCs w:val="22"/>
        </w:rPr>
        <w:t xml:space="preserve">, </w:t>
      </w:r>
      <w:r w:rsidRPr="00DD5552">
        <w:rPr>
          <w:rFonts w:ascii="Palatino Linotype" w:eastAsia="Palatino Linotype" w:hAnsi="Palatino Linotype" w:cs="Palatino Linotype"/>
          <w:sz w:val="22"/>
          <w:szCs w:val="22"/>
        </w:rPr>
        <w:t xml:space="preserve">en lo sucesivo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se procede a dictar la presente resolución con base en los siguientes: </w:t>
      </w:r>
    </w:p>
    <w:p w14:paraId="04558CFE" w14:textId="77777777" w:rsidR="00320E68" w:rsidRPr="00DD5552" w:rsidRDefault="00146250">
      <w:pPr>
        <w:spacing w:before="240" w:after="240" w:line="360" w:lineRule="auto"/>
        <w:jc w:val="center"/>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I. A N T E C E D E N T E S</w:t>
      </w:r>
    </w:p>
    <w:p w14:paraId="610E8D2A" w14:textId="37C9CFC2"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3" w:name="_heading=h.gjdgxs" w:colFirst="0" w:colLast="0"/>
      <w:bookmarkEnd w:id="3"/>
      <w:r w:rsidRPr="00DD5552">
        <w:rPr>
          <w:rFonts w:ascii="Palatino Linotype" w:eastAsia="Palatino Linotype" w:hAnsi="Palatino Linotype" w:cs="Palatino Linotype"/>
          <w:b/>
          <w:sz w:val="22"/>
          <w:szCs w:val="22"/>
        </w:rPr>
        <w:t>1. Solicitud de acceso a la información.</w:t>
      </w:r>
      <w:r w:rsidRPr="00DD5552">
        <w:rPr>
          <w:rFonts w:ascii="Palatino Linotype" w:eastAsia="Palatino Linotype" w:hAnsi="Palatino Linotype" w:cs="Palatino Linotype"/>
          <w:sz w:val="22"/>
          <w:szCs w:val="22"/>
        </w:rPr>
        <w:t xml:space="preserve"> El </w:t>
      </w:r>
      <w:r w:rsidR="00021569" w:rsidRPr="00DD5552">
        <w:rPr>
          <w:rFonts w:ascii="Palatino Linotype" w:eastAsia="Palatino Linotype" w:hAnsi="Palatino Linotype" w:cs="Palatino Linotype"/>
          <w:b/>
          <w:sz w:val="22"/>
          <w:szCs w:val="22"/>
        </w:rPr>
        <w:t>diecio</w:t>
      </w:r>
      <w:r w:rsidR="00F21F92" w:rsidRPr="00DD5552">
        <w:rPr>
          <w:rFonts w:ascii="Palatino Linotype" w:eastAsia="Palatino Linotype" w:hAnsi="Palatino Linotype" w:cs="Palatino Linotype"/>
          <w:b/>
          <w:sz w:val="22"/>
          <w:szCs w:val="22"/>
        </w:rPr>
        <w:t>cho de julio</w:t>
      </w:r>
      <w:r w:rsidRPr="00DD5552">
        <w:rPr>
          <w:rFonts w:ascii="Palatino Linotype" w:eastAsia="Palatino Linotype" w:hAnsi="Palatino Linotype" w:cs="Palatino Linotype"/>
          <w:b/>
          <w:sz w:val="22"/>
          <w:szCs w:val="22"/>
        </w:rPr>
        <w:t xml:space="preserve"> de dos mil veinticinco,</w:t>
      </w:r>
      <w:r w:rsidRPr="00DD5552">
        <w:rPr>
          <w:rFonts w:ascii="Palatino Linotype" w:eastAsia="Palatino Linotype" w:hAnsi="Palatino Linotype" w:cs="Palatino Linotype"/>
          <w:sz w:val="22"/>
          <w:szCs w:val="22"/>
        </w:rPr>
        <w:t xml:space="preserve"> la parte </w:t>
      </w:r>
      <w:r w:rsidRPr="00DD5552">
        <w:rPr>
          <w:rFonts w:ascii="Palatino Linotype" w:eastAsia="Palatino Linotype" w:hAnsi="Palatino Linotype" w:cs="Palatino Linotype"/>
          <w:b/>
          <w:sz w:val="22"/>
          <w:szCs w:val="22"/>
        </w:rPr>
        <w:t xml:space="preserve">Recurrente </w:t>
      </w:r>
      <w:r w:rsidRPr="00DD5552">
        <w:rPr>
          <w:rFonts w:ascii="Palatino Linotype" w:eastAsia="Palatino Linotype" w:hAnsi="Palatino Linotype" w:cs="Palatino Linotype"/>
          <w:sz w:val="22"/>
          <w:szCs w:val="22"/>
        </w:rPr>
        <w:t xml:space="preserve">presentó la solicitud de acceso a la información pública ante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a través del Sistema de Acceso a la Información Mexiquense, en lo subsecuente el </w:t>
      </w:r>
      <w:r w:rsidRPr="00DD5552">
        <w:rPr>
          <w:rFonts w:ascii="Palatino Linotype" w:eastAsia="Palatino Linotype" w:hAnsi="Palatino Linotype" w:cs="Palatino Linotype"/>
          <w:b/>
          <w:sz w:val="22"/>
          <w:szCs w:val="22"/>
        </w:rPr>
        <w:t>SAIMEX,</w:t>
      </w:r>
      <w:r w:rsidRPr="00DD5552">
        <w:rPr>
          <w:rFonts w:ascii="Palatino Linotype" w:eastAsia="Palatino Linotype" w:hAnsi="Palatino Linotype" w:cs="Palatino Linotype"/>
          <w:sz w:val="22"/>
          <w:szCs w:val="22"/>
        </w:rPr>
        <w:t xml:space="preserve"> mediante la cual requirió lo siguiente:</w:t>
      </w:r>
    </w:p>
    <w:p w14:paraId="064A7A80" w14:textId="201BE1D1" w:rsidR="00320E68" w:rsidRPr="00DD5552" w:rsidRDefault="00146250">
      <w:pPr>
        <w:spacing w:before="120" w:after="120"/>
        <w:ind w:left="851" w:right="90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i/>
          <w:sz w:val="22"/>
          <w:szCs w:val="22"/>
        </w:rPr>
        <w:t xml:space="preserve"> “</w:t>
      </w:r>
      <w:r w:rsidR="00021569" w:rsidRPr="00DD5552">
        <w:rPr>
          <w:rFonts w:ascii="Palatino Linotype" w:eastAsia="Palatino Linotype" w:hAnsi="Palatino Linotype" w:cs="Palatino Linotype"/>
          <w:i/>
          <w:sz w:val="22"/>
          <w:szCs w:val="22"/>
        </w:rPr>
        <w:t xml:space="preserve">Se solicita indique, monto que se ha pagado neto a proveedores de combustible para vehículos utilitarios del H. Ayuntamiento del 1 de </w:t>
      </w:r>
      <w:proofErr w:type="gramStart"/>
      <w:r w:rsidR="00021569" w:rsidRPr="00DD5552">
        <w:rPr>
          <w:rFonts w:ascii="Palatino Linotype" w:eastAsia="Palatino Linotype" w:hAnsi="Palatino Linotype" w:cs="Palatino Linotype"/>
          <w:i/>
          <w:sz w:val="22"/>
          <w:szCs w:val="22"/>
        </w:rPr>
        <w:t>Enero</w:t>
      </w:r>
      <w:proofErr w:type="gramEnd"/>
      <w:r w:rsidR="00021569" w:rsidRPr="00DD5552">
        <w:rPr>
          <w:rFonts w:ascii="Palatino Linotype" w:eastAsia="Palatino Linotype" w:hAnsi="Palatino Linotype" w:cs="Palatino Linotype"/>
          <w:i/>
          <w:sz w:val="22"/>
          <w:szCs w:val="22"/>
        </w:rPr>
        <w:t xml:space="preserve"> 2025 a la fecha de resolución de la solicitud. Indicar por mes la cantidad neta pagada a cada proveedor por el concepto mencionado</w:t>
      </w:r>
      <w:r w:rsidRPr="00DD5552">
        <w:rPr>
          <w:rFonts w:ascii="Palatino Linotype" w:eastAsia="Palatino Linotype" w:hAnsi="Palatino Linotype" w:cs="Palatino Linotype"/>
          <w:b/>
          <w:i/>
          <w:sz w:val="22"/>
          <w:szCs w:val="22"/>
        </w:rPr>
        <w:t>”</w:t>
      </w:r>
      <w:r w:rsidRPr="00DD5552">
        <w:rPr>
          <w:rFonts w:ascii="Palatino Linotype" w:eastAsia="Palatino Linotype" w:hAnsi="Palatino Linotype" w:cs="Palatino Linotype"/>
          <w:i/>
          <w:sz w:val="22"/>
          <w:szCs w:val="22"/>
        </w:rPr>
        <w:t xml:space="preserve"> (sic) </w:t>
      </w:r>
    </w:p>
    <w:p w14:paraId="724A25BD"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DD5552">
        <w:rPr>
          <w:rFonts w:ascii="Palatino Linotype" w:eastAsia="Palatino Linotype" w:hAnsi="Palatino Linotype" w:cs="Palatino Linotype"/>
          <w:b/>
          <w:sz w:val="22"/>
          <w:szCs w:val="22"/>
        </w:rPr>
        <w:t>Modalidad de Entrega:</w:t>
      </w:r>
      <w:r w:rsidRPr="00DD5552">
        <w:rPr>
          <w:rFonts w:ascii="Palatino Linotype" w:eastAsia="Palatino Linotype" w:hAnsi="Palatino Linotype" w:cs="Palatino Linotype"/>
          <w:sz w:val="22"/>
          <w:szCs w:val="22"/>
        </w:rPr>
        <w:t xml:space="preserve"> a través del</w:t>
      </w:r>
      <w:r w:rsidRPr="00DD5552">
        <w:rPr>
          <w:rFonts w:ascii="Palatino Linotype" w:eastAsia="Palatino Linotype" w:hAnsi="Palatino Linotype" w:cs="Palatino Linotype"/>
          <w:b/>
          <w:sz w:val="22"/>
          <w:szCs w:val="22"/>
        </w:rPr>
        <w:t xml:space="preserve"> SAIMEX.</w:t>
      </w:r>
    </w:p>
    <w:p w14:paraId="30B2DEAA" w14:textId="1B634FD5" w:rsidR="00021569" w:rsidRPr="00DD5552" w:rsidRDefault="00146250" w:rsidP="00021569">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 xml:space="preserve">2. </w:t>
      </w:r>
      <w:r w:rsidR="00021569" w:rsidRPr="00DD5552">
        <w:rPr>
          <w:rFonts w:ascii="Palatino Linotype" w:eastAsia="Palatino Linotype" w:hAnsi="Palatino Linotype" w:cs="Palatino Linotype"/>
          <w:b/>
          <w:sz w:val="22"/>
          <w:szCs w:val="22"/>
        </w:rPr>
        <w:t xml:space="preserve">Prórroga. </w:t>
      </w:r>
      <w:r w:rsidR="00021569" w:rsidRPr="00DD5552">
        <w:rPr>
          <w:rFonts w:ascii="Palatino Linotype" w:eastAsia="Palatino Linotype" w:hAnsi="Palatino Linotype" w:cs="Palatino Linotype"/>
          <w:sz w:val="22"/>
          <w:szCs w:val="22"/>
        </w:rPr>
        <w:t xml:space="preserve">El </w:t>
      </w:r>
      <w:r w:rsidR="00021569" w:rsidRPr="00DD5552">
        <w:rPr>
          <w:rFonts w:ascii="Palatino Linotype" w:eastAsia="Palatino Linotype" w:hAnsi="Palatino Linotype" w:cs="Palatino Linotype"/>
          <w:b/>
          <w:sz w:val="22"/>
          <w:szCs w:val="22"/>
        </w:rPr>
        <w:t xml:space="preserve">veintidós de agosto de dos mil veinticinco, </w:t>
      </w:r>
      <w:r w:rsidR="00021569" w:rsidRPr="00DD5552">
        <w:rPr>
          <w:rFonts w:ascii="Palatino Linotype" w:eastAsia="Palatino Linotype" w:hAnsi="Palatino Linotype" w:cs="Palatino Linotype"/>
          <w:sz w:val="22"/>
          <w:szCs w:val="22"/>
        </w:rPr>
        <w:t xml:space="preserve">el </w:t>
      </w:r>
      <w:r w:rsidR="00021569" w:rsidRPr="00DD5552">
        <w:rPr>
          <w:rFonts w:ascii="Palatino Linotype" w:eastAsia="Palatino Linotype" w:hAnsi="Palatino Linotype" w:cs="Palatino Linotype"/>
          <w:b/>
          <w:sz w:val="22"/>
          <w:szCs w:val="22"/>
        </w:rPr>
        <w:t xml:space="preserve">Sujeto Obligado </w:t>
      </w:r>
      <w:r w:rsidR="00021569" w:rsidRPr="00DD5552">
        <w:rPr>
          <w:rFonts w:ascii="Palatino Linotype" w:eastAsia="Palatino Linotype" w:hAnsi="Palatino Linotype" w:cs="Palatino Linotype"/>
          <w:sz w:val="22"/>
          <w:szCs w:val="22"/>
        </w:rPr>
        <w:t>notificó a la persona solicitante la prórroga para dar respuesta a la solicitud</w:t>
      </w:r>
      <w:r w:rsidR="00021569" w:rsidRPr="00DD5552">
        <w:rPr>
          <w:rFonts w:ascii="Palatino Linotype" w:eastAsia="Palatino Linotype" w:hAnsi="Palatino Linotype" w:cs="Palatino Linotype"/>
          <w:b/>
          <w:sz w:val="22"/>
          <w:szCs w:val="22"/>
        </w:rPr>
        <w:t>,</w:t>
      </w:r>
      <w:r w:rsidR="00021569" w:rsidRPr="00DD5552">
        <w:rPr>
          <w:rFonts w:ascii="Palatino Linotype" w:eastAsia="Palatino Linotype" w:hAnsi="Palatino Linotype" w:cs="Palatino Linotype"/>
          <w:sz w:val="22"/>
          <w:szCs w:val="22"/>
        </w:rPr>
        <w:t xml:space="preserve"> medularmente en los siguientes términos:</w:t>
      </w:r>
    </w:p>
    <w:p w14:paraId="5914EE5B" w14:textId="708E025D" w:rsidR="00021569" w:rsidRPr="00DD5552" w:rsidRDefault="00021569" w:rsidP="00021569">
      <w:pPr>
        <w:spacing w:before="240" w:after="24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lastRenderedPageBreak/>
        <w:t>“Se notifica Acta de la Séptima Sesión Extraordinaria del Comité de Transparencia de fecha veintidós de agosto de dos mil veinticinco, en donde se aprueba la ampliación de plazo para dar respuesta a la solicitud de información de mérito.” (sic)</w:t>
      </w:r>
    </w:p>
    <w:p w14:paraId="6C25E9E4" w14:textId="75DB5267" w:rsidR="00021569" w:rsidRPr="00DD5552" w:rsidRDefault="00021569" w:rsidP="00C75183">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anexó el Acta de la Séptima Sesión Extraordinaria del Comité de Transparencia</w:t>
      </w:r>
      <w:r w:rsidR="00C75183" w:rsidRPr="00DD5552">
        <w:rPr>
          <w:rFonts w:ascii="Palatino Linotype" w:eastAsia="Palatino Linotype" w:hAnsi="Palatino Linotype" w:cs="Palatino Linotype"/>
          <w:sz w:val="22"/>
          <w:szCs w:val="22"/>
        </w:rPr>
        <w:t xml:space="preserve"> celebrada el veintidós de agosto de dos mil veinticinco, </w:t>
      </w:r>
      <w:r w:rsidRPr="00DD5552">
        <w:rPr>
          <w:rFonts w:ascii="Palatino Linotype" w:eastAsia="Palatino Linotype" w:hAnsi="Palatino Linotype" w:cs="Palatino Linotype"/>
          <w:sz w:val="22"/>
          <w:szCs w:val="22"/>
        </w:rPr>
        <w:t>mediante la cual se aprobó la ampliación del plazo para dar respuesta a la solicitud de información</w:t>
      </w:r>
      <w:r w:rsidR="00C75183" w:rsidRPr="00DD5552">
        <w:rPr>
          <w:rFonts w:ascii="Palatino Linotype" w:eastAsia="Palatino Linotype" w:hAnsi="Palatino Linotype" w:cs="Palatino Linotype"/>
          <w:sz w:val="22"/>
          <w:szCs w:val="22"/>
        </w:rPr>
        <w:t xml:space="preserve"> 00358/ALMOJU/IP/2025</w:t>
      </w:r>
      <w:r w:rsidRPr="00DD5552">
        <w:rPr>
          <w:rFonts w:ascii="Palatino Linotype" w:eastAsia="Palatino Linotype" w:hAnsi="Palatino Linotype" w:cs="Palatino Linotype"/>
          <w:sz w:val="22"/>
          <w:szCs w:val="22"/>
        </w:rPr>
        <w:t>.</w:t>
      </w:r>
    </w:p>
    <w:p w14:paraId="3C40033A" w14:textId="732F2A1B" w:rsidR="00320E68" w:rsidRPr="00DD5552" w:rsidRDefault="00021569" w:rsidP="00582D7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 xml:space="preserve">3. </w:t>
      </w:r>
      <w:r w:rsidR="00146250" w:rsidRPr="00DD5552">
        <w:rPr>
          <w:rFonts w:ascii="Palatino Linotype" w:eastAsia="Palatino Linotype" w:hAnsi="Palatino Linotype" w:cs="Palatino Linotype"/>
          <w:b/>
          <w:sz w:val="22"/>
          <w:szCs w:val="22"/>
        </w:rPr>
        <w:t xml:space="preserve">Respuesta. </w:t>
      </w:r>
      <w:r w:rsidR="00146250" w:rsidRPr="00DD5552">
        <w:rPr>
          <w:rFonts w:ascii="Palatino Linotype" w:eastAsia="Palatino Linotype" w:hAnsi="Palatino Linotype" w:cs="Palatino Linotype"/>
          <w:sz w:val="22"/>
          <w:szCs w:val="22"/>
        </w:rPr>
        <w:t xml:space="preserve">El </w:t>
      </w:r>
      <w:r w:rsidR="00BC7AF4" w:rsidRPr="00DD5552">
        <w:rPr>
          <w:rFonts w:ascii="Palatino Linotype" w:eastAsia="Palatino Linotype" w:hAnsi="Palatino Linotype" w:cs="Palatino Linotype"/>
          <w:b/>
          <w:sz w:val="22"/>
          <w:szCs w:val="22"/>
        </w:rPr>
        <w:t>dos de septiembre</w:t>
      </w:r>
      <w:r w:rsidR="00582D7E" w:rsidRPr="00DD5552">
        <w:rPr>
          <w:rFonts w:ascii="Palatino Linotype" w:eastAsia="Palatino Linotype" w:hAnsi="Palatino Linotype" w:cs="Palatino Linotype"/>
          <w:b/>
          <w:sz w:val="22"/>
          <w:szCs w:val="22"/>
        </w:rPr>
        <w:t xml:space="preserve"> de</w:t>
      </w:r>
      <w:r w:rsidR="00146250" w:rsidRPr="00DD5552">
        <w:rPr>
          <w:rFonts w:ascii="Palatino Linotype" w:eastAsia="Palatino Linotype" w:hAnsi="Palatino Linotype" w:cs="Palatino Linotype"/>
          <w:b/>
          <w:sz w:val="22"/>
          <w:szCs w:val="22"/>
        </w:rPr>
        <w:t xml:space="preserve"> dos mil veinticinco,</w:t>
      </w:r>
      <w:r w:rsidR="00146250" w:rsidRPr="00DD5552">
        <w:rPr>
          <w:rFonts w:ascii="Palatino Linotype" w:eastAsia="Palatino Linotype" w:hAnsi="Palatino Linotype" w:cs="Palatino Linotype"/>
          <w:sz w:val="22"/>
          <w:szCs w:val="22"/>
        </w:rPr>
        <w:t xml:space="preserve"> el </w:t>
      </w:r>
      <w:r w:rsidR="00146250" w:rsidRPr="00DD5552">
        <w:rPr>
          <w:rFonts w:ascii="Palatino Linotype" w:eastAsia="Palatino Linotype" w:hAnsi="Palatino Linotype" w:cs="Palatino Linotype"/>
          <w:b/>
          <w:sz w:val="22"/>
          <w:szCs w:val="22"/>
        </w:rPr>
        <w:t xml:space="preserve">Sujeto Obligado </w:t>
      </w:r>
      <w:r w:rsidR="00146250" w:rsidRPr="00DD5552">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EC89E4F" w14:textId="4A9AA753" w:rsidR="00320E68" w:rsidRPr="00DD5552" w:rsidRDefault="00146250">
      <w:pPr>
        <w:spacing w:before="240" w:after="24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00421D3C" w:rsidRPr="00DD5552">
        <w:rPr>
          <w:rFonts w:ascii="Palatino Linotype" w:eastAsia="Palatino Linotype" w:hAnsi="Palatino Linotype" w:cs="Palatino Linotype"/>
          <w:i/>
          <w:sz w:val="22"/>
          <w:szCs w:val="22"/>
        </w:rPr>
        <w:t>Por medio de oficio número ADJ/PM/TM/671/2025, se proporciona respuesta a la solicitud con folio 00358/ALMOJU/IP/2025.</w:t>
      </w:r>
      <w:r w:rsidRPr="00DD5552">
        <w:rPr>
          <w:rFonts w:ascii="Palatino Linotype" w:eastAsia="Palatino Linotype" w:hAnsi="Palatino Linotype" w:cs="Palatino Linotype"/>
          <w:i/>
          <w:sz w:val="22"/>
          <w:szCs w:val="22"/>
        </w:rPr>
        <w:t>..” (sic)</w:t>
      </w:r>
    </w:p>
    <w:p w14:paraId="56C0E80B" w14:textId="77777777" w:rsidR="007D555C" w:rsidRPr="00DD5552" w:rsidRDefault="00146250">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adjuntó </w:t>
      </w:r>
      <w:r w:rsidR="00582D7E" w:rsidRPr="00DD5552">
        <w:rPr>
          <w:rFonts w:ascii="Palatino Linotype" w:eastAsia="Palatino Linotype" w:hAnsi="Palatino Linotype" w:cs="Palatino Linotype"/>
          <w:sz w:val="22"/>
          <w:szCs w:val="22"/>
        </w:rPr>
        <w:t>el oficio número AD</w:t>
      </w:r>
      <w:r w:rsidR="00421D3C" w:rsidRPr="00DD5552">
        <w:rPr>
          <w:rFonts w:ascii="Palatino Linotype" w:eastAsia="Palatino Linotype" w:hAnsi="Palatino Linotype" w:cs="Palatino Linotype"/>
          <w:sz w:val="22"/>
          <w:szCs w:val="22"/>
        </w:rPr>
        <w:t>J/PM/671/2025</w:t>
      </w:r>
      <w:r w:rsidR="00582D7E" w:rsidRPr="00DD5552">
        <w:rPr>
          <w:rFonts w:ascii="Palatino Linotype" w:eastAsia="Palatino Linotype" w:hAnsi="Palatino Linotype" w:cs="Palatino Linotype"/>
          <w:sz w:val="22"/>
          <w:szCs w:val="22"/>
        </w:rPr>
        <w:t>, mediante el cual el</w:t>
      </w:r>
      <w:r w:rsidR="00421D3C" w:rsidRPr="00DD5552">
        <w:rPr>
          <w:rFonts w:ascii="Palatino Linotype" w:eastAsia="Palatino Linotype" w:hAnsi="Palatino Linotype" w:cs="Palatino Linotype"/>
          <w:sz w:val="22"/>
          <w:szCs w:val="22"/>
        </w:rPr>
        <w:t xml:space="preserve"> Tesorero Municipal señaló que la información requerida se encontraba disponible para su consulta en el portal de Información pública de Oficio Mexiquense, IPOMEX, específicamente en las fracciones XXV B "Ejercicio de los Egresos Presupuestarios”, XXXV A "Gasto por capítulo, concepto y partida” e I B1 "Presupuesto de Egresos", así como también en la página oficial del Ayuntamiento de Almoloya de Juárez, </w:t>
      </w:r>
      <w:r w:rsidR="007D555C" w:rsidRPr="00DD5552">
        <w:rPr>
          <w:rFonts w:ascii="Palatino Linotype" w:eastAsia="Palatino Linotype" w:hAnsi="Palatino Linotype" w:cs="Palatino Linotype"/>
          <w:sz w:val="22"/>
          <w:szCs w:val="22"/>
        </w:rPr>
        <w:t>cuyas direcciones electrónicas proporcionó en formato cerrado.</w:t>
      </w:r>
    </w:p>
    <w:p w14:paraId="2B117480" w14:textId="16F0A30C" w:rsidR="00320E68" w:rsidRPr="00DD5552" w:rsidRDefault="00421D3C">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4. </w:t>
      </w:r>
      <w:r w:rsidR="00146250" w:rsidRPr="00DD5552">
        <w:rPr>
          <w:rFonts w:ascii="Palatino Linotype" w:eastAsia="Palatino Linotype" w:hAnsi="Palatino Linotype" w:cs="Palatino Linotype"/>
          <w:b/>
          <w:sz w:val="22"/>
          <w:szCs w:val="22"/>
        </w:rPr>
        <w:t xml:space="preserve">Interposición del recurso de revisión. </w:t>
      </w:r>
      <w:r w:rsidR="00146250" w:rsidRPr="00DD5552">
        <w:rPr>
          <w:rFonts w:ascii="Palatino Linotype" w:eastAsia="Palatino Linotype" w:hAnsi="Palatino Linotype" w:cs="Palatino Linotype"/>
          <w:sz w:val="22"/>
          <w:szCs w:val="22"/>
        </w:rPr>
        <w:t xml:space="preserve">Inconforme con los términos de la respuesta emitida por parte del </w:t>
      </w:r>
      <w:r w:rsidR="00146250" w:rsidRPr="00DD5552">
        <w:rPr>
          <w:rFonts w:ascii="Palatino Linotype" w:eastAsia="Palatino Linotype" w:hAnsi="Palatino Linotype" w:cs="Palatino Linotype"/>
          <w:b/>
          <w:sz w:val="22"/>
          <w:szCs w:val="22"/>
        </w:rPr>
        <w:t>Sujeto Obligado</w:t>
      </w:r>
      <w:r w:rsidR="00146250" w:rsidRPr="00DD5552">
        <w:rPr>
          <w:rFonts w:ascii="Palatino Linotype" w:eastAsia="Palatino Linotype" w:hAnsi="Palatino Linotype" w:cs="Palatino Linotype"/>
          <w:sz w:val="22"/>
          <w:szCs w:val="22"/>
        </w:rPr>
        <w:t>, el</w:t>
      </w:r>
      <w:r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b/>
          <w:bCs/>
          <w:sz w:val="22"/>
          <w:szCs w:val="22"/>
        </w:rPr>
        <w:t>dos de septiembre</w:t>
      </w:r>
      <w:r w:rsidR="00146250" w:rsidRPr="00DD5552">
        <w:rPr>
          <w:rFonts w:ascii="Palatino Linotype" w:eastAsia="Palatino Linotype" w:hAnsi="Palatino Linotype" w:cs="Palatino Linotype"/>
          <w:b/>
          <w:sz w:val="22"/>
          <w:szCs w:val="22"/>
        </w:rPr>
        <w:t xml:space="preserve"> de dos mil veinticinco,</w:t>
      </w:r>
      <w:r w:rsidR="00146250" w:rsidRPr="00DD5552">
        <w:rPr>
          <w:rFonts w:ascii="Palatino Linotype" w:eastAsia="Palatino Linotype" w:hAnsi="Palatino Linotype" w:cs="Palatino Linotype"/>
          <w:sz w:val="22"/>
          <w:szCs w:val="22"/>
        </w:rPr>
        <w:t xml:space="preserve"> la parte </w:t>
      </w:r>
      <w:r w:rsidR="00146250" w:rsidRPr="00DD5552">
        <w:rPr>
          <w:rFonts w:ascii="Palatino Linotype" w:eastAsia="Palatino Linotype" w:hAnsi="Palatino Linotype" w:cs="Palatino Linotype"/>
          <w:b/>
          <w:sz w:val="22"/>
          <w:szCs w:val="22"/>
        </w:rPr>
        <w:t>Recurrente</w:t>
      </w:r>
      <w:r w:rsidR="00146250" w:rsidRPr="00DD5552">
        <w:rPr>
          <w:rFonts w:ascii="Palatino Linotype" w:eastAsia="Palatino Linotype" w:hAnsi="Palatino Linotype" w:cs="Palatino Linotype"/>
          <w:sz w:val="22"/>
          <w:szCs w:val="22"/>
        </w:rPr>
        <w:t xml:space="preserve"> interpuso el recurso de revisión a través de </w:t>
      </w:r>
      <w:r w:rsidR="00146250" w:rsidRPr="00DD5552">
        <w:rPr>
          <w:rFonts w:ascii="Palatino Linotype" w:eastAsia="Palatino Linotype" w:hAnsi="Palatino Linotype" w:cs="Palatino Linotype"/>
          <w:b/>
          <w:sz w:val="22"/>
          <w:szCs w:val="22"/>
        </w:rPr>
        <w:t xml:space="preserve">SAIMEX, </w:t>
      </w:r>
      <w:r w:rsidR="00146250" w:rsidRPr="00DD5552">
        <w:rPr>
          <w:rFonts w:ascii="Palatino Linotype" w:eastAsia="Palatino Linotype" w:hAnsi="Palatino Linotype" w:cs="Palatino Linotype"/>
          <w:sz w:val="22"/>
          <w:szCs w:val="22"/>
        </w:rPr>
        <w:t>en donde se manifestó de la siguiente manera:</w:t>
      </w:r>
    </w:p>
    <w:p w14:paraId="5312FECA" w14:textId="77777777" w:rsidR="00DB662E" w:rsidRPr="00DD5552" w:rsidRDefault="00DB662E">
      <w:pPr>
        <w:spacing w:before="240" w:after="240" w:line="360" w:lineRule="auto"/>
        <w:ind w:right="49"/>
        <w:jc w:val="both"/>
        <w:rPr>
          <w:rFonts w:ascii="Palatino Linotype" w:eastAsia="Palatino Linotype" w:hAnsi="Palatino Linotype" w:cs="Palatino Linotype"/>
          <w:b/>
          <w:sz w:val="22"/>
          <w:szCs w:val="22"/>
        </w:rPr>
      </w:pPr>
    </w:p>
    <w:p w14:paraId="57AF1F87" w14:textId="48BE997C" w:rsidR="00320E68" w:rsidRPr="00DD5552" w:rsidRDefault="00146250">
      <w:pPr>
        <w:spacing w:before="240" w:after="240" w:line="360" w:lineRule="auto"/>
        <w:ind w:right="49"/>
        <w:jc w:val="both"/>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lastRenderedPageBreak/>
        <w:t xml:space="preserve">Acto impugnado: </w:t>
      </w:r>
    </w:p>
    <w:p w14:paraId="74596464" w14:textId="1B385C51" w:rsidR="00320E68" w:rsidRPr="00DD5552"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00421D3C" w:rsidRPr="00DD5552">
        <w:rPr>
          <w:rFonts w:ascii="Palatino Linotype" w:eastAsia="Palatino Linotype" w:hAnsi="Palatino Linotype" w:cs="Palatino Linotype"/>
          <w:i/>
          <w:sz w:val="22"/>
          <w:szCs w:val="22"/>
        </w:rPr>
        <w:t xml:space="preserve">NO PROPORCIONA LA INFORMACIÓN SOLICITADA Se solicita indique, MONTO que se ha pagado neto a proveedores de combustible para vehículos utilitarios del H. Ayuntamiento el 1 de </w:t>
      </w:r>
      <w:proofErr w:type="gramStart"/>
      <w:r w:rsidR="00421D3C" w:rsidRPr="00DD5552">
        <w:rPr>
          <w:rFonts w:ascii="Palatino Linotype" w:eastAsia="Palatino Linotype" w:hAnsi="Palatino Linotype" w:cs="Palatino Linotype"/>
          <w:i/>
          <w:sz w:val="22"/>
          <w:szCs w:val="22"/>
        </w:rPr>
        <w:t>Enero</w:t>
      </w:r>
      <w:proofErr w:type="gramEnd"/>
      <w:r w:rsidR="00421D3C" w:rsidRPr="00DD5552">
        <w:rPr>
          <w:rFonts w:ascii="Palatino Linotype" w:eastAsia="Palatino Linotype" w:hAnsi="Palatino Linotype" w:cs="Palatino Linotype"/>
          <w:i/>
          <w:sz w:val="22"/>
          <w:szCs w:val="22"/>
        </w:rPr>
        <w:t xml:space="preserve"> 2025 a la fecha de resolución d </w:t>
      </w:r>
      <w:proofErr w:type="spellStart"/>
      <w:r w:rsidR="00421D3C" w:rsidRPr="00DD5552">
        <w:rPr>
          <w:rFonts w:ascii="Palatino Linotype" w:eastAsia="Palatino Linotype" w:hAnsi="Palatino Linotype" w:cs="Palatino Linotype"/>
          <w:i/>
          <w:sz w:val="22"/>
          <w:szCs w:val="22"/>
        </w:rPr>
        <w:t>ela</w:t>
      </w:r>
      <w:proofErr w:type="spellEnd"/>
      <w:r w:rsidR="00421D3C" w:rsidRPr="00DD5552">
        <w:rPr>
          <w:rFonts w:ascii="Palatino Linotype" w:eastAsia="Palatino Linotype" w:hAnsi="Palatino Linotype" w:cs="Palatino Linotype"/>
          <w:i/>
          <w:sz w:val="22"/>
          <w:szCs w:val="22"/>
        </w:rPr>
        <w:t xml:space="preserve"> solicitud. Indicar por </w:t>
      </w:r>
      <w:proofErr w:type="spellStart"/>
      <w:r w:rsidR="00421D3C" w:rsidRPr="00DD5552">
        <w:rPr>
          <w:rFonts w:ascii="Palatino Linotype" w:eastAsia="Palatino Linotype" w:hAnsi="Palatino Linotype" w:cs="Palatino Linotype"/>
          <w:i/>
          <w:sz w:val="22"/>
          <w:szCs w:val="22"/>
        </w:rPr>
        <w:t>mesla</w:t>
      </w:r>
      <w:proofErr w:type="spellEnd"/>
      <w:r w:rsidR="00421D3C" w:rsidRPr="00DD5552">
        <w:rPr>
          <w:rFonts w:ascii="Palatino Linotype" w:eastAsia="Palatino Linotype" w:hAnsi="Palatino Linotype" w:cs="Palatino Linotype"/>
          <w:i/>
          <w:sz w:val="22"/>
          <w:szCs w:val="22"/>
        </w:rPr>
        <w:t xml:space="preserve"> cantidad neta pagada a cada proveedor por el concepto mencionado. A lo cual solamente contestan con una liga al portal IPOMEX, mostrando solamente los presupuestos del 1 al mes de marzo 2025, lo cual no </w:t>
      </w:r>
      <w:proofErr w:type="spellStart"/>
      <w:r w:rsidR="00421D3C" w:rsidRPr="00DD5552">
        <w:rPr>
          <w:rFonts w:ascii="Palatino Linotype" w:eastAsia="Palatino Linotype" w:hAnsi="Palatino Linotype" w:cs="Palatino Linotype"/>
          <w:i/>
          <w:sz w:val="22"/>
          <w:szCs w:val="22"/>
        </w:rPr>
        <w:t>reponde</w:t>
      </w:r>
      <w:proofErr w:type="spellEnd"/>
      <w:r w:rsidR="00421D3C" w:rsidRPr="00DD5552">
        <w:rPr>
          <w:rFonts w:ascii="Palatino Linotype" w:eastAsia="Palatino Linotype" w:hAnsi="Palatino Linotype" w:cs="Palatino Linotype"/>
          <w:i/>
          <w:sz w:val="22"/>
          <w:szCs w:val="22"/>
        </w:rPr>
        <w:t xml:space="preserve"> en concepto ni los periodos solicitados de información</w:t>
      </w:r>
      <w:r w:rsidRPr="00DD5552">
        <w:rPr>
          <w:rFonts w:ascii="Palatino Linotype" w:eastAsia="Palatino Linotype" w:hAnsi="Palatino Linotype" w:cs="Palatino Linotype"/>
          <w:i/>
          <w:sz w:val="22"/>
          <w:szCs w:val="22"/>
        </w:rPr>
        <w:t>” (sic)</w:t>
      </w:r>
    </w:p>
    <w:p w14:paraId="246D552E" w14:textId="77777777" w:rsidR="00320E68" w:rsidRPr="00DD5552" w:rsidRDefault="00146250">
      <w:pPr>
        <w:spacing w:line="360" w:lineRule="auto"/>
        <w:jc w:val="both"/>
        <w:rPr>
          <w:rFonts w:ascii="Palatino Linotype" w:eastAsia="Palatino Linotype" w:hAnsi="Palatino Linotype" w:cs="Palatino Linotype"/>
          <w:sz w:val="22"/>
          <w:szCs w:val="22"/>
        </w:rPr>
      </w:pPr>
      <w:bookmarkStart w:id="5" w:name="_heading=h.30j0zll" w:colFirst="0" w:colLast="0"/>
      <w:bookmarkEnd w:id="5"/>
      <w:r w:rsidRPr="00DD5552">
        <w:rPr>
          <w:rFonts w:ascii="Palatino Linotype" w:eastAsia="Palatino Linotype" w:hAnsi="Palatino Linotype" w:cs="Palatino Linotype"/>
          <w:b/>
          <w:sz w:val="22"/>
          <w:szCs w:val="22"/>
        </w:rPr>
        <w:t>Y, Razones o motivos de inconformidad</w:t>
      </w:r>
      <w:r w:rsidRPr="00DD5552">
        <w:rPr>
          <w:rFonts w:ascii="Palatino Linotype" w:eastAsia="Palatino Linotype" w:hAnsi="Palatino Linotype" w:cs="Palatino Linotype"/>
          <w:sz w:val="22"/>
          <w:szCs w:val="22"/>
        </w:rPr>
        <w:t>:</w:t>
      </w:r>
    </w:p>
    <w:p w14:paraId="11697B23" w14:textId="7AD36ECE" w:rsidR="00320E68" w:rsidRPr="00DD5552"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00421D3C" w:rsidRPr="00DD5552">
        <w:rPr>
          <w:rFonts w:ascii="Palatino Linotype" w:eastAsia="Palatino Linotype" w:hAnsi="Palatino Linotype" w:cs="Palatino Linotype"/>
          <w:i/>
          <w:sz w:val="22"/>
          <w:szCs w:val="22"/>
        </w:rPr>
        <w:t xml:space="preserve">NO PROPORCIONA LA INFORMACIÓN SOLICITADA Se solicita indique, MONTO que se ha pagado neto a proveedores de combustible para vehículos utilitarios del H. Ayuntamiento el 1 de </w:t>
      </w:r>
      <w:proofErr w:type="gramStart"/>
      <w:r w:rsidR="00421D3C" w:rsidRPr="00DD5552">
        <w:rPr>
          <w:rFonts w:ascii="Palatino Linotype" w:eastAsia="Palatino Linotype" w:hAnsi="Palatino Linotype" w:cs="Palatino Linotype"/>
          <w:i/>
          <w:sz w:val="22"/>
          <w:szCs w:val="22"/>
        </w:rPr>
        <w:t>Enero</w:t>
      </w:r>
      <w:proofErr w:type="gramEnd"/>
      <w:r w:rsidR="00421D3C" w:rsidRPr="00DD5552">
        <w:rPr>
          <w:rFonts w:ascii="Palatino Linotype" w:eastAsia="Palatino Linotype" w:hAnsi="Palatino Linotype" w:cs="Palatino Linotype"/>
          <w:i/>
          <w:sz w:val="22"/>
          <w:szCs w:val="22"/>
        </w:rPr>
        <w:t xml:space="preserve"> 2025 a la fecha de resolución d </w:t>
      </w:r>
      <w:proofErr w:type="spellStart"/>
      <w:r w:rsidR="00421D3C" w:rsidRPr="00DD5552">
        <w:rPr>
          <w:rFonts w:ascii="Palatino Linotype" w:eastAsia="Palatino Linotype" w:hAnsi="Palatino Linotype" w:cs="Palatino Linotype"/>
          <w:i/>
          <w:sz w:val="22"/>
          <w:szCs w:val="22"/>
        </w:rPr>
        <w:t>ela</w:t>
      </w:r>
      <w:proofErr w:type="spellEnd"/>
      <w:r w:rsidR="00421D3C" w:rsidRPr="00DD5552">
        <w:rPr>
          <w:rFonts w:ascii="Palatino Linotype" w:eastAsia="Palatino Linotype" w:hAnsi="Palatino Linotype" w:cs="Palatino Linotype"/>
          <w:i/>
          <w:sz w:val="22"/>
          <w:szCs w:val="22"/>
        </w:rPr>
        <w:t xml:space="preserve"> solicitud. Indicar por </w:t>
      </w:r>
      <w:proofErr w:type="spellStart"/>
      <w:r w:rsidR="00421D3C" w:rsidRPr="00DD5552">
        <w:rPr>
          <w:rFonts w:ascii="Palatino Linotype" w:eastAsia="Palatino Linotype" w:hAnsi="Palatino Linotype" w:cs="Palatino Linotype"/>
          <w:i/>
          <w:sz w:val="22"/>
          <w:szCs w:val="22"/>
        </w:rPr>
        <w:t>mesla</w:t>
      </w:r>
      <w:proofErr w:type="spellEnd"/>
      <w:r w:rsidR="00421D3C" w:rsidRPr="00DD5552">
        <w:rPr>
          <w:rFonts w:ascii="Palatino Linotype" w:eastAsia="Palatino Linotype" w:hAnsi="Palatino Linotype" w:cs="Palatino Linotype"/>
          <w:i/>
          <w:sz w:val="22"/>
          <w:szCs w:val="22"/>
        </w:rPr>
        <w:t xml:space="preserve"> cantidad neta pagada a cada proveedor por el concepto mencionado. A lo cual solamente contestan con una liga al portal IPOMEX, mostrando solamente los presupuestos del 1 al mes de marzo 2025, lo cual no </w:t>
      </w:r>
      <w:proofErr w:type="spellStart"/>
      <w:r w:rsidR="00421D3C" w:rsidRPr="00DD5552">
        <w:rPr>
          <w:rFonts w:ascii="Palatino Linotype" w:eastAsia="Palatino Linotype" w:hAnsi="Palatino Linotype" w:cs="Palatino Linotype"/>
          <w:i/>
          <w:sz w:val="22"/>
          <w:szCs w:val="22"/>
        </w:rPr>
        <w:t>reponde</w:t>
      </w:r>
      <w:proofErr w:type="spellEnd"/>
      <w:r w:rsidR="00421D3C" w:rsidRPr="00DD5552">
        <w:rPr>
          <w:rFonts w:ascii="Palatino Linotype" w:eastAsia="Palatino Linotype" w:hAnsi="Palatino Linotype" w:cs="Palatino Linotype"/>
          <w:i/>
          <w:sz w:val="22"/>
          <w:szCs w:val="22"/>
        </w:rPr>
        <w:t xml:space="preserve"> en concepto ni los periodos solicitados de información</w:t>
      </w:r>
      <w:r w:rsidR="00F21F92"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i/>
          <w:sz w:val="22"/>
          <w:szCs w:val="22"/>
        </w:rPr>
        <w:t>” (sic)</w:t>
      </w:r>
    </w:p>
    <w:p w14:paraId="16A5B4C0" w14:textId="14E89999" w:rsidR="00320E68" w:rsidRPr="00DD5552" w:rsidRDefault="00421D3C">
      <w:pPr>
        <w:spacing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5</w:t>
      </w:r>
      <w:r w:rsidR="00146250" w:rsidRPr="00DD5552">
        <w:rPr>
          <w:rFonts w:ascii="Palatino Linotype" w:eastAsia="Palatino Linotype" w:hAnsi="Palatino Linotype" w:cs="Palatino Linotype"/>
          <w:b/>
          <w:sz w:val="22"/>
          <w:szCs w:val="22"/>
        </w:rPr>
        <w:t xml:space="preserve">. Turno. </w:t>
      </w:r>
      <w:r w:rsidR="00146250" w:rsidRPr="00DD555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46250" w:rsidRPr="00DD5552">
        <w:rPr>
          <w:rFonts w:ascii="Palatino Linotype" w:eastAsia="Palatino Linotype" w:hAnsi="Palatino Linotype" w:cs="Palatino Linotype"/>
          <w:b/>
          <w:sz w:val="22"/>
          <w:szCs w:val="22"/>
        </w:rPr>
        <w:t xml:space="preserve">Guadalupe Ramírez Peña, </w:t>
      </w:r>
      <w:r w:rsidR="00146250" w:rsidRPr="00DD5552">
        <w:rPr>
          <w:rFonts w:ascii="Palatino Linotype" w:eastAsia="Palatino Linotype" w:hAnsi="Palatino Linotype" w:cs="Palatino Linotype"/>
          <w:sz w:val="22"/>
          <w:szCs w:val="22"/>
        </w:rPr>
        <w:t xml:space="preserve">a efecto de que analizara sobre su admisión o su </w:t>
      </w:r>
      <w:proofErr w:type="spellStart"/>
      <w:r w:rsidR="00146250" w:rsidRPr="00DD5552">
        <w:rPr>
          <w:rFonts w:ascii="Palatino Linotype" w:eastAsia="Palatino Linotype" w:hAnsi="Palatino Linotype" w:cs="Palatino Linotype"/>
          <w:sz w:val="22"/>
          <w:szCs w:val="22"/>
        </w:rPr>
        <w:t>desechamiento</w:t>
      </w:r>
      <w:proofErr w:type="spellEnd"/>
      <w:r w:rsidR="00146250" w:rsidRPr="00DD5552">
        <w:rPr>
          <w:rFonts w:ascii="Palatino Linotype" w:eastAsia="Palatino Linotype" w:hAnsi="Palatino Linotype" w:cs="Palatino Linotype"/>
          <w:sz w:val="22"/>
          <w:szCs w:val="22"/>
        </w:rPr>
        <w:t>.</w:t>
      </w:r>
    </w:p>
    <w:p w14:paraId="6E13E4B7" w14:textId="1BC7387C" w:rsidR="00320E68" w:rsidRPr="00DD5552" w:rsidRDefault="00421D3C">
      <w:pPr>
        <w:spacing w:before="240" w:after="240" w:line="360" w:lineRule="auto"/>
        <w:jc w:val="both"/>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6</w:t>
      </w:r>
      <w:r w:rsidR="00146250" w:rsidRPr="00DD5552">
        <w:rPr>
          <w:rFonts w:ascii="Palatino Linotype" w:eastAsia="Palatino Linotype" w:hAnsi="Palatino Linotype" w:cs="Palatino Linotype"/>
          <w:b/>
          <w:sz w:val="22"/>
          <w:szCs w:val="22"/>
        </w:rPr>
        <w:t>. Admisión del Recurso de revisión.</w:t>
      </w:r>
      <w:r w:rsidR="00146250" w:rsidRPr="00DD5552">
        <w:rPr>
          <w:rFonts w:ascii="Palatino Linotype" w:eastAsia="Palatino Linotype" w:hAnsi="Palatino Linotype" w:cs="Palatino Linotype"/>
          <w:sz w:val="22"/>
          <w:szCs w:val="22"/>
        </w:rPr>
        <w:t xml:space="preserve"> El</w:t>
      </w:r>
      <w:r w:rsidRPr="00DD5552">
        <w:rPr>
          <w:rFonts w:ascii="Palatino Linotype" w:eastAsia="Palatino Linotype" w:hAnsi="Palatino Linotype" w:cs="Palatino Linotype"/>
          <w:b/>
          <w:sz w:val="22"/>
          <w:szCs w:val="22"/>
        </w:rPr>
        <w:t xml:space="preserve"> cinco de septiembre</w:t>
      </w:r>
      <w:r w:rsidR="00146250" w:rsidRPr="00DD5552">
        <w:rPr>
          <w:rFonts w:ascii="Palatino Linotype" w:eastAsia="Palatino Linotype" w:hAnsi="Palatino Linotype" w:cs="Palatino Linotype"/>
          <w:b/>
          <w:sz w:val="22"/>
          <w:szCs w:val="22"/>
        </w:rPr>
        <w:t xml:space="preserve"> de dos mil veinticinco, </w:t>
      </w:r>
      <w:r w:rsidR="00146250" w:rsidRPr="00DD555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46250" w:rsidRPr="00DD5552">
        <w:rPr>
          <w:rFonts w:ascii="Palatino Linotype" w:eastAsia="Palatino Linotype" w:hAnsi="Palatino Linotype" w:cs="Palatino Linotype"/>
          <w:b/>
          <w:sz w:val="22"/>
          <w:szCs w:val="22"/>
        </w:rPr>
        <w:t xml:space="preserve">Sujeto Obligado </w:t>
      </w:r>
      <w:r w:rsidR="00146250" w:rsidRPr="00DD5552">
        <w:rPr>
          <w:rFonts w:ascii="Palatino Linotype" w:eastAsia="Palatino Linotype" w:hAnsi="Palatino Linotype" w:cs="Palatino Linotype"/>
          <w:sz w:val="22"/>
          <w:szCs w:val="22"/>
        </w:rPr>
        <w:t>presentara su informe justificado.</w:t>
      </w:r>
    </w:p>
    <w:p w14:paraId="37DF8D84" w14:textId="4B7CFF7A" w:rsidR="00F21F92" w:rsidRPr="00DD5552" w:rsidRDefault="00421D3C" w:rsidP="00F21F92">
      <w:pPr>
        <w:spacing w:before="240" w:after="240" w:line="360" w:lineRule="auto"/>
        <w:jc w:val="both"/>
        <w:rPr>
          <w:rFonts w:ascii="Palatino Linotype" w:eastAsia="Palatino Linotype" w:hAnsi="Palatino Linotype" w:cs="Palatino Linotype"/>
          <w:sz w:val="22"/>
          <w:szCs w:val="22"/>
        </w:rPr>
      </w:pPr>
      <w:bookmarkStart w:id="6" w:name="_heading=h.2s8eyo1" w:colFirst="0" w:colLast="0"/>
      <w:bookmarkEnd w:id="6"/>
      <w:r w:rsidRPr="00DD5552">
        <w:rPr>
          <w:rFonts w:ascii="Palatino Linotype" w:eastAsia="Palatino Linotype" w:hAnsi="Palatino Linotype" w:cs="Palatino Linotype"/>
          <w:b/>
          <w:sz w:val="22"/>
          <w:szCs w:val="22"/>
        </w:rPr>
        <w:t>7</w:t>
      </w:r>
      <w:r w:rsidR="00146250" w:rsidRPr="00DD5552">
        <w:rPr>
          <w:rFonts w:ascii="Palatino Linotype" w:eastAsia="Palatino Linotype" w:hAnsi="Palatino Linotype" w:cs="Palatino Linotype"/>
          <w:b/>
          <w:sz w:val="22"/>
          <w:szCs w:val="22"/>
        </w:rPr>
        <w:t>. Manifestaciones</w:t>
      </w:r>
      <w:r w:rsidR="00146250" w:rsidRPr="00DD5552">
        <w:rPr>
          <w:rFonts w:ascii="Palatino Linotype" w:eastAsia="Palatino Linotype" w:hAnsi="Palatino Linotype" w:cs="Palatino Linotype"/>
          <w:sz w:val="22"/>
          <w:szCs w:val="22"/>
        </w:rPr>
        <w:t xml:space="preserve">. </w:t>
      </w:r>
      <w:r w:rsidR="00F21F92" w:rsidRPr="00DD5552">
        <w:rPr>
          <w:rFonts w:ascii="Palatino Linotype" w:eastAsia="Palatino Linotype" w:hAnsi="Palatino Linotype" w:cs="Palatino Linotype"/>
          <w:sz w:val="22"/>
          <w:szCs w:val="22"/>
        </w:rPr>
        <w:t xml:space="preserve">De las constancias que obran en el expediente electrónico del SAIMEX se desprende que el </w:t>
      </w:r>
      <w:r w:rsidR="00F21F92" w:rsidRPr="00DD5552">
        <w:rPr>
          <w:rFonts w:ascii="Palatino Linotype" w:eastAsia="Palatino Linotype" w:hAnsi="Palatino Linotype" w:cs="Palatino Linotype"/>
          <w:b/>
          <w:sz w:val="22"/>
          <w:szCs w:val="22"/>
        </w:rPr>
        <w:t>Sujeto Obligado</w:t>
      </w:r>
      <w:r w:rsidR="00F21F92" w:rsidRPr="00DD5552">
        <w:rPr>
          <w:rFonts w:ascii="Palatino Linotype" w:eastAsia="Palatino Linotype" w:hAnsi="Palatino Linotype" w:cs="Palatino Linotype"/>
          <w:sz w:val="22"/>
          <w:szCs w:val="22"/>
        </w:rPr>
        <w:t xml:space="preserve"> no rindió su Informe Justificado, del mismo modo la parte</w:t>
      </w:r>
      <w:r w:rsidR="00F21F92" w:rsidRPr="00DD5552">
        <w:rPr>
          <w:rFonts w:ascii="Palatino Linotype" w:eastAsia="Palatino Linotype" w:hAnsi="Palatino Linotype" w:cs="Palatino Linotype"/>
          <w:b/>
          <w:sz w:val="22"/>
          <w:szCs w:val="22"/>
        </w:rPr>
        <w:t xml:space="preserve"> Recurrente</w:t>
      </w:r>
      <w:r w:rsidR="00F21F92" w:rsidRPr="00DD5552">
        <w:rPr>
          <w:rFonts w:ascii="Palatino Linotype" w:eastAsia="Palatino Linotype" w:hAnsi="Palatino Linotype" w:cs="Palatino Linotype"/>
          <w:sz w:val="22"/>
          <w:szCs w:val="22"/>
        </w:rPr>
        <w:t xml:space="preserve"> omitió realizar manifestaciones, como se observa a continuación:</w:t>
      </w:r>
    </w:p>
    <w:p w14:paraId="40CE44D4" w14:textId="0BF58A35" w:rsidR="00F21F92" w:rsidRPr="00DD5552" w:rsidRDefault="00421D3C" w:rsidP="00F21F92">
      <w:pPr>
        <w:spacing w:before="240" w:after="240" w:line="360" w:lineRule="auto"/>
        <w:jc w:val="both"/>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65C3C634" wp14:editId="28B5361F">
            <wp:extent cx="5612130" cy="1691640"/>
            <wp:effectExtent l="0" t="0" r="7620" b="3810"/>
            <wp:docPr id="1381374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74701" name=""/>
                    <pic:cNvPicPr/>
                  </pic:nvPicPr>
                  <pic:blipFill>
                    <a:blip r:embed="rId8"/>
                    <a:stretch>
                      <a:fillRect/>
                    </a:stretch>
                  </pic:blipFill>
                  <pic:spPr>
                    <a:xfrm>
                      <a:off x="0" y="0"/>
                      <a:ext cx="5612130" cy="1691640"/>
                    </a:xfrm>
                    <a:prstGeom prst="rect">
                      <a:avLst/>
                    </a:prstGeom>
                  </pic:spPr>
                </pic:pic>
              </a:graphicData>
            </a:graphic>
          </wp:inline>
        </w:drawing>
      </w:r>
    </w:p>
    <w:p w14:paraId="5A08F1C0" w14:textId="57AE5691" w:rsidR="00320E68" w:rsidRPr="00DD5552" w:rsidRDefault="00421D3C">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8</w:t>
      </w:r>
      <w:r w:rsidR="00146250" w:rsidRPr="00DD5552">
        <w:rPr>
          <w:rFonts w:ascii="Palatino Linotype" w:eastAsia="Palatino Linotype" w:hAnsi="Palatino Linotype" w:cs="Palatino Linotype"/>
          <w:b/>
          <w:sz w:val="22"/>
          <w:szCs w:val="22"/>
        </w:rPr>
        <w:t xml:space="preserve">. Cierre de instrucción. </w:t>
      </w:r>
      <w:r w:rsidR="00146250" w:rsidRPr="00DD555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9D3EA8" w:rsidRPr="00DD5552">
        <w:rPr>
          <w:rFonts w:ascii="Palatino Linotype" w:eastAsia="Palatino Linotype" w:hAnsi="Palatino Linotype" w:cs="Palatino Linotype"/>
          <w:b/>
          <w:sz w:val="22"/>
          <w:szCs w:val="22"/>
        </w:rPr>
        <w:t>veinti</w:t>
      </w:r>
      <w:r w:rsidR="00BF5C4F" w:rsidRPr="00DD5552">
        <w:rPr>
          <w:rFonts w:ascii="Palatino Linotype" w:eastAsia="Palatino Linotype" w:hAnsi="Palatino Linotype" w:cs="Palatino Linotype"/>
          <w:b/>
          <w:sz w:val="22"/>
          <w:szCs w:val="22"/>
        </w:rPr>
        <w:t>nueve</w:t>
      </w:r>
      <w:r w:rsidR="009D3EA8" w:rsidRPr="00DD5552">
        <w:rPr>
          <w:rFonts w:ascii="Palatino Linotype" w:eastAsia="Palatino Linotype" w:hAnsi="Palatino Linotype" w:cs="Palatino Linotype"/>
          <w:b/>
          <w:sz w:val="22"/>
          <w:szCs w:val="22"/>
        </w:rPr>
        <w:t xml:space="preserve"> de octubre</w:t>
      </w:r>
      <w:r w:rsidR="009D3EA8" w:rsidRPr="00DD5552">
        <w:rPr>
          <w:rFonts w:ascii="Palatino Linotype" w:eastAsia="Palatino Linotype" w:hAnsi="Palatino Linotype" w:cs="Palatino Linotype"/>
          <w:sz w:val="22"/>
          <w:szCs w:val="22"/>
        </w:rPr>
        <w:t xml:space="preserve"> d</w:t>
      </w:r>
      <w:r w:rsidR="00146250" w:rsidRPr="00DD5552">
        <w:rPr>
          <w:rFonts w:ascii="Palatino Linotype" w:eastAsia="Palatino Linotype" w:hAnsi="Palatino Linotype" w:cs="Palatino Linotype"/>
          <w:b/>
          <w:sz w:val="22"/>
          <w:szCs w:val="22"/>
        </w:rPr>
        <w:t>e dos mil veinticinco</w:t>
      </w:r>
      <w:r w:rsidR="00146250" w:rsidRPr="00DD5552">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2F35BB" w14:textId="67C8284F" w:rsidR="00320E68" w:rsidRPr="00DD5552" w:rsidRDefault="00421D3C">
      <w:pPr>
        <w:spacing w:before="240" w:after="240" w:line="360" w:lineRule="auto"/>
        <w:jc w:val="both"/>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9</w:t>
      </w:r>
      <w:r w:rsidR="00146250" w:rsidRPr="00DD5552">
        <w:rPr>
          <w:rFonts w:ascii="Palatino Linotype" w:eastAsia="Palatino Linotype" w:hAnsi="Palatino Linotype" w:cs="Palatino Linotype"/>
          <w:sz w:val="22"/>
          <w:szCs w:val="22"/>
        </w:rPr>
        <w:t xml:space="preserve">. </w:t>
      </w:r>
      <w:r w:rsidR="00146250" w:rsidRPr="00DD5552">
        <w:rPr>
          <w:rFonts w:ascii="Palatino Linotype" w:eastAsia="Palatino Linotype" w:hAnsi="Palatino Linotype" w:cs="Palatino Linotype"/>
          <w:b/>
          <w:sz w:val="22"/>
          <w:szCs w:val="22"/>
        </w:rPr>
        <w:t>Ampliación del término para resolver</w:t>
      </w:r>
      <w:r w:rsidR="00146250" w:rsidRPr="00DD5552">
        <w:rPr>
          <w:rFonts w:ascii="Palatino Linotype" w:eastAsia="Palatino Linotype" w:hAnsi="Palatino Linotype" w:cs="Palatino Linotype"/>
          <w:sz w:val="22"/>
          <w:szCs w:val="22"/>
        </w:rPr>
        <w:t xml:space="preserve">. El </w:t>
      </w:r>
      <w:r w:rsidR="00F21F92" w:rsidRPr="00DD5552">
        <w:rPr>
          <w:rFonts w:ascii="Palatino Linotype" w:eastAsia="Palatino Linotype" w:hAnsi="Palatino Linotype" w:cs="Palatino Linotype"/>
          <w:b/>
          <w:sz w:val="22"/>
          <w:szCs w:val="22"/>
        </w:rPr>
        <w:t>veint</w:t>
      </w:r>
      <w:r w:rsidR="00BF5C4F" w:rsidRPr="00DD5552">
        <w:rPr>
          <w:rFonts w:ascii="Palatino Linotype" w:eastAsia="Palatino Linotype" w:hAnsi="Palatino Linotype" w:cs="Palatino Linotype"/>
          <w:b/>
          <w:sz w:val="22"/>
          <w:szCs w:val="22"/>
        </w:rPr>
        <w:t>inueve</w:t>
      </w:r>
      <w:r w:rsidR="00F21F92" w:rsidRPr="00DD5552">
        <w:rPr>
          <w:rFonts w:ascii="Palatino Linotype" w:eastAsia="Palatino Linotype" w:hAnsi="Palatino Linotype" w:cs="Palatino Linotype"/>
          <w:b/>
          <w:sz w:val="22"/>
          <w:szCs w:val="22"/>
        </w:rPr>
        <w:t xml:space="preserve"> de octubre de dos mil veinticinco</w:t>
      </w:r>
      <w:r w:rsidR="00146250" w:rsidRPr="00DD555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22D1EC0"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018118" w14:textId="77777777" w:rsidR="00320E68" w:rsidRPr="00DD5552" w:rsidRDefault="00146250">
      <w:pPr>
        <w:widowControl w:val="0"/>
        <w:spacing w:before="240" w:after="240" w:line="360" w:lineRule="auto"/>
        <w:jc w:val="center"/>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II. C O N S I D E R A N D O S</w:t>
      </w:r>
    </w:p>
    <w:p w14:paraId="4CC24B49" w14:textId="18B9FE18"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Primero. Competencia.</w:t>
      </w:r>
      <w:r w:rsidRPr="00DD555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8B5EA6" w:rsidRPr="00DD555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D5552">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CF19FE"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DD5552">
        <w:rPr>
          <w:rFonts w:ascii="Palatino Linotype" w:eastAsia="Palatino Linotype" w:hAnsi="Palatino Linotype" w:cs="Palatino Linotype"/>
          <w:b/>
          <w:sz w:val="22"/>
          <w:szCs w:val="22"/>
        </w:rPr>
        <w:t xml:space="preserve">Segundo. Oportunidad y </w:t>
      </w:r>
      <w:proofErr w:type="spellStart"/>
      <w:r w:rsidRPr="00DD5552">
        <w:rPr>
          <w:rFonts w:ascii="Palatino Linotype" w:eastAsia="Palatino Linotype" w:hAnsi="Palatino Linotype" w:cs="Palatino Linotype"/>
          <w:b/>
          <w:sz w:val="22"/>
          <w:szCs w:val="22"/>
        </w:rPr>
        <w:t>Procedibilidad</w:t>
      </w:r>
      <w:proofErr w:type="spellEnd"/>
      <w:r w:rsidRPr="00DD5552">
        <w:rPr>
          <w:rFonts w:ascii="Palatino Linotype" w:eastAsia="Palatino Linotype" w:hAnsi="Palatino Linotype" w:cs="Palatino Linotype"/>
          <w:b/>
          <w:sz w:val="22"/>
          <w:szCs w:val="22"/>
        </w:rPr>
        <w:t xml:space="preserve"> del Recurso de Revisión</w:t>
      </w:r>
      <w:r w:rsidRPr="00DD5552">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DD5552">
        <w:rPr>
          <w:rFonts w:ascii="Palatino Linotype" w:eastAsia="Palatino Linotype" w:hAnsi="Palatino Linotype" w:cs="Palatino Linotype"/>
          <w:sz w:val="22"/>
          <w:szCs w:val="22"/>
        </w:rPr>
        <w:t>procedibilidad</w:t>
      </w:r>
      <w:proofErr w:type="spellEnd"/>
      <w:r w:rsidRPr="00DD5552">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28250363" w14:textId="3FE686D4"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remitió la respuesta a la solicitud de información el día </w:t>
      </w:r>
      <w:r w:rsidR="00BF5C4F" w:rsidRPr="00DD5552">
        <w:rPr>
          <w:rFonts w:ascii="Palatino Linotype" w:eastAsia="Palatino Linotype" w:hAnsi="Palatino Linotype" w:cs="Palatino Linotype"/>
          <w:b/>
          <w:sz w:val="22"/>
          <w:szCs w:val="22"/>
        </w:rPr>
        <w:t xml:space="preserve">dos de septiembre </w:t>
      </w:r>
      <w:r w:rsidRPr="00DD5552">
        <w:rPr>
          <w:rFonts w:ascii="Palatino Linotype" w:eastAsia="Palatino Linotype" w:hAnsi="Palatino Linotype" w:cs="Palatino Linotype"/>
          <w:b/>
          <w:sz w:val="22"/>
          <w:szCs w:val="22"/>
        </w:rPr>
        <w:t xml:space="preserve">de dos mil veinticinco, </w:t>
      </w:r>
      <w:r w:rsidRPr="00DD5552">
        <w:rPr>
          <w:rFonts w:ascii="Palatino Linotype" w:eastAsia="Palatino Linotype" w:hAnsi="Palatino Linotype" w:cs="Palatino Linotype"/>
          <w:sz w:val="22"/>
          <w:szCs w:val="22"/>
        </w:rPr>
        <w:t xml:space="preserve">mientras que el recurso de revisión interpuesto por la parte </w:t>
      </w:r>
      <w:r w:rsidRPr="00DD5552">
        <w:rPr>
          <w:rFonts w:ascii="Palatino Linotype" w:eastAsia="Palatino Linotype" w:hAnsi="Palatino Linotype" w:cs="Palatino Linotype"/>
          <w:b/>
          <w:sz w:val="22"/>
          <w:szCs w:val="22"/>
        </w:rPr>
        <w:t xml:space="preserve">Recurrente, </w:t>
      </w:r>
      <w:r w:rsidRPr="00DD5552">
        <w:rPr>
          <w:rFonts w:ascii="Palatino Linotype" w:eastAsia="Palatino Linotype" w:hAnsi="Palatino Linotype" w:cs="Palatino Linotype"/>
          <w:sz w:val="22"/>
          <w:szCs w:val="22"/>
        </w:rPr>
        <w:t>se tuvo por presentado el día</w:t>
      </w:r>
      <w:r w:rsidRPr="00DD5552">
        <w:rPr>
          <w:rFonts w:ascii="Palatino Linotype" w:eastAsia="Palatino Linotype" w:hAnsi="Palatino Linotype" w:cs="Palatino Linotype"/>
          <w:b/>
          <w:sz w:val="22"/>
          <w:szCs w:val="22"/>
        </w:rPr>
        <w:t xml:space="preserve"> </w:t>
      </w:r>
      <w:r w:rsidR="00BF5C4F" w:rsidRPr="00DD5552">
        <w:rPr>
          <w:rFonts w:ascii="Palatino Linotype" w:eastAsia="Palatino Linotype" w:hAnsi="Palatino Linotype" w:cs="Palatino Linotype"/>
          <w:b/>
          <w:sz w:val="22"/>
          <w:szCs w:val="22"/>
        </w:rPr>
        <w:t xml:space="preserve">dos de septiembre </w:t>
      </w:r>
      <w:r w:rsidRPr="00DD5552">
        <w:rPr>
          <w:rFonts w:ascii="Palatino Linotype" w:eastAsia="Palatino Linotype" w:hAnsi="Palatino Linotype" w:cs="Palatino Linotype"/>
          <w:b/>
          <w:sz w:val="22"/>
          <w:szCs w:val="22"/>
        </w:rPr>
        <w:t xml:space="preserve">de dos mil veinticinco, </w:t>
      </w:r>
      <w:r w:rsidRPr="00DD5552">
        <w:rPr>
          <w:rFonts w:ascii="Palatino Linotype" w:eastAsia="Palatino Linotype" w:hAnsi="Palatino Linotype" w:cs="Palatino Linotype"/>
          <w:sz w:val="22"/>
          <w:szCs w:val="22"/>
        </w:rPr>
        <w:t xml:space="preserve">esto es, </w:t>
      </w:r>
      <w:r w:rsidR="00BF5C4F" w:rsidRPr="00DD5552">
        <w:rPr>
          <w:rFonts w:ascii="Palatino Linotype" w:eastAsia="Palatino Linotype" w:hAnsi="Palatino Linotype" w:cs="Palatino Linotype"/>
          <w:sz w:val="22"/>
          <w:szCs w:val="22"/>
        </w:rPr>
        <w:t xml:space="preserve">el mismo día </w:t>
      </w:r>
      <w:r w:rsidRPr="00DD5552">
        <w:rPr>
          <w:rFonts w:ascii="Palatino Linotype" w:eastAsia="Palatino Linotype" w:hAnsi="Palatino Linotype" w:cs="Palatino Linotype"/>
          <w:sz w:val="22"/>
          <w:szCs w:val="22"/>
        </w:rPr>
        <w:t>en el que tuvo conocimiento de la respuesta impugnada. En este sentido, se concluye que el presente recurso de revisión se encuentra dentro de los márgenes temporales previstos en las disposiciones legales referidas.</w:t>
      </w:r>
    </w:p>
    <w:p w14:paraId="6D10A327" w14:textId="77777777" w:rsidR="00BF5C4F" w:rsidRPr="00DD5552" w:rsidRDefault="00BF5C4F" w:rsidP="00BF5C4F">
      <w:pPr>
        <w:spacing w:before="240" w:after="240" w:line="360" w:lineRule="auto"/>
        <w:jc w:val="both"/>
        <w:rPr>
          <w:rFonts w:ascii="Palatino Linotype" w:hAnsi="Palatino Linotype"/>
          <w:sz w:val="22"/>
          <w:szCs w:val="22"/>
        </w:rPr>
      </w:pPr>
      <w:r w:rsidRPr="00DD5552">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24FFCB7" w14:textId="77777777" w:rsidR="00BF5C4F" w:rsidRPr="00DD5552" w:rsidRDefault="00BF5C4F" w:rsidP="00BF5C4F">
      <w:pPr>
        <w:spacing w:before="120" w:after="120"/>
        <w:ind w:left="851" w:right="902"/>
        <w:jc w:val="both"/>
        <w:rPr>
          <w:rFonts w:ascii="Palatino Linotype" w:hAnsi="Palatino Linotype"/>
          <w:i/>
          <w:sz w:val="22"/>
          <w:szCs w:val="22"/>
        </w:rPr>
      </w:pPr>
      <w:r w:rsidRPr="00DD5552">
        <w:rPr>
          <w:rFonts w:ascii="Palatino Linotype" w:hAnsi="Palatino Linotype"/>
          <w:b/>
          <w:i/>
          <w:sz w:val="22"/>
          <w:szCs w:val="22"/>
        </w:rPr>
        <w:t>“RECURSO DE RECLAMACIÓN. SU INTERPOSICIÓN NO ES EXTEMPORÁNEA SI SE REALIZA ANTES DE QUE INICIE EL PLAZO PARA HACERLO</w:t>
      </w:r>
      <w:r w:rsidRPr="00DD5552">
        <w:rPr>
          <w:rFonts w:ascii="Palatino Linotype" w:hAnsi="Palatino Linotype"/>
          <w:i/>
          <w:sz w:val="22"/>
          <w:szCs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DD5552">
        <w:rPr>
          <w:rFonts w:ascii="Palatino Linotype" w:hAnsi="Palatino Linotype"/>
          <w:i/>
          <w:sz w:val="22"/>
          <w:szCs w:val="22"/>
        </w:rPr>
        <w:t>que</w:t>
      </w:r>
      <w:proofErr w:type="gramEnd"/>
      <w:r w:rsidRPr="00DD5552">
        <w:rPr>
          <w:rFonts w:ascii="Palatino Linotype" w:hAnsi="Palatino Linotype"/>
          <w:i/>
          <w:sz w:val="22"/>
          <w:szCs w:val="22"/>
        </w:rPr>
        <w:t xml:space="preserve"> si dicho recurso se interpone antes de que inicie el plazo para hacerlo, su presentación no es extemporánea.”</w:t>
      </w:r>
    </w:p>
    <w:p w14:paraId="14B66165" w14:textId="77777777" w:rsidR="00783073" w:rsidRPr="00DD5552" w:rsidRDefault="00783073" w:rsidP="00783073">
      <w:pPr>
        <w:tabs>
          <w:tab w:val="left" w:pos="7938"/>
        </w:tabs>
        <w:spacing w:before="240" w:after="240" w:line="360" w:lineRule="auto"/>
        <w:jc w:val="both"/>
        <w:rPr>
          <w:rFonts w:ascii="Palatino Linotype" w:eastAsia="Palatino Linotype" w:hAnsi="Palatino Linotype" w:cs="Palatino Linotype"/>
          <w:sz w:val="22"/>
          <w:szCs w:val="22"/>
        </w:rPr>
      </w:pPr>
      <w:bookmarkStart w:id="8" w:name="_heading=h.3znysh7" w:colFirst="0" w:colLast="0"/>
      <w:bookmarkEnd w:id="8"/>
      <w:r w:rsidRPr="00DD5552">
        <w:rPr>
          <w:rFonts w:ascii="Palatino Linotype" w:eastAsia="Palatino Linotype" w:hAnsi="Palatino Linotype" w:cs="Palatino Linotype"/>
          <w:sz w:val="22"/>
          <w:szCs w:val="22"/>
        </w:rPr>
        <w:t xml:space="preserve">Al mismo tiempo, por cuanto hace a la </w:t>
      </w:r>
      <w:proofErr w:type="spellStart"/>
      <w:r w:rsidRPr="00DD5552">
        <w:rPr>
          <w:rFonts w:ascii="Palatino Linotype" w:eastAsia="Palatino Linotype" w:hAnsi="Palatino Linotype" w:cs="Palatino Linotype"/>
          <w:sz w:val="22"/>
          <w:szCs w:val="22"/>
        </w:rPr>
        <w:t>procedibilidad</w:t>
      </w:r>
      <w:proofErr w:type="spellEnd"/>
      <w:r w:rsidRPr="00DD5552">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D1D3467" w14:textId="64BD71F6"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xml:space="preserve"> en sus motivos de inconformidad, de acuerdo al artículo 179, </w:t>
      </w:r>
      <w:r w:rsidR="00783073" w:rsidRPr="00DD5552">
        <w:rPr>
          <w:rFonts w:ascii="Palatino Linotype" w:eastAsia="Palatino Linotype" w:hAnsi="Palatino Linotype" w:cs="Palatino Linotype"/>
          <w:sz w:val="22"/>
          <w:szCs w:val="22"/>
        </w:rPr>
        <w:t>fracci</w:t>
      </w:r>
      <w:r w:rsidR="00BF5C4F" w:rsidRPr="00DD5552">
        <w:rPr>
          <w:rFonts w:ascii="Palatino Linotype" w:eastAsia="Palatino Linotype" w:hAnsi="Palatino Linotype" w:cs="Palatino Linotype"/>
          <w:sz w:val="22"/>
          <w:szCs w:val="22"/>
        </w:rPr>
        <w:t>ones</w:t>
      </w:r>
      <w:r w:rsidR="00E25252"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sz w:val="22"/>
          <w:szCs w:val="22"/>
        </w:rPr>
        <w:t>I</w:t>
      </w:r>
      <w:r w:rsidR="00BF5C4F" w:rsidRPr="00DD5552">
        <w:rPr>
          <w:rFonts w:ascii="Palatino Linotype" w:eastAsia="Palatino Linotype" w:hAnsi="Palatino Linotype" w:cs="Palatino Linotype"/>
          <w:sz w:val="22"/>
          <w:szCs w:val="22"/>
        </w:rPr>
        <w:t xml:space="preserve"> y VI</w:t>
      </w:r>
      <w:r w:rsidR="00E25252"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sz w:val="22"/>
          <w:szCs w:val="22"/>
        </w:rPr>
        <w:t>del ordenamiento legal citado, que a la letra dice</w:t>
      </w:r>
      <w:r w:rsidR="00E25252" w:rsidRPr="00DD5552">
        <w:rPr>
          <w:rFonts w:ascii="Palatino Linotype" w:eastAsia="Palatino Linotype" w:hAnsi="Palatino Linotype" w:cs="Palatino Linotype"/>
          <w:sz w:val="22"/>
          <w:szCs w:val="22"/>
        </w:rPr>
        <w:t>:</w:t>
      </w:r>
      <w:r w:rsidR="005F316E" w:rsidRPr="00DD5552">
        <w:rPr>
          <w:rFonts w:ascii="Palatino Linotype" w:eastAsia="Palatino Linotype" w:hAnsi="Palatino Linotype" w:cs="Palatino Linotype"/>
          <w:sz w:val="22"/>
          <w:szCs w:val="22"/>
        </w:rPr>
        <w:t xml:space="preserve"> </w:t>
      </w:r>
    </w:p>
    <w:p w14:paraId="14705486" w14:textId="77777777" w:rsidR="00320E68" w:rsidRPr="00DD5552" w:rsidRDefault="00146250">
      <w:pPr>
        <w:tabs>
          <w:tab w:val="left" w:pos="7938"/>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179.</w:t>
      </w:r>
      <w:r w:rsidRPr="00DD555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FB180C5" w14:textId="77777777" w:rsidR="00E25252" w:rsidRPr="00DD5552" w:rsidRDefault="00146250">
      <w:pPr>
        <w:tabs>
          <w:tab w:val="left" w:pos="7938"/>
        </w:tabs>
        <w:spacing w:before="120" w:after="120"/>
        <w:ind w:left="1134"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La negativa a la información solicitada;</w:t>
      </w:r>
    </w:p>
    <w:p w14:paraId="67B87C48" w14:textId="5DD97927" w:rsidR="00BF5C4F" w:rsidRPr="00DD5552" w:rsidRDefault="00BF5C4F">
      <w:pPr>
        <w:tabs>
          <w:tab w:val="left" w:pos="7938"/>
        </w:tabs>
        <w:spacing w:before="120" w:after="120"/>
        <w:ind w:left="1134"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w:t>
      </w:r>
      <w:r w:rsidRPr="00DD5552">
        <w:rPr>
          <w:rFonts w:ascii="Palatino Linotype" w:eastAsia="Palatino Linotype" w:hAnsi="Palatino Linotype" w:cs="Palatino Linotype"/>
          <w:i/>
          <w:sz w:val="22"/>
          <w:szCs w:val="22"/>
        </w:rPr>
        <w:t>..</w:t>
      </w:r>
    </w:p>
    <w:p w14:paraId="3E473328" w14:textId="54934155" w:rsidR="00BF5C4F" w:rsidRPr="00DD5552" w:rsidRDefault="00BF5C4F">
      <w:pPr>
        <w:tabs>
          <w:tab w:val="left" w:pos="7938"/>
        </w:tabs>
        <w:spacing w:before="120" w:after="120"/>
        <w:ind w:left="1134"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bCs/>
          <w:i/>
          <w:sz w:val="22"/>
          <w:szCs w:val="22"/>
        </w:rPr>
        <w:t>VI.</w:t>
      </w:r>
      <w:r w:rsidRPr="00DD5552">
        <w:rPr>
          <w:rFonts w:ascii="Palatino Linotype" w:eastAsia="Palatino Linotype" w:hAnsi="Palatino Linotype" w:cs="Palatino Linotype"/>
          <w:i/>
          <w:sz w:val="22"/>
          <w:szCs w:val="22"/>
        </w:rPr>
        <w:t xml:space="preserve"> La entrega de información que no corresponda con lo solicitado;”</w:t>
      </w:r>
    </w:p>
    <w:p w14:paraId="79B36E45" w14:textId="77777777" w:rsidR="00320E68" w:rsidRPr="00DD5552" w:rsidRDefault="00146250">
      <w:pPr>
        <w:spacing w:before="240" w:after="240" w:line="360" w:lineRule="auto"/>
        <w:jc w:val="both"/>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 xml:space="preserve">Tercero. Materia de la revisión. </w:t>
      </w:r>
      <w:r w:rsidRPr="00DD555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D5552">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DD5552">
        <w:rPr>
          <w:rFonts w:ascii="Palatino Linotype" w:eastAsia="Palatino Linotype" w:hAnsi="Palatino Linotype" w:cs="Palatino Linotype"/>
          <w:sz w:val="22"/>
          <w:szCs w:val="22"/>
        </w:rPr>
        <w:t xml:space="preserve">de 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o en su defecto, en caso de ser procedente, ordenar la entrega de información.</w:t>
      </w:r>
    </w:p>
    <w:p w14:paraId="739A4207"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9" w:name="_heading=h.2et92p0" w:colFirst="0" w:colLast="0"/>
      <w:bookmarkEnd w:id="9"/>
      <w:r w:rsidRPr="00DD5552">
        <w:rPr>
          <w:rFonts w:ascii="Palatino Linotype" w:eastAsia="Palatino Linotype" w:hAnsi="Palatino Linotype" w:cs="Palatino Linotype"/>
          <w:b/>
          <w:sz w:val="22"/>
          <w:szCs w:val="22"/>
        </w:rPr>
        <w:t xml:space="preserve">Cuarto. Estudio del asunto. </w:t>
      </w:r>
      <w:r w:rsidRPr="00DD5552">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E3F535"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4</w:t>
      </w:r>
      <w:r w:rsidRPr="00DD555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42FD65"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D555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FFF15F"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D5552">
        <w:rPr>
          <w:rFonts w:ascii="Palatino Linotype" w:eastAsia="Palatino Linotype" w:hAnsi="Palatino Linotype" w:cs="Palatino Linotype"/>
          <w:i/>
          <w:sz w:val="22"/>
          <w:szCs w:val="22"/>
        </w:rPr>
        <w:t>.”</w:t>
      </w:r>
    </w:p>
    <w:p w14:paraId="68DB8FA4"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228761"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12.-</w:t>
      </w:r>
      <w:r w:rsidRPr="00DD555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B0774C"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1DD5707" w14:textId="77777777" w:rsidR="00320E68" w:rsidRPr="00DD5552" w:rsidRDefault="00146250">
      <w:pPr>
        <w:spacing w:before="240" w:after="240" w:line="360" w:lineRule="auto"/>
        <w:ind w:right="-93"/>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3609F21" w14:textId="77777777" w:rsidR="00320E68" w:rsidRPr="00DD5552" w:rsidRDefault="00146250">
      <w:pPr>
        <w:spacing w:before="240" w:after="240" w:line="360" w:lineRule="auto"/>
        <w:jc w:val="both"/>
        <w:rPr>
          <w:rFonts w:ascii="Palatino Linotype" w:eastAsia="Palatino Linotype" w:hAnsi="Palatino Linotype" w:cs="Palatino Linotype"/>
          <w:b/>
          <w:sz w:val="22"/>
          <w:szCs w:val="22"/>
        </w:rPr>
      </w:pPr>
      <w:r w:rsidRPr="00DD5552">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DD5552">
        <w:rPr>
          <w:rFonts w:ascii="Palatino Linotype" w:eastAsia="Palatino Linotype" w:hAnsi="Palatino Linotype" w:cs="Palatino Linotype"/>
          <w:b/>
          <w:sz w:val="22"/>
          <w:szCs w:val="22"/>
        </w:rPr>
        <w:t xml:space="preserve"> </w:t>
      </w:r>
    </w:p>
    <w:p w14:paraId="3CC58AEE" w14:textId="77777777" w:rsidR="00320E68" w:rsidRPr="00DD5552" w:rsidRDefault="00146250">
      <w:pPr>
        <w:spacing w:before="120" w:after="120"/>
        <w:ind w:left="1134"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rPr>
        <w:t>No existe obligación de elaborar documentos ad hoc para atender las solicitudes de acceso a la información.</w:t>
      </w:r>
      <w:r w:rsidRPr="00DD555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16FB36B" w14:textId="77777777" w:rsidR="00320E68" w:rsidRPr="00DD5552" w:rsidRDefault="00146250">
      <w:pPr>
        <w:spacing w:before="120" w:after="12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42B303" w14:textId="77777777" w:rsidR="00320E68" w:rsidRPr="00DD5552" w:rsidRDefault="00146250">
      <w:pPr>
        <w:spacing w:before="120" w:after="12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ADA5B32" w14:textId="77777777" w:rsidR="00320E68" w:rsidRPr="00DD5552" w:rsidRDefault="00146250" w:rsidP="004B3E4B">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 xml:space="preserve">Artículo 3. </w:t>
      </w:r>
      <w:r w:rsidRPr="00DD5552">
        <w:rPr>
          <w:rFonts w:ascii="Palatino Linotype" w:eastAsia="Palatino Linotype" w:hAnsi="Palatino Linotype" w:cs="Palatino Linotype"/>
          <w:i/>
          <w:sz w:val="22"/>
          <w:szCs w:val="22"/>
        </w:rPr>
        <w:t>Para los efectos de la presente Ley se entenderá por:</w:t>
      </w:r>
    </w:p>
    <w:p w14:paraId="05E98218" w14:textId="77777777" w:rsidR="00320E68" w:rsidRPr="00DD5552" w:rsidRDefault="00146250" w:rsidP="004B3E4B">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6A308452" w14:textId="77777777" w:rsidR="00320E68" w:rsidRPr="00DD5552" w:rsidRDefault="00146250" w:rsidP="004B3E4B">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XI. Documento:</w:t>
      </w:r>
      <w:r w:rsidRPr="00DD5552">
        <w:rPr>
          <w:rFonts w:ascii="Palatino Linotype" w:eastAsia="Palatino Linotype" w:hAnsi="Palatino Linotype" w:cs="Palatino Linotype"/>
          <w:i/>
          <w:sz w:val="22"/>
          <w:szCs w:val="22"/>
        </w:rPr>
        <w:t xml:space="preserve"> Los expedientes, reportes, estudios, actas</w:t>
      </w:r>
      <w:r w:rsidRPr="00DD5552">
        <w:rPr>
          <w:rFonts w:ascii="Palatino Linotype" w:eastAsia="Palatino Linotype" w:hAnsi="Palatino Linotype" w:cs="Palatino Linotype"/>
          <w:b/>
          <w:i/>
          <w:sz w:val="22"/>
          <w:szCs w:val="22"/>
        </w:rPr>
        <w:t>,</w:t>
      </w:r>
      <w:r w:rsidRPr="00DD555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512111"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6E7CDD"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sz w:val="22"/>
          <w:szCs w:val="22"/>
        </w:rPr>
        <w:t>“</w:t>
      </w:r>
      <w:r w:rsidRPr="00DD555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DD555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B91581" w14:textId="77777777" w:rsidR="00320E68" w:rsidRPr="00DD5552" w:rsidRDefault="00146250">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En </w:t>
      </w:r>
      <w:proofErr w:type="gramStart"/>
      <w:r w:rsidRPr="00DD5552">
        <w:rPr>
          <w:rFonts w:ascii="Palatino Linotype" w:eastAsia="Palatino Linotype" w:hAnsi="Palatino Linotype" w:cs="Palatino Linotype"/>
          <w:i/>
          <w:sz w:val="22"/>
          <w:szCs w:val="22"/>
        </w:rPr>
        <w:t>consecuencia</w:t>
      </w:r>
      <w:proofErr w:type="gramEnd"/>
      <w:r w:rsidRPr="00DD555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17AF34B" w14:textId="77777777" w:rsidR="00320E68" w:rsidRPr="00DD5552" w:rsidRDefault="00146250">
      <w:pPr>
        <w:spacing w:before="120" w:after="120"/>
        <w:ind w:left="1134"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DD5552">
        <w:rPr>
          <w:rFonts w:ascii="Palatino Linotype" w:eastAsia="Palatino Linotype" w:hAnsi="Palatino Linotype" w:cs="Palatino Linotype"/>
          <w:i/>
          <w:sz w:val="22"/>
          <w:szCs w:val="22"/>
        </w:rPr>
        <w:t>que</w:t>
      </w:r>
      <w:proofErr w:type="gramEnd"/>
      <w:r w:rsidRPr="00DD5552">
        <w:rPr>
          <w:rFonts w:ascii="Palatino Linotype" w:eastAsia="Palatino Linotype" w:hAnsi="Palatino Linotype" w:cs="Palatino Linotype"/>
          <w:i/>
          <w:sz w:val="22"/>
          <w:szCs w:val="22"/>
        </w:rPr>
        <w:t xml:space="preserve"> en ejercicio de las atribuciones conferidas, sea generada por los Sujetos Obligados;</w:t>
      </w:r>
    </w:p>
    <w:p w14:paraId="24D460C9" w14:textId="77777777" w:rsidR="00320E68" w:rsidRPr="00DD5552" w:rsidRDefault="00146250">
      <w:pPr>
        <w:spacing w:before="120" w:after="120"/>
        <w:ind w:left="1134"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2) Que se trate de información registrada en cualquier soporte documental, </w:t>
      </w:r>
      <w:proofErr w:type="gramStart"/>
      <w:r w:rsidRPr="00DD5552">
        <w:rPr>
          <w:rFonts w:ascii="Palatino Linotype" w:eastAsia="Palatino Linotype" w:hAnsi="Palatino Linotype" w:cs="Palatino Linotype"/>
          <w:i/>
          <w:sz w:val="22"/>
          <w:szCs w:val="22"/>
        </w:rPr>
        <w:t>que</w:t>
      </w:r>
      <w:proofErr w:type="gramEnd"/>
      <w:r w:rsidRPr="00DD5552">
        <w:rPr>
          <w:rFonts w:ascii="Palatino Linotype" w:eastAsia="Palatino Linotype" w:hAnsi="Palatino Linotype" w:cs="Palatino Linotype"/>
          <w:i/>
          <w:sz w:val="22"/>
          <w:szCs w:val="22"/>
        </w:rPr>
        <w:t xml:space="preserve"> en ejercicio de las atribuciones conferidas, sea administrada por los Sujetos Obligados, y</w:t>
      </w:r>
    </w:p>
    <w:p w14:paraId="0291BF03" w14:textId="77777777" w:rsidR="00320E68" w:rsidRPr="00DD5552" w:rsidRDefault="00146250">
      <w:pPr>
        <w:spacing w:before="120" w:after="120"/>
        <w:ind w:left="1134"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3) Que se trate de información registrada en cualquier soporte documental, </w:t>
      </w:r>
      <w:proofErr w:type="gramStart"/>
      <w:r w:rsidRPr="00DD5552">
        <w:rPr>
          <w:rFonts w:ascii="Palatino Linotype" w:eastAsia="Palatino Linotype" w:hAnsi="Palatino Linotype" w:cs="Palatino Linotype"/>
          <w:i/>
          <w:sz w:val="22"/>
          <w:szCs w:val="22"/>
        </w:rPr>
        <w:t>que</w:t>
      </w:r>
      <w:proofErr w:type="gramEnd"/>
      <w:r w:rsidRPr="00DD5552">
        <w:rPr>
          <w:rFonts w:ascii="Palatino Linotype" w:eastAsia="Palatino Linotype" w:hAnsi="Palatino Linotype" w:cs="Palatino Linotype"/>
          <w:i/>
          <w:sz w:val="22"/>
          <w:szCs w:val="22"/>
        </w:rPr>
        <w:t xml:space="preserve"> en ejercicio de las atribuciones conferidas, se encuentre en posesión de los Sujetos Obligados.”</w:t>
      </w:r>
    </w:p>
    <w:p w14:paraId="2C598E36" w14:textId="77777777" w:rsidR="00320E68" w:rsidRPr="00DD5552" w:rsidRDefault="00146250">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B18956"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FEE58F1" w14:textId="77777777" w:rsidR="00320E68" w:rsidRPr="00DD5552" w:rsidRDefault="00146250">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xml:space="preserve"> requirió al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le proporcione, información consistente en lo siguiente:</w:t>
      </w:r>
    </w:p>
    <w:p w14:paraId="320C0C69" w14:textId="07530435" w:rsidR="00E05062" w:rsidRPr="00DD5552" w:rsidRDefault="00E05062" w:rsidP="006E7819">
      <w:pPr>
        <w:spacing w:before="240" w:after="240" w:line="360"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1. El monto neto que se ha pagado a proveedores de combustible para vehículos utilitarios del H. Ayuntamiento del uno de enero al dieciocho de julio de dos mil veinticinco. Indicar por mes la cantidad neta pagada a cada proveedor por el concepto mencionado.</w:t>
      </w:r>
    </w:p>
    <w:p w14:paraId="3E2C844B" w14:textId="1B37431A" w:rsidR="00130236" w:rsidRPr="00DD5552" w:rsidRDefault="00E05062" w:rsidP="00130236">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Cabe mencionar que </w:t>
      </w:r>
      <w:r w:rsidR="00130236" w:rsidRPr="00DD5552">
        <w:rPr>
          <w:rFonts w:ascii="Palatino Linotype" w:eastAsia="Palatino Linotype" w:hAnsi="Palatino Linotype" w:cs="Palatino Linotype"/>
          <w:sz w:val="22"/>
          <w:szCs w:val="22"/>
        </w:rPr>
        <w:t xml:space="preserve">parte </w:t>
      </w:r>
      <w:r w:rsidR="00130236" w:rsidRPr="00DD5552">
        <w:rPr>
          <w:rFonts w:ascii="Palatino Linotype" w:eastAsia="Palatino Linotype" w:hAnsi="Palatino Linotype" w:cs="Palatino Linotype"/>
          <w:b/>
          <w:sz w:val="22"/>
          <w:szCs w:val="22"/>
        </w:rPr>
        <w:t>Recurrente</w:t>
      </w:r>
      <w:r w:rsidR="00130236"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sz w:val="22"/>
          <w:szCs w:val="22"/>
        </w:rPr>
        <w:t xml:space="preserve">precisó que requería la información a la </w:t>
      </w:r>
      <w:r w:rsidR="00130236" w:rsidRPr="00DD5552">
        <w:rPr>
          <w:rFonts w:ascii="Palatino Linotype" w:eastAsia="Palatino Linotype" w:hAnsi="Palatino Linotype" w:cs="Palatino Linotype"/>
          <w:sz w:val="22"/>
          <w:szCs w:val="22"/>
        </w:rPr>
        <w:t>fecha de resolución de la solicitud, por lo que es ineludible señalar que la información sobre hechos que aún no se han generado debido a la temporalidad, son hechos futuros e inciertos, los cuales no se pueden determinar ya que están supeditados a la conclusión de los mismos; por lo que no es procedente que los Sujetos Obligados proporcionen dicha información.</w:t>
      </w:r>
    </w:p>
    <w:p w14:paraId="4CDC0F35" w14:textId="0B7B24E1" w:rsidR="00130236" w:rsidRPr="00DD5552" w:rsidRDefault="00130236" w:rsidP="00130236">
      <w:pPr>
        <w:spacing w:before="240" w:after="240" w:line="360" w:lineRule="auto"/>
        <w:ind w:right="-93"/>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Lo anterior se robustece con la Tesis Aislada con número de registro 209001</w:t>
      </w:r>
      <w:r w:rsidRPr="00DD5552">
        <w:rPr>
          <w:rFonts w:ascii="Palatino Linotype" w:eastAsia="Palatino Linotype" w:hAnsi="Palatino Linotype" w:cs="Palatino Linotype"/>
          <w:sz w:val="22"/>
          <w:szCs w:val="22"/>
          <w:vertAlign w:val="superscript"/>
        </w:rPr>
        <w:footnoteReference w:id="1"/>
      </w:r>
      <w:r w:rsidRPr="00DD5552">
        <w:rPr>
          <w:rFonts w:ascii="Palatino Linotype" w:eastAsia="Palatino Linotype" w:hAnsi="Palatino Linotype" w:cs="Palatino Linotype"/>
          <w:sz w:val="22"/>
          <w:szCs w:val="22"/>
        </w:rPr>
        <w:t>, de la Suprema Corte de Justicia de la Nación, emitida por los Tribunales Colegiados de Circuito, que a la letra señala:</w:t>
      </w:r>
    </w:p>
    <w:p w14:paraId="3140358D" w14:textId="77777777" w:rsidR="00130236" w:rsidRPr="00DD5552" w:rsidRDefault="00130236" w:rsidP="00130236">
      <w:pPr>
        <w:pBdr>
          <w:top w:val="nil"/>
          <w:left w:val="nil"/>
          <w:bottom w:val="nil"/>
          <w:right w:val="nil"/>
          <w:between w:val="nil"/>
        </w:pBdr>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xml:space="preserve">“ACTOS FUTUROS DE REALIZACION INCIERTA. NO PROCEDE EL JUICIO DE AMPARO CONTRA LOS. </w:t>
      </w:r>
      <w:r w:rsidRPr="00DD5552">
        <w:rPr>
          <w:rFonts w:ascii="Palatino Linotype" w:eastAsia="Palatino Linotype" w:hAnsi="Palatino Linotype" w:cs="Palatino Linotype"/>
          <w:i/>
          <w:sz w:val="22"/>
          <w:szCs w:val="22"/>
        </w:rPr>
        <w:t>Contra actos futuros de realización incierta no procede el juicio de garantías.”</w:t>
      </w:r>
    </w:p>
    <w:p w14:paraId="07533F23" w14:textId="306FFD6C" w:rsidR="00130236" w:rsidRPr="00DD5552" w:rsidRDefault="00130236" w:rsidP="00130236">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ese sentido, no es procedente la exigencia de 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xml:space="preserve"> de que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atienda su solicitud en los términos solicitados, es decir, al día de la resolución de la solicitud, pues dicha autoridad únicamente está constreñida a proporcionar la información pública que genere en uso de sus atribuciones de derecho público </w:t>
      </w:r>
      <w:r w:rsidRPr="00DD5552">
        <w:rPr>
          <w:rFonts w:ascii="Palatino Linotype" w:eastAsia="Palatino Linotype" w:hAnsi="Palatino Linotype" w:cs="Palatino Linotype"/>
          <w:b/>
          <w:bCs/>
          <w:sz w:val="22"/>
          <w:szCs w:val="22"/>
          <w:u w:val="single"/>
        </w:rPr>
        <w:t>con anterioridad a la fecha de la solicitud de información</w:t>
      </w:r>
      <w:r w:rsidRPr="00DD5552">
        <w:rPr>
          <w:rFonts w:ascii="Palatino Linotype" w:eastAsia="Palatino Linotype" w:hAnsi="Palatino Linotype" w:cs="Palatino Linotype"/>
          <w:sz w:val="22"/>
          <w:szCs w:val="22"/>
        </w:rPr>
        <w:t>, esto es al dieciocho de julio de dos mil veinticinco.</w:t>
      </w:r>
    </w:p>
    <w:p w14:paraId="47CC3164" w14:textId="16238CC5" w:rsidR="00320E68" w:rsidRPr="00DD5552" w:rsidRDefault="00130236">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Por otro lado, </w:t>
      </w:r>
      <w:r w:rsidR="00146250" w:rsidRPr="00DD5552">
        <w:rPr>
          <w:rFonts w:ascii="Palatino Linotype" w:eastAsia="Palatino Linotype" w:hAnsi="Palatino Linotype" w:cs="Palatino Linotype"/>
          <w:sz w:val="22"/>
          <w:szCs w:val="22"/>
        </w:rPr>
        <w:t>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F8FA6FC"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50613B3" w14:textId="77777777" w:rsidR="00320E68" w:rsidRPr="00DD5552" w:rsidRDefault="00146250">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152E8123" w14:textId="77777777"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77CA90E" w14:textId="5976B558" w:rsidR="00904B55" w:rsidRPr="00DD5552" w:rsidRDefault="00146250">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esta línea de pensamiento, derivado del análisis de las constancias que obran en el expediente electrónico en el que se actúa, se advirtió que la Unidad de Transparencia turnó la solicitud de información para su atención a la </w:t>
      </w:r>
      <w:r w:rsidR="00130236" w:rsidRPr="00DD5552">
        <w:rPr>
          <w:rFonts w:ascii="Palatino Linotype" w:eastAsia="Palatino Linotype" w:hAnsi="Palatino Linotype" w:cs="Palatino Linotype"/>
          <w:sz w:val="22"/>
          <w:szCs w:val="22"/>
        </w:rPr>
        <w:t xml:space="preserve">Tesorería Municipal, </w:t>
      </w:r>
      <w:r w:rsidR="003B792E" w:rsidRPr="00DD5552">
        <w:rPr>
          <w:rFonts w:ascii="Palatino Linotype" w:eastAsia="Palatino Linotype" w:hAnsi="Palatino Linotype" w:cs="Palatino Linotype"/>
          <w:sz w:val="22"/>
          <w:szCs w:val="22"/>
        </w:rPr>
        <w:t>como la dependencia competente para conocer de la información que es del interés de la persona solicitante</w:t>
      </w:r>
      <w:r w:rsidR="00904B55" w:rsidRPr="00DD5552">
        <w:rPr>
          <w:rFonts w:ascii="Palatino Linotype" w:eastAsia="Palatino Linotype" w:hAnsi="Palatino Linotype" w:cs="Palatino Linotype"/>
          <w:sz w:val="22"/>
          <w:szCs w:val="22"/>
        </w:rPr>
        <w:t>.</w:t>
      </w:r>
    </w:p>
    <w:p w14:paraId="06A7B95C" w14:textId="7E1BF644" w:rsidR="00130236" w:rsidRPr="00DD5552" w:rsidRDefault="00130236" w:rsidP="00130236">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w:t>
      </w:r>
      <w:r w:rsidR="00904B55" w:rsidRPr="00DD5552">
        <w:rPr>
          <w:rFonts w:ascii="Palatino Linotype" w:eastAsia="Palatino Linotype" w:hAnsi="Palatino Linotype" w:cs="Palatino Linotype"/>
          <w:sz w:val="22"/>
          <w:szCs w:val="22"/>
        </w:rPr>
        <w:t>s oportuno mencionar que</w:t>
      </w:r>
      <w:r w:rsidRPr="00DD5552">
        <w:rPr>
          <w:rFonts w:ascii="Palatino Linotype" w:eastAsia="Palatino Linotype" w:hAnsi="Palatino Linotype" w:cs="Palatino Linotype"/>
          <w:sz w:val="22"/>
          <w:szCs w:val="22"/>
        </w:rPr>
        <w:t xml:space="preserve"> la Tesorera Municipal es el órgano encargado de la recaudación de los ingresos municipales y </w:t>
      </w:r>
      <w:r w:rsidRPr="00DD5552">
        <w:rPr>
          <w:rFonts w:ascii="Palatino Linotype" w:eastAsia="Palatino Linotype" w:hAnsi="Palatino Linotype" w:cs="Palatino Linotype"/>
          <w:b/>
          <w:sz w:val="22"/>
          <w:szCs w:val="22"/>
        </w:rPr>
        <w:t>responsable de realizar las erogaciones</w:t>
      </w:r>
      <w:r w:rsidRPr="00DD5552">
        <w:rPr>
          <w:rFonts w:ascii="Palatino Linotype" w:eastAsia="Palatino Linotype" w:hAnsi="Palatino Linotype" w:cs="Palatino Linotype"/>
          <w:sz w:val="22"/>
          <w:szCs w:val="22"/>
        </w:rPr>
        <w:t xml:space="preserve"> que haga el ayuntamiento </w:t>
      </w:r>
      <w:r w:rsidRPr="00DD5552">
        <w:rPr>
          <w:rFonts w:ascii="Palatino Linotype" w:eastAsia="Palatino Linotype" w:hAnsi="Palatino Linotype" w:cs="Palatino Linotype"/>
          <w:b/>
          <w:sz w:val="22"/>
          <w:szCs w:val="22"/>
        </w:rPr>
        <w:t>a través de los registros contables, financieros y administrativos</w:t>
      </w:r>
      <w:r w:rsidRPr="00DD5552">
        <w:rPr>
          <w:rFonts w:ascii="Palatino Linotype" w:eastAsia="Palatino Linotype" w:hAnsi="Palatino Linotype" w:cs="Palatino Linotype"/>
          <w:sz w:val="22"/>
          <w:szCs w:val="22"/>
        </w:rPr>
        <w:t xml:space="preserve"> de los </w:t>
      </w:r>
      <w:r w:rsidRPr="00DD5552">
        <w:rPr>
          <w:rFonts w:ascii="Palatino Linotype" w:eastAsia="Palatino Linotype" w:hAnsi="Palatino Linotype" w:cs="Palatino Linotype"/>
          <w:b/>
          <w:sz w:val="22"/>
          <w:szCs w:val="22"/>
        </w:rPr>
        <w:t>ingresos</w:t>
      </w:r>
      <w:r w:rsidRPr="00DD5552">
        <w:rPr>
          <w:rFonts w:ascii="Palatino Linotype" w:eastAsia="Palatino Linotype" w:hAnsi="Palatino Linotype" w:cs="Palatino Linotype"/>
          <w:sz w:val="22"/>
          <w:szCs w:val="22"/>
        </w:rPr>
        <w:t>, egresos e inventarios; entre otras atribuciones, de conformidad con lo establecido en los artículos 93 y 95, fracciones I y IV de la Ley Orgánica Municipal del Estado de México, a saber:</w:t>
      </w:r>
    </w:p>
    <w:p w14:paraId="6B7EA575" w14:textId="77777777" w:rsidR="00130236" w:rsidRPr="00DD5552" w:rsidRDefault="00130236" w:rsidP="00124A2D">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93</w:t>
      </w:r>
      <w:r w:rsidRPr="00DD5552">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749E6BB1" w14:textId="77777777" w:rsidR="00130236" w:rsidRPr="00DD5552" w:rsidRDefault="00130236" w:rsidP="00124A2D">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7C965E9B" w14:textId="77777777" w:rsidR="00130236" w:rsidRPr="00DD5552" w:rsidRDefault="00130236" w:rsidP="00124A2D">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95</w:t>
      </w:r>
      <w:r w:rsidRPr="00DD5552">
        <w:rPr>
          <w:rFonts w:ascii="Palatino Linotype" w:eastAsia="Palatino Linotype" w:hAnsi="Palatino Linotype" w:cs="Palatino Linotype"/>
          <w:i/>
          <w:sz w:val="22"/>
          <w:szCs w:val="22"/>
        </w:rPr>
        <w:t xml:space="preserve">.- Son atribuciones del tesorero municipal: </w:t>
      </w:r>
    </w:p>
    <w:p w14:paraId="2FB86382" w14:textId="77777777" w:rsidR="00130236" w:rsidRPr="00DD5552" w:rsidRDefault="00130236" w:rsidP="00124A2D">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rPr>
        <w:t>Administrar la hacienda pública municipal</w:t>
      </w:r>
      <w:r w:rsidRPr="00DD5552">
        <w:rPr>
          <w:rFonts w:ascii="Palatino Linotype" w:eastAsia="Palatino Linotype" w:hAnsi="Palatino Linotype" w:cs="Palatino Linotype"/>
          <w:i/>
          <w:sz w:val="22"/>
          <w:szCs w:val="22"/>
        </w:rPr>
        <w:t>, de conformidad con las disposiciones legales aplicables;</w:t>
      </w:r>
    </w:p>
    <w:p w14:paraId="4FCE4E2A" w14:textId="77777777" w:rsidR="00130236" w:rsidRPr="00DD5552" w:rsidRDefault="00130236" w:rsidP="00124A2D">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18DA381F" w14:textId="3899763A" w:rsidR="00130236" w:rsidRPr="00DD5552" w:rsidRDefault="00130236" w:rsidP="00124A2D">
      <w:pPr>
        <w:spacing w:before="120" w:after="120"/>
        <w:ind w:left="851"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i/>
          <w:sz w:val="22"/>
          <w:szCs w:val="22"/>
        </w:rPr>
        <w:t>IV.</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u w:val="single"/>
        </w:rPr>
        <w:t>Llevar los registros contables, financieros y administrativos</w:t>
      </w:r>
      <w:r w:rsidRPr="00DD5552">
        <w:rPr>
          <w:rFonts w:ascii="Palatino Linotype" w:eastAsia="Palatino Linotype" w:hAnsi="Palatino Linotype" w:cs="Palatino Linotype"/>
          <w:b/>
          <w:i/>
          <w:sz w:val="22"/>
          <w:szCs w:val="22"/>
        </w:rPr>
        <w:t xml:space="preserve"> de los ingresos, egresos</w:t>
      </w:r>
      <w:r w:rsidRPr="00DD5552">
        <w:rPr>
          <w:rFonts w:ascii="Palatino Linotype" w:eastAsia="Palatino Linotype" w:hAnsi="Palatino Linotype" w:cs="Palatino Linotype"/>
          <w:i/>
          <w:sz w:val="22"/>
          <w:szCs w:val="22"/>
        </w:rPr>
        <w:t xml:space="preserve">, e </w:t>
      </w:r>
      <w:proofErr w:type="gramStart"/>
      <w:r w:rsidRPr="00DD5552">
        <w:rPr>
          <w:rFonts w:ascii="Palatino Linotype" w:eastAsia="Palatino Linotype" w:hAnsi="Palatino Linotype" w:cs="Palatino Linotype"/>
          <w:i/>
          <w:sz w:val="22"/>
          <w:szCs w:val="22"/>
        </w:rPr>
        <w:t>inventarios;…</w:t>
      </w:r>
      <w:proofErr w:type="gramEnd"/>
      <w:r w:rsidRPr="00DD5552">
        <w:rPr>
          <w:rFonts w:ascii="Palatino Linotype" w:eastAsia="Palatino Linotype" w:hAnsi="Palatino Linotype" w:cs="Palatino Linotype"/>
          <w:i/>
          <w:sz w:val="22"/>
          <w:szCs w:val="22"/>
        </w:rPr>
        <w:t>”</w:t>
      </w:r>
    </w:p>
    <w:p w14:paraId="159C80D4" w14:textId="3006F831" w:rsidR="007D555C" w:rsidRPr="00DD5552" w:rsidRDefault="00E93385" w:rsidP="000147F7">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Ahora bien, en</w:t>
      </w:r>
      <w:r w:rsidR="00124A2D" w:rsidRPr="00DD5552">
        <w:rPr>
          <w:rFonts w:ascii="Palatino Linotype" w:eastAsia="Palatino Linotype" w:hAnsi="Palatino Linotype" w:cs="Palatino Linotype"/>
          <w:sz w:val="22"/>
          <w:szCs w:val="22"/>
        </w:rPr>
        <w:t xml:space="preserve"> respuesta </w:t>
      </w:r>
      <w:r w:rsidR="00146250" w:rsidRPr="00DD5552">
        <w:rPr>
          <w:rFonts w:ascii="Palatino Linotype" w:eastAsia="Palatino Linotype" w:hAnsi="Palatino Linotype" w:cs="Palatino Linotype"/>
          <w:sz w:val="22"/>
          <w:szCs w:val="22"/>
        </w:rPr>
        <w:t xml:space="preserve">a la solicitud, la persona servidora pública habilitada </w:t>
      </w:r>
      <w:r w:rsidRPr="00DD5552">
        <w:rPr>
          <w:rFonts w:ascii="Palatino Linotype" w:eastAsia="Palatino Linotype" w:hAnsi="Palatino Linotype" w:cs="Palatino Linotype"/>
          <w:sz w:val="22"/>
          <w:szCs w:val="22"/>
        </w:rPr>
        <w:t>indicó que la información requerida se encontraba disponible para su consulta en el portal de Información pública de Oficio Mexiquense, IPOMEX, específicamente en las fracciones XXV B "Ejercicio de los Egresos Presupuestarios”, XXXV A "Gasto por capítulo, concepto y partida” e I B1 "Presupuesto de Egresos", así como también en la página oficial del Ayuntamiento de Almoloya de Juárez, a través de los siguientes enlaces electrónicos:</w:t>
      </w:r>
    </w:p>
    <w:p w14:paraId="53AB063D" w14:textId="631B4540" w:rsidR="007D555C" w:rsidRPr="00DD5552" w:rsidRDefault="007D555C" w:rsidP="007D555C">
      <w:pPr>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283C8217" wp14:editId="34577E07">
            <wp:extent cx="4752975" cy="1400175"/>
            <wp:effectExtent l="0" t="0" r="9525" b="9525"/>
            <wp:docPr id="1875657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57478" name=""/>
                    <pic:cNvPicPr/>
                  </pic:nvPicPr>
                  <pic:blipFill>
                    <a:blip r:embed="rId9"/>
                    <a:stretch>
                      <a:fillRect/>
                    </a:stretch>
                  </pic:blipFill>
                  <pic:spPr>
                    <a:xfrm>
                      <a:off x="0" y="0"/>
                      <a:ext cx="4752975" cy="1400175"/>
                    </a:xfrm>
                    <a:prstGeom prst="rect">
                      <a:avLst/>
                    </a:prstGeom>
                  </pic:spPr>
                </pic:pic>
              </a:graphicData>
            </a:graphic>
          </wp:inline>
        </w:drawing>
      </w:r>
    </w:p>
    <w:p w14:paraId="542F1074" w14:textId="6DA0F89D" w:rsidR="000147F7" w:rsidRPr="00DD5552" w:rsidRDefault="000F1053" w:rsidP="007D555C">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Sin embargo, al no estar conforme con los términos de la respuesta proporcionada, la parte </w:t>
      </w:r>
      <w:r w:rsidRPr="00DD5552">
        <w:rPr>
          <w:rFonts w:ascii="Palatino Linotype" w:eastAsia="Palatino Linotype" w:hAnsi="Palatino Linotype" w:cs="Palatino Linotype"/>
          <w:b/>
          <w:bCs/>
          <w:sz w:val="22"/>
          <w:szCs w:val="22"/>
        </w:rPr>
        <w:t xml:space="preserve">Recurrente </w:t>
      </w:r>
      <w:r w:rsidRPr="00DD5552">
        <w:rPr>
          <w:rFonts w:ascii="Palatino Linotype" w:eastAsia="Palatino Linotype" w:hAnsi="Palatino Linotype" w:cs="Palatino Linotype"/>
          <w:sz w:val="22"/>
          <w:szCs w:val="22"/>
        </w:rPr>
        <w:t xml:space="preserve">interpuso el recurso de revisión que nos ocupa, </w:t>
      </w:r>
      <w:r w:rsidR="00DB662E" w:rsidRPr="00DD5552">
        <w:rPr>
          <w:rFonts w:ascii="Palatino Linotype" w:eastAsia="Palatino Linotype" w:hAnsi="Palatino Linotype" w:cs="Palatino Linotype"/>
          <w:sz w:val="22"/>
          <w:szCs w:val="22"/>
        </w:rPr>
        <w:t xml:space="preserve">donde señaló que no le fue proporcionada la información solicitada, ya que respondieron con ligas que dirigen al portal IPOMEX, donde únicamente se muestran los presupuestos al mes de marzo de dos mil veinticinco, lo cual no responde al concepto ni los periodos solicitados de información. </w:t>
      </w:r>
    </w:p>
    <w:p w14:paraId="13C65122" w14:textId="77777777" w:rsidR="000147F7" w:rsidRPr="00DD5552" w:rsidRDefault="000147F7" w:rsidP="000147F7">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la etapa de manifestaciones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fue omiso en rendir su informe justificado, y la parte </w:t>
      </w:r>
      <w:r w:rsidRPr="00DD5552">
        <w:rPr>
          <w:rFonts w:ascii="Palatino Linotype" w:eastAsia="Palatino Linotype" w:hAnsi="Palatino Linotype" w:cs="Palatino Linotype"/>
          <w:b/>
          <w:sz w:val="22"/>
          <w:szCs w:val="22"/>
        </w:rPr>
        <w:t xml:space="preserve">Recurrente </w:t>
      </w:r>
      <w:r w:rsidRPr="00DD5552">
        <w:rPr>
          <w:rFonts w:ascii="Palatino Linotype" w:eastAsia="Palatino Linotype" w:hAnsi="Palatino Linotype" w:cs="Palatino Linotype"/>
          <w:sz w:val="22"/>
          <w:szCs w:val="22"/>
        </w:rPr>
        <w:t xml:space="preserve">fue omisa en hacer valer manifestaciones o rendir alegatos que conforme a derecho resultaran procedentes, por lo tanto, se tiene por </w:t>
      </w:r>
      <w:proofErr w:type="spellStart"/>
      <w:r w:rsidRPr="00DD5552">
        <w:rPr>
          <w:rFonts w:ascii="Palatino Linotype" w:eastAsia="Palatino Linotype" w:hAnsi="Palatino Linotype" w:cs="Palatino Linotype"/>
          <w:sz w:val="22"/>
          <w:szCs w:val="22"/>
        </w:rPr>
        <w:t>precluido</w:t>
      </w:r>
      <w:proofErr w:type="spellEnd"/>
      <w:r w:rsidRPr="00DD5552">
        <w:rPr>
          <w:rFonts w:ascii="Palatino Linotype" w:eastAsia="Palatino Linotype" w:hAnsi="Palatino Linotype" w:cs="Palatino Linotype"/>
          <w:sz w:val="22"/>
          <w:szCs w:val="22"/>
        </w:rPr>
        <w:t xml:space="preserve"> su derecho.</w:t>
      </w:r>
    </w:p>
    <w:p w14:paraId="0C8EA996" w14:textId="77777777" w:rsidR="00320E68" w:rsidRPr="00DD5552" w:rsidRDefault="00146250">
      <w:pPr>
        <w:spacing w:before="280" w:after="28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en contraposición con el motivo de inconformidad alegado por la parte </w:t>
      </w:r>
      <w:r w:rsidRPr="00DD5552">
        <w:rPr>
          <w:rFonts w:ascii="Palatino Linotype" w:eastAsia="Palatino Linotype" w:hAnsi="Palatino Linotype" w:cs="Palatino Linotype"/>
          <w:b/>
          <w:sz w:val="22"/>
          <w:szCs w:val="22"/>
        </w:rPr>
        <w:t xml:space="preserve">Recurrente, </w:t>
      </w:r>
      <w:r w:rsidRPr="00DD5552">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1A8A116" w14:textId="7034003A" w:rsidR="00A138B7" w:rsidRPr="00DD5552" w:rsidRDefault="00146250" w:rsidP="00A138B7">
      <w:pPr>
        <w:spacing w:before="240" w:after="240" w:line="372"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tal contexto, </w:t>
      </w:r>
      <w:r w:rsidR="00D43FDC" w:rsidRPr="00DD5552">
        <w:rPr>
          <w:rFonts w:ascii="Palatino Linotype" w:eastAsia="Palatino Linotype" w:hAnsi="Palatino Linotype" w:cs="Palatino Linotype"/>
          <w:sz w:val="22"/>
          <w:szCs w:val="22"/>
        </w:rPr>
        <w:t xml:space="preserve">tomando en consideración la respuesta proporcionada por </w:t>
      </w:r>
      <w:r w:rsidR="00A138B7" w:rsidRPr="00DD5552">
        <w:rPr>
          <w:rFonts w:ascii="Palatino Linotype" w:eastAsia="Palatino Linotype" w:hAnsi="Palatino Linotype" w:cs="Palatino Linotype"/>
          <w:sz w:val="22"/>
          <w:szCs w:val="22"/>
        </w:rPr>
        <w:t>la persona</w:t>
      </w:r>
      <w:r w:rsidR="00D43FDC" w:rsidRPr="00DD5552">
        <w:rPr>
          <w:rFonts w:ascii="Palatino Linotype" w:eastAsia="Palatino Linotype" w:hAnsi="Palatino Linotype" w:cs="Palatino Linotype"/>
          <w:sz w:val="22"/>
          <w:szCs w:val="22"/>
        </w:rPr>
        <w:t xml:space="preserve"> servidor</w:t>
      </w:r>
      <w:r w:rsidR="00A138B7" w:rsidRPr="00DD5552">
        <w:rPr>
          <w:rFonts w:ascii="Palatino Linotype" w:eastAsia="Palatino Linotype" w:hAnsi="Palatino Linotype" w:cs="Palatino Linotype"/>
          <w:sz w:val="22"/>
          <w:szCs w:val="22"/>
        </w:rPr>
        <w:t>a</w:t>
      </w:r>
      <w:r w:rsidR="00D43FDC" w:rsidRPr="00DD5552">
        <w:rPr>
          <w:rFonts w:ascii="Palatino Linotype" w:eastAsia="Palatino Linotype" w:hAnsi="Palatino Linotype" w:cs="Palatino Linotype"/>
          <w:sz w:val="22"/>
          <w:szCs w:val="22"/>
        </w:rPr>
        <w:t xml:space="preserve"> </w:t>
      </w:r>
      <w:r w:rsidR="00A138B7" w:rsidRPr="00DD5552">
        <w:rPr>
          <w:rFonts w:ascii="Palatino Linotype" w:eastAsia="Palatino Linotype" w:hAnsi="Palatino Linotype" w:cs="Palatino Linotype"/>
          <w:sz w:val="22"/>
          <w:szCs w:val="22"/>
        </w:rPr>
        <w:t>pública</w:t>
      </w:r>
      <w:r w:rsidR="00D43FDC" w:rsidRPr="00DD5552">
        <w:rPr>
          <w:rFonts w:ascii="Palatino Linotype" w:eastAsia="Palatino Linotype" w:hAnsi="Palatino Linotype" w:cs="Palatino Linotype"/>
          <w:sz w:val="22"/>
          <w:szCs w:val="22"/>
        </w:rPr>
        <w:t xml:space="preserve"> habilitad</w:t>
      </w:r>
      <w:r w:rsidR="00A138B7" w:rsidRPr="00DD5552">
        <w:rPr>
          <w:rFonts w:ascii="Palatino Linotype" w:eastAsia="Palatino Linotype" w:hAnsi="Palatino Linotype" w:cs="Palatino Linotype"/>
          <w:sz w:val="22"/>
          <w:szCs w:val="22"/>
        </w:rPr>
        <w:t>a</w:t>
      </w:r>
      <w:r w:rsidR="00D43FDC" w:rsidRPr="00DD5552">
        <w:rPr>
          <w:rFonts w:ascii="Palatino Linotype" w:eastAsia="Palatino Linotype" w:hAnsi="Palatino Linotype" w:cs="Palatino Linotype"/>
          <w:sz w:val="22"/>
          <w:szCs w:val="22"/>
        </w:rPr>
        <w:t xml:space="preserve"> de la </w:t>
      </w:r>
      <w:r w:rsidR="00DB662E" w:rsidRPr="00DD5552">
        <w:rPr>
          <w:rFonts w:ascii="Palatino Linotype" w:eastAsia="Palatino Linotype" w:hAnsi="Palatino Linotype" w:cs="Palatino Linotype"/>
          <w:sz w:val="22"/>
          <w:szCs w:val="22"/>
        </w:rPr>
        <w:t>Tesorería Municipal, es preciso recordar que</w:t>
      </w:r>
      <w:r w:rsidR="00FD78B2" w:rsidRPr="00DD5552">
        <w:rPr>
          <w:rFonts w:ascii="Palatino Linotype" w:eastAsia="Palatino Linotype" w:hAnsi="Palatino Linotype" w:cs="Palatino Linotype"/>
          <w:sz w:val="22"/>
          <w:szCs w:val="22"/>
        </w:rPr>
        <w:t xml:space="preserve"> si bien </w:t>
      </w:r>
      <w:r w:rsidR="00DB662E" w:rsidRPr="00DD5552">
        <w:rPr>
          <w:rFonts w:ascii="Palatino Linotype" w:eastAsia="Palatino Linotype" w:hAnsi="Palatino Linotype" w:cs="Palatino Linotype"/>
          <w:sz w:val="22"/>
          <w:szCs w:val="22"/>
        </w:rPr>
        <w:t xml:space="preserve">hizo entrega de cuatro direcciones electrónicas a través de un documento digitalizado en formato cerrado que no permite editar, modificar o procesar su contenido, es decir, no permite la reutilización de la información o la interoperabilidad de la misma, requiere que la liga electrónica sea capturada carácter por carácter, tarea que se dificulta en gran medida ya que al componerse de diversos caracteres, es decir, letras, números, signos, espacios, etcétera, existe una gran probabilidad de cometer errores en la captura, lo cual implicaría invariablemente la imposibilidad de acceder a la información, en el caso particular, de la lectura del motivo de inconformidad hecho valer por la parte </w:t>
      </w:r>
      <w:r w:rsidR="00DB662E" w:rsidRPr="00DD5552">
        <w:rPr>
          <w:rFonts w:ascii="Palatino Linotype" w:eastAsia="Palatino Linotype" w:hAnsi="Palatino Linotype" w:cs="Palatino Linotype"/>
          <w:b/>
          <w:sz w:val="22"/>
          <w:szCs w:val="22"/>
        </w:rPr>
        <w:t>Recurrente</w:t>
      </w:r>
      <w:r w:rsidR="00DB662E" w:rsidRPr="00DD5552">
        <w:rPr>
          <w:rFonts w:ascii="Palatino Linotype" w:eastAsia="Palatino Linotype" w:hAnsi="Palatino Linotype" w:cs="Palatino Linotype"/>
          <w:sz w:val="22"/>
          <w:szCs w:val="22"/>
        </w:rPr>
        <w:t xml:space="preserve"> se advierte que ésta accedió a la</w:t>
      </w:r>
      <w:r w:rsidR="00FD78B2" w:rsidRPr="00DD5552">
        <w:rPr>
          <w:rFonts w:ascii="Palatino Linotype" w:eastAsia="Palatino Linotype" w:hAnsi="Palatino Linotype" w:cs="Palatino Linotype"/>
          <w:sz w:val="22"/>
          <w:szCs w:val="22"/>
        </w:rPr>
        <w:t>s</w:t>
      </w:r>
      <w:r w:rsidR="00DB662E" w:rsidRPr="00DD5552">
        <w:rPr>
          <w:rFonts w:ascii="Palatino Linotype" w:eastAsia="Palatino Linotype" w:hAnsi="Palatino Linotype" w:cs="Palatino Linotype"/>
          <w:sz w:val="22"/>
          <w:szCs w:val="22"/>
        </w:rPr>
        <w:t xml:space="preserve"> liga</w:t>
      </w:r>
      <w:r w:rsidR="00FD78B2" w:rsidRPr="00DD5552">
        <w:rPr>
          <w:rFonts w:ascii="Palatino Linotype" w:eastAsia="Palatino Linotype" w:hAnsi="Palatino Linotype" w:cs="Palatino Linotype"/>
          <w:sz w:val="22"/>
          <w:szCs w:val="22"/>
        </w:rPr>
        <w:t>s</w:t>
      </w:r>
      <w:r w:rsidR="00DB662E" w:rsidRPr="00DD5552">
        <w:rPr>
          <w:rFonts w:ascii="Palatino Linotype" w:eastAsia="Palatino Linotype" w:hAnsi="Palatino Linotype" w:cs="Palatino Linotype"/>
          <w:sz w:val="22"/>
          <w:szCs w:val="22"/>
        </w:rPr>
        <w:t xml:space="preserve"> electrónica</w:t>
      </w:r>
      <w:r w:rsidR="00FD78B2" w:rsidRPr="00DD5552">
        <w:rPr>
          <w:rFonts w:ascii="Palatino Linotype" w:eastAsia="Palatino Linotype" w:hAnsi="Palatino Linotype" w:cs="Palatino Linotype"/>
          <w:sz w:val="22"/>
          <w:szCs w:val="22"/>
        </w:rPr>
        <w:t>s</w:t>
      </w:r>
      <w:r w:rsidR="00DB662E" w:rsidRPr="00DD5552">
        <w:rPr>
          <w:rFonts w:ascii="Palatino Linotype" w:eastAsia="Palatino Linotype" w:hAnsi="Palatino Linotype" w:cs="Palatino Linotype"/>
          <w:sz w:val="22"/>
          <w:szCs w:val="22"/>
        </w:rPr>
        <w:t xml:space="preserve">, sin embargo, no contienen la información </w:t>
      </w:r>
      <w:r w:rsidR="00FD78B2" w:rsidRPr="00DD5552">
        <w:rPr>
          <w:rFonts w:ascii="Palatino Linotype" w:eastAsia="Palatino Linotype" w:hAnsi="Palatino Linotype" w:cs="Palatino Linotype"/>
          <w:sz w:val="22"/>
          <w:szCs w:val="22"/>
        </w:rPr>
        <w:t>que es de su interés</w:t>
      </w:r>
      <w:r w:rsidR="00DB662E" w:rsidRPr="00DD5552">
        <w:rPr>
          <w:rFonts w:ascii="Palatino Linotype" w:eastAsia="Palatino Linotype" w:hAnsi="Palatino Linotype" w:cs="Palatino Linotype"/>
          <w:sz w:val="22"/>
          <w:szCs w:val="22"/>
        </w:rPr>
        <w:t xml:space="preserve">. </w:t>
      </w:r>
    </w:p>
    <w:p w14:paraId="3297CD95" w14:textId="77777777" w:rsidR="00FD78B2" w:rsidRPr="00DD5552" w:rsidRDefault="00FD78B2" w:rsidP="00FD78B2">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este sentido, es imprescindible traer a colación el artículo 161 de la Ley de Transparencia y Acceso a la Información Pública del Estado de México y Municipios</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sz w:val="22"/>
          <w:szCs w:val="22"/>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04B69B6F"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 La fuente</w:t>
      </w:r>
    </w:p>
    <w:p w14:paraId="6C759DAE"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b) El lugar y</w:t>
      </w:r>
    </w:p>
    <w:p w14:paraId="772F0A6D"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c) La forma</w:t>
      </w:r>
    </w:p>
    <w:p w14:paraId="62AFFF4A" w14:textId="77777777" w:rsidR="00FD78B2" w:rsidRPr="00DD5552" w:rsidRDefault="00FD78B2" w:rsidP="00FD78B2">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Asimismo, se establece que la fuente de la información deberá ser:</w:t>
      </w:r>
    </w:p>
    <w:p w14:paraId="14E1B84A"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 Precisa</w:t>
      </w:r>
    </w:p>
    <w:p w14:paraId="3267B2C5"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b) Concreta</w:t>
      </w:r>
    </w:p>
    <w:p w14:paraId="4F41F8C5" w14:textId="77777777" w:rsidR="00FD78B2" w:rsidRPr="00DD5552" w:rsidRDefault="00FD78B2" w:rsidP="00FD78B2">
      <w:pPr>
        <w:spacing w:before="120" w:after="120" w:line="276" w:lineRule="auto"/>
        <w:ind w:left="284"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c) Y no debe implicar que el solicitante realice una búsqueda en toda la información que se encuentre disponible.</w:t>
      </w:r>
    </w:p>
    <w:p w14:paraId="30F1892A" w14:textId="77777777" w:rsidR="00FD78B2" w:rsidRPr="00DD5552" w:rsidRDefault="00FD78B2" w:rsidP="00FD78B2">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Imperativos legales que establecen el procedimiento que deben seguir los Sujetos Obligados para que pueda tomarse como válida su orientación sobre la forma en que puede consultar la información requerida.</w:t>
      </w:r>
    </w:p>
    <w:p w14:paraId="3D27E3CE" w14:textId="1A285B02" w:rsidR="00FD78B2" w:rsidRPr="00DD5552" w:rsidRDefault="00FD78B2" w:rsidP="00FD78B2">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el caso particular, las ligas proporcionadas dirigen a lo siguiente:</w:t>
      </w:r>
    </w:p>
    <w:p w14:paraId="7A2CC301" w14:textId="77777777" w:rsidR="00FD78B2" w:rsidRPr="00DD5552" w:rsidRDefault="00875566" w:rsidP="00FD78B2">
      <w:pPr>
        <w:tabs>
          <w:tab w:val="left" w:pos="5994"/>
        </w:tabs>
        <w:spacing w:before="240" w:after="240" w:line="360" w:lineRule="auto"/>
        <w:ind w:right="49"/>
        <w:jc w:val="both"/>
        <w:rPr>
          <w:rFonts w:ascii="Palatino Linotype" w:eastAsia="Palatino Linotype" w:hAnsi="Palatino Linotype" w:cs="Palatino Linotype"/>
          <w:sz w:val="22"/>
          <w:szCs w:val="22"/>
        </w:rPr>
      </w:pPr>
      <w:hyperlink r:id="rId10" w:anchor="/info-fraccion/33/94/12" w:history="1">
        <w:r w:rsidR="00FD78B2" w:rsidRPr="00DD5552">
          <w:rPr>
            <w:rStyle w:val="Hipervnculo"/>
            <w:rFonts w:ascii="Palatino Linotype" w:eastAsia="Palatino Linotype" w:hAnsi="Palatino Linotype" w:cs="Palatino Linotype"/>
            <w:color w:val="auto"/>
            <w:sz w:val="22"/>
            <w:szCs w:val="22"/>
          </w:rPr>
          <w:t>https://ipomex.org.mx/ipomex/#/info-fraccion/33/94/12</w:t>
        </w:r>
      </w:hyperlink>
    </w:p>
    <w:p w14:paraId="3D9886F4" w14:textId="62FB47CF" w:rsidR="00FD78B2" w:rsidRPr="00DD5552" w:rsidRDefault="00FD78B2" w:rsidP="00D438CA">
      <w:pPr>
        <w:tabs>
          <w:tab w:val="left" w:pos="5994"/>
        </w:tabs>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4A95BF17" wp14:editId="1BD64662">
            <wp:extent cx="4968000" cy="2243420"/>
            <wp:effectExtent l="0" t="0" r="4445" b="5080"/>
            <wp:docPr id="907384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84976" name=""/>
                    <pic:cNvPicPr/>
                  </pic:nvPicPr>
                  <pic:blipFill>
                    <a:blip r:embed="rId11"/>
                    <a:stretch>
                      <a:fillRect/>
                    </a:stretch>
                  </pic:blipFill>
                  <pic:spPr>
                    <a:xfrm>
                      <a:off x="0" y="0"/>
                      <a:ext cx="4968000" cy="2243420"/>
                    </a:xfrm>
                    <a:prstGeom prst="rect">
                      <a:avLst/>
                    </a:prstGeom>
                  </pic:spPr>
                </pic:pic>
              </a:graphicData>
            </a:graphic>
          </wp:inline>
        </w:drawing>
      </w:r>
    </w:p>
    <w:p w14:paraId="61C5807C" w14:textId="358EBC21" w:rsidR="00670308" w:rsidRPr="00DD5552" w:rsidRDefault="00670308" w:rsidP="00D438CA">
      <w:pPr>
        <w:tabs>
          <w:tab w:val="left" w:pos="5994"/>
        </w:tabs>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3FD4132F" wp14:editId="38FD513D">
            <wp:extent cx="4860000" cy="2667005"/>
            <wp:effectExtent l="0" t="0" r="0" b="0"/>
            <wp:docPr id="2782171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17171" name=""/>
                    <pic:cNvPicPr/>
                  </pic:nvPicPr>
                  <pic:blipFill>
                    <a:blip r:embed="rId12"/>
                    <a:stretch>
                      <a:fillRect/>
                    </a:stretch>
                  </pic:blipFill>
                  <pic:spPr>
                    <a:xfrm>
                      <a:off x="0" y="0"/>
                      <a:ext cx="4860000" cy="2667005"/>
                    </a:xfrm>
                    <a:prstGeom prst="rect">
                      <a:avLst/>
                    </a:prstGeom>
                  </pic:spPr>
                </pic:pic>
              </a:graphicData>
            </a:graphic>
          </wp:inline>
        </w:drawing>
      </w:r>
    </w:p>
    <w:p w14:paraId="06DECEE7" w14:textId="4A2289EE" w:rsidR="00FD78B2" w:rsidRPr="00DD5552" w:rsidRDefault="00875566" w:rsidP="00FD78B2">
      <w:pPr>
        <w:spacing w:before="240" w:after="240" w:line="360" w:lineRule="auto"/>
        <w:ind w:right="49"/>
        <w:jc w:val="both"/>
        <w:rPr>
          <w:rFonts w:ascii="Palatino Linotype" w:eastAsia="Palatino Linotype" w:hAnsi="Palatino Linotype" w:cs="Palatino Linotype"/>
          <w:sz w:val="22"/>
          <w:szCs w:val="22"/>
        </w:rPr>
      </w:pPr>
      <w:hyperlink r:id="rId13" w:anchor="/info-fraccion/48/94/33" w:history="1">
        <w:r w:rsidR="00FD78B2" w:rsidRPr="00DD5552">
          <w:rPr>
            <w:rStyle w:val="Hipervnculo"/>
            <w:rFonts w:ascii="Palatino Linotype" w:eastAsia="Palatino Linotype" w:hAnsi="Palatino Linotype" w:cs="Palatino Linotype"/>
            <w:color w:val="auto"/>
            <w:sz w:val="22"/>
            <w:szCs w:val="22"/>
          </w:rPr>
          <w:t>https://ipomex.org.mx/ipomex/#/info-fraccion/48/94/33</w:t>
        </w:r>
      </w:hyperlink>
    </w:p>
    <w:p w14:paraId="735E6650" w14:textId="4F9E1F7C" w:rsidR="00D438CA" w:rsidRPr="00DD5552" w:rsidRDefault="00D438CA" w:rsidP="00D438CA">
      <w:pPr>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002AC5F9" wp14:editId="3DF6C8B6">
            <wp:extent cx="4860000" cy="2616965"/>
            <wp:effectExtent l="0" t="0" r="0" b="0"/>
            <wp:docPr id="761716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1613" name=""/>
                    <pic:cNvPicPr/>
                  </pic:nvPicPr>
                  <pic:blipFill>
                    <a:blip r:embed="rId14"/>
                    <a:stretch>
                      <a:fillRect/>
                    </a:stretch>
                  </pic:blipFill>
                  <pic:spPr>
                    <a:xfrm>
                      <a:off x="0" y="0"/>
                      <a:ext cx="4860000" cy="2616965"/>
                    </a:xfrm>
                    <a:prstGeom prst="rect">
                      <a:avLst/>
                    </a:prstGeom>
                  </pic:spPr>
                </pic:pic>
              </a:graphicData>
            </a:graphic>
          </wp:inline>
        </w:drawing>
      </w:r>
    </w:p>
    <w:p w14:paraId="4F3C6A76" w14:textId="32B2FC23" w:rsidR="00D438CA" w:rsidRPr="00DD5552" w:rsidRDefault="00D438CA" w:rsidP="00D438CA">
      <w:pPr>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177F884F" wp14:editId="4AEA1FE4">
            <wp:extent cx="3240000" cy="1112998"/>
            <wp:effectExtent l="0" t="0" r="0" b="0"/>
            <wp:docPr id="1550483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83553" name=""/>
                    <pic:cNvPicPr/>
                  </pic:nvPicPr>
                  <pic:blipFill rotWithShape="1">
                    <a:blip r:embed="rId15"/>
                    <a:srcRect b="26630"/>
                    <a:stretch>
                      <a:fillRect/>
                    </a:stretch>
                  </pic:blipFill>
                  <pic:spPr bwMode="auto">
                    <a:xfrm>
                      <a:off x="0" y="0"/>
                      <a:ext cx="3240000" cy="1112998"/>
                    </a:xfrm>
                    <a:prstGeom prst="rect">
                      <a:avLst/>
                    </a:prstGeom>
                    <a:ln>
                      <a:noFill/>
                    </a:ln>
                    <a:extLst>
                      <a:ext uri="{53640926-AAD7-44D8-BBD7-CCE9431645EC}">
                        <a14:shadowObscured xmlns:a14="http://schemas.microsoft.com/office/drawing/2010/main"/>
                      </a:ext>
                    </a:extLst>
                  </pic:spPr>
                </pic:pic>
              </a:graphicData>
            </a:graphic>
          </wp:inline>
        </w:drawing>
      </w:r>
    </w:p>
    <w:p w14:paraId="7F5F3242" w14:textId="27A0F306" w:rsidR="00FD78B2" w:rsidRPr="00DD5552" w:rsidRDefault="00875566" w:rsidP="00FD78B2">
      <w:pPr>
        <w:spacing w:before="240" w:after="240" w:line="360" w:lineRule="auto"/>
        <w:ind w:right="49"/>
        <w:jc w:val="both"/>
        <w:rPr>
          <w:rFonts w:ascii="Palatino Linotype" w:eastAsia="Palatino Linotype" w:hAnsi="Palatino Linotype" w:cs="Palatino Linotype"/>
          <w:sz w:val="22"/>
          <w:szCs w:val="22"/>
        </w:rPr>
      </w:pPr>
      <w:hyperlink r:id="rId16" w:anchor="/info-fraccion/92/94/1" w:history="1">
        <w:r w:rsidR="00FD78B2" w:rsidRPr="00DD5552">
          <w:rPr>
            <w:rStyle w:val="Hipervnculo"/>
            <w:rFonts w:ascii="Palatino Linotype" w:eastAsia="Palatino Linotype" w:hAnsi="Palatino Linotype" w:cs="Palatino Linotype"/>
            <w:color w:val="auto"/>
            <w:sz w:val="22"/>
            <w:szCs w:val="22"/>
          </w:rPr>
          <w:t>https://ipomex.org.mx/ipomex/#/info-fraccion/92/94/1</w:t>
        </w:r>
      </w:hyperlink>
      <w:r w:rsidR="00FD78B2" w:rsidRPr="00DD5552">
        <w:rPr>
          <w:rFonts w:ascii="Palatino Linotype" w:eastAsia="Palatino Linotype" w:hAnsi="Palatino Linotype" w:cs="Palatino Linotype"/>
          <w:sz w:val="22"/>
          <w:szCs w:val="22"/>
        </w:rPr>
        <w:t xml:space="preserve"> </w:t>
      </w:r>
    </w:p>
    <w:p w14:paraId="01737590" w14:textId="321613BD" w:rsidR="00D438CA" w:rsidRPr="00DD5552" w:rsidRDefault="00D438CA" w:rsidP="00D438CA">
      <w:pPr>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140018BF" wp14:editId="43A0E4DD">
            <wp:extent cx="4968000" cy="1944929"/>
            <wp:effectExtent l="0" t="0" r="4445" b="0"/>
            <wp:docPr id="211119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9843" name=""/>
                    <pic:cNvPicPr/>
                  </pic:nvPicPr>
                  <pic:blipFill>
                    <a:blip r:embed="rId17"/>
                    <a:stretch>
                      <a:fillRect/>
                    </a:stretch>
                  </pic:blipFill>
                  <pic:spPr>
                    <a:xfrm>
                      <a:off x="0" y="0"/>
                      <a:ext cx="4968000" cy="1944929"/>
                    </a:xfrm>
                    <a:prstGeom prst="rect">
                      <a:avLst/>
                    </a:prstGeom>
                  </pic:spPr>
                </pic:pic>
              </a:graphicData>
            </a:graphic>
          </wp:inline>
        </w:drawing>
      </w:r>
    </w:p>
    <w:p w14:paraId="72F0E4C8" w14:textId="77777777" w:rsidR="002C64E5" w:rsidRPr="00DD5552" w:rsidRDefault="00D438CA" w:rsidP="002C64E5">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6219AE2A" wp14:editId="1445E78C">
            <wp:extent cx="4968000" cy="1609906"/>
            <wp:effectExtent l="0" t="0" r="4445" b="9525"/>
            <wp:docPr id="10206759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75953" name=""/>
                    <pic:cNvPicPr/>
                  </pic:nvPicPr>
                  <pic:blipFill>
                    <a:blip r:embed="rId18"/>
                    <a:stretch>
                      <a:fillRect/>
                    </a:stretch>
                  </pic:blipFill>
                  <pic:spPr>
                    <a:xfrm>
                      <a:off x="0" y="0"/>
                      <a:ext cx="4968000" cy="1609906"/>
                    </a:xfrm>
                    <a:prstGeom prst="rect">
                      <a:avLst/>
                    </a:prstGeom>
                  </pic:spPr>
                </pic:pic>
              </a:graphicData>
            </a:graphic>
          </wp:inline>
        </w:drawing>
      </w:r>
      <w:hyperlink r:id="rId19" w:history="1">
        <w:r w:rsidR="002C64E5" w:rsidRPr="00DD5552">
          <w:rPr>
            <w:rStyle w:val="Hipervnculo"/>
            <w:rFonts w:ascii="Palatino Linotype" w:eastAsia="Palatino Linotype" w:hAnsi="Palatino Linotype" w:cs="Palatino Linotype"/>
            <w:color w:val="auto"/>
            <w:sz w:val="22"/>
            <w:szCs w:val="22"/>
          </w:rPr>
          <w:t>https://almoloyadejuarez.gob.mx/cumplimiento_a_lgcg/</w:t>
        </w:r>
      </w:hyperlink>
    </w:p>
    <w:p w14:paraId="1E85C12C" w14:textId="77777777" w:rsidR="002C64E5" w:rsidRPr="00DD5552" w:rsidRDefault="002C64E5" w:rsidP="002C64E5">
      <w:pPr>
        <w:spacing w:before="240" w:after="240" w:line="360" w:lineRule="auto"/>
        <w:ind w:right="49"/>
        <w:jc w:val="center"/>
        <w:rPr>
          <w:rFonts w:ascii="Palatino Linotype" w:eastAsia="Palatino Linotype" w:hAnsi="Palatino Linotype" w:cs="Palatino Linotype"/>
          <w:sz w:val="22"/>
          <w:szCs w:val="22"/>
        </w:rPr>
      </w:pPr>
      <w:r w:rsidRPr="00DD5552">
        <w:rPr>
          <w:rFonts w:ascii="Palatino Linotype" w:hAnsi="Palatino Linotype"/>
          <w:noProof/>
          <w:sz w:val="22"/>
          <w:szCs w:val="22"/>
        </w:rPr>
        <w:drawing>
          <wp:inline distT="0" distB="0" distL="0" distR="0" wp14:anchorId="065F2A8A" wp14:editId="6363F48A">
            <wp:extent cx="4860000" cy="2087963"/>
            <wp:effectExtent l="0" t="0" r="0" b="7620"/>
            <wp:docPr id="1039936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36093" name=""/>
                    <pic:cNvPicPr/>
                  </pic:nvPicPr>
                  <pic:blipFill>
                    <a:blip r:embed="rId20"/>
                    <a:stretch>
                      <a:fillRect/>
                    </a:stretch>
                  </pic:blipFill>
                  <pic:spPr>
                    <a:xfrm>
                      <a:off x="0" y="0"/>
                      <a:ext cx="4860000" cy="2087963"/>
                    </a:xfrm>
                    <a:prstGeom prst="rect">
                      <a:avLst/>
                    </a:prstGeom>
                  </pic:spPr>
                </pic:pic>
              </a:graphicData>
            </a:graphic>
          </wp:inline>
        </w:drawing>
      </w:r>
    </w:p>
    <w:p w14:paraId="42E54A84" w14:textId="0633C380" w:rsidR="0040757F" w:rsidRPr="00DD5552" w:rsidRDefault="006E7819" w:rsidP="00FD78B2">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Como</w:t>
      </w:r>
      <w:r w:rsidR="002C64E5" w:rsidRPr="00DD5552">
        <w:rPr>
          <w:rFonts w:ascii="Palatino Linotype" w:eastAsia="Palatino Linotype" w:hAnsi="Palatino Linotype" w:cs="Palatino Linotype"/>
          <w:sz w:val="22"/>
          <w:szCs w:val="22"/>
        </w:rPr>
        <w:t xml:space="preserve"> se</w:t>
      </w:r>
      <w:r w:rsidRPr="00DD5552">
        <w:rPr>
          <w:rFonts w:ascii="Palatino Linotype" w:eastAsia="Palatino Linotype" w:hAnsi="Palatino Linotype" w:cs="Palatino Linotype"/>
          <w:sz w:val="22"/>
          <w:szCs w:val="22"/>
        </w:rPr>
        <w:t xml:space="preserve"> logra </w:t>
      </w:r>
      <w:r w:rsidR="002C64E5" w:rsidRPr="00DD5552">
        <w:rPr>
          <w:rFonts w:ascii="Palatino Linotype" w:eastAsia="Palatino Linotype" w:hAnsi="Palatino Linotype" w:cs="Palatino Linotype"/>
          <w:sz w:val="22"/>
          <w:szCs w:val="22"/>
        </w:rPr>
        <w:t>vislumbrar</w:t>
      </w:r>
      <w:r w:rsidRPr="00DD5552">
        <w:rPr>
          <w:rFonts w:ascii="Palatino Linotype" w:eastAsia="Palatino Linotype" w:hAnsi="Palatino Linotype" w:cs="Palatino Linotype"/>
          <w:sz w:val="22"/>
          <w:szCs w:val="22"/>
        </w:rPr>
        <w:t xml:space="preserve">, la información publicada no contiene el </w:t>
      </w:r>
      <w:bookmarkStart w:id="10" w:name="_Hlk212660277"/>
      <w:r w:rsidRPr="00DD5552">
        <w:rPr>
          <w:rFonts w:ascii="Palatino Linotype" w:eastAsia="Palatino Linotype" w:hAnsi="Palatino Linotype" w:cs="Palatino Linotype"/>
          <w:sz w:val="22"/>
          <w:szCs w:val="22"/>
        </w:rPr>
        <w:t xml:space="preserve">monto </w:t>
      </w:r>
      <w:r w:rsidR="0040757F" w:rsidRPr="00DD5552">
        <w:rPr>
          <w:rFonts w:ascii="Palatino Linotype" w:eastAsia="Palatino Linotype" w:hAnsi="Palatino Linotype" w:cs="Palatino Linotype"/>
          <w:sz w:val="22"/>
          <w:szCs w:val="22"/>
        </w:rPr>
        <w:t xml:space="preserve">neto que se ha pagado por mes a cada proveedor de combustible para vehículos utilitarios del ayuntamiento, del uno de enero al dieciocho de julio de dos mil veinticinco, tal como lo hizo valer la parte </w:t>
      </w:r>
      <w:r w:rsidR="0040757F" w:rsidRPr="00DD5552">
        <w:rPr>
          <w:rFonts w:ascii="Palatino Linotype" w:eastAsia="Palatino Linotype" w:hAnsi="Palatino Linotype" w:cs="Palatino Linotype"/>
          <w:b/>
          <w:bCs/>
          <w:sz w:val="22"/>
          <w:szCs w:val="22"/>
        </w:rPr>
        <w:t xml:space="preserve">Recurrente </w:t>
      </w:r>
      <w:r w:rsidR="0040757F" w:rsidRPr="00DD5552">
        <w:rPr>
          <w:rFonts w:ascii="Palatino Linotype" w:eastAsia="Palatino Linotype" w:hAnsi="Palatino Linotype" w:cs="Palatino Linotype"/>
          <w:sz w:val="22"/>
          <w:szCs w:val="22"/>
        </w:rPr>
        <w:t>en su recurso de revisión, por lo tanto, no puede tenerse por satisfecho su Derecho de acceso, y para tal efecto, es necesario que previa búsqueda exhaustiva y razonable, se haga entrega del soporte documental que dé cuenta de lo solicitado al mayor grado de desagregación posible.</w:t>
      </w:r>
    </w:p>
    <w:p w14:paraId="6261CCA5" w14:textId="382DA1D4" w:rsidR="00783816" w:rsidRPr="00DD5552" w:rsidRDefault="00311C7D" w:rsidP="00783816">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Para tales </w:t>
      </w:r>
      <w:r w:rsidR="002C64E5" w:rsidRPr="00DD5552">
        <w:rPr>
          <w:rFonts w:ascii="Palatino Linotype" w:eastAsia="Palatino Linotype" w:hAnsi="Palatino Linotype" w:cs="Palatino Linotype"/>
          <w:sz w:val="22"/>
          <w:szCs w:val="22"/>
        </w:rPr>
        <w:t xml:space="preserve">efectos, </w:t>
      </w:r>
      <w:bookmarkEnd w:id="10"/>
      <w:r w:rsidR="00146250" w:rsidRPr="00DD5552">
        <w:rPr>
          <w:rFonts w:ascii="Palatino Linotype" w:eastAsia="Palatino Linotype" w:hAnsi="Palatino Linotype" w:cs="Palatino Linotype"/>
          <w:sz w:val="22"/>
          <w:szCs w:val="22"/>
        </w:rPr>
        <w:t xml:space="preserve">por lo que se refiere a la materia de la solicitud, </w:t>
      </w:r>
      <w:r w:rsidR="00783816" w:rsidRPr="00DD5552">
        <w:rPr>
          <w:rFonts w:ascii="Palatino Linotype" w:eastAsia="Palatino Linotype" w:hAnsi="Palatino Linotype" w:cs="Palatino Linotype"/>
          <w:sz w:val="22"/>
          <w:szCs w:val="22"/>
        </w:rPr>
        <w:t>se debe partir de lo dispuesto en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5CF4CE20"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342.-</w:t>
      </w:r>
      <w:r w:rsidRPr="00DD5552">
        <w:rPr>
          <w:rFonts w:ascii="Palatino Linotype" w:eastAsia="Palatino Linotype" w:hAnsi="Palatino Linotype" w:cs="Palatino Linotype"/>
          <w:i/>
          <w:sz w:val="22"/>
          <w:szCs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DD5552">
        <w:rPr>
          <w:rFonts w:ascii="Palatino Linotype" w:eastAsia="Palatino Linotype" w:hAnsi="Palatino Linotype" w:cs="Palatino Linotype"/>
          <w:i/>
          <w:sz w:val="22"/>
          <w:szCs w:val="22"/>
        </w:rPr>
        <w:t>presupuestación</w:t>
      </w:r>
      <w:proofErr w:type="spellEnd"/>
      <w:r w:rsidRPr="00DD5552">
        <w:rPr>
          <w:rFonts w:ascii="Palatino Linotype" w:eastAsia="Palatino Linotype" w:hAnsi="Palatino Linotype" w:cs="Palatino Linotype"/>
          <w:i/>
          <w:sz w:val="22"/>
          <w:szCs w:val="22"/>
        </w:rPr>
        <w:t>, evaluación y contabilidad gubernamental.</w:t>
      </w:r>
    </w:p>
    <w:p w14:paraId="369488F4"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En el caso de los municipios,</w:t>
      </w:r>
      <w:r w:rsidRPr="00DD5552">
        <w:rPr>
          <w:rFonts w:ascii="Palatino Linotype" w:eastAsia="Palatino Linotype" w:hAnsi="Palatino Linotype" w:cs="Palatino Linotype"/>
          <w:i/>
          <w:sz w:val="22"/>
          <w:szCs w:val="22"/>
        </w:rPr>
        <w:t xml:space="preserve"> el registro a que se refiere el párrafo anterior, se realizará conforme al sistema y a las disposiciones en materia de </w:t>
      </w:r>
      <w:r w:rsidRPr="00DD5552">
        <w:rPr>
          <w:rFonts w:ascii="Palatino Linotype" w:eastAsia="Palatino Linotype" w:hAnsi="Palatino Linotype" w:cs="Palatino Linotype"/>
          <w:b/>
          <w:i/>
          <w:sz w:val="22"/>
          <w:szCs w:val="22"/>
        </w:rPr>
        <w:t xml:space="preserve">planeación, programación, </w:t>
      </w:r>
      <w:proofErr w:type="spellStart"/>
      <w:r w:rsidRPr="00DD5552">
        <w:rPr>
          <w:rFonts w:ascii="Palatino Linotype" w:eastAsia="Palatino Linotype" w:hAnsi="Palatino Linotype" w:cs="Palatino Linotype"/>
          <w:b/>
          <w:i/>
          <w:sz w:val="22"/>
          <w:szCs w:val="22"/>
        </w:rPr>
        <w:t>presupuestación</w:t>
      </w:r>
      <w:proofErr w:type="spellEnd"/>
      <w:r w:rsidRPr="00DD5552">
        <w:rPr>
          <w:rFonts w:ascii="Palatino Linotype" w:eastAsia="Palatino Linotype" w:hAnsi="Palatino Linotype" w:cs="Palatino Linotype"/>
          <w:b/>
          <w:i/>
          <w:sz w:val="22"/>
          <w:szCs w:val="22"/>
        </w:rPr>
        <w:t>, evaluación y contabilidad gubernamental</w:t>
      </w:r>
      <w:r w:rsidRPr="00DD5552">
        <w:rPr>
          <w:rFonts w:ascii="Palatino Linotype" w:eastAsia="Palatino Linotype" w:hAnsi="Palatino Linotype" w:cs="Palatino Linotype"/>
          <w:i/>
          <w:sz w:val="22"/>
          <w:szCs w:val="22"/>
        </w:rPr>
        <w:t>, que se aprueben en el marco del Sistema de Coordinación Hacendaria del Estado de México.</w:t>
      </w:r>
    </w:p>
    <w:p w14:paraId="7B56BE9F"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343.-</w:t>
      </w:r>
      <w:r w:rsidRPr="00DD5552">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9DBCCA0"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0460180" w14:textId="77777777" w:rsidR="00783816" w:rsidRPr="00DD5552" w:rsidRDefault="00783816" w:rsidP="00783816">
      <w:pPr>
        <w:spacing w:before="120" w:after="120"/>
        <w:ind w:left="862" w:right="86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DD5552">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DD5552">
        <w:rPr>
          <w:rFonts w:ascii="Palatino Linotype" w:eastAsia="Palatino Linotype" w:hAnsi="Palatino Linotype" w:cs="Palatino Linotype"/>
          <w:b/>
          <w:i/>
          <w:sz w:val="22"/>
          <w:szCs w:val="22"/>
        </w:rPr>
        <w:t>.</w:t>
      </w:r>
    </w:p>
    <w:p w14:paraId="68B44A23" w14:textId="2C5E3111"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xml:space="preserve">Todo registro contable y presupuestal </w:t>
      </w:r>
      <w:r w:rsidRPr="00DD5552">
        <w:rPr>
          <w:rFonts w:ascii="Palatino Linotype" w:eastAsia="Palatino Linotype" w:hAnsi="Palatino Linotype" w:cs="Palatino Linotype"/>
          <w:b/>
          <w:i/>
          <w:sz w:val="22"/>
          <w:szCs w:val="22"/>
          <w:u w:val="single"/>
        </w:rPr>
        <w:t>deberá estar soportado con los documentos de registro, justificativos y comprobatorios originales, en copias certificadas o en medios electrónicos, según corresponda</w:t>
      </w:r>
      <w:r w:rsidRPr="00DD5552">
        <w:rPr>
          <w:rFonts w:ascii="Palatino Linotype" w:eastAsia="Palatino Linotype" w:hAnsi="Palatino Linotype" w:cs="Palatino Linotype"/>
          <w:b/>
          <w:i/>
          <w:sz w:val="22"/>
          <w:szCs w:val="22"/>
        </w:rPr>
        <w:t xml:space="preserve">, los que deberán </w:t>
      </w:r>
      <w:r w:rsidRPr="00DD5552">
        <w:rPr>
          <w:rFonts w:ascii="Palatino Linotype" w:eastAsia="Palatino Linotype" w:hAnsi="Palatino Linotype" w:cs="Palatino Linotype"/>
          <w:b/>
          <w:i/>
          <w:sz w:val="22"/>
          <w:szCs w:val="22"/>
          <w:u w:val="single"/>
        </w:rPr>
        <w:t>permanecer en custodia y conservación</w:t>
      </w:r>
      <w:r w:rsidRPr="00DD5552">
        <w:rPr>
          <w:rFonts w:ascii="Palatino Linotype" w:eastAsia="Palatino Linotype" w:hAnsi="Palatino Linotype" w:cs="Palatino Linotype"/>
          <w:b/>
          <w:i/>
          <w:sz w:val="22"/>
          <w:szCs w:val="22"/>
        </w:rPr>
        <w:t xml:space="preserve"> de los Entes Públicos ejecutores del gasto a </w:t>
      </w:r>
      <w:r w:rsidRPr="00DD5552">
        <w:rPr>
          <w:rFonts w:ascii="Palatino Linotype" w:eastAsia="Palatino Linotype" w:hAnsi="Palatino Linotype" w:cs="Palatino Linotype"/>
          <w:b/>
          <w:i/>
          <w:sz w:val="22"/>
          <w:szCs w:val="22"/>
          <w:u w:val="single"/>
        </w:rPr>
        <w:t>través de las unidades administrativas correspondientes de conformidad con las disposiciones aplicables y a disposición de los Órganos de Fiscalización locales y federales</w:t>
      </w:r>
      <w:r w:rsidRPr="00DD5552">
        <w:rPr>
          <w:rFonts w:ascii="Palatino Linotype" w:eastAsia="Palatino Linotype" w:hAnsi="Palatino Linotype" w:cs="Palatino Linotype"/>
          <w:b/>
          <w:i/>
          <w:sz w:val="22"/>
          <w:szCs w:val="22"/>
        </w:rPr>
        <w:t xml:space="preserve">, de acuerdo a su naturaleza, </w:t>
      </w:r>
      <w:r w:rsidRPr="00DD5552">
        <w:rPr>
          <w:rFonts w:ascii="Palatino Linotype" w:eastAsia="Palatino Linotype" w:hAnsi="Palatino Linotype" w:cs="Palatino Linotype"/>
          <w:b/>
          <w:i/>
          <w:sz w:val="22"/>
          <w:szCs w:val="22"/>
          <w:u w:val="single"/>
        </w:rPr>
        <w:t>así como de los órganos internos de control</w:t>
      </w:r>
      <w:r w:rsidRPr="00DD5552">
        <w:rPr>
          <w:rFonts w:ascii="Palatino Linotype" w:eastAsia="Palatino Linotype" w:hAnsi="Palatino Linotype" w:cs="Palatino Linotype"/>
          <w:b/>
          <w:i/>
          <w:sz w:val="22"/>
          <w:szCs w:val="22"/>
        </w:rPr>
        <w:t>;</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u w:val="single"/>
        </w:rPr>
        <w:t xml:space="preserve">por </w:t>
      </w:r>
      <w:r w:rsidR="00A94F25" w:rsidRPr="00DD5552">
        <w:rPr>
          <w:rFonts w:ascii="Palatino Linotype" w:eastAsia="Palatino Linotype" w:hAnsi="Palatino Linotype" w:cs="Palatino Linotype"/>
          <w:b/>
          <w:i/>
          <w:sz w:val="22"/>
          <w:szCs w:val="22"/>
          <w:u w:val="single"/>
        </w:rPr>
        <w:t>un término de 6</w:t>
      </w:r>
      <w:r w:rsidRPr="00DD5552">
        <w:rPr>
          <w:rFonts w:ascii="Palatino Linotype" w:eastAsia="Palatino Linotype" w:hAnsi="Palatino Linotype" w:cs="Palatino Linotype"/>
          <w:b/>
          <w:i/>
          <w:sz w:val="22"/>
          <w:szCs w:val="22"/>
          <w:u w:val="single"/>
        </w:rPr>
        <w:t xml:space="preserve"> años</w:t>
      </w:r>
      <w:r w:rsidRPr="00DD5552">
        <w:rPr>
          <w:rFonts w:ascii="Palatino Linotype" w:eastAsia="Palatino Linotype" w:hAnsi="Palatino Linotype" w:cs="Palatino Linotype"/>
          <w:b/>
          <w:i/>
          <w:sz w:val="22"/>
          <w:szCs w:val="22"/>
        </w:rPr>
        <w:t>,</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u w:val="single"/>
        </w:rPr>
        <w:t>contados a partir del ejercicio presupuestal siguiente al que corresponda</w:t>
      </w: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 xml:space="preserve"> </w:t>
      </w:r>
      <w:r w:rsidRPr="00DD5552">
        <w:rPr>
          <w:rFonts w:ascii="Palatino Linotype" w:eastAsia="Palatino Linotype" w:hAnsi="Palatino Linotype" w:cs="Palatino Linotype"/>
          <w:i/>
          <w:sz w:val="22"/>
          <w:szCs w:val="22"/>
        </w:rPr>
        <w:t>en el caso de los Municipios, dicha obligación corresponderá a la Tesorería.</w:t>
      </w:r>
    </w:p>
    <w:p w14:paraId="678D1B38"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Tratándose de documentos de carácter histórico, se estará a lo dispuesto por la legislación de la materia.</w:t>
      </w:r>
    </w:p>
    <w:p w14:paraId="2B5A32E0"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3E5E74B2" w14:textId="77777777" w:rsidR="00783816" w:rsidRPr="00DD5552" w:rsidRDefault="00783816" w:rsidP="00783816">
      <w:pPr>
        <w:spacing w:before="120" w:after="120"/>
        <w:ind w:left="862" w:right="86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Artículo 345.-</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rPr>
        <w:t>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14:paraId="48AFA8C8" w14:textId="77777777" w:rsidR="00783816" w:rsidRPr="00DD5552" w:rsidRDefault="00783816" w:rsidP="00783816">
      <w:pPr>
        <w:spacing w:before="120" w:after="120"/>
        <w:ind w:left="862" w:right="86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DD5552">
        <w:rPr>
          <w:rFonts w:ascii="Palatino Linotype" w:eastAsia="Palatino Linotype" w:hAnsi="Palatino Linotype" w:cs="Palatino Linotype"/>
          <w:b/>
          <w:i/>
          <w:sz w:val="22"/>
          <w:szCs w:val="22"/>
        </w:rPr>
        <w:t>deberán estar agregados en forma electrónica a cada póliza de registro contable</w:t>
      </w:r>
      <w:r w:rsidRPr="00DD5552">
        <w:rPr>
          <w:rFonts w:ascii="Palatino Linotype" w:eastAsia="Palatino Linotype" w:hAnsi="Palatino Linotype" w:cs="Palatino Linotype"/>
          <w:i/>
          <w:sz w:val="22"/>
          <w:szCs w:val="22"/>
        </w:rPr>
        <w:t>.</w:t>
      </w:r>
    </w:p>
    <w:p w14:paraId="15EACB83" w14:textId="77777777" w:rsidR="00783816" w:rsidRPr="00DD5552" w:rsidRDefault="00783816" w:rsidP="00783816">
      <w:pPr>
        <w:spacing w:before="120" w:after="120"/>
        <w:ind w:left="862" w:right="86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DD5552">
        <w:rPr>
          <w:rFonts w:ascii="Palatino Linotype" w:eastAsia="Palatino Linotype" w:hAnsi="Palatino Linotype" w:cs="Palatino Linotype"/>
          <w:b/>
          <w:i/>
          <w:sz w:val="22"/>
          <w:szCs w:val="22"/>
        </w:rPr>
        <w:t>”</w:t>
      </w:r>
    </w:p>
    <w:p w14:paraId="70528F34" w14:textId="77777777" w:rsidR="00CC2BBA" w:rsidRPr="00DD5552" w:rsidRDefault="00CC2BBA" w:rsidP="00CC2BBA">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DD5552">
        <w:rPr>
          <w:rFonts w:ascii="Palatino Linotype" w:eastAsia="Palatino Linotype" w:hAnsi="Palatino Linotype" w:cs="Palatino Linotype"/>
          <w:sz w:val="22"/>
          <w:szCs w:val="22"/>
        </w:rPr>
        <w:t>presupuestación</w:t>
      </w:r>
      <w:proofErr w:type="spellEnd"/>
      <w:r w:rsidRPr="00DD5552">
        <w:rPr>
          <w:rFonts w:ascii="Palatino Linotype" w:eastAsia="Palatino Linotype" w:hAnsi="Palatino Linotype" w:cs="Palatino Linotype"/>
          <w:sz w:val="22"/>
          <w:szCs w:val="22"/>
        </w:rPr>
        <w:t>, evaluación y contabilidad gubernamental.</w:t>
      </w:r>
    </w:p>
    <w:p w14:paraId="07B047F7" w14:textId="3C953A28" w:rsidR="00CC2BBA" w:rsidRPr="00DD5552" w:rsidRDefault="00CC2BBA" w:rsidP="00CC2BBA">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Asimismo, que los entes públicos tiene la obligación de registrarán contablemente el efecto patrimonial y presupuestal de las operaciones financieras que realicen, en el momento en que ocurran, por lo que </w:t>
      </w:r>
      <w:r w:rsidRPr="00DD5552">
        <w:rPr>
          <w:rFonts w:ascii="Palatino Linotype" w:eastAsia="Palatino Linotype" w:hAnsi="Palatino Linotype" w:cs="Palatino Linotype"/>
          <w:b/>
          <w:sz w:val="22"/>
          <w:szCs w:val="22"/>
        </w:rPr>
        <w:t>todo registro contable y presupuestal deberá estar soportado con los documentos comprobatorios originales o en medios electrónicos</w:t>
      </w:r>
      <w:r w:rsidRPr="00DD5552">
        <w:rPr>
          <w:rFonts w:ascii="Palatino Linotype" w:eastAsia="Palatino Linotype" w:hAnsi="Palatino Linotype" w:cs="Palatino Linotype"/>
          <w:sz w:val="22"/>
          <w:szCs w:val="22"/>
        </w:rPr>
        <w:t xml:space="preserve">, los que </w:t>
      </w:r>
      <w:r w:rsidRPr="00DD5552">
        <w:rPr>
          <w:rFonts w:ascii="Palatino Linotype" w:eastAsia="Palatino Linotype" w:hAnsi="Palatino Linotype" w:cs="Palatino Linotype"/>
          <w:b/>
          <w:sz w:val="22"/>
          <w:szCs w:val="22"/>
          <w:u w:val="single"/>
        </w:rPr>
        <w:t>deberán permanecer en custodia y conservación</w:t>
      </w:r>
      <w:r w:rsidRPr="00DD5552">
        <w:rPr>
          <w:rFonts w:ascii="Palatino Linotype" w:eastAsia="Palatino Linotype" w:hAnsi="Palatino Linotype" w:cs="Palatino Linotype"/>
          <w:sz w:val="22"/>
          <w:szCs w:val="22"/>
        </w:rPr>
        <w:t xml:space="preserve"> de los Entes Públicos a través de las unidades administrativas que ejercieron el gasto y a disposición de los Órganos de Fiscalización y de los órganos internos de control </w:t>
      </w:r>
      <w:r w:rsidRPr="00DD5552">
        <w:rPr>
          <w:rFonts w:ascii="Palatino Linotype" w:eastAsia="Palatino Linotype" w:hAnsi="Palatino Linotype" w:cs="Palatino Linotype"/>
          <w:b/>
          <w:sz w:val="22"/>
          <w:szCs w:val="22"/>
          <w:u w:val="single"/>
        </w:rPr>
        <w:t>por un término de seis años</w:t>
      </w:r>
      <w:r w:rsidRPr="00DD5552">
        <w:rPr>
          <w:rFonts w:ascii="Palatino Linotype" w:eastAsia="Palatino Linotype" w:hAnsi="Palatino Linotype" w:cs="Palatino Linotype"/>
          <w:sz w:val="22"/>
          <w:szCs w:val="22"/>
        </w:rPr>
        <w:t>, los cuales se cuentan a partir del ejercicio presupuestal siguiente al que corresponda. Dicha obligación corresponde a las tesorerías o a las áreas equivalentes.</w:t>
      </w:r>
    </w:p>
    <w:p w14:paraId="0097B19E" w14:textId="77777777" w:rsidR="00837484" w:rsidRPr="00DD5552" w:rsidRDefault="00837484" w:rsidP="00837484">
      <w:pPr>
        <w:spacing w:before="240" w:after="240" w:line="360" w:lineRule="auto"/>
        <w:ind w:right="-232"/>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Debe decirse que las facturas emitidas en favor de los proveedores, contratistas o prestadores de servicios, la cual se encuentra definida en el Glosario de Términos Hacendarios que emite el Instituto Hacendario del Estado de México, como:</w:t>
      </w:r>
    </w:p>
    <w:p w14:paraId="5685A149" w14:textId="77777777" w:rsidR="00837484" w:rsidRPr="00DD5552" w:rsidRDefault="00837484" w:rsidP="00837484">
      <w:pPr>
        <w:spacing w:before="120" w:after="120"/>
        <w:ind w:left="851" w:right="90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FACTURA</w:t>
      </w:r>
    </w:p>
    <w:p w14:paraId="5F8951C6" w14:textId="77777777" w:rsidR="00837484" w:rsidRPr="00DD5552" w:rsidRDefault="00837484" w:rsidP="0083748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3212FF95" w14:textId="77777777" w:rsidR="00837484" w:rsidRPr="00DD5552" w:rsidRDefault="00837484" w:rsidP="0083748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3C4384A9" w14:textId="76A83D38" w:rsidR="005C000E" w:rsidRPr="00DD5552" w:rsidRDefault="00837484" w:rsidP="005C000E">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Al respecto, </w:t>
      </w:r>
      <w:r w:rsidR="005C000E" w:rsidRPr="00DD5552">
        <w:rPr>
          <w:rFonts w:ascii="Palatino Linotype" w:eastAsia="Palatino Linotype" w:hAnsi="Palatino Linotype" w:cs="Palatino Linotype"/>
          <w:sz w:val="22"/>
          <w:szCs w:val="22"/>
        </w:rPr>
        <w:t xml:space="preserve">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005C000E" w:rsidRPr="00DD5552">
        <w:rPr>
          <w:rFonts w:ascii="Palatino Linotype" w:eastAsia="Palatino Linotype" w:hAnsi="Palatino Linotype" w:cs="Palatino Linotype"/>
          <w:sz w:val="22"/>
          <w:szCs w:val="22"/>
        </w:rPr>
        <w:t>Presupuestación</w:t>
      </w:r>
      <w:proofErr w:type="spellEnd"/>
      <w:r w:rsidR="005C000E" w:rsidRPr="00DD5552">
        <w:rPr>
          <w:rFonts w:ascii="Palatino Linotype" w:eastAsia="Palatino Linotype" w:hAnsi="Palatino Linotype" w:cs="Palatino Linotype"/>
          <w:sz w:val="22"/>
          <w:szCs w:val="22"/>
        </w:rPr>
        <w:t xml:space="preserve"> y Evaluación en la Administración Pública”</w:t>
      </w:r>
      <w:r w:rsidR="005C000E" w:rsidRPr="00DD5552">
        <w:rPr>
          <w:rFonts w:ascii="Palatino Linotype" w:eastAsia="Palatino Linotype" w:hAnsi="Palatino Linotype" w:cs="Palatino Linotype"/>
          <w:sz w:val="22"/>
          <w:szCs w:val="22"/>
          <w:vertAlign w:val="superscript"/>
        </w:rPr>
        <w:footnoteReference w:id="2"/>
      </w:r>
      <w:r w:rsidR="005C000E" w:rsidRPr="00DD5552">
        <w:rPr>
          <w:rFonts w:ascii="Palatino Linotype" w:eastAsia="Palatino Linotype" w:hAnsi="Palatino Linotype" w:cs="Palatino Linotype"/>
          <w:sz w:val="22"/>
          <w:szCs w:val="22"/>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05452BF4" w14:textId="77777777" w:rsidR="005C000E" w:rsidRPr="00DD5552" w:rsidRDefault="005C000E" w:rsidP="005C000E">
      <w:pPr>
        <w:spacing w:before="120" w:after="120"/>
        <w:ind w:left="850" w:right="902" w:hanging="10"/>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“REGISTRO CONTABLE</w:t>
      </w:r>
    </w:p>
    <w:p w14:paraId="49B3D9FA" w14:textId="77777777" w:rsidR="005C000E" w:rsidRPr="00DD5552" w:rsidRDefault="005C000E" w:rsidP="005C000E">
      <w:pPr>
        <w:spacing w:before="120" w:after="120"/>
        <w:ind w:left="850" w:right="902" w:hanging="1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Asiento que se realiza en los libros de contabilidad de las actividades relacionadas con el ingreso y egresos de un ente económico.”</w:t>
      </w:r>
    </w:p>
    <w:p w14:paraId="13BE175A" w14:textId="77777777" w:rsidR="005C000E" w:rsidRPr="00DD5552" w:rsidRDefault="005C000E" w:rsidP="005C000E">
      <w:pPr>
        <w:spacing w:before="120" w:after="120"/>
        <w:ind w:left="850" w:right="902" w:hanging="10"/>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“REGISTRO PRESUPUESTARIO</w:t>
      </w:r>
    </w:p>
    <w:p w14:paraId="7E928EC4" w14:textId="77777777" w:rsidR="005C000E" w:rsidRPr="00DD5552" w:rsidRDefault="005C000E" w:rsidP="005C000E">
      <w:pPr>
        <w:spacing w:before="120" w:after="120"/>
        <w:ind w:left="850" w:right="902" w:hanging="1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w:t>
      </w:r>
    </w:p>
    <w:p w14:paraId="577BE273" w14:textId="77777777" w:rsidR="005C000E" w:rsidRPr="00DD5552" w:rsidRDefault="005C000E" w:rsidP="005C000E">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46AB2953" w14:textId="77777777" w:rsidR="005C000E" w:rsidRPr="00DD5552" w:rsidRDefault="005C000E" w:rsidP="005C000E">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Por otra parte, se establece que el sistema de contabilidad sobre base acumulativa total se sustentará en los principios de contabilidad gubernamental.</w:t>
      </w:r>
    </w:p>
    <w:p w14:paraId="2F5D1CEF" w14:textId="77777777" w:rsidR="005C000E" w:rsidRPr="00DD5552" w:rsidRDefault="005C000E" w:rsidP="005C000E">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22BD71D" w14:textId="77777777" w:rsidR="005C000E" w:rsidRPr="00DD5552" w:rsidRDefault="005C000E" w:rsidP="005C000E">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Correlativo a lo anterior, es preciso referir una definición de </w:t>
      </w:r>
      <w:r w:rsidRPr="00DD5552">
        <w:rPr>
          <w:rFonts w:ascii="Palatino Linotype" w:eastAsia="Palatino Linotype" w:hAnsi="Palatino Linotype" w:cs="Palatino Linotype"/>
          <w:i/>
          <w:sz w:val="22"/>
          <w:szCs w:val="22"/>
        </w:rPr>
        <w:t>póliza contable</w:t>
      </w:r>
      <w:r w:rsidRPr="00DD5552">
        <w:rPr>
          <w:rFonts w:ascii="Palatino Linotype" w:eastAsia="Palatino Linotype" w:hAnsi="Palatino Linotype" w:cs="Palatino Linotype"/>
          <w:sz w:val="22"/>
          <w:szCs w:val="22"/>
        </w:rPr>
        <w:t>, la cual, primeramente, no está definida en el Código Financiero del Estado de México y Municipios; no obstante, el ya mencionado Glosario la define como:</w:t>
      </w:r>
    </w:p>
    <w:p w14:paraId="06E848A8" w14:textId="77777777" w:rsidR="005C000E" w:rsidRPr="00DD5552" w:rsidRDefault="005C000E" w:rsidP="005C000E">
      <w:pPr>
        <w:spacing w:before="120" w:after="120"/>
        <w:ind w:left="862" w:right="90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PÓLIZA CONTABLE</w:t>
      </w:r>
    </w:p>
    <w:p w14:paraId="183815B2" w14:textId="77777777" w:rsidR="005C000E" w:rsidRPr="00DD5552" w:rsidRDefault="005C000E" w:rsidP="005C000E">
      <w:pPr>
        <w:spacing w:before="120" w:after="120"/>
        <w:ind w:left="862"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Documento en el cual se asientan en forma individual todas y cada una de las operaciones desarrolladas por una institución, así como la información necesaria para la identificación de dichas operaciones.” </w:t>
      </w:r>
    </w:p>
    <w:p w14:paraId="044771D3" w14:textId="77777777" w:rsidR="005C000E" w:rsidRPr="00DD5552" w:rsidRDefault="005C000E" w:rsidP="005C000E">
      <w:pPr>
        <w:spacing w:before="240" w:after="240" w:line="360" w:lineRule="auto"/>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sz w:val="22"/>
          <w:szCs w:val="22"/>
        </w:rPr>
        <w:t xml:space="preserve">Así, se advierte que la </w:t>
      </w:r>
      <w:r w:rsidRPr="00DD5552">
        <w:rPr>
          <w:rFonts w:ascii="Palatino Linotype" w:eastAsia="Palatino Linotype" w:hAnsi="Palatino Linotype" w:cs="Palatino Linotype"/>
          <w:i/>
          <w:sz w:val="22"/>
          <w:szCs w:val="22"/>
        </w:rPr>
        <w:t>póliza contable</w:t>
      </w:r>
      <w:r w:rsidRPr="00DD5552">
        <w:rPr>
          <w:rFonts w:ascii="Palatino Linotype" w:eastAsia="Palatino Linotype" w:hAnsi="Palatino Linotype" w:cs="Palatino Linotype"/>
          <w:sz w:val="22"/>
          <w:szCs w:val="22"/>
        </w:rPr>
        <w:t xml:space="preserve"> constituye un registro contable y presupuestal con el que cuentan los Municipios para el registro de operaciones relacionadas con </w:t>
      </w:r>
      <w:r w:rsidRPr="00DD5552">
        <w:rPr>
          <w:rFonts w:ascii="Palatino Linotype" w:eastAsia="Palatino Linotype" w:hAnsi="Palatino Linotype" w:cs="Palatino Linotype"/>
          <w:sz w:val="22"/>
          <w:szCs w:val="22"/>
          <w:u w:val="single"/>
        </w:rPr>
        <w:t>ingresos y egresos</w:t>
      </w:r>
      <w:r w:rsidRPr="00DD5552">
        <w:rPr>
          <w:rFonts w:ascii="Palatino Linotype" w:eastAsia="Palatino Linotype" w:hAnsi="Palatino Linotype" w:cs="Palatino Linotype"/>
          <w:sz w:val="22"/>
          <w:szCs w:val="22"/>
        </w:rPr>
        <w:t xml:space="preserve"> y se anexan los documentos o comprobantes que justifiquen las anotaciones y cantidades en ellas registradas, lo que permite la identificación plena de dichas operaciones.</w:t>
      </w:r>
    </w:p>
    <w:p w14:paraId="389038C9" w14:textId="305600B3" w:rsidR="00837484" w:rsidRPr="00DD5552" w:rsidRDefault="005C000E" w:rsidP="0083748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En este sentido, existen diversos tipos de pólizas contables de acuerdo a las operaciones realizadas, dentro de las cuales, encontramos las </w:t>
      </w:r>
      <w:r w:rsidRPr="00DD5552">
        <w:rPr>
          <w:rFonts w:ascii="Palatino Linotype" w:eastAsia="Palatino Linotype" w:hAnsi="Palatino Linotype" w:cs="Palatino Linotype"/>
          <w:i/>
          <w:sz w:val="22"/>
          <w:szCs w:val="22"/>
        </w:rPr>
        <w:t>pólizas de</w:t>
      </w:r>
      <w:r w:rsidR="00C9180F" w:rsidRPr="00DD5552">
        <w:rPr>
          <w:rFonts w:ascii="Palatino Linotype" w:eastAsia="Palatino Linotype" w:hAnsi="Palatino Linotype" w:cs="Palatino Linotype"/>
          <w:i/>
          <w:sz w:val="22"/>
          <w:szCs w:val="22"/>
        </w:rPr>
        <w:t xml:space="preserve"> ingresos y egresos. </w:t>
      </w:r>
      <w:r w:rsidR="00C9180F" w:rsidRPr="00DD5552">
        <w:rPr>
          <w:rFonts w:ascii="Palatino Linotype" w:eastAsia="Palatino Linotype" w:hAnsi="Palatino Linotype" w:cs="Palatino Linotype"/>
          <w:b/>
          <w:sz w:val="22"/>
          <w:szCs w:val="22"/>
          <w:u w:val="single"/>
        </w:rPr>
        <w:t>L</w:t>
      </w:r>
      <w:r w:rsidRPr="00DD5552">
        <w:rPr>
          <w:rFonts w:ascii="Palatino Linotype" w:eastAsia="Palatino Linotype" w:hAnsi="Palatino Linotype" w:cs="Palatino Linotype"/>
          <w:b/>
          <w:sz w:val="22"/>
          <w:szCs w:val="22"/>
          <w:u w:val="single"/>
        </w:rPr>
        <w:t>as primeras</w:t>
      </w:r>
      <w:r w:rsidRPr="00DD5552">
        <w:rPr>
          <w:rFonts w:ascii="Palatino Linotype" w:eastAsia="Palatino Linotype" w:hAnsi="Palatino Linotype" w:cs="Palatino Linotype"/>
          <w:b/>
          <w:sz w:val="22"/>
          <w:szCs w:val="22"/>
        </w:rPr>
        <w:t xml:space="preserve"> </w:t>
      </w:r>
      <w:r w:rsidR="00C9180F" w:rsidRPr="00DD5552">
        <w:rPr>
          <w:rFonts w:ascii="Palatino Linotype" w:eastAsia="Palatino Linotype" w:hAnsi="Palatino Linotype" w:cs="Palatino Linotype"/>
          <w:b/>
          <w:sz w:val="22"/>
          <w:szCs w:val="22"/>
        </w:rPr>
        <w:t>registran todas la</w:t>
      </w:r>
      <w:r w:rsidR="00250060" w:rsidRPr="00DD5552">
        <w:rPr>
          <w:rFonts w:ascii="Palatino Linotype" w:eastAsia="Palatino Linotype" w:hAnsi="Palatino Linotype" w:cs="Palatino Linotype"/>
          <w:b/>
          <w:sz w:val="22"/>
          <w:szCs w:val="22"/>
        </w:rPr>
        <w:t>s</w:t>
      </w:r>
      <w:r w:rsidR="00C9180F" w:rsidRPr="00DD5552">
        <w:rPr>
          <w:rFonts w:ascii="Palatino Linotype" w:eastAsia="Palatino Linotype" w:hAnsi="Palatino Linotype" w:cs="Palatino Linotype"/>
          <w:b/>
          <w:sz w:val="22"/>
          <w:szCs w:val="22"/>
        </w:rPr>
        <w:t xml:space="preserve"> entradas de dinero, </w:t>
      </w:r>
      <w:r w:rsidR="00C9180F" w:rsidRPr="00DD5552">
        <w:rPr>
          <w:rFonts w:ascii="Palatino Linotype" w:eastAsia="Palatino Linotype" w:hAnsi="Palatino Linotype" w:cs="Palatino Linotype"/>
          <w:sz w:val="22"/>
          <w:szCs w:val="22"/>
        </w:rPr>
        <w:t xml:space="preserve">mientras que </w:t>
      </w:r>
      <w:r w:rsidR="00C9180F" w:rsidRPr="00DD5552">
        <w:rPr>
          <w:rFonts w:ascii="Palatino Linotype" w:eastAsia="Palatino Linotype" w:hAnsi="Palatino Linotype" w:cs="Palatino Linotype"/>
          <w:b/>
          <w:sz w:val="22"/>
          <w:szCs w:val="22"/>
          <w:u w:val="single"/>
        </w:rPr>
        <w:t>las segundas</w:t>
      </w:r>
      <w:r w:rsidR="00C9180F"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b/>
          <w:sz w:val="22"/>
          <w:szCs w:val="22"/>
        </w:rPr>
        <w:t>son aquellas en las cuales se anotan diariamente las operaciones que representan gastos, es decir, salidas de dinero</w:t>
      </w:r>
      <w:r w:rsidRPr="00DD5552">
        <w:rPr>
          <w:rFonts w:ascii="Palatino Linotype" w:eastAsia="Palatino Linotype" w:hAnsi="Palatino Linotype" w:cs="Palatino Linotype"/>
          <w:sz w:val="22"/>
          <w:szCs w:val="22"/>
        </w:rPr>
        <w:t xml:space="preserve"> las que</w:t>
      </w:r>
      <w:r w:rsidR="00250060" w:rsidRPr="00DD5552">
        <w:rPr>
          <w:rFonts w:ascii="Palatino Linotype" w:eastAsia="Palatino Linotype" w:hAnsi="Palatino Linotype" w:cs="Palatino Linotype"/>
          <w:sz w:val="22"/>
          <w:szCs w:val="22"/>
        </w:rPr>
        <w:t>,</w:t>
      </w:r>
      <w:r w:rsidRPr="00DD5552">
        <w:rPr>
          <w:rFonts w:ascii="Palatino Linotype" w:eastAsia="Palatino Linotype" w:hAnsi="Palatino Linotype" w:cs="Palatino Linotype"/>
          <w:sz w:val="22"/>
          <w:szCs w:val="22"/>
        </w:rPr>
        <w:t xml:space="preserve"> además, </w:t>
      </w:r>
      <w:r w:rsidRPr="00DD5552">
        <w:rPr>
          <w:rFonts w:ascii="Palatino Linotype" w:eastAsia="Palatino Linotype" w:hAnsi="Palatino Linotype" w:cs="Palatino Linotype"/>
          <w:b/>
          <w:sz w:val="22"/>
          <w:szCs w:val="22"/>
        </w:rPr>
        <w:t>deben encontrarse acompañadas de las documentales que sirven de soporte de dicho movimiento</w:t>
      </w:r>
      <w:r w:rsidR="00487712" w:rsidRPr="00DD5552">
        <w:rPr>
          <w:rFonts w:ascii="Palatino Linotype" w:eastAsia="Palatino Linotype" w:hAnsi="Palatino Linotype" w:cs="Palatino Linotype"/>
          <w:b/>
          <w:sz w:val="22"/>
          <w:szCs w:val="22"/>
        </w:rPr>
        <w:t>;</w:t>
      </w:r>
      <w:r w:rsidR="00C9180F" w:rsidRPr="00DD5552">
        <w:rPr>
          <w:rFonts w:ascii="Palatino Linotype" w:eastAsia="Palatino Linotype" w:hAnsi="Palatino Linotype" w:cs="Palatino Linotype"/>
          <w:b/>
          <w:sz w:val="22"/>
          <w:szCs w:val="22"/>
        </w:rPr>
        <w:t xml:space="preserve"> </w:t>
      </w:r>
      <w:r w:rsidR="00985A42" w:rsidRPr="00DD5552">
        <w:rPr>
          <w:rFonts w:ascii="Palatino Linotype" w:eastAsia="Palatino Linotype" w:hAnsi="Palatino Linotype" w:cs="Palatino Linotype"/>
          <w:sz w:val="22"/>
          <w:szCs w:val="22"/>
        </w:rPr>
        <w:t>lo anterior</w:t>
      </w:r>
      <w:r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b/>
          <w:sz w:val="22"/>
          <w:szCs w:val="22"/>
        </w:rPr>
        <w:t>independientemente de la modalidad</w:t>
      </w:r>
      <w:r w:rsidR="00C9180F" w:rsidRPr="00DD5552">
        <w:rPr>
          <w:rFonts w:ascii="Palatino Linotype" w:eastAsia="Palatino Linotype" w:hAnsi="Palatino Linotype" w:cs="Palatino Linotype"/>
          <w:sz w:val="22"/>
          <w:szCs w:val="22"/>
        </w:rPr>
        <w:t xml:space="preserve"> ya </w:t>
      </w:r>
      <w:r w:rsidRPr="00DD5552">
        <w:rPr>
          <w:rFonts w:ascii="Palatino Linotype" w:eastAsia="Palatino Linotype" w:hAnsi="Palatino Linotype" w:cs="Palatino Linotype"/>
          <w:sz w:val="22"/>
          <w:szCs w:val="22"/>
        </w:rPr>
        <w:t xml:space="preserve">sea en efectivo, transferencia, cheque </w:t>
      </w:r>
      <w:r w:rsidR="00837484" w:rsidRPr="00DD5552">
        <w:rPr>
          <w:rFonts w:ascii="Palatino Linotype" w:eastAsia="Palatino Linotype" w:hAnsi="Palatino Linotype" w:cs="Palatino Linotype"/>
          <w:sz w:val="22"/>
          <w:szCs w:val="22"/>
        </w:rPr>
        <w:t>o pagaré, mediante la expedición de facturas.</w:t>
      </w:r>
    </w:p>
    <w:p w14:paraId="04D4BD9B" w14:textId="0BE3943C" w:rsidR="00837484" w:rsidRPr="00DD5552" w:rsidRDefault="00837484" w:rsidP="00837484">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Atento a lo anterior, como ya ha sido mencionado en la normatividad antes citada, todo registro contable y presupuestal deberá estar soportado con los documentos comprobatorios originales, como lo son las facturas o </w:t>
      </w:r>
      <w:r w:rsidR="00897946" w:rsidRPr="00DD5552">
        <w:rPr>
          <w:rFonts w:ascii="Palatino Linotype" w:eastAsia="Palatino Linotype" w:hAnsi="Palatino Linotype" w:cs="Palatino Linotype"/>
          <w:sz w:val="22"/>
          <w:szCs w:val="22"/>
        </w:rPr>
        <w:t>pago</w:t>
      </w:r>
      <w:r w:rsidRPr="00DD5552">
        <w:rPr>
          <w:rFonts w:ascii="Palatino Linotype" w:eastAsia="Palatino Linotype" w:hAnsi="Palatino Linotype" w:cs="Palatino Linotype"/>
          <w:sz w:val="22"/>
          <w:szCs w:val="22"/>
        </w:rPr>
        <w:t xml:space="preserve">s fiscales digitales por internet, mismos que deberán permanecer en custodia y conservación de la Unidad Administrativa correspondiente y a disposición del Órgano Superior de Fiscalización del Estado de México; por un término de seis años contados a partir del ejercicio presupuestal siguiente al que corresponda, tal y como se establece en el Código Financiero del Estado de México. </w:t>
      </w:r>
    </w:p>
    <w:p w14:paraId="43E65816" w14:textId="3E5446D5" w:rsidR="005C000E" w:rsidRPr="00DD5552" w:rsidRDefault="00837484" w:rsidP="00837484">
      <w:pPr>
        <w:spacing w:before="240" w:after="240" w:line="360" w:lineRule="auto"/>
        <w:ind w:right="-232"/>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Aunado a lo anterior, conviene referir que de conformidad con los Lineamientos para la integración y presentación de los Informes Trimestrales Estatales y Municipales del Ejercicio Fiscal 2025, emitidos por el Órgano Superior de Fiscalización del Estado de México, OSFEM,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como ente fiscalizable cuenta con la obligación de remitir a dicho Órgano, para su revisión la </w:t>
      </w:r>
      <w:r w:rsidRPr="00DD5552">
        <w:rPr>
          <w:rFonts w:ascii="Palatino Linotype" w:eastAsia="Palatino Linotype" w:hAnsi="Palatino Linotype" w:cs="Palatino Linotype"/>
          <w:b/>
          <w:sz w:val="22"/>
          <w:szCs w:val="22"/>
        </w:rPr>
        <w:t>pólizas con documentos comprobatorios</w:t>
      </w:r>
      <w:r w:rsidRPr="00DD5552">
        <w:rPr>
          <w:rFonts w:ascii="Palatino Linotype" w:eastAsia="Palatino Linotype" w:hAnsi="Palatino Linotype" w:cs="Palatino Linotype"/>
          <w:sz w:val="22"/>
          <w:szCs w:val="22"/>
        </w:rPr>
        <w:t xml:space="preserve">, como parte de los informes trimestrales, </w:t>
      </w:r>
      <w:r w:rsidR="006670B9" w:rsidRPr="00DD5552">
        <w:rPr>
          <w:rFonts w:ascii="Palatino Linotype" w:eastAsia="Palatino Linotype" w:hAnsi="Palatino Linotype" w:cs="Palatino Linotype"/>
          <w:sz w:val="22"/>
          <w:szCs w:val="22"/>
        </w:rPr>
        <w:t>específicamente, en el Módulo 1 Información Contable y Financiera:</w:t>
      </w:r>
    </w:p>
    <w:p w14:paraId="0280D0BC" w14:textId="2CF3D861" w:rsidR="006670B9" w:rsidRPr="00DD5552" w:rsidRDefault="006670B9" w:rsidP="00837484">
      <w:pPr>
        <w:spacing w:before="240" w:after="240" w:line="360" w:lineRule="auto"/>
        <w:ind w:right="-232"/>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76B6FBC0" wp14:editId="54AEE5AA">
            <wp:extent cx="5612130" cy="1540510"/>
            <wp:effectExtent l="0" t="0" r="762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540510"/>
                    </a:xfrm>
                    <a:prstGeom prst="rect">
                      <a:avLst/>
                    </a:prstGeom>
                  </pic:spPr>
                </pic:pic>
              </a:graphicData>
            </a:graphic>
          </wp:inline>
        </w:drawing>
      </w:r>
      <w:r w:rsidRPr="00DD5552">
        <w:rPr>
          <w:rFonts w:ascii="Palatino Linotype" w:hAnsi="Palatino Linotype"/>
          <w:noProof/>
          <w:sz w:val="22"/>
          <w:szCs w:val="22"/>
        </w:rPr>
        <w:t xml:space="preserve"> </w:t>
      </w:r>
      <w:r w:rsidRPr="00DD5552">
        <w:rPr>
          <w:rFonts w:ascii="Palatino Linotype" w:eastAsia="Palatino Linotype" w:hAnsi="Palatino Linotype" w:cs="Palatino Linotype"/>
          <w:noProof/>
          <w:sz w:val="22"/>
          <w:szCs w:val="22"/>
        </w:rPr>
        <w:drawing>
          <wp:inline distT="0" distB="0" distL="0" distR="0" wp14:anchorId="0E921AB8" wp14:editId="15BDED46">
            <wp:extent cx="5612130" cy="3594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59410"/>
                    </a:xfrm>
                    <a:prstGeom prst="rect">
                      <a:avLst/>
                    </a:prstGeom>
                  </pic:spPr>
                </pic:pic>
              </a:graphicData>
            </a:graphic>
          </wp:inline>
        </w:drawing>
      </w:r>
      <w:r w:rsidRPr="00DD5552">
        <w:rPr>
          <w:rFonts w:ascii="Palatino Linotype" w:hAnsi="Palatino Linotype"/>
          <w:noProof/>
          <w:sz w:val="22"/>
          <w:szCs w:val="22"/>
        </w:rPr>
        <w:t xml:space="preserve"> </w:t>
      </w:r>
      <w:r w:rsidRPr="00DD5552">
        <w:rPr>
          <w:rFonts w:ascii="Palatino Linotype" w:hAnsi="Palatino Linotype"/>
          <w:noProof/>
          <w:sz w:val="22"/>
          <w:szCs w:val="22"/>
        </w:rPr>
        <w:drawing>
          <wp:inline distT="0" distB="0" distL="0" distR="0" wp14:anchorId="37E2A092" wp14:editId="431114BC">
            <wp:extent cx="5612130" cy="147002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1470025"/>
                    </a:xfrm>
                    <a:prstGeom prst="rect">
                      <a:avLst/>
                    </a:prstGeom>
                  </pic:spPr>
                </pic:pic>
              </a:graphicData>
            </a:graphic>
          </wp:inline>
        </w:drawing>
      </w:r>
    </w:p>
    <w:p w14:paraId="0E5B647C" w14:textId="77777777" w:rsidR="00250060" w:rsidRPr="00DD5552" w:rsidRDefault="006670B9" w:rsidP="00250060">
      <w:pPr>
        <w:spacing w:before="240" w:after="240" w:line="360" w:lineRule="auto"/>
        <w:ind w:right="-232"/>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Para el cumplimiento de dicha obligación la información debe ser entregada a través de los siguientes formatos:</w:t>
      </w:r>
    </w:p>
    <w:p w14:paraId="188372E1" w14:textId="77777777" w:rsidR="00250060" w:rsidRPr="00DD5552" w:rsidRDefault="006670B9" w:rsidP="00250060">
      <w:pPr>
        <w:spacing w:before="240" w:after="240" w:line="360" w:lineRule="auto"/>
        <w:ind w:right="-232"/>
        <w:jc w:val="center"/>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57804AFE" wp14:editId="10B0EAFF">
            <wp:extent cx="4859655" cy="54757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 b="-773"/>
                    <a:stretch>
                      <a:fillRect/>
                    </a:stretch>
                  </pic:blipFill>
                  <pic:spPr bwMode="auto">
                    <a:xfrm>
                      <a:off x="0" y="0"/>
                      <a:ext cx="4860000" cy="5476157"/>
                    </a:xfrm>
                    <a:prstGeom prst="rect">
                      <a:avLst/>
                    </a:prstGeom>
                    <a:ln>
                      <a:noFill/>
                    </a:ln>
                    <a:extLst>
                      <a:ext uri="{53640926-AAD7-44D8-BBD7-CCE9431645EC}">
                        <a14:shadowObscured xmlns:a14="http://schemas.microsoft.com/office/drawing/2010/main"/>
                      </a:ext>
                    </a:extLst>
                  </pic:spPr>
                </pic:pic>
              </a:graphicData>
            </a:graphic>
          </wp:inline>
        </w:drawing>
      </w:r>
    </w:p>
    <w:p w14:paraId="0B94B32F" w14:textId="79A70BFA" w:rsidR="006670B9" w:rsidRPr="00DD5552" w:rsidRDefault="000707F8" w:rsidP="00250060">
      <w:pPr>
        <w:spacing w:before="240" w:after="240" w:line="360" w:lineRule="auto"/>
        <w:ind w:right="-232"/>
        <w:jc w:val="center"/>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15AD7994" wp14:editId="4140621B">
            <wp:extent cx="4860000" cy="32224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60000" cy="3222403"/>
                    </a:xfrm>
                    <a:prstGeom prst="rect">
                      <a:avLst/>
                    </a:prstGeom>
                  </pic:spPr>
                </pic:pic>
              </a:graphicData>
            </a:graphic>
          </wp:inline>
        </w:drawing>
      </w:r>
    </w:p>
    <w:p w14:paraId="26153C96" w14:textId="0AF9D3A0" w:rsidR="006670B9" w:rsidRPr="00DD5552" w:rsidRDefault="000707F8" w:rsidP="00250060">
      <w:pPr>
        <w:spacing w:before="240" w:after="240" w:line="360" w:lineRule="auto"/>
        <w:ind w:right="-232"/>
        <w:jc w:val="center"/>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2D386456" wp14:editId="7F565561">
            <wp:extent cx="4860000" cy="202175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720"/>
                    <a:stretch/>
                  </pic:blipFill>
                  <pic:spPr bwMode="auto">
                    <a:xfrm>
                      <a:off x="0" y="0"/>
                      <a:ext cx="4860000" cy="2021753"/>
                    </a:xfrm>
                    <a:prstGeom prst="rect">
                      <a:avLst/>
                    </a:prstGeom>
                    <a:ln>
                      <a:noFill/>
                    </a:ln>
                    <a:extLst>
                      <a:ext uri="{53640926-AAD7-44D8-BBD7-CCE9431645EC}">
                        <a14:shadowObscured xmlns:a14="http://schemas.microsoft.com/office/drawing/2010/main"/>
                      </a:ext>
                    </a:extLst>
                  </pic:spPr>
                </pic:pic>
              </a:graphicData>
            </a:graphic>
          </wp:inline>
        </w:drawing>
      </w:r>
    </w:p>
    <w:p w14:paraId="40D4F6AC" w14:textId="4507F675" w:rsidR="000707F8" w:rsidRPr="00DD5552" w:rsidRDefault="000707F8" w:rsidP="00250060">
      <w:pPr>
        <w:spacing w:before="240" w:after="240" w:line="360" w:lineRule="auto"/>
        <w:ind w:right="-232"/>
        <w:jc w:val="center"/>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5D86B567" wp14:editId="76D15544">
            <wp:extent cx="4860000" cy="3350799"/>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8212"/>
                    <a:stretch/>
                  </pic:blipFill>
                  <pic:spPr bwMode="auto">
                    <a:xfrm>
                      <a:off x="0" y="0"/>
                      <a:ext cx="4860000" cy="3350799"/>
                    </a:xfrm>
                    <a:prstGeom prst="rect">
                      <a:avLst/>
                    </a:prstGeom>
                    <a:ln>
                      <a:noFill/>
                    </a:ln>
                    <a:extLst>
                      <a:ext uri="{53640926-AAD7-44D8-BBD7-CCE9431645EC}">
                        <a14:shadowObscured xmlns:a14="http://schemas.microsoft.com/office/drawing/2010/main"/>
                      </a:ext>
                    </a:extLst>
                  </pic:spPr>
                </pic:pic>
              </a:graphicData>
            </a:graphic>
          </wp:inline>
        </w:drawing>
      </w:r>
    </w:p>
    <w:p w14:paraId="680A945A" w14:textId="490F466F" w:rsidR="000707F8" w:rsidRPr="00DD5552" w:rsidRDefault="000707F8" w:rsidP="00250060">
      <w:pPr>
        <w:spacing w:before="240" w:after="240" w:line="360" w:lineRule="auto"/>
        <w:ind w:right="-232"/>
        <w:jc w:val="center"/>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2D22F2EE" wp14:editId="22E49988">
            <wp:extent cx="4860000" cy="24264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23921"/>
                    <a:stretch/>
                  </pic:blipFill>
                  <pic:spPr bwMode="auto">
                    <a:xfrm>
                      <a:off x="0" y="0"/>
                      <a:ext cx="4860000" cy="2426496"/>
                    </a:xfrm>
                    <a:prstGeom prst="rect">
                      <a:avLst/>
                    </a:prstGeom>
                    <a:ln>
                      <a:noFill/>
                    </a:ln>
                    <a:extLst>
                      <a:ext uri="{53640926-AAD7-44D8-BBD7-CCE9431645EC}">
                        <a14:shadowObscured xmlns:a14="http://schemas.microsoft.com/office/drawing/2010/main"/>
                      </a:ext>
                    </a:extLst>
                  </pic:spPr>
                </pic:pic>
              </a:graphicData>
            </a:graphic>
          </wp:inline>
        </w:drawing>
      </w:r>
      <w:r w:rsidRPr="00DD5552">
        <w:rPr>
          <w:rFonts w:ascii="Palatino Linotype" w:eastAsia="Palatino Linotype" w:hAnsi="Palatino Linotype" w:cs="Palatino Linotype"/>
          <w:noProof/>
          <w:sz w:val="22"/>
          <w:szCs w:val="22"/>
        </w:rPr>
        <w:drawing>
          <wp:inline distT="0" distB="0" distL="0" distR="0" wp14:anchorId="6AE539D5" wp14:editId="66223319">
            <wp:extent cx="4860000" cy="77173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75803"/>
                    <a:stretch/>
                  </pic:blipFill>
                  <pic:spPr bwMode="auto">
                    <a:xfrm>
                      <a:off x="0" y="0"/>
                      <a:ext cx="4860000" cy="771730"/>
                    </a:xfrm>
                    <a:prstGeom prst="rect">
                      <a:avLst/>
                    </a:prstGeom>
                    <a:ln>
                      <a:noFill/>
                    </a:ln>
                    <a:extLst>
                      <a:ext uri="{53640926-AAD7-44D8-BBD7-CCE9431645EC}">
                        <a14:shadowObscured xmlns:a14="http://schemas.microsoft.com/office/drawing/2010/main"/>
                      </a:ext>
                    </a:extLst>
                  </pic:spPr>
                </pic:pic>
              </a:graphicData>
            </a:graphic>
          </wp:inline>
        </w:drawing>
      </w:r>
    </w:p>
    <w:p w14:paraId="3DA49605" w14:textId="63BC85D3"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Por otro lado, resulta pertinente señalar que el Manuales para la Planeación, Programación y Presupuesto de Egresos Municipal, para el Ejercicio </w:t>
      </w:r>
      <w:proofErr w:type="spellStart"/>
      <w:r w:rsidRPr="00DD5552">
        <w:rPr>
          <w:rFonts w:ascii="Palatino Linotype" w:eastAsia="Palatino Linotype" w:hAnsi="Palatino Linotype" w:cs="Palatino Linotype"/>
          <w:sz w:val="22"/>
          <w:szCs w:val="22"/>
        </w:rPr>
        <w:t>Fiscale</w:t>
      </w:r>
      <w:proofErr w:type="spellEnd"/>
      <w:r w:rsidRPr="00DD5552">
        <w:rPr>
          <w:rFonts w:ascii="Palatino Linotype" w:eastAsia="Palatino Linotype" w:hAnsi="Palatino Linotype" w:cs="Palatino Linotype"/>
          <w:sz w:val="22"/>
          <w:szCs w:val="22"/>
        </w:rPr>
        <w:t xml:space="preserve"> 2025, integra como anexo el “Clasificador por objeto del gasto”,  el cual se constituye un elemento fundamental del sistema general de cuentas donde cada componente destaca aspectos concretos del presupuesto y suministra información que atiende a necesidades diferentes pero enlazadas, permitiendo el vínculo con la contabilidad, es decir, que se trata de un instrumento que permite la obtención de información para el análisis y seguimiento de la gestión financiera gubernamental, por lo cual permite conocer en qué se gasta y cuantificar la demanda de bienes o servicios.</w:t>
      </w:r>
    </w:p>
    <w:p w14:paraId="6E1C1FBF" w14:textId="77777777" w:rsidR="00250060" w:rsidRPr="00DD5552" w:rsidRDefault="00250060" w:rsidP="00250060">
      <w:pPr>
        <w:spacing w:before="280" w:after="28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La estructura del Clasificador, según lo previsto en el anexo, fue diseñada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14:paraId="47FACBBC" w14:textId="77777777"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744E86A3" wp14:editId="039020F7">
            <wp:extent cx="5610225" cy="93345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610225" cy="933450"/>
                    </a:xfrm>
                    <a:prstGeom prst="rect">
                      <a:avLst/>
                    </a:prstGeom>
                    <a:ln/>
                  </pic:spPr>
                </pic:pic>
              </a:graphicData>
            </a:graphic>
          </wp:inline>
        </w:drawing>
      </w:r>
    </w:p>
    <w:p w14:paraId="7B66D41E" w14:textId="77777777" w:rsidR="00250060" w:rsidRPr="00DD5552" w:rsidRDefault="00250060" w:rsidP="00250060">
      <w:pPr>
        <w:spacing w:before="280" w:after="28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Debiendo definir cada una de las partes que lo integran como sigue:</w:t>
      </w:r>
    </w:p>
    <w:p w14:paraId="32E48786" w14:textId="77777777" w:rsidR="00250060" w:rsidRPr="00DD5552" w:rsidRDefault="00250060" w:rsidP="00250060">
      <w:pPr>
        <w:numPr>
          <w:ilvl w:val="0"/>
          <w:numId w:val="4"/>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Capítulo:</w:t>
      </w:r>
      <w:r w:rsidRPr="00DD5552">
        <w:rPr>
          <w:rFonts w:ascii="Palatino Linotype" w:eastAsia="Palatino Linotype" w:hAnsi="Palatino Linotype" w:cs="Palatino Linotype"/>
          <w:sz w:val="22"/>
          <w:szCs w:val="22"/>
        </w:rPr>
        <w:t xml:space="preserve"> Es el mayor nivel de agregación que identifica el conjunto homogéneo y ordenado de los bienes y servicios requeridos por los entes públicos. </w:t>
      </w:r>
    </w:p>
    <w:p w14:paraId="042FE6A4" w14:textId="77777777" w:rsidR="00250060" w:rsidRPr="00DD5552" w:rsidRDefault="00250060" w:rsidP="00250060">
      <w:pPr>
        <w:numPr>
          <w:ilvl w:val="0"/>
          <w:numId w:val="4"/>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Concepto:</w:t>
      </w:r>
      <w:r w:rsidRPr="00DD5552">
        <w:rPr>
          <w:rFonts w:ascii="Palatino Linotype" w:eastAsia="Palatino Linotype" w:hAnsi="Palatino Linotype" w:cs="Palatino Linotype"/>
          <w:sz w:val="22"/>
          <w:szCs w:val="22"/>
        </w:rPr>
        <w:t xml:space="preserve"> Son subconjuntos homogéneos y ordenados en forma específica, producto de la desagregación de los bienes y servicios, incluidos en cada capítulo. </w:t>
      </w:r>
    </w:p>
    <w:p w14:paraId="3CAFD594" w14:textId="77777777" w:rsidR="00250060" w:rsidRPr="00DD5552" w:rsidRDefault="00250060" w:rsidP="00250060">
      <w:pPr>
        <w:numPr>
          <w:ilvl w:val="0"/>
          <w:numId w:val="4"/>
        </w:numPr>
        <w:pBdr>
          <w:top w:val="nil"/>
          <w:left w:val="nil"/>
          <w:bottom w:val="nil"/>
          <w:right w:val="nil"/>
          <w:between w:val="nil"/>
        </w:pBdr>
        <w:spacing w:before="120" w:after="120" w:line="276" w:lineRule="auto"/>
        <w:ind w:hanging="357"/>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Partida:</w:t>
      </w:r>
      <w:r w:rsidRPr="00DD5552">
        <w:rPr>
          <w:rFonts w:ascii="Palatino Linotype" w:eastAsia="Palatino Linotype" w:hAnsi="Palatino Linotype" w:cs="Palatino Linotype"/>
          <w:sz w:val="22"/>
          <w:szCs w:val="22"/>
        </w:rPr>
        <w:t xml:space="preserve"> Es el nivel de agregación más específico en el cual se describen las expresiones concretas y detalladas de los bienes y servicios que se adquieren y se compone de: </w:t>
      </w:r>
    </w:p>
    <w:p w14:paraId="40A16ADA" w14:textId="77777777" w:rsidR="00250060" w:rsidRPr="00DD5552" w:rsidRDefault="00250060" w:rsidP="00250060">
      <w:pPr>
        <w:numPr>
          <w:ilvl w:val="0"/>
          <w:numId w:val="5"/>
        </w:numPr>
        <w:pBdr>
          <w:top w:val="nil"/>
          <w:left w:val="nil"/>
          <w:bottom w:val="nil"/>
          <w:right w:val="nil"/>
          <w:between w:val="nil"/>
        </w:pBdr>
        <w:spacing w:before="120" w:line="276"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La Partida Genérica</w:t>
      </w:r>
      <w:r w:rsidRPr="00DD5552">
        <w:rPr>
          <w:rFonts w:ascii="Palatino Linotype" w:eastAsia="Palatino Linotype" w:hAnsi="Palatino Linotype" w:cs="Palatino Linotype"/>
          <w:sz w:val="22"/>
          <w:szCs w:val="22"/>
        </w:rPr>
        <w:t xml:space="preserve"> se refiere al tercer dígito, el cual logrará la armonización a todos los niveles de gobierno.</w:t>
      </w:r>
    </w:p>
    <w:p w14:paraId="0B8D101B" w14:textId="77777777" w:rsidR="00250060" w:rsidRPr="00DD5552" w:rsidRDefault="00250060" w:rsidP="00250060">
      <w:pPr>
        <w:numPr>
          <w:ilvl w:val="0"/>
          <w:numId w:val="5"/>
        </w:numPr>
        <w:pBdr>
          <w:top w:val="nil"/>
          <w:left w:val="nil"/>
          <w:bottom w:val="nil"/>
          <w:right w:val="nil"/>
          <w:between w:val="nil"/>
        </w:pBdr>
        <w:spacing w:after="120" w:line="276" w:lineRule="auto"/>
        <w:ind w:hanging="357"/>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La Partida Específica</w:t>
      </w:r>
      <w:r w:rsidRPr="00DD5552">
        <w:rPr>
          <w:rFonts w:ascii="Palatino Linotype" w:eastAsia="Palatino Linotype" w:hAnsi="Palatino Linotype" w:cs="Palatino Linotype"/>
          <w:sz w:val="22"/>
          <w:szCs w:val="22"/>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3DAF864B" w14:textId="77777777"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De acuerdo con este nivel de desagregación del Clasificador por Objeto del Gasto Estatal y Municipal, la definición de los Capítulos de gasto es la siguiente: </w:t>
      </w:r>
    </w:p>
    <w:p w14:paraId="11BFC4B7"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1000 SERVICIOS PERSONALES.</w:t>
      </w:r>
      <w:r w:rsidRPr="00DD5552">
        <w:rPr>
          <w:rFonts w:ascii="Palatino Linotype" w:eastAsia="Palatino Linotype" w:hAnsi="Palatino Linotype" w:cs="Palatino Linotype"/>
          <w:sz w:val="22"/>
          <w:szCs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04EA4F51" w14:textId="77777777" w:rsidR="00250060" w:rsidRPr="00DD5552" w:rsidRDefault="00250060" w:rsidP="00250060">
      <w:pPr>
        <w:spacing w:before="240" w:after="240"/>
        <w:ind w:left="426" w:right="49"/>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2000 MATERIALES Y SUMINISTROS</w:t>
      </w:r>
      <w:r w:rsidRPr="00DD5552">
        <w:rPr>
          <w:rFonts w:ascii="Palatino Linotype" w:eastAsia="Palatino Linotype" w:hAnsi="Palatino Linotype" w:cs="Palatino Linotype"/>
          <w:i/>
          <w:sz w:val="22"/>
          <w:szCs w:val="22"/>
        </w:rPr>
        <w:t xml:space="preserve">. Agrupa las asignaciones destinadas a la adquisición de toda clase de insumos y suministros requeridos para la prestación de bienes y servicios públicos y para el desempeño de las actividades administrativas. </w:t>
      </w:r>
    </w:p>
    <w:p w14:paraId="2BF177B2" w14:textId="77777777" w:rsidR="00250060" w:rsidRPr="00DD5552" w:rsidRDefault="00250060" w:rsidP="00250060">
      <w:pPr>
        <w:spacing w:before="240" w:after="240"/>
        <w:ind w:left="426" w:right="49"/>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sz w:val="22"/>
          <w:szCs w:val="22"/>
        </w:rPr>
        <w:t>3000 SERVICIOS GENERALES</w:t>
      </w:r>
      <w:r w:rsidRPr="00DD5552">
        <w:rPr>
          <w:rFonts w:ascii="Palatino Linotype" w:eastAsia="Palatino Linotype" w:hAnsi="Palatino Linotype" w:cs="Palatino Linotype"/>
          <w:b/>
          <w:i/>
          <w:sz w:val="22"/>
          <w:szCs w:val="22"/>
        </w:rPr>
        <w:t xml:space="preserve">. </w:t>
      </w:r>
      <w:r w:rsidRPr="00DD5552">
        <w:rPr>
          <w:rFonts w:ascii="Palatino Linotype" w:eastAsia="Palatino Linotype" w:hAnsi="Palatino Linotype" w:cs="Palatino Linotype"/>
          <w:sz w:val="22"/>
          <w:szCs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r w:rsidRPr="00DD5552">
        <w:rPr>
          <w:rFonts w:ascii="Palatino Linotype" w:eastAsia="Palatino Linotype" w:hAnsi="Palatino Linotype" w:cs="Palatino Linotype"/>
          <w:b/>
          <w:i/>
          <w:sz w:val="22"/>
          <w:szCs w:val="22"/>
        </w:rPr>
        <w:t xml:space="preserve">. </w:t>
      </w:r>
    </w:p>
    <w:p w14:paraId="6989B404"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4000 TRANSFERENCIAS, ASIGNACIONES, SUBSIDIOS Y OTRAS AYUDAS</w:t>
      </w:r>
      <w:r w:rsidRPr="00DD5552">
        <w:rPr>
          <w:rFonts w:ascii="Palatino Linotype" w:eastAsia="Palatino Linotype" w:hAnsi="Palatino Linotype" w:cs="Palatino Linotype"/>
          <w:sz w:val="22"/>
          <w:szCs w:val="22"/>
        </w:rPr>
        <w:t>.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62CBDAD0"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5000 BIENES MUEBLES, INMUEBLES E INTANGIBLES</w:t>
      </w:r>
      <w:r w:rsidRPr="00DD5552">
        <w:rPr>
          <w:rFonts w:ascii="Palatino Linotype" w:eastAsia="Palatino Linotype" w:hAnsi="Palatino Linotype" w:cs="Palatino Linotype"/>
          <w:sz w:val="22"/>
          <w:szCs w:val="22"/>
        </w:rPr>
        <w:t xml:space="preserve">.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419643D7"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6000 INVERSIÓN PÚBLICA.</w:t>
      </w:r>
      <w:r w:rsidRPr="00DD5552">
        <w:rPr>
          <w:rFonts w:ascii="Palatino Linotype" w:eastAsia="Palatino Linotype" w:hAnsi="Palatino Linotype" w:cs="Palatino Linotype"/>
          <w:sz w:val="22"/>
          <w:szCs w:val="22"/>
        </w:rPr>
        <w:t xml:space="preserve"> Asignaciones destinadas a obras por contrato y proyectos productivos y acciones de fomento. Incluye los gastos en estudios de pre‐inversión y preparación del proyecto. </w:t>
      </w:r>
    </w:p>
    <w:p w14:paraId="3CB5669F"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7000 INVERSIONES FINANCIERAS Y OTRAS PROVISIONES</w:t>
      </w:r>
      <w:r w:rsidRPr="00DD5552">
        <w:rPr>
          <w:rFonts w:ascii="Palatino Linotype" w:eastAsia="Palatino Linotype" w:hAnsi="Palatino Linotype" w:cs="Palatino Linotype"/>
          <w:sz w:val="22"/>
          <w:szCs w:val="22"/>
        </w:rPr>
        <w:t xml:space="preserve">.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14:paraId="162EC199"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8000 PARTICIPACIONES Y APORTACIONES.</w:t>
      </w:r>
      <w:r w:rsidRPr="00DD5552">
        <w:rPr>
          <w:rFonts w:ascii="Palatino Linotype" w:eastAsia="Palatino Linotype" w:hAnsi="Palatino Linotype" w:cs="Palatino Linotype"/>
          <w:sz w:val="22"/>
          <w:szCs w:val="22"/>
        </w:rPr>
        <w:t xml:space="preserve">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1AC5CA46" w14:textId="77777777" w:rsidR="00250060" w:rsidRPr="00DD5552" w:rsidRDefault="00250060" w:rsidP="00250060">
      <w:pPr>
        <w:spacing w:before="240" w:after="240"/>
        <w:ind w:left="426"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9000 DEUDA PÚBLICA</w:t>
      </w:r>
      <w:r w:rsidRPr="00DD5552">
        <w:rPr>
          <w:rFonts w:ascii="Palatino Linotype" w:eastAsia="Palatino Linotype" w:hAnsi="Palatino Linotype" w:cs="Palatino Linotype"/>
          <w:sz w:val="22"/>
          <w:szCs w:val="22"/>
        </w:rPr>
        <w:t xml:space="preserve">.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 </w:t>
      </w:r>
    </w:p>
    <w:p w14:paraId="30EDA20B" w14:textId="77777777"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este tenor, el Capítulo 2000 contempla el siguiente concepto o subcapítulo, partida genérica y partida específica atinente con el tema que nos ocupa:</w:t>
      </w:r>
    </w:p>
    <w:p w14:paraId="276E45D5" w14:textId="77777777"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noProof/>
          <w:sz w:val="22"/>
          <w:szCs w:val="22"/>
        </w:rPr>
        <w:drawing>
          <wp:inline distT="0" distB="0" distL="0" distR="0" wp14:anchorId="4B4D600C" wp14:editId="726A8EAA">
            <wp:extent cx="5612130" cy="1388110"/>
            <wp:effectExtent l="0" t="0" r="762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2130" cy="1388110"/>
                    </a:xfrm>
                    <a:prstGeom prst="rect">
                      <a:avLst/>
                    </a:prstGeom>
                  </pic:spPr>
                </pic:pic>
              </a:graphicData>
            </a:graphic>
          </wp:inline>
        </w:drawing>
      </w:r>
    </w:p>
    <w:p w14:paraId="35A60899" w14:textId="77B5C294" w:rsidR="00250060" w:rsidRPr="00DD5552" w:rsidRDefault="00250060" w:rsidP="0025006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Asimismo, no debe perderse de vista que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como ente fiscalizable se encuentra constreñido a rendir informes del ejercicio del presupuesto ante las autoridades fiscalizadoras, por lo que se estima que se encuentra en posibilidad de proporcionar </w:t>
      </w:r>
      <w:bookmarkStart w:id="11" w:name="_Hlk212661289"/>
      <w:r w:rsidRPr="00DD5552">
        <w:rPr>
          <w:rFonts w:ascii="Palatino Linotype" w:eastAsia="Palatino Linotype" w:hAnsi="Palatino Linotype" w:cs="Palatino Linotype"/>
          <w:sz w:val="22"/>
          <w:szCs w:val="22"/>
        </w:rPr>
        <w:t>el o los documentos que den cuenta del monto neto que se ha pagado por mes a cada proveedor de combustible para vehículos utilitarios del ayuntamiento, del uno de enero al dieciocho de julio de dos mil veinticinco, información que deberá proporcionarse en versión pública de ser procedente, de conformidad con el considerando siguiente</w:t>
      </w:r>
      <w:bookmarkEnd w:id="11"/>
      <w:r w:rsidRPr="00DD5552">
        <w:rPr>
          <w:rFonts w:ascii="Palatino Linotype" w:eastAsia="Palatino Linotype" w:hAnsi="Palatino Linotype" w:cs="Palatino Linotype"/>
          <w:sz w:val="22"/>
          <w:szCs w:val="22"/>
        </w:rPr>
        <w:t>, para tener por satisfecho el Derecho de acceso de la persona solicitante.</w:t>
      </w:r>
    </w:p>
    <w:p w14:paraId="75F8886D" w14:textId="7E5D52C2" w:rsidR="00320E68" w:rsidRPr="00DD5552" w:rsidRDefault="0014625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De lo hasta aquí expuesto, se concluye que los motivos de inconformidad de la parte </w:t>
      </w:r>
      <w:r w:rsidRPr="00DD5552">
        <w:rPr>
          <w:rFonts w:ascii="Palatino Linotype" w:eastAsia="Palatino Linotype" w:hAnsi="Palatino Linotype" w:cs="Palatino Linotype"/>
          <w:b/>
          <w:sz w:val="22"/>
          <w:szCs w:val="22"/>
        </w:rPr>
        <w:t xml:space="preserve">Recurrente </w:t>
      </w:r>
      <w:r w:rsidRPr="00DD5552">
        <w:rPr>
          <w:rFonts w:ascii="Palatino Linotype" w:eastAsia="Palatino Linotype" w:hAnsi="Palatino Linotype" w:cs="Palatino Linotype"/>
          <w:sz w:val="22"/>
          <w:szCs w:val="22"/>
        </w:rPr>
        <w:t xml:space="preserve">devienen fundados, siendo procedente </w:t>
      </w:r>
      <w:r w:rsidR="006541F4" w:rsidRPr="00DD5552">
        <w:rPr>
          <w:rFonts w:ascii="Palatino Linotype" w:eastAsia="Palatino Linotype" w:hAnsi="Palatino Linotype" w:cs="Palatino Linotype"/>
          <w:i/>
          <w:sz w:val="22"/>
          <w:szCs w:val="22"/>
        </w:rPr>
        <w:t>Revocar</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sz w:val="22"/>
          <w:szCs w:val="22"/>
        </w:rPr>
        <w:t xml:space="preserve">la respuesta proporcionada por el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2E797456" w14:textId="77777777" w:rsidR="006541F4" w:rsidRPr="00DD5552" w:rsidRDefault="006541F4" w:rsidP="006541F4">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 xml:space="preserve">Quinto. Versión Pública. </w:t>
      </w:r>
      <w:r w:rsidRPr="00DD5552">
        <w:rPr>
          <w:rFonts w:ascii="Palatino Linotype" w:eastAsia="Palatino Linotype" w:hAnsi="Palatino Linotype" w:cs="Palatino Linotype"/>
          <w:sz w:val="22"/>
          <w:szCs w:val="22"/>
        </w:rPr>
        <w:t>Como fue debidamente apuntado,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0470CFED" w14:textId="77777777" w:rsidR="006541F4" w:rsidRPr="00DD5552" w:rsidRDefault="006541F4" w:rsidP="006541F4">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76E571EA" w14:textId="77777777" w:rsidR="006541F4" w:rsidRPr="00DD5552" w:rsidRDefault="006541F4" w:rsidP="006541F4">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B500E66" w14:textId="77777777" w:rsidR="006541F4" w:rsidRPr="00DD5552" w:rsidRDefault="006541F4" w:rsidP="006541F4">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establecen:</w:t>
      </w:r>
    </w:p>
    <w:p w14:paraId="29454A94"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sz w:val="22"/>
          <w:szCs w:val="22"/>
        </w:rPr>
        <w:t> </w:t>
      </w: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3.</w:t>
      </w:r>
      <w:r w:rsidRPr="00DD5552">
        <w:rPr>
          <w:rFonts w:ascii="Palatino Linotype" w:eastAsia="Palatino Linotype" w:hAnsi="Palatino Linotype" w:cs="Palatino Linotype"/>
          <w:i/>
          <w:sz w:val="22"/>
          <w:szCs w:val="22"/>
        </w:rPr>
        <w:t xml:space="preserve"> Para los efectos de la presente Ley se entenderá por:</w:t>
      </w:r>
    </w:p>
    <w:p w14:paraId="624ADC57"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6CF3E7DE"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IX. Datos personales</w:t>
      </w:r>
      <w:r w:rsidRPr="00DD5552">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64132FEC"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4F226FBD"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XX. Información clasificada</w:t>
      </w:r>
      <w:r w:rsidRPr="00DD5552">
        <w:rPr>
          <w:rFonts w:ascii="Palatino Linotype" w:eastAsia="Palatino Linotype" w:hAnsi="Palatino Linotype" w:cs="Palatino Linotype"/>
          <w:i/>
          <w:sz w:val="22"/>
          <w:szCs w:val="22"/>
        </w:rPr>
        <w:t>: Aquella considerada por la presente Ley como reservada o confidencial;</w:t>
      </w:r>
    </w:p>
    <w:p w14:paraId="77257AED"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XXI. Información confidencial</w:t>
      </w:r>
      <w:r w:rsidRPr="00DD5552">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E9CB0F"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6B1FED1E"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XXXII. Protección de Datos Personales</w:t>
      </w:r>
      <w:r w:rsidRPr="00DD5552">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42D87CAD"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0633DE87" w14:textId="77777777" w:rsidR="006541F4" w:rsidRPr="00DD5552" w:rsidRDefault="006541F4" w:rsidP="006541F4">
      <w:pPr>
        <w:tabs>
          <w:tab w:val="left" w:pos="1276"/>
        </w:tabs>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XLV. Versión pública</w:t>
      </w:r>
      <w:r w:rsidRPr="00DD555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0EECA72E"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Artículo 6</w:t>
      </w:r>
      <w:r w:rsidRPr="00DD5552">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7D643CA"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61F35913"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91.</w:t>
      </w:r>
      <w:r w:rsidRPr="00DD555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sidRPr="00DD5552">
        <w:rPr>
          <w:rFonts w:ascii="Palatino Linotype" w:eastAsia="Palatino Linotype" w:hAnsi="Palatino Linotype" w:cs="Palatino Linotype"/>
          <w:i/>
          <w:sz w:val="22"/>
          <w:szCs w:val="22"/>
        </w:rPr>
        <w:br/>
        <w:t>…</w:t>
      </w:r>
    </w:p>
    <w:p w14:paraId="4FAD0CB0"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132.</w:t>
      </w:r>
      <w:r w:rsidRPr="00DD5552">
        <w:rPr>
          <w:rFonts w:ascii="Palatino Linotype" w:eastAsia="Palatino Linotype" w:hAnsi="Palatino Linotype" w:cs="Palatino Linotype"/>
          <w:i/>
          <w:sz w:val="22"/>
          <w:szCs w:val="22"/>
        </w:rPr>
        <w:t xml:space="preserve"> La clasificación de la información se llevará a cabo en el momento en que:</w:t>
      </w:r>
    </w:p>
    <w:p w14:paraId="3CCC8D29"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Se reciba una solicitud de acceso a la información;</w:t>
      </w:r>
    </w:p>
    <w:p w14:paraId="0E5033D7"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w:t>
      </w:r>
      <w:r w:rsidRPr="00DD5552">
        <w:rPr>
          <w:rFonts w:ascii="Palatino Linotype" w:eastAsia="Palatino Linotype" w:hAnsi="Palatino Linotype" w:cs="Palatino Linotype"/>
          <w:i/>
          <w:sz w:val="22"/>
          <w:szCs w:val="22"/>
        </w:rPr>
        <w:t xml:space="preserve"> Se determine mediante resolución de autoridad competente; o</w:t>
      </w:r>
    </w:p>
    <w:p w14:paraId="35E17FB2"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III.</w:t>
      </w:r>
      <w:r w:rsidRPr="00DD555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26EC992C"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w:t>
      </w:r>
    </w:p>
    <w:p w14:paraId="5DBCE7BA"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137.</w:t>
      </w:r>
      <w:r w:rsidRPr="00DD555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12B3FF"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Artículo 143.</w:t>
      </w:r>
      <w:r w:rsidRPr="00DD5552">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6F9006EA"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3663194" w14:textId="77777777" w:rsidR="006541F4" w:rsidRPr="00DD5552" w:rsidRDefault="006541F4" w:rsidP="006541F4">
      <w:pPr>
        <w:spacing w:before="240" w:after="240" w:line="360" w:lineRule="auto"/>
        <w:ind w:right="50"/>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288A3E8" w14:textId="77777777" w:rsidR="006541F4" w:rsidRPr="00DD5552" w:rsidRDefault="006541F4" w:rsidP="006541F4">
      <w:pPr>
        <w:spacing w:before="240" w:after="240" w:line="360" w:lineRule="auto"/>
        <w:ind w:right="50"/>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F04A40B"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 esta manera, la información que se ordena pudiera contener, entre otros datos, información de los predios colindantes, es decir, de los predios contiguos o que limitan con determinado bien inmueble; como lo es de manera enunciativa, más no limitativa, el nombre de los propietarios.</w:t>
      </w:r>
    </w:p>
    <w:p w14:paraId="00160CA6"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tal sentido, para el caso de que los documentos mediante los cuales se dará cumplimiento a la presente resolución contengan el nombre de personas físicas identificadas o identificables, en su carácter de propietarias de predios colindantes con bienes inmuebles de las instituciones públicas, así como de los bienes de dominio público, dicho dato deberá ser clasificado como confidencial.</w:t>
      </w:r>
    </w:p>
    <w:p w14:paraId="68EFEDD5"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Al respecto, es conveniente señalar que el nombre de una persona física, al ser uno de los atributos de la personalidad y la manifestación principal del derecho subjetivo a la identidad, es un dato personal que, por regla general, debe considerarse como un dato confidencial en términos del artículo 143, fracción I de la Ley de Transparencia y Acceso a la Información Pública del Estado de México y Municipios, cuando esta no se desempeña en la función pública, o bien, no celebra actos en el ámbito del derecho público, ya que por sí solo es un dato que identifica a su titular o lo hace identificable, por lo que con su publicidad se vulneraría su ámbito de privacidad.</w:t>
      </w:r>
    </w:p>
    <w:p w14:paraId="5783E0B1"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Asimismo, cabe señalar que las medidas y colindancias de los bienes inmuebles, en sí, no corren la misma suerte que el nombre de sus propietarios, toda vez que la finalidad de dichos datos, basados generalmente en los puntos cardinales, consiste únicamente en delimitar el área de determinado predio, esto es, su extensión y límites o linderos, respecto de los predios contiguos o adyacentes al mismo, por lo que no son propiamente datos personales susceptibles de ser clasificados de conformidad con las leyes de la materia.</w:t>
      </w:r>
    </w:p>
    <w:p w14:paraId="794FC562" w14:textId="77777777" w:rsidR="006541F4" w:rsidRPr="00DD5552" w:rsidRDefault="006541F4" w:rsidP="006541F4">
      <w:pPr>
        <w:spacing w:before="240" w:after="240" w:line="360" w:lineRule="auto"/>
        <w:ind w:right="50"/>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4542DB3"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49.</w:t>
      </w:r>
      <w:r w:rsidRPr="00DD5552">
        <w:rPr>
          <w:rFonts w:ascii="Palatino Linotype" w:eastAsia="Palatino Linotype" w:hAnsi="Palatino Linotype" w:cs="Palatino Linotype"/>
          <w:i/>
          <w:sz w:val="22"/>
          <w:szCs w:val="22"/>
        </w:rPr>
        <w:t xml:space="preserve"> </w:t>
      </w:r>
      <w:r w:rsidRPr="00DD5552">
        <w:rPr>
          <w:rFonts w:ascii="Palatino Linotype" w:eastAsia="Palatino Linotype" w:hAnsi="Palatino Linotype" w:cs="Palatino Linotype"/>
          <w:b/>
          <w:i/>
          <w:sz w:val="22"/>
          <w:szCs w:val="22"/>
        </w:rPr>
        <w:t>Los Comités de Transparencia</w:t>
      </w:r>
      <w:r w:rsidRPr="00DD5552">
        <w:rPr>
          <w:rFonts w:ascii="Palatino Linotype" w:eastAsia="Palatino Linotype" w:hAnsi="Palatino Linotype" w:cs="Palatino Linotype"/>
          <w:i/>
          <w:sz w:val="22"/>
          <w:szCs w:val="22"/>
        </w:rPr>
        <w:t xml:space="preserve"> tendrán las siguientes atribuciones:</w:t>
      </w:r>
    </w:p>
    <w:p w14:paraId="2C69F17D"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VIII. Aprobar, modificar o revocar la clasificación de la información</w:t>
      </w:r>
      <w:r w:rsidRPr="00DD5552">
        <w:rPr>
          <w:rFonts w:ascii="Palatino Linotype" w:eastAsia="Palatino Linotype" w:hAnsi="Palatino Linotype" w:cs="Palatino Linotype"/>
          <w:i/>
          <w:sz w:val="22"/>
          <w:szCs w:val="22"/>
        </w:rPr>
        <w:t>…”</w:t>
      </w:r>
    </w:p>
    <w:p w14:paraId="77620A7E"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53.</w:t>
      </w:r>
      <w:r w:rsidRPr="00DD5552">
        <w:rPr>
          <w:rFonts w:ascii="Palatino Linotype" w:eastAsia="Palatino Linotype" w:hAnsi="Palatino Linotype" w:cs="Palatino Linotype"/>
          <w:i/>
          <w:sz w:val="22"/>
          <w:szCs w:val="22"/>
        </w:rPr>
        <w:t xml:space="preserve"> Las </w:t>
      </w:r>
      <w:r w:rsidRPr="00DD5552">
        <w:rPr>
          <w:rFonts w:ascii="Palatino Linotype" w:eastAsia="Palatino Linotype" w:hAnsi="Palatino Linotype" w:cs="Palatino Linotype"/>
          <w:b/>
          <w:i/>
          <w:sz w:val="22"/>
          <w:szCs w:val="22"/>
        </w:rPr>
        <w:t>Unidades de Transparencia</w:t>
      </w:r>
      <w:r w:rsidRPr="00DD5552">
        <w:rPr>
          <w:rFonts w:ascii="Palatino Linotype" w:eastAsia="Palatino Linotype" w:hAnsi="Palatino Linotype" w:cs="Palatino Linotype"/>
          <w:i/>
          <w:sz w:val="22"/>
          <w:szCs w:val="22"/>
        </w:rPr>
        <w:t xml:space="preserve"> tendrán las siguientes </w:t>
      </w:r>
      <w:r w:rsidRPr="00DD5552">
        <w:rPr>
          <w:rFonts w:ascii="Palatino Linotype" w:eastAsia="Palatino Linotype" w:hAnsi="Palatino Linotype" w:cs="Palatino Linotype"/>
          <w:b/>
          <w:i/>
          <w:sz w:val="22"/>
          <w:szCs w:val="22"/>
        </w:rPr>
        <w:t>funciones</w:t>
      </w:r>
      <w:r w:rsidRPr="00DD5552">
        <w:rPr>
          <w:rFonts w:ascii="Palatino Linotype" w:eastAsia="Palatino Linotype" w:hAnsi="Palatino Linotype" w:cs="Palatino Linotype"/>
          <w:i/>
          <w:sz w:val="22"/>
          <w:szCs w:val="22"/>
        </w:rPr>
        <w:t>:</w:t>
      </w:r>
    </w:p>
    <w:p w14:paraId="07398BEC"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X. Presentar ante el Comité, el proyecto de clasificación de información</w:t>
      </w:r>
      <w:r w:rsidRPr="00DD5552">
        <w:rPr>
          <w:rFonts w:ascii="Palatino Linotype" w:eastAsia="Palatino Linotype" w:hAnsi="Palatino Linotype" w:cs="Palatino Linotype"/>
          <w:i/>
          <w:sz w:val="22"/>
          <w:szCs w:val="22"/>
        </w:rPr>
        <w:t xml:space="preserve">…” </w:t>
      </w:r>
    </w:p>
    <w:p w14:paraId="45B991DC"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“Artículo 59.</w:t>
      </w:r>
      <w:r w:rsidRPr="00DD5552">
        <w:rPr>
          <w:rFonts w:ascii="Palatino Linotype" w:eastAsia="Palatino Linotype" w:hAnsi="Palatino Linotype" w:cs="Palatino Linotype"/>
          <w:i/>
          <w:sz w:val="22"/>
          <w:szCs w:val="22"/>
        </w:rPr>
        <w:t xml:space="preserve"> Los </w:t>
      </w:r>
      <w:r w:rsidRPr="00DD5552">
        <w:rPr>
          <w:rFonts w:ascii="Palatino Linotype" w:eastAsia="Palatino Linotype" w:hAnsi="Palatino Linotype" w:cs="Palatino Linotype"/>
          <w:b/>
          <w:i/>
          <w:sz w:val="22"/>
          <w:szCs w:val="22"/>
        </w:rPr>
        <w:t>servidores públicos habilitados</w:t>
      </w:r>
      <w:r w:rsidRPr="00DD5552">
        <w:rPr>
          <w:rFonts w:ascii="Palatino Linotype" w:eastAsia="Palatino Linotype" w:hAnsi="Palatino Linotype" w:cs="Palatino Linotype"/>
          <w:i/>
          <w:sz w:val="22"/>
          <w:szCs w:val="22"/>
        </w:rPr>
        <w:t xml:space="preserve"> tendrán las </w:t>
      </w:r>
      <w:r w:rsidRPr="00DD5552">
        <w:rPr>
          <w:rFonts w:ascii="Palatino Linotype" w:eastAsia="Palatino Linotype" w:hAnsi="Palatino Linotype" w:cs="Palatino Linotype"/>
          <w:b/>
          <w:i/>
          <w:sz w:val="22"/>
          <w:szCs w:val="22"/>
        </w:rPr>
        <w:t>funciones</w:t>
      </w:r>
      <w:r w:rsidRPr="00DD5552">
        <w:rPr>
          <w:rFonts w:ascii="Palatino Linotype" w:eastAsia="Palatino Linotype" w:hAnsi="Palatino Linotype" w:cs="Palatino Linotype"/>
          <w:i/>
          <w:sz w:val="22"/>
          <w:szCs w:val="22"/>
        </w:rPr>
        <w:t xml:space="preserve"> siguientes:</w:t>
      </w:r>
    </w:p>
    <w:p w14:paraId="7B1D7671"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DD5552">
        <w:rPr>
          <w:rFonts w:ascii="Palatino Linotype" w:eastAsia="Palatino Linotype" w:hAnsi="Palatino Linotype" w:cs="Palatino Linotype"/>
          <w:i/>
          <w:sz w:val="22"/>
          <w:szCs w:val="22"/>
        </w:rPr>
        <w:t>, la cual tendrá los fundamentos y argumentos en que se basa dicha propuesta…”</w:t>
      </w:r>
    </w:p>
    <w:p w14:paraId="3455BEDE"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8882130"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796E26C5"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Artículo 149.</w:t>
      </w:r>
      <w:r w:rsidRPr="00DD5552">
        <w:rPr>
          <w:rFonts w:ascii="Palatino Linotype" w:eastAsia="Palatino Linotype" w:hAnsi="Palatino Linotype" w:cs="Palatino Linotype"/>
          <w:i/>
          <w:sz w:val="22"/>
          <w:szCs w:val="22"/>
        </w:rPr>
        <w:t xml:space="preserve"> El </w:t>
      </w:r>
      <w:r w:rsidRPr="00DD5552">
        <w:rPr>
          <w:rFonts w:ascii="Palatino Linotype" w:eastAsia="Palatino Linotype" w:hAnsi="Palatino Linotype" w:cs="Palatino Linotype"/>
          <w:b/>
          <w:i/>
          <w:sz w:val="22"/>
          <w:szCs w:val="22"/>
        </w:rPr>
        <w:t>acuerdo que clasifique la información como confidencial</w:t>
      </w:r>
      <w:r w:rsidRPr="00DD555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14:paraId="11D248D5" w14:textId="77777777" w:rsidR="006541F4" w:rsidRPr="00DD5552" w:rsidRDefault="006541F4" w:rsidP="006541F4">
      <w:pP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Es decir,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4B40D132" w14:textId="77777777" w:rsidR="006541F4" w:rsidRPr="00DD5552" w:rsidRDefault="006541F4" w:rsidP="006541F4">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10A63F63"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xml:space="preserve"> “Quincuagésimo. </w:t>
      </w:r>
      <w:r w:rsidRPr="00DD5552">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4DA72BC"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xml:space="preserve">Quincuagésimo primero. </w:t>
      </w:r>
      <w:r w:rsidRPr="00DD5552">
        <w:rPr>
          <w:rFonts w:ascii="Palatino Linotype" w:eastAsia="Palatino Linotype" w:hAnsi="Palatino Linotype" w:cs="Palatino Linotype"/>
          <w:i/>
          <w:sz w:val="22"/>
          <w:szCs w:val="22"/>
        </w:rPr>
        <w:t xml:space="preserve">Toda acta del Comité de Transparencia deberá contener: </w:t>
      </w:r>
    </w:p>
    <w:p w14:paraId="5B7071DC"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El número de sesión y fecha; </w:t>
      </w:r>
    </w:p>
    <w:p w14:paraId="03CCDD6B"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w:t>
      </w:r>
      <w:r w:rsidRPr="00DD5552">
        <w:rPr>
          <w:rFonts w:ascii="Palatino Linotype" w:eastAsia="Palatino Linotype" w:hAnsi="Palatino Linotype" w:cs="Palatino Linotype"/>
          <w:i/>
          <w:sz w:val="22"/>
          <w:szCs w:val="22"/>
        </w:rPr>
        <w:t xml:space="preserve">. El nombre del área que solicitó la clasificación de información; </w:t>
      </w:r>
    </w:p>
    <w:p w14:paraId="6556F2D6"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III</w:t>
      </w:r>
      <w:r w:rsidRPr="00DD5552">
        <w:rPr>
          <w:rFonts w:ascii="Palatino Linotype" w:eastAsia="Palatino Linotype" w:hAnsi="Palatino Linotype" w:cs="Palatino Linotype"/>
          <w:i/>
          <w:sz w:val="22"/>
          <w:szCs w:val="22"/>
        </w:rPr>
        <w:t xml:space="preserve">. La fundamentación legal y motivación correspondiente; </w:t>
      </w:r>
    </w:p>
    <w:p w14:paraId="53AEF8F2"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IV</w:t>
      </w:r>
      <w:r w:rsidRPr="00DD5552">
        <w:rPr>
          <w:rFonts w:ascii="Palatino Linotype" w:eastAsia="Palatino Linotype" w:hAnsi="Palatino Linotype" w:cs="Palatino Linotype"/>
          <w:i/>
          <w:sz w:val="22"/>
          <w:szCs w:val="22"/>
        </w:rPr>
        <w:t xml:space="preserve">. La resolución o resoluciones aprobadas; y </w:t>
      </w:r>
    </w:p>
    <w:p w14:paraId="7A9149C1"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V</w:t>
      </w:r>
      <w:r w:rsidRPr="00DD5552">
        <w:rPr>
          <w:rFonts w:ascii="Palatino Linotype" w:eastAsia="Palatino Linotype" w:hAnsi="Palatino Linotype" w:cs="Palatino Linotype"/>
          <w:i/>
          <w:sz w:val="22"/>
          <w:szCs w:val="22"/>
        </w:rPr>
        <w:t xml:space="preserve">. La rúbrica o firma digital de cada integrante del Comité de Transparencia. </w:t>
      </w:r>
    </w:p>
    <w:p w14:paraId="32C77C42"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9F6AF4B"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7AF9660"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II</w:t>
      </w:r>
      <w:r w:rsidRPr="00DD5552">
        <w:rPr>
          <w:rFonts w:ascii="Palatino Linotype" w:eastAsia="Palatino Linotype" w:hAnsi="Palatino Linotype" w:cs="Palatino Linotype"/>
          <w:i/>
          <w:sz w:val="22"/>
          <w:szCs w:val="22"/>
        </w:rPr>
        <w:t>. Descripción de las partes o secciones reservadas, en caso de clasificación parcial</w:t>
      </w:r>
      <w:r w:rsidRPr="00DD5552">
        <w:rPr>
          <w:rFonts w:ascii="Palatino Linotype" w:eastAsia="Palatino Linotype" w:hAnsi="Palatino Linotype" w:cs="Palatino Linotype"/>
          <w:b/>
          <w:i/>
          <w:sz w:val="22"/>
          <w:szCs w:val="22"/>
        </w:rPr>
        <w:t xml:space="preserve">; </w:t>
      </w:r>
    </w:p>
    <w:p w14:paraId="2628E1AE"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III.</w:t>
      </w:r>
      <w:r w:rsidRPr="00DD5552">
        <w:rPr>
          <w:rFonts w:ascii="Palatino Linotype" w:eastAsia="Palatino Linotype" w:hAnsi="Palatino Linotype" w:cs="Palatino Linotype"/>
          <w:i/>
          <w:sz w:val="22"/>
          <w:szCs w:val="22"/>
        </w:rPr>
        <w:t xml:space="preserve"> El periodo por el que mantendrá su clasificación y fecha de expiración; y </w:t>
      </w:r>
    </w:p>
    <w:p w14:paraId="09668CFB"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IV.</w:t>
      </w:r>
      <w:r w:rsidRPr="00DD5552">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E3B3893"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0F62C82" w14:textId="77777777" w:rsidR="006541F4" w:rsidRPr="00DD5552" w:rsidRDefault="006541F4" w:rsidP="006541F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7F16272D"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Asimismo, 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FE9F325"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r w:rsidRPr="00DD5552">
        <w:rPr>
          <w:rFonts w:ascii="Palatino Linotype" w:eastAsia="Palatino Linotype" w:hAnsi="Palatino Linotype" w:cs="Palatino Linotype"/>
          <w:b/>
          <w:i/>
          <w:sz w:val="22"/>
          <w:szCs w:val="22"/>
        </w:rPr>
        <w:t>Quincuagésimo segundo</w:t>
      </w:r>
      <w:r w:rsidRPr="00DD5552">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DD5552">
        <w:rPr>
          <w:rFonts w:ascii="Palatino Linotype" w:eastAsia="Palatino Linotype" w:hAnsi="Palatino Linotype" w:cs="Palatino Linotype"/>
          <w:i/>
          <w:sz w:val="22"/>
          <w:szCs w:val="22"/>
        </w:rPr>
        <w:t>sobreposición</w:t>
      </w:r>
      <w:proofErr w:type="spellEnd"/>
      <w:r w:rsidRPr="00DD5552">
        <w:rPr>
          <w:rFonts w:ascii="Palatino Linotype" w:eastAsia="Palatino Linotype" w:hAnsi="Palatino Linotype" w:cs="Palatino Linotype"/>
          <w:i/>
          <w:sz w:val="22"/>
          <w:szCs w:val="22"/>
        </w:rPr>
        <w:t xml:space="preserve"> de contenido distinto al autorizado por el Comité.</w:t>
      </w:r>
    </w:p>
    <w:p w14:paraId="1D2192F5"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2C0F838B"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6A362A5C"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w:t>
      </w:r>
      <w:r w:rsidRPr="00DD5552">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B03F479"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III.</w:t>
      </w:r>
      <w:r w:rsidRPr="00DD5552">
        <w:rPr>
          <w:rFonts w:ascii="Palatino Linotype" w:eastAsia="Palatino Linotype" w:hAnsi="Palatino Linotype" w:cs="Palatino Linotype"/>
          <w:i/>
          <w:sz w:val="22"/>
          <w:szCs w:val="22"/>
        </w:rPr>
        <w:t xml:space="preserve"> Señalar las personas o instancias autorizadas a acceder a la información clasificada.</w:t>
      </w:r>
    </w:p>
    <w:p w14:paraId="21C692C3" w14:textId="77777777" w:rsidR="006541F4" w:rsidRPr="00DD5552" w:rsidRDefault="006541F4" w:rsidP="006541F4">
      <w:pP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9F8FD48" w14:textId="77777777" w:rsidR="006541F4" w:rsidRPr="00DD5552" w:rsidRDefault="006541F4" w:rsidP="006541F4">
      <w:pPr>
        <w:pBdr>
          <w:top w:val="nil"/>
          <w:left w:val="nil"/>
          <w:bottom w:val="nil"/>
          <w:right w:val="nil"/>
          <w:between w:val="nil"/>
        </w:pBdr>
        <w:spacing w:before="120" w:after="120"/>
        <w:ind w:left="851" w:right="900"/>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w:t>
      </w:r>
    </w:p>
    <w:p w14:paraId="4019A712" w14:textId="77777777" w:rsidR="006541F4" w:rsidRPr="00DD5552" w:rsidRDefault="006541F4" w:rsidP="006541F4">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 xml:space="preserve">Quincuagésimo cuarto. </w:t>
      </w:r>
      <w:r w:rsidRPr="00DD5552">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DD5552">
        <w:rPr>
          <w:rFonts w:ascii="Palatino Linotype" w:eastAsia="Palatino Linotype" w:hAnsi="Palatino Linotype" w:cs="Palatino Linotype"/>
          <w:b/>
          <w:i/>
          <w:sz w:val="22"/>
          <w:szCs w:val="22"/>
        </w:rPr>
        <w:t xml:space="preserve"> </w:t>
      </w:r>
    </w:p>
    <w:p w14:paraId="332B374E"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 xml:space="preserve">Quincuagésimo quinto. </w:t>
      </w:r>
      <w:r w:rsidRPr="00DD5552">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DD5552">
        <w:rPr>
          <w:rFonts w:ascii="Palatino Linotype" w:eastAsia="Palatino Linotype" w:hAnsi="Palatino Linotype" w:cs="Palatino Linotype"/>
          <w:i/>
          <w:sz w:val="22"/>
          <w:szCs w:val="22"/>
        </w:rPr>
        <w:t>testado</w:t>
      </w:r>
      <w:proofErr w:type="spellEnd"/>
      <w:r w:rsidRPr="00DD555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BF5760B" w14:textId="77777777" w:rsidR="006541F4" w:rsidRPr="00DD5552" w:rsidRDefault="006541F4" w:rsidP="006541F4">
      <w:pPr>
        <w:spacing w:before="120" w:after="120"/>
        <w:ind w:left="851" w:right="902"/>
        <w:jc w:val="both"/>
        <w:rPr>
          <w:rFonts w:ascii="Palatino Linotype" w:eastAsia="Palatino Linotype" w:hAnsi="Palatino Linotype" w:cs="Palatino Linotype"/>
          <w:b/>
          <w:i/>
          <w:sz w:val="22"/>
          <w:szCs w:val="22"/>
        </w:rPr>
      </w:pPr>
      <w:r w:rsidRPr="00DD5552">
        <w:rPr>
          <w:rFonts w:ascii="Palatino Linotype" w:eastAsia="Palatino Linotype" w:hAnsi="Palatino Linotype" w:cs="Palatino Linotype"/>
          <w:b/>
          <w:i/>
          <w:sz w:val="22"/>
          <w:szCs w:val="22"/>
        </w:rPr>
        <w:t>...</w:t>
      </w:r>
    </w:p>
    <w:p w14:paraId="32BE3B25"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Quincuagésimo séptimo</w:t>
      </w:r>
      <w:r w:rsidRPr="00DD555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6EFC84B"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w:t>
      </w:r>
      <w:r w:rsidRPr="00DD555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7E3B484"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w:t>
      </w:r>
      <w:r w:rsidRPr="00DD5552">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759132E5"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III</w:t>
      </w:r>
      <w:r w:rsidRPr="00DD555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5E5A80A3"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5105DA62" w14:textId="77777777" w:rsidR="006541F4" w:rsidRPr="00DD5552" w:rsidRDefault="006541F4" w:rsidP="006541F4">
      <w:pPr>
        <w:spacing w:before="120" w:after="120"/>
        <w:ind w:left="851" w:right="902"/>
        <w:jc w:val="both"/>
        <w:rPr>
          <w:rFonts w:ascii="Palatino Linotype" w:eastAsia="Palatino Linotype" w:hAnsi="Palatino Linotype" w:cs="Palatino Linotype"/>
          <w:i/>
          <w:sz w:val="22"/>
          <w:szCs w:val="22"/>
        </w:rPr>
      </w:pPr>
      <w:r w:rsidRPr="00DD5552">
        <w:rPr>
          <w:rFonts w:ascii="Palatino Linotype" w:eastAsia="Palatino Linotype" w:hAnsi="Palatino Linotype" w:cs="Palatino Linotype"/>
          <w:b/>
          <w:i/>
          <w:sz w:val="22"/>
          <w:szCs w:val="22"/>
        </w:rPr>
        <w:t>Quincuagésimo octavo</w:t>
      </w:r>
      <w:r w:rsidRPr="00DD5552">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5A96B8C7" w14:textId="54798BD4" w:rsidR="00320E68" w:rsidRPr="00DD5552" w:rsidRDefault="00146250">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Así, con fundamento en lo prescrito en los artículos </w:t>
      </w:r>
      <w:r w:rsidR="008B5EA6" w:rsidRPr="00DD555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D5552">
        <w:rPr>
          <w:rFonts w:ascii="Palatino Linotype" w:eastAsia="Palatino Linotype" w:hAnsi="Palatino Linotype" w:cs="Palatino Linotype"/>
          <w:sz w:val="22"/>
          <w:szCs w:val="22"/>
        </w:rPr>
        <w:t>; 2, fracción II; 29, 36 fracciones I y II; 176, 178, 181, 185 y 186 fracción II de la Ley de Transparencia y Acceso a la Información Pública del Estado de México y Municipios, este Pleno:</w:t>
      </w:r>
    </w:p>
    <w:p w14:paraId="633B9BCF" w14:textId="77777777" w:rsidR="00320E68" w:rsidRPr="00DD5552" w:rsidRDefault="0014625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D5552">
        <w:rPr>
          <w:rFonts w:ascii="Palatino Linotype" w:eastAsia="Palatino Linotype" w:hAnsi="Palatino Linotype" w:cs="Palatino Linotype"/>
          <w:b/>
          <w:sz w:val="22"/>
          <w:szCs w:val="22"/>
        </w:rPr>
        <w:t>III. R E S U E L V E</w:t>
      </w:r>
    </w:p>
    <w:p w14:paraId="00D53529" w14:textId="107411C1" w:rsidR="00320E68" w:rsidRPr="00DD5552" w:rsidRDefault="00146250">
      <w:pPr>
        <w:spacing w:before="240" w:after="240" w:line="360" w:lineRule="auto"/>
        <w:jc w:val="both"/>
        <w:rPr>
          <w:rFonts w:ascii="Palatino Linotype" w:eastAsia="Palatino Linotype" w:hAnsi="Palatino Linotype" w:cs="Palatino Linotype"/>
          <w:sz w:val="22"/>
          <w:szCs w:val="22"/>
        </w:rPr>
      </w:pPr>
      <w:bookmarkStart w:id="12" w:name="_heading=h.1t3h5sf" w:colFirst="0" w:colLast="0"/>
      <w:bookmarkEnd w:id="12"/>
      <w:r w:rsidRPr="00DD5552">
        <w:rPr>
          <w:rFonts w:ascii="Palatino Linotype" w:eastAsia="Palatino Linotype" w:hAnsi="Palatino Linotype" w:cs="Palatino Linotype"/>
          <w:b/>
          <w:sz w:val="22"/>
          <w:szCs w:val="22"/>
        </w:rPr>
        <w:t xml:space="preserve">Primero. </w:t>
      </w:r>
      <w:r w:rsidRPr="00DD5552">
        <w:rPr>
          <w:rFonts w:ascii="Palatino Linotype" w:eastAsia="Palatino Linotype" w:hAnsi="Palatino Linotype" w:cs="Palatino Linotype"/>
          <w:sz w:val="22"/>
          <w:szCs w:val="22"/>
        </w:rPr>
        <w:t>Resultan</w:t>
      </w:r>
      <w:r w:rsidRPr="00DD5552">
        <w:rPr>
          <w:rFonts w:ascii="Palatino Linotype" w:eastAsia="Palatino Linotype" w:hAnsi="Palatino Linotype" w:cs="Palatino Linotype"/>
          <w:b/>
          <w:sz w:val="22"/>
          <w:szCs w:val="22"/>
        </w:rPr>
        <w:t xml:space="preserve"> fundadas</w:t>
      </w:r>
      <w:r w:rsidRPr="00DD5552">
        <w:rPr>
          <w:rFonts w:ascii="Palatino Linotype" w:eastAsia="Palatino Linotype" w:hAnsi="Palatino Linotype" w:cs="Palatino Linotype"/>
          <w:sz w:val="22"/>
          <w:szCs w:val="22"/>
        </w:rPr>
        <w:t xml:space="preserve"> las razones o motivos de inconformidad hechos valer por la parte</w:t>
      </w:r>
      <w:r w:rsidRPr="00DD5552">
        <w:rPr>
          <w:rFonts w:ascii="Palatino Linotype" w:eastAsia="Palatino Linotype" w:hAnsi="Palatino Linotype" w:cs="Palatino Linotype"/>
          <w:b/>
          <w:sz w:val="22"/>
          <w:szCs w:val="22"/>
        </w:rPr>
        <w:t xml:space="preserve"> Recurrente</w:t>
      </w:r>
      <w:r w:rsidRPr="00DD5552">
        <w:rPr>
          <w:rFonts w:ascii="Palatino Linotype" w:eastAsia="Palatino Linotype" w:hAnsi="Palatino Linotype" w:cs="Palatino Linotype"/>
          <w:sz w:val="22"/>
          <w:szCs w:val="22"/>
        </w:rPr>
        <w:t xml:space="preserve"> en el recurso de revisión </w:t>
      </w:r>
      <w:r w:rsidR="00250060" w:rsidRPr="00DD5552">
        <w:rPr>
          <w:rFonts w:ascii="Palatino Linotype" w:eastAsia="Palatino Linotype" w:hAnsi="Palatino Linotype" w:cs="Palatino Linotype"/>
          <w:b/>
          <w:sz w:val="22"/>
          <w:szCs w:val="22"/>
        </w:rPr>
        <w:t>10379</w:t>
      </w:r>
      <w:r w:rsidRPr="00DD5552">
        <w:rPr>
          <w:rFonts w:ascii="Palatino Linotype" w:eastAsia="Palatino Linotype" w:hAnsi="Palatino Linotype" w:cs="Palatino Linotype"/>
          <w:b/>
          <w:sz w:val="22"/>
          <w:szCs w:val="22"/>
        </w:rPr>
        <w:t>/INFOEM/IP/RR/2025</w:t>
      </w:r>
      <w:r w:rsidRPr="00DD5552">
        <w:rPr>
          <w:rFonts w:ascii="Palatino Linotype" w:eastAsia="Palatino Linotype" w:hAnsi="Palatino Linotype" w:cs="Palatino Linotype"/>
          <w:sz w:val="22"/>
          <w:szCs w:val="22"/>
        </w:rPr>
        <w:t xml:space="preserve">; por lo que, en términos del </w:t>
      </w:r>
      <w:r w:rsidRPr="00DD5552">
        <w:rPr>
          <w:rFonts w:ascii="Palatino Linotype" w:eastAsia="Palatino Linotype" w:hAnsi="Palatino Linotype" w:cs="Palatino Linotype"/>
          <w:b/>
          <w:sz w:val="22"/>
          <w:szCs w:val="22"/>
        </w:rPr>
        <w:t>Considerando</w:t>
      </w:r>
      <w:r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b/>
          <w:sz w:val="22"/>
          <w:szCs w:val="22"/>
        </w:rPr>
        <w:t xml:space="preserve">Cuarto </w:t>
      </w:r>
      <w:r w:rsidRPr="00DD5552">
        <w:rPr>
          <w:rFonts w:ascii="Palatino Linotype" w:eastAsia="Palatino Linotype" w:hAnsi="Palatino Linotype" w:cs="Palatino Linotype"/>
          <w:sz w:val="22"/>
          <w:szCs w:val="22"/>
        </w:rPr>
        <w:t xml:space="preserve">de esta resolución, se </w:t>
      </w:r>
      <w:r w:rsidR="006541F4" w:rsidRPr="00DD5552">
        <w:rPr>
          <w:rFonts w:ascii="Palatino Linotype" w:eastAsia="Palatino Linotype" w:hAnsi="Palatino Linotype" w:cs="Palatino Linotype"/>
          <w:b/>
          <w:sz w:val="22"/>
          <w:szCs w:val="22"/>
        </w:rPr>
        <w:t>Revoca</w:t>
      </w:r>
      <w:r w:rsidRPr="00DD5552">
        <w:rPr>
          <w:rFonts w:ascii="Palatino Linotype" w:eastAsia="Palatino Linotype" w:hAnsi="Palatino Linotype" w:cs="Palatino Linotype"/>
          <w:b/>
          <w:sz w:val="22"/>
          <w:szCs w:val="22"/>
        </w:rPr>
        <w:t xml:space="preserve"> </w:t>
      </w:r>
      <w:r w:rsidRPr="00DD5552">
        <w:rPr>
          <w:rFonts w:ascii="Palatino Linotype" w:eastAsia="Palatino Linotype" w:hAnsi="Palatino Linotype" w:cs="Palatino Linotype"/>
          <w:sz w:val="22"/>
          <w:szCs w:val="22"/>
        </w:rPr>
        <w:t xml:space="preserve">la respuesta emitida por el </w:t>
      </w:r>
      <w:r w:rsidRPr="00DD5552">
        <w:rPr>
          <w:rFonts w:ascii="Palatino Linotype" w:eastAsia="Palatino Linotype" w:hAnsi="Palatino Linotype" w:cs="Palatino Linotype"/>
          <w:b/>
          <w:sz w:val="22"/>
          <w:szCs w:val="22"/>
        </w:rPr>
        <w:t xml:space="preserve">Sujeto Obligado. </w:t>
      </w:r>
    </w:p>
    <w:p w14:paraId="40F1E22C" w14:textId="77777777" w:rsidR="006541F4" w:rsidRPr="00DD5552" w:rsidRDefault="006541F4" w:rsidP="006541F4">
      <w:pPr>
        <w:spacing w:before="240" w:after="240" w:line="360" w:lineRule="auto"/>
        <w:ind w:right="49"/>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 xml:space="preserve">Segundo. </w:t>
      </w:r>
      <w:r w:rsidRPr="00DD5552">
        <w:rPr>
          <w:rFonts w:ascii="Palatino Linotype" w:eastAsia="Palatino Linotype" w:hAnsi="Palatino Linotype" w:cs="Palatino Linotype"/>
          <w:sz w:val="22"/>
          <w:szCs w:val="22"/>
        </w:rPr>
        <w:t xml:space="preserve">Se </w:t>
      </w:r>
      <w:r w:rsidRPr="00DD5552">
        <w:rPr>
          <w:rFonts w:ascii="Palatino Linotype" w:eastAsia="Palatino Linotype" w:hAnsi="Palatino Linotype" w:cs="Palatino Linotype"/>
          <w:b/>
          <w:sz w:val="22"/>
          <w:szCs w:val="22"/>
        </w:rPr>
        <w:t xml:space="preserve">Ordena </w:t>
      </w:r>
      <w:r w:rsidRPr="00DD5552">
        <w:rPr>
          <w:rFonts w:ascii="Palatino Linotype" w:eastAsia="Palatino Linotype" w:hAnsi="Palatino Linotype" w:cs="Palatino Linotype"/>
          <w:sz w:val="22"/>
          <w:szCs w:val="22"/>
        </w:rPr>
        <w:t xml:space="preserve">al </w:t>
      </w:r>
      <w:r w:rsidRPr="00DD5552">
        <w:rPr>
          <w:rFonts w:ascii="Palatino Linotype" w:eastAsia="Palatino Linotype" w:hAnsi="Palatino Linotype" w:cs="Palatino Linotype"/>
          <w:b/>
          <w:sz w:val="22"/>
          <w:szCs w:val="22"/>
        </w:rPr>
        <w:t xml:space="preserve">Sujeto Obligado, </w:t>
      </w:r>
      <w:r w:rsidRPr="00DD5552">
        <w:rPr>
          <w:rFonts w:ascii="Palatino Linotype" w:eastAsia="Palatino Linotype" w:hAnsi="Palatino Linotype" w:cs="Palatino Linotype"/>
          <w:sz w:val="22"/>
          <w:szCs w:val="22"/>
        </w:rPr>
        <w:t xml:space="preserve">en términos de los </w:t>
      </w:r>
      <w:r w:rsidRPr="00DD5552">
        <w:rPr>
          <w:rFonts w:ascii="Palatino Linotype" w:eastAsia="Palatino Linotype" w:hAnsi="Palatino Linotype" w:cs="Palatino Linotype"/>
          <w:b/>
          <w:sz w:val="22"/>
          <w:szCs w:val="22"/>
        </w:rPr>
        <w:t>Considerandos</w:t>
      </w:r>
      <w:r w:rsidRPr="00DD5552">
        <w:rPr>
          <w:rFonts w:ascii="Palatino Linotype" w:eastAsia="Palatino Linotype" w:hAnsi="Palatino Linotype" w:cs="Palatino Linotype"/>
          <w:sz w:val="22"/>
          <w:szCs w:val="22"/>
        </w:rPr>
        <w:t xml:space="preserve"> </w:t>
      </w:r>
      <w:r w:rsidRPr="00DD5552">
        <w:rPr>
          <w:rFonts w:ascii="Palatino Linotype" w:eastAsia="Palatino Linotype" w:hAnsi="Palatino Linotype" w:cs="Palatino Linotype"/>
          <w:b/>
          <w:sz w:val="22"/>
          <w:szCs w:val="22"/>
        </w:rPr>
        <w:t xml:space="preserve">Cuarto </w:t>
      </w:r>
      <w:r w:rsidRPr="00DD5552">
        <w:rPr>
          <w:rFonts w:ascii="Palatino Linotype" w:eastAsia="Palatino Linotype" w:hAnsi="Palatino Linotype" w:cs="Palatino Linotype"/>
          <w:sz w:val="22"/>
          <w:szCs w:val="22"/>
        </w:rPr>
        <w:t xml:space="preserve">y </w:t>
      </w:r>
      <w:r w:rsidRPr="00DD5552">
        <w:rPr>
          <w:rFonts w:ascii="Palatino Linotype" w:eastAsia="Palatino Linotype" w:hAnsi="Palatino Linotype" w:cs="Palatino Linotype"/>
          <w:b/>
          <w:sz w:val="22"/>
          <w:szCs w:val="22"/>
        </w:rPr>
        <w:t>Quinto</w:t>
      </w:r>
      <w:r w:rsidRPr="00DD5552">
        <w:rPr>
          <w:rFonts w:ascii="Palatino Linotype" w:eastAsia="Palatino Linotype" w:hAnsi="Palatino Linotype" w:cs="Palatino Linotype"/>
          <w:sz w:val="22"/>
          <w:szCs w:val="22"/>
        </w:rPr>
        <w:t xml:space="preserve"> de esta resolución, haga entrega, vía </w:t>
      </w:r>
      <w:r w:rsidRPr="00DD5552">
        <w:rPr>
          <w:rFonts w:ascii="Palatino Linotype" w:eastAsia="Palatino Linotype" w:hAnsi="Palatino Linotype" w:cs="Palatino Linotype"/>
          <w:b/>
          <w:sz w:val="22"/>
          <w:szCs w:val="22"/>
        </w:rPr>
        <w:t>SAIMEX</w:t>
      </w:r>
      <w:r w:rsidRPr="00DD5552">
        <w:rPr>
          <w:rFonts w:ascii="Palatino Linotype" w:eastAsia="Palatino Linotype" w:hAnsi="Palatino Linotype" w:cs="Palatino Linotype"/>
          <w:sz w:val="22"/>
          <w:szCs w:val="22"/>
        </w:rPr>
        <w:t>, previa búsqueda exhaustiva y razonable, en versión pública de ser procedente, de lo siguiente:</w:t>
      </w:r>
    </w:p>
    <w:p w14:paraId="17D4B1F3" w14:textId="117CC57B" w:rsidR="00250060" w:rsidRPr="00DD5552" w:rsidRDefault="00250060" w:rsidP="00897946">
      <w:pPr>
        <w:pStyle w:val="Prrafodelista"/>
        <w:numPr>
          <w:ilvl w:val="0"/>
          <w:numId w:val="2"/>
        </w:numPr>
        <w:tabs>
          <w:tab w:val="left" w:pos="567"/>
        </w:tabs>
        <w:spacing w:line="360" w:lineRule="auto"/>
        <w:ind w:left="284" w:firstLine="0"/>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El o los</w:t>
      </w:r>
      <w:r w:rsidR="00897946" w:rsidRPr="00DD5552">
        <w:rPr>
          <w:rFonts w:ascii="Palatino Linotype" w:eastAsia="Palatino Linotype" w:hAnsi="Palatino Linotype" w:cs="Palatino Linotype"/>
          <w:sz w:val="22"/>
          <w:szCs w:val="22"/>
        </w:rPr>
        <w:t xml:space="preserve"> documentos </w:t>
      </w:r>
      <w:r w:rsidRPr="00DD5552">
        <w:rPr>
          <w:rFonts w:ascii="Palatino Linotype" w:eastAsia="Palatino Linotype" w:hAnsi="Palatino Linotype" w:cs="Palatino Linotype"/>
          <w:sz w:val="22"/>
          <w:szCs w:val="22"/>
        </w:rPr>
        <w:t>que den cuenta del monto neto que se ha pagado por mes a cada proveedor de combustible para vehículos utilitarios del ayuntamiento, del uno de enero al dieciocho de julio de dos mil veinticinco.</w:t>
      </w:r>
    </w:p>
    <w:p w14:paraId="05F1B65E" w14:textId="77777777" w:rsidR="006541F4" w:rsidRPr="00DD5552" w:rsidRDefault="006541F4" w:rsidP="00250060">
      <w:pPr>
        <w:tabs>
          <w:tab w:val="left" w:pos="567"/>
        </w:tabs>
        <w:spacing w:before="120" w:after="120"/>
        <w:ind w:left="284" w:right="51"/>
        <w:jc w:val="both"/>
        <w:rPr>
          <w:rFonts w:ascii="Palatino Linotype" w:eastAsia="Palatino Linotype" w:hAnsi="Palatino Linotype" w:cs="Palatino Linotype"/>
          <w:i/>
          <w:sz w:val="20"/>
          <w:szCs w:val="20"/>
        </w:rPr>
      </w:pPr>
      <w:bookmarkStart w:id="13" w:name="_heading=h.1fob9te" w:colFirst="0" w:colLast="0"/>
      <w:bookmarkEnd w:id="13"/>
      <w:r w:rsidRPr="00DD5552">
        <w:rPr>
          <w:rFonts w:ascii="Palatino Linotype" w:eastAsia="Palatino Linotype" w:hAnsi="Palatino Linotype" w:cs="Palatino Linotype"/>
          <w:i/>
          <w:sz w:val="20"/>
          <w:szCs w:val="20"/>
        </w:rPr>
        <w:t>De ser necesaria la versión pública, se deberán proporcionar junto con el Acuerdo de Clasificación donde el Comité de Transparencia, confirme la eliminación de los datos clasificados como confidenciales, de conformidad con los artículos 49, fracciones II y VIII, 132, fracción II, 143, fracción I y 149 de la Ley de Transparencia y Acceso a la Información Pública del Estado de México y Municipios.</w:t>
      </w:r>
    </w:p>
    <w:p w14:paraId="575445DB"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b/>
          <w:sz w:val="22"/>
          <w:szCs w:val="22"/>
        </w:rPr>
        <w:t xml:space="preserve">Tercero. Notifíquese, </w:t>
      </w:r>
      <w:r w:rsidRPr="00DD5552">
        <w:rPr>
          <w:rFonts w:ascii="Palatino Linotype" w:eastAsia="Palatino Linotype" w:hAnsi="Palatino Linotype" w:cs="Palatino Linotype"/>
          <w:sz w:val="22"/>
          <w:szCs w:val="22"/>
        </w:rPr>
        <w:t xml:space="preserve">vía </w:t>
      </w:r>
      <w:r w:rsidRPr="00DD5552">
        <w:rPr>
          <w:rFonts w:ascii="Palatino Linotype" w:eastAsia="Palatino Linotype" w:hAnsi="Palatino Linotype" w:cs="Palatino Linotype"/>
          <w:b/>
          <w:sz w:val="22"/>
          <w:szCs w:val="22"/>
        </w:rPr>
        <w:t>SAIMEX</w:t>
      </w:r>
      <w:r w:rsidRPr="00DD5552">
        <w:rPr>
          <w:rFonts w:ascii="Palatino Linotype" w:eastAsia="Palatino Linotype" w:hAnsi="Palatino Linotype" w:cs="Palatino Linotype"/>
          <w:sz w:val="22"/>
          <w:szCs w:val="22"/>
        </w:rPr>
        <w:t xml:space="preserve">, al Titular de la Unidad de Transparencia del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08B92D"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r w:rsidRPr="00DD555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D5552">
        <w:rPr>
          <w:rFonts w:ascii="Palatino Linotype" w:eastAsia="Palatino Linotype" w:hAnsi="Palatino Linotype" w:cs="Palatino Linotype"/>
          <w:b/>
          <w:sz w:val="22"/>
          <w:szCs w:val="22"/>
        </w:rPr>
        <w:t>Sujeto Obligado</w:t>
      </w:r>
      <w:r w:rsidRPr="00DD555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4B4CC4B" w14:textId="77777777" w:rsidR="006541F4" w:rsidRPr="00DD5552" w:rsidRDefault="006541F4" w:rsidP="006541F4">
      <w:pPr>
        <w:spacing w:before="240" w:after="240" w:line="360" w:lineRule="auto"/>
        <w:jc w:val="both"/>
        <w:rPr>
          <w:rFonts w:ascii="Palatino Linotype" w:eastAsia="Palatino Linotype" w:hAnsi="Palatino Linotype" w:cs="Palatino Linotype"/>
          <w:sz w:val="22"/>
          <w:szCs w:val="22"/>
        </w:rPr>
      </w:pPr>
      <w:bookmarkStart w:id="14" w:name="_heading=h.ot3qq6vxa08f" w:colFirst="0" w:colLast="0"/>
      <w:bookmarkEnd w:id="14"/>
      <w:r w:rsidRPr="00DD5552">
        <w:rPr>
          <w:rFonts w:ascii="Palatino Linotype" w:eastAsia="Palatino Linotype" w:hAnsi="Palatino Linotype" w:cs="Palatino Linotype"/>
          <w:b/>
          <w:sz w:val="22"/>
          <w:szCs w:val="22"/>
        </w:rPr>
        <w:t xml:space="preserve">Cuarto.  Notifíquese, </w:t>
      </w:r>
      <w:r w:rsidRPr="00DD5552">
        <w:rPr>
          <w:rFonts w:ascii="Palatino Linotype" w:eastAsia="Palatino Linotype" w:hAnsi="Palatino Linotype" w:cs="Palatino Linotype"/>
          <w:sz w:val="22"/>
          <w:szCs w:val="22"/>
        </w:rPr>
        <w:t xml:space="preserve">vía </w:t>
      </w:r>
      <w:r w:rsidRPr="00DD5552">
        <w:rPr>
          <w:rFonts w:ascii="Palatino Linotype" w:eastAsia="Palatino Linotype" w:hAnsi="Palatino Linotype" w:cs="Palatino Linotype"/>
          <w:b/>
          <w:sz w:val="22"/>
          <w:szCs w:val="22"/>
        </w:rPr>
        <w:t>SAIMEX</w:t>
      </w:r>
      <w:r w:rsidRPr="00DD5552">
        <w:rPr>
          <w:rFonts w:ascii="Palatino Linotype" w:eastAsia="Palatino Linotype" w:hAnsi="Palatino Linotype" w:cs="Palatino Linotype"/>
          <w:sz w:val="22"/>
          <w:szCs w:val="22"/>
        </w:rPr>
        <w:t xml:space="preserve"> a la parte </w:t>
      </w:r>
      <w:r w:rsidRPr="00DD5552">
        <w:rPr>
          <w:rFonts w:ascii="Palatino Linotype" w:eastAsia="Palatino Linotype" w:hAnsi="Palatino Linotype" w:cs="Palatino Linotype"/>
          <w:b/>
          <w:sz w:val="22"/>
          <w:szCs w:val="22"/>
        </w:rPr>
        <w:t>Recurrente</w:t>
      </w:r>
      <w:r w:rsidRPr="00DD5552">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70DFDAA" w14:textId="6D084284" w:rsidR="006541F4" w:rsidRPr="008B5EA6" w:rsidRDefault="006541F4" w:rsidP="006541F4">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5" w:name="_heading=h.lnxbz9" w:colFirst="0" w:colLast="0"/>
      <w:bookmarkEnd w:id="15"/>
      <w:r w:rsidRPr="00DD555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8B5EA6" w:rsidRPr="00DD5552">
        <w:rPr>
          <w:rFonts w:ascii="Palatino Linotype" w:eastAsia="Palatino Linotype" w:hAnsi="Palatino Linotype" w:cs="Palatino Linotype"/>
          <w:sz w:val="22"/>
          <w:szCs w:val="22"/>
        </w:rPr>
        <w:t xml:space="preserve"> (AUSENCIA JUSTIFICADA)</w:t>
      </w:r>
      <w:r w:rsidRPr="00DD5552">
        <w:rPr>
          <w:rFonts w:ascii="Palatino Linotype" w:eastAsia="Palatino Linotype" w:hAnsi="Palatino Linotype" w:cs="Palatino Linotype"/>
          <w:sz w:val="22"/>
          <w:szCs w:val="22"/>
        </w:rPr>
        <w:t xml:space="preserve">, SHARON CRISTINA MORALES MARTÍNEZ, LUIS GUSTAVO PARRA NORIEGA, Y GUADALUPE RAMÍREZ PEÑA, EN LA TRIGÉSIMA NOVENA SESIÓN ORDINARIA CELEBRADA EL </w:t>
      </w:r>
      <w:r w:rsidR="00021569" w:rsidRPr="00DD5552">
        <w:rPr>
          <w:rFonts w:ascii="Palatino Linotype" w:eastAsia="Palatino Linotype" w:hAnsi="Palatino Linotype" w:cs="Palatino Linotype"/>
          <w:sz w:val="22"/>
          <w:szCs w:val="22"/>
        </w:rPr>
        <w:t>CINCO DE NOVIEMBRE</w:t>
      </w:r>
      <w:r w:rsidRPr="00DD5552">
        <w:rPr>
          <w:rFonts w:ascii="Palatino Linotype" w:eastAsia="Palatino Linotype" w:hAnsi="Palatino Linotype" w:cs="Palatino Linotype"/>
          <w:sz w:val="22"/>
          <w:szCs w:val="22"/>
        </w:rPr>
        <w:t xml:space="preserve"> DE DOS MIL VEINTICINCO, ANTE EL SECRETARIO TÉCNICO DEL PLENO ALEXIS TAPIA RAMÍREZ.</w:t>
      </w:r>
    </w:p>
    <w:p w14:paraId="53840C4A"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0BD842C3"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0285D815"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63BF5BAB"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3F2C9840"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2CD993A9"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32028E04"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270EFE34"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053AE710"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3FBEFFF1"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1D6DA40F"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123B8F52"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11F5F54A"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23CFC9B6"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757A1CF0"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68B50A83"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04613004"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1F7BB690"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68177320"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66A87108"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67053B03"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4EB5CCA3" w14:textId="77777777" w:rsidR="00320E68" w:rsidRPr="008B5EA6" w:rsidRDefault="00320E68">
      <w:pPr>
        <w:spacing w:line="360" w:lineRule="auto"/>
        <w:jc w:val="both"/>
        <w:rPr>
          <w:rFonts w:ascii="Palatino Linotype" w:eastAsia="Palatino Linotype" w:hAnsi="Palatino Linotype" w:cs="Palatino Linotype"/>
          <w:sz w:val="22"/>
          <w:szCs w:val="22"/>
        </w:rPr>
      </w:pPr>
    </w:p>
    <w:p w14:paraId="2F786E4B" w14:textId="77777777" w:rsidR="00320E68" w:rsidRPr="008B5EA6" w:rsidRDefault="00320E68">
      <w:pPr>
        <w:spacing w:line="360" w:lineRule="auto"/>
        <w:jc w:val="both"/>
        <w:rPr>
          <w:rFonts w:ascii="Palatino Linotype" w:eastAsia="Palatino Linotype" w:hAnsi="Palatino Linotype" w:cs="Palatino Linotype"/>
          <w:sz w:val="22"/>
          <w:szCs w:val="22"/>
        </w:rPr>
      </w:pPr>
    </w:p>
    <w:sectPr w:rsidR="00320E68" w:rsidRPr="008B5EA6">
      <w:headerReference w:type="default" r:id="rId30"/>
      <w:footerReference w:type="default" r:id="rId31"/>
      <w:headerReference w:type="first" r:id="rId32"/>
      <w:footerReference w:type="first" r:id="rId3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12F6B" w14:textId="77777777" w:rsidR="005A1D9A" w:rsidRDefault="005A1D9A">
      <w:r>
        <w:separator/>
      </w:r>
    </w:p>
  </w:endnote>
  <w:endnote w:type="continuationSeparator" w:id="0">
    <w:p w14:paraId="705DFCAF" w14:textId="77777777" w:rsidR="005A1D9A" w:rsidRDefault="005A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22B6" w14:textId="0107D08B" w:rsidR="006670B9" w:rsidRDefault="006670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75566">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75566">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6BF17921" w14:textId="77777777" w:rsidR="006670B9" w:rsidRDefault="006670B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17C1" w14:textId="2B57F6E1" w:rsidR="006670B9" w:rsidRDefault="006670B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7556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75566">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6E532DC" w14:textId="77777777" w:rsidR="006670B9" w:rsidRDefault="006670B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D074D" w14:textId="77777777" w:rsidR="005A1D9A" w:rsidRDefault="005A1D9A">
      <w:r>
        <w:separator/>
      </w:r>
    </w:p>
  </w:footnote>
  <w:footnote w:type="continuationSeparator" w:id="0">
    <w:p w14:paraId="4F9C82CF" w14:textId="77777777" w:rsidR="005A1D9A" w:rsidRDefault="005A1D9A">
      <w:r>
        <w:continuationSeparator/>
      </w:r>
    </w:p>
  </w:footnote>
  <w:footnote w:id="1">
    <w:p w14:paraId="1FA9DE2F" w14:textId="77777777" w:rsidR="00130236" w:rsidRDefault="00130236" w:rsidP="00130236">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XX.308 K, </w:t>
      </w:r>
      <w:r>
        <w:rPr>
          <w:rFonts w:ascii="Palatino Linotype" w:eastAsia="Palatino Linotype" w:hAnsi="Palatino Linotype" w:cs="Palatino Linotype"/>
          <w:i/>
          <w:color w:val="000000"/>
          <w:sz w:val="16"/>
          <w:szCs w:val="16"/>
        </w:rPr>
        <w:t>Semanario Judicial de la Federación</w:t>
      </w:r>
      <w:r>
        <w:rPr>
          <w:rFonts w:ascii="Palatino Linotype" w:eastAsia="Palatino Linotype" w:hAnsi="Palatino Linotype" w:cs="Palatino Linotype"/>
          <w:color w:val="000000"/>
          <w:sz w:val="16"/>
          <w:szCs w:val="16"/>
        </w:rPr>
        <w:t>, Octava Época, tomo XV-1, febrero de 1995, pág. 138.</w:t>
      </w:r>
    </w:p>
  </w:footnote>
  <w:footnote w:id="2">
    <w:p w14:paraId="3AA51E23" w14:textId="77777777" w:rsidR="006670B9" w:rsidRDefault="006670B9" w:rsidP="005C000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6B8201B3" w14:textId="77777777" w:rsidR="006670B9" w:rsidRDefault="00875566" w:rsidP="005C000E">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sidR="006670B9">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6670B9">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DA7E" w14:textId="77777777" w:rsidR="006670B9" w:rsidRDefault="006670B9">
    <w:pPr>
      <w:rPr>
        <w:rFonts w:ascii="Cambria" w:eastAsia="Cambria" w:hAnsi="Cambria" w:cs="Cambria"/>
        <w:color w:val="000000"/>
      </w:rPr>
    </w:pPr>
    <w:r>
      <w:rPr>
        <w:noProof/>
      </w:rPr>
      <w:drawing>
        <wp:anchor distT="0" distB="0" distL="0" distR="0" simplePos="0" relativeHeight="251658240" behindDoc="1" locked="0" layoutInCell="1" hidden="0" allowOverlap="1" wp14:anchorId="37C060D4" wp14:editId="6A4F73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6670B9" w14:paraId="44E775F1" w14:textId="77777777">
      <w:tc>
        <w:tcPr>
          <w:tcW w:w="2489" w:type="dxa"/>
        </w:tcPr>
        <w:p w14:paraId="0A2FD258"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A520C8" w14:textId="0D26EBD5" w:rsidR="006670B9" w:rsidRDefault="00021569" w:rsidP="007857F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w:t>
          </w:r>
          <w:r w:rsidR="006670B9">
            <w:rPr>
              <w:rFonts w:ascii="Palatino Linotype" w:eastAsia="Palatino Linotype" w:hAnsi="Palatino Linotype" w:cs="Palatino Linotype"/>
              <w:b/>
              <w:sz w:val="22"/>
              <w:szCs w:val="22"/>
            </w:rPr>
            <w:t>/INFOEM/IP/RR/2025</w:t>
          </w:r>
        </w:p>
      </w:tc>
    </w:tr>
    <w:tr w:rsidR="006670B9" w14:paraId="6A89197B" w14:textId="77777777">
      <w:trPr>
        <w:trHeight w:val="228"/>
      </w:trPr>
      <w:tc>
        <w:tcPr>
          <w:tcW w:w="2489" w:type="dxa"/>
          <w:vAlign w:val="center"/>
        </w:tcPr>
        <w:p w14:paraId="7EA47DDB"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77D3C90" w14:textId="3B2B1D8A" w:rsidR="006670B9" w:rsidRDefault="00021569">
          <w:pPr>
            <w:ind w:left="-45" w:right="176"/>
            <w:jc w:val="both"/>
            <w:rPr>
              <w:rFonts w:ascii="Palatino Linotype" w:eastAsia="Palatino Linotype" w:hAnsi="Palatino Linotype" w:cs="Palatino Linotype"/>
              <w:b/>
              <w:sz w:val="22"/>
              <w:szCs w:val="22"/>
            </w:rPr>
          </w:pPr>
          <w:r w:rsidRPr="00021569">
            <w:rPr>
              <w:rFonts w:ascii="Palatino Linotype" w:eastAsia="Palatino Linotype" w:hAnsi="Palatino Linotype" w:cs="Palatino Linotype"/>
              <w:b/>
              <w:sz w:val="22"/>
              <w:szCs w:val="22"/>
            </w:rPr>
            <w:t>Ayuntamiento de Almoloya de Juárez</w:t>
          </w:r>
        </w:p>
      </w:tc>
    </w:tr>
    <w:tr w:rsidR="006670B9" w14:paraId="44763DF5" w14:textId="77777777">
      <w:tc>
        <w:tcPr>
          <w:tcW w:w="2489" w:type="dxa"/>
          <w:vAlign w:val="center"/>
        </w:tcPr>
        <w:p w14:paraId="28A3743A" w14:textId="77777777" w:rsidR="006670B9" w:rsidRDefault="006670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21AEA82B" w14:textId="77777777" w:rsidR="006670B9" w:rsidRDefault="006670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33ACA9" w14:textId="77777777" w:rsidR="006670B9" w:rsidRDefault="006670B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283" w14:textId="77777777" w:rsidR="006670B9" w:rsidRDefault="006670B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4FF1D8A" wp14:editId="4A1CE4FD">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6095" w:type="dxa"/>
      <w:tblInd w:w="3119" w:type="dxa"/>
      <w:tblLayout w:type="fixed"/>
      <w:tblLook w:val="0400" w:firstRow="0" w:lastRow="0" w:firstColumn="0" w:lastColumn="0" w:noHBand="0" w:noVBand="1"/>
    </w:tblPr>
    <w:tblGrid>
      <w:gridCol w:w="2551"/>
      <w:gridCol w:w="3544"/>
    </w:tblGrid>
    <w:tr w:rsidR="006670B9" w14:paraId="21E73921" w14:textId="77777777">
      <w:tc>
        <w:tcPr>
          <w:tcW w:w="2551" w:type="dxa"/>
        </w:tcPr>
        <w:p w14:paraId="75D67306"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3F079B8D" w14:textId="5DC4080F" w:rsidR="006670B9" w:rsidRDefault="0002156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w:t>
          </w:r>
          <w:r w:rsidR="006670B9">
            <w:rPr>
              <w:rFonts w:ascii="Palatino Linotype" w:eastAsia="Palatino Linotype" w:hAnsi="Palatino Linotype" w:cs="Palatino Linotype"/>
              <w:b/>
              <w:sz w:val="22"/>
              <w:szCs w:val="22"/>
            </w:rPr>
            <w:t>/INFOEM/IP/RR/2025</w:t>
          </w:r>
        </w:p>
      </w:tc>
    </w:tr>
    <w:tr w:rsidR="006670B9" w14:paraId="135F6017" w14:textId="77777777">
      <w:tc>
        <w:tcPr>
          <w:tcW w:w="2551" w:type="dxa"/>
        </w:tcPr>
        <w:p w14:paraId="3E8776B6"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6DE20825" w14:textId="4B4D3EB6" w:rsidR="006670B9" w:rsidRDefault="00981305" w:rsidP="00981305">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 XXXXXXX XXXXXX </w:t>
          </w:r>
        </w:p>
      </w:tc>
    </w:tr>
    <w:tr w:rsidR="006670B9" w14:paraId="562174AE" w14:textId="77777777">
      <w:trPr>
        <w:trHeight w:val="228"/>
      </w:trPr>
      <w:tc>
        <w:tcPr>
          <w:tcW w:w="2551" w:type="dxa"/>
          <w:vAlign w:val="center"/>
        </w:tcPr>
        <w:p w14:paraId="4CF61484" w14:textId="77777777" w:rsidR="006670B9" w:rsidRDefault="006670B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177DF4B5" w14:textId="4B714588" w:rsidR="006670B9" w:rsidRDefault="00021569">
          <w:pPr>
            <w:ind w:left="-45" w:right="176"/>
            <w:jc w:val="both"/>
            <w:rPr>
              <w:rFonts w:ascii="Palatino Linotype" w:eastAsia="Palatino Linotype" w:hAnsi="Palatino Linotype" w:cs="Palatino Linotype"/>
              <w:b/>
              <w:sz w:val="22"/>
              <w:szCs w:val="22"/>
            </w:rPr>
          </w:pPr>
          <w:r w:rsidRPr="00021569">
            <w:rPr>
              <w:rFonts w:ascii="Palatino Linotype" w:eastAsia="Palatino Linotype" w:hAnsi="Palatino Linotype" w:cs="Palatino Linotype"/>
              <w:b/>
              <w:sz w:val="22"/>
              <w:szCs w:val="22"/>
            </w:rPr>
            <w:t>Ayuntamiento de Almoloya de Juárez</w:t>
          </w:r>
        </w:p>
      </w:tc>
    </w:tr>
    <w:tr w:rsidR="006670B9" w14:paraId="437900DC" w14:textId="77777777">
      <w:tc>
        <w:tcPr>
          <w:tcW w:w="2551" w:type="dxa"/>
          <w:vAlign w:val="center"/>
        </w:tcPr>
        <w:p w14:paraId="5C862880" w14:textId="77777777" w:rsidR="006670B9" w:rsidRDefault="006670B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21CCA8EB" w14:textId="77777777" w:rsidR="006670B9" w:rsidRDefault="006670B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22C853" w14:textId="77777777" w:rsidR="006670B9" w:rsidRDefault="006670B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77D"/>
    <w:multiLevelType w:val="multilevel"/>
    <w:tmpl w:val="3C6C4A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41411D28"/>
    <w:multiLevelType w:val="hybridMultilevel"/>
    <w:tmpl w:val="7A0C9FBE"/>
    <w:lvl w:ilvl="0" w:tplc="15FA6F4E">
      <w:start w:val="1"/>
      <w:numFmt w:val="decimal"/>
      <w:lvlText w:val="%1."/>
      <w:lvlJc w:val="left"/>
      <w:pPr>
        <w:ind w:left="644" w:hanging="360"/>
      </w:pPr>
      <w:rPr>
        <w:rFonts w:hint="default"/>
        <w:sz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 w15:restartNumberingAfterBreak="0">
    <w:nsid w:val="64ED1946"/>
    <w:multiLevelType w:val="hybridMultilevel"/>
    <w:tmpl w:val="1188F2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8"/>
    <w:rsid w:val="000147F7"/>
    <w:rsid w:val="00014B2D"/>
    <w:rsid w:val="00020BE1"/>
    <w:rsid w:val="00021569"/>
    <w:rsid w:val="00050436"/>
    <w:rsid w:val="000707F8"/>
    <w:rsid w:val="000F1053"/>
    <w:rsid w:val="00124A2D"/>
    <w:rsid w:val="00130236"/>
    <w:rsid w:val="00136EE1"/>
    <w:rsid w:val="00146250"/>
    <w:rsid w:val="001A3537"/>
    <w:rsid w:val="001B374B"/>
    <w:rsid w:val="001B3FD1"/>
    <w:rsid w:val="00242318"/>
    <w:rsid w:val="00247B97"/>
    <w:rsid w:val="00250060"/>
    <w:rsid w:val="002A381B"/>
    <w:rsid w:val="002B065A"/>
    <w:rsid w:val="002C64E5"/>
    <w:rsid w:val="002F0EEC"/>
    <w:rsid w:val="00311C7D"/>
    <w:rsid w:val="00320E68"/>
    <w:rsid w:val="00392DC4"/>
    <w:rsid w:val="003B792E"/>
    <w:rsid w:val="0040757F"/>
    <w:rsid w:val="00421D3C"/>
    <w:rsid w:val="00432368"/>
    <w:rsid w:val="00487712"/>
    <w:rsid w:val="00490320"/>
    <w:rsid w:val="004B2EFA"/>
    <w:rsid w:val="004B3E4B"/>
    <w:rsid w:val="00510CE2"/>
    <w:rsid w:val="00524496"/>
    <w:rsid w:val="00567CD9"/>
    <w:rsid w:val="00582D7E"/>
    <w:rsid w:val="005A1D9A"/>
    <w:rsid w:val="005C000E"/>
    <w:rsid w:val="005F316E"/>
    <w:rsid w:val="006541F4"/>
    <w:rsid w:val="00665872"/>
    <w:rsid w:val="006670B9"/>
    <w:rsid w:val="00670308"/>
    <w:rsid w:val="006B7229"/>
    <w:rsid w:val="006E7819"/>
    <w:rsid w:val="006F2AFC"/>
    <w:rsid w:val="00783073"/>
    <w:rsid w:val="00783816"/>
    <w:rsid w:val="007857FE"/>
    <w:rsid w:val="007B1CA4"/>
    <w:rsid w:val="007D555C"/>
    <w:rsid w:val="007E7D9C"/>
    <w:rsid w:val="00806DED"/>
    <w:rsid w:val="008126EC"/>
    <w:rsid w:val="00836A9A"/>
    <w:rsid w:val="00837484"/>
    <w:rsid w:val="00875566"/>
    <w:rsid w:val="0089776D"/>
    <w:rsid w:val="00897946"/>
    <w:rsid w:val="008B5EA6"/>
    <w:rsid w:val="008C691B"/>
    <w:rsid w:val="00904B55"/>
    <w:rsid w:val="009217D3"/>
    <w:rsid w:val="00956BB5"/>
    <w:rsid w:val="00981305"/>
    <w:rsid w:val="00985A42"/>
    <w:rsid w:val="009D3EA8"/>
    <w:rsid w:val="009D71E0"/>
    <w:rsid w:val="00A138B7"/>
    <w:rsid w:val="00A21D90"/>
    <w:rsid w:val="00A775FF"/>
    <w:rsid w:val="00A94F25"/>
    <w:rsid w:val="00AD2D64"/>
    <w:rsid w:val="00AE12EB"/>
    <w:rsid w:val="00AE515C"/>
    <w:rsid w:val="00B406B0"/>
    <w:rsid w:val="00BC7AF4"/>
    <w:rsid w:val="00BE54C2"/>
    <w:rsid w:val="00BF5C4F"/>
    <w:rsid w:val="00BF7647"/>
    <w:rsid w:val="00C66C49"/>
    <w:rsid w:val="00C75183"/>
    <w:rsid w:val="00C81055"/>
    <w:rsid w:val="00C90218"/>
    <w:rsid w:val="00C9180F"/>
    <w:rsid w:val="00C91A16"/>
    <w:rsid w:val="00CC2BBA"/>
    <w:rsid w:val="00D007AF"/>
    <w:rsid w:val="00D438CA"/>
    <w:rsid w:val="00D43FDC"/>
    <w:rsid w:val="00D61BB4"/>
    <w:rsid w:val="00DA1FE3"/>
    <w:rsid w:val="00DB662E"/>
    <w:rsid w:val="00DD5552"/>
    <w:rsid w:val="00E05062"/>
    <w:rsid w:val="00E25252"/>
    <w:rsid w:val="00E43D1A"/>
    <w:rsid w:val="00E6007B"/>
    <w:rsid w:val="00E627D1"/>
    <w:rsid w:val="00E93385"/>
    <w:rsid w:val="00EC030F"/>
    <w:rsid w:val="00EC434F"/>
    <w:rsid w:val="00EE432D"/>
    <w:rsid w:val="00F0522E"/>
    <w:rsid w:val="00F21F92"/>
    <w:rsid w:val="00F33007"/>
    <w:rsid w:val="00F77844"/>
    <w:rsid w:val="00FD78B2"/>
    <w:rsid w:val="00FF1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E78F"/>
  <w15:docId w15:val="{2C463D68-6B5E-4CD4-A6C0-92C19834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FD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pomex.org.mx/ipomex/"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pomex.org.mx/ipomex/"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ipomex.org.mx/ipomex/" TargetMode="External"/><Relationship Id="rId19" Type="http://schemas.openxmlformats.org/officeDocument/2006/relationships/hyperlink" Target="https://almoloyadejuarez.gob.mx/cumplimiento_a_lgc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qhDy4Qo6BA0Esef2nEW6X4lWQ==">CgMxLjAyCWguM3JkY3JqbjIOaC5kYWozajJ4bzZxNjYyCGguZ2pkZ3hzMgloLjNkeTZ2a20yCWguMzBqMHpsbDIJaC4yczhleW8xMghoLnR5amN3dDIJaC4zem55c2g3MgloLjJldDkycDAyCWguNGQzNG9nODIJaC4xdDNoNXNmMg5oLmhuenhzY2g1Z3lzejIOaC5vdDNxcTZ2eGEwOGYyCGgubG54Yno5OAByITF0R0ZDWllWMEN4TkxLVmszQmF1OUdNRklPVWdWRkp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10410</Words>
  <Characters>57259</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2025-11-07T16:50:00Z</cp:lastPrinted>
  <dcterms:created xsi:type="dcterms:W3CDTF">2025-12-08T22:27:00Z</dcterms:created>
  <dcterms:modified xsi:type="dcterms:W3CDTF">2025-12-08T22:27:00Z</dcterms:modified>
</cp:coreProperties>
</file>