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65E4D" w14:textId="77777777" w:rsidR="009B5010" w:rsidRDefault="009B5010">
      <w:pPr>
        <w:widowControl w:val="0"/>
        <w:pBdr>
          <w:top w:val="nil"/>
          <w:left w:val="nil"/>
          <w:bottom w:val="nil"/>
          <w:right w:val="nil"/>
          <w:between w:val="nil"/>
        </w:pBdr>
        <w:spacing w:after="0" w:line="276" w:lineRule="auto"/>
        <w:jc w:val="left"/>
      </w:pPr>
    </w:p>
    <w:p w14:paraId="6ABC895C" w14:textId="77777777" w:rsidR="009B5010" w:rsidRDefault="009B5010">
      <w:pPr>
        <w:widowControl w:val="0"/>
        <w:pBdr>
          <w:top w:val="nil"/>
          <w:left w:val="nil"/>
          <w:bottom w:val="nil"/>
          <w:right w:val="nil"/>
          <w:between w:val="nil"/>
        </w:pBdr>
        <w:spacing w:after="0" w:line="360" w:lineRule="auto"/>
        <w:jc w:val="left"/>
      </w:pPr>
    </w:p>
    <w:p w14:paraId="2224D5D8" w14:textId="091B9E79" w:rsidR="009B5010" w:rsidRPr="007F6C47" w:rsidRDefault="007F04B8" w:rsidP="007F6C47">
      <w:pPr>
        <w:keepNext/>
        <w:keepLines/>
        <w:pBdr>
          <w:top w:val="nil"/>
          <w:left w:val="nil"/>
          <w:bottom w:val="nil"/>
          <w:right w:val="nil"/>
          <w:between w:val="nil"/>
        </w:pBdr>
        <w:spacing w:after="0" w:line="360" w:lineRule="auto"/>
        <w:jc w:val="center"/>
        <w:rPr>
          <w:bCs/>
          <w:color w:val="000000"/>
          <w:sz w:val="24"/>
          <w:szCs w:val="24"/>
        </w:rPr>
      </w:pPr>
      <w:r w:rsidRPr="007F6C47">
        <w:rPr>
          <w:bCs/>
          <w:color w:val="000000"/>
          <w:sz w:val="24"/>
          <w:szCs w:val="24"/>
        </w:rPr>
        <w:t>Resolución del Recurso de Revisión 02766/INFOEM/IP/RR/2025</w:t>
      </w:r>
    </w:p>
    <w:sdt>
      <w:sdtPr>
        <w:rPr>
          <w:rFonts w:ascii="Palatino Linotype" w:eastAsia="Palatino Linotype" w:hAnsi="Palatino Linotype" w:cs="Palatino Linotype"/>
          <w:color w:val="000000" w:themeColor="text1"/>
          <w:sz w:val="22"/>
          <w:szCs w:val="22"/>
          <w:lang w:val="es-ES"/>
        </w:rPr>
        <w:id w:val="1327403181"/>
        <w:docPartObj>
          <w:docPartGallery w:val="Table of Contents"/>
          <w:docPartUnique/>
        </w:docPartObj>
      </w:sdtPr>
      <w:sdtEndPr>
        <w:rPr>
          <w:b/>
          <w:bCs/>
        </w:rPr>
      </w:sdtEndPr>
      <w:sdtContent>
        <w:p w14:paraId="7A2C8B71" w14:textId="77777777" w:rsidR="002657C1" w:rsidRDefault="002657C1">
          <w:pPr>
            <w:pStyle w:val="TtulodeTDC"/>
          </w:pPr>
        </w:p>
        <w:p w14:paraId="19EE754D" w14:textId="77777777" w:rsidR="002657C1" w:rsidRDefault="002657C1">
          <w:pPr>
            <w:pStyle w:val="TDC1"/>
            <w:tabs>
              <w:tab w:val="right" w:leader="dot" w:pos="9204"/>
            </w:tabs>
            <w:rPr>
              <w:rFonts w:asciiTheme="minorHAnsi" w:eastAsiaTheme="minorEastAsia" w:hAnsiTheme="minorHAnsi" w:cstheme="minorBidi"/>
              <w:noProof/>
              <w:color w:val="auto"/>
            </w:rPr>
          </w:pPr>
          <w:r>
            <w:rPr>
              <w:b/>
              <w:bCs/>
              <w:lang w:val="es-ES"/>
            </w:rPr>
            <w:fldChar w:fldCharType="begin"/>
          </w:r>
          <w:r>
            <w:rPr>
              <w:b/>
              <w:bCs/>
              <w:lang w:val="es-ES"/>
            </w:rPr>
            <w:instrText xml:space="preserve"> TOC \o "1-3" \h \z \u </w:instrText>
          </w:r>
          <w:r>
            <w:rPr>
              <w:b/>
              <w:bCs/>
              <w:lang w:val="es-ES"/>
            </w:rPr>
            <w:fldChar w:fldCharType="separate"/>
          </w:r>
          <w:hyperlink w:anchor="_Toc196924959" w:history="1">
            <w:r w:rsidRPr="00557368">
              <w:rPr>
                <w:rStyle w:val="Hipervnculo"/>
                <w:noProof/>
              </w:rPr>
              <w:t>A N T E C E D E N T E S</w:t>
            </w:r>
            <w:r>
              <w:rPr>
                <w:noProof/>
                <w:webHidden/>
              </w:rPr>
              <w:tab/>
            </w:r>
            <w:r>
              <w:rPr>
                <w:noProof/>
                <w:webHidden/>
              </w:rPr>
              <w:fldChar w:fldCharType="begin"/>
            </w:r>
            <w:r>
              <w:rPr>
                <w:noProof/>
                <w:webHidden/>
              </w:rPr>
              <w:instrText xml:space="preserve"> PAGEREF _Toc196924959 \h </w:instrText>
            </w:r>
            <w:r>
              <w:rPr>
                <w:noProof/>
                <w:webHidden/>
              </w:rPr>
            </w:r>
            <w:r>
              <w:rPr>
                <w:noProof/>
                <w:webHidden/>
              </w:rPr>
              <w:fldChar w:fldCharType="separate"/>
            </w:r>
            <w:r w:rsidR="00BD18EC">
              <w:rPr>
                <w:noProof/>
                <w:webHidden/>
              </w:rPr>
              <w:t>2</w:t>
            </w:r>
            <w:r>
              <w:rPr>
                <w:noProof/>
                <w:webHidden/>
              </w:rPr>
              <w:fldChar w:fldCharType="end"/>
            </w:r>
          </w:hyperlink>
        </w:p>
        <w:p w14:paraId="6C16B933" w14:textId="77777777" w:rsidR="002657C1" w:rsidRDefault="00D91751">
          <w:pPr>
            <w:pStyle w:val="TDC2"/>
            <w:tabs>
              <w:tab w:val="right" w:leader="dot" w:pos="9204"/>
            </w:tabs>
            <w:rPr>
              <w:rFonts w:asciiTheme="minorHAnsi" w:eastAsiaTheme="minorEastAsia" w:hAnsiTheme="minorHAnsi" w:cstheme="minorBidi"/>
              <w:noProof/>
              <w:color w:val="auto"/>
            </w:rPr>
          </w:pPr>
          <w:hyperlink w:anchor="_Toc196924960" w:history="1">
            <w:r w:rsidR="002657C1" w:rsidRPr="00557368">
              <w:rPr>
                <w:rStyle w:val="Hipervnculo"/>
                <w:noProof/>
              </w:rPr>
              <w:t>I. Presentación de la solicitud de información</w:t>
            </w:r>
            <w:r w:rsidR="002657C1">
              <w:rPr>
                <w:noProof/>
                <w:webHidden/>
              </w:rPr>
              <w:tab/>
            </w:r>
            <w:r w:rsidR="002657C1">
              <w:rPr>
                <w:noProof/>
                <w:webHidden/>
              </w:rPr>
              <w:fldChar w:fldCharType="begin"/>
            </w:r>
            <w:r w:rsidR="002657C1">
              <w:rPr>
                <w:noProof/>
                <w:webHidden/>
              </w:rPr>
              <w:instrText xml:space="preserve"> PAGEREF _Toc196924960 \h </w:instrText>
            </w:r>
            <w:r w:rsidR="002657C1">
              <w:rPr>
                <w:noProof/>
                <w:webHidden/>
              </w:rPr>
            </w:r>
            <w:r w:rsidR="002657C1">
              <w:rPr>
                <w:noProof/>
                <w:webHidden/>
              </w:rPr>
              <w:fldChar w:fldCharType="separate"/>
            </w:r>
            <w:r w:rsidR="00BD18EC">
              <w:rPr>
                <w:noProof/>
                <w:webHidden/>
              </w:rPr>
              <w:t>2</w:t>
            </w:r>
            <w:r w:rsidR="002657C1">
              <w:rPr>
                <w:noProof/>
                <w:webHidden/>
              </w:rPr>
              <w:fldChar w:fldCharType="end"/>
            </w:r>
          </w:hyperlink>
        </w:p>
        <w:p w14:paraId="3ECBDC81" w14:textId="77777777" w:rsidR="002657C1" w:rsidRDefault="00D91751">
          <w:pPr>
            <w:pStyle w:val="TDC2"/>
            <w:tabs>
              <w:tab w:val="right" w:leader="dot" w:pos="9204"/>
            </w:tabs>
            <w:rPr>
              <w:rFonts w:asciiTheme="minorHAnsi" w:eastAsiaTheme="minorEastAsia" w:hAnsiTheme="minorHAnsi" w:cstheme="minorBidi"/>
              <w:noProof/>
              <w:color w:val="auto"/>
            </w:rPr>
          </w:pPr>
          <w:hyperlink w:anchor="_Toc196924961" w:history="1">
            <w:r w:rsidR="002657C1" w:rsidRPr="00557368">
              <w:rPr>
                <w:rStyle w:val="Hipervnculo"/>
                <w:noProof/>
              </w:rPr>
              <w:t>II. Respuesta del Sujeto Obligado</w:t>
            </w:r>
            <w:r w:rsidR="002657C1">
              <w:rPr>
                <w:noProof/>
                <w:webHidden/>
              </w:rPr>
              <w:tab/>
            </w:r>
            <w:r w:rsidR="002657C1">
              <w:rPr>
                <w:noProof/>
                <w:webHidden/>
              </w:rPr>
              <w:fldChar w:fldCharType="begin"/>
            </w:r>
            <w:r w:rsidR="002657C1">
              <w:rPr>
                <w:noProof/>
                <w:webHidden/>
              </w:rPr>
              <w:instrText xml:space="preserve"> PAGEREF _Toc196924961 \h </w:instrText>
            </w:r>
            <w:r w:rsidR="002657C1">
              <w:rPr>
                <w:noProof/>
                <w:webHidden/>
              </w:rPr>
            </w:r>
            <w:r w:rsidR="002657C1">
              <w:rPr>
                <w:noProof/>
                <w:webHidden/>
              </w:rPr>
              <w:fldChar w:fldCharType="separate"/>
            </w:r>
            <w:r w:rsidR="00BD18EC">
              <w:rPr>
                <w:noProof/>
                <w:webHidden/>
              </w:rPr>
              <w:t>3</w:t>
            </w:r>
            <w:r w:rsidR="002657C1">
              <w:rPr>
                <w:noProof/>
                <w:webHidden/>
              </w:rPr>
              <w:fldChar w:fldCharType="end"/>
            </w:r>
          </w:hyperlink>
        </w:p>
        <w:p w14:paraId="2DD707D2" w14:textId="77777777" w:rsidR="002657C1" w:rsidRDefault="00D91751">
          <w:pPr>
            <w:pStyle w:val="TDC2"/>
            <w:tabs>
              <w:tab w:val="right" w:leader="dot" w:pos="9204"/>
            </w:tabs>
            <w:rPr>
              <w:rFonts w:asciiTheme="minorHAnsi" w:eastAsiaTheme="minorEastAsia" w:hAnsiTheme="minorHAnsi" w:cstheme="minorBidi"/>
              <w:noProof/>
              <w:color w:val="auto"/>
            </w:rPr>
          </w:pPr>
          <w:hyperlink w:anchor="_Toc196924962" w:history="1">
            <w:r w:rsidR="002657C1" w:rsidRPr="00557368">
              <w:rPr>
                <w:rStyle w:val="Hipervnculo"/>
                <w:noProof/>
              </w:rPr>
              <w:t>III. Interposición del Recurso de Revisión</w:t>
            </w:r>
            <w:r w:rsidR="002657C1">
              <w:rPr>
                <w:noProof/>
                <w:webHidden/>
              </w:rPr>
              <w:tab/>
            </w:r>
            <w:r w:rsidR="002657C1">
              <w:rPr>
                <w:noProof/>
                <w:webHidden/>
              </w:rPr>
              <w:fldChar w:fldCharType="begin"/>
            </w:r>
            <w:r w:rsidR="002657C1">
              <w:rPr>
                <w:noProof/>
                <w:webHidden/>
              </w:rPr>
              <w:instrText xml:space="preserve"> PAGEREF _Toc196924962 \h </w:instrText>
            </w:r>
            <w:r w:rsidR="002657C1">
              <w:rPr>
                <w:noProof/>
                <w:webHidden/>
              </w:rPr>
            </w:r>
            <w:r w:rsidR="002657C1">
              <w:rPr>
                <w:noProof/>
                <w:webHidden/>
              </w:rPr>
              <w:fldChar w:fldCharType="separate"/>
            </w:r>
            <w:r w:rsidR="00BD18EC">
              <w:rPr>
                <w:noProof/>
                <w:webHidden/>
              </w:rPr>
              <w:t>3</w:t>
            </w:r>
            <w:r w:rsidR="002657C1">
              <w:rPr>
                <w:noProof/>
                <w:webHidden/>
              </w:rPr>
              <w:fldChar w:fldCharType="end"/>
            </w:r>
          </w:hyperlink>
        </w:p>
        <w:p w14:paraId="2D53DDA7" w14:textId="77777777" w:rsidR="002657C1" w:rsidRDefault="00D91751">
          <w:pPr>
            <w:pStyle w:val="TDC2"/>
            <w:tabs>
              <w:tab w:val="right" w:leader="dot" w:pos="9204"/>
            </w:tabs>
            <w:rPr>
              <w:rFonts w:asciiTheme="minorHAnsi" w:eastAsiaTheme="minorEastAsia" w:hAnsiTheme="minorHAnsi" w:cstheme="minorBidi"/>
              <w:noProof/>
              <w:color w:val="auto"/>
            </w:rPr>
          </w:pPr>
          <w:hyperlink w:anchor="_Toc196924963" w:history="1">
            <w:r w:rsidR="002657C1" w:rsidRPr="00557368">
              <w:rPr>
                <w:rStyle w:val="Hipervnculo"/>
                <w:noProof/>
              </w:rPr>
              <w:t>IV. Trámite del Recurso de Revisión ante este Instituto</w:t>
            </w:r>
            <w:r w:rsidR="002657C1">
              <w:rPr>
                <w:noProof/>
                <w:webHidden/>
              </w:rPr>
              <w:tab/>
            </w:r>
            <w:r w:rsidR="002657C1">
              <w:rPr>
                <w:noProof/>
                <w:webHidden/>
              </w:rPr>
              <w:fldChar w:fldCharType="begin"/>
            </w:r>
            <w:r w:rsidR="002657C1">
              <w:rPr>
                <w:noProof/>
                <w:webHidden/>
              </w:rPr>
              <w:instrText xml:space="preserve"> PAGEREF _Toc196924963 \h </w:instrText>
            </w:r>
            <w:r w:rsidR="002657C1">
              <w:rPr>
                <w:noProof/>
                <w:webHidden/>
              </w:rPr>
            </w:r>
            <w:r w:rsidR="002657C1">
              <w:rPr>
                <w:noProof/>
                <w:webHidden/>
              </w:rPr>
              <w:fldChar w:fldCharType="separate"/>
            </w:r>
            <w:r w:rsidR="00BD18EC">
              <w:rPr>
                <w:noProof/>
                <w:webHidden/>
              </w:rPr>
              <w:t>4</w:t>
            </w:r>
            <w:r w:rsidR="002657C1">
              <w:rPr>
                <w:noProof/>
                <w:webHidden/>
              </w:rPr>
              <w:fldChar w:fldCharType="end"/>
            </w:r>
          </w:hyperlink>
        </w:p>
        <w:p w14:paraId="056B2BC2" w14:textId="77777777" w:rsidR="002657C1" w:rsidRDefault="00D91751">
          <w:pPr>
            <w:pStyle w:val="TDC1"/>
            <w:tabs>
              <w:tab w:val="right" w:leader="dot" w:pos="9204"/>
            </w:tabs>
            <w:rPr>
              <w:rFonts w:asciiTheme="minorHAnsi" w:eastAsiaTheme="minorEastAsia" w:hAnsiTheme="minorHAnsi" w:cstheme="minorBidi"/>
              <w:noProof/>
              <w:color w:val="auto"/>
            </w:rPr>
          </w:pPr>
          <w:hyperlink w:anchor="_Toc196924964" w:history="1">
            <w:r w:rsidR="002657C1" w:rsidRPr="00557368">
              <w:rPr>
                <w:rStyle w:val="Hipervnculo"/>
                <w:noProof/>
              </w:rPr>
              <w:t>C O N S I D E R A N D O S</w:t>
            </w:r>
            <w:r w:rsidR="002657C1">
              <w:rPr>
                <w:noProof/>
                <w:webHidden/>
              </w:rPr>
              <w:tab/>
            </w:r>
            <w:r w:rsidR="002657C1">
              <w:rPr>
                <w:noProof/>
                <w:webHidden/>
              </w:rPr>
              <w:fldChar w:fldCharType="begin"/>
            </w:r>
            <w:r w:rsidR="002657C1">
              <w:rPr>
                <w:noProof/>
                <w:webHidden/>
              </w:rPr>
              <w:instrText xml:space="preserve"> PAGEREF _Toc196924964 \h </w:instrText>
            </w:r>
            <w:r w:rsidR="002657C1">
              <w:rPr>
                <w:noProof/>
                <w:webHidden/>
              </w:rPr>
            </w:r>
            <w:r w:rsidR="002657C1">
              <w:rPr>
                <w:noProof/>
                <w:webHidden/>
              </w:rPr>
              <w:fldChar w:fldCharType="separate"/>
            </w:r>
            <w:r w:rsidR="00BD18EC">
              <w:rPr>
                <w:noProof/>
                <w:webHidden/>
              </w:rPr>
              <w:t>5</w:t>
            </w:r>
            <w:r w:rsidR="002657C1">
              <w:rPr>
                <w:noProof/>
                <w:webHidden/>
              </w:rPr>
              <w:fldChar w:fldCharType="end"/>
            </w:r>
          </w:hyperlink>
        </w:p>
        <w:p w14:paraId="7B7A6E04" w14:textId="77777777" w:rsidR="002657C1" w:rsidRDefault="00D91751">
          <w:pPr>
            <w:pStyle w:val="TDC2"/>
            <w:tabs>
              <w:tab w:val="right" w:leader="dot" w:pos="9204"/>
            </w:tabs>
            <w:rPr>
              <w:rFonts w:asciiTheme="minorHAnsi" w:eastAsiaTheme="minorEastAsia" w:hAnsiTheme="minorHAnsi" w:cstheme="minorBidi"/>
              <w:noProof/>
              <w:color w:val="auto"/>
            </w:rPr>
          </w:pPr>
          <w:hyperlink w:anchor="_Toc196924965" w:history="1">
            <w:r w:rsidR="002657C1" w:rsidRPr="00557368">
              <w:rPr>
                <w:rStyle w:val="Hipervnculo"/>
                <w:noProof/>
              </w:rPr>
              <w:t>PRIMERO. Competencia</w:t>
            </w:r>
            <w:r w:rsidR="002657C1">
              <w:rPr>
                <w:noProof/>
                <w:webHidden/>
              </w:rPr>
              <w:tab/>
            </w:r>
            <w:r w:rsidR="002657C1">
              <w:rPr>
                <w:noProof/>
                <w:webHidden/>
              </w:rPr>
              <w:fldChar w:fldCharType="begin"/>
            </w:r>
            <w:r w:rsidR="002657C1">
              <w:rPr>
                <w:noProof/>
                <w:webHidden/>
              </w:rPr>
              <w:instrText xml:space="preserve"> PAGEREF _Toc196924965 \h </w:instrText>
            </w:r>
            <w:r w:rsidR="002657C1">
              <w:rPr>
                <w:noProof/>
                <w:webHidden/>
              </w:rPr>
            </w:r>
            <w:r w:rsidR="002657C1">
              <w:rPr>
                <w:noProof/>
                <w:webHidden/>
              </w:rPr>
              <w:fldChar w:fldCharType="separate"/>
            </w:r>
            <w:r w:rsidR="00BD18EC">
              <w:rPr>
                <w:noProof/>
                <w:webHidden/>
              </w:rPr>
              <w:t>5</w:t>
            </w:r>
            <w:r w:rsidR="002657C1">
              <w:rPr>
                <w:noProof/>
                <w:webHidden/>
              </w:rPr>
              <w:fldChar w:fldCharType="end"/>
            </w:r>
          </w:hyperlink>
        </w:p>
        <w:p w14:paraId="22DB86AB" w14:textId="77777777" w:rsidR="002657C1" w:rsidRDefault="00D91751">
          <w:pPr>
            <w:pStyle w:val="TDC2"/>
            <w:tabs>
              <w:tab w:val="right" w:leader="dot" w:pos="9204"/>
            </w:tabs>
            <w:rPr>
              <w:rFonts w:asciiTheme="minorHAnsi" w:eastAsiaTheme="minorEastAsia" w:hAnsiTheme="minorHAnsi" w:cstheme="minorBidi"/>
              <w:noProof/>
              <w:color w:val="auto"/>
            </w:rPr>
          </w:pPr>
          <w:hyperlink w:anchor="_Toc196924966" w:history="1">
            <w:r w:rsidR="002657C1" w:rsidRPr="00557368">
              <w:rPr>
                <w:rStyle w:val="Hipervnculo"/>
                <w:noProof/>
              </w:rPr>
              <w:t>SEGUNDO. Causales de improcedencia y sobreseimiento</w:t>
            </w:r>
            <w:r w:rsidR="002657C1">
              <w:rPr>
                <w:noProof/>
                <w:webHidden/>
              </w:rPr>
              <w:tab/>
            </w:r>
            <w:r w:rsidR="002657C1">
              <w:rPr>
                <w:noProof/>
                <w:webHidden/>
              </w:rPr>
              <w:fldChar w:fldCharType="begin"/>
            </w:r>
            <w:r w:rsidR="002657C1">
              <w:rPr>
                <w:noProof/>
                <w:webHidden/>
              </w:rPr>
              <w:instrText xml:space="preserve"> PAGEREF _Toc196924966 \h </w:instrText>
            </w:r>
            <w:r w:rsidR="002657C1">
              <w:rPr>
                <w:noProof/>
                <w:webHidden/>
              </w:rPr>
            </w:r>
            <w:r w:rsidR="002657C1">
              <w:rPr>
                <w:noProof/>
                <w:webHidden/>
              </w:rPr>
              <w:fldChar w:fldCharType="separate"/>
            </w:r>
            <w:r w:rsidR="00BD18EC">
              <w:rPr>
                <w:noProof/>
                <w:webHidden/>
              </w:rPr>
              <w:t>5</w:t>
            </w:r>
            <w:r w:rsidR="002657C1">
              <w:rPr>
                <w:noProof/>
                <w:webHidden/>
              </w:rPr>
              <w:fldChar w:fldCharType="end"/>
            </w:r>
          </w:hyperlink>
        </w:p>
        <w:p w14:paraId="5ACA014C" w14:textId="77777777" w:rsidR="002657C1" w:rsidRDefault="00D91751">
          <w:pPr>
            <w:pStyle w:val="TDC2"/>
            <w:tabs>
              <w:tab w:val="right" w:leader="dot" w:pos="9204"/>
            </w:tabs>
            <w:rPr>
              <w:rFonts w:asciiTheme="minorHAnsi" w:eastAsiaTheme="minorEastAsia" w:hAnsiTheme="minorHAnsi" w:cstheme="minorBidi"/>
              <w:noProof/>
              <w:color w:val="auto"/>
            </w:rPr>
          </w:pPr>
          <w:hyperlink w:anchor="_Toc196924967" w:history="1">
            <w:r w:rsidR="002657C1" w:rsidRPr="00557368">
              <w:rPr>
                <w:rStyle w:val="Hipervnculo"/>
                <w:noProof/>
              </w:rPr>
              <w:t>TERCERO. Determinación de la Controversia</w:t>
            </w:r>
            <w:r w:rsidR="002657C1">
              <w:rPr>
                <w:noProof/>
                <w:webHidden/>
              </w:rPr>
              <w:tab/>
            </w:r>
            <w:r w:rsidR="002657C1">
              <w:rPr>
                <w:noProof/>
                <w:webHidden/>
              </w:rPr>
              <w:fldChar w:fldCharType="begin"/>
            </w:r>
            <w:r w:rsidR="002657C1">
              <w:rPr>
                <w:noProof/>
                <w:webHidden/>
              </w:rPr>
              <w:instrText xml:space="preserve"> PAGEREF _Toc196924967 \h </w:instrText>
            </w:r>
            <w:r w:rsidR="002657C1">
              <w:rPr>
                <w:noProof/>
                <w:webHidden/>
              </w:rPr>
            </w:r>
            <w:r w:rsidR="002657C1">
              <w:rPr>
                <w:noProof/>
                <w:webHidden/>
              </w:rPr>
              <w:fldChar w:fldCharType="separate"/>
            </w:r>
            <w:r w:rsidR="00BD18EC">
              <w:rPr>
                <w:noProof/>
                <w:webHidden/>
              </w:rPr>
              <w:t>7</w:t>
            </w:r>
            <w:r w:rsidR="002657C1">
              <w:rPr>
                <w:noProof/>
                <w:webHidden/>
              </w:rPr>
              <w:fldChar w:fldCharType="end"/>
            </w:r>
          </w:hyperlink>
        </w:p>
        <w:p w14:paraId="12A09CC6" w14:textId="77777777" w:rsidR="002657C1" w:rsidRDefault="00D91751">
          <w:pPr>
            <w:pStyle w:val="TDC2"/>
            <w:tabs>
              <w:tab w:val="right" w:leader="dot" w:pos="9204"/>
            </w:tabs>
            <w:rPr>
              <w:rFonts w:asciiTheme="minorHAnsi" w:eastAsiaTheme="minorEastAsia" w:hAnsiTheme="minorHAnsi" w:cstheme="minorBidi"/>
              <w:noProof/>
              <w:color w:val="auto"/>
            </w:rPr>
          </w:pPr>
          <w:hyperlink w:anchor="_Toc196924968" w:history="1">
            <w:r w:rsidR="002657C1" w:rsidRPr="00557368">
              <w:rPr>
                <w:rStyle w:val="Hipervnculo"/>
                <w:noProof/>
              </w:rPr>
              <w:t>CUARTO. Marco normativo aplicable en materia de transparencia y acceso a la información pública</w:t>
            </w:r>
            <w:r w:rsidR="002657C1">
              <w:rPr>
                <w:noProof/>
                <w:webHidden/>
              </w:rPr>
              <w:tab/>
            </w:r>
            <w:r w:rsidR="002657C1">
              <w:rPr>
                <w:noProof/>
                <w:webHidden/>
              </w:rPr>
              <w:fldChar w:fldCharType="begin"/>
            </w:r>
            <w:r w:rsidR="002657C1">
              <w:rPr>
                <w:noProof/>
                <w:webHidden/>
              </w:rPr>
              <w:instrText xml:space="preserve"> PAGEREF _Toc196924968 \h </w:instrText>
            </w:r>
            <w:r w:rsidR="002657C1">
              <w:rPr>
                <w:noProof/>
                <w:webHidden/>
              </w:rPr>
            </w:r>
            <w:r w:rsidR="002657C1">
              <w:rPr>
                <w:noProof/>
                <w:webHidden/>
              </w:rPr>
              <w:fldChar w:fldCharType="separate"/>
            </w:r>
            <w:r w:rsidR="00BD18EC">
              <w:rPr>
                <w:noProof/>
                <w:webHidden/>
              </w:rPr>
              <w:t>8</w:t>
            </w:r>
            <w:r w:rsidR="002657C1">
              <w:rPr>
                <w:noProof/>
                <w:webHidden/>
              </w:rPr>
              <w:fldChar w:fldCharType="end"/>
            </w:r>
          </w:hyperlink>
        </w:p>
        <w:p w14:paraId="36AB1B71" w14:textId="77777777" w:rsidR="002657C1" w:rsidRDefault="00D91751">
          <w:pPr>
            <w:pStyle w:val="TDC2"/>
            <w:tabs>
              <w:tab w:val="right" w:leader="dot" w:pos="9204"/>
            </w:tabs>
            <w:rPr>
              <w:rFonts w:asciiTheme="minorHAnsi" w:eastAsiaTheme="minorEastAsia" w:hAnsiTheme="minorHAnsi" w:cstheme="minorBidi"/>
              <w:noProof/>
              <w:color w:val="auto"/>
            </w:rPr>
          </w:pPr>
          <w:hyperlink w:anchor="_Toc196924969" w:history="1">
            <w:r w:rsidR="002657C1" w:rsidRPr="00557368">
              <w:rPr>
                <w:rStyle w:val="Hipervnculo"/>
                <w:smallCaps/>
                <w:noProof/>
              </w:rPr>
              <w:t>QUINTO.</w:t>
            </w:r>
            <w:r w:rsidR="002657C1" w:rsidRPr="00557368">
              <w:rPr>
                <w:rStyle w:val="Hipervnculo"/>
                <w:noProof/>
              </w:rPr>
              <w:t xml:space="preserve"> Estudio de Fondo</w:t>
            </w:r>
            <w:r w:rsidR="002657C1">
              <w:rPr>
                <w:noProof/>
                <w:webHidden/>
              </w:rPr>
              <w:tab/>
            </w:r>
            <w:r w:rsidR="002657C1">
              <w:rPr>
                <w:noProof/>
                <w:webHidden/>
              </w:rPr>
              <w:fldChar w:fldCharType="begin"/>
            </w:r>
            <w:r w:rsidR="002657C1">
              <w:rPr>
                <w:noProof/>
                <w:webHidden/>
              </w:rPr>
              <w:instrText xml:space="preserve"> PAGEREF _Toc196924969 \h </w:instrText>
            </w:r>
            <w:r w:rsidR="002657C1">
              <w:rPr>
                <w:noProof/>
                <w:webHidden/>
              </w:rPr>
            </w:r>
            <w:r w:rsidR="002657C1">
              <w:rPr>
                <w:noProof/>
                <w:webHidden/>
              </w:rPr>
              <w:fldChar w:fldCharType="separate"/>
            </w:r>
            <w:r w:rsidR="00BD18EC">
              <w:rPr>
                <w:noProof/>
                <w:webHidden/>
              </w:rPr>
              <w:t>9</w:t>
            </w:r>
            <w:r w:rsidR="002657C1">
              <w:rPr>
                <w:noProof/>
                <w:webHidden/>
              </w:rPr>
              <w:fldChar w:fldCharType="end"/>
            </w:r>
          </w:hyperlink>
        </w:p>
        <w:p w14:paraId="5D488AC7" w14:textId="77777777" w:rsidR="002657C1" w:rsidRDefault="00D91751">
          <w:pPr>
            <w:pStyle w:val="TDC2"/>
            <w:tabs>
              <w:tab w:val="right" w:leader="dot" w:pos="9204"/>
            </w:tabs>
            <w:rPr>
              <w:rFonts w:asciiTheme="minorHAnsi" w:eastAsiaTheme="minorEastAsia" w:hAnsiTheme="minorHAnsi" w:cstheme="minorBidi"/>
              <w:noProof/>
              <w:color w:val="auto"/>
            </w:rPr>
          </w:pPr>
          <w:hyperlink w:anchor="_Toc196924970" w:history="1">
            <w:r w:rsidR="002657C1" w:rsidRPr="00557368">
              <w:rPr>
                <w:rStyle w:val="Hipervnculo"/>
                <w:noProof/>
              </w:rPr>
              <w:t>SEXTO. Decisión</w:t>
            </w:r>
            <w:r w:rsidR="002657C1">
              <w:rPr>
                <w:noProof/>
                <w:webHidden/>
              </w:rPr>
              <w:tab/>
            </w:r>
            <w:r w:rsidR="002657C1">
              <w:rPr>
                <w:noProof/>
                <w:webHidden/>
              </w:rPr>
              <w:fldChar w:fldCharType="begin"/>
            </w:r>
            <w:r w:rsidR="002657C1">
              <w:rPr>
                <w:noProof/>
                <w:webHidden/>
              </w:rPr>
              <w:instrText xml:space="preserve"> PAGEREF _Toc196924970 \h </w:instrText>
            </w:r>
            <w:r w:rsidR="002657C1">
              <w:rPr>
                <w:noProof/>
                <w:webHidden/>
              </w:rPr>
            </w:r>
            <w:r w:rsidR="002657C1">
              <w:rPr>
                <w:noProof/>
                <w:webHidden/>
              </w:rPr>
              <w:fldChar w:fldCharType="separate"/>
            </w:r>
            <w:r w:rsidR="00BD18EC">
              <w:rPr>
                <w:noProof/>
                <w:webHidden/>
              </w:rPr>
              <w:t>37</w:t>
            </w:r>
            <w:r w:rsidR="002657C1">
              <w:rPr>
                <w:noProof/>
                <w:webHidden/>
              </w:rPr>
              <w:fldChar w:fldCharType="end"/>
            </w:r>
          </w:hyperlink>
        </w:p>
        <w:p w14:paraId="4300CE22" w14:textId="77777777" w:rsidR="002657C1" w:rsidRDefault="00D91751">
          <w:pPr>
            <w:pStyle w:val="TDC1"/>
            <w:tabs>
              <w:tab w:val="right" w:leader="dot" w:pos="9204"/>
            </w:tabs>
            <w:rPr>
              <w:rFonts w:asciiTheme="minorHAnsi" w:eastAsiaTheme="minorEastAsia" w:hAnsiTheme="minorHAnsi" w:cstheme="minorBidi"/>
              <w:noProof/>
              <w:color w:val="auto"/>
            </w:rPr>
          </w:pPr>
          <w:hyperlink w:anchor="_Toc196924971" w:history="1">
            <w:r w:rsidR="002657C1" w:rsidRPr="00557368">
              <w:rPr>
                <w:rStyle w:val="Hipervnculo"/>
                <w:noProof/>
              </w:rPr>
              <w:t>R E S U E L V E</w:t>
            </w:r>
            <w:r w:rsidR="002657C1">
              <w:rPr>
                <w:noProof/>
                <w:webHidden/>
              </w:rPr>
              <w:tab/>
            </w:r>
            <w:r w:rsidR="002657C1">
              <w:rPr>
                <w:noProof/>
                <w:webHidden/>
              </w:rPr>
              <w:fldChar w:fldCharType="begin"/>
            </w:r>
            <w:r w:rsidR="002657C1">
              <w:rPr>
                <w:noProof/>
                <w:webHidden/>
              </w:rPr>
              <w:instrText xml:space="preserve"> PAGEREF _Toc196924971 \h </w:instrText>
            </w:r>
            <w:r w:rsidR="002657C1">
              <w:rPr>
                <w:noProof/>
                <w:webHidden/>
              </w:rPr>
            </w:r>
            <w:r w:rsidR="002657C1">
              <w:rPr>
                <w:noProof/>
                <w:webHidden/>
              </w:rPr>
              <w:fldChar w:fldCharType="separate"/>
            </w:r>
            <w:r w:rsidR="00BD18EC">
              <w:rPr>
                <w:noProof/>
                <w:webHidden/>
              </w:rPr>
              <w:t>39</w:t>
            </w:r>
            <w:r w:rsidR="002657C1">
              <w:rPr>
                <w:noProof/>
                <w:webHidden/>
              </w:rPr>
              <w:fldChar w:fldCharType="end"/>
            </w:r>
          </w:hyperlink>
        </w:p>
        <w:p w14:paraId="10F0C007" w14:textId="77777777" w:rsidR="002657C1" w:rsidRDefault="002657C1">
          <w:r>
            <w:rPr>
              <w:b/>
              <w:bCs/>
              <w:lang w:val="es-ES"/>
            </w:rPr>
            <w:fldChar w:fldCharType="end"/>
          </w:r>
        </w:p>
      </w:sdtContent>
    </w:sdt>
    <w:p w14:paraId="7F037F91" w14:textId="77777777" w:rsidR="009B5010" w:rsidRDefault="009B5010">
      <w:pPr>
        <w:spacing w:after="0" w:line="360" w:lineRule="auto"/>
      </w:pPr>
    </w:p>
    <w:p w14:paraId="4441D244" w14:textId="77777777" w:rsidR="009B5010" w:rsidRDefault="009B5010">
      <w:pPr>
        <w:spacing w:after="0" w:line="360" w:lineRule="auto"/>
      </w:pPr>
    </w:p>
    <w:p w14:paraId="2C2C4675" w14:textId="77777777" w:rsidR="009B5010" w:rsidRDefault="007F04B8">
      <w:pPr>
        <w:spacing w:after="0" w:line="360" w:lineRule="auto"/>
      </w:pPr>
      <w:r>
        <w:br w:type="page"/>
      </w:r>
    </w:p>
    <w:p w14:paraId="3997C27B" w14:textId="77777777" w:rsidR="009B5010" w:rsidRDefault="007F04B8">
      <w:pPr>
        <w:spacing w:after="0" w:line="360" w:lineRule="auto"/>
      </w:pPr>
      <w:r>
        <w:lastRenderedPageBreak/>
        <w:t>Resolución del Pleno del Instituto de Transparencia, Acceso a la Información Pública y Protección de Datos Personales del Estado de México y Municipios, con domicilio en Metepec, Estado de México, de fecha treinta de abril de dos mil veinticinco.</w:t>
      </w:r>
    </w:p>
    <w:p w14:paraId="0E0CC992" w14:textId="77777777" w:rsidR="009B5010" w:rsidRDefault="009B5010">
      <w:pPr>
        <w:spacing w:after="0" w:line="360" w:lineRule="auto"/>
        <w:rPr>
          <w:b/>
        </w:rPr>
      </w:pPr>
    </w:p>
    <w:p w14:paraId="1B9D9433" w14:textId="77777777" w:rsidR="009B5010" w:rsidRDefault="007F04B8">
      <w:pPr>
        <w:spacing w:after="0" w:line="360" w:lineRule="auto"/>
      </w:pPr>
      <w:r>
        <w:rPr>
          <w:b/>
        </w:rPr>
        <w:t>VISTO</w:t>
      </w:r>
      <w:r>
        <w:t xml:space="preserve"> el expediente conformado con motivo del Recurso de Revisión </w:t>
      </w:r>
      <w:r w:rsidRPr="009D7153">
        <w:rPr>
          <w:b/>
        </w:rPr>
        <w:t>02766/INFOEM/IP/RR/2025</w:t>
      </w:r>
      <w:r>
        <w:t xml:space="preserve">, interpuesto por la persona Recurrente o Particular, en contra de la respuesta del Sujeto Obligado, </w:t>
      </w:r>
      <w:r w:rsidRPr="009D7153">
        <w:rPr>
          <w:b/>
        </w:rPr>
        <w:t>Ayuntamiento de San Martín de las Pirámides</w:t>
      </w:r>
      <w:r>
        <w:t>, se emite la presente Resolución, con base en los antecedentes y considerandos que se exponen a continuación:</w:t>
      </w:r>
    </w:p>
    <w:p w14:paraId="074B17D0" w14:textId="77777777" w:rsidR="009B5010" w:rsidRDefault="007F04B8">
      <w:pPr>
        <w:pStyle w:val="Ttulo1"/>
        <w:spacing w:before="0" w:after="0"/>
      </w:pPr>
      <w:bookmarkStart w:id="0" w:name="_Toc196924959"/>
      <w:r>
        <w:t>A N T E C E D E N T E S</w:t>
      </w:r>
      <w:bookmarkEnd w:id="0"/>
    </w:p>
    <w:p w14:paraId="66DD2B46" w14:textId="77777777" w:rsidR="009B5010" w:rsidRDefault="009B5010">
      <w:pPr>
        <w:spacing w:after="0" w:line="360" w:lineRule="auto"/>
      </w:pPr>
      <w:bookmarkStart w:id="1" w:name="_heading=h.gjdgxs" w:colFirst="0" w:colLast="0"/>
      <w:bookmarkEnd w:id="1"/>
    </w:p>
    <w:p w14:paraId="4DD21CC8" w14:textId="77777777" w:rsidR="009B5010" w:rsidRDefault="007F04B8">
      <w:pPr>
        <w:pStyle w:val="Ttulo2"/>
        <w:spacing w:before="0" w:after="0"/>
      </w:pPr>
      <w:bookmarkStart w:id="2" w:name="_Toc196924960"/>
      <w:r>
        <w:t>I. Presentación de la solicitud de información</w:t>
      </w:r>
      <w:bookmarkEnd w:id="2"/>
    </w:p>
    <w:p w14:paraId="10A70445" w14:textId="77777777" w:rsidR="009B5010" w:rsidRDefault="009B5010">
      <w:pPr>
        <w:tabs>
          <w:tab w:val="left" w:pos="567"/>
        </w:tabs>
        <w:spacing w:after="0" w:line="360" w:lineRule="auto"/>
      </w:pPr>
    </w:p>
    <w:p w14:paraId="725B75D9" w14:textId="77777777" w:rsidR="009B5010" w:rsidRDefault="007F04B8">
      <w:pPr>
        <w:spacing w:after="0" w:line="360" w:lineRule="auto"/>
        <w:rPr>
          <w:color w:val="000000"/>
        </w:rPr>
      </w:pPr>
      <w:r>
        <w:t xml:space="preserve">Con fecha doce de febrero de dos mil veinticinco, </w:t>
      </w:r>
      <w:r>
        <w:rPr>
          <w:color w:val="000000"/>
        </w:rPr>
        <w:t>la parte Solicitante presentó una solicitud de acceso a la información pública,</w:t>
      </w:r>
      <w:r>
        <w:t xml:space="preserve"> a través del</w:t>
      </w:r>
      <w:r>
        <w:rPr>
          <w:color w:val="000000"/>
        </w:rPr>
        <w:t xml:space="preserve"> Sistema de Acceso a la Información Mexiquense (SAIMEX), ante el </w:t>
      </w:r>
      <w:r>
        <w:rPr>
          <w:b/>
        </w:rPr>
        <w:t>Ayuntamiento de San Martín de las Pirámides</w:t>
      </w:r>
      <w:r>
        <w:rPr>
          <w:color w:val="000000"/>
        </w:rPr>
        <w:t>, en la que requirió lo siguiente:</w:t>
      </w:r>
    </w:p>
    <w:p w14:paraId="39C4FB2C" w14:textId="77777777" w:rsidR="009B5010" w:rsidRDefault="009B5010">
      <w:pPr>
        <w:spacing w:after="0" w:line="360" w:lineRule="auto"/>
        <w:rPr>
          <w:color w:val="000000"/>
        </w:rPr>
      </w:pPr>
    </w:p>
    <w:p w14:paraId="54E48BD8" w14:textId="77777777" w:rsidR="009B5010" w:rsidRDefault="007F04B8">
      <w:pPr>
        <w:tabs>
          <w:tab w:val="left" w:pos="567"/>
        </w:tabs>
        <w:spacing w:after="0" w:line="360" w:lineRule="auto"/>
        <w:ind w:left="567" w:right="709"/>
        <w:rPr>
          <w:b/>
          <w:i/>
          <w:sz w:val="20"/>
          <w:szCs w:val="20"/>
        </w:rPr>
      </w:pPr>
      <w:r>
        <w:rPr>
          <w:b/>
          <w:i/>
          <w:sz w:val="20"/>
          <w:szCs w:val="20"/>
        </w:rPr>
        <w:t>“DESCRIPCIÓN CLARA Y PRECISA DE LA INFORMACIÓN SOLICITADA</w:t>
      </w:r>
    </w:p>
    <w:p w14:paraId="5ED5B489" w14:textId="77777777" w:rsidR="009B5010" w:rsidRDefault="007F04B8">
      <w:pPr>
        <w:tabs>
          <w:tab w:val="left" w:pos="4667"/>
        </w:tabs>
        <w:spacing w:after="0" w:line="360" w:lineRule="auto"/>
        <w:ind w:left="567" w:right="709"/>
        <w:rPr>
          <w:i/>
          <w:sz w:val="20"/>
          <w:szCs w:val="20"/>
        </w:rPr>
      </w:pPr>
      <w:r>
        <w:rPr>
          <w:i/>
          <w:sz w:val="20"/>
          <w:szCs w:val="20"/>
        </w:rPr>
        <w:t xml:space="preserve">Solicito </w:t>
      </w:r>
      <w:proofErr w:type="spellStart"/>
      <w:r>
        <w:rPr>
          <w:i/>
          <w:sz w:val="20"/>
          <w:szCs w:val="20"/>
        </w:rPr>
        <w:t>ls</w:t>
      </w:r>
      <w:proofErr w:type="spellEnd"/>
      <w:r>
        <w:rPr>
          <w:i/>
          <w:sz w:val="20"/>
          <w:szCs w:val="20"/>
        </w:rPr>
        <w:t xml:space="preserve"> recibos de </w:t>
      </w:r>
      <w:proofErr w:type="spellStart"/>
      <w:r>
        <w:rPr>
          <w:i/>
          <w:sz w:val="20"/>
          <w:szCs w:val="20"/>
        </w:rPr>
        <w:t>nomina</w:t>
      </w:r>
      <w:proofErr w:type="spellEnd"/>
      <w:r>
        <w:rPr>
          <w:i/>
          <w:sz w:val="20"/>
          <w:szCs w:val="20"/>
        </w:rPr>
        <w:t xml:space="preserve"> en versión pública de diciembre de 2024 de todos los servidores públicos y de enero de 2025 de todos los servidores públicos. </w:t>
      </w:r>
      <w:proofErr w:type="spellStart"/>
      <w:r>
        <w:rPr>
          <w:i/>
          <w:sz w:val="20"/>
          <w:szCs w:val="20"/>
        </w:rPr>
        <w:t>Ademas</w:t>
      </w:r>
      <w:proofErr w:type="spellEnd"/>
      <w:r>
        <w:rPr>
          <w:i/>
          <w:sz w:val="20"/>
          <w:szCs w:val="20"/>
        </w:rPr>
        <w:t xml:space="preserve"> las conciliaciones de </w:t>
      </w:r>
      <w:proofErr w:type="spellStart"/>
      <w:r>
        <w:rPr>
          <w:i/>
          <w:sz w:val="20"/>
          <w:szCs w:val="20"/>
        </w:rPr>
        <w:t>nomina</w:t>
      </w:r>
      <w:proofErr w:type="spellEnd"/>
      <w:r>
        <w:rPr>
          <w:i/>
          <w:sz w:val="20"/>
          <w:szCs w:val="20"/>
        </w:rPr>
        <w:t xml:space="preserve"> de los periodos mencionados’’ (Sic.)</w:t>
      </w:r>
    </w:p>
    <w:p w14:paraId="477BC828" w14:textId="77777777" w:rsidR="009B5010" w:rsidRDefault="009B5010">
      <w:pPr>
        <w:tabs>
          <w:tab w:val="left" w:pos="4667"/>
        </w:tabs>
        <w:spacing w:after="0" w:line="360" w:lineRule="auto"/>
        <w:ind w:left="567" w:right="709"/>
        <w:rPr>
          <w:b/>
          <w:sz w:val="20"/>
          <w:szCs w:val="20"/>
        </w:rPr>
      </w:pPr>
    </w:p>
    <w:p w14:paraId="72BA7EF2" w14:textId="77777777" w:rsidR="009B5010" w:rsidRDefault="007F04B8">
      <w:pPr>
        <w:tabs>
          <w:tab w:val="left" w:pos="4667"/>
        </w:tabs>
        <w:spacing w:after="0" w:line="360" w:lineRule="auto"/>
        <w:ind w:left="567" w:right="709"/>
        <w:rPr>
          <w:b/>
          <w:sz w:val="20"/>
          <w:szCs w:val="20"/>
        </w:rPr>
      </w:pPr>
      <w:r>
        <w:rPr>
          <w:b/>
          <w:sz w:val="20"/>
          <w:szCs w:val="20"/>
        </w:rPr>
        <w:t xml:space="preserve">“MODALIDAD DE ENTREGA </w:t>
      </w:r>
    </w:p>
    <w:p w14:paraId="77A4F0A3" w14:textId="77777777" w:rsidR="009B5010" w:rsidRDefault="007F04B8">
      <w:pPr>
        <w:tabs>
          <w:tab w:val="left" w:pos="4667"/>
        </w:tabs>
        <w:spacing w:after="0" w:line="360" w:lineRule="auto"/>
        <w:ind w:left="567" w:right="709"/>
        <w:rPr>
          <w:i/>
          <w:sz w:val="20"/>
          <w:szCs w:val="20"/>
        </w:rPr>
      </w:pPr>
      <w:r>
        <w:rPr>
          <w:i/>
          <w:sz w:val="20"/>
          <w:szCs w:val="20"/>
        </w:rPr>
        <w:t>A través del SAIMEX.”</w:t>
      </w:r>
    </w:p>
    <w:p w14:paraId="0DB09E9F" w14:textId="77777777" w:rsidR="009B5010" w:rsidRDefault="007F04B8">
      <w:pPr>
        <w:pStyle w:val="Ttulo2"/>
        <w:spacing w:before="0" w:after="0"/>
      </w:pPr>
      <w:bookmarkStart w:id="3" w:name="_Toc196924961"/>
      <w:r>
        <w:lastRenderedPageBreak/>
        <w:t>II. Respuesta del Sujeto Obligado</w:t>
      </w:r>
      <w:bookmarkEnd w:id="3"/>
    </w:p>
    <w:p w14:paraId="4BC1E18C" w14:textId="77777777" w:rsidR="009B5010" w:rsidRDefault="009B5010">
      <w:pPr>
        <w:spacing w:after="0" w:line="360" w:lineRule="auto"/>
      </w:pPr>
    </w:p>
    <w:p w14:paraId="67F6A301" w14:textId="77777777" w:rsidR="009B5010" w:rsidRDefault="007F04B8">
      <w:pPr>
        <w:spacing w:after="0" w:line="360" w:lineRule="auto"/>
      </w:pPr>
      <w:r>
        <w:t>El veintiséis de febrero de dos mil veinticinco, el Sujeto Obligado otorgó respuesta a través del a través del</w:t>
      </w:r>
      <w:r>
        <w:rPr>
          <w:color w:val="000000"/>
        </w:rPr>
        <w:t xml:space="preserve"> Sistema de Acceso a la Información Mexiquense (SAIMEX)</w:t>
      </w:r>
      <w:r>
        <w:t>, por medio del cual señaló que remitía los recibos de nómina de diciembre de dos mil veinticuatro y enero de dos mil veinticinco.</w:t>
      </w:r>
    </w:p>
    <w:p w14:paraId="7BD853D2" w14:textId="77777777" w:rsidR="009B5010" w:rsidRDefault="009B5010">
      <w:pPr>
        <w:spacing w:after="0" w:line="360" w:lineRule="auto"/>
      </w:pPr>
    </w:p>
    <w:p w14:paraId="3514A629" w14:textId="77777777" w:rsidR="009B5010" w:rsidRDefault="007F04B8">
      <w:pPr>
        <w:spacing w:after="0" w:line="360" w:lineRule="auto"/>
      </w:pPr>
      <w:r>
        <w:t>El Sujeto obligado adjuntó la digitalización de los siguientes documentos:</w:t>
      </w:r>
    </w:p>
    <w:p w14:paraId="74374AEF" w14:textId="77777777" w:rsidR="009B5010" w:rsidRDefault="009B5010">
      <w:pPr>
        <w:spacing w:after="0" w:line="360" w:lineRule="auto"/>
      </w:pPr>
    </w:p>
    <w:p w14:paraId="08429D14" w14:textId="77777777" w:rsidR="009B5010" w:rsidRDefault="007F04B8">
      <w:pPr>
        <w:pBdr>
          <w:top w:val="nil"/>
          <w:left w:val="nil"/>
          <w:bottom w:val="nil"/>
          <w:right w:val="nil"/>
          <w:between w:val="nil"/>
        </w:pBdr>
        <w:spacing w:after="0" w:line="360" w:lineRule="auto"/>
        <w:rPr>
          <w:color w:val="000000"/>
        </w:rPr>
      </w:pPr>
      <w:r>
        <w:rPr>
          <w:color w:val="000000"/>
        </w:rPr>
        <w:t>i) Doscientos sesenta y dos recibos de nómina de la segunda quincena de diciembre de dos mil veinticuatro.</w:t>
      </w:r>
    </w:p>
    <w:p w14:paraId="7E90AB41" w14:textId="77777777" w:rsidR="009B5010" w:rsidRDefault="009B5010">
      <w:pPr>
        <w:pBdr>
          <w:top w:val="nil"/>
          <w:left w:val="nil"/>
          <w:bottom w:val="nil"/>
          <w:right w:val="nil"/>
          <w:between w:val="nil"/>
        </w:pBdr>
        <w:spacing w:after="0" w:line="360" w:lineRule="auto"/>
        <w:rPr>
          <w:color w:val="000000"/>
        </w:rPr>
      </w:pPr>
    </w:p>
    <w:p w14:paraId="0F06D626" w14:textId="77777777" w:rsidR="009B5010" w:rsidRDefault="007F04B8">
      <w:pPr>
        <w:pBdr>
          <w:top w:val="nil"/>
          <w:left w:val="nil"/>
          <w:bottom w:val="nil"/>
          <w:right w:val="nil"/>
          <w:between w:val="nil"/>
        </w:pBdr>
        <w:spacing w:after="0" w:line="360" w:lineRule="auto"/>
        <w:rPr>
          <w:color w:val="000000"/>
        </w:rPr>
      </w:pPr>
      <w:r>
        <w:rPr>
          <w:color w:val="000000"/>
        </w:rPr>
        <w:t>ii) Doscientos setenta y cinco recibos de nómina de la segunda quincena de diciembre de dos mil veinticinco.</w:t>
      </w:r>
    </w:p>
    <w:p w14:paraId="14523B43" w14:textId="77777777" w:rsidR="009B5010" w:rsidRDefault="009B5010">
      <w:pPr>
        <w:spacing w:after="0" w:line="360" w:lineRule="auto"/>
        <w:rPr>
          <w:i/>
        </w:rPr>
      </w:pPr>
    </w:p>
    <w:p w14:paraId="31B82972" w14:textId="77777777" w:rsidR="009B5010" w:rsidRDefault="007F04B8">
      <w:pPr>
        <w:pStyle w:val="Ttulo2"/>
        <w:spacing w:before="0" w:after="0"/>
      </w:pPr>
      <w:bookmarkStart w:id="4" w:name="_Toc196924962"/>
      <w:r>
        <w:t>III. Interposición del Recurso de Revisión</w:t>
      </w:r>
      <w:bookmarkEnd w:id="4"/>
    </w:p>
    <w:p w14:paraId="011AC56C" w14:textId="77777777" w:rsidR="009B5010" w:rsidRDefault="009B5010">
      <w:pPr>
        <w:spacing w:after="0" w:line="360" w:lineRule="auto"/>
        <w:rPr>
          <w:b/>
        </w:rPr>
      </w:pPr>
    </w:p>
    <w:p w14:paraId="7B146CE3" w14:textId="77777777" w:rsidR="009B5010" w:rsidRDefault="007F04B8">
      <w:pPr>
        <w:spacing w:after="0" w:line="360" w:lineRule="auto"/>
      </w:pPr>
      <w:bookmarkStart w:id="5" w:name="_heading=h.2et92p0" w:colFirst="0" w:colLast="0"/>
      <w:bookmarkEnd w:id="5"/>
      <w:r>
        <w:t>Con fecha once de marzo de dos mil veinticinco, se recibió en este Instituto, a través del</w:t>
      </w:r>
      <w:r>
        <w:rPr>
          <w:color w:val="000000"/>
        </w:rPr>
        <w:t xml:space="preserve"> Sistema de Acceso a la Información Mexiquense (SAIMEX)</w:t>
      </w:r>
      <w:r>
        <w:t>, el Recurso de Revisión interpuesto por la persona Recurrente, en los siguientes términos:</w:t>
      </w:r>
    </w:p>
    <w:p w14:paraId="59A24A8F" w14:textId="77777777" w:rsidR="009B5010" w:rsidRDefault="009B5010">
      <w:pPr>
        <w:spacing w:after="0" w:line="360" w:lineRule="auto"/>
      </w:pPr>
    </w:p>
    <w:p w14:paraId="42132C56" w14:textId="77777777" w:rsidR="009B5010" w:rsidRDefault="007F04B8">
      <w:pPr>
        <w:spacing w:after="0" w:line="360" w:lineRule="auto"/>
        <w:ind w:left="567" w:right="709"/>
        <w:rPr>
          <w:b/>
          <w:i/>
          <w:sz w:val="20"/>
          <w:szCs w:val="20"/>
        </w:rPr>
      </w:pPr>
      <w:r>
        <w:rPr>
          <w:b/>
          <w:i/>
          <w:sz w:val="20"/>
          <w:szCs w:val="20"/>
        </w:rPr>
        <w:t>“ACTO IMPUGNADO</w:t>
      </w:r>
      <w:r>
        <w:rPr>
          <w:b/>
          <w:i/>
          <w:sz w:val="20"/>
          <w:szCs w:val="20"/>
        </w:rPr>
        <w:tab/>
      </w:r>
    </w:p>
    <w:p w14:paraId="7498B7A8" w14:textId="77777777" w:rsidR="009B5010" w:rsidRDefault="007F04B8">
      <w:pPr>
        <w:spacing w:after="0" w:line="360" w:lineRule="auto"/>
        <w:ind w:left="567" w:right="709"/>
        <w:rPr>
          <w:i/>
          <w:sz w:val="20"/>
          <w:szCs w:val="20"/>
        </w:rPr>
      </w:pPr>
      <w:r>
        <w:rPr>
          <w:i/>
          <w:sz w:val="20"/>
          <w:szCs w:val="20"/>
        </w:rPr>
        <w:t>Su clasificación no tiene fundamento, carece de todo acción y facultad para clasificarlo. No envía el acta donde aprobaron la clasificación.” (Sic.)</w:t>
      </w:r>
    </w:p>
    <w:p w14:paraId="21CA8EC3" w14:textId="77777777" w:rsidR="009B5010" w:rsidRDefault="009B5010">
      <w:pPr>
        <w:spacing w:after="0" w:line="360" w:lineRule="auto"/>
        <w:ind w:left="567" w:right="709"/>
        <w:rPr>
          <w:sz w:val="20"/>
          <w:szCs w:val="20"/>
        </w:rPr>
      </w:pPr>
    </w:p>
    <w:p w14:paraId="72D38383" w14:textId="77777777" w:rsidR="009B5010" w:rsidRDefault="009B5010">
      <w:pPr>
        <w:spacing w:after="0" w:line="360" w:lineRule="auto"/>
        <w:ind w:left="567" w:right="709"/>
        <w:rPr>
          <w:sz w:val="20"/>
          <w:szCs w:val="20"/>
        </w:rPr>
      </w:pPr>
    </w:p>
    <w:p w14:paraId="37692D07" w14:textId="77777777" w:rsidR="009B5010" w:rsidRDefault="007F04B8">
      <w:pPr>
        <w:spacing w:after="0" w:line="360" w:lineRule="auto"/>
        <w:ind w:left="567" w:right="709"/>
        <w:rPr>
          <w:b/>
          <w:i/>
          <w:sz w:val="20"/>
          <w:szCs w:val="20"/>
        </w:rPr>
      </w:pPr>
      <w:r>
        <w:rPr>
          <w:b/>
          <w:i/>
          <w:sz w:val="20"/>
          <w:szCs w:val="20"/>
        </w:rPr>
        <w:lastRenderedPageBreak/>
        <w:t>“RAZONES O MOTIVOS DE LA INCONFORMIDAD</w:t>
      </w:r>
      <w:r>
        <w:rPr>
          <w:b/>
          <w:i/>
          <w:sz w:val="20"/>
          <w:szCs w:val="20"/>
        </w:rPr>
        <w:tab/>
      </w:r>
    </w:p>
    <w:p w14:paraId="58F149DF" w14:textId="77777777" w:rsidR="009B5010" w:rsidRDefault="007F04B8">
      <w:pPr>
        <w:tabs>
          <w:tab w:val="left" w:pos="4667"/>
        </w:tabs>
        <w:spacing w:after="0" w:line="360" w:lineRule="auto"/>
        <w:ind w:left="567" w:right="709"/>
        <w:rPr>
          <w:i/>
          <w:sz w:val="20"/>
          <w:szCs w:val="20"/>
        </w:rPr>
      </w:pPr>
      <w:r>
        <w:rPr>
          <w:i/>
          <w:sz w:val="20"/>
          <w:szCs w:val="20"/>
        </w:rPr>
        <w:t>No envían toda la información” (Sic).</w:t>
      </w:r>
    </w:p>
    <w:p w14:paraId="3BABD22B" w14:textId="77777777" w:rsidR="009B5010" w:rsidRDefault="009B5010">
      <w:pPr>
        <w:tabs>
          <w:tab w:val="left" w:pos="4667"/>
        </w:tabs>
        <w:spacing w:after="0" w:line="360" w:lineRule="auto"/>
        <w:ind w:left="567" w:right="709"/>
        <w:rPr>
          <w:i/>
        </w:rPr>
      </w:pPr>
    </w:p>
    <w:p w14:paraId="49AA9383" w14:textId="77777777" w:rsidR="009B5010" w:rsidRDefault="007F04B8">
      <w:pPr>
        <w:pStyle w:val="Ttulo2"/>
        <w:spacing w:before="0" w:after="0"/>
      </w:pPr>
      <w:bookmarkStart w:id="6" w:name="_Toc196924963"/>
      <w:r>
        <w:t>IV. Trámite del Recurso de Revisión ante este Instituto</w:t>
      </w:r>
      <w:bookmarkEnd w:id="6"/>
    </w:p>
    <w:p w14:paraId="2FE9E4E7" w14:textId="77777777" w:rsidR="009B5010" w:rsidRDefault="009B5010">
      <w:pPr>
        <w:spacing w:after="0" w:line="360" w:lineRule="auto"/>
        <w:rPr>
          <w:b/>
        </w:rPr>
      </w:pPr>
    </w:p>
    <w:p w14:paraId="3AFF435E" w14:textId="77777777" w:rsidR="009B5010" w:rsidRDefault="007F04B8">
      <w:pPr>
        <w:spacing w:after="0" w:line="360" w:lineRule="auto"/>
        <w:rPr>
          <w:color w:val="000000"/>
        </w:rPr>
      </w:pPr>
      <w:r>
        <w:rPr>
          <w:b/>
        </w:rPr>
        <w:t>a) Turno del Medio de Impugnación.</w:t>
      </w:r>
      <w:r>
        <w:t xml:space="preserve"> </w:t>
      </w:r>
      <w:r>
        <w:rPr>
          <w:color w:val="000000"/>
        </w:rPr>
        <w:t>El once de marzo de dos mil veinticinco, el SAIMEX, asignó el número de expediente</w:t>
      </w:r>
      <w:r>
        <w:rPr>
          <w:b/>
          <w:color w:val="000000"/>
        </w:rPr>
        <w:t xml:space="preserve"> 02766/INFOEM/IP/RR/2025,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6DC831A1" w14:textId="77777777" w:rsidR="009B5010" w:rsidRDefault="009B5010">
      <w:pPr>
        <w:spacing w:after="0" w:line="360" w:lineRule="auto"/>
      </w:pPr>
    </w:p>
    <w:p w14:paraId="3424EE71" w14:textId="77777777" w:rsidR="009B5010" w:rsidRDefault="007F04B8">
      <w:pPr>
        <w:spacing w:after="0" w:line="360" w:lineRule="auto"/>
        <w:rPr>
          <w:color w:val="000000"/>
        </w:rPr>
      </w:pPr>
      <w:r>
        <w:rPr>
          <w:b/>
        </w:rPr>
        <w:t>b) Admisión del Recurso de Revisión.</w:t>
      </w:r>
      <w:r>
        <w:t xml:space="preserve"> </w:t>
      </w:r>
      <w:r>
        <w:rPr>
          <w:color w:val="000000"/>
        </w:rPr>
        <w:t xml:space="preserve">El </w:t>
      </w:r>
      <w:r>
        <w:t>catorce de marzo de dos mil veinticinco</w:t>
      </w:r>
      <w:r>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t>manifestara</w:t>
      </w:r>
      <w:r>
        <w:rPr>
          <w:color w:val="000000"/>
        </w:rPr>
        <w:t xml:space="preserve"> lo que a su derecho conviniera y formularan alegatos.</w:t>
      </w:r>
    </w:p>
    <w:p w14:paraId="07DC2FC2" w14:textId="77777777" w:rsidR="009B5010" w:rsidRDefault="009B5010">
      <w:pPr>
        <w:spacing w:after="0" w:line="360" w:lineRule="auto"/>
        <w:rPr>
          <w:color w:val="000000"/>
        </w:rPr>
      </w:pPr>
    </w:p>
    <w:p w14:paraId="2520DCA0" w14:textId="77777777" w:rsidR="009B5010" w:rsidRDefault="007F04B8">
      <w:pPr>
        <w:spacing w:after="0" w:line="360" w:lineRule="auto"/>
        <w:rPr>
          <w:color w:val="000000"/>
        </w:rPr>
      </w:pPr>
      <w:r>
        <w:rPr>
          <w:b/>
          <w:color w:val="000000"/>
        </w:rPr>
        <w:t xml:space="preserve">c) Informe Justificado o manifestaciones. </w:t>
      </w:r>
      <w:r>
        <w:rPr>
          <w:color w:val="000000"/>
        </w:rPr>
        <w:t>Las partes fueron omisas en emitir manifestaciones o alegatos.</w:t>
      </w:r>
    </w:p>
    <w:p w14:paraId="78BCB3F9" w14:textId="77777777" w:rsidR="009B5010" w:rsidRDefault="009B5010">
      <w:pPr>
        <w:spacing w:after="0" w:line="360" w:lineRule="auto"/>
      </w:pPr>
    </w:p>
    <w:p w14:paraId="7A514D17" w14:textId="77777777" w:rsidR="009B5010" w:rsidRDefault="007F04B8">
      <w:pPr>
        <w:spacing w:after="0" w:line="360" w:lineRule="auto"/>
        <w:rPr>
          <w:b/>
        </w:rPr>
      </w:pPr>
      <w:r>
        <w:rPr>
          <w:b/>
        </w:rPr>
        <w:t>d) Cierre de instrucción.</w:t>
      </w:r>
      <w:r>
        <w:t xml:space="preserve"> El veintidós de abril de dos mil veinticinco, al no existir diligencias pendientes por desahogar, se emitió el acuerdo por medio del cual se declaró cerrada la instrucción y se determinó pasar los expedientes a resolución, en términos de lo dispuesto en </w:t>
      </w:r>
      <w:r>
        <w:lastRenderedPageBreak/>
        <w:t>los artículos 185, fracciones VI y VIII, de la Ley de Transparencia y Acceso a la Información Pública del Estado de México y Municipios, acto que fue notificado a las partes en la misma fecha, mediante el Sistema de Acceso a la Información Mexiquense (SAIMEX).</w:t>
      </w:r>
    </w:p>
    <w:p w14:paraId="1C077274" w14:textId="77777777" w:rsidR="009B5010" w:rsidRDefault="009B5010">
      <w:pPr>
        <w:spacing w:after="0" w:line="360" w:lineRule="auto"/>
      </w:pPr>
    </w:p>
    <w:p w14:paraId="64BE92CC" w14:textId="77777777" w:rsidR="009B5010" w:rsidRDefault="007F04B8">
      <w:pPr>
        <w:pStyle w:val="Ttulo1"/>
        <w:spacing w:before="0" w:after="0"/>
        <w:rPr>
          <w:sz w:val="22"/>
          <w:szCs w:val="22"/>
        </w:rPr>
      </w:pPr>
      <w:bookmarkStart w:id="7" w:name="_Toc196924964"/>
      <w:r>
        <w:rPr>
          <w:sz w:val="22"/>
          <w:szCs w:val="22"/>
        </w:rPr>
        <w:t>C O N S I D E R A N D O S</w:t>
      </w:r>
      <w:bookmarkEnd w:id="7"/>
    </w:p>
    <w:p w14:paraId="7E1280F6" w14:textId="77777777" w:rsidR="009B5010" w:rsidRDefault="009B5010">
      <w:pPr>
        <w:spacing w:after="0" w:line="360" w:lineRule="auto"/>
        <w:rPr>
          <w:b/>
        </w:rPr>
      </w:pPr>
    </w:p>
    <w:p w14:paraId="26EA49F1" w14:textId="77777777" w:rsidR="009B5010" w:rsidRDefault="007F04B8">
      <w:pPr>
        <w:pStyle w:val="Ttulo2"/>
        <w:spacing w:before="0" w:after="0"/>
      </w:pPr>
      <w:bookmarkStart w:id="8" w:name="_Toc196924965"/>
      <w:r>
        <w:t>PRIMERO. Competencia</w:t>
      </w:r>
      <w:bookmarkEnd w:id="8"/>
    </w:p>
    <w:p w14:paraId="05235DAC" w14:textId="77777777" w:rsidR="009B5010" w:rsidRDefault="009B5010">
      <w:pPr>
        <w:spacing w:after="0" w:line="360" w:lineRule="auto"/>
        <w:rPr>
          <w:b/>
        </w:rPr>
      </w:pPr>
    </w:p>
    <w:p w14:paraId="38CD4F06" w14:textId="77777777" w:rsidR="009B5010" w:rsidRDefault="007F04B8">
      <w:pPr>
        <w:spacing w:after="0" w:line="360" w:lineRule="auto"/>
      </w:pPr>
      <w: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trigésimos séptimos,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75D7438" w14:textId="77777777" w:rsidR="009B5010" w:rsidRDefault="009B5010">
      <w:pPr>
        <w:spacing w:after="0" w:line="360" w:lineRule="auto"/>
      </w:pPr>
    </w:p>
    <w:p w14:paraId="1740566C" w14:textId="77777777" w:rsidR="009B5010" w:rsidRDefault="007F04B8">
      <w:pPr>
        <w:pStyle w:val="Ttulo2"/>
        <w:spacing w:before="0" w:after="0"/>
      </w:pPr>
      <w:bookmarkStart w:id="9" w:name="_Toc196924966"/>
      <w:r>
        <w:t>SEGUNDO. Causales de improcedencia y sobreseimiento</w:t>
      </w:r>
      <w:bookmarkEnd w:id="9"/>
    </w:p>
    <w:p w14:paraId="1A402B0E" w14:textId="77777777" w:rsidR="009B5010" w:rsidRDefault="009B5010">
      <w:pPr>
        <w:spacing w:after="0" w:line="360" w:lineRule="auto"/>
      </w:pPr>
    </w:p>
    <w:p w14:paraId="2AC065F2" w14:textId="77777777" w:rsidR="009B5010" w:rsidRDefault="007F04B8">
      <w:pPr>
        <w:spacing w:after="0" w:line="360" w:lineRule="auto"/>
      </w:pPr>
      <w:r>
        <w:t xml:space="preserve">De las constancias que forman parte del Recurso de Revisión que se analiza, se advierte que previo al estudio del fondo de la </w:t>
      </w:r>
      <w:r>
        <w:rPr>
          <w:i/>
        </w:rPr>
        <w:t>litis</w:t>
      </w:r>
      <w:r>
        <w:t>, es necesario estudiar las causales de improcedencia y sobreseimiento que se adviertan, para determinar lo que en Derecho proceda.</w:t>
      </w:r>
    </w:p>
    <w:p w14:paraId="3213AEAF" w14:textId="77777777" w:rsidR="009B5010" w:rsidRDefault="009B5010">
      <w:pPr>
        <w:spacing w:after="0" w:line="360" w:lineRule="auto"/>
      </w:pPr>
    </w:p>
    <w:p w14:paraId="38214B23" w14:textId="77777777" w:rsidR="009B5010" w:rsidRDefault="007F04B8">
      <w:pPr>
        <w:spacing w:after="0" w:line="360" w:lineRule="auto"/>
        <w:rPr>
          <w:b/>
        </w:rPr>
      </w:pPr>
      <w:r>
        <w:rPr>
          <w:b/>
        </w:rPr>
        <w:t>Causales de improcedencia</w:t>
      </w:r>
    </w:p>
    <w:p w14:paraId="704C5634" w14:textId="77777777" w:rsidR="009B5010" w:rsidRDefault="009B5010">
      <w:pPr>
        <w:spacing w:after="0" w:line="360" w:lineRule="auto"/>
      </w:pPr>
    </w:p>
    <w:p w14:paraId="3B93F696" w14:textId="77777777" w:rsidR="009B5010" w:rsidRDefault="007F04B8">
      <w:pPr>
        <w:spacing w:after="0" w:line="360" w:lineRule="auto"/>
      </w:pPr>
      <w:r>
        <w:lastRenderedPageBreak/>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3667AF56" w14:textId="77777777" w:rsidR="009B5010" w:rsidRDefault="009B5010">
      <w:pPr>
        <w:spacing w:after="0" w:line="360" w:lineRule="auto"/>
      </w:pPr>
    </w:p>
    <w:p w14:paraId="42BE3DB9" w14:textId="77777777" w:rsidR="009B5010" w:rsidRDefault="007F04B8">
      <w:pPr>
        <w:spacing w:after="0" w:line="360" w:lineRule="auto"/>
        <w:rPr>
          <w:color w:val="000000"/>
        </w:rPr>
      </w:pPr>
      <w:r>
        <w:rPr>
          <w:color w:val="000000"/>
        </w:rPr>
        <w:t>En el presente caso,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1752C6FD" w14:textId="77777777" w:rsidR="009B5010" w:rsidRDefault="009B5010">
      <w:pPr>
        <w:spacing w:after="0" w:line="360" w:lineRule="auto"/>
        <w:rPr>
          <w:color w:val="000000"/>
        </w:rPr>
      </w:pPr>
    </w:p>
    <w:p w14:paraId="5DA89726" w14:textId="77777777" w:rsidR="009B5010" w:rsidRDefault="007F04B8">
      <w:pPr>
        <w:spacing w:after="0" w:line="360" w:lineRule="auto"/>
      </w:pPr>
      <w:r>
        <w:t>Por lo cual, se actualiza las causales de procedencia del Recurso de Revisión señaladas en el artículo 179, fracciones II y V, de la Ley en cita, pues la persona Recurrente se inconformó de la clasificación de datos y entrega de información incompleta.</w:t>
      </w:r>
    </w:p>
    <w:p w14:paraId="27BB7256" w14:textId="77777777" w:rsidR="009B5010" w:rsidRDefault="009B5010">
      <w:pPr>
        <w:spacing w:after="0" w:line="360" w:lineRule="auto"/>
        <w:rPr>
          <w:b/>
        </w:rPr>
      </w:pPr>
    </w:p>
    <w:p w14:paraId="5D1E0570" w14:textId="77777777" w:rsidR="009B5010" w:rsidRDefault="007F04B8">
      <w:pPr>
        <w:spacing w:after="0" w:line="360" w:lineRule="auto"/>
        <w:ind w:right="-28"/>
        <w:rPr>
          <w:b/>
          <w:color w:val="000000"/>
        </w:rPr>
      </w:pPr>
      <w:r>
        <w:rPr>
          <w:b/>
          <w:color w:val="000000"/>
        </w:rPr>
        <w:t>Causales de sobreseimiento</w:t>
      </w:r>
    </w:p>
    <w:p w14:paraId="63C37C5E" w14:textId="77777777" w:rsidR="009B5010" w:rsidRDefault="009B5010">
      <w:pPr>
        <w:spacing w:after="0" w:line="360" w:lineRule="auto"/>
        <w:ind w:right="-28"/>
        <w:rPr>
          <w:color w:val="000000"/>
        </w:rPr>
      </w:pPr>
    </w:p>
    <w:p w14:paraId="5D870474" w14:textId="77777777" w:rsidR="009B5010" w:rsidRDefault="007F04B8">
      <w:pPr>
        <w:spacing w:after="0" w:line="360" w:lineRule="auto"/>
        <w:rPr>
          <w:color w:val="0D0D0D"/>
        </w:rPr>
      </w:pPr>
      <w:r>
        <w:rPr>
          <w:color w:val="0D0D0D"/>
        </w:rPr>
        <w:t>Por ser de previo y especial pronunciamiento, este Instituto analiza si se actualiza alguna causal de sobreseimiento.</w:t>
      </w:r>
    </w:p>
    <w:p w14:paraId="1FC2BBF8" w14:textId="77777777" w:rsidR="009B5010" w:rsidRDefault="009B5010">
      <w:pPr>
        <w:spacing w:after="0" w:line="360" w:lineRule="auto"/>
        <w:ind w:right="-28"/>
        <w:rPr>
          <w:color w:val="000000"/>
        </w:rPr>
      </w:pPr>
    </w:p>
    <w:p w14:paraId="0CB1ED2B" w14:textId="77777777" w:rsidR="009B5010" w:rsidRDefault="009B5010">
      <w:pPr>
        <w:spacing w:after="0" w:line="360" w:lineRule="auto"/>
        <w:ind w:right="-28"/>
        <w:rPr>
          <w:color w:val="000000"/>
        </w:rPr>
      </w:pPr>
    </w:p>
    <w:p w14:paraId="20E43675" w14:textId="77777777" w:rsidR="009B5010" w:rsidRDefault="007F04B8">
      <w:pPr>
        <w:spacing w:after="0" w:line="360" w:lineRule="auto"/>
        <w:rPr>
          <w:color w:val="000000"/>
        </w:rPr>
      </w:pPr>
      <w:r>
        <w:rPr>
          <w:color w:val="0D0D0D"/>
        </w:rPr>
        <w:lastRenderedPageBreak/>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14:paraId="6E09E3F1" w14:textId="77777777" w:rsidR="009B5010" w:rsidRDefault="009B5010">
      <w:pPr>
        <w:tabs>
          <w:tab w:val="left" w:pos="1155"/>
        </w:tabs>
        <w:spacing w:after="0" w:line="360" w:lineRule="auto"/>
        <w:rPr>
          <w:color w:val="000000"/>
        </w:rPr>
      </w:pPr>
    </w:p>
    <w:p w14:paraId="0C7A92A9" w14:textId="77777777" w:rsidR="009B5010" w:rsidRDefault="007F04B8">
      <w:pPr>
        <w:spacing w:after="0" w:line="360" w:lineRule="auto"/>
        <w:rPr>
          <w:color w:val="0D0D0D"/>
        </w:rPr>
      </w:pPr>
      <w:r>
        <w:rPr>
          <w:color w:val="0D0D0D"/>
        </w:rPr>
        <w:t xml:space="preserve">Por tales motivos, se considera procedente entrar al fondo del presente asunto. </w:t>
      </w:r>
    </w:p>
    <w:p w14:paraId="5559057B" w14:textId="77777777" w:rsidR="009B5010" w:rsidRDefault="009B5010">
      <w:pPr>
        <w:tabs>
          <w:tab w:val="left" w:pos="1155"/>
        </w:tabs>
        <w:spacing w:after="0" w:line="360" w:lineRule="auto"/>
        <w:rPr>
          <w:color w:val="000000"/>
        </w:rPr>
      </w:pPr>
    </w:p>
    <w:p w14:paraId="53342057" w14:textId="77777777" w:rsidR="009B5010" w:rsidRDefault="007F04B8">
      <w:pPr>
        <w:pStyle w:val="Ttulo2"/>
        <w:spacing w:before="0" w:after="0"/>
      </w:pPr>
      <w:bookmarkStart w:id="10" w:name="_Toc196924967"/>
      <w:r>
        <w:t>TERCERO. Determinación de la Controversia</w:t>
      </w:r>
      <w:bookmarkEnd w:id="10"/>
    </w:p>
    <w:p w14:paraId="11C98F96" w14:textId="77777777" w:rsidR="009B5010" w:rsidRDefault="009B5010">
      <w:pPr>
        <w:tabs>
          <w:tab w:val="left" w:pos="4962"/>
        </w:tabs>
        <w:spacing w:after="0" w:line="360" w:lineRule="auto"/>
      </w:pPr>
    </w:p>
    <w:p w14:paraId="7C962922" w14:textId="77777777" w:rsidR="009B5010" w:rsidRDefault="007F04B8">
      <w:pPr>
        <w:tabs>
          <w:tab w:val="left" w:pos="4962"/>
        </w:tabs>
        <w:spacing w:after="0" w:line="360" w:lineRule="auto"/>
      </w:pPr>
      <w:r>
        <w:t>Con el objetivo de ilustrar la controversia planteada, resulta conveniente precisar, que una vez realizado el estudio de las constancias que integran el expediente en el que se actúa, se desprende que el Particular requirió las conciliaciones y recibos de nómina, de la primera quincena de diciembre de dos mil veinticuatro a la segunda de enero de dos mil veinticinco.</w:t>
      </w:r>
    </w:p>
    <w:p w14:paraId="27B4EDAC" w14:textId="77777777" w:rsidR="009B5010" w:rsidRDefault="009B5010">
      <w:pPr>
        <w:tabs>
          <w:tab w:val="left" w:pos="4962"/>
        </w:tabs>
        <w:spacing w:after="0" w:line="360" w:lineRule="auto"/>
      </w:pPr>
    </w:p>
    <w:p w14:paraId="630E9DBF" w14:textId="77777777" w:rsidR="009B5010" w:rsidRDefault="007F04B8">
      <w:pPr>
        <w:tabs>
          <w:tab w:val="left" w:pos="4962"/>
        </w:tabs>
        <w:spacing w:after="0" w:line="360" w:lineRule="auto"/>
      </w:pPr>
      <w:r>
        <w:t>En respuesta, el Sujeto Obligado entregó los recibos de nómina de la segunda quincena de diciembre de dos mil veinticuatro y de enero de dos mil veinticinco; ante dicha circunstancia, el Particular se inconformó de la clasificación de los datos testados en los documentos entregados, así como, de la entrega de información incompleta, lo cual actualiza las causales de procedencia señaladas en el artículo 179, fracciones II y V, de la Ley de la materia. Así, las cosas, una vez admitido y notificado el Recurso de Revisión a las partes, estas fueron omisas en emitir manifestaciones o alegatos.</w:t>
      </w:r>
    </w:p>
    <w:p w14:paraId="42C6A66B" w14:textId="77777777" w:rsidR="009B5010" w:rsidRDefault="009B5010">
      <w:pPr>
        <w:spacing w:after="0" w:line="360" w:lineRule="auto"/>
        <w:rPr>
          <w:color w:val="FF0000"/>
        </w:rPr>
      </w:pPr>
    </w:p>
    <w:p w14:paraId="59EB1E47" w14:textId="77777777" w:rsidR="009B5010" w:rsidRDefault="007F04B8">
      <w:pPr>
        <w:spacing w:after="0" w:line="360" w:lineRule="auto"/>
        <w:rPr>
          <w:color w:val="000000"/>
        </w:rPr>
      </w:pPr>
      <w:r>
        <w:rPr>
          <w:color w:val="000000"/>
        </w:rPr>
        <w:lastRenderedPageBreak/>
        <w:t xml:space="preserve">Lo anterior, se desprende de las documentales que obran en el expediente de referencia, materia de la presente resolución, consistente en la solicitud de acceso a la información; la respuesta entregada y el escrito recursal; instrumentales que se toman en cuenta a efecto de resolver el presente medio de impugnación, conforme a lo dispuesto por el artículo 185, fracción IV, de la Ley de Transparencia y Acceso a la Información Pública del Estado de México y Municipios. </w:t>
      </w:r>
    </w:p>
    <w:p w14:paraId="2BF5679B" w14:textId="77777777" w:rsidR="009B5010" w:rsidRDefault="007F04B8">
      <w:pPr>
        <w:tabs>
          <w:tab w:val="left" w:pos="4962"/>
        </w:tabs>
        <w:spacing w:after="0" w:line="360" w:lineRule="auto"/>
      </w:pPr>
      <w:r>
        <w:t xml:space="preserve"> </w:t>
      </w:r>
    </w:p>
    <w:p w14:paraId="009468AC" w14:textId="77777777" w:rsidR="009B5010" w:rsidRDefault="007F04B8">
      <w:pPr>
        <w:pStyle w:val="Ttulo2"/>
        <w:spacing w:before="0" w:after="0"/>
      </w:pPr>
      <w:bookmarkStart w:id="11" w:name="_Toc196924968"/>
      <w:r>
        <w:t>CUARTO. Marco normativo aplicable en materia de transparencia y acceso a la información pública</w:t>
      </w:r>
      <w:bookmarkEnd w:id="11"/>
    </w:p>
    <w:p w14:paraId="58804D46" w14:textId="77777777" w:rsidR="009B5010" w:rsidRDefault="009B5010">
      <w:pPr>
        <w:spacing w:after="0" w:line="360" w:lineRule="auto"/>
        <w:rPr>
          <w:color w:val="000000"/>
        </w:rPr>
      </w:pPr>
    </w:p>
    <w:p w14:paraId="4D215883" w14:textId="77777777" w:rsidR="009B5010" w:rsidRDefault="007F04B8">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34D75FB" w14:textId="77777777" w:rsidR="009B5010" w:rsidRDefault="009B5010">
      <w:pPr>
        <w:spacing w:after="0" w:line="360" w:lineRule="auto"/>
        <w:rPr>
          <w:color w:val="000000"/>
        </w:rPr>
      </w:pPr>
    </w:p>
    <w:p w14:paraId="1DB3D03D" w14:textId="77777777" w:rsidR="009B5010" w:rsidRDefault="007F04B8">
      <w:pPr>
        <w:spacing w:after="0" w:line="360" w:lineRule="auto"/>
        <w:rPr>
          <w:color w:val="000000"/>
        </w:rPr>
      </w:pPr>
      <w:r>
        <w:rPr>
          <w:color w:val="000000"/>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6487487" w14:textId="77777777" w:rsidR="009B5010" w:rsidRDefault="009B5010">
      <w:pPr>
        <w:spacing w:after="0" w:line="360" w:lineRule="auto"/>
        <w:rPr>
          <w:color w:val="000000"/>
        </w:rPr>
      </w:pPr>
    </w:p>
    <w:p w14:paraId="74AB13A4" w14:textId="77777777" w:rsidR="009B5010" w:rsidRDefault="007F04B8">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621D680C" w14:textId="77777777" w:rsidR="009B5010" w:rsidRDefault="009B5010">
      <w:pPr>
        <w:spacing w:after="0" w:line="360" w:lineRule="auto"/>
        <w:rPr>
          <w:color w:val="000000"/>
        </w:rPr>
      </w:pPr>
    </w:p>
    <w:p w14:paraId="1D2D7CBD" w14:textId="77777777" w:rsidR="009B5010" w:rsidRDefault="007F04B8">
      <w:pPr>
        <w:spacing w:after="0" w:line="360" w:lineRule="auto"/>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w:t>
      </w:r>
    </w:p>
    <w:p w14:paraId="7517131B" w14:textId="77777777" w:rsidR="009B5010" w:rsidRDefault="009B5010">
      <w:pPr>
        <w:spacing w:after="0" w:line="360" w:lineRule="auto"/>
        <w:rPr>
          <w:color w:val="000000"/>
        </w:rPr>
      </w:pPr>
    </w:p>
    <w:p w14:paraId="1144F8B5" w14:textId="77777777" w:rsidR="009B5010" w:rsidRDefault="007F04B8">
      <w:pPr>
        <w:spacing w:after="0" w:line="360" w:lineRule="auto"/>
        <w:rPr>
          <w:color w:val="000000"/>
        </w:rPr>
      </w:pPr>
      <w:r>
        <w:rPr>
          <w:color w:val="000000"/>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1E060203" w14:textId="77777777" w:rsidR="009B5010" w:rsidRDefault="009B5010">
      <w:pPr>
        <w:spacing w:after="0" w:line="360" w:lineRule="auto"/>
        <w:rPr>
          <w:color w:val="000000"/>
        </w:rPr>
      </w:pPr>
    </w:p>
    <w:p w14:paraId="6787E0CA" w14:textId="77777777" w:rsidR="009B5010" w:rsidRDefault="007F04B8">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2C78BF5" w14:textId="77777777" w:rsidR="009B5010" w:rsidRDefault="009B5010">
      <w:pPr>
        <w:spacing w:after="0" w:line="360" w:lineRule="auto"/>
        <w:rPr>
          <w:color w:val="000000"/>
        </w:rPr>
      </w:pPr>
    </w:p>
    <w:p w14:paraId="1C512965" w14:textId="77777777" w:rsidR="009B5010" w:rsidRDefault="007F04B8">
      <w:pPr>
        <w:pStyle w:val="Ttulo2"/>
        <w:spacing w:before="0" w:after="0"/>
      </w:pPr>
      <w:bookmarkStart w:id="12" w:name="_Toc196924969"/>
      <w:r>
        <w:rPr>
          <w:smallCaps/>
        </w:rPr>
        <w:t>QUINTO.</w:t>
      </w:r>
      <w:r>
        <w:t xml:space="preserve"> Estudio de Fondo</w:t>
      </w:r>
      <w:bookmarkEnd w:id="12"/>
    </w:p>
    <w:p w14:paraId="70ADD70A" w14:textId="77777777" w:rsidR="009B5010" w:rsidRDefault="009B5010">
      <w:pPr>
        <w:spacing w:after="0" w:line="360" w:lineRule="auto"/>
      </w:pPr>
    </w:p>
    <w:p w14:paraId="581F822F" w14:textId="77777777" w:rsidR="009B5010" w:rsidRDefault="007F04B8">
      <w:pPr>
        <w:spacing w:after="0" w:line="360" w:lineRule="auto"/>
        <w:rPr>
          <w:color w:val="0D0D0D"/>
        </w:rPr>
      </w:pPr>
      <w:r>
        <w:rPr>
          <w:color w:val="0D0D0D"/>
        </w:rPr>
        <w:t>Una vez establecido lo anterior, se procede analizar los agravios hecho valer por el ahora Recurrente, para lo cual, es necesario contextualizar la solicitud de información, relacionada con el pago de remuneraciones.</w:t>
      </w:r>
    </w:p>
    <w:p w14:paraId="4BD2201D" w14:textId="77777777" w:rsidR="009B5010" w:rsidRDefault="009B5010">
      <w:pPr>
        <w:spacing w:after="0" w:line="360" w:lineRule="auto"/>
        <w:rPr>
          <w:color w:val="0D0D0D"/>
        </w:rPr>
      </w:pPr>
    </w:p>
    <w:p w14:paraId="5726C69C" w14:textId="77777777" w:rsidR="009B5010" w:rsidRDefault="007F04B8">
      <w:pPr>
        <w:spacing w:after="0" w:line="360" w:lineRule="auto"/>
        <w:ind w:right="-28"/>
        <w:rPr>
          <w:b/>
        </w:rPr>
      </w:pPr>
      <w:r>
        <w:t>Al respecto, es necesario traer a colación la Guía Técnica 9 “La Administración del Personal Municipal”, que establece que son servidores públicos, son todas aquellas personas que prestan su trabajo al servicio del municipio, conformado por las autoridades, funcionarios y empleados.</w:t>
      </w:r>
    </w:p>
    <w:p w14:paraId="059E32DB" w14:textId="77777777" w:rsidR="009B5010" w:rsidRDefault="009B5010">
      <w:pPr>
        <w:spacing w:after="0" w:line="360" w:lineRule="auto"/>
        <w:ind w:right="-28"/>
        <w:rPr>
          <w:b/>
        </w:rPr>
      </w:pPr>
    </w:p>
    <w:p w14:paraId="2111A96B" w14:textId="77777777" w:rsidR="009B5010" w:rsidRDefault="007F04B8">
      <w:pPr>
        <w:spacing w:after="0" w:line="360" w:lineRule="auto"/>
      </w:pPr>
      <w:r>
        <w:t>En ese orden de ideas, el primer párrafo, del artículo 108 de la Constitución Política de los Estados Unidos Mexicanos, establece que, en materia de responsabilidades, serán servidores públicos, los representantes de elección popular, los funcionarios y empleados y, en general, a toda persona que desempeñe un empleo, cargo o comisión de cualquier naturaleza dentro de la Administración Pública. De la misma manera, el artículo 130 de la Constitución Política del Estado Libre y Soberano de México, precisa que son servidores públicos a todas las personas que desempeñen un empleo, cargo o comisión en los Municipios.</w:t>
      </w:r>
    </w:p>
    <w:p w14:paraId="3D9D27A4" w14:textId="77777777" w:rsidR="009B5010" w:rsidRDefault="009B5010">
      <w:pPr>
        <w:widowControl w:val="0"/>
        <w:spacing w:after="0" w:line="360" w:lineRule="auto"/>
        <w:rPr>
          <w:color w:val="000000"/>
        </w:rPr>
      </w:pPr>
    </w:p>
    <w:p w14:paraId="51069A24" w14:textId="77777777" w:rsidR="009B5010" w:rsidRDefault="007F04B8">
      <w:pPr>
        <w:spacing w:after="0" w:line="360" w:lineRule="auto"/>
        <w:ind w:right="-28"/>
        <w:rPr>
          <w:color w:val="000000"/>
        </w:rPr>
      </w:pPr>
      <w:r>
        <w:rPr>
          <w:color w:val="000000"/>
        </w:rPr>
        <w:t xml:space="preserve">Además, el artículo 4°, fracción VI, de la Ley del Trabajo de los servidores públicos del Estado y Municipios, precisa que son </w:t>
      </w:r>
      <w:r>
        <w:rPr>
          <w:b/>
          <w:color w:val="000000"/>
        </w:rPr>
        <w:t>servidores públicos</w:t>
      </w:r>
      <w:r>
        <w:rPr>
          <w:color w:val="000000"/>
        </w:rPr>
        <w:t>, todas las personas físicas que presten a una institución pública un trabajo personal subordinado, mediante el pago de un sueldo.</w:t>
      </w:r>
    </w:p>
    <w:p w14:paraId="05542F93" w14:textId="77777777" w:rsidR="009B5010" w:rsidRDefault="009B5010">
      <w:pPr>
        <w:spacing w:after="0" w:line="360" w:lineRule="auto"/>
        <w:ind w:right="-28"/>
        <w:rPr>
          <w:color w:val="000000"/>
        </w:rPr>
      </w:pPr>
    </w:p>
    <w:p w14:paraId="09B1BB60" w14:textId="77777777" w:rsidR="009B5010" w:rsidRDefault="007F04B8">
      <w:pPr>
        <w:spacing w:after="0" w:line="360" w:lineRule="auto"/>
      </w:pPr>
      <w: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026E025C" w14:textId="77777777" w:rsidR="009B5010" w:rsidRDefault="009B5010">
      <w:pPr>
        <w:spacing w:after="0" w:line="360" w:lineRule="auto"/>
      </w:pPr>
    </w:p>
    <w:p w14:paraId="515D248A" w14:textId="77777777" w:rsidR="009B5010" w:rsidRDefault="007F04B8">
      <w:pPr>
        <w:spacing w:after="0" w:line="360" w:lineRule="auto"/>
      </w:pPr>
      <w:r>
        <w:t>Da la misma manera, el Anexo IV.5 Glosario de Términos, del Manual para la Planeación, Programación y Presupuesto de Egresos Municipal para el ejercicio fiscal dos mil veintitrés, establece que la remuneración es la percepción de un trabajador o retribución monetaria que se da en pago por su servicio o actividad desarrollada.</w:t>
      </w:r>
    </w:p>
    <w:p w14:paraId="7D4FA6E9" w14:textId="77777777" w:rsidR="009B5010" w:rsidRDefault="009B5010">
      <w:pPr>
        <w:spacing w:after="0" w:line="360" w:lineRule="auto"/>
      </w:pPr>
    </w:p>
    <w:p w14:paraId="73C3353F" w14:textId="77777777" w:rsidR="009B5010" w:rsidRDefault="007F04B8">
      <w:pPr>
        <w:spacing w:after="0" w:line="360" w:lineRule="auto"/>
        <w:rPr>
          <w:color w:val="000000"/>
        </w:rPr>
      </w:pPr>
      <w:r>
        <w:rPr>
          <w:color w:val="000000"/>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22DEB4CA" w14:textId="77777777" w:rsidR="009B5010" w:rsidRDefault="009B5010">
      <w:pPr>
        <w:widowControl w:val="0"/>
        <w:spacing w:after="0" w:line="360" w:lineRule="auto"/>
        <w:rPr>
          <w:color w:val="000000"/>
        </w:rPr>
      </w:pPr>
    </w:p>
    <w:p w14:paraId="54CA6972" w14:textId="77777777" w:rsidR="009B5010" w:rsidRDefault="007F04B8">
      <w:pPr>
        <w:spacing w:after="0" w:line="360" w:lineRule="auto"/>
        <w:rPr>
          <w:b/>
        </w:rPr>
      </w:pPr>
      <w:r>
        <w:t xml:space="preserve">Además, el Anexo IV.2 Clasificación por objeto del gasto, del Manual para la Planeación, Programación y Presupuesto de Egresos Municipal para el ejercicio fiscal dos mil veinte, establece que los Presupuestos de Egresos Municipales, se tendrán que generar, conforme al </w:t>
      </w:r>
      <w:r>
        <w:lastRenderedPageBreak/>
        <w:t xml:space="preserve">“Clasificador por Objeto del Gasto”, el cual se conforma de diversos capítulos, entre los cuales, se encuentra el </w:t>
      </w:r>
      <w:r>
        <w:rPr>
          <w:b/>
        </w:rPr>
        <w:t>1000 Servicios Personales</w:t>
      </w:r>
      <w:r>
        <w:t>,</w:t>
      </w:r>
      <w:r>
        <w:rPr>
          <w:b/>
        </w:rPr>
        <w:t xml:space="preserve"> que agrupa las remuneraciones del personal al servicio de los entes públicos, tales como el sueldo, salarios, dietas, honorarios, prestaciones, aguinaldo, obligaciones laborales, entre otras.</w:t>
      </w:r>
    </w:p>
    <w:p w14:paraId="743C1FDD" w14:textId="77777777" w:rsidR="009B5010" w:rsidRDefault="009B5010">
      <w:pPr>
        <w:spacing w:after="0" w:line="360" w:lineRule="auto"/>
        <w:rPr>
          <w:b/>
        </w:rPr>
      </w:pPr>
    </w:p>
    <w:p w14:paraId="419F5F3D" w14:textId="77777777" w:rsidR="009B5010" w:rsidRDefault="007F04B8">
      <w:pPr>
        <w:spacing w:after="0" w:line="360" w:lineRule="auto"/>
        <w:rPr>
          <w:b/>
        </w:rPr>
      </w:pPr>
      <w:r>
        <w:t>Además, respecto al documento requerido, el Glosario localizado en la página de Transparencia Presupuestaria de la Secretaría de Hacienda y Crédito Público (</w:t>
      </w:r>
      <w:hyperlink r:id="rId9">
        <w:r>
          <w:rPr>
            <w:color w:val="0563C1"/>
            <w:u w:val="single"/>
          </w:rPr>
          <w:t>http://www.transparenciapresupuestaria.gob.mx/es/PTP/Glosario</w:t>
        </w:r>
      </w:hyperlink>
      <w:r>
        <w:t xml:space="preserve">), establece que la </w:t>
      </w:r>
      <w:r>
        <w:rPr>
          <w:b/>
        </w:rPr>
        <w:t>Nómina 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14:paraId="1A158E0A" w14:textId="77777777" w:rsidR="009B5010" w:rsidRDefault="009B5010">
      <w:pPr>
        <w:spacing w:after="0" w:line="360" w:lineRule="auto"/>
        <w:rPr>
          <w:b/>
        </w:rPr>
      </w:pPr>
    </w:p>
    <w:p w14:paraId="47F6D82B" w14:textId="77777777" w:rsidR="009B5010" w:rsidRDefault="007F04B8">
      <w:pPr>
        <w:spacing w:after="0" w:line="360" w:lineRule="auto"/>
      </w:pPr>
      <w:r>
        <w:t>De la misma manera, el Glosario de términos más usuales en la Administración Pública Federal, emitido por la Secretaría de Hacienda y Crédito Público (</w:t>
      </w:r>
      <w:hyperlink r:id="rId10">
        <w:r>
          <w:rPr>
            <w:color w:val="0563C1"/>
            <w:u w:val="single"/>
          </w:rPr>
          <w:t>http://www.apartados.hacienda.gob.mx/contabilidad/documentos/informe_cuenta/1998/cuenta_pública/Glosario/n.htm</w:t>
        </w:r>
      </w:hyperlink>
      <w:r>
        <w:t xml:space="preserve">), establece que </w:t>
      </w:r>
      <w:r>
        <w:rPr>
          <w:u w:val="single"/>
        </w:rPr>
        <w:t>la nómina es un listado general</w:t>
      </w:r>
      <w:r>
        <w:t xml:space="preserve"> de los trabajadores de una institución, en el cual se asientan las percepciones brutas, deducciones y alcance neto de las mismas. Conforme a lo anterior, se puede advertir que la nómina se puede referir a lo siguiente:</w:t>
      </w:r>
    </w:p>
    <w:p w14:paraId="63CFCED9" w14:textId="77777777" w:rsidR="009B5010" w:rsidRDefault="009B5010">
      <w:pPr>
        <w:spacing w:after="0" w:line="360" w:lineRule="auto"/>
      </w:pPr>
    </w:p>
    <w:p w14:paraId="363F43E2" w14:textId="77777777" w:rsidR="009B5010" w:rsidRDefault="007F04B8">
      <w:pPr>
        <w:numPr>
          <w:ilvl w:val="0"/>
          <w:numId w:val="6"/>
        </w:numPr>
        <w:spacing w:after="0" w:line="360" w:lineRule="auto"/>
        <w:rPr>
          <w:color w:val="000000"/>
        </w:rPr>
      </w:pPr>
      <w:r>
        <w:rPr>
          <w:color w:val="000000"/>
        </w:rPr>
        <w:t xml:space="preserve">Relación de trabajadores con las percepciones monetarias de cada uno. </w:t>
      </w:r>
    </w:p>
    <w:p w14:paraId="341C01E7" w14:textId="77777777" w:rsidR="009B5010" w:rsidRDefault="007F04B8">
      <w:pPr>
        <w:numPr>
          <w:ilvl w:val="0"/>
          <w:numId w:val="6"/>
        </w:numPr>
        <w:spacing w:after="0" w:line="360" w:lineRule="auto"/>
        <w:rPr>
          <w:color w:val="000000"/>
        </w:rPr>
      </w:pPr>
      <w:r>
        <w:rPr>
          <w:color w:val="000000"/>
        </w:rPr>
        <w:t xml:space="preserve">Recibo individual que contiene las prestaciones y deducciones de un trabajador. </w:t>
      </w:r>
    </w:p>
    <w:p w14:paraId="3181DBBA" w14:textId="77777777" w:rsidR="009B5010" w:rsidRDefault="007F04B8">
      <w:pPr>
        <w:numPr>
          <w:ilvl w:val="0"/>
          <w:numId w:val="6"/>
        </w:numPr>
        <w:spacing w:after="0" w:line="360" w:lineRule="auto"/>
        <w:rPr>
          <w:color w:val="000000"/>
        </w:rPr>
      </w:pPr>
      <w:r>
        <w:rPr>
          <w:color w:val="000000"/>
        </w:rPr>
        <w:t>Listado general de los servidores públicos de una institución o dependencia, en el cual se asientan las percepciones brutas, deducciones y alcance neto de las mismas.</w:t>
      </w:r>
    </w:p>
    <w:p w14:paraId="5DD73C1F" w14:textId="77777777" w:rsidR="009B5010" w:rsidRDefault="009B5010">
      <w:pPr>
        <w:spacing w:after="0" w:line="360" w:lineRule="auto"/>
        <w:rPr>
          <w:color w:val="0D0D0D"/>
        </w:rPr>
      </w:pPr>
    </w:p>
    <w:p w14:paraId="252A4B07" w14:textId="77777777" w:rsidR="009B5010" w:rsidRDefault="009B5010">
      <w:pPr>
        <w:spacing w:after="0" w:line="360" w:lineRule="auto"/>
        <w:rPr>
          <w:color w:val="0D0D0D"/>
        </w:rPr>
      </w:pPr>
    </w:p>
    <w:p w14:paraId="628D163F" w14:textId="77777777" w:rsidR="009B5010" w:rsidRDefault="007F04B8">
      <w:pPr>
        <w:spacing w:after="0" w:line="360" w:lineRule="auto"/>
        <w:rPr>
          <w:color w:val="0D0D0D"/>
        </w:rPr>
      </w:pPr>
      <w:r>
        <w:rPr>
          <w:color w:val="0D0D0D"/>
        </w:rPr>
        <w:lastRenderedPageBreak/>
        <w:t xml:space="preserve">En ese orden de ideas, los </w:t>
      </w:r>
      <w:r>
        <w:t>Lineamientos para la integración, presentación y envío de los Informes Trimestrales Municipales del ejercicio fiscal 2024 y los Lineamientos para la integración y presentación de los Informes Trimestrales Estatales y Municipales del Ejercicio Fiscal 2025, establecen que el Sujeto Obligado deberá entregar al Órgano Superior de Fiscalización, la Conciliación de Nómina (1 y 2) y los Comprobantes Fiscales Digitales por Internet por concepto de nómina (1 y 2).</w:t>
      </w:r>
    </w:p>
    <w:p w14:paraId="599B4C65" w14:textId="77777777" w:rsidR="009B5010" w:rsidRDefault="009B5010">
      <w:pPr>
        <w:spacing w:after="0" w:line="360" w:lineRule="auto"/>
        <w:rPr>
          <w:color w:val="0D0D0D"/>
        </w:rPr>
      </w:pPr>
    </w:p>
    <w:p w14:paraId="35CEB2E8" w14:textId="77777777" w:rsidR="009B5010" w:rsidRDefault="007F04B8">
      <w:pPr>
        <w:spacing w:after="0" w:line="360" w:lineRule="auto"/>
        <w:rPr>
          <w:color w:val="0D0D0D"/>
        </w:rPr>
      </w:pPr>
      <w:r>
        <w:rPr>
          <w:color w:val="0D0D0D"/>
        </w:rPr>
        <w:t>De tal suerte, se logra vislumbrar que el Sujeto Obligado tiene competencia para conocer de lo peticionado, al tener que generar los documentos para ser entregados en los Informes Trimestrales y que la pretensión de la parte Recurrente es obtener la Conciliación de nómina y los recibos de nómina de la primera quincena de diciembre de dos mil veinticuatro a la segunda de enero de dos mil veinticinco.</w:t>
      </w:r>
    </w:p>
    <w:p w14:paraId="55B23D8E" w14:textId="77777777" w:rsidR="009B5010" w:rsidRDefault="009B5010">
      <w:pPr>
        <w:spacing w:after="0" w:line="360" w:lineRule="auto"/>
        <w:rPr>
          <w:color w:val="0D0D0D"/>
        </w:rPr>
      </w:pPr>
    </w:p>
    <w:p w14:paraId="31F0512B" w14:textId="77777777" w:rsidR="009B5010" w:rsidRDefault="007F04B8">
      <w:pPr>
        <w:spacing w:after="0" w:line="360" w:lineRule="auto"/>
        <w:rPr>
          <w:color w:val="0D0D0D"/>
        </w:rPr>
      </w:pPr>
      <w:r>
        <w:rPr>
          <w:color w:val="000000"/>
        </w:rPr>
        <w:t>Establecida dicha circunstancia, de las constancias que obran en el expediente electrónico, se advierte que el Sujeto Obligado</w:t>
      </w:r>
      <w:r>
        <w:rPr>
          <w:color w:val="0D0D0D"/>
        </w:rPr>
        <w:t xml:space="preserve"> turnó la solicitud de información a la Dirección de Administración y Recursos Humanos</w:t>
      </w:r>
      <w:r>
        <w:rPr>
          <w:color w:val="000000"/>
        </w:rPr>
        <w:t xml:space="preserve">; </w:t>
      </w:r>
      <w:r>
        <w:t xml:space="preserve">por lo que, es oportuno hacer referencia al </w:t>
      </w:r>
      <w:r>
        <w:rPr>
          <w:b/>
        </w:rPr>
        <w:t>procedimiento de búsqueda que deben de seguir los Sujetos Obligados para localizar la información</w:t>
      </w:r>
      <w:r>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6B66BDA1" w14:textId="77777777" w:rsidR="009B5010" w:rsidRDefault="009B5010">
      <w:pPr>
        <w:spacing w:after="0" w:line="360" w:lineRule="auto"/>
      </w:pPr>
    </w:p>
    <w:p w14:paraId="5F85AF9D" w14:textId="77777777" w:rsidR="009B5010" w:rsidRDefault="007F04B8">
      <w:pPr>
        <w:spacing w:after="0" w:line="360" w:lineRule="auto"/>
      </w:pPr>
      <w:r>
        <w:t xml:space="preserve">En ese sentido, cabe traer a colación, los artículos 163 y 164 del Bando Municipal de San Martín de las Pirámides, el cual establece que el Sujeto Obligado para el cumplimiento de sus funciones, </w:t>
      </w:r>
      <w:r>
        <w:lastRenderedPageBreak/>
        <w:t>contará con diversas unidades administrativas, entre las cuales se encuentra la Dirección de Administración y Recursos Humanos, encargada de planear, organizar y supervisar la correcta distribución de los recursos humanos; para lo cual, contará con la Coordinación de Recursos Humanos, que da atención a las relaciones laborales; lleva a cabo los procesos de selección, contratación y reclutamiento del personal.</w:t>
      </w:r>
    </w:p>
    <w:p w14:paraId="26AF0A0E" w14:textId="77777777" w:rsidR="009B5010" w:rsidRDefault="009B5010">
      <w:pPr>
        <w:spacing w:after="0" w:line="360" w:lineRule="auto"/>
      </w:pPr>
    </w:p>
    <w:p w14:paraId="242183C5" w14:textId="77777777" w:rsidR="009B5010" w:rsidRDefault="007F04B8">
      <w:pPr>
        <w:spacing w:after="0" w:line="360" w:lineRule="auto"/>
        <w:rPr>
          <w:color w:val="000000"/>
        </w:rPr>
      </w:pPr>
      <w:r>
        <w:rPr>
          <w:color w:val="000000"/>
        </w:rPr>
        <w:t xml:space="preserve">Así </w:t>
      </w:r>
      <w:r>
        <w:t xml:space="preserve">se logra colegir que, el Sujeto Obligado cumplió con el procedimiento de búsqueda </w:t>
      </w:r>
      <w:r>
        <w:rPr>
          <w:color w:val="000000"/>
        </w:rPr>
        <w:t>establecido en el artículo 162 de la Ley de Transparencia y Acceso a la Información Pública del Estado de México y Municipios, toda vez, que gestionó el requerimiento de información a todas las áreas competentes para conocer de la información solicitada, tan es así, que el área que se pronunció entregó información relacionada con lo peticionado, por lo que, se procede analizar la misma.</w:t>
      </w:r>
    </w:p>
    <w:p w14:paraId="34C8D763" w14:textId="77777777" w:rsidR="009B5010" w:rsidRDefault="009B5010">
      <w:pPr>
        <w:spacing w:after="0" w:line="360" w:lineRule="auto"/>
        <w:rPr>
          <w:color w:val="000000"/>
        </w:rPr>
      </w:pPr>
    </w:p>
    <w:p w14:paraId="17FBBAFF" w14:textId="77777777" w:rsidR="009B5010" w:rsidRDefault="007F04B8">
      <w:pPr>
        <w:spacing w:after="0" w:line="360" w:lineRule="auto"/>
        <w:rPr>
          <w:color w:val="000000"/>
        </w:rPr>
      </w:pPr>
      <w:r>
        <w:rPr>
          <w:color w:val="000000"/>
        </w:rPr>
        <w:t>En principio, es necesario señalar que de las constancias que obran en el expediente, la Dirección de Administración omitió realizar un pronunciamiento expreso respecto a los documentos que tuvieran la Conciliación de Nómina; sobre el tema, el artículo 1.8, fracción XIII, del Código Administrativo del Estado de México, establece que para que tenga validez, todo acto administrativo deberá resolver todos los puntos propuestos por los interesados.</w:t>
      </w:r>
    </w:p>
    <w:p w14:paraId="2F418DCC" w14:textId="77777777" w:rsidR="009B5010" w:rsidRDefault="009B5010">
      <w:pPr>
        <w:spacing w:after="0" w:line="360" w:lineRule="auto"/>
        <w:ind w:right="-93"/>
        <w:rPr>
          <w:color w:val="000000"/>
        </w:rPr>
      </w:pPr>
    </w:p>
    <w:p w14:paraId="00E997B1" w14:textId="77777777" w:rsidR="009B5010" w:rsidRDefault="007F04B8">
      <w:pPr>
        <w:spacing w:after="0" w:line="360" w:lineRule="auto"/>
        <w:ind w:right="-93"/>
        <w:rPr>
          <w:color w:val="000000"/>
        </w:rPr>
      </w:pPr>
      <w:r>
        <w:rPr>
          <w:color w:val="000000"/>
        </w:rPr>
        <w:t xml:space="preserve">Situación que se robustece, con el Criterio de Interpretación, con clave de control SO/002/2017, del Instituto Nacional de Transparencia, Acceso a la Información y Protección de Datos Personales, el cual establece que todo acto administrativo debe apegarse al </w:t>
      </w:r>
      <w:r>
        <w:rPr>
          <w:b/>
          <w:color w:val="000000"/>
        </w:rPr>
        <w:t>principio de exhaustividad,</w:t>
      </w:r>
      <w:r>
        <w:rPr>
          <w:color w:val="000000"/>
        </w:rPr>
        <w:t xml:space="preserve">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w:t>
      </w:r>
      <w:r>
        <w:rPr>
          <w:color w:val="000000"/>
        </w:rPr>
        <w:lastRenderedPageBreak/>
        <w:t>requeridos, a fin de satisfacer la solicitud correspondiente. En esa tesitura, se concluye que el Sujeto Obligado no satisfizo el derecho de acceso a la información del Solicitante, al no pronunciarse respecto a la Conciliación de Nómina.</w:t>
      </w:r>
    </w:p>
    <w:p w14:paraId="1C6D06D8" w14:textId="77777777" w:rsidR="009B5010" w:rsidRDefault="009B5010">
      <w:pPr>
        <w:spacing w:after="0" w:line="360" w:lineRule="auto"/>
        <w:ind w:right="-93"/>
        <w:rPr>
          <w:color w:val="000000"/>
        </w:rPr>
      </w:pPr>
    </w:p>
    <w:p w14:paraId="1DAC4006" w14:textId="77777777" w:rsidR="009B5010" w:rsidRDefault="007F04B8">
      <w:pPr>
        <w:spacing w:after="0" w:line="360" w:lineRule="auto"/>
        <w:ind w:right="-93"/>
        <w:rPr>
          <w:color w:val="000000"/>
        </w:rPr>
      </w:pPr>
      <w:r>
        <w:rPr>
          <w:color w:val="000000"/>
        </w:rPr>
        <w:t>Ahora bien, respecto a los recibos de nómina, es necesario precisar que la Dirección de Administración proporcionó diversos Comprobantes Fiscales Digitales por Internet, que de su revisión se logra vislumbrar que corresponden a todo el personal con el que contaban en los periodos solicitados, así como, que conciernen a la segunda quincena de diciembre de dos mil veinticuatro y enero de dos mil veinticinco.</w:t>
      </w:r>
    </w:p>
    <w:p w14:paraId="7420E3F5" w14:textId="77777777" w:rsidR="009B5010" w:rsidRDefault="009B5010">
      <w:pPr>
        <w:spacing w:after="0" w:line="360" w:lineRule="auto"/>
        <w:ind w:right="-93"/>
        <w:rPr>
          <w:color w:val="000000"/>
        </w:rPr>
      </w:pPr>
    </w:p>
    <w:p w14:paraId="2CD611EC" w14:textId="77777777" w:rsidR="009B5010" w:rsidRDefault="007F04B8">
      <w:pPr>
        <w:spacing w:after="0" w:line="360" w:lineRule="auto"/>
        <w:ind w:right="-93"/>
        <w:rPr>
          <w:b/>
          <w:color w:val="000000"/>
        </w:rPr>
      </w:pPr>
      <w:r>
        <w:rPr>
          <w:color w:val="000000"/>
        </w:rPr>
        <w:t xml:space="preserve">De tal suerte, que se logra vislumbrar que el Sujeto Obligado únicamente proporcionó parte de la información requerida, pues omitió entregar la que daba cuenta de la primera quincena de los dos meses mencionados; por lo que, es claro que la respuesta se encuentra incompleta, lo cual da como resultado que el agravio sea </w:t>
      </w:r>
      <w:r>
        <w:rPr>
          <w:b/>
          <w:color w:val="000000"/>
        </w:rPr>
        <w:t>FUNDADO.</w:t>
      </w:r>
    </w:p>
    <w:p w14:paraId="2B7A59C9" w14:textId="77777777" w:rsidR="009B5010" w:rsidRDefault="009B5010">
      <w:pPr>
        <w:spacing w:after="0" w:line="360" w:lineRule="auto"/>
        <w:ind w:right="-93"/>
        <w:rPr>
          <w:b/>
          <w:color w:val="000000"/>
        </w:rPr>
      </w:pPr>
    </w:p>
    <w:p w14:paraId="0FD33FB3" w14:textId="77777777" w:rsidR="009B5010" w:rsidRDefault="007F04B8">
      <w:pPr>
        <w:spacing w:after="0" w:line="360" w:lineRule="auto"/>
        <w:ind w:right="-28"/>
        <w:rPr>
          <w:color w:val="000000"/>
        </w:rPr>
      </w:pPr>
      <w:r>
        <w:rPr>
          <w:color w:val="000000"/>
        </w:rPr>
        <w:t>Conforme a lo anterior, para atender el requerimiento de información, la Dirección de Administración y Recursos Humanos, deberá realizar una búsqueda exhaustiva y razonable en sus archivos, a efecto de que proporcione lo siguiente:</w:t>
      </w:r>
    </w:p>
    <w:p w14:paraId="363F7B0A" w14:textId="77777777" w:rsidR="009B5010" w:rsidRDefault="009B5010">
      <w:pPr>
        <w:spacing w:after="0" w:line="360" w:lineRule="auto"/>
        <w:ind w:right="-28"/>
        <w:rPr>
          <w:color w:val="000000"/>
        </w:rPr>
      </w:pPr>
    </w:p>
    <w:p w14:paraId="3C5FED46" w14:textId="77777777" w:rsidR="009B5010" w:rsidRDefault="007F04B8">
      <w:pPr>
        <w:numPr>
          <w:ilvl w:val="0"/>
          <w:numId w:val="7"/>
        </w:numPr>
        <w:pBdr>
          <w:top w:val="nil"/>
          <w:left w:val="nil"/>
          <w:bottom w:val="nil"/>
          <w:right w:val="nil"/>
          <w:between w:val="nil"/>
        </w:pBdr>
        <w:spacing w:after="0" w:line="360" w:lineRule="auto"/>
        <w:ind w:right="-28"/>
        <w:rPr>
          <w:color w:val="000000"/>
        </w:rPr>
      </w:pPr>
      <w:r>
        <w:rPr>
          <w:color w:val="000000"/>
        </w:rPr>
        <w:t>Los recibos de nómina de todos los servidores públicos, de la primera quincena de diciembre de dos mil veinticuatro y de enero de dos mil veinticinco.</w:t>
      </w:r>
    </w:p>
    <w:p w14:paraId="471E6A93" w14:textId="77777777" w:rsidR="009B5010" w:rsidRDefault="007F04B8">
      <w:pPr>
        <w:numPr>
          <w:ilvl w:val="0"/>
          <w:numId w:val="7"/>
        </w:numPr>
        <w:pBdr>
          <w:top w:val="nil"/>
          <w:left w:val="nil"/>
          <w:bottom w:val="nil"/>
          <w:right w:val="nil"/>
          <w:between w:val="nil"/>
        </w:pBdr>
        <w:spacing w:after="0" w:line="360" w:lineRule="auto"/>
        <w:ind w:right="-28"/>
        <w:rPr>
          <w:color w:val="000000"/>
        </w:rPr>
      </w:pPr>
      <w:r>
        <w:rPr>
          <w:color w:val="000000"/>
        </w:rPr>
        <w:t>La Conciliación de Nómina de la primera quincena de diciembre de dos mil veinticuatro a la segunda de enero de dos mil veinticinco.</w:t>
      </w:r>
    </w:p>
    <w:p w14:paraId="74EB6290" w14:textId="77777777" w:rsidR="009B5010" w:rsidRDefault="009B5010">
      <w:pPr>
        <w:spacing w:after="0" w:line="360" w:lineRule="auto"/>
        <w:ind w:right="-28"/>
        <w:rPr>
          <w:color w:val="000000"/>
        </w:rPr>
      </w:pPr>
    </w:p>
    <w:p w14:paraId="0531345D" w14:textId="77777777" w:rsidR="009B5010" w:rsidRDefault="007F04B8">
      <w:pPr>
        <w:spacing w:after="0" w:line="360" w:lineRule="auto"/>
        <w:ind w:right="-28"/>
        <w:rPr>
          <w:color w:val="000000"/>
        </w:rPr>
      </w:pPr>
      <w:r>
        <w:rPr>
          <w:color w:val="000000"/>
        </w:rPr>
        <w:t>Dicha</w:t>
      </w:r>
      <w:r>
        <w:t xml:space="preserve"> determinación, toma sustento en el artículo 12 de la Ley de la materia, los sujetos obligados sólo están constreñidos a proporcionar la información pública que obre en sus </w:t>
      </w:r>
      <w:r>
        <w:lastRenderedPageBreak/>
        <w:t>archivos, en el estado en que esta se encuentre; por lo que, la entrega no comprende el procesamiento de la misma, ni presentarla conforme al interés del solicitante, además, que tampoco deberá generarla, resumirla, efectuar cálculos o practicar investigaciones.</w:t>
      </w:r>
    </w:p>
    <w:p w14:paraId="4BB2859D" w14:textId="77777777" w:rsidR="009B5010" w:rsidRDefault="009B5010">
      <w:pPr>
        <w:spacing w:after="0" w:line="360" w:lineRule="auto"/>
      </w:pPr>
    </w:p>
    <w:p w14:paraId="1ABCA9DC" w14:textId="77777777" w:rsidR="009B5010" w:rsidRDefault="007F04B8">
      <w:pPr>
        <w:spacing w:after="0" w:line="360" w:lineRule="auto"/>
      </w:pPr>
      <w:r>
        <w:t xml:space="preserve">De esta manera, el derecho de acceso a la información pública se satisface en aquellos casos en que se entregue el soporte documental en el que conste la información solicitada, sin necesidad de elaborar documentos </w:t>
      </w:r>
      <w:r>
        <w:rPr>
          <w:i/>
        </w:rPr>
        <w:t>ad hoc</w:t>
      </w:r>
      <w: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52CD1DE2" w14:textId="77777777" w:rsidR="009B5010" w:rsidRDefault="009B5010">
      <w:pPr>
        <w:spacing w:after="0" w:line="360" w:lineRule="auto"/>
      </w:pPr>
    </w:p>
    <w:p w14:paraId="22005373" w14:textId="77777777" w:rsidR="009B5010" w:rsidRDefault="007F04B8">
      <w:pPr>
        <w:spacing w:after="0" w:line="360" w:lineRule="auto"/>
        <w:ind w:right="-28"/>
      </w:pPr>
      <w:r>
        <w:t>De tales circunstancias, se concluye que los sujetos obligados únicamente se encuentran constreñidos a proporcionar los documentos que den cuenta de la información solicitada, como obren en sus archivos, sin tener que elaborarlos a las necesidades de la persona Recurrente; por lo que, en el presente caso, deberá proporcionar la documentación faltante.</w:t>
      </w:r>
    </w:p>
    <w:p w14:paraId="018E2F49" w14:textId="77777777" w:rsidR="009B5010" w:rsidRDefault="009B5010">
      <w:pPr>
        <w:spacing w:after="0" w:line="360" w:lineRule="auto"/>
        <w:ind w:right="-93"/>
        <w:rPr>
          <w:b/>
          <w:color w:val="000000"/>
        </w:rPr>
      </w:pPr>
    </w:p>
    <w:p w14:paraId="46B8A217" w14:textId="77777777" w:rsidR="009B5010" w:rsidRDefault="007F04B8">
      <w:pPr>
        <w:spacing w:after="0" w:line="360" w:lineRule="auto"/>
        <w:ind w:right="-93"/>
        <w:rPr>
          <w:color w:val="000000"/>
        </w:rPr>
      </w:pPr>
      <w:r>
        <w:rPr>
          <w:color w:val="000000"/>
        </w:rPr>
        <w:t>Ahora bien, respecto al otro agravio referente a la clasificación de la información, este Instituto revisó los recibos de nómina proporcionados y se logra vislumbrar que clasificó los siguientes datos:</w:t>
      </w:r>
    </w:p>
    <w:p w14:paraId="342F2A65" w14:textId="77777777" w:rsidR="009B5010" w:rsidRDefault="009B5010">
      <w:pPr>
        <w:spacing w:after="0" w:line="360" w:lineRule="auto"/>
        <w:ind w:right="-93"/>
        <w:rPr>
          <w:color w:val="000000"/>
        </w:rPr>
      </w:pPr>
    </w:p>
    <w:p w14:paraId="107A2210" w14:textId="77777777" w:rsidR="009B5010" w:rsidRDefault="007F04B8">
      <w:pPr>
        <w:numPr>
          <w:ilvl w:val="0"/>
          <w:numId w:val="8"/>
        </w:numPr>
        <w:spacing w:after="0" w:line="360" w:lineRule="auto"/>
        <w:rPr>
          <w:color w:val="000000"/>
        </w:rPr>
      </w:pPr>
      <w:r>
        <w:rPr>
          <w:color w:val="000000"/>
        </w:rPr>
        <w:t>Clave Única de Registro de Población (CURP);</w:t>
      </w:r>
    </w:p>
    <w:p w14:paraId="38796A39" w14:textId="77777777" w:rsidR="009B5010" w:rsidRDefault="007F04B8">
      <w:pPr>
        <w:numPr>
          <w:ilvl w:val="0"/>
          <w:numId w:val="8"/>
        </w:numPr>
        <w:spacing w:after="0" w:line="360" w:lineRule="auto"/>
        <w:rPr>
          <w:color w:val="000000"/>
        </w:rPr>
      </w:pPr>
      <w:r>
        <w:rPr>
          <w:color w:val="000000"/>
        </w:rPr>
        <w:t>Registro Federal de Contribuyentes del servidor público (RFC);</w:t>
      </w:r>
    </w:p>
    <w:p w14:paraId="24ECDF34" w14:textId="77777777" w:rsidR="009B5010" w:rsidRDefault="007F04B8">
      <w:pPr>
        <w:numPr>
          <w:ilvl w:val="0"/>
          <w:numId w:val="8"/>
        </w:numPr>
        <w:spacing w:after="0" w:line="360" w:lineRule="auto"/>
        <w:rPr>
          <w:color w:val="000000"/>
        </w:rPr>
      </w:pPr>
      <w:r>
        <w:rPr>
          <w:color w:val="000000"/>
        </w:rPr>
        <w:t>Número de seguridad social del Instituto de Seguridad Social del Estado de México y Municipios;</w:t>
      </w:r>
    </w:p>
    <w:p w14:paraId="2E3BA735" w14:textId="77777777" w:rsidR="009B5010" w:rsidRDefault="007F04B8">
      <w:pPr>
        <w:numPr>
          <w:ilvl w:val="0"/>
          <w:numId w:val="8"/>
        </w:numPr>
        <w:spacing w:after="0" w:line="360" w:lineRule="auto"/>
        <w:rPr>
          <w:color w:val="000000"/>
        </w:rPr>
      </w:pPr>
      <w:r>
        <w:rPr>
          <w:color w:val="000000"/>
        </w:rPr>
        <w:t>Deducciones por Ley;</w:t>
      </w:r>
    </w:p>
    <w:p w14:paraId="418A6383" w14:textId="77777777" w:rsidR="009B5010" w:rsidRDefault="007F04B8">
      <w:pPr>
        <w:numPr>
          <w:ilvl w:val="0"/>
          <w:numId w:val="8"/>
        </w:numPr>
        <w:spacing w:after="0" w:line="360" w:lineRule="auto"/>
        <w:rPr>
          <w:color w:val="000000"/>
        </w:rPr>
      </w:pPr>
      <w:r>
        <w:rPr>
          <w:color w:val="000000"/>
        </w:rPr>
        <w:t>Deducciones personales;</w:t>
      </w:r>
    </w:p>
    <w:p w14:paraId="75186876" w14:textId="77777777" w:rsidR="009B5010" w:rsidRDefault="007F04B8">
      <w:pPr>
        <w:numPr>
          <w:ilvl w:val="0"/>
          <w:numId w:val="8"/>
        </w:numPr>
        <w:spacing w:after="0" w:line="360" w:lineRule="auto"/>
        <w:rPr>
          <w:color w:val="000000"/>
        </w:rPr>
      </w:pPr>
      <w:r>
        <w:t>Código bidimensional o QR;</w:t>
      </w:r>
    </w:p>
    <w:p w14:paraId="446C68D5" w14:textId="77777777" w:rsidR="009B5010" w:rsidRDefault="007F04B8">
      <w:pPr>
        <w:numPr>
          <w:ilvl w:val="0"/>
          <w:numId w:val="8"/>
        </w:numPr>
        <w:spacing w:after="0" w:line="360" w:lineRule="auto"/>
        <w:rPr>
          <w:color w:val="000000"/>
        </w:rPr>
      </w:pPr>
      <w:r>
        <w:rPr>
          <w:color w:val="000000"/>
        </w:rPr>
        <w:lastRenderedPageBreak/>
        <w:t>Sellos digitales del emisor y del Servicio de Administración Tributaria y cadena original del complemento de certificación digital del órgano previamente señalado, y</w:t>
      </w:r>
    </w:p>
    <w:p w14:paraId="0DFE97DC" w14:textId="77777777" w:rsidR="009B5010" w:rsidRDefault="007F04B8">
      <w:pPr>
        <w:numPr>
          <w:ilvl w:val="0"/>
          <w:numId w:val="8"/>
        </w:numPr>
        <w:spacing w:after="0" w:line="360" w:lineRule="auto"/>
        <w:rPr>
          <w:color w:val="000000"/>
        </w:rPr>
      </w:pPr>
      <w:r>
        <w:rPr>
          <w:color w:val="000000"/>
        </w:rPr>
        <w:t>Folio fiscal.</w:t>
      </w:r>
    </w:p>
    <w:p w14:paraId="7B149CA6" w14:textId="77777777" w:rsidR="009B5010" w:rsidRDefault="009B5010">
      <w:pPr>
        <w:spacing w:after="0" w:line="360" w:lineRule="auto"/>
        <w:ind w:right="-93"/>
        <w:rPr>
          <w:color w:val="000000"/>
        </w:rPr>
      </w:pPr>
    </w:p>
    <w:p w14:paraId="60CA8251" w14:textId="77777777" w:rsidR="009B5010" w:rsidRDefault="007F04B8">
      <w:pPr>
        <w:spacing w:after="0" w:line="360" w:lineRule="auto"/>
        <w:ind w:right="-28"/>
        <w:rPr>
          <w:color w:val="000000"/>
        </w:rPr>
      </w:pPr>
      <w:r>
        <w:rPr>
          <w:color w:val="000000"/>
        </w:rPr>
        <w:t>De lo anterior, resulta procedente analizar si dichos datos son públicos o privados; para lo cual, cabe mencionar que el artículo 143, fracción I, de la Ley previamente citada, establece que la información privada y los datos personales, concernientes a una persona física o jurídica colectiva identificada o identificable son confidenciales.</w:t>
      </w:r>
    </w:p>
    <w:p w14:paraId="53F63A90" w14:textId="77777777" w:rsidR="009B5010" w:rsidRDefault="009B5010">
      <w:pPr>
        <w:spacing w:after="0" w:line="360" w:lineRule="auto"/>
        <w:rPr>
          <w:color w:val="000000"/>
        </w:rPr>
      </w:pPr>
    </w:p>
    <w:p w14:paraId="283177B0" w14:textId="77777777" w:rsidR="009B5010" w:rsidRDefault="007F04B8">
      <w:pPr>
        <w:spacing w:after="0" w:line="360" w:lineRule="auto"/>
        <w:rPr>
          <w:color w:val="000000"/>
        </w:rPr>
      </w:pPr>
      <w:r>
        <w:rPr>
          <w:color w:val="000000"/>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CC95875" w14:textId="77777777" w:rsidR="009B5010" w:rsidRDefault="009B5010">
      <w:pPr>
        <w:spacing w:after="0" w:line="360" w:lineRule="auto"/>
        <w:rPr>
          <w:color w:val="000000"/>
        </w:rPr>
      </w:pPr>
    </w:p>
    <w:p w14:paraId="235338DA" w14:textId="77777777" w:rsidR="009B5010" w:rsidRDefault="007F04B8">
      <w:pPr>
        <w:spacing w:after="0" w:line="360" w:lineRule="auto"/>
        <w:rPr>
          <w:color w:val="000000"/>
        </w:rPr>
      </w:pPr>
      <w:r>
        <w:rPr>
          <w:color w:val="000000"/>
        </w:rPr>
        <w:t>En términos de lo expuesto, la documentación y aquellos datos que se consideren confidenciales, serán una limitante del derecho de acceso a la información, siempre y cuando:</w:t>
      </w:r>
    </w:p>
    <w:p w14:paraId="4AB8CD73" w14:textId="77777777" w:rsidR="009B5010" w:rsidRDefault="009B5010">
      <w:pPr>
        <w:spacing w:after="0" w:line="360" w:lineRule="auto"/>
        <w:rPr>
          <w:color w:val="000000"/>
        </w:rPr>
      </w:pPr>
    </w:p>
    <w:p w14:paraId="2EAE8ED8" w14:textId="77777777" w:rsidR="009B5010" w:rsidRDefault="007F04B8">
      <w:pPr>
        <w:numPr>
          <w:ilvl w:val="0"/>
          <w:numId w:val="5"/>
        </w:numPr>
        <w:spacing w:after="0" w:line="360" w:lineRule="auto"/>
        <w:rPr>
          <w:color w:val="000000"/>
        </w:rPr>
      </w:pPr>
      <w:r>
        <w:rPr>
          <w:color w:val="000000"/>
        </w:rPr>
        <w:t xml:space="preserve">Se trate de datos personales o información privada; esto es, información concerniente a una persona física o jurídico colectiva y que esta sea identificada o identificable. </w:t>
      </w:r>
    </w:p>
    <w:p w14:paraId="79AAB4AE" w14:textId="77777777" w:rsidR="009B5010" w:rsidRDefault="007F04B8">
      <w:pPr>
        <w:numPr>
          <w:ilvl w:val="0"/>
          <w:numId w:val="5"/>
        </w:numPr>
        <w:spacing w:after="0" w:line="360" w:lineRule="auto"/>
        <w:rPr>
          <w:color w:val="000000"/>
        </w:rPr>
      </w:pPr>
      <w:r>
        <w:rPr>
          <w:color w:val="000000"/>
        </w:rPr>
        <w:t xml:space="preserve">Para la difusión de los datos, se requiera el consentimiento del titular. </w:t>
      </w:r>
    </w:p>
    <w:p w14:paraId="24E26A9A" w14:textId="77777777" w:rsidR="009B5010" w:rsidRDefault="009B5010">
      <w:pPr>
        <w:spacing w:after="0" w:line="360" w:lineRule="auto"/>
        <w:rPr>
          <w:color w:val="000000"/>
        </w:rPr>
      </w:pPr>
    </w:p>
    <w:p w14:paraId="1D20654C" w14:textId="77777777" w:rsidR="009B5010" w:rsidRDefault="007F04B8">
      <w:pPr>
        <w:spacing w:after="0" w:line="360" w:lineRule="auto"/>
        <w:rPr>
          <w:color w:val="000000"/>
        </w:rPr>
      </w:pPr>
      <w:r>
        <w:rPr>
          <w:color w:val="000000"/>
        </w:rPr>
        <w:lastRenderedPageBreak/>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7EDAD5CB" w14:textId="77777777" w:rsidR="009B5010" w:rsidRDefault="009B5010">
      <w:pPr>
        <w:spacing w:after="0" w:line="360" w:lineRule="auto"/>
        <w:rPr>
          <w:color w:val="000000"/>
        </w:rPr>
      </w:pPr>
    </w:p>
    <w:p w14:paraId="2C48CE00" w14:textId="77777777" w:rsidR="009B5010" w:rsidRDefault="007F04B8">
      <w:pPr>
        <w:spacing w:after="0" w:line="360" w:lineRule="auto"/>
        <w:rPr>
          <w:color w:val="000000"/>
        </w:rPr>
      </w:pPr>
      <w:r>
        <w:rPr>
          <w:color w:val="000000"/>
        </w:rPr>
        <w:t>Bajo ese contexto, se analizarán si los datos mencionados, deben ser considerados confidenciales, en términos del artículo 143, fracción I, de la Ley de Transparencia y Acceso a la Información Pública del Estado de México y Municipios, o públicos.</w:t>
      </w:r>
    </w:p>
    <w:p w14:paraId="00139638" w14:textId="77777777" w:rsidR="009B5010" w:rsidRDefault="009B5010">
      <w:pPr>
        <w:spacing w:after="0" w:line="360" w:lineRule="auto"/>
        <w:rPr>
          <w:color w:val="000000"/>
        </w:rPr>
      </w:pPr>
    </w:p>
    <w:p w14:paraId="0A768903" w14:textId="77777777" w:rsidR="009B5010" w:rsidRDefault="007F04B8">
      <w:pPr>
        <w:numPr>
          <w:ilvl w:val="0"/>
          <w:numId w:val="13"/>
        </w:numPr>
        <w:spacing w:after="0" w:line="360" w:lineRule="auto"/>
        <w:rPr>
          <w:b/>
          <w:color w:val="000000"/>
        </w:rPr>
      </w:pPr>
      <w:r>
        <w:rPr>
          <w:b/>
          <w:color w:val="000000"/>
        </w:rPr>
        <w:t>Clave Única de Registro de Población (CURP)</w:t>
      </w:r>
    </w:p>
    <w:p w14:paraId="0072E115" w14:textId="77777777" w:rsidR="009B5010" w:rsidRDefault="009B5010">
      <w:pPr>
        <w:spacing w:after="0" w:line="360" w:lineRule="auto"/>
        <w:rPr>
          <w:color w:val="000000"/>
        </w:rPr>
      </w:pPr>
    </w:p>
    <w:p w14:paraId="52318B1C" w14:textId="77777777" w:rsidR="009B5010" w:rsidRDefault="007F04B8">
      <w:pPr>
        <w:spacing w:after="0" w:line="360" w:lineRule="auto"/>
        <w:rPr>
          <w:color w:val="000000"/>
        </w:rPr>
      </w:pPr>
      <w:r>
        <w:rPr>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1B28676" w14:textId="77777777" w:rsidR="009B5010" w:rsidRDefault="009B5010">
      <w:pPr>
        <w:spacing w:after="0" w:line="360" w:lineRule="auto"/>
        <w:rPr>
          <w:color w:val="000000"/>
        </w:rPr>
      </w:pPr>
    </w:p>
    <w:p w14:paraId="48DD2F23" w14:textId="77777777" w:rsidR="009B5010" w:rsidRDefault="007F04B8">
      <w:pPr>
        <w:spacing w:after="0" w:line="360" w:lineRule="auto"/>
        <w:rPr>
          <w:color w:val="000000"/>
        </w:rPr>
      </w:pPr>
      <w:r>
        <w:rPr>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68663C7C" w14:textId="77777777" w:rsidR="009B5010" w:rsidRDefault="009B5010">
      <w:pPr>
        <w:spacing w:after="0" w:line="360" w:lineRule="auto"/>
        <w:rPr>
          <w:color w:val="000000"/>
        </w:rPr>
      </w:pPr>
    </w:p>
    <w:p w14:paraId="352B5B08" w14:textId="77777777" w:rsidR="009B5010" w:rsidRDefault="007F04B8">
      <w:pPr>
        <w:spacing w:after="0" w:line="360" w:lineRule="auto"/>
        <w:rPr>
          <w:color w:val="000000"/>
        </w:rPr>
      </w:pPr>
      <w:r>
        <w:rPr>
          <w:color w:val="000000"/>
        </w:rPr>
        <w:lastRenderedPageBreak/>
        <w:t xml:space="preserve">En ese orden de ideas, la Secretaría de Gobernación en las direcciones </w:t>
      </w:r>
      <w:hyperlink r:id="rId11">
        <w:r>
          <w:rPr>
            <w:color w:val="0563C1"/>
            <w:u w:val="single"/>
          </w:rPr>
          <w:t>https://consultas.curp.gob.mx/CurpSP/html/informacionecurpPS.html</w:t>
        </w:r>
      </w:hyperlink>
      <w:r>
        <w:rPr>
          <w:color w:val="000000"/>
        </w:rPr>
        <w:t xml:space="preserve"> y </w:t>
      </w:r>
      <w:hyperlink r:id="rId12">
        <w:r>
          <w:rPr>
            <w:color w:val="0563C1"/>
            <w:u w:val="single"/>
          </w:rPr>
          <w:t>https://www.gob.mx/segob/renapo/acciones-y-programas/clave-unica-de-registro-de-poblacion-curp-142226</w:t>
        </w:r>
      </w:hyperlink>
      <w:r>
        <w:rPr>
          <w:color w:val="000000"/>
        </w:rPr>
        <w:t xml:space="preserve">,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Pr>
          <w:b/>
          <w:color w:val="000000"/>
        </w:rPr>
        <w:t>se generan a partir de los datos contenidos en el documento probatorio de la identidad</w:t>
      </w:r>
      <w:r>
        <w:rPr>
          <w:color w:val="000000"/>
        </w:rPr>
        <w:t xml:space="preserve"> </w:t>
      </w:r>
      <w:r>
        <w:rPr>
          <w:b/>
          <w:color w:val="000000"/>
        </w:rPr>
        <w:t xml:space="preserve">del interesado </w:t>
      </w:r>
      <w:r>
        <w:rPr>
          <w:color w:val="000000"/>
        </w:rPr>
        <w:t>(acta de nacimiento, carta de naturalización o documento migratorio) de la siguiente forma:</w:t>
      </w:r>
    </w:p>
    <w:p w14:paraId="5B5010A8" w14:textId="77777777" w:rsidR="009B5010" w:rsidRDefault="009B5010">
      <w:pPr>
        <w:spacing w:after="0" w:line="360" w:lineRule="auto"/>
        <w:rPr>
          <w:color w:val="000000"/>
        </w:rPr>
      </w:pPr>
    </w:p>
    <w:p w14:paraId="299BD333" w14:textId="77777777" w:rsidR="009B5010" w:rsidRDefault="007F04B8">
      <w:pPr>
        <w:numPr>
          <w:ilvl w:val="0"/>
          <w:numId w:val="1"/>
        </w:numPr>
        <w:spacing w:after="0" w:line="360" w:lineRule="auto"/>
        <w:rPr>
          <w:color w:val="000000"/>
        </w:rPr>
      </w:pPr>
      <w:r>
        <w:rPr>
          <w:color w:val="000000"/>
        </w:rPr>
        <w:t>El primero y segundo apellidos, así como al nombre de pila;</w:t>
      </w:r>
    </w:p>
    <w:p w14:paraId="5A022105" w14:textId="77777777" w:rsidR="009B5010" w:rsidRDefault="007F04B8">
      <w:pPr>
        <w:numPr>
          <w:ilvl w:val="0"/>
          <w:numId w:val="1"/>
        </w:numPr>
        <w:spacing w:after="0" w:line="360" w:lineRule="auto"/>
        <w:rPr>
          <w:color w:val="000000"/>
        </w:rPr>
      </w:pPr>
      <w:r>
        <w:rPr>
          <w:color w:val="000000"/>
        </w:rPr>
        <w:t>La fecha de nacimiento;</w:t>
      </w:r>
    </w:p>
    <w:p w14:paraId="1EB9A053" w14:textId="77777777" w:rsidR="009B5010" w:rsidRDefault="007F04B8">
      <w:pPr>
        <w:numPr>
          <w:ilvl w:val="0"/>
          <w:numId w:val="1"/>
        </w:numPr>
        <w:spacing w:after="0" w:line="360" w:lineRule="auto"/>
        <w:rPr>
          <w:color w:val="000000"/>
        </w:rPr>
      </w:pPr>
      <w:r>
        <w:rPr>
          <w:color w:val="000000"/>
        </w:rPr>
        <w:t>El sexo, y</w:t>
      </w:r>
    </w:p>
    <w:p w14:paraId="52484C05" w14:textId="77777777" w:rsidR="009B5010" w:rsidRDefault="007F04B8">
      <w:pPr>
        <w:numPr>
          <w:ilvl w:val="0"/>
          <w:numId w:val="1"/>
        </w:numPr>
        <w:spacing w:after="0" w:line="360" w:lineRule="auto"/>
        <w:rPr>
          <w:color w:val="000000"/>
        </w:rPr>
      </w:pPr>
      <w:r>
        <w:rPr>
          <w:color w:val="000000"/>
        </w:rPr>
        <w:t>La entidad federativa de nacimiento.</w:t>
      </w:r>
    </w:p>
    <w:p w14:paraId="3A993AAD" w14:textId="77777777" w:rsidR="009B5010" w:rsidRDefault="009B5010">
      <w:pPr>
        <w:spacing w:after="0" w:line="360" w:lineRule="auto"/>
        <w:rPr>
          <w:color w:val="000000"/>
        </w:rPr>
      </w:pPr>
    </w:p>
    <w:p w14:paraId="236CD70A" w14:textId="77777777" w:rsidR="009B5010" w:rsidRDefault="007F04B8">
      <w:pPr>
        <w:spacing w:after="0" w:line="360" w:lineRule="auto"/>
        <w:rPr>
          <w:color w:val="000000"/>
        </w:rPr>
      </w:pPr>
      <w:r>
        <w:rPr>
          <w:color w:val="000000"/>
        </w:rPr>
        <w:t>Los dos últimos elementos de la Clave Única de Registro de Población evitan la duplicidad de la Clave y garantizan su correcta integración.</w:t>
      </w:r>
    </w:p>
    <w:p w14:paraId="21826C75" w14:textId="77777777" w:rsidR="009B5010" w:rsidRDefault="009B5010">
      <w:pPr>
        <w:spacing w:after="0" w:line="360" w:lineRule="auto"/>
        <w:rPr>
          <w:color w:val="000000"/>
        </w:rPr>
      </w:pPr>
    </w:p>
    <w:p w14:paraId="23878578" w14:textId="77777777" w:rsidR="009B5010" w:rsidRDefault="007F04B8">
      <w:pPr>
        <w:spacing w:after="0" w:line="360" w:lineRule="auto"/>
        <w:rPr>
          <w:color w:val="000000"/>
        </w:rPr>
      </w:pPr>
      <w:r>
        <w:rPr>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21181294" w14:textId="77777777" w:rsidR="009B5010" w:rsidRDefault="009B5010">
      <w:pPr>
        <w:spacing w:after="0" w:line="360" w:lineRule="auto"/>
        <w:rPr>
          <w:color w:val="000000"/>
        </w:rPr>
      </w:pPr>
    </w:p>
    <w:p w14:paraId="338D8445" w14:textId="77777777" w:rsidR="009B5010" w:rsidRDefault="007F04B8">
      <w:pPr>
        <w:spacing w:after="0" w:line="360" w:lineRule="auto"/>
        <w:rPr>
          <w:color w:val="000000"/>
        </w:rPr>
      </w:pPr>
      <w:r>
        <w:rPr>
          <w:color w:val="000000"/>
        </w:rPr>
        <w:lastRenderedPageBreak/>
        <w:t>Situación que se robustece, con el Criterio Orientador, de la Segunda Época, con número de registro SO/018/2017, emitido por el entonces Instituto Nacional de Transparencia, Acceso a la Información y Protección de Datos Personales, vigente a la fecha de la solicitud, que establece lo siguiente:</w:t>
      </w:r>
    </w:p>
    <w:p w14:paraId="57181000" w14:textId="77777777" w:rsidR="009B5010" w:rsidRDefault="009B5010">
      <w:pPr>
        <w:spacing w:after="0" w:line="360" w:lineRule="auto"/>
        <w:ind w:left="567" w:right="567"/>
        <w:rPr>
          <w:color w:val="000000"/>
          <w:sz w:val="20"/>
          <w:szCs w:val="20"/>
        </w:rPr>
      </w:pPr>
    </w:p>
    <w:p w14:paraId="512AAE09" w14:textId="77777777" w:rsidR="009B5010" w:rsidRDefault="007F04B8">
      <w:pPr>
        <w:spacing w:after="0" w:line="360" w:lineRule="auto"/>
        <w:ind w:left="567" w:right="567"/>
        <w:rPr>
          <w:i/>
          <w:color w:val="000000"/>
          <w:sz w:val="20"/>
          <w:szCs w:val="20"/>
        </w:rPr>
      </w:pPr>
      <w:r>
        <w:rPr>
          <w:b/>
          <w:i/>
          <w:color w:val="000000"/>
          <w:sz w:val="20"/>
          <w:szCs w:val="20"/>
        </w:rPr>
        <w:t xml:space="preserve">“Clave Única de Registro de Población (CURP). </w:t>
      </w:r>
      <w:r>
        <w:rPr>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D636788" w14:textId="77777777" w:rsidR="009B5010" w:rsidRDefault="009B5010">
      <w:pPr>
        <w:spacing w:after="0" w:line="360" w:lineRule="auto"/>
        <w:rPr>
          <w:color w:val="000000"/>
        </w:rPr>
      </w:pPr>
    </w:p>
    <w:p w14:paraId="1987CB90" w14:textId="77777777" w:rsidR="009B5010" w:rsidRDefault="007F04B8">
      <w:pPr>
        <w:spacing w:after="0" w:line="360" w:lineRule="auto"/>
        <w:rPr>
          <w:color w:val="000000"/>
        </w:rPr>
      </w:pPr>
      <w:r>
        <w:rPr>
          <w:color w:val="000000"/>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0999103C" w14:textId="77777777" w:rsidR="009B5010" w:rsidRDefault="009B5010">
      <w:pPr>
        <w:spacing w:after="0" w:line="360" w:lineRule="auto"/>
        <w:rPr>
          <w:color w:val="000000"/>
        </w:rPr>
      </w:pPr>
    </w:p>
    <w:p w14:paraId="501074C2" w14:textId="77777777" w:rsidR="009B5010" w:rsidRDefault="007F04B8">
      <w:pPr>
        <w:numPr>
          <w:ilvl w:val="0"/>
          <w:numId w:val="13"/>
        </w:numPr>
        <w:spacing w:after="0" w:line="360" w:lineRule="auto"/>
        <w:rPr>
          <w:b/>
          <w:color w:val="000000"/>
        </w:rPr>
      </w:pPr>
      <w:r>
        <w:rPr>
          <w:b/>
          <w:color w:val="000000"/>
        </w:rPr>
        <w:t>Registro Federal de Contribuyentes (RFC)</w:t>
      </w:r>
    </w:p>
    <w:p w14:paraId="225C21B3" w14:textId="77777777" w:rsidR="009B5010" w:rsidRDefault="009B5010">
      <w:pPr>
        <w:spacing w:after="0" w:line="360" w:lineRule="auto"/>
        <w:rPr>
          <w:color w:val="000000"/>
        </w:rPr>
      </w:pPr>
    </w:p>
    <w:p w14:paraId="4385A718" w14:textId="77777777" w:rsidR="009B5010" w:rsidRDefault="007F04B8">
      <w:pPr>
        <w:spacing w:after="0" w:line="360" w:lineRule="auto"/>
        <w:rPr>
          <w:color w:val="000000"/>
        </w:rPr>
      </w:pPr>
      <w:r>
        <w:rPr>
          <w:color w:val="000000"/>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7968201A" w14:textId="77777777" w:rsidR="009B5010" w:rsidRDefault="009B5010">
      <w:pPr>
        <w:spacing w:after="0" w:line="360" w:lineRule="auto"/>
        <w:rPr>
          <w:color w:val="000000"/>
        </w:rPr>
      </w:pPr>
    </w:p>
    <w:p w14:paraId="2AA4843A" w14:textId="77777777" w:rsidR="009B5010" w:rsidRDefault="007F04B8">
      <w:pPr>
        <w:spacing w:after="0" w:line="360" w:lineRule="auto"/>
        <w:rPr>
          <w:color w:val="000000"/>
        </w:rPr>
      </w:pPr>
      <w:r>
        <w:rPr>
          <w:color w:val="000000"/>
        </w:rPr>
        <w:lastRenderedPageBreak/>
        <w:t xml:space="preserve">De acuerdo a lo establecido en el artículo en comento, esta clave se compone de trece caracteres alfanuméricos, con datos obtenidos de los apellidos, nombre(s), fecha de nacimiento del titular, más una </w:t>
      </w:r>
      <w:proofErr w:type="spellStart"/>
      <w:r>
        <w:rPr>
          <w:color w:val="000000"/>
        </w:rPr>
        <w:t>homoclave</w:t>
      </w:r>
      <w:proofErr w:type="spellEnd"/>
      <w:r>
        <w:rPr>
          <w:color w:val="000000"/>
        </w:rPr>
        <w:t xml:space="preserve"> que establece el sistema automático del Servicio de Administración Tributaria.</w:t>
      </w:r>
    </w:p>
    <w:p w14:paraId="04716570" w14:textId="77777777" w:rsidR="009B5010" w:rsidRDefault="009B5010">
      <w:pPr>
        <w:spacing w:after="0" w:line="360" w:lineRule="auto"/>
        <w:rPr>
          <w:color w:val="000000"/>
        </w:rPr>
      </w:pPr>
    </w:p>
    <w:p w14:paraId="0D4D2E4A" w14:textId="77777777" w:rsidR="009B5010" w:rsidRDefault="007F04B8">
      <w:pPr>
        <w:spacing w:after="0" w:line="360" w:lineRule="auto"/>
        <w:rPr>
          <w:color w:val="000000"/>
        </w:rPr>
      </w:pPr>
      <w:r>
        <w:rPr>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64F593FD" w14:textId="77777777" w:rsidR="009B5010" w:rsidRDefault="009B5010">
      <w:pPr>
        <w:spacing w:after="0" w:line="360" w:lineRule="auto"/>
        <w:rPr>
          <w:color w:val="000000"/>
        </w:rPr>
      </w:pPr>
    </w:p>
    <w:p w14:paraId="3C3B3936" w14:textId="77777777" w:rsidR="009B5010" w:rsidRDefault="007F04B8">
      <w:pPr>
        <w:spacing w:after="0" w:line="360" w:lineRule="auto"/>
        <w:rPr>
          <w:color w:val="000000"/>
        </w:rPr>
      </w:pPr>
      <w:r>
        <w:rPr>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470EA076" w14:textId="77777777" w:rsidR="009B5010" w:rsidRDefault="009B5010">
      <w:pPr>
        <w:spacing w:after="0" w:line="360" w:lineRule="auto"/>
        <w:rPr>
          <w:color w:val="000000"/>
        </w:rPr>
      </w:pPr>
    </w:p>
    <w:p w14:paraId="172EB286" w14:textId="77777777" w:rsidR="009B5010" w:rsidRDefault="007F04B8">
      <w:pPr>
        <w:spacing w:after="0" w:line="360" w:lineRule="auto"/>
        <w:rPr>
          <w:color w:val="000000"/>
        </w:rPr>
      </w:pPr>
      <w:r>
        <w:rPr>
          <w:color w:val="000000"/>
        </w:rPr>
        <w:t>Lo anterior, resulta congruente con el Criterio Orientador, de la Segunda Época, con número de registro SO/019/2017, emitido por el entonces Instituto Nacional de Transparencia, Acceso a la Información y Protección de Datos Personales, vigente a la fecha de la solicitud, en el cual se señala lo siguiente:</w:t>
      </w:r>
    </w:p>
    <w:p w14:paraId="7583887B" w14:textId="77777777" w:rsidR="009B5010" w:rsidRDefault="009B5010">
      <w:pPr>
        <w:spacing w:after="0" w:line="360" w:lineRule="auto"/>
        <w:rPr>
          <w:color w:val="000000"/>
        </w:rPr>
      </w:pPr>
    </w:p>
    <w:p w14:paraId="5217D3AA" w14:textId="77777777" w:rsidR="009B5010" w:rsidRDefault="007F04B8">
      <w:pPr>
        <w:spacing w:after="0" w:line="360" w:lineRule="auto"/>
        <w:ind w:left="567" w:right="567"/>
        <w:rPr>
          <w:i/>
          <w:color w:val="000000"/>
          <w:sz w:val="20"/>
          <w:szCs w:val="20"/>
        </w:rPr>
      </w:pPr>
      <w:r>
        <w:rPr>
          <w:b/>
          <w:i/>
          <w:color w:val="000000"/>
          <w:sz w:val="20"/>
          <w:szCs w:val="20"/>
        </w:rPr>
        <w:t>“Registro Federal de Contribuyentes (RFC) de personas físicas.</w:t>
      </w:r>
      <w:r>
        <w:rPr>
          <w:i/>
          <w:color w:val="000000"/>
          <w:sz w:val="20"/>
          <w:szCs w:val="20"/>
        </w:rPr>
        <w:t xml:space="preserve"> El RFC es una clave de carácter fiscal, única e irrepetible, que permite identificar al titular, su edad y fecha de nacimiento, por lo que es un dato personal de carácter confidencial.”</w:t>
      </w:r>
    </w:p>
    <w:p w14:paraId="771FF9B2" w14:textId="77777777" w:rsidR="009B5010" w:rsidRDefault="007F04B8">
      <w:pPr>
        <w:spacing w:after="0" w:line="360" w:lineRule="auto"/>
        <w:rPr>
          <w:color w:val="000000"/>
        </w:rPr>
      </w:pPr>
      <w:r>
        <w:rPr>
          <w:color w:val="000000"/>
        </w:rPr>
        <w:lastRenderedPageBreak/>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20BB12CF" w14:textId="77777777" w:rsidR="009B5010" w:rsidRDefault="009B5010">
      <w:pPr>
        <w:spacing w:after="0" w:line="360" w:lineRule="auto"/>
        <w:rPr>
          <w:color w:val="000000"/>
        </w:rPr>
      </w:pPr>
    </w:p>
    <w:p w14:paraId="43CD4D77" w14:textId="77777777" w:rsidR="009B5010" w:rsidRDefault="007F04B8">
      <w:pPr>
        <w:numPr>
          <w:ilvl w:val="0"/>
          <w:numId w:val="2"/>
        </w:numPr>
        <w:spacing w:after="0" w:line="360" w:lineRule="auto"/>
        <w:jc w:val="left"/>
        <w:rPr>
          <w:b/>
        </w:rPr>
      </w:pPr>
      <w:r>
        <w:rPr>
          <w:b/>
        </w:rPr>
        <w:t xml:space="preserve">Código bidimensional o </w:t>
      </w:r>
      <w:proofErr w:type="spellStart"/>
      <w:r>
        <w:rPr>
          <w:b/>
        </w:rPr>
        <w:t>Qr</w:t>
      </w:r>
      <w:proofErr w:type="spellEnd"/>
    </w:p>
    <w:p w14:paraId="3621A5E6" w14:textId="77777777" w:rsidR="009B5010" w:rsidRDefault="009B5010">
      <w:pPr>
        <w:spacing w:after="0" w:line="360" w:lineRule="auto"/>
        <w:rPr>
          <w:b/>
        </w:rPr>
      </w:pPr>
    </w:p>
    <w:p w14:paraId="43E62FF6" w14:textId="77777777" w:rsidR="009B5010" w:rsidRDefault="007F04B8">
      <w:pPr>
        <w:spacing w:after="0" w:line="360" w:lineRule="auto"/>
      </w:pPr>
      <w:r>
        <w:t xml:space="preserve">En principio, resulta necesario señalar que los comprobantes fiscales digitales por Internet, deben de incluir un código bidimensional conforme al formato </w:t>
      </w:r>
      <w:r>
        <w:rPr>
          <w:i/>
        </w:rPr>
        <w:t xml:space="preserve">QR </w:t>
      </w:r>
      <w:proofErr w:type="spellStart"/>
      <w:r>
        <w:rPr>
          <w:i/>
        </w:rPr>
        <w:t>Code</w:t>
      </w:r>
      <w:proofErr w:type="spellEnd"/>
      <w:r>
        <w:rPr>
          <w:i/>
        </w:rPr>
        <w:t xml:space="preserve"> (Quick Response </w:t>
      </w:r>
      <w:proofErr w:type="spellStart"/>
      <w:r>
        <w:rPr>
          <w:i/>
        </w:rPr>
        <w:t>Code</w:t>
      </w:r>
      <w:proofErr w:type="spellEnd"/>
      <w:r>
        <w:rPr>
          <w:i/>
        </w:rPr>
        <w:t>)</w:t>
      </w:r>
      <w: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3">
        <w:r>
          <w:rPr>
            <w:color w:val="0563C1"/>
            <w:u w:val="single"/>
          </w:rPr>
          <w:t>http://dof.gob.mx/nota_detalle.php?codigo=5492254&amp;fecha=28/07/2017</w:t>
        </w:r>
      </w:hyperlink>
      <w:r>
        <w:t>. Incluso con la captura de dicho código, a través de la aplicación móvil del Servicio de Administración Tributaria, permite el acceso al Registro Federal de Contribuyentes, como del Sujeto Obligado, como de los servidores públicos.</w:t>
      </w:r>
    </w:p>
    <w:p w14:paraId="70CACE2D" w14:textId="77777777" w:rsidR="009B5010" w:rsidRDefault="009B5010">
      <w:pPr>
        <w:spacing w:after="0" w:line="360" w:lineRule="auto"/>
      </w:pPr>
    </w:p>
    <w:p w14:paraId="2F547E13" w14:textId="77777777" w:rsidR="009B5010" w:rsidRDefault="007F04B8">
      <w:pPr>
        <w:spacing w:after="0" w:line="360" w:lineRule="auto"/>
      </w:pPr>
      <w: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57755DC4" w14:textId="77777777" w:rsidR="009B5010" w:rsidRDefault="009B5010">
      <w:pPr>
        <w:spacing w:after="0" w:line="360" w:lineRule="auto"/>
        <w:rPr>
          <w:color w:val="000000"/>
        </w:rPr>
      </w:pPr>
    </w:p>
    <w:p w14:paraId="4C9B1141" w14:textId="77777777" w:rsidR="009B5010" w:rsidRDefault="007F04B8">
      <w:pPr>
        <w:numPr>
          <w:ilvl w:val="0"/>
          <w:numId w:val="13"/>
        </w:numPr>
        <w:spacing w:after="0" w:line="360" w:lineRule="auto"/>
        <w:rPr>
          <w:b/>
          <w:color w:val="000000"/>
        </w:rPr>
      </w:pPr>
      <w:r>
        <w:rPr>
          <w:b/>
          <w:color w:val="000000"/>
        </w:rPr>
        <w:t>Número de seguridad social del Instituto de Seguridad Social del Estado de México y Municipios</w:t>
      </w:r>
    </w:p>
    <w:p w14:paraId="73F1B769" w14:textId="77777777" w:rsidR="009B5010" w:rsidRDefault="009B5010">
      <w:pPr>
        <w:spacing w:after="0" w:line="360" w:lineRule="auto"/>
        <w:rPr>
          <w:b/>
          <w:color w:val="000000"/>
        </w:rPr>
      </w:pPr>
    </w:p>
    <w:p w14:paraId="1B163E51" w14:textId="77777777" w:rsidR="009B5010" w:rsidRDefault="007F04B8">
      <w:pPr>
        <w:spacing w:after="0" w:line="360" w:lineRule="auto"/>
        <w:rPr>
          <w:color w:val="000000"/>
        </w:rPr>
      </w:pPr>
      <w:r>
        <w:rPr>
          <w:color w:val="000000"/>
        </w:rPr>
        <w:lastRenderedPageBreak/>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3F6176FA" w14:textId="77777777" w:rsidR="009B5010" w:rsidRDefault="009B5010">
      <w:pPr>
        <w:spacing w:after="0" w:line="360" w:lineRule="auto"/>
        <w:rPr>
          <w:color w:val="000000"/>
        </w:rPr>
      </w:pPr>
    </w:p>
    <w:p w14:paraId="191E2E96" w14:textId="77777777" w:rsidR="009B5010" w:rsidRDefault="007F04B8">
      <w:pPr>
        <w:spacing w:after="0" w:line="360" w:lineRule="auto"/>
        <w:rPr>
          <w:color w:val="000000"/>
        </w:rPr>
      </w:pPr>
      <w:r>
        <w:rPr>
          <w:color w:val="000000"/>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35EDFB32" w14:textId="77777777" w:rsidR="009B5010" w:rsidRDefault="009B5010">
      <w:pPr>
        <w:spacing w:after="0" w:line="360" w:lineRule="auto"/>
        <w:rPr>
          <w:color w:val="000000"/>
        </w:rPr>
      </w:pPr>
    </w:p>
    <w:p w14:paraId="05CA8AAE" w14:textId="77777777" w:rsidR="009B5010" w:rsidRDefault="007F04B8">
      <w:pPr>
        <w:spacing w:after="0" w:line="360" w:lineRule="auto"/>
        <w:rPr>
          <w:color w:val="000000"/>
        </w:rPr>
      </w:pPr>
      <w:r>
        <w:rPr>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4636DCB3" w14:textId="77777777" w:rsidR="009B5010" w:rsidRDefault="009B5010">
      <w:pPr>
        <w:spacing w:after="0" w:line="360" w:lineRule="auto"/>
        <w:rPr>
          <w:color w:val="000000"/>
        </w:rPr>
      </w:pPr>
    </w:p>
    <w:p w14:paraId="41BD8E4D" w14:textId="77777777" w:rsidR="009B5010" w:rsidRDefault="007F04B8">
      <w:pPr>
        <w:spacing w:after="0" w:line="360" w:lineRule="auto"/>
        <w:rPr>
          <w:color w:val="000000"/>
        </w:rPr>
      </w:pPr>
      <w:r>
        <w:rPr>
          <w:color w:val="000000"/>
        </w:rPr>
        <w:t xml:space="preserve">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w:t>
      </w:r>
      <w:r>
        <w:rPr>
          <w:color w:val="000000"/>
        </w:rPr>
        <w:lastRenderedPageBreak/>
        <w:t>es un dato personal confidencial, que actualiza el supuesto de confidencialidad, establecido en el artículo 143, fracción I, de la Ley de Transparencia y Acceso a la Información Pública del Estado de México y Municipios.</w:t>
      </w:r>
    </w:p>
    <w:p w14:paraId="2009008F" w14:textId="77777777" w:rsidR="009B5010" w:rsidRDefault="009B5010">
      <w:pPr>
        <w:spacing w:after="0" w:line="360" w:lineRule="auto"/>
        <w:rPr>
          <w:color w:val="000000"/>
        </w:rPr>
      </w:pPr>
    </w:p>
    <w:p w14:paraId="14672699" w14:textId="77777777" w:rsidR="009B5010" w:rsidRDefault="007F04B8">
      <w:pPr>
        <w:numPr>
          <w:ilvl w:val="0"/>
          <w:numId w:val="9"/>
        </w:numPr>
        <w:spacing w:after="0" w:line="360" w:lineRule="auto"/>
        <w:rPr>
          <w:b/>
        </w:rPr>
      </w:pPr>
      <w:r>
        <w:rPr>
          <w:b/>
        </w:rPr>
        <w:t xml:space="preserve">Deducciones por Ley </w:t>
      </w:r>
    </w:p>
    <w:p w14:paraId="54407B58" w14:textId="77777777" w:rsidR="009B5010" w:rsidRDefault="009B5010">
      <w:pPr>
        <w:spacing w:after="0" w:line="360" w:lineRule="auto"/>
        <w:ind w:left="720"/>
        <w:rPr>
          <w:b/>
        </w:rPr>
      </w:pPr>
    </w:p>
    <w:p w14:paraId="48C8CEE9" w14:textId="77777777" w:rsidR="009B5010" w:rsidRDefault="007F04B8">
      <w:pPr>
        <w:spacing w:after="0" w:line="360" w:lineRule="auto"/>
      </w:pPr>
      <w:r>
        <w:t xml:space="preserve"> Sobre dichos datos, el artículo 84 de la Ley del Trabajo de los Servidores Públicos del Estado de México y Municipios, establece que a los trabajadores gubernamentales se les podrán aplicar diversos descuentos o deducciones, entre las cuales, se encuentran los gravámenes fiscales relacionados con el sueldo (ISR o ISPT), descuentos ordenados por el Instituto de Seguridad Social del Estado de México y Municipios, con motivo de las cuotas para acceder a los servicios de salud y descuentos por faltas de puntualidad o de asistencias justificadas (días no laborados).</w:t>
      </w:r>
    </w:p>
    <w:p w14:paraId="5AB6A8B8" w14:textId="77777777" w:rsidR="009B5010" w:rsidRDefault="009B5010">
      <w:pPr>
        <w:spacing w:after="0" w:line="360" w:lineRule="auto"/>
      </w:pPr>
    </w:p>
    <w:p w14:paraId="2C738026" w14:textId="77777777" w:rsidR="009B5010" w:rsidRDefault="007F04B8">
      <w:pPr>
        <w:spacing w:after="0" w:line="360" w:lineRule="auto"/>
        <w:rPr>
          <w:color w:val="000000"/>
        </w:rPr>
      </w:pPr>
      <w:r>
        <w:t>Conforme a lo anterior dichas deducciones, suelen ser obligatorias y dan cuenta, de que el Sujeto Obligado cumple con sus responsabilidades como patrón, relacionadas con la retención de parte del ingreso de sus trabajadores, para cubrir las deducciones genéricas y obligatorias.</w:t>
      </w:r>
    </w:p>
    <w:p w14:paraId="6607FB75" w14:textId="77777777" w:rsidR="009B5010" w:rsidRDefault="009B5010">
      <w:pPr>
        <w:spacing w:after="0" w:line="360" w:lineRule="auto"/>
      </w:pPr>
    </w:p>
    <w:p w14:paraId="5B46A68C" w14:textId="77777777" w:rsidR="009B5010" w:rsidRDefault="007F04B8">
      <w:pPr>
        <w:spacing w:after="0" w:line="360" w:lineRule="auto"/>
      </w:pPr>
      <w:r>
        <w:t xml:space="preserve">Como se logra observar, dichas deducciones, son las retenciones que realizan las dependencias y entidades, de manera obligatoria por estar establecidas en diversas leyes, como la Ley del Impuesto sobre la Renta y la Ley de Seguridad Social para los Servidores Públicos del Estado de México y Municipios (gravámenes fiscales), o bien, la Ley del Trabajo de Servidores Públicos del Estado de México y Municipios (descuentos por faltas o inasistencias). </w:t>
      </w:r>
    </w:p>
    <w:p w14:paraId="40702A0B" w14:textId="77777777" w:rsidR="009B5010" w:rsidRDefault="009B5010">
      <w:pPr>
        <w:spacing w:after="0" w:line="360" w:lineRule="auto"/>
      </w:pPr>
    </w:p>
    <w:p w14:paraId="2A09B207" w14:textId="22023FF3" w:rsidR="009B5010" w:rsidRDefault="007F04B8">
      <w:pPr>
        <w:spacing w:after="0" w:line="360" w:lineRule="auto"/>
      </w:pPr>
      <w:r>
        <w:t xml:space="preserve">Por tal circunstancia y toda vez, que las deducciones por Ley, son de carácter obligatorio y ayuda a rendir cuentas, de que el Ayuntamiento de </w:t>
      </w:r>
      <w:r w:rsidR="007F6C47">
        <w:t xml:space="preserve">San Martín de las Pirámides </w:t>
      </w:r>
      <w:r>
        <w:t xml:space="preserve">cumple con sus funciones de patrón, al retener determinado monto del sueldo de los servidores públicos, es que </w:t>
      </w:r>
      <w:r>
        <w:lastRenderedPageBreak/>
        <w:t xml:space="preserve">se considera que son de naturaleza pública y, por lo tanto, no procede su clasificación en términos del artículo 143, fracción I, de la Ley de Transparencia y Acceso a la Información Pública del Estado de México y Municipios, por lo que, deberá dejar visible el monto y concepto de las mismas. </w:t>
      </w:r>
      <w:r>
        <w:rPr>
          <w:color w:val="000000"/>
        </w:rPr>
        <w:t>Cabe señalar que dicho dato es accesible.</w:t>
      </w:r>
    </w:p>
    <w:p w14:paraId="50FF7BB3" w14:textId="77777777" w:rsidR="009B5010" w:rsidRDefault="009B5010">
      <w:pPr>
        <w:spacing w:after="0" w:line="360" w:lineRule="auto"/>
        <w:rPr>
          <w:color w:val="000000"/>
        </w:rPr>
      </w:pPr>
    </w:p>
    <w:p w14:paraId="743974F7" w14:textId="77777777" w:rsidR="009B5010" w:rsidRDefault="007F04B8">
      <w:pPr>
        <w:numPr>
          <w:ilvl w:val="0"/>
          <w:numId w:val="9"/>
        </w:numPr>
        <w:spacing w:after="0" w:line="360" w:lineRule="auto"/>
        <w:jc w:val="left"/>
        <w:rPr>
          <w:b/>
          <w:color w:val="000000"/>
        </w:rPr>
      </w:pPr>
      <w:r>
        <w:rPr>
          <w:b/>
          <w:color w:val="000000"/>
        </w:rPr>
        <w:t>Deducciones personales</w:t>
      </w:r>
    </w:p>
    <w:p w14:paraId="5B4919FF" w14:textId="77777777" w:rsidR="009B5010" w:rsidRDefault="009B5010">
      <w:pPr>
        <w:spacing w:after="0" w:line="360" w:lineRule="auto"/>
        <w:ind w:left="720"/>
        <w:rPr>
          <w:b/>
          <w:color w:val="000000"/>
        </w:rPr>
      </w:pPr>
    </w:p>
    <w:p w14:paraId="1E7725A1" w14:textId="77777777" w:rsidR="009B5010" w:rsidRDefault="007F04B8">
      <w:pPr>
        <w:spacing w:after="0" w:line="360" w:lineRule="auto"/>
        <w:rPr>
          <w:color w:val="000000"/>
        </w:rPr>
      </w:pPr>
      <w:r>
        <w:rPr>
          <w:color w:val="000000"/>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5BEB4ABB" w14:textId="77777777" w:rsidR="009B5010" w:rsidRDefault="009B5010">
      <w:pPr>
        <w:spacing w:after="0" w:line="360" w:lineRule="auto"/>
        <w:rPr>
          <w:color w:val="000000"/>
        </w:rPr>
      </w:pPr>
    </w:p>
    <w:p w14:paraId="6C9EDF71" w14:textId="77777777" w:rsidR="009B5010" w:rsidRDefault="007F04B8">
      <w:pPr>
        <w:spacing w:after="0" w:line="360" w:lineRule="auto"/>
        <w:rPr>
          <w:color w:val="000000"/>
        </w:rPr>
      </w:pPr>
      <w:r>
        <w:rPr>
          <w:color w:val="000000"/>
        </w:rPr>
        <w:t xml:space="preserve">Asimismo, hay otras que se generan con motivo de una sentencia judicial, como es la pensión alimenticia que periódicamente se retira de la cuenta de un empleado, a efecto de que sea entregado a un tercero.  </w:t>
      </w:r>
    </w:p>
    <w:p w14:paraId="25EEE764" w14:textId="77777777" w:rsidR="009B5010" w:rsidRDefault="009B5010">
      <w:pPr>
        <w:spacing w:after="0" w:line="360" w:lineRule="auto"/>
        <w:rPr>
          <w:color w:val="000000"/>
        </w:rPr>
      </w:pPr>
    </w:p>
    <w:p w14:paraId="592FAC30" w14:textId="77777777" w:rsidR="009B5010" w:rsidRDefault="007F04B8">
      <w:pPr>
        <w:spacing w:after="0" w:line="360" w:lineRule="auto"/>
        <w:rPr>
          <w:color w:val="000000"/>
        </w:rPr>
      </w:pPr>
      <w:r>
        <w:rPr>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14ED8482" w14:textId="77777777" w:rsidR="009B5010" w:rsidRDefault="009B5010">
      <w:pPr>
        <w:spacing w:after="0" w:line="360" w:lineRule="auto"/>
        <w:rPr>
          <w:color w:val="000000"/>
        </w:rPr>
      </w:pPr>
    </w:p>
    <w:p w14:paraId="7701253F" w14:textId="77777777" w:rsidR="009B5010" w:rsidRDefault="007F04B8">
      <w:pPr>
        <w:spacing w:after="0" w:line="360" w:lineRule="auto"/>
        <w:rPr>
          <w:b/>
          <w:color w:val="000000"/>
        </w:rPr>
      </w:pPr>
      <w:r>
        <w:rPr>
          <w:color w:val="000000"/>
        </w:rPr>
        <w:t>Así, dichas deducciones reflejan el destino que un servidor público da a su patrimonio y, por lo tanto, resulta procedente clasificar el monto y concepto de las deducciones personales, en términos del artículo 143, fracción I, de la Ley de Transparencia y Acceso a la Información Pública del Estado de México y Municipios. Cabe señalar que dicho dato es accesible.</w:t>
      </w:r>
    </w:p>
    <w:p w14:paraId="01FEE0AB" w14:textId="77777777" w:rsidR="009B5010" w:rsidRDefault="007F04B8">
      <w:pPr>
        <w:numPr>
          <w:ilvl w:val="0"/>
          <w:numId w:val="2"/>
        </w:numPr>
        <w:spacing w:after="0" w:line="360" w:lineRule="auto"/>
      </w:pPr>
      <w:r>
        <w:rPr>
          <w:b/>
        </w:rPr>
        <w:lastRenderedPageBreak/>
        <w:t>Sellos digitales del emisor y del Servicio de Administración Tributaria y cadena original del complemento de certificación digital del órgano previamente señalado; así como el folio fiscal.</w:t>
      </w:r>
    </w:p>
    <w:p w14:paraId="29FDC07C" w14:textId="77777777" w:rsidR="009B5010" w:rsidRDefault="009B5010">
      <w:pPr>
        <w:spacing w:after="0" w:line="360" w:lineRule="auto"/>
        <w:ind w:left="720"/>
      </w:pPr>
    </w:p>
    <w:p w14:paraId="06CE3004" w14:textId="77777777" w:rsidR="009B5010" w:rsidRDefault="007F04B8">
      <w:pPr>
        <w:spacing w:after="0" w:line="360" w:lineRule="auto"/>
      </w:pPr>
      <w: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2F14C133" w14:textId="77777777" w:rsidR="009B5010" w:rsidRDefault="009B5010">
      <w:pPr>
        <w:spacing w:after="0" w:line="360" w:lineRule="auto"/>
      </w:pPr>
    </w:p>
    <w:p w14:paraId="4A44A0C3" w14:textId="77777777" w:rsidR="009B5010" w:rsidRDefault="007F04B8">
      <w:pPr>
        <w:spacing w:after="0" w:line="360" w:lineRule="auto"/>
      </w:pPr>
      <w:r>
        <w:t>Las cadenas originales y sellos que se agregan a las facturas</w:t>
      </w:r>
      <w:r>
        <w:rPr>
          <w:b/>
        </w:rPr>
        <w:t>,</w:t>
      </w:r>
      <w:r>
        <w:t xml:space="preserve"> tienen una secuencia de generación, determinados con base en el ANEXO 20 de la Segunda Resolución de modificaciones a la Resolución Miscelánea Fiscal para dos mil veintitrés, publicada en el Diario Oficial de la Federación el dieciocho de julio de dos mil diecisiete, que precisa los datos de los que se componen los elementos de seguridad y se puntualiza que dicha información está encriptada.</w:t>
      </w:r>
    </w:p>
    <w:p w14:paraId="45D82D82" w14:textId="77777777" w:rsidR="009B5010" w:rsidRDefault="007F04B8">
      <w:pPr>
        <w:spacing w:after="0" w:line="360" w:lineRule="auto"/>
      </w:pPr>
      <w:r>
        <w:t> </w:t>
      </w:r>
    </w:p>
    <w:p w14:paraId="1156B7CF" w14:textId="77777777" w:rsidR="009B5010" w:rsidRDefault="007F04B8">
      <w:pPr>
        <w:spacing w:after="0" w:line="360" w:lineRule="auto"/>
        <w:ind w:left="567" w:right="539"/>
        <w:rPr>
          <w:i/>
          <w:sz w:val="20"/>
          <w:szCs w:val="20"/>
        </w:rPr>
      </w:pPr>
      <w:r>
        <w:rPr>
          <w:i/>
          <w:sz w:val="20"/>
          <w:szCs w:val="20"/>
        </w:rPr>
        <w:t>“…</w:t>
      </w:r>
    </w:p>
    <w:p w14:paraId="46D64309" w14:textId="77777777" w:rsidR="009B5010" w:rsidRDefault="007F04B8">
      <w:pPr>
        <w:spacing w:after="0" w:line="360" w:lineRule="auto"/>
        <w:ind w:left="567" w:right="539"/>
        <w:rPr>
          <w:i/>
          <w:sz w:val="20"/>
          <w:szCs w:val="20"/>
        </w:rPr>
      </w:pPr>
      <w:r>
        <w:rPr>
          <w:i/>
          <w:sz w:val="20"/>
          <w:szCs w:val="20"/>
        </w:rPr>
        <w:t>Elementos utilizados en la generación de Sellos Digitales:</w:t>
      </w:r>
    </w:p>
    <w:p w14:paraId="24D68B02" w14:textId="77777777" w:rsidR="009B5010" w:rsidRDefault="007F04B8">
      <w:pPr>
        <w:spacing w:after="0" w:line="360" w:lineRule="auto"/>
        <w:ind w:left="567" w:right="539"/>
        <w:rPr>
          <w:i/>
          <w:sz w:val="20"/>
          <w:szCs w:val="20"/>
        </w:rPr>
      </w:pPr>
      <w:r>
        <w:rPr>
          <w:i/>
          <w:sz w:val="20"/>
          <w:szCs w:val="20"/>
        </w:rPr>
        <w:t>•</w:t>
      </w:r>
      <w:r>
        <w:rPr>
          <w:i/>
          <w:sz w:val="20"/>
          <w:szCs w:val="20"/>
        </w:rPr>
        <w:tab/>
        <w:t>Cadena Original, el elemento a sellar, en este caso de un comprobante fiscal digital a través de Internet.</w:t>
      </w:r>
    </w:p>
    <w:p w14:paraId="559FA44A" w14:textId="77777777" w:rsidR="009B5010" w:rsidRDefault="007F04B8">
      <w:pPr>
        <w:spacing w:after="0" w:line="360" w:lineRule="auto"/>
        <w:ind w:left="567" w:right="539"/>
        <w:rPr>
          <w:i/>
          <w:sz w:val="20"/>
          <w:szCs w:val="20"/>
        </w:rPr>
      </w:pPr>
      <w:r>
        <w:rPr>
          <w:i/>
          <w:sz w:val="20"/>
          <w:szCs w:val="20"/>
        </w:rPr>
        <w:lastRenderedPageBreak/>
        <w:t>•</w:t>
      </w:r>
      <w:r>
        <w:rPr>
          <w:i/>
          <w:sz w:val="20"/>
          <w:szCs w:val="20"/>
        </w:rPr>
        <w:tab/>
        <w:t>Certificado de Sello Digital y su correspondiente clave privada.</w:t>
      </w:r>
    </w:p>
    <w:p w14:paraId="686E9F8B" w14:textId="77777777" w:rsidR="009B5010" w:rsidRDefault="007F04B8">
      <w:pPr>
        <w:spacing w:after="0" w:line="360" w:lineRule="auto"/>
        <w:ind w:left="567" w:right="539"/>
        <w:rPr>
          <w:i/>
          <w:sz w:val="20"/>
          <w:szCs w:val="20"/>
        </w:rPr>
      </w:pPr>
      <w:r>
        <w:rPr>
          <w:i/>
          <w:sz w:val="20"/>
          <w:szCs w:val="20"/>
        </w:rPr>
        <w:t>•</w:t>
      </w:r>
      <w:r>
        <w:rPr>
          <w:i/>
          <w:sz w:val="20"/>
          <w:szCs w:val="20"/>
        </w:rPr>
        <w:tab/>
        <w:t>Algoritmos de criptografía de clave pública para firma electrónica avanzada.</w:t>
      </w:r>
    </w:p>
    <w:p w14:paraId="76EB9094" w14:textId="77777777" w:rsidR="009B5010" w:rsidRDefault="007F04B8">
      <w:pPr>
        <w:spacing w:after="0" w:line="360" w:lineRule="auto"/>
        <w:ind w:left="567" w:right="539"/>
        <w:rPr>
          <w:i/>
          <w:sz w:val="20"/>
          <w:szCs w:val="20"/>
        </w:rPr>
      </w:pPr>
      <w:r>
        <w:rPr>
          <w:i/>
          <w:sz w:val="20"/>
          <w:szCs w:val="20"/>
        </w:rPr>
        <w:t>•</w:t>
      </w:r>
      <w:r>
        <w:rPr>
          <w:i/>
          <w:sz w:val="20"/>
          <w:szCs w:val="20"/>
        </w:rPr>
        <w:tab/>
        <w:t>Especificaciones de conversión de la firma electrónica avanzada a Base 64.</w:t>
      </w:r>
    </w:p>
    <w:p w14:paraId="46166BFC" w14:textId="77777777" w:rsidR="009B5010" w:rsidRDefault="007F04B8">
      <w:pPr>
        <w:spacing w:after="0" w:line="360" w:lineRule="auto"/>
        <w:ind w:left="567" w:right="539"/>
        <w:rPr>
          <w:i/>
          <w:sz w:val="20"/>
          <w:szCs w:val="20"/>
        </w:rPr>
      </w:pPr>
      <w:r>
        <w:rPr>
          <w:i/>
          <w:sz w:val="20"/>
          <w:szCs w:val="20"/>
        </w:rPr>
        <w:t>Para la generación de sellos digitales se utiliza criptografía de clave pública aplicada a una cadena original.</w:t>
      </w:r>
    </w:p>
    <w:p w14:paraId="653983E0" w14:textId="77777777" w:rsidR="009B5010" w:rsidRDefault="007F04B8">
      <w:pPr>
        <w:spacing w:after="0" w:line="360" w:lineRule="auto"/>
        <w:ind w:left="567" w:right="539"/>
        <w:rPr>
          <w:i/>
          <w:sz w:val="20"/>
          <w:szCs w:val="20"/>
        </w:rPr>
      </w:pPr>
      <w:r>
        <w:rPr>
          <w:i/>
          <w:sz w:val="20"/>
          <w:szCs w:val="20"/>
        </w:rPr>
        <w:t>Criptografía de la Clave Pública</w:t>
      </w:r>
    </w:p>
    <w:p w14:paraId="6A8526B4" w14:textId="77777777" w:rsidR="009B5010" w:rsidRDefault="007F04B8">
      <w:pPr>
        <w:spacing w:after="0" w:line="360" w:lineRule="auto"/>
        <w:ind w:left="567" w:right="539"/>
        <w:rPr>
          <w:i/>
          <w:sz w:val="20"/>
          <w:szCs w:val="20"/>
        </w:rPr>
      </w:pPr>
      <w:r>
        <w:rPr>
          <w:i/>
          <w:sz w:val="20"/>
          <w:szCs w:val="20"/>
        </w:rPr>
        <w:t xml:space="preserve">La criptografía de Clave Pública se basa en la generación de una pareja de números muy grandes relacionados íntimamente entre sí, de tal manera que una operación de </w:t>
      </w:r>
      <w:proofErr w:type="spellStart"/>
      <w:r>
        <w:rPr>
          <w:i/>
          <w:sz w:val="20"/>
          <w:szCs w:val="20"/>
        </w:rPr>
        <w:t>encripción</w:t>
      </w:r>
      <w:proofErr w:type="spellEnd"/>
      <w:r>
        <w:rPr>
          <w:i/>
          <w:sz w:val="20"/>
          <w:szCs w:val="20"/>
        </w:rPr>
        <w:t xml:space="preserve"> sobre un mensaje tomando como clave de </w:t>
      </w:r>
      <w:proofErr w:type="spellStart"/>
      <w:r>
        <w:rPr>
          <w:i/>
          <w:sz w:val="20"/>
          <w:szCs w:val="20"/>
        </w:rPr>
        <w:t>encripción</w:t>
      </w:r>
      <w:proofErr w:type="spellEnd"/>
      <w:r>
        <w:rPr>
          <w:i/>
          <w:sz w:val="20"/>
          <w:szCs w:val="20"/>
        </w:rPr>
        <w:t xml:space="preserve"> a uno de los dos números, produce un mensaje alterado en su significado que solo puede ser devuelto a su estado original mediante la operación de </w:t>
      </w:r>
      <w:proofErr w:type="spellStart"/>
      <w:r>
        <w:rPr>
          <w:i/>
          <w:sz w:val="20"/>
          <w:szCs w:val="20"/>
        </w:rPr>
        <w:t>desencripción</w:t>
      </w:r>
      <w:proofErr w:type="spellEnd"/>
      <w:r>
        <w:rPr>
          <w:i/>
          <w:sz w:val="20"/>
          <w:szCs w:val="20"/>
        </w:rPr>
        <w:t xml:space="preserve"> correspondiente tomando como clave de </w:t>
      </w:r>
      <w:proofErr w:type="spellStart"/>
      <w:r>
        <w:rPr>
          <w:i/>
          <w:sz w:val="20"/>
          <w:szCs w:val="20"/>
        </w:rPr>
        <w:t>desencripción</w:t>
      </w:r>
      <w:proofErr w:type="spellEnd"/>
      <w:r>
        <w:rPr>
          <w:i/>
          <w:sz w:val="20"/>
          <w:szCs w:val="20"/>
        </w:rPr>
        <w:t xml:space="preserve"> al otro número de la pareja.</w:t>
      </w:r>
    </w:p>
    <w:p w14:paraId="112AAAAC" w14:textId="77777777" w:rsidR="009B5010" w:rsidRDefault="007F04B8">
      <w:pPr>
        <w:spacing w:after="0" w:line="360" w:lineRule="auto"/>
        <w:ind w:left="567" w:right="539"/>
        <w:rPr>
          <w:i/>
          <w:sz w:val="20"/>
          <w:szCs w:val="20"/>
        </w:rPr>
      </w:pPr>
      <w:r>
        <w:rPr>
          <w:i/>
          <w:sz w:val="20"/>
          <w:szCs w:val="20"/>
        </w:rPr>
        <w:t>…”</w:t>
      </w:r>
    </w:p>
    <w:p w14:paraId="2CE255D0" w14:textId="77777777" w:rsidR="009B5010" w:rsidRDefault="007F04B8">
      <w:pPr>
        <w:spacing w:after="0" w:line="360" w:lineRule="auto"/>
      </w:pPr>
      <w:r>
        <w:t> </w:t>
      </w:r>
    </w:p>
    <w:p w14:paraId="0202D16D" w14:textId="77777777" w:rsidR="009B5010" w:rsidRDefault="007F04B8">
      <w:pPr>
        <w:spacing w:after="0" w:line="360" w:lineRule="auto"/>
      </w:pPr>
      <w:r>
        <w:t xml:space="preserve">Es decir, por sí solos las cadenas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 </w:t>
      </w:r>
    </w:p>
    <w:p w14:paraId="4128F34D" w14:textId="77777777" w:rsidR="009B5010" w:rsidRDefault="009B5010">
      <w:pPr>
        <w:spacing w:after="0" w:line="360" w:lineRule="auto"/>
      </w:pPr>
    </w:p>
    <w:p w14:paraId="5B0AAD5C" w14:textId="77777777" w:rsidR="009B5010" w:rsidRDefault="007F04B8">
      <w:pPr>
        <w:spacing w:after="0" w:line="360" w:lineRule="auto"/>
      </w:pPr>
      <w:r>
        <w:t>Sin embargo, existen ocasiones que las cadenas y sellos se conforman de datos personales, tales como, la Clave Única de Registro de Población, el Registro Federal de Contribuyentes, el número de seguridad social o deducciones personales, por lo que, en el caso de que alguno de los datos analizados se conforme de información confidencial, deberá clasificarlo en términos del artículo referido.</w:t>
      </w:r>
    </w:p>
    <w:p w14:paraId="43A991D7" w14:textId="77777777" w:rsidR="009B5010" w:rsidRDefault="009B5010">
      <w:pPr>
        <w:spacing w:after="0" w:line="360" w:lineRule="auto"/>
      </w:pPr>
    </w:p>
    <w:p w14:paraId="5B4CC2C4" w14:textId="77777777" w:rsidR="009B5010" w:rsidRDefault="007F04B8">
      <w:pPr>
        <w:spacing w:after="0" w:line="360" w:lineRule="auto"/>
        <w:rPr>
          <w:color w:val="000000"/>
        </w:rPr>
      </w:pPr>
      <w:r>
        <w:rPr>
          <w:color w:val="000000"/>
        </w:rPr>
        <w:t xml:space="preserve">Ahora bien, por lo que hace </w:t>
      </w:r>
      <w:r>
        <w:rPr>
          <w:b/>
          <w:color w:val="000000"/>
        </w:rPr>
        <w:t>Folio Fiscal,</w:t>
      </w:r>
      <w:r>
        <w:rPr>
          <w:color w:val="000000"/>
        </w:rPr>
        <w:t xml:space="preserve"> cabe precisar que conforme al ANEXO 20 de la Segunda Resolución de modificaciones a la Resolución Miscelánea Fiscal para dos mil diecisiete, </w:t>
      </w:r>
      <w:r>
        <w:rPr>
          <w:color w:val="000000"/>
        </w:rPr>
        <w:lastRenderedPageBreak/>
        <w:t>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2AD8B4FE" w14:textId="77777777" w:rsidR="009B5010" w:rsidRDefault="007F04B8">
      <w:pPr>
        <w:spacing w:after="0" w:line="360" w:lineRule="auto"/>
        <w:rPr>
          <w:color w:val="000000"/>
        </w:rPr>
      </w:pPr>
      <w:r>
        <w:rPr>
          <w:color w:val="000000"/>
        </w:rPr>
        <w:t xml:space="preserve"> </w:t>
      </w:r>
    </w:p>
    <w:p w14:paraId="56A43B4E" w14:textId="77777777" w:rsidR="009B5010" w:rsidRDefault="007F04B8">
      <w:pPr>
        <w:spacing w:after="0" w:line="360" w:lineRule="auto"/>
        <w:jc w:val="center"/>
        <w:rPr>
          <w:color w:val="000000"/>
        </w:rPr>
      </w:pPr>
      <w:r>
        <w:rPr>
          <w:noProof/>
          <w:color w:val="000000"/>
        </w:rPr>
        <w:drawing>
          <wp:inline distT="0" distB="0" distL="0" distR="0" wp14:anchorId="4696B149" wp14:editId="1E1C2380">
            <wp:extent cx="4438682" cy="1028708"/>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438682" cy="1028708"/>
                    </a:xfrm>
                    <a:prstGeom prst="rect">
                      <a:avLst/>
                    </a:prstGeom>
                    <a:ln/>
                  </pic:spPr>
                </pic:pic>
              </a:graphicData>
            </a:graphic>
          </wp:inline>
        </w:drawing>
      </w:r>
    </w:p>
    <w:p w14:paraId="758400AA" w14:textId="77777777" w:rsidR="009B5010" w:rsidRDefault="009B5010">
      <w:pPr>
        <w:spacing w:after="0" w:line="360" w:lineRule="auto"/>
        <w:rPr>
          <w:color w:val="000000"/>
        </w:rPr>
      </w:pPr>
    </w:p>
    <w:p w14:paraId="641A7816" w14:textId="77777777" w:rsidR="009B5010" w:rsidRDefault="007F04B8">
      <w:pPr>
        <w:spacing w:after="0" w:line="360" w:lineRule="auto"/>
        <w:rPr>
          <w:color w:val="000000"/>
        </w:rPr>
      </w:pPr>
      <w:r>
        <w:rPr>
          <w:color w:val="000000"/>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667DC76C" w14:textId="77777777" w:rsidR="009B5010" w:rsidRDefault="009B5010">
      <w:pPr>
        <w:spacing w:after="0" w:line="360" w:lineRule="auto"/>
        <w:rPr>
          <w:color w:val="000000"/>
        </w:rPr>
      </w:pPr>
    </w:p>
    <w:p w14:paraId="02585580" w14:textId="77777777" w:rsidR="009B5010" w:rsidRDefault="007F04B8">
      <w:pPr>
        <w:spacing w:after="0" w:line="360" w:lineRule="auto"/>
        <w:rPr>
          <w:color w:val="000000"/>
        </w:rPr>
      </w:pPr>
      <w:r>
        <w:rPr>
          <w:color w:val="000000"/>
        </w:rPr>
        <w:t>Conforme a lo anterior, se logra vislumbrar que el Sujeto Obligado clasificó datos de naturaleza pública, tales como el Folio Fiscal, las deducciones personales y en su caso, los Sellos Digitales y Cadena Original (en el caso de que no contenga datos confidenciales); además, que no acreditó el Sujeto Obligado las razones por las cuales se consideraban los datos analizados confidenciales.</w:t>
      </w:r>
    </w:p>
    <w:p w14:paraId="11D4CC1F" w14:textId="77777777" w:rsidR="009B5010" w:rsidRDefault="009B5010">
      <w:pPr>
        <w:spacing w:after="0" w:line="360" w:lineRule="auto"/>
        <w:ind w:left="720"/>
        <w:rPr>
          <w:color w:val="0D0D0D"/>
        </w:rPr>
      </w:pPr>
    </w:p>
    <w:p w14:paraId="2BA772B8" w14:textId="77777777" w:rsidR="009B5010" w:rsidRDefault="009B5010">
      <w:pPr>
        <w:spacing w:after="0" w:line="360" w:lineRule="auto"/>
        <w:ind w:left="720"/>
        <w:rPr>
          <w:color w:val="000000"/>
        </w:rPr>
      </w:pPr>
    </w:p>
    <w:p w14:paraId="51E8C2D3" w14:textId="77777777" w:rsidR="009B5010" w:rsidRDefault="007F04B8">
      <w:pPr>
        <w:spacing w:after="0" w:line="360" w:lineRule="auto"/>
        <w:rPr>
          <w:color w:val="000000"/>
        </w:rPr>
      </w:pPr>
      <w:r>
        <w:rPr>
          <w:color w:val="000000"/>
        </w:rPr>
        <w:lastRenderedPageBreak/>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69870B84" w14:textId="77777777" w:rsidR="009B5010" w:rsidRDefault="009B5010">
      <w:pPr>
        <w:spacing w:after="0" w:line="360" w:lineRule="auto"/>
        <w:rPr>
          <w:color w:val="000000"/>
        </w:rPr>
      </w:pPr>
    </w:p>
    <w:p w14:paraId="7CD1B23F" w14:textId="77777777" w:rsidR="009B5010" w:rsidRDefault="007F04B8">
      <w:pPr>
        <w:spacing w:after="0" w:line="360" w:lineRule="auto"/>
        <w:ind w:left="567" w:right="567"/>
        <w:rPr>
          <w:i/>
          <w:color w:val="000000"/>
          <w:sz w:val="20"/>
          <w:szCs w:val="20"/>
        </w:rPr>
      </w:pPr>
      <w:r>
        <w:rPr>
          <w:b/>
          <w:i/>
          <w:color w:val="000000"/>
          <w:sz w:val="20"/>
          <w:szCs w:val="20"/>
        </w:rPr>
        <w:t xml:space="preserve">“FUNDAMENTACION Y MOTIVACION, CONCEPTO DE. </w:t>
      </w:r>
      <w:r>
        <w:rPr>
          <w:i/>
          <w:color w:val="000000"/>
          <w:sz w:val="20"/>
          <w:szCs w:val="20"/>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13B01F4A" w14:textId="77777777" w:rsidR="009B5010" w:rsidRDefault="009B5010">
      <w:pPr>
        <w:spacing w:after="0" w:line="360" w:lineRule="auto"/>
        <w:rPr>
          <w:color w:val="000000"/>
        </w:rPr>
      </w:pPr>
    </w:p>
    <w:p w14:paraId="66AD0BDC" w14:textId="77777777" w:rsidR="009B5010" w:rsidRDefault="007F04B8">
      <w:pPr>
        <w:spacing w:after="0" w:line="360" w:lineRule="auto"/>
        <w:rPr>
          <w:color w:val="000000"/>
        </w:rPr>
      </w:pPr>
      <w:r>
        <w:rPr>
          <w:color w:val="000000"/>
        </w:rPr>
        <w:t>Conforme a lo anterior, se advierte lo siguiente:</w:t>
      </w:r>
    </w:p>
    <w:p w14:paraId="17ACD6AF" w14:textId="77777777" w:rsidR="009B5010" w:rsidRDefault="009B5010">
      <w:pPr>
        <w:spacing w:after="0" w:line="360" w:lineRule="auto"/>
        <w:rPr>
          <w:color w:val="000000"/>
        </w:rPr>
      </w:pPr>
    </w:p>
    <w:p w14:paraId="5CB4B04B" w14:textId="77777777" w:rsidR="009B5010" w:rsidRDefault="007F04B8">
      <w:pPr>
        <w:numPr>
          <w:ilvl w:val="0"/>
          <w:numId w:val="3"/>
        </w:numPr>
        <w:spacing w:after="0" w:line="360" w:lineRule="auto"/>
        <w:rPr>
          <w:b/>
          <w:color w:val="000000"/>
        </w:rPr>
      </w:pPr>
      <w:r>
        <w:rPr>
          <w:b/>
          <w:color w:val="000000"/>
        </w:rPr>
        <w:t xml:space="preserve">Fundamentación: </w:t>
      </w:r>
      <w:r>
        <w:rPr>
          <w:color w:val="000000"/>
        </w:rPr>
        <w:t>Obligación de la autoridad que emite un acto, para citar los preceptos legales, sustantivos y adjetivos, en que se apoye para la determinación tomada.</w:t>
      </w:r>
    </w:p>
    <w:p w14:paraId="1ADC1A58" w14:textId="77777777" w:rsidR="009B5010" w:rsidRDefault="009B5010">
      <w:pPr>
        <w:spacing w:after="0" w:line="360" w:lineRule="auto"/>
        <w:ind w:left="720"/>
        <w:rPr>
          <w:b/>
          <w:color w:val="000000"/>
        </w:rPr>
      </w:pPr>
    </w:p>
    <w:p w14:paraId="08EB676E" w14:textId="77777777" w:rsidR="009B5010" w:rsidRDefault="007F04B8">
      <w:pPr>
        <w:numPr>
          <w:ilvl w:val="0"/>
          <w:numId w:val="3"/>
        </w:numPr>
        <w:spacing w:after="0" w:line="360" w:lineRule="auto"/>
        <w:jc w:val="left"/>
        <w:rPr>
          <w:b/>
          <w:color w:val="000000"/>
        </w:rPr>
      </w:pPr>
      <w:r>
        <w:rPr>
          <w:b/>
          <w:color w:val="000000"/>
        </w:rPr>
        <w:t xml:space="preserve">Motivación: </w:t>
      </w:r>
      <w:r>
        <w:rPr>
          <w:color w:val="000000"/>
        </w:rPr>
        <w:t>Razonamientos lógico-jurídicos sobre porque se consideró en el caso en concreto, que se ajusta a la hipótesis normativa.</w:t>
      </w:r>
    </w:p>
    <w:p w14:paraId="49EBA90C" w14:textId="77777777" w:rsidR="009B5010" w:rsidRDefault="009B5010">
      <w:pPr>
        <w:spacing w:after="0" w:line="360" w:lineRule="auto"/>
        <w:rPr>
          <w:color w:val="000000"/>
        </w:rPr>
      </w:pPr>
    </w:p>
    <w:p w14:paraId="70C11323" w14:textId="77777777" w:rsidR="009B5010" w:rsidRDefault="007F04B8">
      <w:pPr>
        <w:spacing w:after="0" w:line="360" w:lineRule="auto"/>
        <w:rPr>
          <w:color w:val="000000"/>
        </w:rPr>
      </w:pPr>
      <w:r>
        <w:rPr>
          <w:color w:val="000000"/>
        </w:rPr>
        <w:t xml:space="preserve">Situación que toma relevancia, pues conforme al artículo 149 de la Ley de Transparencia y Acceso a la Información Pública del Estado de México y Municipios, todo acuerdo que clasifique la información como confidencial, deberá contener un razonamiento lógico en el que se </w:t>
      </w:r>
      <w:r>
        <w:rPr>
          <w:color w:val="000000"/>
        </w:rPr>
        <w:lastRenderedPageBreak/>
        <w:t>demuestre que la información actualiza alguna de las hipótesis previstas en el artículo 143 del ordenamiento jurídico establecido.</w:t>
      </w:r>
    </w:p>
    <w:p w14:paraId="3A08277E" w14:textId="77777777" w:rsidR="009B5010" w:rsidRDefault="009B5010">
      <w:pPr>
        <w:spacing w:after="0" w:line="360" w:lineRule="auto"/>
        <w:rPr>
          <w:color w:val="000000"/>
        </w:rPr>
      </w:pPr>
    </w:p>
    <w:p w14:paraId="65DFD753" w14:textId="77777777" w:rsidR="009B5010" w:rsidRDefault="007F04B8">
      <w:pPr>
        <w:spacing w:after="0" w:line="360" w:lineRule="auto"/>
        <w:rPr>
          <w:color w:val="000000"/>
        </w:rPr>
      </w:pPr>
      <w:r>
        <w:rPr>
          <w:color w:val="000000"/>
        </w:rPr>
        <w:t>En ese contexto, el artículo 168 de la Ley de Transparencia y Acceso a la Información Pública del Estado de México y Municipios, que precisa que 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57548117" w14:textId="77777777" w:rsidR="009B5010" w:rsidRDefault="007F04B8">
      <w:pPr>
        <w:spacing w:after="0" w:line="360" w:lineRule="auto"/>
        <w:rPr>
          <w:color w:val="000000"/>
        </w:rPr>
      </w:pPr>
      <w:r>
        <w:rPr>
          <w:color w:val="000000"/>
        </w:rPr>
        <w:t> </w:t>
      </w:r>
    </w:p>
    <w:p w14:paraId="5FE92572" w14:textId="77777777" w:rsidR="009B5010" w:rsidRDefault="007F04B8">
      <w:pPr>
        <w:numPr>
          <w:ilvl w:val="0"/>
          <w:numId w:val="4"/>
        </w:numPr>
        <w:pBdr>
          <w:top w:val="nil"/>
          <w:left w:val="nil"/>
          <w:bottom w:val="nil"/>
          <w:right w:val="nil"/>
          <w:between w:val="nil"/>
        </w:pBdr>
        <w:spacing w:after="0" w:line="360" w:lineRule="auto"/>
        <w:rPr>
          <w:color w:val="000000"/>
        </w:rPr>
      </w:pPr>
      <w:r>
        <w:rPr>
          <w:color w:val="000000"/>
        </w:rPr>
        <w:t>Confirmar la clasificación;</w:t>
      </w:r>
    </w:p>
    <w:p w14:paraId="0E4E7B4E" w14:textId="77777777" w:rsidR="009B5010" w:rsidRDefault="009B5010">
      <w:pPr>
        <w:pBdr>
          <w:top w:val="nil"/>
          <w:left w:val="nil"/>
          <w:bottom w:val="nil"/>
          <w:right w:val="nil"/>
          <w:between w:val="nil"/>
        </w:pBdr>
        <w:spacing w:after="0" w:line="360" w:lineRule="auto"/>
        <w:ind w:left="720"/>
        <w:rPr>
          <w:color w:val="000000"/>
        </w:rPr>
      </w:pPr>
    </w:p>
    <w:p w14:paraId="73DD2098" w14:textId="77777777" w:rsidR="009B5010" w:rsidRDefault="007F04B8">
      <w:pPr>
        <w:numPr>
          <w:ilvl w:val="0"/>
          <w:numId w:val="4"/>
        </w:numPr>
        <w:pBdr>
          <w:top w:val="nil"/>
          <w:left w:val="nil"/>
          <w:bottom w:val="nil"/>
          <w:right w:val="nil"/>
          <w:between w:val="nil"/>
        </w:pBdr>
        <w:spacing w:after="0" w:line="360" w:lineRule="auto"/>
        <w:rPr>
          <w:color w:val="000000"/>
        </w:rPr>
      </w:pPr>
      <w:r>
        <w:rPr>
          <w:color w:val="000000"/>
        </w:rPr>
        <w:t>Modificar la clasificación y, otorgar total o parcialmente el acceso a la información, o</w:t>
      </w:r>
    </w:p>
    <w:p w14:paraId="05386F71" w14:textId="77777777" w:rsidR="009B5010" w:rsidRDefault="009B5010">
      <w:pPr>
        <w:pBdr>
          <w:top w:val="nil"/>
          <w:left w:val="nil"/>
          <w:bottom w:val="nil"/>
          <w:right w:val="nil"/>
          <w:between w:val="nil"/>
        </w:pBdr>
        <w:spacing w:after="0" w:line="360" w:lineRule="auto"/>
        <w:ind w:left="720"/>
        <w:rPr>
          <w:color w:val="000000"/>
        </w:rPr>
      </w:pPr>
    </w:p>
    <w:p w14:paraId="6117FE37" w14:textId="77777777" w:rsidR="009B5010" w:rsidRDefault="007F04B8">
      <w:pPr>
        <w:numPr>
          <w:ilvl w:val="0"/>
          <w:numId w:val="4"/>
        </w:numPr>
        <w:pBdr>
          <w:top w:val="nil"/>
          <w:left w:val="nil"/>
          <w:bottom w:val="nil"/>
          <w:right w:val="nil"/>
          <w:between w:val="nil"/>
        </w:pBdr>
        <w:spacing w:after="0" w:line="360" w:lineRule="auto"/>
        <w:rPr>
          <w:color w:val="000000"/>
        </w:rPr>
      </w:pPr>
      <w:r>
        <w:rPr>
          <w:color w:val="000000"/>
        </w:rPr>
        <w:t>Revocar la clasificación y conceder el acceso a la información.</w:t>
      </w:r>
    </w:p>
    <w:p w14:paraId="70807EB6" w14:textId="77777777" w:rsidR="009B5010" w:rsidRDefault="009B5010">
      <w:pPr>
        <w:spacing w:after="0" w:line="360" w:lineRule="auto"/>
      </w:pPr>
    </w:p>
    <w:p w14:paraId="0C89FA31" w14:textId="77777777" w:rsidR="009B5010" w:rsidRDefault="007F04B8">
      <w:pPr>
        <w:tabs>
          <w:tab w:val="left" w:pos="3962"/>
        </w:tabs>
        <w:spacing w:after="0" w:line="360" w:lineRule="auto"/>
      </w:pPr>
      <w:r>
        <w:t xml:space="preserve">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lo que en el presente caso sucedió. </w:t>
      </w:r>
    </w:p>
    <w:p w14:paraId="244FD6D6" w14:textId="77777777" w:rsidR="009B5010" w:rsidRDefault="009B5010">
      <w:pPr>
        <w:tabs>
          <w:tab w:val="left" w:pos="3962"/>
        </w:tabs>
        <w:spacing w:after="0" w:line="360" w:lineRule="auto"/>
      </w:pPr>
    </w:p>
    <w:p w14:paraId="25F18997" w14:textId="77777777" w:rsidR="009B5010" w:rsidRDefault="007F04B8">
      <w:pPr>
        <w:spacing w:after="0" w:line="360" w:lineRule="auto"/>
        <w:rPr>
          <w:b/>
        </w:rPr>
      </w:pPr>
      <w:r>
        <w:t xml:space="preserve">Conforme a lo anterior, se considera que el Ayuntamiento clasificó datos de naturaleza pública y omitió proporcionar el Acuerdo emitido por el Comité de Transparencia, en donde se confirmarán la clasificación de los datos confidenciales, a saber, la Clave Única de Registro de Población (CURP),  el Registro Federal de Contribuyentes del servidor público (RFC), el número de seguridad social del Instituto de Seguridad Social del Estado de México y Municipios, las </w:t>
      </w:r>
      <w:r>
        <w:lastRenderedPageBreak/>
        <w:t xml:space="preserve">Deducciones personales, el Código bidimensional o QR, lo cual da como resultado que el agravio sea </w:t>
      </w:r>
      <w:r>
        <w:rPr>
          <w:b/>
        </w:rPr>
        <w:t>FUNDADO.</w:t>
      </w:r>
    </w:p>
    <w:p w14:paraId="3E382206" w14:textId="77777777" w:rsidR="009B5010" w:rsidRDefault="009B5010">
      <w:pPr>
        <w:spacing w:after="0" w:line="360" w:lineRule="auto"/>
        <w:rPr>
          <w:b/>
        </w:rPr>
      </w:pPr>
    </w:p>
    <w:p w14:paraId="0A7E148D" w14:textId="77777777" w:rsidR="009B5010" w:rsidRDefault="007F04B8">
      <w:pPr>
        <w:spacing w:after="0" w:line="360" w:lineRule="auto"/>
      </w:pPr>
      <w:r>
        <w:t>Por lo que, para atender el requerimiento, el Sujeto Obligado deberá proporcionar en versión pública los documentos faltantes y los recibos de nómina entregados en respuesta, en donde únicamente se testen los datos clasificables, en términos del análisis realizado en la presente resolución.</w:t>
      </w:r>
    </w:p>
    <w:p w14:paraId="21E72CEE" w14:textId="77777777" w:rsidR="009B5010" w:rsidRDefault="009B5010">
      <w:pPr>
        <w:spacing w:after="0" w:line="360" w:lineRule="auto"/>
      </w:pPr>
    </w:p>
    <w:p w14:paraId="3CB379C8" w14:textId="77777777" w:rsidR="009B5010" w:rsidRDefault="007F04B8">
      <w:pPr>
        <w:spacing w:after="0" w:line="360" w:lineRule="auto"/>
        <w:rPr>
          <w:color w:val="000000"/>
        </w:rPr>
      </w:pPr>
      <w:r>
        <w:rPr>
          <w:color w:val="000000"/>
        </w:rPr>
        <w:t>Finalmente, es de señalar que el Sujeto Obligado dejó visible el nombre de los policías municipales, por lo que, se procede analizar si procede la clasificación o no de estos; al respecto, el artículo 140, fracción IV, de la Ley de Transparencia y Acceso a la Información Pública del Estado de México y Municipios (homologo al artículo 113, fracción V de la Ley General de Transparencia y Acceso a la Información Pública, vigente a la fecha de presentación de la solicitud), prevé lo siguiente:</w:t>
      </w:r>
    </w:p>
    <w:p w14:paraId="4C53C6E5" w14:textId="77777777" w:rsidR="009B5010" w:rsidRDefault="009B5010">
      <w:pPr>
        <w:tabs>
          <w:tab w:val="left" w:pos="4962"/>
        </w:tabs>
        <w:spacing w:after="0" w:line="360" w:lineRule="auto"/>
        <w:ind w:left="567" w:right="567"/>
        <w:rPr>
          <w:i/>
          <w:color w:val="000000"/>
          <w:sz w:val="20"/>
          <w:szCs w:val="20"/>
        </w:rPr>
      </w:pPr>
    </w:p>
    <w:p w14:paraId="450225D8" w14:textId="77777777" w:rsidR="009B5010" w:rsidRDefault="007F04B8">
      <w:pPr>
        <w:tabs>
          <w:tab w:val="left" w:pos="4962"/>
        </w:tabs>
        <w:spacing w:after="0" w:line="360" w:lineRule="auto"/>
        <w:ind w:left="567" w:right="567"/>
        <w:rPr>
          <w:i/>
          <w:color w:val="000000"/>
          <w:sz w:val="20"/>
          <w:szCs w:val="20"/>
        </w:rPr>
      </w:pPr>
      <w:r>
        <w:rPr>
          <w:i/>
          <w:color w:val="000000"/>
          <w:sz w:val="20"/>
          <w:szCs w:val="20"/>
        </w:rPr>
        <w:t xml:space="preserve"> “</w:t>
      </w:r>
      <w:r>
        <w:rPr>
          <w:b/>
          <w:i/>
          <w:color w:val="000000"/>
          <w:sz w:val="20"/>
          <w:szCs w:val="20"/>
        </w:rPr>
        <w:t>Artículo 140.</w:t>
      </w:r>
      <w:r>
        <w:rPr>
          <w:i/>
          <w:color w:val="000000"/>
          <w:sz w:val="20"/>
          <w:szCs w:val="20"/>
        </w:rPr>
        <w:t xml:space="preserve"> El acceso a la información pública será restringido excepcionalmente, cuando por razones de interés público, ésta sea clasificada como reservada, conforme a los criterios siguientes: </w:t>
      </w:r>
    </w:p>
    <w:p w14:paraId="7E72A376" w14:textId="77777777" w:rsidR="009B5010" w:rsidRDefault="007F04B8">
      <w:pPr>
        <w:tabs>
          <w:tab w:val="left" w:pos="4962"/>
        </w:tabs>
        <w:spacing w:after="0" w:line="360" w:lineRule="auto"/>
        <w:ind w:left="567" w:right="567"/>
        <w:rPr>
          <w:i/>
          <w:color w:val="000000"/>
          <w:sz w:val="20"/>
          <w:szCs w:val="20"/>
        </w:rPr>
      </w:pPr>
      <w:r>
        <w:rPr>
          <w:i/>
          <w:color w:val="000000"/>
          <w:sz w:val="20"/>
          <w:szCs w:val="20"/>
        </w:rPr>
        <w:t>…</w:t>
      </w:r>
    </w:p>
    <w:p w14:paraId="0EF5D776" w14:textId="77777777" w:rsidR="009B5010" w:rsidRDefault="007F04B8">
      <w:pPr>
        <w:tabs>
          <w:tab w:val="left" w:pos="4962"/>
        </w:tabs>
        <w:spacing w:after="0" w:line="360" w:lineRule="auto"/>
        <w:ind w:left="567" w:right="567"/>
        <w:rPr>
          <w:i/>
          <w:color w:val="000000"/>
          <w:sz w:val="20"/>
          <w:szCs w:val="20"/>
        </w:rPr>
      </w:pPr>
      <w:r>
        <w:rPr>
          <w:i/>
          <w:color w:val="000000"/>
          <w:sz w:val="20"/>
          <w:szCs w:val="20"/>
        </w:rPr>
        <w:t>IV. Ponga en riesgo la vida, la seguridad o la salud de una persona física;</w:t>
      </w:r>
    </w:p>
    <w:p w14:paraId="08578B6F" w14:textId="77777777" w:rsidR="009B5010" w:rsidRDefault="007F04B8">
      <w:pPr>
        <w:tabs>
          <w:tab w:val="left" w:pos="4962"/>
        </w:tabs>
        <w:spacing w:after="0" w:line="360" w:lineRule="auto"/>
        <w:ind w:left="567" w:right="567"/>
        <w:rPr>
          <w:i/>
          <w:color w:val="000000"/>
          <w:sz w:val="20"/>
          <w:szCs w:val="20"/>
        </w:rPr>
      </w:pPr>
      <w:r>
        <w:rPr>
          <w:i/>
          <w:color w:val="000000"/>
          <w:sz w:val="20"/>
          <w:szCs w:val="20"/>
        </w:rPr>
        <w:t xml:space="preserve">…” </w:t>
      </w:r>
    </w:p>
    <w:p w14:paraId="218CD254" w14:textId="77777777" w:rsidR="009B5010" w:rsidRDefault="009B5010">
      <w:pPr>
        <w:spacing w:after="0" w:line="360" w:lineRule="auto"/>
        <w:rPr>
          <w:color w:val="000000"/>
        </w:rPr>
      </w:pPr>
    </w:p>
    <w:p w14:paraId="326DB26A" w14:textId="77777777" w:rsidR="009B5010" w:rsidRDefault="007F04B8">
      <w:pPr>
        <w:spacing w:after="0" w:line="360" w:lineRule="auto"/>
        <w:rPr>
          <w:color w:val="000000"/>
        </w:rPr>
      </w:pPr>
      <w:r>
        <w:rPr>
          <w:color w:val="000000"/>
        </w:rPr>
        <w:t>Del precepto legal anteriormente citado se desprende que como información reservada podrá clasificarse aquella cuya publicación pueda poner en riesgo la vida, seguridad o salud de una persona física; para acreditar lo anterior, los Lineamientos Generales vigentes a la fecha de la solicitud, establecen lo siguiente:</w:t>
      </w:r>
    </w:p>
    <w:p w14:paraId="35625471" w14:textId="77777777" w:rsidR="009B5010" w:rsidRDefault="009B5010">
      <w:pPr>
        <w:spacing w:after="0" w:line="360" w:lineRule="auto"/>
        <w:rPr>
          <w:color w:val="000000"/>
        </w:rPr>
      </w:pPr>
    </w:p>
    <w:p w14:paraId="184E34EA" w14:textId="77777777" w:rsidR="009B5010" w:rsidRDefault="007F04B8">
      <w:pPr>
        <w:spacing w:after="0" w:line="360" w:lineRule="auto"/>
        <w:ind w:left="567" w:right="567"/>
        <w:rPr>
          <w:i/>
          <w:color w:val="000000"/>
          <w:sz w:val="20"/>
          <w:szCs w:val="20"/>
        </w:rPr>
      </w:pPr>
      <w:r>
        <w:rPr>
          <w:b/>
          <w:i/>
          <w:color w:val="000000"/>
          <w:sz w:val="20"/>
          <w:szCs w:val="20"/>
        </w:rPr>
        <w:lastRenderedPageBreak/>
        <w:t xml:space="preserve">“Vigésimo tercero. </w:t>
      </w:r>
      <w:r>
        <w:rPr>
          <w:i/>
          <w:color w:val="000000"/>
          <w:sz w:val="20"/>
          <w:szCs w:val="20"/>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0B50C1E3" w14:textId="77777777" w:rsidR="009B5010" w:rsidRDefault="009B5010">
      <w:pPr>
        <w:spacing w:after="0" w:line="360" w:lineRule="auto"/>
        <w:ind w:left="567" w:right="567"/>
        <w:rPr>
          <w:i/>
          <w:color w:val="000000"/>
          <w:sz w:val="20"/>
          <w:szCs w:val="20"/>
        </w:rPr>
      </w:pPr>
    </w:p>
    <w:p w14:paraId="342AE2E1" w14:textId="77777777" w:rsidR="009B5010" w:rsidRDefault="007F04B8">
      <w:pPr>
        <w:spacing w:after="0" w:line="360" w:lineRule="auto"/>
        <w:rPr>
          <w:b/>
          <w:color w:val="000000"/>
        </w:rPr>
      </w:pPr>
      <w:r>
        <w:rPr>
          <w:color w:val="000000"/>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6C4E9B2A" w14:textId="77777777" w:rsidR="009B5010" w:rsidRDefault="009B5010">
      <w:pPr>
        <w:spacing w:after="0" w:line="360" w:lineRule="auto"/>
        <w:rPr>
          <w:color w:val="000000"/>
        </w:rPr>
      </w:pPr>
    </w:p>
    <w:p w14:paraId="1EA39AC3" w14:textId="77777777" w:rsidR="009B5010" w:rsidRDefault="007F04B8">
      <w:pPr>
        <w:spacing w:after="0" w:line="360" w:lineRule="auto"/>
        <w:rPr>
          <w:color w:val="000000"/>
        </w:rPr>
      </w:pPr>
      <w:r>
        <w:rPr>
          <w:color w:val="000000"/>
        </w:rPr>
        <w:t>Además, el artículo 81, fracción III, de la Ley de Seguridad del Estado de México, establece lo siguiente:</w:t>
      </w:r>
    </w:p>
    <w:p w14:paraId="0574F21A" w14:textId="77777777" w:rsidR="009B5010" w:rsidRDefault="009B5010">
      <w:pPr>
        <w:spacing w:after="0" w:line="360" w:lineRule="auto"/>
        <w:rPr>
          <w:color w:val="000000"/>
        </w:rPr>
      </w:pPr>
    </w:p>
    <w:p w14:paraId="727878F4" w14:textId="77777777" w:rsidR="009B5010" w:rsidRDefault="007F04B8">
      <w:pPr>
        <w:spacing w:after="0" w:line="360" w:lineRule="auto"/>
        <w:ind w:left="567" w:right="567"/>
        <w:rPr>
          <w:i/>
          <w:color w:val="000000"/>
          <w:sz w:val="20"/>
          <w:szCs w:val="20"/>
        </w:rPr>
      </w:pPr>
      <w:r>
        <w:rPr>
          <w:b/>
          <w:i/>
          <w:color w:val="000000"/>
          <w:sz w:val="20"/>
          <w:szCs w:val="20"/>
        </w:rPr>
        <w:t>“Artículo 81.-</w:t>
      </w:r>
      <w:r>
        <w:rPr>
          <w:i/>
          <w:color w:val="000000"/>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12C51A9C" w14:textId="77777777" w:rsidR="009B5010" w:rsidRDefault="007F04B8">
      <w:pPr>
        <w:spacing w:after="0" w:line="360" w:lineRule="auto"/>
        <w:ind w:left="567" w:right="567"/>
        <w:rPr>
          <w:i/>
          <w:color w:val="000000"/>
          <w:sz w:val="20"/>
          <w:szCs w:val="20"/>
        </w:rPr>
      </w:pPr>
      <w:r>
        <w:rPr>
          <w:i/>
          <w:color w:val="000000"/>
          <w:sz w:val="20"/>
          <w:szCs w:val="20"/>
        </w:rPr>
        <w:t>…</w:t>
      </w:r>
    </w:p>
    <w:p w14:paraId="2E9A90CA" w14:textId="77777777" w:rsidR="009B5010" w:rsidRDefault="007F04B8">
      <w:pPr>
        <w:spacing w:after="0" w:line="360" w:lineRule="auto"/>
        <w:ind w:left="567" w:right="567"/>
        <w:rPr>
          <w:i/>
          <w:color w:val="000000"/>
          <w:sz w:val="20"/>
          <w:szCs w:val="20"/>
        </w:rPr>
      </w:pPr>
      <w:r>
        <w:rPr>
          <w:i/>
          <w:color w:val="000000"/>
          <w:sz w:val="20"/>
          <w:szCs w:val="20"/>
        </w:rPr>
        <w:t>III. La relativa a los servidores públicos integrantes de las instituciones de seguridad pública, cuya revelación pueda poner en riesgo su vida e integridad física con motivo de sus funciones;</w:t>
      </w:r>
    </w:p>
    <w:p w14:paraId="7AB15F1C" w14:textId="77777777" w:rsidR="009B5010" w:rsidRDefault="007F04B8">
      <w:pPr>
        <w:spacing w:after="0" w:line="360" w:lineRule="auto"/>
        <w:ind w:left="567" w:right="567"/>
        <w:rPr>
          <w:i/>
          <w:color w:val="000000"/>
          <w:sz w:val="20"/>
          <w:szCs w:val="20"/>
        </w:rPr>
      </w:pPr>
      <w:r>
        <w:rPr>
          <w:i/>
          <w:color w:val="000000"/>
          <w:sz w:val="20"/>
          <w:szCs w:val="20"/>
        </w:rPr>
        <w:t>…”</w:t>
      </w:r>
    </w:p>
    <w:p w14:paraId="019AAB30" w14:textId="77777777" w:rsidR="009B5010" w:rsidRDefault="009B5010">
      <w:pPr>
        <w:spacing w:after="0" w:line="360" w:lineRule="auto"/>
        <w:rPr>
          <w:color w:val="000000"/>
          <w:sz w:val="20"/>
          <w:szCs w:val="20"/>
        </w:rPr>
      </w:pPr>
    </w:p>
    <w:p w14:paraId="25A60736" w14:textId="77777777" w:rsidR="009B5010" w:rsidRDefault="007F04B8">
      <w:pPr>
        <w:spacing w:after="0" w:line="360" w:lineRule="auto"/>
        <w:rPr>
          <w:color w:val="000000"/>
        </w:rPr>
      </w:pPr>
      <w:r>
        <w:rPr>
          <w:color w:val="000000"/>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6D6F73FD" w14:textId="77777777" w:rsidR="009B5010" w:rsidRDefault="009B5010">
      <w:pPr>
        <w:spacing w:after="0" w:line="360" w:lineRule="auto"/>
        <w:rPr>
          <w:color w:val="000000"/>
        </w:rPr>
      </w:pPr>
    </w:p>
    <w:p w14:paraId="67C1A04A" w14:textId="77777777" w:rsidR="009B5010" w:rsidRDefault="007F04B8">
      <w:pPr>
        <w:spacing w:after="0" w:line="360" w:lineRule="auto"/>
        <w:rPr>
          <w:color w:val="000000"/>
        </w:rPr>
      </w:pPr>
      <w:r>
        <w:rPr>
          <w:color w:val="000000"/>
        </w:rPr>
        <w:lastRenderedPageBreak/>
        <w:t>En ese contexto, es de señalar que los datos de servidores públicos, entre los que se encuentran el nombre de los trabajadores, por regla general, son de naturaleza pública, de conformidad con el artículo 92, fracción VII, de la Ley de Transparencia y Acceso a la Información Pública del Estado de México y Municipios.</w:t>
      </w:r>
    </w:p>
    <w:p w14:paraId="0A2F245B" w14:textId="77777777" w:rsidR="009B5010" w:rsidRDefault="009B5010">
      <w:pPr>
        <w:spacing w:after="0" w:line="360" w:lineRule="auto"/>
        <w:rPr>
          <w:color w:val="000000"/>
        </w:rPr>
      </w:pPr>
    </w:p>
    <w:p w14:paraId="4D9278FF" w14:textId="77777777" w:rsidR="009B5010" w:rsidRDefault="007F04B8">
      <w:pPr>
        <w:spacing w:after="0" w:line="360" w:lineRule="auto"/>
        <w:rPr>
          <w:color w:val="000000"/>
        </w:rPr>
      </w:pPr>
      <w:r>
        <w:rPr>
          <w:color w:val="000000"/>
        </w:rPr>
        <w:t>No obstante, resulta necesario traer a colación por analogía, el Criterio Orientador, con número de registro SO/006/2009, de la Primera Época, emitido por el entonces Instituto Federal de Acceso a la Información y Protección de Datos ahora Instituto Nacional de Transparencia, Acceso a la Información y Protección de Datos Personales, vigente a la fecha de la solicitud, que establece lo siguiente:</w:t>
      </w:r>
    </w:p>
    <w:p w14:paraId="0738A27C" w14:textId="77777777" w:rsidR="009B5010" w:rsidRDefault="009B5010">
      <w:pPr>
        <w:spacing w:after="0" w:line="360" w:lineRule="auto"/>
        <w:rPr>
          <w:color w:val="000000"/>
        </w:rPr>
      </w:pPr>
    </w:p>
    <w:p w14:paraId="22BE2C57" w14:textId="77777777" w:rsidR="009B5010" w:rsidRDefault="007F04B8">
      <w:pPr>
        <w:tabs>
          <w:tab w:val="left" w:pos="4962"/>
        </w:tabs>
        <w:spacing w:after="0" w:line="360" w:lineRule="auto"/>
        <w:ind w:left="567" w:right="567"/>
        <w:rPr>
          <w:i/>
          <w:color w:val="000000"/>
          <w:sz w:val="20"/>
          <w:szCs w:val="20"/>
        </w:rPr>
      </w:pPr>
      <w:r>
        <w:rPr>
          <w:b/>
          <w:i/>
          <w:color w:val="000000"/>
          <w:sz w:val="20"/>
          <w:szCs w:val="20"/>
        </w:rPr>
        <w:t>“Nombres de servidores públicos dedicados a actividades en materia de seguridad, por excepción pueden considerarse información reservada.</w:t>
      </w:r>
      <w:r>
        <w:rPr>
          <w:i/>
          <w:color w:val="000000"/>
          <w:sz w:val="20"/>
          <w:szCs w:val="20"/>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w:t>
      </w:r>
      <w:r>
        <w:rPr>
          <w:i/>
          <w:color w:val="000000"/>
          <w:sz w:val="20"/>
          <w:szCs w:val="20"/>
        </w:rPr>
        <w:lastRenderedPageBreak/>
        <w:t>puede llegar a constituirse en un componente fundamental en el esfuerzo que realiza el Estado Mexicano para garantizar la seguridad del país en sus diferentes vertientes.”</w:t>
      </w:r>
    </w:p>
    <w:p w14:paraId="74B7CF68" w14:textId="77777777" w:rsidR="009B5010" w:rsidRDefault="009B5010">
      <w:pPr>
        <w:spacing w:after="0" w:line="360" w:lineRule="auto"/>
        <w:rPr>
          <w:color w:val="000000"/>
        </w:rPr>
      </w:pPr>
    </w:p>
    <w:p w14:paraId="4A9CC5C3" w14:textId="77777777" w:rsidR="009B5010" w:rsidRDefault="007F04B8">
      <w:pPr>
        <w:spacing w:after="0" w:line="360" w:lineRule="auto"/>
        <w:rPr>
          <w:color w:val="000000"/>
        </w:rPr>
      </w:pPr>
      <w:r>
        <w:rPr>
          <w:color w:val="000000"/>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7B5BA2C7" w14:textId="77777777" w:rsidR="009B5010" w:rsidRDefault="009B5010">
      <w:pPr>
        <w:spacing w:after="0" w:line="360" w:lineRule="auto"/>
        <w:rPr>
          <w:color w:val="000000"/>
        </w:rPr>
      </w:pPr>
    </w:p>
    <w:p w14:paraId="05809D70" w14:textId="77777777" w:rsidR="009B5010" w:rsidRDefault="007F04B8">
      <w:pPr>
        <w:spacing w:after="0" w:line="360" w:lineRule="auto"/>
        <w:rPr>
          <w:color w:val="000000"/>
        </w:rPr>
      </w:pPr>
      <w:r>
        <w:rPr>
          <w:color w:val="000000"/>
        </w:rPr>
        <w:t>Además, el Criterio Reiterado 09/24, emitido por el Pleno de este Instituto, precisa que el nombre del personal operativo de seguridad pública debe clasificarse como información reservada, previa acreditación de la prueba de daño, ya que su publicidad podría poner en riesgo la vida, la seguridad o la salud del servidor público, ya que los vuelve plenamente identificables ante grupos delictivos.</w:t>
      </w:r>
    </w:p>
    <w:p w14:paraId="32248FF4" w14:textId="77777777" w:rsidR="009B5010" w:rsidRDefault="009B5010">
      <w:pPr>
        <w:spacing w:after="0" w:line="360" w:lineRule="auto"/>
        <w:rPr>
          <w:color w:val="000000"/>
        </w:rPr>
      </w:pPr>
    </w:p>
    <w:p w14:paraId="3FB35B4F" w14:textId="77777777" w:rsidR="009B5010" w:rsidRDefault="007F04B8">
      <w:pPr>
        <w:spacing w:after="0" w:line="360" w:lineRule="auto"/>
        <w:rPr>
          <w:color w:val="000000"/>
        </w:rPr>
      </w:pPr>
      <w:r>
        <w:rPr>
          <w:color w:val="000000"/>
        </w:rPr>
        <w:t xml:space="preserve">En ese orden de ideas, si bien por regla general los nombres de los trabajadores gubernamentales son información pública de oficio, existe una excepción relativa a </w:t>
      </w:r>
      <w:r>
        <w:rPr>
          <w:b/>
          <w:color w:val="000000"/>
        </w:rPr>
        <w:t>aquellos que realicen actividades operativas en materia de seguridad,</w:t>
      </w:r>
      <w:r>
        <w:rPr>
          <w:color w:val="000000"/>
        </w:rPr>
        <w:t xml:space="preserve"> como es el caso de los elementos operativos y la policía municipal.</w:t>
      </w:r>
    </w:p>
    <w:p w14:paraId="5EC2AD1B" w14:textId="77777777" w:rsidR="009B5010" w:rsidRDefault="009B5010">
      <w:pPr>
        <w:spacing w:after="0" w:line="360" w:lineRule="auto"/>
        <w:rPr>
          <w:color w:val="000000"/>
        </w:rPr>
      </w:pPr>
    </w:p>
    <w:p w14:paraId="6D77C29E" w14:textId="77777777" w:rsidR="009B5010" w:rsidRDefault="007F04B8">
      <w:pPr>
        <w:spacing w:after="0" w:line="360" w:lineRule="auto"/>
        <w:rPr>
          <w:color w:val="000000"/>
        </w:rPr>
      </w:pPr>
      <w:r>
        <w:rPr>
          <w:color w:val="000000"/>
        </w:rPr>
        <w:t xml:space="preserve">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w:t>
      </w:r>
      <w:r>
        <w:rPr>
          <w:color w:val="000000"/>
        </w:rPr>
        <w:lastRenderedPageBreak/>
        <w:t>adolescentes, de las instancias encargadas de aplicar las infracción administrativas, y de las demás autoridades de las instancias encargadas de aplicar las infracciones administrativas.</w:t>
      </w:r>
    </w:p>
    <w:p w14:paraId="26721120" w14:textId="77777777" w:rsidR="009B5010" w:rsidRDefault="009B5010">
      <w:pPr>
        <w:spacing w:after="0" w:line="360" w:lineRule="auto"/>
        <w:rPr>
          <w:color w:val="000000"/>
        </w:rPr>
      </w:pPr>
    </w:p>
    <w:p w14:paraId="0107B77E" w14:textId="77777777" w:rsidR="009B5010" w:rsidRDefault="007F04B8">
      <w:pPr>
        <w:spacing w:after="0" w:line="360" w:lineRule="auto"/>
        <w:rPr>
          <w:color w:val="000000"/>
        </w:rPr>
      </w:pPr>
      <w:r>
        <w:rPr>
          <w:color w:val="000000"/>
        </w:rPr>
        <w:t>En ese contexto, el artículo 6°, fracciones XI y XII de dicho ordenamiento jurídico, establece los siguientes conceptos:</w:t>
      </w:r>
    </w:p>
    <w:p w14:paraId="20171F76" w14:textId="77777777" w:rsidR="009B5010" w:rsidRDefault="009B5010">
      <w:pPr>
        <w:spacing w:after="0" w:line="360" w:lineRule="auto"/>
        <w:rPr>
          <w:color w:val="000000"/>
        </w:rPr>
      </w:pPr>
    </w:p>
    <w:p w14:paraId="321EBEAC" w14:textId="77777777" w:rsidR="009B5010" w:rsidRDefault="007F04B8">
      <w:pPr>
        <w:numPr>
          <w:ilvl w:val="0"/>
          <w:numId w:val="11"/>
        </w:numPr>
        <w:spacing w:after="0" w:line="360" w:lineRule="auto"/>
        <w:rPr>
          <w:b/>
          <w:color w:val="000000"/>
        </w:rPr>
      </w:pPr>
      <w:r>
        <w:rPr>
          <w:b/>
          <w:color w:val="000000"/>
        </w:rPr>
        <w:t xml:space="preserve">Instituciones Policiales: </w:t>
      </w:r>
      <w:r>
        <w:rPr>
          <w:color w:val="000000"/>
        </w:rPr>
        <w:t xml:space="preserve">Son los cuerpos de policía, de vigilancia y custodia de los establecimientos penitenciarios, detención preventiva, centros de arraigo y en general, </w:t>
      </w:r>
      <w:r>
        <w:rPr>
          <w:b/>
          <w:color w:val="000000"/>
        </w:rPr>
        <w:t>todas las dependencias encargadas de la seguridad pública a nivel</w:t>
      </w:r>
      <w:r>
        <w:rPr>
          <w:color w:val="000000"/>
        </w:rPr>
        <w:t xml:space="preserve"> estatal y </w:t>
      </w:r>
      <w:r>
        <w:rPr>
          <w:b/>
          <w:color w:val="000000"/>
        </w:rPr>
        <w:t>municipal.</w:t>
      </w:r>
    </w:p>
    <w:p w14:paraId="6085926E" w14:textId="77777777" w:rsidR="009B5010" w:rsidRDefault="009B5010">
      <w:pPr>
        <w:spacing w:after="0" w:line="360" w:lineRule="auto"/>
        <w:ind w:left="720"/>
        <w:rPr>
          <w:color w:val="000000"/>
        </w:rPr>
      </w:pPr>
    </w:p>
    <w:p w14:paraId="7F4F6228" w14:textId="77777777" w:rsidR="009B5010" w:rsidRDefault="007F04B8">
      <w:pPr>
        <w:numPr>
          <w:ilvl w:val="0"/>
          <w:numId w:val="11"/>
        </w:numPr>
        <w:spacing w:after="0" w:line="360" w:lineRule="auto"/>
        <w:rPr>
          <w:b/>
          <w:color w:val="000000"/>
        </w:rPr>
      </w:pPr>
      <w:r>
        <w:rPr>
          <w:b/>
          <w:color w:val="000000"/>
        </w:rPr>
        <w:t xml:space="preserve">Instituciones de Seguridad Pública: </w:t>
      </w:r>
      <w:r>
        <w:rPr>
          <w:color w:val="000000"/>
        </w:rPr>
        <w:t xml:space="preserve">Instituciones Policiales, Procuración de Justicia, Sistema Penitenciario y </w:t>
      </w:r>
      <w:r>
        <w:rPr>
          <w:b/>
          <w:color w:val="000000"/>
        </w:rPr>
        <w:t xml:space="preserve">dependencias encargadas de la seguridad pública a nivel </w:t>
      </w:r>
      <w:r>
        <w:rPr>
          <w:color w:val="000000"/>
        </w:rPr>
        <w:t xml:space="preserve">estatal y </w:t>
      </w:r>
      <w:r>
        <w:rPr>
          <w:b/>
          <w:color w:val="000000"/>
        </w:rPr>
        <w:t>municipal.</w:t>
      </w:r>
    </w:p>
    <w:p w14:paraId="2375991C" w14:textId="77777777" w:rsidR="009B5010" w:rsidRDefault="009B5010">
      <w:pPr>
        <w:spacing w:after="0" w:line="360" w:lineRule="auto"/>
        <w:rPr>
          <w:b/>
          <w:color w:val="000000"/>
        </w:rPr>
      </w:pPr>
    </w:p>
    <w:p w14:paraId="717F9552" w14:textId="77777777" w:rsidR="009B5010" w:rsidRDefault="007F04B8">
      <w:pPr>
        <w:spacing w:after="0" w:line="360" w:lineRule="auto"/>
        <w:rPr>
          <w:color w:val="000000"/>
        </w:rPr>
      </w:pPr>
      <w:r>
        <w:rPr>
          <w:color w:val="000000"/>
        </w:rPr>
        <w:t>Conforme a lo anterior, se puede deducir que la Comisaría de Seguridad Pública, es una institución de seguridad pública, pues tiene como atribución principal, la prevención de delitos y proteger a las personas, sus propiedades, posesiones y derechos.</w:t>
      </w:r>
    </w:p>
    <w:p w14:paraId="469055F0" w14:textId="77777777" w:rsidR="009B5010" w:rsidRDefault="009B5010">
      <w:pPr>
        <w:spacing w:after="0" w:line="360" w:lineRule="auto"/>
        <w:rPr>
          <w:color w:val="000000"/>
        </w:rPr>
      </w:pPr>
    </w:p>
    <w:p w14:paraId="2A3DA870" w14:textId="77777777" w:rsidR="009B5010" w:rsidRDefault="007F04B8">
      <w:pPr>
        <w:tabs>
          <w:tab w:val="left" w:pos="4962"/>
        </w:tabs>
        <w:spacing w:after="0" w:line="360" w:lineRule="auto"/>
        <w:ind w:right="-28"/>
        <w:rPr>
          <w:color w:val="000000"/>
        </w:rPr>
      </w:pPr>
      <w:r>
        <w:rPr>
          <w:color w:val="000000"/>
        </w:rPr>
        <w:t xml:space="preserve">Además, el Instructivo de llenado del Formato “Personal de Seguridad Pública”, del Secretariado Ejecutivo del Sistema Nacional de Seguridad Pública, establece que los elementos operativos de seguridad pública, son aquellos que desempeñan funciones de campo (policiacas, especializadas o equivalentes y que no </w:t>
      </w:r>
      <w:r>
        <w:rPr>
          <w:b/>
          <w:color w:val="000000"/>
        </w:rPr>
        <w:t>desempeña funciones de mando</w:t>
      </w:r>
      <w:r>
        <w:rPr>
          <w:color w:val="000000"/>
        </w:rPr>
        <w:t xml:space="preserve">), entre los cuales, se encuentra </w:t>
      </w:r>
      <w:r>
        <w:rPr>
          <w:b/>
          <w:color w:val="000000"/>
        </w:rPr>
        <w:t>la Policía Municipal</w:t>
      </w:r>
      <w:r>
        <w:rPr>
          <w:color w:val="000000"/>
        </w:rPr>
        <w:t>.</w:t>
      </w:r>
    </w:p>
    <w:p w14:paraId="1A7398C5" w14:textId="77777777" w:rsidR="009B5010" w:rsidRDefault="009B5010">
      <w:pPr>
        <w:tabs>
          <w:tab w:val="left" w:pos="4962"/>
        </w:tabs>
        <w:spacing w:after="0" w:line="360" w:lineRule="auto"/>
        <w:ind w:right="-28"/>
        <w:rPr>
          <w:color w:val="000000"/>
        </w:rPr>
      </w:pPr>
    </w:p>
    <w:p w14:paraId="5FB88D5D" w14:textId="77777777" w:rsidR="009B5010" w:rsidRDefault="007F04B8">
      <w:pPr>
        <w:tabs>
          <w:tab w:val="left" w:pos="4962"/>
        </w:tabs>
        <w:spacing w:after="0" w:line="360" w:lineRule="auto"/>
        <w:ind w:right="-28"/>
        <w:rPr>
          <w:color w:val="000000"/>
        </w:rPr>
      </w:pPr>
      <w:r>
        <w:rPr>
          <w:color w:val="000000"/>
        </w:rPr>
        <w:t xml:space="preserve">Asimismo, se advierte que las Instituciones Policiales, se conforman del personal </w:t>
      </w:r>
      <w:r>
        <w:rPr>
          <w:b/>
          <w:color w:val="000000"/>
        </w:rPr>
        <w:t>administrativo,</w:t>
      </w:r>
      <w:r>
        <w:rPr>
          <w:color w:val="000000"/>
        </w:rPr>
        <w:t xml:space="preserve"> que son los trabajadores de apoyo (chofer, personal de mantenimiento, servicios </w:t>
      </w:r>
      <w:r>
        <w:rPr>
          <w:color w:val="000000"/>
        </w:rPr>
        <w:lastRenderedPageBreak/>
        <w:t xml:space="preserve">generales y área secretaria); </w:t>
      </w:r>
      <w:r>
        <w:rPr>
          <w:b/>
          <w:color w:val="000000"/>
        </w:rPr>
        <w:t>así como, el personal de mando</w:t>
      </w:r>
      <w:r>
        <w:rPr>
          <w:color w:val="000000"/>
        </w:rPr>
        <w:t xml:space="preserve"> (alto, medio y superior), que es aquel que realiza funciones de dirección, coordinación y supervisión, por lo cual, corresponde a aquel que tenga trabajadores a su cargo.</w:t>
      </w:r>
    </w:p>
    <w:p w14:paraId="461413C8" w14:textId="77777777" w:rsidR="009B5010" w:rsidRDefault="009B5010">
      <w:pPr>
        <w:spacing w:after="0" w:line="360" w:lineRule="auto"/>
        <w:rPr>
          <w:color w:val="000000"/>
        </w:rPr>
      </w:pPr>
    </w:p>
    <w:p w14:paraId="0B47C82F" w14:textId="77777777" w:rsidR="009B5010" w:rsidRDefault="007F04B8">
      <w:pPr>
        <w:spacing w:after="0" w:line="360" w:lineRule="auto"/>
        <w:rPr>
          <w:color w:val="000000"/>
        </w:rPr>
      </w:pPr>
      <w:r>
        <w:rPr>
          <w:color w:val="000000"/>
        </w:rPr>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5BD77576" w14:textId="77777777" w:rsidR="009B5010" w:rsidRDefault="009B5010">
      <w:pPr>
        <w:spacing w:after="0" w:line="360" w:lineRule="auto"/>
        <w:rPr>
          <w:color w:val="000000"/>
        </w:rPr>
      </w:pPr>
    </w:p>
    <w:p w14:paraId="73C20728" w14:textId="77777777" w:rsidR="009B5010" w:rsidRDefault="007F04B8">
      <w:pPr>
        <w:spacing w:after="0" w:line="360" w:lineRule="auto"/>
        <w:rPr>
          <w:color w:val="000000"/>
        </w:rPr>
      </w:pPr>
      <w:r>
        <w:rPr>
          <w:color w:val="000000"/>
        </w:rPr>
        <w:t xml:space="preserve">Sin embargo, por lo que hace al </w:t>
      </w:r>
      <w:r>
        <w:rPr>
          <w:b/>
          <w:color w:val="000000"/>
        </w:rPr>
        <w:t>personal administrativo y los mandos medios y superiores</w:t>
      </w:r>
      <w:r>
        <w:rPr>
          <w:color w:val="000000"/>
        </w:rPr>
        <w:t>,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75997AD2" w14:textId="77777777" w:rsidR="009B5010" w:rsidRDefault="009B5010">
      <w:pPr>
        <w:spacing w:after="0" w:line="360" w:lineRule="auto"/>
        <w:rPr>
          <w:color w:val="000000"/>
        </w:rPr>
      </w:pPr>
    </w:p>
    <w:p w14:paraId="1C09BCB5" w14:textId="77777777" w:rsidR="009B5010" w:rsidRDefault="007F04B8">
      <w:pPr>
        <w:spacing w:after="0" w:line="360" w:lineRule="auto"/>
        <w:rPr>
          <w:color w:val="000000"/>
        </w:rPr>
      </w:pPr>
      <w:r>
        <w:rPr>
          <w:color w:val="000000"/>
        </w:rPr>
        <w:t xml:space="preserve">De tal situación, se considera que dar a conocer el nombre de los elementos operativos en materia de seguridad, como lo son los policías municipales, puede poner en riesgo la vida, seguridad y salud de estos, de sus familias e incluso su entorno social, pues al hacerlos identificables, los hacen blancos de los agentes delincuenciales o inclusive a la delincuencia </w:t>
      </w:r>
      <w:r>
        <w:rPr>
          <w:color w:val="000000"/>
        </w:rPr>
        <w:lastRenderedPageBreak/>
        <w:t>organizada, los cuales podrían amenazar o causarles algún daño, con el fin de entorpecer o disminuir la seguridad pública y aumentar la comisión de actos ilícitos.</w:t>
      </w:r>
    </w:p>
    <w:p w14:paraId="3C992D51" w14:textId="77777777" w:rsidR="009B5010" w:rsidRDefault="009B5010">
      <w:pPr>
        <w:spacing w:after="0" w:line="360" w:lineRule="auto"/>
        <w:rPr>
          <w:color w:val="000000"/>
        </w:rPr>
      </w:pPr>
    </w:p>
    <w:p w14:paraId="5B6C53CA" w14:textId="77777777" w:rsidR="009B5010" w:rsidRDefault="007F04B8">
      <w:pPr>
        <w:spacing w:after="0" w:line="360" w:lineRule="auto"/>
        <w:rPr>
          <w:color w:val="000000"/>
        </w:rPr>
      </w:pPr>
      <w:r>
        <w:rPr>
          <w:color w:val="000000"/>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65D764A4" w14:textId="77777777" w:rsidR="009B5010" w:rsidRDefault="009B5010">
      <w:pPr>
        <w:spacing w:after="0" w:line="360" w:lineRule="auto"/>
        <w:rPr>
          <w:color w:val="000000"/>
        </w:rPr>
      </w:pPr>
    </w:p>
    <w:p w14:paraId="133CD5E0" w14:textId="77777777" w:rsidR="009B5010" w:rsidRDefault="007F04B8">
      <w:pPr>
        <w:spacing w:after="0" w:line="360" w:lineRule="auto"/>
        <w:rPr>
          <w:color w:val="000000"/>
          <w:u w:val="single"/>
        </w:rPr>
      </w:pPr>
      <w:r>
        <w:rPr>
          <w:color w:val="000000"/>
        </w:rPr>
        <w:t xml:space="preserve">Por tales consideraciones, </w:t>
      </w:r>
      <w:r>
        <w:rPr>
          <w:b/>
          <w:color w:val="000000"/>
        </w:rPr>
        <w:t xml:space="preserve">resulta procedente la reserva del nombre de los elementos operativos adscritos a la Comisaría de Seguridad Pública, en términos del artículo 140, fracción IV, de </w:t>
      </w:r>
      <w:proofErr w:type="spellStart"/>
      <w:r>
        <w:rPr>
          <w:b/>
          <w:color w:val="000000"/>
        </w:rPr>
        <w:t>de</w:t>
      </w:r>
      <w:proofErr w:type="spellEnd"/>
      <w:r>
        <w:rPr>
          <w:b/>
          <w:color w:val="000000"/>
        </w:rPr>
        <w:t xml:space="preserve"> la Ley de Transparencia y Acceso a la Información Pública del Estado de México y Municipios. </w:t>
      </w:r>
      <w:r>
        <w:rPr>
          <w:color w:val="000000"/>
          <w:u w:val="single"/>
        </w:rPr>
        <w:t>Cabe señalar que dicho dato se dejó visible en los recibos entregados en respuesta.</w:t>
      </w:r>
    </w:p>
    <w:p w14:paraId="1FE5B43D" w14:textId="77777777" w:rsidR="009B5010" w:rsidRDefault="009B5010">
      <w:pPr>
        <w:spacing w:after="0" w:line="360" w:lineRule="auto"/>
        <w:rPr>
          <w:b/>
          <w:color w:val="000000"/>
        </w:rPr>
      </w:pPr>
    </w:p>
    <w:p w14:paraId="4A405509" w14:textId="77777777" w:rsidR="009B5010" w:rsidRDefault="007F04B8">
      <w:pPr>
        <w:tabs>
          <w:tab w:val="left" w:pos="4962"/>
        </w:tabs>
        <w:spacing w:after="0" w:line="360" w:lineRule="auto"/>
        <w:rPr>
          <w:color w:val="000000"/>
        </w:rPr>
      </w:pPr>
      <w:r>
        <w:rPr>
          <w:color w:val="000000"/>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210B220C" w14:textId="77777777" w:rsidR="009B5010" w:rsidRDefault="009B5010">
      <w:pPr>
        <w:tabs>
          <w:tab w:val="left" w:pos="4962"/>
        </w:tabs>
        <w:spacing w:after="0" w:line="360" w:lineRule="auto"/>
        <w:rPr>
          <w:color w:val="000000"/>
        </w:rPr>
      </w:pPr>
    </w:p>
    <w:p w14:paraId="4325EFCA" w14:textId="77777777" w:rsidR="009B5010" w:rsidRDefault="007F04B8">
      <w:pPr>
        <w:numPr>
          <w:ilvl w:val="0"/>
          <w:numId w:val="10"/>
        </w:numPr>
        <w:tabs>
          <w:tab w:val="left" w:pos="4962"/>
        </w:tabs>
        <w:spacing w:after="0" w:line="360" w:lineRule="auto"/>
        <w:ind w:left="709" w:hanging="436"/>
        <w:rPr>
          <w:color w:val="000000"/>
        </w:rPr>
      </w:pPr>
      <w:r>
        <w:rPr>
          <w:color w:val="000000"/>
        </w:rPr>
        <w:t>La divulgación de la información representa un riesgo real, demostrable e identificable de perjuicio significativo al interés público o a la seguridad nacional.</w:t>
      </w:r>
    </w:p>
    <w:p w14:paraId="216CF286" w14:textId="77777777" w:rsidR="009B5010" w:rsidRDefault="009B5010">
      <w:pPr>
        <w:tabs>
          <w:tab w:val="left" w:pos="4962"/>
        </w:tabs>
        <w:spacing w:after="0" w:line="360" w:lineRule="auto"/>
        <w:ind w:left="709"/>
        <w:rPr>
          <w:color w:val="000000"/>
        </w:rPr>
      </w:pPr>
    </w:p>
    <w:p w14:paraId="6BA0C5DC" w14:textId="77777777" w:rsidR="009B5010" w:rsidRDefault="007F04B8">
      <w:pPr>
        <w:numPr>
          <w:ilvl w:val="0"/>
          <w:numId w:val="10"/>
        </w:numPr>
        <w:tabs>
          <w:tab w:val="left" w:pos="4962"/>
        </w:tabs>
        <w:spacing w:after="0" w:line="360" w:lineRule="auto"/>
        <w:ind w:left="709" w:hanging="436"/>
        <w:rPr>
          <w:color w:val="000000"/>
        </w:rPr>
      </w:pPr>
      <w:r>
        <w:rPr>
          <w:color w:val="000000"/>
        </w:rPr>
        <w:t>El riesgo de perjuicio supera el interés público general de que se difunda.</w:t>
      </w:r>
    </w:p>
    <w:p w14:paraId="11D37832" w14:textId="77777777" w:rsidR="009B5010" w:rsidRDefault="009B5010">
      <w:pPr>
        <w:spacing w:after="0" w:line="360" w:lineRule="auto"/>
        <w:ind w:left="720"/>
        <w:rPr>
          <w:color w:val="000000"/>
        </w:rPr>
      </w:pPr>
    </w:p>
    <w:p w14:paraId="78B6BF99" w14:textId="77777777" w:rsidR="009B5010" w:rsidRDefault="007F04B8">
      <w:pPr>
        <w:numPr>
          <w:ilvl w:val="0"/>
          <w:numId w:val="10"/>
        </w:numPr>
        <w:tabs>
          <w:tab w:val="left" w:pos="4962"/>
        </w:tabs>
        <w:spacing w:after="0" w:line="360" w:lineRule="auto"/>
        <w:ind w:left="709" w:hanging="436"/>
        <w:rPr>
          <w:color w:val="000000"/>
        </w:rPr>
      </w:pPr>
      <w:r>
        <w:rPr>
          <w:color w:val="000000"/>
        </w:rPr>
        <w:lastRenderedPageBreak/>
        <w:t>Que la limitación se adecua al principio de proporcionalidad y representa el medio menos restrictivo disponible para evitar el perjuicio.</w:t>
      </w:r>
    </w:p>
    <w:p w14:paraId="15E13B95" w14:textId="77777777" w:rsidR="009B5010" w:rsidRDefault="009B5010">
      <w:pPr>
        <w:spacing w:after="0" w:line="360" w:lineRule="auto"/>
        <w:jc w:val="left"/>
        <w:rPr>
          <w:color w:val="000000"/>
        </w:rPr>
      </w:pPr>
    </w:p>
    <w:p w14:paraId="7CB7854A" w14:textId="77777777" w:rsidR="009B5010" w:rsidRDefault="007F04B8">
      <w:pPr>
        <w:spacing w:after="0" w:line="360" w:lineRule="auto"/>
        <w:rPr>
          <w:color w:val="000000"/>
        </w:rPr>
      </w:pPr>
      <w:r>
        <w:rPr>
          <w:color w:val="000000"/>
        </w:rPr>
        <w:t>Además,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el nombre de los elementos operativos de la Dirección de Seguridad Pública y Protección Civil, de manera fundada y motivada, mediante la respectiva prueba de daño, y deberá proporcionar la información del personal administrativo y mandos medios y superiores de dicha área.</w:t>
      </w:r>
    </w:p>
    <w:p w14:paraId="278150A2" w14:textId="77777777" w:rsidR="009B5010" w:rsidRDefault="009B5010">
      <w:pPr>
        <w:spacing w:after="0" w:line="360" w:lineRule="auto"/>
      </w:pPr>
    </w:p>
    <w:p w14:paraId="26FF2E4B" w14:textId="77777777" w:rsidR="009B5010" w:rsidRDefault="007F04B8">
      <w:pPr>
        <w:spacing w:after="0" w:line="360" w:lineRule="auto"/>
      </w:pPr>
      <w:r>
        <w:t>De tal suerte, el Sujeto Obligado deberá clasificar el nombre de los policías municipales, en las versiones públicas que entreguen para atender el requerimiento de información, junto con el Acuerdo emitido por el Comité de Transparencia en donde valide clasificación de estos y de los datos personales confidenciales.</w:t>
      </w:r>
    </w:p>
    <w:p w14:paraId="269FCC1D" w14:textId="77777777" w:rsidR="009B5010" w:rsidRDefault="009B5010">
      <w:pPr>
        <w:spacing w:after="0" w:line="360" w:lineRule="auto"/>
      </w:pPr>
    </w:p>
    <w:p w14:paraId="5B663858" w14:textId="77777777" w:rsidR="009B5010" w:rsidRDefault="007F04B8">
      <w:pPr>
        <w:pStyle w:val="Ttulo2"/>
        <w:spacing w:before="0" w:after="0"/>
        <w:rPr>
          <w:b w:val="0"/>
        </w:rPr>
      </w:pPr>
      <w:bookmarkStart w:id="13" w:name="_Toc196924970"/>
      <w:r>
        <w:t>SEXTO. Decisión</w:t>
      </w:r>
      <w:bookmarkEnd w:id="13"/>
    </w:p>
    <w:p w14:paraId="7B8C7091" w14:textId="77777777" w:rsidR="009B5010" w:rsidRDefault="009B5010">
      <w:pPr>
        <w:spacing w:after="0" w:line="360" w:lineRule="auto"/>
        <w:rPr>
          <w:b/>
        </w:rPr>
      </w:pPr>
    </w:p>
    <w:p w14:paraId="55C75A65" w14:textId="77777777" w:rsidR="009B5010" w:rsidRDefault="007F04B8">
      <w:pPr>
        <w:spacing w:after="0" w:line="360" w:lineRule="auto"/>
      </w:pPr>
      <w:r>
        <w:t xml:space="preserve">Con fundamento en el artículo 186, fracción III, de la Ley de Transparencia y Acceso a la Información Pública del Estado de México y Municipios, este Instituto considera procedente </w:t>
      </w:r>
      <w:r>
        <w:rPr>
          <w:b/>
        </w:rPr>
        <w:lastRenderedPageBreak/>
        <w:t>MODIFICAR</w:t>
      </w:r>
      <w:r>
        <w:t xml:space="preserve"> la respuesta otorgada por el Sujeto Obligado a la solicitud de información </w:t>
      </w:r>
      <w:r>
        <w:rPr>
          <w:b/>
        </w:rPr>
        <w:t>00017/MARTIPIR/IP/2025</w:t>
      </w:r>
      <w:r>
        <w:t xml:space="preserve">, por resultar fundadas las razones o motivos de inconformidad hechos valer por la parte Recurrente, en el Recurso de Revisión </w:t>
      </w:r>
      <w:r>
        <w:rPr>
          <w:b/>
        </w:rPr>
        <w:t xml:space="preserve"> 02766/INFOEM/IP/RR/2025</w:t>
      </w:r>
      <w:r>
        <w:t xml:space="preserve">, en consecuencia procede </w:t>
      </w:r>
      <w:r>
        <w:rPr>
          <w:b/>
        </w:rPr>
        <w:t xml:space="preserve">ORDENAR, </w:t>
      </w:r>
      <w:r>
        <w:t>la entrega de la información faltante en los términos antes expuestos.</w:t>
      </w:r>
    </w:p>
    <w:p w14:paraId="5BE3A7EF" w14:textId="77777777" w:rsidR="009B5010" w:rsidRDefault="009B5010">
      <w:pPr>
        <w:spacing w:after="0" w:line="360" w:lineRule="auto"/>
      </w:pPr>
    </w:p>
    <w:p w14:paraId="47AE7475" w14:textId="77777777" w:rsidR="009B5010" w:rsidRDefault="007F04B8">
      <w:pPr>
        <w:keepNext/>
        <w:keepLines/>
        <w:spacing w:after="0" w:line="360" w:lineRule="auto"/>
        <w:rPr>
          <w:b/>
          <w:color w:val="000000"/>
        </w:rPr>
      </w:pPr>
      <w:r>
        <w:rPr>
          <w:b/>
          <w:color w:val="000000"/>
        </w:rPr>
        <w:t>SÉPTIMO. Vista a la Secretaría Técnica del Pleno</w:t>
      </w:r>
    </w:p>
    <w:p w14:paraId="0AB69748" w14:textId="77777777" w:rsidR="009B5010" w:rsidRDefault="009B5010">
      <w:pPr>
        <w:spacing w:after="0" w:line="360" w:lineRule="auto"/>
        <w:rPr>
          <w:b/>
          <w:color w:val="000000"/>
        </w:rPr>
      </w:pPr>
    </w:p>
    <w:p w14:paraId="19D6526A" w14:textId="77777777" w:rsidR="009B5010" w:rsidRDefault="007F04B8">
      <w:pPr>
        <w:spacing w:after="0" w:line="360" w:lineRule="auto"/>
        <w:rPr>
          <w:color w:val="000000"/>
        </w:rPr>
      </w:pPr>
      <w:r>
        <w:rPr>
          <w:color w:val="000000"/>
        </w:rPr>
        <w:t>Ahora bien, del cotejo de la información entregada en respuesta, se logra vislumbrar que el Sujeto Obligado proporcionó el nombre de los policías municipales, lo cual vulnera lo previsto en el artículo 140, fracción IV, de la Ley de Transparencia y Acceso a la Información Pública del Estado de México y Municipios, se considera que el Ente Recurrido inobservó la Ley de la materia, a dar acceso a datos reservados.</w:t>
      </w:r>
    </w:p>
    <w:p w14:paraId="4E247B42" w14:textId="77777777" w:rsidR="009B5010" w:rsidRDefault="009B5010">
      <w:pPr>
        <w:spacing w:after="0" w:line="360" w:lineRule="auto"/>
        <w:rPr>
          <w:b/>
          <w:color w:val="000000"/>
        </w:rPr>
      </w:pPr>
    </w:p>
    <w:p w14:paraId="68996924" w14:textId="77777777" w:rsidR="009B5010" w:rsidRDefault="007F04B8">
      <w:pPr>
        <w:spacing w:after="0" w:line="360" w:lineRule="auto"/>
        <w:rPr>
          <w:b/>
          <w:color w:val="000000"/>
        </w:rPr>
      </w:pPr>
      <w:r>
        <w:rPr>
          <w:color w:val="000000"/>
        </w:rPr>
        <w:t>Al respecto, el artículo 36, fracción X, del ordenamiento jurídico en cita, establece que es atribución de este Instituto hacer del conocimiento del Órgano Interno de Control o equivalente de cada Sujeto Obligado las infracciones a esta Ley</w:t>
      </w:r>
      <w:r>
        <w:rPr>
          <w:b/>
          <w:color w:val="000000"/>
        </w:rPr>
        <w:t xml:space="preserve">.  </w:t>
      </w:r>
      <w:r>
        <w:rPr>
          <w:color w:val="000000"/>
        </w:rPr>
        <w:t>En ese sentido, de conformidad con lo previsto en el artículo 222, fracción IV, de dicho ordenamiento, son causas de responsabilidad administrativa los incumplimientos de las obligaciones establecida en la Ley de la materia, entre otras conductas, la entrega de información reservada.</w:t>
      </w:r>
    </w:p>
    <w:p w14:paraId="606385EF" w14:textId="77777777" w:rsidR="009B5010" w:rsidRDefault="009B5010">
      <w:pPr>
        <w:spacing w:after="0" w:line="360" w:lineRule="auto"/>
        <w:rPr>
          <w:color w:val="000000"/>
        </w:rPr>
      </w:pPr>
    </w:p>
    <w:p w14:paraId="65160554" w14:textId="77777777" w:rsidR="009B5010" w:rsidRDefault="007F04B8">
      <w:pPr>
        <w:spacing w:after="0" w:line="360" w:lineRule="auto"/>
        <w:rPr>
          <w:color w:val="000000"/>
        </w:rPr>
      </w:pPr>
      <w:r>
        <w:rPr>
          <w:color w:val="000000"/>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18D749C0" w14:textId="77777777" w:rsidR="009B5010" w:rsidRDefault="009B5010">
      <w:pPr>
        <w:spacing w:after="0" w:line="360" w:lineRule="auto"/>
        <w:rPr>
          <w:color w:val="000000"/>
        </w:rPr>
      </w:pPr>
    </w:p>
    <w:p w14:paraId="16350340" w14:textId="77777777" w:rsidR="009B5010" w:rsidRDefault="007F04B8">
      <w:pPr>
        <w:spacing w:after="0" w:line="360" w:lineRule="auto"/>
        <w:rPr>
          <w:color w:val="000000"/>
        </w:rPr>
      </w:pPr>
      <w:r>
        <w:rPr>
          <w:color w:val="000000"/>
        </w:rPr>
        <w:lastRenderedPageBreak/>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0ACA6015" w14:textId="77777777" w:rsidR="009B5010" w:rsidRDefault="009B5010">
      <w:pPr>
        <w:spacing w:after="0" w:line="360" w:lineRule="auto"/>
        <w:rPr>
          <w:color w:val="000000"/>
        </w:rPr>
      </w:pPr>
    </w:p>
    <w:p w14:paraId="10D4B117" w14:textId="77777777" w:rsidR="009B5010" w:rsidRDefault="007F04B8">
      <w:pPr>
        <w:spacing w:after="0" w:line="360" w:lineRule="auto"/>
        <w:rPr>
          <w:color w:val="000000"/>
        </w:rPr>
      </w:pPr>
      <w:r>
        <w:rPr>
          <w:color w:val="000000"/>
        </w:rPr>
        <w:t>Sobre el particular, si bien, la presente resolución no tiene por objetivo investigar y determinar posibles violaciones al derecho de acceso a la información, toda vez que este Organismo Autónomo, advirtió la revelación de datos reservados por parte del Sujeto Obligado, al dejarlos accesibles, se considera procedente dar vista a la Secretaría Técnica de este Instituto, para que realice lo conducente.</w:t>
      </w:r>
    </w:p>
    <w:p w14:paraId="4A9A8051" w14:textId="77777777" w:rsidR="009B5010" w:rsidRDefault="009B5010">
      <w:pPr>
        <w:spacing w:after="0" w:line="360" w:lineRule="auto"/>
        <w:rPr>
          <w:b/>
        </w:rPr>
      </w:pPr>
    </w:p>
    <w:p w14:paraId="24398FC6" w14:textId="77777777" w:rsidR="009B5010" w:rsidRDefault="007F04B8">
      <w:pPr>
        <w:spacing w:after="0" w:line="360" w:lineRule="auto"/>
        <w:rPr>
          <w:b/>
        </w:rPr>
      </w:pPr>
      <w:r>
        <w:rPr>
          <w:b/>
        </w:rPr>
        <w:t>Términos de la Resolución para la parte Recurrente:</w:t>
      </w:r>
    </w:p>
    <w:p w14:paraId="4F4D6B6E" w14:textId="77777777" w:rsidR="009B5010" w:rsidRDefault="009B5010">
      <w:pPr>
        <w:spacing w:after="0" w:line="360" w:lineRule="auto"/>
      </w:pPr>
    </w:p>
    <w:p w14:paraId="681F4642" w14:textId="77777777" w:rsidR="009B5010" w:rsidRDefault="007F04B8">
      <w:pPr>
        <w:spacing w:after="0" w:line="360" w:lineRule="auto"/>
      </w:pPr>
      <w:r>
        <w:t xml:space="preserve">Se hace del conocimiento de la parte Recurrente que este Organismo Garante determinó concederle la razón, puesto que el Sujeto Obligado no entregó la totalidad de la información solicitada; por lo que, deberá proporcionar lo faltante y lo proporcionado en respuesta en versión pública; </w:t>
      </w:r>
      <w:r>
        <w:rPr>
          <w:color w:val="000000"/>
        </w:rPr>
        <w:t>la labor del Instituto, es apoyar a la población a acceder a la información pública y garantizar la protección de sus datos personales.</w:t>
      </w:r>
    </w:p>
    <w:p w14:paraId="12D73004" w14:textId="77777777" w:rsidR="009B5010" w:rsidRDefault="009B5010">
      <w:pPr>
        <w:spacing w:after="0" w:line="360" w:lineRule="auto"/>
      </w:pPr>
    </w:p>
    <w:p w14:paraId="6459BB5A" w14:textId="77777777" w:rsidR="009B5010" w:rsidRDefault="007F04B8">
      <w:pPr>
        <w:spacing w:after="0" w:line="360" w:lineRule="auto"/>
      </w:pPr>
      <w:r>
        <w:t>Por lo expuesto y fundado, este Pleno:</w:t>
      </w:r>
    </w:p>
    <w:p w14:paraId="61756AD9" w14:textId="77777777" w:rsidR="009B5010" w:rsidRDefault="009B5010">
      <w:pPr>
        <w:spacing w:after="0" w:line="360" w:lineRule="auto"/>
        <w:rPr>
          <w:u w:val="single"/>
        </w:rPr>
      </w:pPr>
    </w:p>
    <w:p w14:paraId="7090EA09" w14:textId="77777777" w:rsidR="009B5010" w:rsidRDefault="007F04B8">
      <w:pPr>
        <w:pStyle w:val="Ttulo1"/>
        <w:spacing w:before="0" w:after="0"/>
        <w:rPr>
          <w:b w:val="0"/>
          <w:sz w:val="22"/>
          <w:szCs w:val="22"/>
        </w:rPr>
      </w:pPr>
      <w:bookmarkStart w:id="14" w:name="_Toc196924971"/>
      <w:r>
        <w:rPr>
          <w:sz w:val="22"/>
          <w:szCs w:val="22"/>
        </w:rPr>
        <w:t>R E S U E L V E</w:t>
      </w:r>
      <w:bookmarkEnd w:id="14"/>
    </w:p>
    <w:p w14:paraId="026F47FF" w14:textId="77777777" w:rsidR="009B5010" w:rsidRDefault="009B5010">
      <w:pPr>
        <w:spacing w:after="0" w:line="360" w:lineRule="auto"/>
        <w:rPr>
          <w:b/>
        </w:rPr>
      </w:pPr>
    </w:p>
    <w:p w14:paraId="0229A455" w14:textId="77777777" w:rsidR="009B5010" w:rsidRDefault="007F04B8">
      <w:pPr>
        <w:spacing w:after="0" w:line="360" w:lineRule="auto"/>
      </w:pPr>
      <w:r>
        <w:rPr>
          <w:b/>
        </w:rPr>
        <w:t xml:space="preserve">PRIMERO. </w:t>
      </w:r>
      <w:r>
        <w:t xml:space="preserve">Se </w:t>
      </w:r>
      <w:r>
        <w:rPr>
          <w:b/>
        </w:rPr>
        <w:t>MODIFICA</w:t>
      </w:r>
      <w:r>
        <w:t xml:space="preserve"> la respuesta entregada por el Ayuntamiento de San Martín de las Pirámides a la solicitud de información 00017/MARTIPIR/IP/2025, por resultar </w:t>
      </w:r>
      <w:r>
        <w:rPr>
          <w:b/>
        </w:rPr>
        <w:t>FUNDADAS</w:t>
      </w:r>
      <w:r>
        <w:t xml:space="preserve"> las </w:t>
      </w:r>
      <w:r>
        <w:lastRenderedPageBreak/>
        <w:t>razones o motivos de inconformidad hechos valer por la Recurrente, en términos de los considerandos QUINTO y SEXTO de la presente Resolución.</w:t>
      </w:r>
    </w:p>
    <w:p w14:paraId="1292082E" w14:textId="77777777" w:rsidR="009B5010" w:rsidRDefault="007F04B8">
      <w:pPr>
        <w:spacing w:after="0" w:line="360" w:lineRule="auto"/>
      </w:pPr>
      <w:r>
        <w:t xml:space="preserve"> </w:t>
      </w:r>
    </w:p>
    <w:p w14:paraId="07509923" w14:textId="77777777" w:rsidR="009B5010" w:rsidRDefault="007F04B8">
      <w:pPr>
        <w:spacing w:after="0" w:line="360" w:lineRule="auto"/>
        <w:ind w:right="-28"/>
      </w:pPr>
      <w:r>
        <w:rPr>
          <w:b/>
        </w:rPr>
        <w:t xml:space="preserve">SEGUNDO. </w:t>
      </w:r>
      <w:r>
        <w:t xml:space="preserve">Se </w:t>
      </w:r>
      <w:r>
        <w:rPr>
          <w:b/>
        </w:rPr>
        <w:t xml:space="preserve">ORDENA </w:t>
      </w:r>
      <w:r>
        <w:t xml:space="preserve">al </w:t>
      </w:r>
      <w:r>
        <w:rPr>
          <w:color w:val="0D0D0D"/>
        </w:rPr>
        <w:t>Sujeto Obligado</w:t>
      </w:r>
      <w:r>
        <w:t>, a efecto de que previa búsqueda exhaustiva y razonable en los archivos de las unidades administrativas competentes, entregue, a través del Sistema de Acceso a la Información Mexiquense (SAIMEX), en versión pública, lo siguiente:</w:t>
      </w:r>
    </w:p>
    <w:p w14:paraId="3A0F8A0F" w14:textId="77777777" w:rsidR="009B5010" w:rsidRDefault="009B5010">
      <w:pPr>
        <w:spacing w:after="0" w:line="360" w:lineRule="auto"/>
        <w:ind w:right="-28"/>
      </w:pPr>
    </w:p>
    <w:p w14:paraId="01302788" w14:textId="77777777" w:rsidR="009B5010" w:rsidRDefault="007F04B8">
      <w:pPr>
        <w:numPr>
          <w:ilvl w:val="0"/>
          <w:numId w:val="12"/>
        </w:numPr>
        <w:pBdr>
          <w:top w:val="nil"/>
          <w:left w:val="nil"/>
          <w:bottom w:val="nil"/>
          <w:right w:val="nil"/>
          <w:between w:val="nil"/>
        </w:pBdr>
        <w:spacing w:after="0" w:line="360" w:lineRule="auto"/>
        <w:ind w:right="-28"/>
        <w:rPr>
          <w:color w:val="000000"/>
        </w:rPr>
      </w:pPr>
      <w:r>
        <w:rPr>
          <w:color w:val="000000"/>
        </w:rPr>
        <w:t>La Conciliación de nómina de la primera quincena de diciembre de dos mil veinticuatro a la segunda de enero de dos mil veinticinco.</w:t>
      </w:r>
    </w:p>
    <w:p w14:paraId="2F6931A6" w14:textId="77777777" w:rsidR="009B5010" w:rsidRDefault="007F04B8">
      <w:pPr>
        <w:numPr>
          <w:ilvl w:val="0"/>
          <w:numId w:val="12"/>
        </w:numPr>
        <w:pBdr>
          <w:top w:val="nil"/>
          <w:left w:val="nil"/>
          <w:bottom w:val="nil"/>
          <w:right w:val="nil"/>
          <w:between w:val="nil"/>
        </w:pBdr>
        <w:spacing w:after="0" w:line="360" w:lineRule="auto"/>
        <w:ind w:right="-28"/>
        <w:rPr>
          <w:color w:val="000000"/>
        </w:rPr>
      </w:pPr>
      <w:r>
        <w:rPr>
          <w:color w:val="000000"/>
        </w:rPr>
        <w:t>Los recibos de nómina de todos los servidores públicos de la primera quincena de diciembre de dos mil veinticuatro a la segunda de enero de dos mil veinticinco (incluidos los entregados en respuesta).</w:t>
      </w:r>
    </w:p>
    <w:p w14:paraId="71A26B58" w14:textId="77777777" w:rsidR="009B5010" w:rsidRDefault="009B5010">
      <w:pPr>
        <w:spacing w:after="0" w:line="360" w:lineRule="auto"/>
      </w:pPr>
    </w:p>
    <w:p w14:paraId="7EFD0397" w14:textId="77777777" w:rsidR="009B5010" w:rsidRDefault="007F04B8">
      <w:pPr>
        <w:spacing w:after="0" w:line="360" w:lineRule="auto"/>
      </w:pPr>
      <w:r>
        <w:rPr>
          <w:color w:val="000000"/>
        </w:rPr>
        <w:t xml:space="preserve">Además, </w:t>
      </w:r>
      <w:r>
        <w:t>deberá proporcionar el Acuerdo de Clasificación donde el Comité de Transparencia, confirme la eliminación de los datos o información en la versión pública, en términos del Considerando QUINTO, de conformidad con los artículos 49, fracciones II y VIII y 132, fracción II de la Ley de Transparencia y Acceso a la Información Pública del Estado de México y Municipios.</w:t>
      </w:r>
    </w:p>
    <w:p w14:paraId="4B7FC0C0" w14:textId="77777777" w:rsidR="009B5010" w:rsidRDefault="009B5010">
      <w:pPr>
        <w:spacing w:after="0" w:line="360" w:lineRule="auto"/>
      </w:pPr>
    </w:p>
    <w:p w14:paraId="7F125A31" w14:textId="77777777" w:rsidR="009B5010" w:rsidRDefault="007F04B8">
      <w:pPr>
        <w:spacing w:after="0" w:line="360" w:lineRule="auto"/>
      </w:pPr>
      <w:r>
        <w:rPr>
          <w:b/>
        </w:rPr>
        <w:t xml:space="preserve">TERCERO. NOTIFÍQUESE POR SAIMEX </w:t>
      </w:r>
      <w: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w:t>
      </w:r>
      <w:r>
        <w:lastRenderedPageBreak/>
        <w:t>de manera parcial, se le impondrá una medida de apremio de conformidad con lo previsto en los artículos 198, 200, fracción III, 214, 215 y 216 de la Ley referida.</w:t>
      </w:r>
    </w:p>
    <w:p w14:paraId="7E1AFED6" w14:textId="77777777" w:rsidR="009B5010" w:rsidRDefault="009B5010">
      <w:pPr>
        <w:spacing w:after="0" w:line="360" w:lineRule="auto"/>
      </w:pPr>
    </w:p>
    <w:p w14:paraId="6CAF4D74" w14:textId="77777777" w:rsidR="009B5010" w:rsidRDefault="007F04B8">
      <w:pPr>
        <w:spacing w:after="0" w:line="360" w:lineRule="auto"/>
      </w:pPr>
      <w:r>
        <w:t>De conformidad con el artículo 198 de la Ley de la materia, de considerarlo procedente, el Sujeto Obligado de manera fundada y motivada, podrá solicitar una ampliación de plazo para el cumplimiento de la presente resolución.</w:t>
      </w:r>
    </w:p>
    <w:p w14:paraId="1C3B42C5" w14:textId="77777777" w:rsidR="009B5010" w:rsidRDefault="009B5010">
      <w:pPr>
        <w:spacing w:after="0" w:line="360" w:lineRule="auto"/>
        <w:rPr>
          <w:color w:val="000000"/>
        </w:rPr>
      </w:pPr>
    </w:p>
    <w:p w14:paraId="287D3B23" w14:textId="77777777" w:rsidR="009B5010" w:rsidRDefault="007F04B8">
      <w:pPr>
        <w:spacing w:after="0" w:line="360" w:lineRule="auto"/>
      </w:pPr>
      <w:r>
        <w:rPr>
          <w:b/>
        </w:rPr>
        <w:t>CUARTO. NOTIFÍQUESE</w:t>
      </w:r>
      <w:r>
        <w:t xml:space="preserve"> </w:t>
      </w:r>
      <w:r>
        <w:rPr>
          <w:b/>
        </w:rPr>
        <w:t xml:space="preserve">POR SAIMEX </w:t>
      </w:r>
      <w: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75270B3" w14:textId="77777777" w:rsidR="009B5010" w:rsidRDefault="009B5010">
      <w:pPr>
        <w:spacing w:after="0" w:line="360" w:lineRule="auto"/>
      </w:pPr>
    </w:p>
    <w:p w14:paraId="60BA6BB3" w14:textId="77777777" w:rsidR="009B5010" w:rsidRDefault="007F04B8">
      <w:pPr>
        <w:spacing w:after="0" w:line="360" w:lineRule="auto"/>
        <w:rPr>
          <w:b/>
          <w:color w:val="000000"/>
        </w:rPr>
      </w:pPr>
      <w:r>
        <w:rPr>
          <w:b/>
          <w:color w:val="000000"/>
        </w:rPr>
        <w:t xml:space="preserve">QUINTO. </w:t>
      </w:r>
      <w:r>
        <w:rPr>
          <w:color w:val="000000"/>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Pr>
          <w:b/>
          <w:color w:val="000000"/>
        </w:rPr>
        <w:t>SÉPTIMO</w:t>
      </w:r>
      <w:r>
        <w:rPr>
          <w:color w:val="000000"/>
        </w:rPr>
        <w:t xml:space="preserve"> de la presente Resolución.</w:t>
      </w:r>
    </w:p>
    <w:p w14:paraId="6AC2A8B6" w14:textId="77777777" w:rsidR="009B5010" w:rsidRDefault="009B5010">
      <w:pPr>
        <w:spacing w:after="0" w:line="360" w:lineRule="auto"/>
      </w:pPr>
    </w:p>
    <w:p w14:paraId="48CF4388" w14:textId="21AC35E7" w:rsidR="009B5010" w:rsidRDefault="007F04B8">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w:t>
      </w:r>
      <w:r w:rsidR="009D7153">
        <w:t xml:space="preserve">EZ, LUIS GUSTAVO PARRA NORIEGA </w:t>
      </w:r>
      <w:r>
        <w:t>CON VOTO PARTI</w:t>
      </w:r>
      <w:r w:rsidR="009D7153">
        <w:t>CULAR Y GUADALUPE RAMÍREZ PEÑA CON VOTO PARTICULAR</w:t>
      </w:r>
      <w:bookmarkStart w:id="15" w:name="_GoBack"/>
      <w:bookmarkEnd w:id="15"/>
      <w:r>
        <w:t>, EN LA DÉCIMA QUINTA SESIÓN ORDINARIA, CELEBRADA EL TREINTA DE ABRIL DE DOS MIL VEINTICINCO, ANTE EL SECRETARIO TÉCNICO DEL PLENO, ALEXIS TAPIA RAMÍREZ.</w:t>
      </w:r>
    </w:p>
    <w:p w14:paraId="525E8415" w14:textId="77777777" w:rsidR="009B5010" w:rsidRDefault="009B5010">
      <w:pPr>
        <w:pStyle w:val="Ttulo2"/>
        <w:spacing w:before="0" w:after="0"/>
        <w:rPr>
          <w:b w:val="0"/>
        </w:rPr>
      </w:pPr>
    </w:p>
    <w:p w14:paraId="0EFE0501" w14:textId="77777777" w:rsidR="009B5010" w:rsidRDefault="009B5010">
      <w:pPr>
        <w:spacing w:after="0" w:line="360" w:lineRule="auto"/>
      </w:pPr>
    </w:p>
    <w:p w14:paraId="4212B601" w14:textId="77777777" w:rsidR="009B5010" w:rsidRDefault="009B5010">
      <w:pPr>
        <w:spacing w:after="0" w:line="360" w:lineRule="auto"/>
      </w:pPr>
    </w:p>
    <w:p w14:paraId="62DD1882" w14:textId="77777777" w:rsidR="009B5010" w:rsidRDefault="009B5010">
      <w:pPr>
        <w:spacing w:after="0" w:line="360" w:lineRule="auto"/>
      </w:pPr>
    </w:p>
    <w:p w14:paraId="57020C64" w14:textId="77777777" w:rsidR="009B5010" w:rsidRDefault="009B5010">
      <w:pPr>
        <w:spacing w:after="0" w:line="360" w:lineRule="auto"/>
      </w:pPr>
    </w:p>
    <w:p w14:paraId="04A23804" w14:textId="77777777" w:rsidR="009B5010" w:rsidRDefault="009B5010">
      <w:pPr>
        <w:spacing w:after="0" w:line="360" w:lineRule="auto"/>
      </w:pPr>
    </w:p>
    <w:p w14:paraId="5E4BA334" w14:textId="77777777" w:rsidR="009B5010" w:rsidRDefault="009B5010">
      <w:pPr>
        <w:spacing w:after="0" w:line="360" w:lineRule="auto"/>
      </w:pPr>
    </w:p>
    <w:p w14:paraId="16C0F31C" w14:textId="77777777" w:rsidR="009B5010" w:rsidRDefault="009B5010">
      <w:pPr>
        <w:spacing w:after="0" w:line="360" w:lineRule="auto"/>
      </w:pPr>
    </w:p>
    <w:p w14:paraId="033B3E43" w14:textId="77777777" w:rsidR="009B5010" w:rsidRDefault="009B5010">
      <w:pPr>
        <w:spacing w:after="0" w:line="360" w:lineRule="auto"/>
      </w:pPr>
    </w:p>
    <w:p w14:paraId="12D02F97" w14:textId="77777777" w:rsidR="009B5010" w:rsidRDefault="009B5010">
      <w:pPr>
        <w:spacing w:after="0" w:line="360" w:lineRule="auto"/>
      </w:pPr>
    </w:p>
    <w:p w14:paraId="57BE5D84" w14:textId="77777777" w:rsidR="009B5010" w:rsidRDefault="009B5010">
      <w:pPr>
        <w:spacing w:after="0" w:line="360" w:lineRule="auto"/>
      </w:pPr>
    </w:p>
    <w:p w14:paraId="3D16817F" w14:textId="77777777" w:rsidR="009B5010" w:rsidRDefault="009B5010">
      <w:pPr>
        <w:spacing w:after="0" w:line="360" w:lineRule="auto"/>
      </w:pPr>
    </w:p>
    <w:p w14:paraId="2372B83C" w14:textId="77777777" w:rsidR="009B5010" w:rsidRDefault="009B5010">
      <w:pPr>
        <w:spacing w:after="0" w:line="360" w:lineRule="auto"/>
      </w:pPr>
    </w:p>
    <w:p w14:paraId="03129A23" w14:textId="77777777" w:rsidR="009B5010" w:rsidRDefault="009B5010">
      <w:pPr>
        <w:spacing w:after="0" w:line="360" w:lineRule="auto"/>
      </w:pPr>
    </w:p>
    <w:p w14:paraId="7BAFD700" w14:textId="77777777" w:rsidR="009B5010" w:rsidRDefault="009B5010">
      <w:pPr>
        <w:spacing w:after="0" w:line="360" w:lineRule="auto"/>
      </w:pPr>
    </w:p>
    <w:p w14:paraId="23D8143D" w14:textId="77777777" w:rsidR="009B5010" w:rsidRDefault="009B5010">
      <w:pPr>
        <w:spacing w:after="0" w:line="360" w:lineRule="auto"/>
      </w:pPr>
    </w:p>
    <w:p w14:paraId="338D2EAB" w14:textId="77777777" w:rsidR="009B5010" w:rsidRDefault="009B5010">
      <w:pPr>
        <w:spacing w:after="0" w:line="360" w:lineRule="auto"/>
      </w:pPr>
    </w:p>
    <w:p w14:paraId="4A442D0A" w14:textId="77777777" w:rsidR="009B5010" w:rsidRDefault="009B5010">
      <w:pPr>
        <w:spacing w:after="0" w:line="360" w:lineRule="auto"/>
      </w:pPr>
    </w:p>
    <w:p w14:paraId="3480A715" w14:textId="77777777" w:rsidR="009B5010" w:rsidRDefault="009B5010">
      <w:pPr>
        <w:spacing w:after="0" w:line="360" w:lineRule="auto"/>
      </w:pPr>
    </w:p>
    <w:sectPr w:rsidR="009B5010">
      <w:headerReference w:type="even" r:id="rId15"/>
      <w:headerReference w:type="default" r:id="rId16"/>
      <w:footerReference w:type="even" r:id="rId17"/>
      <w:footerReference w:type="default" r:id="rId18"/>
      <w:headerReference w:type="first" r:id="rId19"/>
      <w:footerReference w:type="first" r:id="rId20"/>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6CD1E" w14:textId="77777777" w:rsidR="00D91751" w:rsidRDefault="00D91751">
      <w:pPr>
        <w:spacing w:after="0" w:line="240" w:lineRule="auto"/>
      </w:pPr>
      <w:r>
        <w:separator/>
      </w:r>
    </w:p>
  </w:endnote>
  <w:endnote w:type="continuationSeparator" w:id="0">
    <w:p w14:paraId="79AE53C5" w14:textId="77777777" w:rsidR="00D91751" w:rsidRDefault="00D9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DE517" w14:textId="77777777" w:rsidR="009B5010" w:rsidRDefault="007F04B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BD18EC">
      <w:rPr>
        <w:b/>
        <w:color w:val="000000"/>
        <w:sz w:val="24"/>
        <w:szCs w:val="24"/>
      </w:rPr>
      <w:fldChar w:fldCharType="separate"/>
    </w:r>
    <w:r w:rsidR="00BD18EC">
      <w:rPr>
        <w:b/>
        <w:noProof/>
        <w:color w:val="000000"/>
        <w:sz w:val="24"/>
        <w:szCs w:val="24"/>
      </w:rPr>
      <w:t>42</w:t>
    </w:r>
    <w:r>
      <w:rPr>
        <w:b/>
        <w:color w:val="000000"/>
        <w:sz w:val="24"/>
        <w:szCs w:val="24"/>
      </w:rPr>
      <w:fldChar w:fldCharType="end"/>
    </w:r>
  </w:p>
  <w:p w14:paraId="240A6B37" w14:textId="77777777" w:rsidR="009B5010" w:rsidRDefault="009B501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97D5F" w14:textId="77777777" w:rsidR="009B5010" w:rsidRDefault="007F04B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D18EC">
      <w:rPr>
        <w:b/>
        <w:noProof/>
        <w:color w:val="000000"/>
        <w:sz w:val="24"/>
        <w:szCs w:val="24"/>
      </w:rPr>
      <w:t>40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D18EC">
      <w:rPr>
        <w:b/>
        <w:noProof/>
        <w:color w:val="000000"/>
        <w:sz w:val="24"/>
        <w:szCs w:val="24"/>
      </w:rPr>
      <w:t>42</w:t>
    </w:r>
    <w:r>
      <w:rPr>
        <w:b/>
        <w:color w:val="000000"/>
        <w:sz w:val="24"/>
        <w:szCs w:val="24"/>
      </w:rPr>
      <w:fldChar w:fldCharType="end"/>
    </w:r>
  </w:p>
  <w:p w14:paraId="2CDB8CEA" w14:textId="77777777" w:rsidR="009B5010" w:rsidRDefault="009B501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B62C" w14:textId="77777777" w:rsidR="009B5010" w:rsidRDefault="007F04B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D18E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D18EC">
      <w:rPr>
        <w:b/>
        <w:noProof/>
        <w:color w:val="000000"/>
        <w:sz w:val="24"/>
        <w:szCs w:val="24"/>
      </w:rPr>
      <w:t>42</w:t>
    </w:r>
    <w:r>
      <w:rPr>
        <w:b/>
        <w:color w:val="000000"/>
        <w:sz w:val="24"/>
        <w:szCs w:val="24"/>
      </w:rPr>
      <w:fldChar w:fldCharType="end"/>
    </w:r>
  </w:p>
  <w:p w14:paraId="104F9D77" w14:textId="77777777" w:rsidR="009B5010" w:rsidRDefault="009B501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64857" w14:textId="77777777" w:rsidR="00D91751" w:rsidRDefault="00D91751">
      <w:pPr>
        <w:spacing w:after="0" w:line="240" w:lineRule="auto"/>
      </w:pPr>
      <w:r>
        <w:separator/>
      </w:r>
    </w:p>
  </w:footnote>
  <w:footnote w:type="continuationSeparator" w:id="0">
    <w:p w14:paraId="43C733BD" w14:textId="77777777" w:rsidR="00D91751" w:rsidRDefault="00D917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FD6C5" w14:textId="77777777" w:rsidR="009B5010" w:rsidRDefault="009B5010">
    <w:pPr>
      <w:widowControl w:val="0"/>
      <w:pBdr>
        <w:top w:val="nil"/>
        <w:left w:val="nil"/>
        <w:bottom w:val="nil"/>
        <w:right w:val="nil"/>
        <w:between w:val="nil"/>
      </w:pBdr>
      <w:spacing w:after="0" w:line="276" w:lineRule="auto"/>
      <w:jc w:val="left"/>
      <w:rPr>
        <w:color w:val="000000"/>
      </w:rPr>
    </w:pPr>
  </w:p>
  <w:tbl>
    <w:tblPr>
      <w:tblStyle w:val="affc"/>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9B5010" w14:paraId="610EC8A6" w14:textId="77777777">
      <w:trPr>
        <w:trHeight w:val="141"/>
      </w:trPr>
      <w:tc>
        <w:tcPr>
          <w:tcW w:w="2404" w:type="dxa"/>
        </w:tcPr>
        <w:p w14:paraId="5E9F146A" w14:textId="77777777" w:rsidR="009B5010" w:rsidRDefault="007F04B8">
          <w:pPr>
            <w:tabs>
              <w:tab w:val="right" w:pos="8838"/>
            </w:tabs>
            <w:ind w:right="-105"/>
            <w:rPr>
              <w:b/>
            </w:rPr>
          </w:pPr>
          <w:r>
            <w:rPr>
              <w:b/>
            </w:rPr>
            <w:t>Recurso de Revisión:</w:t>
          </w:r>
        </w:p>
      </w:tc>
      <w:tc>
        <w:tcPr>
          <w:tcW w:w="3587" w:type="dxa"/>
        </w:tcPr>
        <w:p w14:paraId="17DEFFFA" w14:textId="77777777" w:rsidR="009B5010" w:rsidRDefault="007F04B8">
          <w:pPr>
            <w:tabs>
              <w:tab w:val="right" w:pos="8838"/>
            </w:tabs>
            <w:ind w:left="-28" w:right="683"/>
          </w:pPr>
          <w:r>
            <w:t>04196/INFOEM/IP/RR/2020</w:t>
          </w:r>
        </w:p>
      </w:tc>
    </w:tr>
    <w:tr w:rsidR="009B5010" w14:paraId="45033183" w14:textId="77777777">
      <w:trPr>
        <w:trHeight w:val="276"/>
      </w:trPr>
      <w:tc>
        <w:tcPr>
          <w:tcW w:w="2404" w:type="dxa"/>
        </w:tcPr>
        <w:p w14:paraId="0F34764D" w14:textId="77777777" w:rsidR="009B5010" w:rsidRDefault="007F04B8">
          <w:pPr>
            <w:tabs>
              <w:tab w:val="right" w:pos="8838"/>
            </w:tabs>
            <w:ind w:right="-105"/>
            <w:rPr>
              <w:b/>
            </w:rPr>
          </w:pPr>
          <w:r>
            <w:rPr>
              <w:b/>
            </w:rPr>
            <w:t>Sujeto Obligado:</w:t>
          </w:r>
        </w:p>
      </w:tc>
      <w:tc>
        <w:tcPr>
          <w:tcW w:w="3587" w:type="dxa"/>
        </w:tcPr>
        <w:p w14:paraId="6AAB3453" w14:textId="77777777" w:rsidR="009B5010" w:rsidRDefault="007F04B8">
          <w:pPr>
            <w:tabs>
              <w:tab w:val="right" w:pos="8838"/>
            </w:tabs>
            <w:ind w:right="116"/>
          </w:pPr>
          <w:r>
            <w:t>Ayuntamiento de Chapultepec</w:t>
          </w:r>
        </w:p>
      </w:tc>
    </w:tr>
    <w:tr w:rsidR="009B5010" w14:paraId="16884B18" w14:textId="77777777">
      <w:trPr>
        <w:trHeight w:val="276"/>
      </w:trPr>
      <w:tc>
        <w:tcPr>
          <w:tcW w:w="2404" w:type="dxa"/>
        </w:tcPr>
        <w:p w14:paraId="268F54DE" w14:textId="77777777" w:rsidR="009B5010" w:rsidRDefault="007F04B8">
          <w:pPr>
            <w:tabs>
              <w:tab w:val="right" w:pos="8838"/>
            </w:tabs>
            <w:ind w:right="-105"/>
            <w:rPr>
              <w:b/>
            </w:rPr>
          </w:pPr>
          <w:r>
            <w:rPr>
              <w:b/>
            </w:rPr>
            <w:t>Comisionado Ponente:</w:t>
          </w:r>
        </w:p>
      </w:tc>
      <w:tc>
        <w:tcPr>
          <w:tcW w:w="3587" w:type="dxa"/>
        </w:tcPr>
        <w:p w14:paraId="63B7A02A" w14:textId="77777777" w:rsidR="009B5010" w:rsidRDefault="007F04B8">
          <w:pPr>
            <w:tabs>
              <w:tab w:val="right" w:pos="8838"/>
            </w:tabs>
            <w:ind w:right="-32"/>
          </w:pPr>
          <w:r>
            <w:t>Luis Gustavo Parra Noriega</w:t>
          </w:r>
        </w:p>
      </w:tc>
    </w:tr>
  </w:tbl>
  <w:p w14:paraId="05B59769" w14:textId="77777777" w:rsidR="009B5010" w:rsidRDefault="00D91751">
    <w:pPr>
      <w:pBdr>
        <w:top w:val="nil"/>
        <w:left w:val="nil"/>
        <w:bottom w:val="nil"/>
        <w:right w:val="nil"/>
        <w:between w:val="nil"/>
      </w:pBdr>
      <w:tabs>
        <w:tab w:val="center" w:pos="4419"/>
        <w:tab w:val="right" w:pos="8838"/>
      </w:tabs>
      <w:spacing w:after="0" w:line="240" w:lineRule="auto"/>
      <w:rPr>
        <w:color w:val="000000"/>
      </w:rPr>
    </w:pPr>
    <w:r>
      <w:rPr>
        <w:color w:val="000000"/>
      </w:rPr>
      <w:pict w14:anchorId="05885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62D4F" w14:textId="77777777" w:rsidR="009B5010" w:rsidRDefault="009B5010">
    <w:pPr>
      <w:rPr>
        <w:sz w:val="16"/>
        <w:szCs w:val="16"/>
      </w:rPr>
    </w:pPr>
  </w:p>
  <w:tbl>
    <w:tblPr>
      <w:tblStyle w:val="affd"/>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9B5010" w14:paraId="5FBF2431" w14:textId="77777777">
      <w:trPr>
        <w:trHeight w:val="141"/>
      </w:trPr>
      <w:tc>
        <w:tcPr>
          <w:tcW w:w="2409" w:type="dxa"/>
        </w:tcPr>
        <w:p w14:paraId="734514A0" w14:textId="77777777" w:rsidR="009B5010" w:rsidRDefault="007F04B8">
          <w:pPr>
            <w:tabs>
              <w:tab w:val="right" w:pos="8838"/>
            </w:tabs>
            <w:ind w:left="-395" w:right="-105" w:firstLine="395"/>
            <w:rPr>
              <w:b/>
            </w:rPr>
          </w:pPr>
          <w:r>
            <w:rPr>
              <w:b/>
            </w:rPr>
            <w:t>Recurso de Revisión:</w:t>
          </w:r>
        </w:p>
      </w:tc>
      <w:tc>
        <w:tcPr>
          <w:tcW w:w="3686" w:type="dxa"/>
        </w:tcPr>
        <w:p w14:paraId="3C3531AA" w14:textId="77777777" w:rsidR="009B5010" w:rsidRDefault="007F04B8">
          <w:pPr>
            <w:tabs>
              <w:tab w:val="right" w:pos="8838"/>
            </w:tabs>
            <w:ind w:right="176"/>
          </w:pPr>
          <w:r>
            <w:t>02766/INFOEM/IP/RR/2025</w:t>
          </w:r>
        </w:p>
      </w:tc>
    </w:tr>
    <w:tr w:rsidR="009B5010" w14:paraId="2ECA7053" w14:textId="77777777">
      <w:trPr>
        <w:trHeight w:val="276"/>
      </w:trPr>
      <w:tc>
        <w:tcPr>
          <w:tcW w:w="2409" w:type="dxa"/>
        </w:tcPr>
        <w:p w14:paraId="42DC590C" w14:textId="77777777" w:rsidR="009B5010" w:rsidRDefault="007F04B8">
          <w:pPr>
            <w:tabs>
              <w:tab w:val="right" w:pos="8838"/>
            </w:tabs>
            <w:ind w:right="-105"/>
            <w:rPr>
              <w:b/>
            </w:rPr>
          </w:pPr>
          <w:r>
            <w:rPr>
              <w:b/>
            </w:rPr>
            <w:t>Sujeto Obligado:</w:t>
          </w:r>
        </w:p>
      </w:tc>
      <w:tc>
        <w:tcPr>
          <w:tcW w:w="3686" w:type="dxa"/>
        </w:tcPr>
        <w:p w14:paraId="1A50F4C2" w14:textId="77777777" w:rsidR="009B5010" w:rsidRDefault="007F04B8">
          <w:pPr>
            <w:tabs>
              <w:tab w:val="left" w:pos="3158"/>
              <w:tab w:val="left" w:pos="4292"/>
              <w:tab w:val="right" w:pos="8838"/>
            </w:tabs>
            <w:ind w:right="176"/>
          </w:pPr>
          <w:r>
            <w:t>Ayuntamiento de San Martín de las Pirámides</w:t>
          </w:r>
        </w:p>
      </w:tc>
    </w:tr>
    <w:tr w:rsidR="009B5010" w14:paraId="101D7D58" w14:textId="77777777">
      <w:trPr>
        <w:trHeight w:val="276"/>
      </w:trPr>
      <w:tc>
        <w:tcPr>
          <w:tcW w:w="2409" w:type="dxa"/>
        </w:tcPr>
        <w:p w14:paraId="2743DC52" w14:textId="77777777" w:rsidR="009B5010" w:rsidRDefault="007F04B8">
          <w:pPr>
            <w:tabs>
              <w:tab w:val="right" w:pos="8838"/>
            </w:tabs>
            <w:ind w:right="-105"/>
            <w:rPr>
              <w:b/>
            </w:rPr>
          </w:pPr>
          <w:r>
            <w:rPr>
              <w:b/>
            </w:rPr>
            <w:t>Comisionado Ponente:</w:t>
          </w:r>
        </w:p>
      </w:tc>
      <w:tc>
        <w:tcPr>
          <w:tcW w:w="3686" w:type="dxa"/>
        </w:tcPr>
        <w:p w14:paraId="71680A28" w14:textId="77777777" w:rsidR="009B5010" w:rsidRDefault="007F04B8">
          <w:pPr>
            <w:tabs>
              <w:tab w:val="right" w:pos="8838"/>
            </w:tabs>
            <w:ind w:right="176"/>
          </w:pPr>
          <w:r>
            <w:t>Luis Gustavo Parra Noriega</w:t>
          </w:r>
        </w:p>
        <w:p w14:paraId="3F5A8E9A" w14:textId="77777777" w:rsidR="009B5010" w:rsidRDefault="009B5010">
          <w:pPr>
            <w:tabs>
              <w:tab w:val="right" w:pos="8838"/>
            </w:tabs>
            <w:ind w:right="176"/>
          </w:pPr>
        </w:p>
      </w:tc>
    </w:tr>
  </w:tbl>
  <w:p w14:paraId="565E52D0" w14:textId="77777777" w:rsidR="009B5010" w:rsidRDefault="00D91751">
    <w:pPr>
      <w:pBdr>
        <w:top w:val="nil"/>
        <w:left w:val="nil"/>
        <w:bottom w:val="nil"/>
        <w:right w:val="nil"/>
        <w:between w:val="nil"/>
      </w:pBdr>
      <w:tabs>
        <w:tab w:val="center" w:pos="4419"/>
        <w:tab w:val="right" w:pos="8838"/>
      </w:tabs>
      <w:spacing w:after="0" w:line="240" w:lineRule="auto"/>
      <w:rPr>
        <w:color w:val="000000"/>
      </w:rPr>
    </w:pPr>
    <w:r>
      <w:rPr>
        <w:color w:val="000000"/>
      </w:rPr>
      <w:pict w14:anchorId="59AC0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DABF" w14:textId="77777777" w:rsidR="009B5010" w:rsidRDefault="009B5010">
    <w:pPr>
      <w:widowControl w:val="0"/>
      <w:pBdr>
        <w:top w:val="nil"/>
        <w:left w:val="nil"/>
        <w:bottom w:val="nil"/>
        <w:right w:val="nil"/>
        <w:between w:val="nil"/>
      </w:pBdr>
      <w:spacing w:after="0" w:line="276" w:lineRule="auto"/>
      <w:jc w:val="left"/>
      <w:rPr>
        <w:color w:val="000000"/>
      </w:rPr>
    </w:pPr>
  </w:p>
  <w:tbl>
    <w:tblPr>
      <w:tblStyle w:val="affe"/>
      <w:tblW w:w="9214" w:type="dxa"/>
      <w:tblInd w:w="0" w:type="dxa"/>
      <w:tblLayout w:type="fixed"/>
      <w:tblLook w:val="0400" w:firstRow="0" w:lastRow="0" w:firstColumn="0" w:lastColumn="0" w:noHBand="0" w:noVBand="1"/>
    </w:tblPr>
    <w:tblGrid>
      <w:gridCol w:w="2127"/>
      <w:gridCol w:w="7087"/>
    </w:tblGrid>
    <w:tr w:rsidR="009B5010" w14:paraId="11965540" w14:textId="77777777">
      <w:trPr>
        <w:trHeight w:val="1546"/>
      </w:trPr>
      <w:tc>
        <w:tcPr>
          <w:tcW w:w="2127" w:type="dxa"/>
          <w:shd w:val="clear" w:color="auto" w:fill="auto"/>
        </w:tcPr>
        <w:p w14:paraId="3617BD36" w14:textId="77777777" w:rsidR="009B5010" w:rsidRDefault="009B5010">
          <w:pPr>
            <w:tabs>
              <w:tab w:val="right" w:pos="4273"/>
            </w:tabs>
            <w:rPr>
              <w:rFonts w:ascii="Garamond" w:eastAsia="Garamond" w:hAnsi="Garamond" w:cs="Garamond"/>
              <w:sz w:val="16"/>
              <w:szCs w:val="16"/>
            </w:rPr>
          </w:pPr>
        </w:p>
      </w:tc>
      <w:tc>
        <w:tcPr>
          <w:tcW w:w="7087" w:type="dxa"/>
          <w:shd w:val="clear" w:color="auto" w:fill="auto"/>
        </w:tcPr>
        <w:p w14:paraId="47C282B4" w14:textId="77777777" w:rsidR="009B5010" w:rsidRDefault="009B5010">
          <w:pPr>
            <w:widowControl w:val="0"/>
            <w:pBdr>
              <w:top w:val="nil"/>
              <w:left w:val="nil"/>
              <w:bottom w:val="nil"/>
              <w:right w:val="nil"/>
              <w:between w:val="nil"/>
            </w:pBdr>
            <w:spacing w:line="276" w:lineRule="auto"/>
            <w:jc w:val="left"/>
            <w:rPr>
              <w:rFonts w:ascii="Garamond" w:eastAsia="Garamond" w:hAnsi="Garamond" w:cs="Garamond"/>
              <w:sz w:val="16"/>
              <w:szCs w:val="16"/>
            </w:rPr>
          </w:pPr>
        </w:p>
        <w:tbl>
          <w:tblPr>
            <w:tblStyle w:val="afff"/>
            <w:tblW w:w="5812" w:type="dxa"/>
            <w:tblInd w:w="1167" w:type="dxa"/>
            <w:tblLayout w:type="fixed"/>
            <w:tblLook w:val="0400" w:firstRow="0" w:lastRow="0" w:firstColumn="0" w:lastColumn="0" w:noHBand="0" w:noVBand="1"/>
          </w:tblPr>
          <w:tblGrid>
            <w:gridCol w:w="2410"/>
            <w:gridCol w:w="3402"/>
          </w:tblGrid>
          <w:tr w:rsidR="009B5010" w14:paraId="7A95579B" w14:textId="77777777">
            <w:trPr>
              <w:trHeight w:val="80"/>
            </w:trPr>
            <w:tc>
              <w:tcPr>
                <w:tcW w:w="2410" w:type="dxa"/>
                <w:vAlign w:val="bottom"/>
              </w:tcPr>
              <w:p w14:paraId="0C1D152D" w14:textId="77777777" w:rsidR="009B5010" w:rsidRDefault="007F04B8">
                <w:pPr>
                  <w:tabs>
                    <w:tab w:val="right" w:pos="8838"/>
                  </w:tabs>
                  <w:ind w:right="-105"/>
                  <w:rPr>
                    <w:b/>
                  </w:rPr>
                </w:pPr>
                <w:r>
                  <w:rPr>
                    <w:b/>
                  </w:rPr>
                  <w:t>Recurso de Revisión:</w:t>
                </w:r>
              </w:p>
            </w:tc>
            <w:tc>
              <w:tcPr>
                <w:tcW w:w="3402" w:type="dxa"/>
              </w:tcPr>
              <w:p w14:paraId="52C21465" w14:textId="77777777" w:rsidR="009B5010" w:rsidRDefault="007F04B8">
                <w:pPr>
                  <w:tabs>
                    <w:tab w:val="right" w:pos="8838"/>
                  </w:tabs>
                  <w:ind w:left="-28" w:right="-107"/>
                </w:pPr>
                <w:r>
                  <w:rPr>
                    <w:b/>
                  </w:rPr>
                  <w:t xml:space="preserve"> </w:t>
                </w:r>
                <w:r>
                  <w:t>02766/INFOEM/IP/RR/2025</w:t>
                </w:r>
              </w:p>
            </w:tc>
          </w:tr>
          <w:tr w:rsidR="009B5010" w14:paraId="5D6FFC73" w14:textId="77777777">
            <w:trPr>
              <w:trHeight w:val="141"/>
            </w:trPr>
            <w:tc>
              <w:tcPr>
                <w:tcW w:w="2410" w:type="dxa"/>
              </w:tcPr>
              <w:p w14:paraId="4E4ECB3F" w14:textId="77777777" w:rsidR="009B5010" w:rsidRDefault="007F04B8">
                <w:pPr>
                  <w:tabs>
                    <w:tab w:val="right" w:pos="8838"/>
                  </w:tabs>
                  <w:ind w:right="-105"/>
                  <w:rPr>
                    <w:b/>
                  </w:rPr>
                </w:pPr>
                <w:r>
                  <w:rPr>
                    <w:b/>
                  </w:rPr>
                  <w:t>Recurrente:</w:t>
                </w:r>
              </w:p>
            </w:tc>
            <w:tc>
              <w:tcPr>
                <w:tcW w:w="3402" w:type="dxa"/>
              </w:tcPr>
              <w:p w14:paraId="3FD80621" w14:textId="77777777" w:rsidR="009B5010" w:rsidRDefault="009B5010">
                <w:pPr>
                  <w:tabs>
                    <w:tab w:val="right" w:pos="8838"/>
                  </w:tabs>
                  <w:ind w:right="-107"/>
                </w:pPr>
              </w:p>
            </w:tc>
          </w:tr>
          <w:tr w:rsidR="009B5010" w14:paraId="71B5B3D6" w14:textId="77777777">
            <w:trPr>
              <w:trHeight w:val="276"/>
            </w:trPr>
            <w:tc>
              <w:tcPr>
                <w:tcW w:w="2410" w:type="dxa"/>
              </w:tcPr>
              <w:p w14:paraId="2C34A72A" w14:textId="77777777" w:rsidR="009B5010" w:rsidRDefault="007F04B8">
                <w:pPr>
                  <w:tabs>
                    <w:tab w:val="right" w:pos="8838"/>
                  </w:tabs>
                  <w:ind w:right="-105"/>
                  <w:rPr>
                    <w:b/>
                  </w:rPr>
                </w:pPr>
                <w:r>
                  <w:rPr>
                    <w:b/>
                  </w:rPr>
                  <w:t>Sujeto Obligado:</w:t>
                </w:r>
              </w:p>
            </w:tc>
            <w:tc>
              <w:tcPr>
                <w:tcW w:w="3402" w:type="dxa"/>
              </w:tcPr>
              <w:p w14:paraId="7AFDB27F" w14:textId="77777777" w:rsidR="009B5010" w:rsidRDefault="007F04B8">
                <w:pPr>
                  <w:tabs>
                    <w:tab w:val="right" w:pos="8838"/>
                  </w:tabs>
                  <w:ind w:right="33"/>
                </w:pPr>
                <w:r>
                  <w:t>Ayuntamiento de San Martín de las Pirámides</w:t>
                </w:r>
              </w:p>
            </w:tc>
          </w:tr>
          <w:tr w:rsidR="009B5010" w14:paraId="44023D1E" w14:textId="77777777">
            <w:trPr>
              <w:trHeight w:val="276"/>
            </w:trPr>
            <w:tc>
              <w:tcPr>
                <w:tcW w:w="2410" w:type="dxa"/>
              </w:tcPr>
              <w:p w14:paraId="62C102C4" w14:textId="77777777" w:rsidR="009B5010" w:rsidRDefault="007F04B8">
                <w:pPr>
                  <w:tabs>
                    <w:tab w:val="right" w:pos="8838"/>
                  </w:tabs>
                  <w:ind w:right="-105"/>
                  <w:rPr>
                    <w:b/>
                  </w:rPr>
                </w:pPr>
                <w:r>
                  <w:rPr>
                    <w:b/>
                  </w:rPr>
                  <w:t>Comisionado Ponente:</w:t>
                </w:r>
              </w:p>
            </w:tc>
            <w:tc>
              <w:tcPr>
                <w:tcW w:w="3402" w:type="dxa"/>
              </w:tcPr>
              <w:p w14:paraId="2193F3F2" w14:textId="77777777" w:rsidR="009B5010" w:rsidRDefault="007F04B8">
                <w:pPr>
                  <w:tabs>
                    <w:tab w:val="right" w:pos="8838"/>
                  </w:tabs>
                  <w:ind w:right="-107"/>
                </w:pPr>
                <w:r>
                  <w:t>Luis Gustavo Parra Noriega</w:t>
                </w:r>
              </w:p>
            </w:tc>
          </w:tr>
        </w:tbl>
        <w:p w14:paraId="24EF7633" w14:textId="77777777" w:rsidR="009B5010" w:rsidRDefault="009B5010">
          <w:pPr>
            <w:tabs>
              <w:tab w:val="right" w:pos="8838"/>
            </w:tabs>
            <w:ind w:left="-28"/>
            <w:rPr>
              <w:rFonts w:ascii="Arial" w:eastAsia="Arial" w:hAnsi="Arial" w:cs="Arial"/>
              <w:b/>
            </w:rPr>
          </w:pPr>
        </w:p>
      </w:tc>
    </w:tr>
  </w:tbl>
  <w:p w14:paraId="4F51401B" w14:textId="77777777" w:rsidR="009B5010" w:rsidRDefault="00D91751">
    <w:pPr>
      <w:pBdr>
        <w:top w:val="nil"/>
        <w:left w:val="nil"/>
        <w:bottom w:val="nil"/>
        <w:right w:val="nil"/>
        <w:between w:val="nil"/>
      </w:pBdr>
      <w:tabs>
        <w:tab w:val="center" w:pos="4419"/>
        <w:tab w:val="right" w:pos="8838"/>
      </w:tabs>
      <w:spacing w:after="0" w:line="240" w:lineRule="auto"/>
      <w:rPr>
        <w:color w:val="000000"/>
      </w:rPr>
    </w:pPr>
    <w:r>
      <w:rPr>
        <w:color w:val="000000"/>
      </w:rPr>
      <w:pict w14:anchorId="38617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299D"/>
    <w:multiLevelType w:val="multilevel"/>
    <w:tmpl w:val="4828977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83198C"/>
    <w:multiLevelType w:val="multilevel"/>
    <w:tmpl w:val="723A7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0B1B0B"/>
    <w:multiLevelType w:val="multilevel"/>
    <w:tmpl w:val="7A6A9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0B54A8"/>
    <w:multiLevelType w:val="multilevel"/>
    <w:tmpl w:val="F4E8F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BE1CB4"/>
    <w:multiLevelType w:val="multilevel"/>
    <w:tmpl w:val="BF827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B7495A"/>
    <w:multiLevelType w:val="multilevel"/>
    <w:tmpl w:val="826A84E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DE6A09"/>
    <w:multiLevelType w:val="multilevel"/>
    <w:tmpl w:val="3A7AD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5D3496"/>
    <w:multiLevelType w:val="multilevel"/>
    <w:tmpl w:val="24986716"/>
    <w:lvl w:ilvl="0">
      <w:start w:val="1"/>
      <w:numFmt w:val="bullet"/>
      <w:lvlText w:val="●"/>
      <w:lvlJc w:val="left"/>
      <w:pPr>
        <w:ind w:left="780" w:hanging="360"/>
      </w:pPr>
      <w:rPr>
        <w:rFonts w:ascii="Palatino Linotype" w:eastAsia="Palatino Linotype" w:hAnsi="Palatino Linotype" w:cs="Palatino Linotype"/>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647B7ED3"/>
    <w:multiLevelType w:val="multilevel"/>
    <w:tmpl w:val="84BA66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8BF333F"/>
    <w:multiLevelType w:val="multilevel"/>
    <w:tmpl w:val="460456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BA3FB2"/>
    <w:multiLevelType w:val="multilevel"/>
    <w:tmpl w:val="87927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D9412A"/>
    <w:multiLevelType w:val="multilevel"/>
    <w:tmpl w:val="59D6DA6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B63B6D"/>
    <w:multiLevelType w:val="multilevel"/>
    <w:tmpl w:val="1CB80E6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num>
  <w:num w:numId="3">
    <w:abstractNumId w:val="3"/>
  </w:num>
  <w:num w:numId="4">
    <w:abstractNumId w:val="6"/>
  </w:num>
  <w:num w:numId="5">
    <w:abstractNumId w:val="8"/>
  </w:num>
  <w:num w:numId="6">
    <w:abstractNumId w:val="9"/>
  </w:num>
  <w:num w:numId="7">
    <w:abstractNumId w:val="1"/>
  </w:num>
  <w:num w:numId="8">
    <w:abstractNumId w:val="7"/>
  </w:num>
  <w:num w:numId="9">
    <w:abstractNumId w:val="0"/>
  </w:num>
  <w:num w:numId="10">
    <w:abstractNumId w:val="12"/>
  </w:num>
  <w:num w:numId="11">
    <w:abstractNumId w:val="1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10"/>
    <w:rsid w:val="00004B4D"/>
    <w:rsid w:val="00221E6D"/>
    <w:rsid w:val="002657C1"/>
    <w:rsid w:val="002F0697"/>
    <w:rsid w:val="007F04B8"/>
    <w:rsid w:val="007F6C47"/>
    <w:rsid w:val="009B5010"/>
    <w:rsid w:val="009D7153"/>
    <w:rsid w:val="00BD18EC"/>
    <w:rsid w:val="00D917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92C6E0"/>
  <w15:docId w15:val="{8F1F8E23-87B0-4361-A709-E279CE3A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a"/>
    <w:pPr>
      <w:spacing w:after="0" w:line="240" w:lineRule="auto"/>
    </w:pPr>
    <w:tblPr>
      <w:tblStyleRowBandSize w:val="1"/>
      <w:tblStyleColBandSize w:val="1"/>
      <w:tblCellMar>
        <w:left w:w="108" w:type="dxa"/>
        <w:right w:w="108" w:type="dxa"/>
      </w:tblCellMar>
    </w:tblPr>
  </w:style>
  <w:style w:type="table" w:customStyle="1" w:styleId="a0">
    <w:basedOn w:val="TableNormala"/>
    <w:pPr>
      <w:spacing w:after="0" w:line="240" w:lineRule="auto"/>
    </w:pPr>
    <w:tblPr>
      <w:tblStyleRowBandSize w:val="1"/>
      <w:tblStyleColBandSize w:val="1"/>
      <w:tblCellMar>
        <w:left w:w="108" w:type="dxa"/>
        <w:right w:w="108" w:type="dxa"/>
      </w:tblCellMar>
    </w:tblPr>
  </w:style>
  <w:style w:type="table" w:customStyle="1" w:styleId="a1">
    <w:basedOn w:val="TableNormala"/>
    <w:tblPr>
      <w:tblStyleRowBandSize w:val="1"/>
      <w:tblStyleColBandSize w:val="1"/>
      <w:tblCellMar>
        <w:left w:w="115" w:type="dxa"/>
        <w:right w:w="115" w:type="dxa"/>
      </w:tblCellMar>
    </w:tblPr>
  </w:style>
  <w:style w:type="table" w:customStyle="1" w:styleId="a2">
    <w:basedOn w:val="TableNormala"/>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a"/>
    <w:pPr>
      <w:spacing w:after="0" w:line="240" w:lineRule="auto"/>
    </w:pPr>
    <w:tblPr>
      <w:tblStyleRowBandSize w:val="1"/>
      <w:tblStyleColBandSize w:val="1"/>
      <w:tblCellMar>
        <w:left w:w="108" w:type="dxa"/>
        <w:right w:w="108" w:type="dxa"/>
      </w:tblCellMar>
    </w:tblPr>
  </w:style>
  <w:style w:type="table" w:customStyle="1" w:styleId="a4">
    <w:basedOn w:val="TableNormala"/>
    <w:pPr>
      <w:spacing w:after="0" w:line="240" w:lineRule="auto"/>
    </w:pPr>
    <w:tblPr>
      <w:tblStyleRowBandSize w:val="1"/>
      <w:tblStyleColBandSize w:val="1"/>
      <w:tblCellMar>
        <w:left w:w="108" w:type="dxa"/>
        <w:right w:w="108" w:type="dxa"/>
      </w:tblCellMar>
    </w:tblPr>
  </w:style>
  <w:style w:type="table" w:customStyle="1" w:styleId="a5">
    <w:basedOn w:val="TableNormala"/>
    <w:pPr>
      <w:spacing w:after="0" w:line="240" w:lineRule="auto"/>
    </w:pPr>
    <w:tblPr>
      <w:tblStyleRowBandSize w:val="1"/>
      <w:tblStyleColBandSize w:val="1"/>
      <w:tblCellMar>
        <w:left w:w="108" w:type="dxa"/>
        <w:right w:w="108" w:type="dxa"/>
      </w:tblCellMar>
    </w:tblPr>
  </w:style>
  <w:style w:type="table" w:customStyle="1" w:styleId="a6">
    <w:basedOn w:val="TableNormala"/>
    <w:pPr>
      <w:spacing w:after="0" w:line="240" w:lineRule="auto"/>
    </w:pPr>
    <w:tblPr>
      <w:tblStyleRowBandSize w:val="1"/>
      <w:tblStyleColBandSize w:val="1"/>
      <w:tblCellMar>
        <w:left w:w="108" w:type="dxa"/>
        <w:right w:w="108" w:type="dxa"/>
      </w:tblCellMar>
    </w:tblPr>
  </w:style>
  <w:style w:type="table" w:customStyle="1" w:styleId="a7">
    <w:basedOn w:val="TableNormal9"/>
    <w:pPr>
      <w:spacing w:after="0" w:line="240" w:lineRule="auto"/>
    </w:pPr>
    <w:tblPr>
      <w:tblStyleRowBandSize w:val="1"/>
      <w:tblStyleColBandSize w:val="1"/>
      <w:tblCellMar>
        <w:left w:w="108" w:type="dxa"/>
        <w:right w:w="108" w:type="dxa"/>
      </w:tblCellMar>
    </w:tblPr>
  </w:style>
  <w:style w:type="table" w:customStyle="1" w:styleId="a8">
    <w:basedOn w:val="TableNormal9"/>
    <w:pPr>
      <w:spacing w:after="0" w:line="240" w:lineRule="auto"/>
    </w:pPr>
    <w:tblPr>
      <w:tblStyleRowBandSize w:val="1"/>
      <w:tblStyleColBandSize w:val="1"/>
      <w:tblCellMar>
        <w:left w:w="108" w:type="dxa"/>
        <w:right w:w="108" w:type="dxa"/>
      </w:tblCellMar>
    </w:tblPr>
  </w:style>
  <w:style w:type="table" w:customStyle="1" w:styleId="a9">
    <w:basedOn w:val="TableNormal9"/>
    <w:pPr>
      <w:spacing w:after="0" w:line="240" w:lineRule="auto"/>
    </w:pPr>
    <w:tblPr>
      <w:tblStyleRowBandSize w:val="1"/>
      <w:tblStyleColBandSize w:val="1"/>
      <w:tblCellMar>
        <w:left w:w="108" w:type="dxa"/>
        <w:right w:w="108" w:type="dxa"/>
      </w:tblCellMar>
    </w:tblPr>
  </w:style>
  <w:style w:type="table" w:customStyle="1" w:styleId="aa">
    <w:basedOn w:val="TableNormal9"/>
    <w:pPr>
      <w:spacing w:after="0" w:line="240" w:lineRule="auto"/>
    </w:pPr>
    <w:tblPr>
      <w:tblStyleRowBandSize w:val="1"/>
      <w:tblStyleColBandSize w:val="1"/>
      <w:tblCellMar>
        <w:left w:w="108" w:type="dxa"/>
        <w:right w:w="108" w:type="dxa"/>
      </w:tblCellMar>
    </w:tblPr>
  </w:style>
  <w:style w:type="table" w:customStyle="1" w:styleId="ab">
    <w:basedOn w:val="TableNormal8"/>
    <w:pPr>
      <w:spacing w:after="0" w:line="240" w:lineRule="auto"/>
    </w:pPr>
    <w:tblPr>
      <w:tblStyleRowBandSize w:val="1"/>
      <w:tblStyleColBandSize w:val="1"/>
      <w:tblCellMar>
        <w:left w:w="108" w:type="dxa"/>
        <w:right w:w="108" w:type="dxa"/>
      </w:tblCellMar>
    </w:tblPr>
  </w:style>
  <w:style w:type="table" w:customStyle="1" w:styleId="ac">
    <w:basedOn w:val="TableNormal8"/>
    <w:pPr>
      <w:spacing w:after="0" w:line="240" w:lineRule="auto"/>
    </w:pPr>
    <w:tblPr>
      <w:tblStyleRowBandSize w:val="1"/>
      <w:tblStyleColBandSize w:val="1"/>
      <w:tblCellMar>
        <w:left w:w="108" w:type="dxa"/>
        <w:right w:w="108" w:type="dxa"/>
      </w:tblCellMar>
    </w:tblPr>
  </w:style>
  <w:style w:type="table" w:customStyle="1" w:styleId="ad">
    <w:basedOn w:val="TableNormal8"/>
    <w:pPr>
      <w:spacing w:after="0" w:line="240" w:lineRule="auto"/>
    </w:pPr>
    <w:tblPr>
      <w:tblStyleRowBandSize w:val="1"/>
      <w:tblStyleColBandSize w:val="1"/>
      <w:tblCellMar>
        <w:left w:w="108" w:type="dxa"/>
        <w:right w:w="108" w:type="dxa"/>
      </w:tblCellMar>
    </w:tblPr>
  </w:style>
  <w:style w:type="table" w:customStyle="1" w:styleId="ae">
    <w:basedOn w:val="TableNormal8"/>
    <w:pPr>
      <w:spacing w:after="0" w:line="240" w:lineRule="auto"/>
    </w:pPr>
    <w:tblPr>
      <w:tblStyleRowBandSize w:val="1"/>
      <w:tblStyleColBandSize w:val="1"/>
      <w:tblCellMar>
        <w:left w:w="108" w:type="dxa"/>
        <w:right w:w="108" w:type="dxa"/>
      </w:tblCellMar>
    </w:tblPr>
  </w:style>
  <w:style w:type="table" w:customStyle="1" w:styleId="af">
    <w:basedOn w:val="TableNormal7"/>
    <w:pPr>
      <w:spacing w:after="0" w:line="240" w:lineRule="auto"/>
    </w:pPr>
    <w:tblPr>
      <w:tblStyleRowBandSize w:val="1"/>
      <w:tblStyleColBandSize w:val="1"/>
      <w:tblCellMar>
        <w:left w:w="108" w:type="dxa"/>
        <w:right w:w="108" w:type="dxa"/>
      </w:tblCellMar>
    </w:tblPr>
  </w:style>
  <w:style w:type="table" w:customStyle="1" w:styleId="af0">
    <w:basedOn w:val="TableNormal7"/>
    <w:pPr>
      <w:spacing w:after="0" w:line="240" w:lineRule="auto"/>
    </w:pPr>
    <w:tblPr>
      <w:tblStyleRowBandSize w:val="1"/>
      <w:tblStyleColBandSize w:val="1"/>
      <w:tblCellMar>
        <w:left w:w="108" w:type="dxa"/>
        <w:right w:w="108" w:type="dxa"/>
      </w:tblCellMar>
    </w:tblPr>
  </w:style>
  <w:style w:type="table" w:customStyle="1" w:styleId="af1">
    <w:basedOn w:val="TableNormal7"/>
    <w:pPr>
      <w:spacing w:after="0" w:line="240" w:lineRule="auto"/>
    </w:pPr>
    <w:tblPr>
      <w:tblStyleRowBandSize w:val="1"/>
      <w:tblStyleColBandSize w:val="1"/>
      <w:tblCellMar>
        <w:left w:w="108" w:type="dxa"/>
        <w:right w:w="108" w:type="dxa"/>
      </w:tblCellMar>
    </w:tblPr>
  </w:style>
  <w:style w:type="table" w:customStyle="1" w:styleId="af2">
    <w:basedOn w:val="TableNormal7"/>
    <w:pPr>
      <w:spacing w:after="0" w:line="240" w:lineRule="auto"/>
    </w:pPr>
    <w:tblPr>
      <w:tblStyleRowBandSize w:val="1"/>
      <w:tblStyleColBandSize w:val="1"/>
      <w:tblCellMar>
        <w:left w:w="108" w:type="dxa"/>
        <w:right w:w="108" w:type="dxa"/>
      </w:tblCellMar>
    </w:tblPr>
  </w:style>
  <w:style w:type="table" w:customStyle="1" w:styleId="af3">
    <w:basedOn w:val="TableNormal6"/>
    <w:pPr>
      <w:spacing w:after="0" w:line="240" w:lineRule="auto"/>
    </w:pPr>
    <w:tblPr>
      <w:tblStyleRowBandSize w:val="1"/>
      <w:tblStyleColBandSize w:val="1"/>
      <w:tblCellMar>
        <w:left w:w="108" w:type="dxa"/>
        <w:right w:w="108" w:type="dxa"/>
      </w:tblCellMar>
    </w:tblPr>
  </w:style>
  <w:style w:type="table" w:customStyle="1" w:styleId="af4">
    <w:basedOn w:val="TableNormal6"/>
    <w:pPr>
      <w:spacing w:after="0" w:line="240" w:lineRule="auto"/>
    </w:pPr>
    <w:tblPr>
      <w:tblStyleRowBandSize w:val="1"/>
      <w:tblStyleColBandSize w:val="1"/>
      <w:tblCellMar>
        <w:left w:w="108" w:type="dxa"/>
        <w:right w:w="108" w:type="dxa"/>
      </w:tblCellMar>
    </w:tblPr>
  </w:style>
  <w:style w:type="table" w:customStyle="1" w:styleId="af5">
    <w:basedOn w:val="TableNormal6"/>
    <w:pPr>
      <w:spacing w:after="0" w:line="240" w:lineRule="auto"/>
    </w:pPr>
    <w:tblPr>
      <w:tblStyleRowBandSize w:val="1"/>
      <w:tblStyleColBandSize w:val="1"/>
      <w:tblCellMar>
        <w:left w:w="108" w:type="dxa"/>
        <w:right w:w="108" w:type="dxa"/>
      </w:tblCellMar>
    </w:tblPr>
  </w:style>
  <w:style w:type="table" w:customStyle="1" w:styleId="af6">
    <w:basedOn w:val="TableNormal6"/>
    <w:pPr>
      <w:spacing w:after="0" w:line="240" w:lineRule="auto"/>
    </w:pPr>
    <w:tblPr>
      <w:tblStyleRowBandSize w:val="1"/>
      <w:tblStyleColBandSize w:val="1"/>
      <w:tblCellMar>
        <w:left w:w="108" w:type="dxa"/>
        <w:right w:w="108" w:type="dxa"/>
      </w:tblCellMar>
    </w:tblPr>
  </w:style>
  <w:style w:type="table" w:customStyle="1" w:styleId="af7">
    <w:basedOn w:val="TableNormal5"/>
    <w:pPr>
      <w:spacing w:after="0" w:line="240" w:lineRule="auto"/>
    </w:pPr>
    <w:tblPr>
      <w:tblStyleRowBandSize w:val="1"/>
      <w:tblStyleColBandSize w:val="1"/>
      <w:tblCellMar>
        <w:left w:w="108" w:type="dxa"/>
        <w:right w:w="108" w:type="dxa"/>
      </w:tblCellMar>
    </w:tblPr>
  </w:style>
  <w:style w:type="table" w:customStyle="1" w:styleId="af8">
    <w:basedOn w:val="TableNormal5"/>
    <w:pPr>
      <w:spacing w:after="0" w:line="240" w:lineRule="auto"/>
    </w:pPr>
    <w:tblPr>
      <w:tblStyleRowBandSize w:val="1"/>
      <w:tblStyleColBandSize w:val="1"/>
      <w:tblCellMar>
        <w:left w:w="108" w:type="dxa"/>
        <w:right w:w="108" w:type="dxa"/>
      </w:tblCellMar>
    </w:tblPr>
  </w:style>
  <w:style w:type="table" w:customStyle="1" w:styleId="af9">
    <w:basedOn w:val="TableNormal5"/>
    <w:pPr>
      <w:spacing w:after="0" w:line="240" w:lineRule="auto"/>
    </w:pPr>
    <w:tblPr>
      <w:tblStyleRowBandSize w:val="1"/>
      <w:tblStyleColBandSize w:val="1"/>
      <w:tblCellMar>
        <w:left w:w="108" w:type="dxa"/>
        <w:right w:w="108" w:type="dxa"/>
      </w:tblCellMar>
    </w:tblPr>
  </w:style>
  <w:style w:type="table" w:customStyle="1" w:styleId="afa">
    <w:basedOn w:val="TableNormal5"/>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pPr>
      <w:spacing w:after="0" w:line="240" w:lineRule="auto"/>
    </w:pPr>
    <w:tblPr>
      <w:tblStyleRowBandSize w:val="1"/>
      <w:tblStyleColBandSize w:val="1"/>
      <w:tblCellMar>
        <w:left w:w="108" w:type="dxa"/>
        <w:right w:w="108" w:type="dxa"/>
      </w:tblCellMar>
    </w:tblPr>
  </w:style>
  <w:style w:type="table" w:customStyle="1" w:styleId="afe">
    <w:basedOn w:val="TableNormal4"/>
    <w:pPr>
      <w:spacing w:after="0" w:line="240" w:lineRule="auto"/>
    </w:pPr>
    <w:tblPr>
      <w:tblStyleRowBandSize w:val="1"/>
      <w:tblStyleColBandSize w:val="1"/>
      <w:tblCellMar>
        <w:left w:w="108" w:type="dxa"/>
        <w:right w:w="108" w:type="dxa"/>
      </w:tblCellMar>
    </w:tblPr>
  </w:style>
  <w:style w:type="table" w:customStyle="1" w:styleId="aff">
    <w:basedOn w:val="TableNormal3"/>
    <w:pPr>
      <w:spacing w:after="0" w:line="240" w:lineRule="auto"/>
    </w:pPr>
    <w:tblPr>
      <w:tblStyleRowBandSize w:val="1"/>
      <w:tblStyleColBandSize w:val="1"/>
      <w:tblCellMar>
        <w:left w:w="108" w:type="dxa"/>
        <w:right w:w="108" w:type="dxa"/>
      </w:tblCellMar>
    </w:tblPr>
  </w:style>
  <w:style w:type="table" w:customStyle="1" w:styleId="aff0">
    <w:basedOn w:val="TableNormal3"/>
    <w:pPr>
      <w:spacing w:after="0" w:line="240" w:lineRule="auto"/>
    </w:pPr>
    <w:tblPr>
      <w:tblStyleRowBandSize w:val="1"/>
      <w:tblStyleColBandSize w:val="1"/>
      <w:tblCellMar>
        <w:left w:w="108" w:type="dxa"/>
        <w:right w:w="108" w:type="dxa"/>
      </w:tblCellMar>
    </w:tblPr>
  </w:style>
  <w:style w:type="table" w:customStyle="1" w:styleId="aff1">
    <w:basedOn w:val="TableNormal3"/>
    <w:pPr>
      <w:spacing w:after="0" w:line="240" w:lineRule="auto"/>
    </w:pPr>
    <w:tblPr>
      <w:tblStyleRowBandSize w:val="1"/>
      <w:tblStyleColBandSize w:val="1"/>
      <w:tblCellMar>
        <w:left w:w="108" w:type="dxa"/>
        <w:right w:w="108" w:type="dxa"/>
      </w:tblCellMar>
    </w:tblPr>
  </w:style>
  <w:style w:type="table" w:customStyle="1" w:styleId="aff2">
    <w:basedOn w:val="TableNormal3"/>
    <w:pPr>
      <w:spacing w:after="0" w:line="240" w:lineRule="auto"/>
    </w:pPr>
    <w:tblPr>
      <w:tblStyleRowBandSize w:val="1"/>
      <w:tblStyleColBandSize w:val="1"/>
      <w:tblCellMar>
        <w:left w:w="108" w:type="dxa"/>
        <w:right w:w="108" w:type="dxa"/>
      </w:tblCellMar>
    </w:tblPr>
  </w:style>
  <w:style w:type="table" w:customStyle="1" w:styleId="aff3">
    <w:basedOn w:val="TableNormal2"/>
    <w:pPr>
      <w:spacing w:after="0" w:line="240" w:lineRule="auto"/>
    </w:pPr>
    <w:tblPr>
      <w:tblStyleRowBandSize w:val="1"/>
      <w:tblStyleColBandSize w:val="1"/>
      <w:tblCellMar>
        <w:left w:w="108" w:type="dxa"/>
        <w:right w:w="108" w:type="dxa"/>
      </w:tblCellMar>
    </w:tblPr>
  </w:style>
  <w:style w:type="table" w:customStyle="1" w:styleId="aff4">
    <w:basedOn w:val="TableNormal2"/>
    <w:pPr>
      <w:spacing w:after="0" w:line="240" w:lineRule="auto"/>
    </w:pPr>
    <w:tblPr>
      <w:tblStyleRowBandSize w:val="1"/>
      <w:tblStyleColBandSize w:val="1"/>
      <w:tblCellMar>
        <w:left w:w="108" w:type="dxa"/>
        <w:right w:w="108" w:type="dxa"/>
      </w:tblCellMar>
    </w:tblPr>
  </w:style>
  <w:style w:type="table" w:customStyle="1" w:styleId="aff5">
    <w:basedOn w:val="TableNormal2"/>
    <w:pPr>
      <w:spacing w:after="0" w:line="240" w:lineRule="auto"/>
    </w:pPr>
    <w:tblPr>
      <w:tblStyleRowBandSize w:val="1"/>
      <w:tblStyleColBandSize w:val="1"/>
      <w:tblCellMar>
        <w:left w:w="108" w:type="dxa"/>
        <w:right w:w="108" w:type="dxa"/>
      </w:tblCellMar>
    </w:tblPr>
  </w:style>
  <w:style w:type="table" w:customStyle="1" w:styleId="aff6">
    <w:basedOn w:val="TableNormal2"/>
    <w:pPr>
      <w:spacing w:after="0" w:line="240" w:lineRule="auto"/>
    </w:pPr>
    <w:tblPr>
      <w:tblStyleRowBandSize w:val="1"/>
      <w:tblStyleColBandSize w:val="1"/>
      <w:tblCellMar>
        <w:left w:w="108" w:type="dxa"/>
        <w:right w:w="108"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08" w:type="dxa"/>
        <w:right w:w="108" w:type="dxa"/>
      </w:tblCellMar>
    </w:tbl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table" w:customStyle="1" w:styleId="affb">
    <w:basedOn w:val="TableNormal1"/>
    <w:pPr>
      <w:spacing w:after="0" w:line="240" w:lineRule="auto"/>
    </w:pPr>
    <w:tblPr>
      <w:tblStyleRowBandSize w:val="1"/>
      <w:tblStyleColBandSize w:val="1"/>
      <w:tblCellMar>
        <w:left w:w="108" w:type="dxa"/>
        <w:right w:w="108" w:type="dxa"/>
      </w:tblCellMar>
    </w:tblPr>
  </w:style>
  <w:style w:type="table" w:customStyle="1" w:styleId="affc">
    <w:basedOn w:val="TableNormal0"/>
    <w:pPr>
      <w:spacing w:after="0" w:line="240" w:lineRule="auto"/>
    </w:pPr>
    <w:tblPr>
      <w:tblStyleRowBandSize w:val="1"/>
      <w:tblStyleColBandSize w:val="1"/>
      <w:tblCellMar>
        <w:left w:w="108" w:type="dxa"/>
        <w:right w:w="108" w:type="dxa"/>
      </w:tblCellMar>
    </w:tblPr>
  </w:style>
  <w:style w:type="table" w:customStyle="1" w:styleId="affd">
    <w:basedOn w:val="TableNormal0"/>
    <w:pPr>
      <w:spacing w:after="0" w:line="240" w:lineRule="auto"/>
    </w:pPr>
    <w:tblPr>
      <w:tblStyleRowBandSize w:val="1"/>
      <w:tblStyleColBandSize w:val="1"/>
      <w:tblCellMar>
        <w:left w:w="108" w:type="dxa"/>
        <w:right w:w="108" w:type="dxa"/>
      </w:tblCellMar>
    </w:tblPr>
  </w:style>
  <w:style w:type="table" w:customStyle="1" w:styleId="affe">
    <w:basedOn w:val="TableNormal0"/>
    <w:pPr>
      <w:spacing w:after="0" w:line="240" w:lineRule="auto"/>
    </w:pPr>
    <w:tblPr>
      <w:tblStyleRowBandSize w:val="1"/>
      <w:tblStyleColBandSize w:val="1"/>
      <w:tblCellMar>
        <w:left w:w="108" w:type="dxa"/>
        <w:right w:w="108" w:type="dxa"/>
      </w:tblCellMar>
    </w:tblPr>
  </w:style>
  <w:style w:type="table" w:customStyle="1" w:styleId="afff">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f.gob.mx/nota_detalle.php?codigo=5492254&amp;fecha=28/07/2017"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b.mx/segob/renapo/acciones-y-programas/clave-unica-de-registro-de-poblacion-curp-14222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sultas.curp.gob.mx/CurpSP/html/informacionecurpP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partados.hacienda.gob.mx/contabilidad/documentos/informe_cuenta/1998/cuenta_p%C3%BAblica/Glosario/n.ht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transparenciapresupuestaria.gob.mx/es/PTP/Glosario"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2gKxEpNzLqj2GQu102l6HrZuNA==">CgMxLjAyDmguY3JidGJoaXI0MDdyMghoLmdqZGd4czIOaC5zN252dWJrdmk3ZnkyDmguNG8zaTdyZDB6cHcxMg5oLmpoZDhiZXI1ang1ajIJaC4yZXQ5MnAwMg5oLnlwN2poZG43a3RhNTIOaC54NmFzbTF1cWZwMDMyDmgueGF4bGF0bDJ1NXFxMg5oLmhja3ExNmNtZ25laDIOaC44ZW00MjdrcTYwMTYyDmgubTViZWlsdTVvYTRmMg5oLndzNnQ0OW5mYzYyNjIOaC5yc3B0dmttM2tqZmgyDmguajVpbGN5dDd0c2kyOAByITFleDE0bVBCWng5bTM3cDVENGVnaV9lS3p1bU1BYjdL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2F2433-DC70-4673-895E-0008C770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10685</Words>
  <Characters>58771</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oswaldo</dc:creator>
  <cp:lastModifiedBy>USUARIO</cp:lastModifiedBy>
  <cp:revision>3</cp:revision>
  <cp:lastPrinted>2025-05-06T18:12:00Z</cp:lastPrinted>
  <dcterms:created xsi:type="dcterms:W3CDTF">2025-05-06T18:12:00Z</dcterms:created>
  <dcterms:modified xsi:type="dcterms:W3CDTF">2025-05-06T18:12:00Z</dcterms:modified>
</cp:coreProperties>
</file>