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9F34" w14:textId="77777777" w:rsidR="003740F3" w:rsidRPr="0024200F" w:rsidRDefault="003740F3" w:rsidP="003740F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nueve de julio de dos mil veinticinco.</w:t>
      </w:r>
    </w:p>
    <w:p w14:paraId="448352C0" w14:textId="77777777" w:rsidR="003740F3" w:rsidRPr="0024200F" w:rsidRDefault="003740F3" w:rsidP="003740F3">
      <w:pPr>
        <w:spacing w:line="360" w:lineRule="auto"/>
        <w:jc w:val="both"/>
        <w:rPr>
          <w:rFonts w:ascii="Palatino Linotype" w:hAnsi="Palatino Linotype"/>
        </w:rPr>
      </w:pPr>
    </w:p>
    <w:p w14:paraId="7D0A66D0" w14:textId="0B7DC725" w:rsidR="003740F3" w:rsidRPr="002C3EC8" w:rsidRDefault="003740F3" w:rsidP="003740F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07115/INFOEM/IP/RR/2025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 xml:space="preserve">por </w:t>
      </w:r>
      <w:r w:rsidR="00341E0E">
        <w:rPr>
          <w:rFonts w:ascii="Palatino Linotype" w:hAnsi="Palatino Linotype"/>
        </w:rPr>
        <w:t>“</w:t>
      </w:r>
      <w:r w:rsidR="00F41A2B">
        <w:rPr>
          <w:rFonts w:ascii="Palatino Linotype" w:hAnsi="Palatino Linotype"/>
        </w:rPr>
        <w:t>xxxxxxxxxxxxxxx</w:t>
      </w:r>
      <w:bookmarkStart w:id="0" w:name="_GoBack"/>
      <w:bookmarkEnd w:id="0"/>
      <w:r w:rsidR="00341E0E">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3740F3">
        <w:rPr>
          <w:rFonts w:ascii="Palatino Linotype" w:hAnsi="Palatino Linotype"/>
          <w:b/>
        </w:rPr>
        <w:t>Ayuntamiento de Coacalco de Berriozábal</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13173C51" w14:textId="77777777" w:rsidR="003740F3" w:rsidRDefault="003740F3" w:rsidP="003740F3">
      <w:pPr>
        <w:pStyle w:val="infoemcitas"/>
        <w:jc w:val="center"/>
        <w:rPr>
          <w:b/>
          <w:bCs/>
          <w:i w:val="0"/>
          <w:iCs/>
          <w:sz w:val="28"/>
          <w:szCs w:val="28"/>
        </w:rPr>
      </w:pPr>
    </w:p>
    <w:p w14:paraId="7D71A18D" w14:textId="77777777" w:rsidR="003740F3" w:rsidRDefault="003740F3" w:rsidP="00046C81">
      <w:pPr>
        <w:pStyle w:val="infoemcitas"/>
        <w:spacing w:after="0"/>
        <w:jc w:val="center"/>
        <w:rPr>
          <w:b/>
          <w:bCs/>
          <w:i w:val="0"/>
          <w:iCs/>
          <w:sz w:val="28"/>
          <w:szCs w:val="28"/>
        </w:rPr>
      </w:pPr>
      <w:r w:rsidRPr="002C3EC8">
        <w:rPr>
          <w:b/>
          <w:bCs/>
          <w:i w:val="0"/>
          <w:iCs/>
          <w:sz w:val="28"/>
          <w:szCs w:val="28"/>
        </w:rPr>
        <w:t>A N T E C E D E N T E S   D E L   A S U N T O</w:t>
      </w:r>
    </w:p>
    <w:p w14:paraId="0B4F8BEC" w14:textId="77777777" w:rsidR="003740F3" w:rsidRPr="00046C81" w:rsidRDefault="003740F3" w:rsidP="00046C81">
      <w:pPr>
        <w:pStyle w:val="infoemcitas"/>
        <w:spacing w:before="0" w:after="0"/>
        <w:jc w:val="center"/>
        <w:rPr>
          <w:b/>
          <w:bCs/>
          <w:i w:val="0"/>
          <w:iCs/>
          <w:sz w:val="24"/>
          <w:szCs w:val="28"/>
        </w:rPr>
      </w:pPr>
    </w:p>
    <w:p w14:paraId="05B78D38" w14:textId="77777777" w:rsidR="003740F3" w:rsidRPr="002C3EC8" w:rsidRDefault="003740F3" w:rsidP="003740F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DB13E76" w14:textId="77777777" w:rsidR="003740F3" w:rsidRPr="00D705FF" w:rsidRDefault="003740F3" w:rsidP="003740F3">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046C81">
        <w:rPr>
          <w:rFonts w:ascii="Palatino Linotype" w:hAnsi="Palatino Linotype" w:cs="Arial"/>
          <w:b/>
        </w:rPr>
        <w:t>trece de junio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CA7C46">
        <w:rPr>
          <w:rFonts w:ascii="Palatino Linotype" w:hAnsi="Palatino Linotype" w:cs="Arial"/>
          <w:b/>
        </w:rPr>
        <w:t>00130/COACALCO/IP/2025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3B619A5" w14:textId="77777777" w:rsidR="003740F3" w:rsidRPr="001C7F6F" w:rsidRDefault="003740F3" w:rsidP="003740F3">
      <w:pPr>
        <w:pStyle w:val="INFOEM"/>
        <w:rPr>
          <w:lang w:val="es-ES_tradnl" w:eastAsia="es-ES"/>
        </w:rPr>
      </w:pPr>
      <w:r w:rsidRPr="00D705FF">
        <w:rPr>
          <w:lang w:val="es-ES_tradnl" w:eastAsia="es-ES"/>
        </w:rPr>
        <w:t>“</w:t>
      </w:r>
      <w:r w:rsidR="00CA7C46" w:rsidRPr="00CA7C46">
        <w:rPr>
          <w:lang w:val="es-ES" w:eastAsia="es-ES"/>
        </w:rPr>
        <w:t xml:space="preserve">SOLICITO SABER SI EXISTE UN PROTOCOLO PARA DETECTAR, ATENDER Y ACOMPAÑAR A LOS SERVIDORES PUBLICOS DE COACALCO EN CASOS DE HOSTIGAMIENTO Y ACOSO SEXUAL Y/O / </w:t>
      </w:r>
      <w:r w:rsidR="00CA7C46" w:rsidRPr="00CA7C46">
        <w:rPr>
          <w:lang w:val="es-ES" w:eastAsia="es-ES"/>
        </w:rPr>
        <w:lastRenderedPageBreak/>
        <w:t>LABORAL Y QUIEN ES EL RESPONSABLE DE VIGITAL SU CUMPLIMIENTO</w:t>
      </w:r>
      <w:r w:rsidRPr="00D705FF">
        <w:rPr>
          <w:lang w:val="es-ES_tradnl" w:eastAsia="es-ES"/>
        </w:rPr>
        <w:t>” (Sic)</w:t>
      </w:r>
    </w:p>
    <w:p w14:paraId="3C02B49F" w14:textId="77777777" w:rsidR="003740F3" w:rsidRPr="002C3EC8" w:rsidRDefault="003740F3" w:rsidP="003740F3">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ED7FDE5" w14:textId="77777777" w:rsidR="003740F3" w:rsidRDefault="003740F3" w:rsidP="003740F3">
      <w:pPr>
        <w:spacing w:before="240" w:line="360" w:lineRule="auto"/>
        <w:jc w:val="both"/>
        <w:rPr>
          <w:rFonts w:ascii="Palatino Linotype" w:hAnsi="Palatino Linotype" w:cs="Arial"/>
          <w:b/>
          <w:sz w:val="28"/>
        </w:rPr>
      </w:pPr>
    </w:p>
    <w:p w14:paraId="4F3414A1" w14:textId="77777777" w:rsidR="003740F3" w:rsidRDefault="003740F3" w:rsidP="003740F3">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 xml:space="preserve">De </w:t>
      </w:r>
      <w:r w:rsidR="00CA7C46">
        <w:rPr>
          <w:rFonts w:ascii="Palatino Linotype" w:hAnsi="Palatino Linotype" w:cs="Arial"/>
          <w:b/>
          <w:sz w:val="28"/>
          <w:szCs w:val="20"/>
        </w:rPr>
        <w:t>la</w:t>
      </w:r>
      <w:r>
        <w:rPr>
          <w:rFonts w:ascii="Palatino Linotype" w:hAnsi="Palatino Linotype" w:cs="Arial"/>
          <w:b/>
          <w:sz w:val="28"/>
          <w:szCs w:val="20"/>
        </w:rPr>
        <w:t xml:space="preserve"> respuesta</w:t>
      </w:r>
      <w:r w:rsidR="00CA7C46">
        <w:rPr>
          <w:rFonts w:ascii="Palatino Linotype" w:hAnsi="Palatino Linotype" w:cs="Arial"/>
          <w:b/>
          <w:sz w:val="28"/>
          <w:szCs w:val="20"/>
        </w:rPr>
        <w:t xml:space="preserve"> a la solicitud o entrega de información</w:t>
      </w:r>
      <w:r w:rsidRPr="00165D6E">
        <w:rPr>
          <w:rFonts w:ascii="Palatino Linotype" w:hAnsi="Palatino Linotype" w:cs="Arial"/>
          <w:b/>
          <w:sz w:val="28"/>
          <w:szCs w:val="20"/>
        </w:rPr>
        <w:t>.</w:t>
      </w:r>
    </w:p>
    <w:p w14:paraId="1C08478C" w14:textId="77777777" w:rsidR="003740F3" w:rsidRPr="00C0731C" w:rsidRDefault="003740F3" w:rsidP="003740F3">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 xml:space="preserve">trece de </w:t>
      </w:r>
      <w:r w:rsidR="00CA7C46">
        <w:rPr>
          <w:rFonts w:ascii="Palatino Linotype" w:hAnsi="Palatino Linotype" w:cs="Arial"/>
          <w:b/>
          <w:sz w:val="24"/>
        </w:rPr>
        <w:t>junio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4AD7E49" w14:textId="77777777" w:rsidR="003740F3" w:rsidRPr="00E818A5" w:rsidRDefault="003740F3" w:rsidP="003740F3">
      <w:pPr>
        <w:spacing w:line="360" w:lineRule="auto"/>
        <w:jc w:val="both"/>
        <w:rPr>
          <w:rFonts w:ascii="Palatino Linotype" w:hAnsi="Palatino Linotype" w:cs="Arial"/>
        </w:rPr>
      </w:pPr>
    </w:p>
    <w:p w14:paraId="0ED26162" w14:textId="77777777" w:rsidR="003740F3" w:rsidRDefault="003740F3" w:rsidP="003740F3">
      <w:pPr>
        <w:ind w:left="567" w:right="567"/>
        <w:jc w:val="both"/>
        <w:rPr>
          <w:rFonts w:ascii="Palatino Linotype" w:hAnsi="Palatino Linotype" w:cs="Arial"/>
          <w:i/>
        </w:rPr>
      </w:pPr>
      <w:r>
        <w:rPr>
          <w:rFonts w:ascii="Palatino Linotype" w:hAnsi="Palatino Linotype" w:cs="Arial"/>
          <w:i/>
        </w:rPr>
        <w:t>“</w:t>
      </w:r>
      <w:r w:rsidR="00CA7C46" w:rsidRPr="00CA7C46">
        <w:rPr>
          <w:rFonts w:ascii="Palatino Linotype" w:hAnsi="Palatino Linotype" w:cs="Arial"/>
          <w:i/>
        </w:rPr>
        <w:t xml:space="preserve">SOLICITO SABER SI EXISTE UN PROTOCOLO PARA DETECTAR, ATENDER Y ACOMPAÑAR A LOS SERVIDORES PUBLICOS DE COACALCO EN CASOS DE HOSTIGAMIENTO Y ACOSO SEXUAL Y/O / LABORAL Y QUIEN ES EL RESPONSABLE DE VIGITAL SU CUMPLIMIENTO </w:t>
      </w:r>
      <w:r w:rsidRPr="00667998">
        <w:rPr>
          <w:rFonts w:ascii="Palatino Linotype" w:hAnsi="Palatino Linotype" w:cs="Arial"/>
          <w:i/>
        </w:rPr>
        <w:t>“(Sic).</w:t>
      </w:r>
    </w:p>
    <w:p w14:paraId="37EE9C2F" w14:textId="77777777" w:rsidR="003740F3" w:rsidRDefault="003740F3" w:rsidP="003740F3">
      <w:pPr>
        <w:spacing w:line="360" w:lineRule="auto"/>
        <w:jc w:val="both"/>
        <w:rPr>
          <w:rFonts w:ascii="Palatino Linotype" w:hAnsi="Palatino Linotype" w:cs="Arial"/>
        </w:rPr>
      </w:pPr>
    </w:p>
    <w:p w14:paraId="57EA77A9" w14:textId="77777777" w:rsidR="003740F3" w:rsidRPr="002C3EC8" w:rsidRDefault="003740F3" w:rsidP="003740F3">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8FD7E43" w14:textId="77777777" w:rsidR="003740F3" w:rsidRDefault="003740F3" w:rsidP="003740F3">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CA7C46">
        <w:rPr>
          <w:rFonts w:ascii="Palatino Linotype" w:hAnsi="Palatino Linotype" w:cs="Arial"/>
          <w:b/>
        </w:rPr>
        <w:t>trece de junio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07115/INFOEM/IP/RR/2025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0FE1B173" w14:textId="77777777" w:rsidR="003740F3" w:rsidRDefault="003740F3" w:rsidP="003740F3">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60614BD6" w14:textId="77777777" w:rsidR="003740F3" w:rsidRPr="007E4713" w:rsidRDefault="003740F3" w:rsidP="003740F3">
      <w:pPr>
        <w:pStyle w:val="INFOEM"/>
        <w:ind w:left="720"/>
      </w:pPr>
      <w:r w:rsidRPr="007E4713">
        <w:t>“</w:t>
      </w:r>
      <w:r w:rsidR="00CA7C46" w:rsidRPr="00CA7C46">
        <w:t>No dan respuesta a mi solicitud</w:t>
      </w:r>
      <w:r>
        <w:t>” (sic)</w:t>
      </w:r>
    </w:p>
    <w:p w14:paraId="0FA74063" w14:textId="77777777" w:rsidR="003740F3" w:rsidRPr="0033050B" w:rsidRDefault="003740F3" w:rsidP="003740F3">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lastRenderedPageBreak/>
        <w:t>Razones o motivos de inconformidad</w:t>
      </w:r>
      <w:r>
        <w:rPr>
          <w:rFonts w:ascii="Palatino Linotype" w:hAnsi="Palatino Linotype" w:cs="Arial"/>
          <w:b/>
          <w:i/>
        </w:rPr>
        <w:t>:</w:t>
      </w:r>
    </w:p>
    <w:p w14:paraId="1E5DE22B" w14:textId="77777777" w:rsidR="003740F3" w:rsidRPr="007E4713" w:rsidRDefault="003740F3" w:rsidP="003740F3">
      <w:pPr>
        <w:pStyle w:val="INFOEM"/>
        <w:ind w:left="720"/>
      </w:pPr>
      <w:r w:rsidRPr="007E4713">
        <w:t>“</w:t>
      </w:r>
      <w:r w:rsidR="00CA7C46" w:rsidRPr="00CA7C46">
        <w:t>No dan respuesta a mi solicitud</w:t>
      </w:r>
      <w:r>
        <w:t>” (sic)</w:t>
      </w:r>
    </w:p>
    <w:p w14:paraId="12BA5B0C" w14:textId="77777777" w:rsidR="003740F3" w:rsidRDefault="003740F3" w:rsidP="003740F3">
      <w:pPr>
        <w:spacing w:line="360" w:lineRule="auto"/>
        <w:jc w:val="both"/>
        <w:rPr>
          <w:rFonts w:ascii="Palatino Linotype" w:hAnsi="Palatino Linotype" w:cs="Arial"/>
        </w:rPr>
      </w:pPr>
    </w:p>
    <w:p w14:paraId="1243A385" w14:textId="77777777" w:rsidR="003740F3" w:rsidRPr="002C3EC8" w:rsidRDefault="003740F3" w:rsidP="003740F3">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7E4D5B8" w14:textId="77777777" w:rsidR="003740F3" w:rsidRDefault="003740F3" w:rsidP="003740F3">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CA7C46">
        <w:rPr>
          <w:rFonts w:ascii="Palatino Linotype" w:hAnsi="Palatino Linotype"/>
          <w:b/>
        </w:rPr>
        <w:t>dieciocho de junio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0E7DAB9" w14:textId="77777777" w:rsidR="003740F3" w:rsidRPr="004C20B7" w:rsidRDefault="003740F3" w:rsidP="003740F3">
      <w:pPr>
        <w:spacing w:before="240" w:line="360" w:lineRule="auto"/>
        <w:jc w:val="both"/>
        <w:rPr>
          <w:rFonts w:ascii="Palatino Linotype" w:hAnsi="Palatino Linotype" w:cs="Arial"/>
          <w:sz w:val="28"/>
        </w:rPr>
      </w:pPr>
    </w:p>
    <w:p w14:paraId="49BEADBE" w14:textId="77777777" w:rsidR="003740F3" w:rsidRPr="00E52C83" w:rsidRDefault="003740F3" w:rsidP="003740F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31C3741" w14:textId="77777777" w:rsidR="003740F3" w:rsidRPr="00590166" w:rsidRDefault="003740F3" w:rsidP="003740F3">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CA7C46">
        <w:rPr>
          <w:rFonts w:ascii="Palatino Linotype" w:hAnsi="Palatino Linotype" w:cs="Arial"/>
        </w:rPr>
        <w:t>veintitrés de  junio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CA7C46" w:rsidRPr="00CA7C46">
        <w:rPr>
          <w:rFonts w:ascii="Palatino Linotype" w:hAnsi="Palatino Linotype" w:cs="Arial"/>
          <w:b/>
          <w:i/>
        </w:rPr>
        <w:t>Informe RR 7115.pdf</w:t>
      </w:r>
      <w:r>
        <w:rPr>
          <w:rFonts w:ascii="Palatino Linotype" w:hAnsi="Palatino Linotype" w:cs="Arial"/>
          <w:b/>
          <w:i/>
        </w:rPr>
        <w:t>” y “</w:t>
      </w:r>
      <w:r w:rsidR="00CA7C46" w:rsidRPr="00CA7C46">
        <w:rPr>
          <w:rFonts w:ascii="Palatino Linotype" w:hAnsi="Palatino Linotype" w:cs="Arial"/>
          <w:b/>
          <w:i/>
        </w:rPr>
        <w:t>Respuesta 7115.pdf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CA7C46">
        <w:rPr>
          <w:rFonts w:ascii="Palatino Linotype" w:hAnsi="Palatino Linotype" w:cs="Arial"/>
        </w:rPr>
        <w:t>dos de julio</w:t>
      </w:r>
      <w:r>
        <w:rPr>
          <w:rFonts w:ascii="Palatino Linotype" w:hAnsi="Palatino Linotype" w:cs="Arial"/>
        </w:rPr>
        <w:t xml:space="preserve"> de dos mil veinticinco</w:t>
      </w:r>
      <w:r w:rsidRPr="00D32665">
        <w:rPr>
          <w:rFonts w:ascii="Palatino Linotype" w:hAnsi="Palatino Linotype" w:cs="Arial"/>
          <w:b/>
          <w:i/>
        </w:rPr>
        <w:t>.</w:t>
      </w:r>
    </w:p>
    <w:p w14:paraId="5C807B4C" w14:textId="77777777" w:rsidR="003740F3" w:rsidRPr="00D32665" w:rsidRDefault="003740F3" w:rsidP="003740F3">
      <w:pPr>
        <w:spacing w:line="360" w:lineRule="auto"/>
        <w:jc w:val="both"/>
        <w:rPr>
          <w:rFonts w:ascii="Palatino Linotype" w:hAnsi="Palatino Linotype"/>
        </w:rPr>
      </w:pPr>
    </w:p>
    <w:p w14:paraId="480705C6" w14:textId="77777777" w:rsidR="003740F3" w:rsidRPr="00D32665" w:rsidRDefault="003740F3" w:rsidP="003740F3">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xml:space="preserve">; todo lo </w:t>
      </w:r>
      <w:r w:rsidRPr="00D32665">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14:paraId="50755DBD" w14:textId="77777777" w:rsidR="003740F3" w:rsidRDefault="003740F3" w:rsidP="003740F3">
      <w:pPr>
        <w:spacing w:line="360" w:lineRule="auto"/>
        <w:jc w:val="both"/>
        <w:rPr>
          <w:rFonts w:ascii="Palatino Linotype" w:hAnsi="Palatino Linotype" w:cs="Arial"/>
          <w:b/>
          <w:sz w:val="28"/>
          <w:szCs w:val="28"/>
        </w:rPr>
      </w:pPr>
    </w:p>
    <w:p w14:paraId="4199E936" w14:textId="77777777" w:rsidR="003740F3" w:rsidRPr="002C3EC8" w:rsidRDefault="003740F3" w:rsidP="003740F3">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8949662" w14:textId="77777777" w:rsidR="003740F3" w:rsidRDefault="003740F3" w:rsidP="003740F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2C5336">
        <w:rPr>
          <w:rFonts w:ascii="Palatino Linotype" w:hAnsi="Palatino Linotype" w:cs="Arial"/>
          <w:b/>
        </w:rPr>
        <w:t>ocho de julio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759F84F" w14:textId="77777777" w:rsidR="003740F3" w:rsidRDefault="003740F3" w:rsidP="003740F3">
      <w:pPr>
        <w:spacing w:line="360" w:lineRule="auto"/>
        <w:jc w:val="both"/>
        <w:rPr>
          <w:rFonts w:ascii="Palatino Linotype" w:hAnsi="Palatino Linotype" w:cs="Arial"/>
        </w:rPr>
      </w:pPr>
    </w:p>
    <w:p w14:paraId="2197A5D9" w14:textId="77777777" w:rsidR="003740F3" w:rsidRPr="0024200F" w:rsidRDefault="003740F3" w:rsidP="003740F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1C243AF" w14:textId="77777777" w:rsidR="003740F3" w:rsidRPr="00825F67" w:rsidRDefault="003740F3" w:rsidP="003740F3">
      <w:pPr>
        <w:spacing w:line="360" w:lineRule="auto"/>
        <w:ind w:right="49"/>
        <w:jc w:val="both"/>
        <w:rPr>
          <w:rFonts w:ascii="Palatino Linotype" w:hAnsi="Palatino Linotype"/>
          <w:szCs w:val="28"/>
        </w:rPr>
      </w:pPr>
    </w:p>
    <w:p w14:paraId="24AB5FDA" w14:textId="77777777" w:rsidR="003740F3" w:rsidRPr="002C3EC8" w:rsidRDefault="003740F3" w:rsidP="003740F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D88E86A" w14:textId="77777777" w:rsidR="003740F3" w:rsidRPr="007C6AB6" w:rsidRDefault="003740F3" w:rsidP="003740F3">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6D4FA5">
        <w:rPr>
          <w:rFonts w:ascii="Palatino Linotype" w:hAnsi="Palatino Linotype"/>
        </w:rPr>
        <w:lastRenderedPageBreak/>
        <w:t>Acceso a la Información Pública y Protección de Datos Personales del Estado de México y Municipios</w:t>
      </w:r>
      <w:r w:rsidRPr="007C6AB6">
        <w:rPr>
          <w:rFonts w:ascii="Palatino Linotype" w:hAnsi="Palatino Linotype"/>
        </w:rPr>
        <w:t>.</w:t>
      </w:r>
    </w:p>
    <w:p w14:paraId="68490984" w14:textId="77777777" w:rsidR="003740F3" w:rsidRPr="002C3EC8" w:rsidRDefault="003740F3" w:rsidP="003740F3">
      <w:pPr>
        <w:spacing w:before="240" w:line="360" w:lineRule="auto"/>
        <w:jc w:val="both"/>
        <w:rPr>
          <w:rFonts w:ascii="Palatino Linotype" w:eastAsia="Calibri" w:hAnsi="Palatino Linotype"/>
          <w:b/>
          <w:color w:val="000000" w:themeColor="text1"/>
        </w:rPr>
      </w:pPr>
    </w:p>
    <w:p w14:paraId="54FEF314" w14:textId="77777777" w:rsidR="003740F3" w:rsidRPr="002C3EC8" w:rsidRDefault="003740F3" w:rsidP="003740F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3C03635" w14:textId="77777777" w:rsidR="003740F3" w:rsidRDefault="003740F3" w:rsidP="003740F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FEC7755" w14:textId="77777777" w:rsidR="003740F3" w:rsidRPr="00821CCD" w:rsidRDefault="003740F3" w:rsidP="003740F3">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DAAB6D1" w14:textId="77777777" w:rsidR="003740F3" w:rsidRPr="00821CCD" w:rsidRDefault="003740F3" w:rsidP="003740F3">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9345FF2" w14:textId="77777777" w:rsidR="003740F3" w:rsidRPr="00821CCD" w:rsidRDefault="003740F3" w:rsidP="003740F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09518FAC" w14:textId="77777777" w:rsidR="003740F3" w:rsidRPr="00821CCD" w:rsidRDefault="003740F3" w:rsidP="003740F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9017B46" w14:textId="77777777" w:rsidR="003740F3" w:rsidRPr="00821CCD" w:rsidRDefault="003740F3" w:rsidP="003740F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68E2F256" w14:textId="77777777" w:rsidR="003740F3" w:rsidRPr="00821CCD" w:rsidRDefault="003740F3" w:rsidP="003740F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577B923" w14:textId="77777777" w:rsidR="003740F3" w:rsidRPr="00821CCD" w:rsidRDefault="003740F3" w:rsidP="003740F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V. El acto que se recurre;</w:t>
      </w:r>
    </w:p>
    <w:p w14:paraId="3D066322" w14:textId="77777777" w:rsidR="003740F3" w:rsidRPr="00821CCD" w:rsidRDefault="003740F3" w:rsidP="003740F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3915ED03" w14:textId="77777777" w:rsidR="003740F3" w:rsidRPr="00821CCD" w:rsidRDefault="003740F3" w:rsidP="003740F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93267E1" w14:textId="77777777" w:rsidR="003740F3" w:rsidRPr="00821CCD" w:rsidRDefault="003740F3" w:rsidP="003740F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DC7E9C5" w14:textId="77777777" w:rsidR="003740F3" w:rsidRPr="00821CCD" w:rsidRDefault="003740F3" w:rsidP="003740F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9600BE6" w14:textId="77777777" w:rsidR="003740F3" w:rsidRPr="00821CCD" w:rsidRDefault="003740F3" w:rsidP="003740F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4B54E86" w14:textId="77777777" w:rsidR="003740F3" w:rsidRPr="00821CCD" w:rsidRDefault="003740F3" w:rsidP="003740F3">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A922799" w14:textId="77777777" w:rsidR="003740F3" w:rsidRPr="00821CCD" w:rsidRDefault="003740F3" w:rsidP="003740F3">
      <w:pPr>
        <w:autoSpaceDE w:val="0"/>
        <w:autoSpaceDN w:val="0"/>
        <w:adjustRightInd w:val="0"/>
        <w:spacing w:before="240" w:line="360" w:lineRule="auto"/>
        <w:jc w:val="both"/>
        <w:rPr>
          <w:rFonts w:ascii="Palatino Linotype" w:hAnsi="Palatino Linotype"/>
        </w:rPr>
      </w:pPr>
    </w:p>
    <w:p w14:paraId="4405E5E8" w14:textId="77777777" w:rsidR="003740F3" w:rsidRPr="00821CCD" w:rsidRDefault="003740F3" w:rsidP="003740F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740F3" w:rsidRPr="00821CCD" w14:paraId="2D1E8BEE" w14:textId="77777777" w:rsidTr="00D21971">
        <w:trPr>
          <w:trHeight w:val="1360"/>
        </w:trPr>
        <w:tc>
          <w:tcPr>
            <w:tcW w:w="7982" w:type="dxa"/>
          </w:tcPr>
          <w:p w14:paraId="3151E081"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7EB05DA" w14:textId="77777777" w:rsidR="003740F3" w:rsidRPr="00821CCD" w:rsidRDefault="003740F3" w:rsidP="003740F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740F3" w:rsidRPr="00821CCD" w14:paraId="4BF654E5" w14:textId="77777777" w:rsidTr="00D21971">
        <w:trPr>
          <w:jc w:val="center"/>
        </w:trPr>
        <w:tc>
          <w:tcPr>
            <w:tcW w:w="8075" w:type="dxa"/>
          </w:tcPr>
          <w:p w14:paraId="5E4C2E3F" w14:textId="77777777" w:rsidR="003740F3" w:rsidRPr="00821CCD" w:rsidRDefault="003740F3" w:rsidP="00D21971">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B970D9D"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CF21AFF"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F02961B"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145721C"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0377004" w14:textId="77777777" w:rsidR="003740F3" w:rsidRPr="00821CCD" w:rsidRDefault="003740F3" w:rsidP="00D2197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9D12D1B" w14:textId="77777777" w:rsidR="003740F3" w:rsidRPr="00821CCD" w:rsidRDefault="003740F3" w:rsidP="00D2197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IV. Se establecerán mecanismos de acceso a la información y procedimientos de revisión expeditos que se sustanciarán ante los organismos autónomos especializados e imparciales que establece esta Constitución.”</w:t>
            </w:r>
          </w:p>
          <w:p w14:paraId="68BC54F9" w14:textId="77777777" w:rsidR="003740F3" w:rsidRPr="00821CCD" w:rsidRDefault="003740F3" w:rsidP="00D21971">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1C14D184"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5B66E7F"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2B9EB29"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517F4262"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A22962D"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3BE7F764"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A9643"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A336780" w14:textId="77777777" w:rsidR="003740F3" w:rsidRPr="00821CCD" w:rsidRDefault="003740F3" w:rsidP="00D2197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1166734" w14:textId="77777777" w:rsidR="003740F3" w:rsidRPr="00821CCD" w:rsidRDefault="003740F3" w:rsidP="00D2197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381F73B" w14:textId="77777777" w:rsidR="003740F3" w:rsidRPr="00821CCD" w:rsidRDefault="003740F3" w:rsidP="00D2197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423B374" w14:textId="77777777" w:rsidR="003740F3" w:rsidRPr="00821CCD" w:rsidRDefault="003740F3" w:rsidP="003740F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w:t>
      </w:r>
      <w:r w:rsidRPr="00821CCD">
        <w:rPr>
          <w:rFonts w:ascii="Palatino Linotype" w:hAnsi="Palatino Linotype"/>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8A82FF3" w14:textId="77777777" w:rsidR="003740F3" w:rsidRDefault="003740F3" w:rsidP="003740F3">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574449B4" w14:textId="77777777" w:rsidR="003740F3" w:rsidRPr="00FF46DA" w:rsidRDefault="003740F3" w:rsidP="003740F3">
      <w:pPr>
        <w:pStyle w:val="Prrafodelista"/>
        <w:autoSpaceDE w:val="0"/>
        <w:autoSpaceDN w:val="0"/>
        <w:adjustRightInd w:val="0"/>
        <w:spacing w:before="240" w:after="160" w:line="360" w:lineRule="auto"/>
        <w:ind w:left="0"/>
        <w:jc w:val="both"/>
        <w:rPr>
          <w:rFonts w:ascii="Palatino Linotype" w:hAnsi="Palatino Linotype" w:cs="Arial"/>
        </w:rPr>
      </w:pPr>
    </w:p>
    <w:p w14:paraId="71CC62B8" w14:textId="77777777" w:rsidR="003740F3" w:rsidRPr="002C3EC8" w:rsidRDefault="003740F3" w:rsidP="003740F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8F40F00" w14:textId="77777777" w:rsidR="003740F3" w:rsidRPr="002C3EC8" w:rsidRDefault="003740F3" w:rsidP="003740F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5F04B0A" w14:textId="77777777" w:rsidR="003740F3" w:rsidRPr="002C3EC8" w:rsidRDefault="003740F3" w:rsidP="003740F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2C3EC8">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7BA8E1" w14:textId="77777777" w:rsidR="003740F3" w:rsidRDefault="003740F3" w:rsidP="003740F3">
      <w:pPr>
        <w:tabs>
          <w:tab w:val="left" w:pos="709"/>
        </w:tabs>
        <w:spacing w:before="240" w:line="360" w:lineRule="auto"/>
        <w:ind w:right="51"/>
        <w:jc w:val="both"/>
        <w:rPr>
          <w:rFonts w:ascii="Palatino Linotype" w:hAnsi="Palatino Linotype"/>
          <w:b/>
          <w:sz w:val="28"/>
          <w:szCs w:val="28"/>
        </w:rPr>
      </w:pPr>
    </w:p>
    <w:p w14:paraId="690AAF4E" w14:textId="77777777" w:rsidR="003740F3" w:rsidRPr="002C3EC8" w:rsidRDefault="003740F3" w:rsidP="003740F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59F42F02" w14:textId="77777777" w:rsidR="003740F3" w:rsidRPr="007379EE" w:rsidRDefault="003740F3" w:rsidP="003740F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14:paraId="07BC3A3E" w14:textId="77777777" w:rsidR="003740F3" w:rsidRDefault="003740F3" w:rsidP="003740F3">
      <w:pPr>
        <w:autoSpaceDE w:val="0"/>
        <w:autoSpaceDN w:val="0"/>
        <w:adjustRightInd w:val="0"/>
        <w:ind w:right="567"/>
        <w:rPr>
          <w:rFonts w:ascii="Palatino Linotype" w:eastAsia="Calibri" w:hAnsi="Palatino Linotype" w:cs="Arial"/>
        </w:rPr>
      </w:pPr>
    </w:p>
    <w:p w14:paraId="5B13202F" w14:textId="77777777" w:rsidR="003740F3" w:rsidRDefault="003740F3" w:rsidP="003740F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07C685BE" w14:textId="77777777" w:rsidR="003740F3" w:rsidRDefault="003740F3" w:rsidP="003740F3">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66057541" w14:textId="77777777" w:rsidR="003740F3" w:rsidRPr="00341E0E" w:rsidRDefault="003740F3" w:rsidP="003740F3">
      <w:pPr>
        <w:pStyle w:val="Citas"/>
        <w:numPr>
          <w:ilvl w:val="0"/>
          <w:numId w:val="4"/>
        </w:numPr>
        <w:spacing w:before="0" w:after="0" w:line="240" w:lineRule="auto"/>
        <w:rPr>
          <w:b/>
        </w:rPr>
      </w:pPr>
      <w:r w:rsidRPr="00341E0E">
        <w:rPr>
          <w:b/>
        </w:rPr>
        <w:t xml:space="preserve">La negativa a la información solicitada; </w:t>
      </w:r>
    </w:p>
    <w:p w14:paraId="7A703765" w14:textId="77777777" w:rsidR="003740F3" w:rsidRDefault="003740F3" w:rsidP="003740F3">
      <w:pPr>
        <w:pStyle w:val="Citas"/>
        <w:numPr>
          <w:ilvl w:val="0"/>
          <w:numId w:val="4"/>
        </w:numPr>
        <w:spacing w:before="0" w:after="0" w:line="240" w:lineRule="auto"/>
      </w:pPr>
      <w:r w:rsidRPr="002E7A81">
        <w:t xml:space="preserve">La clasificación de la información; </w:t>
      </w:r>
    </w:p>
    <w:p w14:paraId="3E0A1667" w14:textId="77777777" w:rsidR="003740F3" w:rsidRDefault="003740F3" w:rsidP="003740F3">
      <w:pPr>
        <w:pStyle w:val="Citas"/>
        <w:numPr>
          <w:ilvl w:val="0"/>
          <w:numId w:val="4"/>
        </w:numPr>
        <w:spacing w:before="0" w:after="0" w:line="240" w:lineRule="auto"/>
      </w:pPr>
      <w:r w:rsidRPr="002E7A81">
        <w:t xml:space="preserve">La declaración de inexistencia de la información; </w:t>
      </w:r>
    </w:p>
    <w:p w14:paraId="240A38DF" w14:textId="77777777" w:rsidR="003740F3" w:rsidRPr="00341E0E" w:rsidRDefault="003740F3" w:rsidP="003740F3">
      <w:pPr>
        <w:pStyle w:val="Citas"/>
        <w:numPr>
          <w:ilvl w:val="0"/>
          <w:numId w:val="4"/>
        </w:numPr>
        <w:spacing w:before="0" w:after="0" w:line="240" w:lineRule="auto"/>
      </w:pPr>
      <w:r w:rsidRPr="00341E0E">
        <w:t xml:space="preserve">La declaración de incompetencia por el sujeto obligado; </w:t>
      </w:r>
    </w:p>
    <w:p w14:paraId="3734997B" w14:textId="77777777" w:rsidR="003740F3" w:rsidRPr="00D86334" w:rsidRDefault="003740F3" w:rsidP="003740F3">
      <w:pPr>
        <w:pStyle w:val="Citas"/>
        <w:numPr>
          <w:ilvl w:val="0"/>
          <w:numId w:val="4"/>
        </w:numPr>
        <w:spacing w:before="0" w:after="0" w:line="240" w:lineRule="auto"/>
      </w:pPr>
      <w:r w:rsidRPr="00D86334">
        <w:t xml:space="preserve">La entrega de información incompleta; </w:t>
      </w:r>
    </w:p>
    <w:p w14:paraId="77F0CEAF" w14:textId="77777777" w:rsidR="003740F3" w:rsidRDefault="003740F3" w:rsidP="003740F3">
      <w:pPr>
        <w:pStyle w:val="Citas"/>
        <w:numPr>
          <w:ilvl w:val="0"/>
          <w:numId w:val="4"/>
        </w:numPr>
        <w:spacing w:before="0" w:after="0" w:line="240" w:lineRule="auto"/>
      </w:pPr>
      <w:r w:rsidRPr="002E7A81">
        <w:t xml:space="preserve">La entrega de información que no corresponda con lo solicitado; </w:t>
      </w:r>
    </w:p>
    <w:p w14:paraId="6C3608F5" w14:textId="77777777" w:rsidR="003740F3" w:rsidRDefault="003740F3" w:rsidP="003740F3">
      <w:pPr>
        <w:pStyle w:val="Citas"/>
        <w:numPr>
          <w:ilvl w:val="0"/>
          <w:numId w:val="4"/>
        </w:numPr>
        <w:spacing w:before="0" w:after="0" w:line="240" w:lineRule="auto"/>
      </w:pPr>
      <w:r w:rsidRPr="002E7A81">
        <w:t xml:space="preserve">La falta de respuesta a una solicitud de acceso a la información; </w:t>
      </w:r>
    </w:p>
    <w:p w14:paraId="700282BB" w14:textId="77777777" w:rsidR="003740F3" w:rsidRDefault="003740F3" w:rsidP="003740F3">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B5E3725" w14:textId="77777777" w:rsidR="003740F3" w:rsidRDefault="003740F3" w:rsidP="003740F3">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58765FFB" w14:textId="77777777" w:rsidR="003740F3" w:rsidRDefault="003740F3" w:rsidP="003740F3">
      <w:pPr>
        <w:pStyle w:val="Citas"/>
        <w:numPr>
          <w:ilvl w:val="0"/>
          <w:numId w:val="4"/>
        </w:numPr>
        <w:spacing w:before="0" w:after="0" w:line="240" w:lineRule="auto"/>
      </w:pPr>
      <w:r w:rsidRPr="002E7A81">
        <w:t xml:space="preserve">Los costos o tiempos de entrega de la información; </w:t>
      </w:r>
    </w:p>
    <w:p w14:paraId="504CFC58" w14:textId="77777777" w:rsidR="003740F3" w:rsidRDefault="003740F3" w:rsidP="003740F3">
      <w:pPr>
        <w:pStyle w:val="Citas"/>
        <w:numPr>
          <w:ilvl w:val="0"/>
          <w:numId w:val="4"/>
        </w:numPr>
        <w:spacing w:before="0" w:after="0" w:line="240" w:lineRule="auto"/>
      </w:pPr>
      <w:r w:rsidRPr="002E7A81">
        <w:t xml:space="preserve">La falta de trámite a una solicitud; </w:t>
      </w:r>
    </w:p>
    <w:p w14:paraId="3479A5D8" w14:textId="77777777" w:rsidR="003740F3" w:rsidRDefault="003740F3" w:rsidP="003740F3">
      <w:pPr>
        <w:pStyle w:val="Citas"/>
        <w:numPr>
          <w:ilvl w:val="0"/>
          <w:numId w:val="4"/>
        </w:numPr>
        <w:spacing w:before="0" w:after="0" w:line="240" w:lineRule="auto"/>
      </w:pPr>
      <w:r w:rsidRPr="002E7A81">
        <w:t xml:space="preserve">La negativa a permitir la consulta directa de la información; </w:t>
      </w:r>
    </w:p>
    <w:p w14:paraId="39DC1C32" w14:textId="77777777" w:rsidR="003740F3" w:rsidRDefault="003740F3" w:rsidP="003740F3">
      <w:pPr>
        <w:pStyle w:val="Citas"/>
        <w:numPr>
          <w:ilvl w:val="0"/>
          <w:numId w:val="4"/>
        </w:numPr>
        <w:spacing w:before="0" w:after="0" w:line="240" w:lineRule="auto"/>
      </w:pPr>
      <w:r w:rsidRPr="002E7A81">
        <w:t xml:space="preserve">La falta, deficiencia o insuficiencia de la fundamentación y/o motivación en la respuesta; y </w:t>
      </w:r>
    </w:p>
    <w:p w14:paraId="4C328401" w14:textId="77777777" w:rsidR="003740F3" w:rsidRDefault="003740F3" w:rsidP="003740F3">
      <w:pPr>
        <w:pStyle w:val="Citas"/>
        <w:numPr>
          <w:ilvl w:val="0"/>
          <w:numId w:val="4"/>
        </w:numPr>
        <w:spacing w:before="0" w:after="0" w:line="240" w:lineRule="auto"/>
      </w:pPr>
      <w:r w:rsidRPr="002E7A81">
        <w:t xml:space="preserve">La orientación a un trámite específico. </w:t>
      </w:r>
    </w:p>
    <w:p w14:paraId="48FEEC09" w14:textId="77777777" w:rsidR="003740F3" w:rsidRPr="007379EE" w:rsidRDefault="003740F3" w:rsidP="003740F3">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6B1EEA8" w14:textId="77777777" w:rsidR="003740F3" w:rsidRDefault="003740F3" w:rsidP="003740F3">
      <w:pPr>
        <w:autoSpaceDE w:val="0"/>
        <w:autoSpaceDN w:val="0"/>
        <w:adjustRightInd w:val="0"/>
        <w:ind w:right="567"/>
        <w:rPr>
          <w:rFonts w:ascii="Palatino Linotype" w:eastAsia="Calibri" w:hAnsi="Palatino Linotype" w:cs="Arial"/>
        </w:rPr>
      </w:pPr>
    </w:p>
    <w:p w14:paraId="231D979F" w14:textId="77777777" w:rsidR="003740F3" w:rsidRDefault="003740F3" w:rsidP="003740F3">
      <w:pPr>
        <w:autoSpaceDE w:val="0"/>
        <w:autoSpaceDN w:val="0"/>
        <w:adjustRightInd w:val="0"/>
        <w:ind w:right="567"/>
        <w:rPr>
          <w:rFonts w:ascii="Palatino Linotype" w:eastAsia="Calibri" w:hAnsi="Palatino Linotype" w:cs="Arial"/>
        </w:rPr>
      </w:pPr>
    </w:p>
    <w:p w14:paraId="414E7A84" w14:textId="77777777" w:rsidR="003740F3" w:rsidRDefault="003740F3" w:rsidP="003740F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ABEE5ED" w14:textId="77777777" w:rsidR="003740F3" w:rsidRPr="00CA5FE5" w:rsidRDefault="003740F3" w:rsidP="003740F3">
      <w:pPr>
        <w:spacing w:line="360" w:lineRule="auto"/>
        <w:jc w:val="both"/>
        <w:rPr>
          <w:rFonts w:ascii="Palatino Linotype" w:hAnsi="Palatino Linotype" w:cs="Tahoma"/>
          <w:bCs/>
        </w:rPr>
      </w:pPr>
    </w:p>
    <w:p w14:paraId="0887BC59" w14:textId="77777777" w:rsidR="003740F3" w:rsidRPr="000C60A7" w:rsidRDefault="00341E0E" w:rsidP="00341E0E">
      <w:pPr>
        <w:pStyle w:val="Prrafodelista"/>
        <w:numPr>
          <w:ilvl w:val="0"/>
          <w:numId w:val="3"/>
        </w:numPr>
        <w:tabs>
          <w:tab w:val="left" w:pos="1828"/>
        </w:tabs>
        <w:spacing w:line="360" w:lineRule="auto"/>
        <w:ind w:left="426"/>
        <w:jc w:val="both"/>
        <w:rPr>
          <w:rFonts w:ascii="Palatino Linotype" w:hAnsi="Palatino Linotype" w:cs="Tahoma"/>
          <w:bCs/>
        </w:rPr>
      </w:pPr>
      <w:r w:rsidRPr="00341E0E">
        <w:rPr>
          <w:rFonts w:ascii="Palatino Linotype" w:hAnsi="Palatino Linotype" w:cs="Tahoma"/>
          <w:bCs/>
        </w:rPr>
        <w:lastRenderedPageBreak/>
        <w:t xml:space="preserve">Solicito saber si existe un Protocolo Para Detectar, Atender </w:t>
      </w:r>
      <w:r>
        <w:rPr>
          <w:rFonts w:ascii="Palatino Linotype" w:hAnsi="Palatino Linotype" w:cs="Tahoma"/>
          <w:bCs/>
        </w:rPr>
        <w:t>y</w:t>
      </w:r>
      <w:r w:rsidRPr="00341E0E">
        <w:rPr>
          <w:rFonts w:ascii="Palatino Linotype" w:hAnsi="Palatino Linotype" w:cs="Tahoma"/>
          <w:bCs/>
        </w:rPr>
        <w:t xml:space="preserve"> Acompañar </w:t>
      </w:r>
      <w:r>
        <w:rPr>
          <w:rFonts w:ascii="Palatino Linotype" w:hAnsi="Palatino Linotype" w:cs="Tahoma"/>
          <w:bCs/>
        </w:rPr>
        <w:t>a l</w:t>
      </w:r>
      <w:r w:rsidRPr="00341E0E">
        <w:rPr>
          <w:rFonts w:ascii="Palatino Linotype" w:hAnsi="Palatino Linotype" w:cs="Tahoma"/>
          <w:bCs/>
        </w:rPr>
        <w:t xml:space="preserve">os Servidores Públicos de Coacalco en casos de Hostigamiento </w:t>
      </w:r>
      <w:r>
        <w:rPr>
          <w:rFonts w:ascii="Palatino Linotype" w:hAnsi="Palatino Linotype" w:cs="Tahoma"/>
          <w:bCs/>
        </w:rPr>
        <w:t>y</w:t>
      </w:r>
      <w:r w:rsidRPr="00341E0E">
        <w:rPr>
          <w:rFonts w:ascii="Palatino Linotype" w:hAnsi="Palatino Linotype" w:cs="Tahoma"/>
          <w:bCs/>
        </w:rPr>
        <w:t xml:space="preserve"> Acoso Sexual y/o / Laboral y q</w:t>
      </w:r>
      <w:r>
        <w:rPr>
          <w:rFonts w:ascii="Palatino Linotype" w:hAnsi="Palatino Linotype" w:cs="Tahoma"/>
          <w:bCs/>
        </w:rPr>
        <w:t>uien es el responsable de vigilar</w:t>
      </w:r>
      <w:r w:rsidRPr="00341E0E">
        <w:rPr>
          <w:rFonts w:ascii="Palatino Linotype" w:hAnsi="Palatino Linotype" w:cs="Tahoma"/>
          <w:bCs/>
        </w:rPr>
        <w:t xml:space="preserve"> su cumplimiento</w:t>
      </w:r>
      <w:r w:rsidR="003740F3">
        <w:rPr>
          <w:rFonts w:ascii="Palatino Linotype" w:hAnsi="Palatino Linotype" w:cs="Tahoma"/>
          <w:bCs/>
        </w:rPr>
        <w:t>.</w:t>
      </w:r>
    </w:p>
    <w:p w14:paraId="5A515090" w14:textId="77777777" w:rsidR="003740F3" w:rsidRDefault="003740F3" w:rsidP="003740F3">
      <w:pPr>
        <w:spacing w:before="240" w:line="360" w:lineRule="auto"/>
        <w:jc w:val="both"/>
        <w:rPr>
          <w:rFonts w:ascii="Palatino Linotype" w:hAnsi="Palatino Linotype" w:cs="Arial"/>
        </w:rPr>
      </w:pPr>
    </w:p>
    <w:p w14:paraId="7C8C80EC" w14:textId="77777777" w:rsidR="003740F3" w:rsidRPr="00D86334" w:rsidRDefault="003740F3" w:rsidP="003740F3">
      <w:pPr>
        <w:spacing w:before="240" w:line="360" w:lineRule="auto"/>
        <w:jc w:val="both"/>
        <w:rPr>
          <w:rFonts w:ascii="Palatino Linotype" w:eastAsia="Calibri" w:hAnsi="Palatino Linotype" w:cs="Calibri"/>
          <w:lang w:val="es-ES_tradnl" w:eastAsia="es-MX"/>
        </w:rPr>
      </w:pPr>
      <w:r w:rsidRPr="00D86334">
        <w:rPr>
          <w:rFonts w:ascii="Palatino Linotype" w:eastAsia="Calibri" w:hAnsi="Palatino Linotype" w:cs="Calibri"/>
          <w:lang w:val="es-ES_tradnl" w:eastAsia="es-MX"/>
        </w:rPr>
        <w:t xml:space="preserve">En una aproximación inicial, es procedente mencionar que mediante la solicitud de información </w:t>
      </w:r>
      <w:r w:rsidR="00CA7C46">
        <w:rPr>
          <w:rFonts w:ascii="Palatino Linotype" w:eastAsia="Calibri" w:hAnsi="Palatino Linotype" w:cs="Calibri"/>
          <w:b/>
          <w:bCs/>
          <w:lang w:val="es-ES_tradnl" w:eastAsia="es-MX"/>
        </w:rPr>
        <w:t>00130/COACALCO/IP/2025</w:t>
      </w:r>
      <w:r>
        <w:rPr>
          <w:rFonts w:ascii="Palatino Linotype" w:eastAsia="Calibri" w:hAnsi="Palatino Linotype" w:cs="Calibri"/>
          <w:b/>
          <w:bCs/>
          <w:lang w:val="es-ES_tradnl" w:eastAsia="es-MX"/>
        </w:rPr>
        <w:t xml:space="preserve"> </w:t>
      </w:r>
      <w:r>
        <w:rPr>
          <w:rFonts w:ascii="Palatino Linotype" w:eastAsia="Calibri" w:hAnsi="Palatino Linotype" w:cs="Calibri"/>
          <w:lang w:val="es-ES_tradnl" w:eastAsia="es-MX"/>
        </w:rPr>
        <w:t>fue formulado</w:t>
      </w:r>
      <w:r w:rsidRPr="00D86334">
        <w:rPr>
          <w:rFonts w:ascii="Palatino Linotype" w:eastAsia="Calibri" w:hAnsi="Palatino Linotype" w:cs="Calibri"/>
          <w:lang w:val="es-ES_tradnl" w:eastAsia="es-MX"/>
        </w:rPr>
        <w:t xml:space="preserve"> </w:t>
      </w:r>
      <w:r>
        <w:rPr>
          <w:rFonts w:ascii="Palatino Linotype" w:eastAsia="Calibri" w:hAnsi="Palatino Linotype" w:cs="Calibri"/>
          <w:lang w:val="es-ES_tradnl" w:eastAsia="es-MX"/>
        </w:rPr>
        <w:t>un -1- requerimiento</w:t>
      </w:r>
      <w:r w:rsidR="00007F38">
        <w:rPr>
          <w:rFonts w:ascii="Palatino Linotype" w:eastAsia="Calibri" w:hAnsi="Palatino Linotype" w:cs="Calibri"/>
          <w:lang w:val="es-ES_tradnl" w:eastAsia="es-MX"/>
        </w:rPr>
        <w:t xml:space="preserve"> a manera de cuestionamiento</w:t>
      </w:r>
      <w:r w:rsidRPr="00D86334">
        <w:rPr>
          <w:rFonts w:ascii="Palatino Linotype" w:eastAsia="Calibri" w:hAnsi="Palatino Linotype" w:cs="Calibri"/>
          <w:lang w:val="es-ES_tradnl" w:eastAsia="es-MX"/>
        </w:rPr>
        <w:t xml:space="preserve"> respecto de los cuales se desprenden lo siguiente: </w:t>
      </w:r>
    </w:p>
    <w:p w14:paraId="353ACB0E" w14:textId="77777777" w:rsidR="003740F3" w:rsidRPr="00D86334" w:rsidRDefault="003740F3" w:rsidP="003740F3">
      <w:pPr>
        <w:numPr>
          <w:ilvl w:val="0"/>
          <w:numId w:val="9"/>
        </w:numPr>
        <w:autoSpaceDE w:val="0"/>
        <w:autoSpaceDN w:val="0"/>
        <w:adjustRightInd w:val="0"/>
        <w:spacing w:before="240" w:after="160" w:line="360" w:lineRule="auto"/>
        <w:jc w:val="both"/>
        <w:rPr>
          <w:rFonts w:ascii="Palatino Linotype" w:hAnsi="Palatino Linotype" w:cs="Arial"/>
          <w:lang w:val="es-MX" w:eastAsia="en-US"/>
        </w:rPr>
      </w:pPr>
      <w:r w:rsidRPr="00D86334">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D86334">
        <w:rPr>
          <w:rFonts w:ascii="Palatino Linotype" w:hAnsi="Palatino Linotype" w:cs="Arial"/>
          <w:b/>
          <w:bCs/>
          <w:lang w:val="es-MX" w:eastAsia="en-US"/>
        </w:rPr>
        <w:t xml:space="preserve">Sujetos Obligados. </w:t>
      </w:r>
    </w:p>
    <w:p w14:paraId="2B8CB287" w14:textId="77777777" w:rsidR="003740F3" w:rsidRPr="00D86334" w:rsidRDefault="003740F3" w:rsidP="003740F3">
      <w:pPr>
        <w:numPr>
          <w:ilvl w:val="0"/>
          <w:numId w:val="10"/>
        </w:numPr>
        <w:spacing w:before="240" w:after="160" w:line="360" w:lineRule="auto"/>
        <w:jc w:val="both"/>
        <w:rPr>
          <w:rFonts w:ascii="Palatino Linotype" w:hAnsi="Palatino Linotype"/>
          <w:lang w:val="es-MX" w:eastAsia="en-US"/>
        </w:rPr>
      </w:pPr>
      <w:r w:rsidRPr="00D86334">
        <w:rPr>
          <w:rFonts w:ascii="Palatino Linotype" w:hAnsi="Palatino Linotype" w:cs="Arial"/>
          <w:lang w:val="es-MX" w:eastAsia="en-US"/>
        </w:rPr>
        <w:t xml:space="preserve">Que cuando los particulares no identifican </w:t>
      </w:r>
      <w:r w:rsidRPr="00D86334">
        <w:rPr>
          <w:rFonts w:ascii="Palatino Linotype" w:hAnsi="Palatino Linotype"/>
          <w:lang w:val="es-MX" w:eastAsia="en-US"/>
        </w:rPr>
        <w:t xml:space="preserve">de forma precisa el documento requerido bastará con que se remita cualquiera que refleje la información requerida. Al respecto cobra relevancia el criterio </w:t>
      </w:r>
      <w:r>
        <w:rPr>
          <w:rFonts w:ascii="Palatino Linotype" w:hAnsi="Palatino Linotype"/>
          <w:lang w:val="es-MX" w:eastAsia="en-US"/>
        </w:rPr>
        <w:t xml:space="preserve">orientador </w:t>
      </w:r>
      <w:r w:rsidRPr="00D86334">
        <w:rPr>
          <w:rFonts w:ascii="Palatino Linotype" w:hAnsi="Palatino Linotype"/>
          <w:lang w:val="es-MX" w:eastAsia="en-US"/>
        </w:rPr>
        <w:t xml:space="preserve">emitido por el </w:t>
      </w:r>
      <w:r>
        <w:rPr>
          <w:rFonts w:ascii="Palatino Linotype" w:hAnsi="Palatino Linotype"/>
          <w:lang w:val="es-MX" w:eastAsia="en-US"/>
        </w:rPr>
        <w:t xml:space="preserve">entonces </w:t>
      </w:r>
      <w:r w:rsidRPr="00D86334">
        <w:rPr>
          <w:rFonts w:ascii="Palatino Linotype" w:hAnsi="Palatino Linotype"/>
          <w:lang w:val="es-MX" w:eastAsia="en-US"/>
        </w:rPr>
        <w:t xml:space="preserve">Órgano Garante Nacional con número </w:t>
      </w:r>
      <w:r w:rsidRPr="00D86334">
        <w:rPr>
          <w:rFonts w:ascii="Palatino Linotype" w:hAnsi="Palatino Linotype"/>
          <w:b/>
          <w:bCs/>
          <w:lang w:val="es-MX" w:eastAsia="en-US"/>
        </w:rPr>
        <w:t xml:space="preserve">16/17 </w:t>
      </w:r>
      <w:r w:rsidRPr="00D86334">
        <w:rPr>
          <w:rFonts w:ascii="Palatino Linotype" w:hAnsi="Palatino Linotype"/>
          <w:lang w:val="es-MX" w:eastAsia="en-US"/>
        </w:rPr>
        <w:t>cuyo rubro y texto disponen a la literalidad lo siguiente:</w:t>
      </w:r>
    </w:p>
    <w:p w14:paraId="4FA9A1BC" w14:textId="77777777" w:rsidR="003740F3" w:rsidRPr="00D86334" w:rsidRDefault="003740F3" w:rsidP="003740F3">
      <w:pPr>
        <w:spacing w:before="240" w:after="160" w:line="360" w:lineRule="auto"/>
        <w:ind w:left="851" w:right="851"/>
        <w:jc w:val="center"/>
        <w:rPr>
          <w:rFonts w:ascii="Palatino Linotype" w:eastAsiaTheme="minorHAnsi" w:hAnsi="Palatino Linotype" w:cs="Arial"/>
          <w:b/>
          <w:bCs/>
          <w:i/>
          <w:lang w:val="es-MX" w:eastAsia="en-US"/>
        </w:rPr>
      </w:pPr>
      <w:r w:rsidRPr="00D86334">
        <w:rPr>
          <w:rFonts w:ascii="Palatino Linotype" w:eastAsiaTheme="minorHAnsi" w:hAnsi="Palatino Linotype" w:cs="Arial"/>
          <w:b/>
          <w:bCs/>
          <w:i/>
          <w:lang w:val="es-MX" w:eastAsia="en-US"/>
        </w:rPr>
        <w:t>“EXPRESIÓN DOCUMENTAL.</w:t>
      </w:r>
    </w:p>
    <w:p w14:paraId="39AE8815" w14:textId="77777777" w:rsidR="003740F3" w:rsidRPr="00D86334" w:rsidRDefault="003740F3" w:rsidP="003740F3">
      <w:pPr>
        <w:spacing w:before="240" w:after="160"/>
        <w:ind w:left="851" w:right="851"/>
        <w:jc w:val="both"/>
        <w:rPr>
          <w:rFonts w:ascii="Palatino Linotype" w:eastAsiaTheme="minorHAnsi" w:hAnsi="Palatino Linotype" w:cs="Arial"/>
          <w:i/>
          <w:sz w:val="22"/>
          <w:lang w:val="es-MX" w:eastAsia="en-US"/>
        </w:rPr>
      </w:pPr>
      <w:r w:rsidRPr="00D86334">
        <w:rPr>
          <w:rFonts w:ascii="Palatino Linotype" w:eastAsiaTheme="minorHAnsi" w:hAnsi="Palatino Linotype" w:cs="Arial"/>
          <w:bCs/>
          <w:i/>
          <w:sz w:val="22"/>
          <w:lang w:val="es-MX" w:eastAsia="en-US"/>
        </w:rPr>
        <w:t>Cuando</w:t>
      </w:r>
      <w:r w:rsidRPr="00D86334">
        <w:rPr>
          <w:rFonts w:ascii="Palatino Linotype" w:eastAsiaTheme="minorHAnsi" w:hAnsi="Palatino Linotype" w:cs="Arial"/>
          <w:i/>
          <w:sz w:val="22"/>
          <w:szCs w:val="22"/>
          <w:lang w:eastAsia="en-US"/>
        </w:rPr>
        <w:t xml:space="preserve"> los particulares presenten solicitudes de acceso a la información sin identificar de forma precisa la documentación que pudiera contener la información de su interés, </w:t>
      </w:r>
      <w:r w:rsidRPr="00D86334">
        <w:rPr>
          <w:rFonts w:ascii="Palatino Linotype" w:eastAsiaTheme="minorHAnsi" w:hAnsi="Palatino Linotype" w:cs="Arial"/>
          <w:i/>
          <w:sz w:val="22"/>
          <w:lang w:val="es-MX" w:eastAsia="en-US"/>
        </w:rPr>
        <w:t>o bien, la solicitud constituya una consulta,</w:t>
      </w:r>
      <w:r w:rsidRPr="00D86334">
        <w:rPr>
          <w:rFonts w:ascii="Palatino Linotype" w:eastAsiaTheme="minorHAnsi" w:hAnsi="Palatino Linotype" w:cs="Arial"/>
          <w:i/>
          <w:sz w:val="22"/>
          <w:szCs w:val="22"/>
          <w:lang w:eastAsia="en-US"/>
        </w:rPr>
        <w:t xml:space="preserve"> pero la respuesta pudiera obrar en algún documento en poder de los sujetos obligados, éstos deben dar a dichas solicitudes una interpretación que les otorgue una expresión documental. </w:t>
      </w:r>
    </w:p>
    <w:p w14:paraId="77A75ED9" w14:textId="77777777" w:rsidR="003740F3" w:rsidRPr="00D86334" w:rsidRDefault="003740F3" w:rsidP="003740F3">
      <w:pPr>
        <w:spacing w:before="240" w:after="160"/>
        <w:ind w:left="851" w:right="851"/>
        <w:jc w:val="both"/>
        <w:rPr>
          <w:rFonts w:ascii="Palatino Linotype" w:eastAsiaTheme="minorHAnsi" w:hAnsi="Palatino Linotype" w:cs="Arial"/>
          <w:b/>
          <w:i/>
          <w:sz w:val="22"/>
          <w:szCs w:val="22"/>
          <w:lang w:val="es-MX" w:eastAsia="en-US"/>
        </w:rPr>
      </w:pPr>
      <w:r w:rsidRPr="00D86334">
        <w:rPr>
          <w:rFonts w:ascii="Palatino Linotype" w:eastAsiaTheme="minorHAnsi" w:hAnsi="Palatino Linotype" w:cs="Arial"/>
          <w:b/>
          <w:i/>
          <w:sz w:val="22"/>
          <w:szCs w:val="22"/>
          <w:lang w:val="es-MX" w:eastAsia="en-US"/>
        </w:rPr>
        <w:t>Precedentes:</w:t>
      </w:r>
    </w:p>
    <w:p w14:paraId="6AEEA723" w14:textId="77777777" w:rsidR="003740F3" w:rsidRPr="00D86334" w:rsidRDefault="003740F3" w:rsidP="003740F3">
      <w:pPr>
        <w:numPr>
          <w:ilvl w:val="0"/>
          <w:numId w:val="8"/>
        </w:numPr>
        <w:spacing w:before="240" w:after="160"/>
        <w:ind w:right="851"/>
        <w:jc w:val="both"/>
        <w:rPr>
          <w:rFonts w:ascii="Palatino Linotype" w:eastAsiaTheme="minorHAnsi" w:hAnsi="Palatino Linotype" w:cs="Arial"/>
          <w:i/>
          <w:color w:val="000000"/>
          <w:sz w:val="22"/>
          <w:szCs w:val="22"/>
          <w:lang w:val="es-MX" w:eastAsia="en-US"/>
        </w:rPr>
      </w:pPr>
      <w:r w:rsidRPr="00D86334">
        <w:rPr>
          <w:rFonts w:ascii="Palatino Linotype" w:eastAsiaTheme="minorHAnsi" w:hAnsi="Palatino Linotype" w:cs="Arial"/>
          <w:i/>
          <w:sz w:val="22"/>
          <w:szCs w:val="22"/>
          <w:lang w:val="es-MX" w:eastAsia="en-US"/>
        </w:rPr>
        <w:lastRenderedPageBreak/>
        <w:t xml:space="preserve">Acceso a la información pública. RRA 0774/16. Sesión del 31 de agosto de 2016. Votación por unanimidad. </w:t>
      </w:r>
      <w:r w:rsidRPr="00D86334">
        <w:rPr>
          <w:rFonts w:ascii="Palatino Linotype" w:eastAsia="Arial" w:hAnsi="Palatino Linotype" w:cs="Arial"/>
          <w:i/>
          <w:sz w:val="22"/>
          <w:szCs w:val="22"/>
          <w:lang w:val="es-MX" w:eastAsia="en-US"/>
        </w:rPr>
        <w:t>Sin votos disidentes o particulares.</w:t>
      </w:r>
      <w:r w:rsidRPr="00D86334">
        <w:rPr>
          <w:rFonts w:ascii="Palatino Linotype" w:eastAsiaTheme="minorHAnsi" w:hAnsi="Palatino Linotype" w:cs="Arial"/>
          <w:i/>
          <w:sz w:val="22"/>
          <w:szCs w:val="22"/>
          <w:lang w:val="es-MX" w:eastAsia="en-US"/>
        </w:rPr>
        <w:t xml:space="preserve"> Secretaría de Salud. Comisionada Ponente María Patricia Kurczyn Villalobos.</w:t>
      </w:r>
    </w:p>
    <w:p w14:paraId="608ED0BD" w14:textId="77777777" w:rsidR="003740F3" w:rsidRPr="00D86334" w:rsidRDefault="003740F3" w:rsidP="003740F3">
      <w:pPr>
        <w:numPr>
          <w:ilvl w:val="0"/>
          <w:numId w:val="8"/>
        </w:numPr>
        <w:spacing w:before="240" w:after="160"/>
        <w:ind w:right="851"/>
        <w:jc w:val="both"/>
        <w:rPr>
          <w:rFonts w:ascii="Palatino Linotype" w:eastAsiaTheme="minorHAnsi" w:hAnsi="Palatino Linotype" w:cs="Arial"/>
          <w:i/>
          <w:color w:val="000000"/>
          <w:sz w:val="22"/>
          <w:szCs w:val="22"/>
          <w:lang w:val="es-MX" w:eastAsia="en-US"/>
        </w:rPr>
      </w:pPr>
      <w:r w:rsidRPr="00D86334">
        <w:rPr>
          <w:rFonts w:ascii="Palatino Linotype" w:eastAsiaTheme="minorHAnsi" w:hAnsi="Palatino Linotype" w:cs="Arial"/>
          <w:i/>
          <w:sz w:val="22"/>
          <w:szCs w:val="22"/>
          <w:lang w:val="es-MX" w:eastAsia="en-US"/>
        </w:rPr>
        <w:t xml:space="preserve">Acceso a la información pública. RRA 0143/17. Sesión del 22 de febrero de 2017. Votación por unanimidad. </w:t>
      </w:r>
      <w:r w:rsidRPr="00D86334">
        <w:rPr>
          <w:rFonts w:ascii="Palatino Linotype" w:eastAsia="Arial" w:hAnsi="Palatino Linotype" w:cs="Arial"/>
          <w:i/>
          <w:sz w:val="22"/>
          <w:szCs w:val="22"/>
          <w:lang w:val="es-MX" w:eastAsia="en-US"/>
        </w:rPr>
        <w:t>Sin votos disidentes o particulares.</w:t>
      </w:r>
      <w:r w:rsidRPr="00D86334">
        <w:rPr>
          <w:rFonts w:ascii="Palatino Linotype" w:eastAsiaTheme="minorHAnsi" w:hAnsi="Palatino Linotype" w:cs="Arial"/>
          <w:i/>
          <w:sz w:val="22"/>
          <w:szCs w:val="22"/>
          <w:lang w:val="es-MX" w:eastAsia="en-US"/>
        </w:rPr>
        <w:t xml:space="preserve"> Universidad Autónoma Agraria Antonio Narro. Comisionado Ponente Oscar Mauricio Guerra Ford. </w:t>
      </w:r>
    </w:p>
    <w:p w14:paraId="61EAD992" w14:textId="77777777" w:rsidR="003740F3" w:rsidRPr="00D86334" w:rsidRDefault="003740F3" w:rsidP="003740F3">
      <w:pPr>
        <w:numPr>
          <w:ilvl w:val="0"/>
          <w:numId w:val="8"/>
        </w:numPr>
        <w:spacing w:before="240" w:after="160"/>
        <w:ind w:right="851"/>
        <w:jc w:val="both"/>
        <w:rPr>
          <w:rFonts w:ascii="Palatino Linotype" w:eastAsiaTheme="minorHAnsi" w:hAnsi="Palatino Linotype" w:cs="Arial"/>
          <w:i/>
          <w:color w:val="000000"/>
          <w:sz w:val="22"/>
          <w:szCs w:val="22"/>
          <w:lang w:val="es-MX" w:eastAsia="en-US"/>
        </w:rPr>
      </w:pPr>
      <w:r w:rsidRPr="00D86334">
        <w:rPr>
          <w:rFonts w:ascii="Palatino Linotype" w:eastAsiaTheme="minorHAnsi" w:hAnsi="Palatino Linotype" w:cs="Arial"/>
          <w:i/>
          <w:sz w:val="22"/>
          <w:szCs w:val="22"/>
          <w:lang w:val="es-MX" w:eastAsia="en-US"/>
        </w:rPr>
        <w:t xml:space="preserve">Acceso a la información pública. RRA 0540/17. Sesión del 08 de marzo del 2017. Votación por unanimidad. </w:t>
      </w:r>
      <w:r w:rsidRPr="00D86334">
        <w:rPr>
          <w:rFonts w:ascii="Palatino Linotype" w:eastAsia="Arial" w:hAnsi="Palatino Linotype" w:cs="Arial"/>
          <w:i/>
          <w:sz w:val="22"/>
          <w:szCs w:val="22"/>
          <w:lang w:val="es-MX" w:eastAsia="en-US"/>
        </w:rPr>
        <w:t>Sin votos disidentes o particulares.</w:t>
      </w:r>
      <w:r w:rsidRPr="00D86334">
        <w:rPr>
          <w:rFonts w:ascii="Palatino Linotype" w:eastAsiaTheme="minorHAnsi" w:hAnsi="Palatino Linotype" w:cs="Arial"/>
          <w:i/>
          <w:sz w:val="22"/>
          <w:szCs w:val="22"/>
          <w:lang w:val="es-MX" w:eastAsia="en-US"/>
        </w:rPr>
        <w:t xml:space="preserve"> Secretaría de Economía. Comisionado Ponente Francisco Javier Acuña Llamas. “ </w:t>
      </w:r>
      <w:r w:rsidRPr="00D86334">
        <w:rPr>
          <w:rFonts w:ascii="Palatino Linotype" w:eastAsiaTheme="minorHAnsi" w:hAnsi="Palatino Linotype" w:cs="Arial"/>
          <w:b/>
          <w:bCs/>
          <w:i/>
          <w:sz w:val="22"/>
          <w:szCs w:val="22"/>
          <w:lang w:val="es-MX" w:eastAsia="en-US"/>
        </w:rPr>
        <w:t>(Sic)</w:t>
      </w:r>
    </w:p>
    <w:p w14:paraId="09A999FF" w14:textId="77777777" w:rsidR="003740F3" w:rsidRDefault="003740F3" w:rsidP="003740F3">
      <w:pPr>
        <w:spacing w:before="240" w:line="360" w:lineRule="auto"/>
        <w:jc w:val="both"/>
        <w:rPr>
          <w:rFonts w:ascii="Palatino Linotype" w:hAnsi="Palatino Linotype" w:cs="Arial"/>
        </w:rPr>
      </w:pPr>
    </w:p>
    <w:p w14:paraId="4A858AF3" w14:textId="77777777" w:rsidR="003740F3" w:rsidRPr="001106D5" w:rsidRDefault="003740F3" w:rsidP="003740F3">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CA7C46">
        <w:rPr>
          <w:rFonts w:ascii="Palatino Linotype" w:hAnsi="Palatino Linotype" w:cs="Arial"/>
          <w:b/>
        </w:rPr>
        <w:t>00130/COACALCO/IP/2025</w:t>
      </w:r>
      <w:r w:rsidR="00341E0E">
        <w:rPr>
          <w:rFonts w:ascii="Palatino Linotype" w:hAnsi="Palatino Linotype" w:cs="Arial"/>
          <w:b/>
        </w:rPr>
        <w:t>:</w:t>
      </w:r>
    </w:p>
    <w:p w14:paraId="003078C7" w14:textId="77777777" w:rsidR="003740F3" w:rsidRDefault="00341E0E" w:rsidP="003740F3">
      <w:pPr>
        <w:pStyle w:val="INFOEM"/>
      </w:pPr>
      <w:r>
        <w:t xml:space="preserve"> “</w:t>
      </w:r>
      <w:r w:rsidRPr="00341E0E">
        <w:t>SOLICITO SABER SI EXISTE UN PROTOCOLO PARA DETECTAR, ATENDER Y ACOMPAÑAR A LOS SERVIDORES PUBLICOS DE COACALCO EN CASOS DE HOSTIGAMIENTO Y ACOSO SEXUAL Y/O / LABORAL Y QUIEN ES EL RESPONSABLE DE VIGITAL SU CUMPLIMIENTO</w:t>
      </w:r>
      <w:r w:rsidR="003740F3">
        <w:t>” (Sic)</w:t>
      </w:r>
    </w:p>
    <w:p w14:paraId="5E961E5E" w14:textId="77777777" w:rsidR="003740F3" w:rsidRDefault="003740F3" w:rsidP="003740F3">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w:t>
      </w:r>
      <w:r>
        <w:rPr>
          <w:rFonts w:ascii="Palatino Linotype" w:eastAsia="Calibri" w:hAnsi="Palatino Linotype" w:cs="Calibri"/>
          <w:lang w:val="es-ES_tradnl" w:eastAsia="es-MX"/>
        </w:rPr>
        <w:t xml:space="preserve"> electrónico denominado:</w:t>
      </w:r>
    </w:p>
    <w:p w14:paraId="4017DF35" w14:textId="77777777" w:rsidR="003740F3" w:rsidRDefault="00341E0E" w:rsidP="00341E0E">
      <w:pPr>
        <w:pStyle w:val="Prrafodelista"/>
        <w:numPr>
          <w:ilvl w:val="0"/>
          <w:numId w:val="5"/>
        </w:numPr>
        <w:autoSpaceDE w:val="0"/>
        <w:autoSpaceDN w:val="0"/>
        <w:adjustRightInd w:val="0"/>
        <w:spacing w:line="360" w:lineRule="auto"/>
        <w:jc w:val="both"/>
        <w:rPr>
          <w:rFonts w:ascii="Palatino Linotype" w:hAnsi="Palatino Linotype" w:cs="Arial"/>
        </w:rPr>
      </w:pPr>
      <w:r w:rsidRPr="00341E0E">
        <w:rPr>
          <w:rFonts w:ascii="Palatino Linotype" w:hAnsi="Palatino Linotype" w:cs="Arial"/>
          <w:b/>
          <w:i/>
        </w:rPr>
        <w:lastRenderedPageBreak/>
        <w:t>Informe RR 7115.pdf</w:t>
      </w:r>
      <w:r w:rsidR="003740F3">
        <w:rPr>
          <w:rFonts w:ascii="Palatino Linotype" w:hAnsi="Palatino Linotype" w:cs="Arial"/>
        </w:rPr>
        <w:t xml:space="preserve">: </w:t>
      </w:r>
      <w:r>
        <w:rPr>
          <w:rFonts w:ascii="Palatino Linotype" w:hAnsi="Palatino Linotype" w:cs="Arial"/>
        </w:rPr>
        <w:t>la Coordinadora de Transparencia y Protección de Datos Personales, en el que refiere remitir el oficio signado por la servidora pública habilitada de la Dirección de Administración.</w:t>
      </w:r>
    </w:p>
    <w:p w14:paraId="6EDABB0F" w14:textId="77777777" w:rsidR="003740F3" w:rsidRDefault="00341E0E" w:rsidP="00341E0E">
      <w:pPr>
        <w:pStyle w:val="Prrafodelista"/>
        <w:numPr>
          <w:ilvl w:val="0"/>
          <w:numId w:val="5"/>
        </w:numPr>
        <w:autoSpaceDE w:val="0"/>
        <w:autoSpaceDN w:val="0"/>
        <w:adjustRightInd w:val="0"/>
        <w:spacing w:line="360" w:lineRule="auto"/>
        <w:jc w:val="both"/>
        <w:rPr>
          <w:rFonts w:ascii="Palatino Linotype" w:hAnsi="Palatino Linotype" w:cs="Arial"/>
        </w:rPr>
      </w:pPr>
      <w:r w:rsidRPr="00341E0E">
        <w:rPr>
          <w:rFonts w:ascii="Palatino Linotype" w:hAnsi="Palatino Linotype" w:cs="Arial"/>
          <w:b/>
          <w:i/>
        </w:rPr>
        <w:t>Respuesta 7115.pdf</w:t>
      </w:r>
      <w:r w:rsidR="003740F3">
        <w:rPr>
          <w:rFonts w:ascii="Palatino Linotype" w:hAnsi="Palatino Linotype" w:cs="Arial"/>
        </w:rPr>
        <w:t xml:space="preserve">: contiene el oficio </w:t>
      </w:r>
      <w:r>
        <w:rPr>
          <w:rFonts w:ascii="Palatino Linotype" w:hAnsi="Palatino Linotype" w:cs="Arial"/>
        </w:rPr>
        <w:t>DA</w:t>
      </w:r>
      <w:r w:rsidR="003740F3">
        <w:rPr>
          <w:rFonts w:ascii="Palatino Linotype" w:hAnsi="Palatino Linotype" w:cs="Arial"/>
        </w:rPr>
        <w:t>/</w:t>
      </w:r>
      <w:r>
        <w:rPr>
          <w:rFonts w:ascii="Palatino Linotype" w:hAnsi="Palatino Linotype" w:cs="Arial"/>
        </w:rPr>
        <w:t>1210</w:t>
      </w:r>
      <w:r w:rsidR="003740F3">
        <w:rPr>
          <w:rFonts w:ascii="Palatino Linotype" w:hAnsi="Palatino Linotype" w:cs="Arial"/>
        </w:rPr>
        <w:t xml:space="preserve">/2025, de fecha </w:t>
      </w:r>
      <w:r>
        <w:rPr>
          <w:rFonts w:ascii="Palatino Linotype" w:hAnsi="Palatino Linotype" w:cs="Arial"/>
        </w:rPr>
        <w:t>veintitrés de junio</w:t>
      </w:r>
      <w:r w:rsidR="003740F3">
        <w:rPr>
          <w:rFonts w:ascii="Palatino Linotype" w:hAnsi="Palatino Linotype" w:cs="Arial"/>
        </w:rPr>
        <w:t xml:space="preserve"> de dos mil veinticinco, firmado por la </w:t>
      </w:r>
      <w:r>
        <w:rPr>
          <w:rFonts w:ascii="Palatino Linotype" w:hAnsi="Palatino Linotype" w:cs="Arial"/>
        </w:rPr>
        <w:t>Servidora Pública Habilitada de la Dirección de Administración</w:t>
      </w:r>
      <w:r w:rsidR="003740F3">
        <w:rPr>
          <w:rFonts w:ascii="Palatino Linotype" w:hAnsi="Palatino Linotype" w:cs="Arial"/>
        </w:rPr>
        <w:t xml:space="preserve">, en el que </w:t>
      </w:r>
      <w:r w:rsidR="003740F3" w:rsidRPr="004C7509">
        <w:rPr>
          <w:rFonts w:ascii="Palatino Linotype" w:hAnsi="Palatino Linotype" w:cs="Arial"/>
        </w:rPr>
        <w:t>refiere lo siguiente</w:t>
      </w:r>
      <w:r w:rsidR="003740F3">
        <w:rPr>
          <w:rFonts w:ascii="Palatino Linotype" w:hAnsi="Palatino Linotype" w:cs="Arial"/>
        </w:rPr>
        <w:t>:</w:t>
      </w:r>
    </w:p>
    <w:p w14:paraId="5847213D" w14:textId="77777777" w:rsidR="00341E0E" w:rsidRDefault="003740F3" w:rsidP="003740F3">
      <w:pPr>
        <w:pStyle w:val="Citas"/>
      </w:pPr>
      <w:r>
        <w:t>“…</w:t>
      </w:r>
      <w:r w:rsidR="00341E0E">
        <w:t xml:space="preserve"> </w:t>
      </w:r>
      <w:r w:rsidR="00341E0E" w:rsidRPr="00BB22EE">
        <w:rPr>
          <w:b/>
          <w:u w:val="single"/>
        </w:rPr>
        <w:t>hago de su conocimiento que no existe un Protocolo para los Servidores Públicos en caso de hostigamiento, y/o acoso laboral y/o sexual, el procedimiento consiste en presentarse de manera personal ante la Contraloría Municipal a realizar la denuncia</w:t>
      </w:r>
      <w:r w:rsidR="00341E0E">
        <w:t>.</w:t>
      </w:r>
    </w:p>
    <w:p w14:paraId="3BD3057D" w14:textId="77777777" w:rsidR="003740F3" w:rsidRDefault="003740F3" w:rsidP="003740F3">
      <w:pPr>
        <w:pStyle w:val="Citas"/>
      </w:pPr>
      <w:r>
        <w:t>…” (Sic)</w:t>
      </w:r>
    </w:p>
    <w:p w14:paraId="29866E91" w14:textId="77777777" w:rsidR="00BB22EE" w:rsidRDefault="00BB22EE" w:rsidP="003740F3">
      <w:pPr>
        <w:spacing w:line="360" w:lineRule="auto"/>
        <w:jc w:val="both"/>
        <w:rPr>
          <w:rFonts w:ascii="Palatino Linotype" w:hAnsi="Palatino Linotype" w:cs="Tahoma"/>
        </w:rPr>
      </w:pPr>
    </w:p>
    <w:p w14:paraId="254C8892" w14:textId="77777777" w:rsidR="00BB22EE" w:rsidRDefault="00BB22EE" w:rsidP="003740F3">
      <w:pPr>
        <w:spacing w:line="360" w:lineRule="auto"/>
        <w:jc w:val="both"/>
        <w:rPr>
          <w:rFonts w:ascii="Palatino Linotype" w:hAnsi="Palatino Linotype" w:cs="Tahoma"/>
        </w:rPr>
      </w:pPr>
      <w:r>
        <w:rPr>
          <w:rFonts w:ascii="Palatino Linotype" w:hAnsi="Palatino Linotype" w:cs="Tahoma"/>
        </w:rPr>
        <w:t xml:space="preserve">En ese orden de ideas, resulta necesario delimitar esferas competenciales conforme al Bando Municipal de Coacalco de Berriozábal, en el que se establece que </w:t>
      </w:r>
      <w:r w:rsidR="00E9344E">
        <w:rPr>
          <w:rFonts w:ascii="Palatino Linotype" w:hAnsi="Palatino Linotype" w:cs="Tahoma"/>
        </w:rPr>
        <w:t>las áreas y direcciones con las que cuenta la administración pública municipal</w:t>
      </w:r>
      <w:r>
        <w:rPr>
          <w:rFonts w:ascii="Palatino Linotype" w:hAnsi="Palatino Linotype" w:cs="Tahoma"/>
        </w:rPr>
        <w:t>:</w:t>
      </w:r>
    </w:p>
    <w:p w14:paraId="041FFEFE" w14:textId="77777777" w:rsidR="00E9344E" w:rsidRDefault="00E9344E" w:rsidP="00E9344E">
      <w:pPr>
        <w:pStyle w:val="Citas"/>
        <w:spacing w:before="0" w:after="0" w:line="240" w:lineRule="auto"/>
      </w:pPr>
      <w:r w:rsidRPr="00E9344E">
        <w:t xml:space="preserve">Artículo 40. La Administración Pública Municipal estará integrada por la Presidencia Municipal, las Dependencias y Entidades siguientes:  </w:t>
      </w:r>
    </w:p>
    <w:p w14:paraId="5A86015B" w14:textId="77777777" w:rsidR="00E9344E" w:rsidRDefault="00E9344E" w:rsidP="00E9344E">
      <w:pPr>
        <w:pStyle w:val="Citas"/>
        <w:spacing w:before="0" w:after="0" w:line="240" w:lineRule="auto"/>
      </w:pPr>
      <w:r w:rsidRPr="00E9344E">
        <w:t xml:space="preserve">I. PRESIDENCIA MUNICIPAL:  </w:t>
      </w:r>
    </w:p>
    <w:p w14:paraId="61EEEAE8" w14:textId="77777777" w:rsidR="00E9344E" w:rsidRDefault="00E9344E" w:rsidP="00E9344E">
      <w:pPr>
        <w:pStyle w:val="Citas"/>
        <w:spacing w:before="0" w:after="0" w:line="240" w:lineRule="auto"/>
      </w:pPr>
      <w:r w:rsidRPr="00E9344E">
        <w:t xml:space="preserve">a) Secretaría Particular;  </w:t>
      </w:r>
    </w:p>
    <w:p w14:paraId="25B6A0DF" w14:textId="77777777" w:rsidR="00E9344E" w:rsidRDefault="00E9344E" w:rsidP="00E9344E">
      <w:pPr>
        <w:pStyle w:val="Citas"/>
        <w:spacing w:before="0" w:after="0" w:line="240" w:lineRule="auto"/>
      </w:pPr>
      <w:r w:rsidRPr="00E9344E">
        <w:t xml:space="preserve">b) Secretaría Técnica;  </w:t>
      </w:r>
    </w:p>
    <w:p w14:paraId="6A4655A3" w14:textId="77777777" w:rsidR="00E9344E" w:rsidRDefault="00E9344E" w:rsidP="00E9344E">
      <w:pPr>
        <w:pStyle w:val="Citas"/>
        <w:spacing w:before="0" w:after="0" w:line="240" w:lineRule="auto"/>
      </w:pPr>
      <w:r w:rsidRPr="00E9344E">
        <w:t xml:space="preserve">c) Coordinación de Mejora Regulatoria;  </w:t>
      </w:r>
    </w:p>
    <w:p w14:paraId="27504B1F" w14:textId="77777777" w:rsidR="00E9344E" w:rsidRDefault="00E9344E" w:rsidP="00E9344E">
      <w:pPr>
        <w:pStyle w:val="Citas"/>
        <w:spacing w:before="0" w:after="0" w:line="240" w:lineRule="auto"/>
      </w:pPr>
      <w:r w:rsidRPr="00E9344E">
        <w:t xml:space="preserve">d) Coordinación de Giras y Eventos;  </w:t>
      </w:r>
    </w:p>
    <w:p w14:paraId="4E5EB63C" w14:textId="77777777" w:rsidR="00E9344E" w:rsidRDefault="00E9344E" w:rsidP="00E9344E">
      <w:pPr>
        <w:pStyle w:val="Citas"/>
        <w:spacing w:before="0" w:after="0" w:line="240" w:lineRule="auto"/>
      </w:pPr>
      <w:r w:rsidRPr="00E9344E">
        <w:t xml:space="preserve">e) Coordinación de Logística; </w:t>
      </w:r>
    </w:p>
    <w:p w14:paraId="2281EAB3" w14:textId="77777777" w:rsidR="00E9344E" w:rsidRDefault="00E9344E" w:rsidP="00E9344E">
      <w:pPr>
        <w:pStyle w:val="Citas"/>
        <w:spacing w:before="0" w:after="0" w:line="240" w:lineRule="auto"/>
      </w:pPr>
      <w:r w:rsidRPr="00E9344E">
        <w:t xml:space="preserve">f) Coordinación de Protección Civil y Bomberos.  </w:t>
      </w:r>
    </w:p>
    <w:p w14:paraId="6D1592C4" w14:textId="77777777" w:rsidR="00E9344E" w:rsidRDefault="00E9344E" w:rsidP="00E9344E">
      <w:pPr>
        <w:pStyle w:val="Citas"/>
        <w:spacing w:before="0" w:after="0" w:line="240" w:lineRule="auto"/>
      </w:pPr>
      <w:r w:rsidRPr="00E9344E">
        <w:t xml:space="preserve">II. DEPENDENCIAS:  </w:t>
      </w:r>
    </w:p>
    <w:p w14:paraId="6FAC5CD1" w14:textId="77777777" w:rsidR="00E9344E" w:rsidRDefault="00E9344E" w:rsidP="00E9344E">
      <w:pPr>
        <w:pStyle w:val="Citas"/>
        <w:spacing w:before="0" w:after="0" w:line="240" w:lineRule="auto"/>
      </w:pPr>
      <w:r w:rsidRPr="00E9344E">
        <w:t xml:space="preserve">a) Secretaría del Ayuntamiento;  </w:t>
      </w:r>
    </w:p>
    <w:p w14:paraId="4271A241" w14:textId="77777777" w:rsidR="00E9344E" w:rsidRDefault="00E9344E" w:rsidP="00E9344E">
      <w:pPr>
        <w:pStyle w:val="Citas"/>
        <w:spacing w:before="0" w:after="0" w:line="240" w:lineRule="auto"/>
      </w:pPr>
      <w:r w:rsidRPr="00E9344E">
        <w:t xml:space="preserve">b) Tesorería Municipal;  </w:t>
      </w:r>
    </w:p>
    <w:p w14:paraId="1C6A79D9" w14:textId="77777777" w:rsidR="00E9344E" w:rsidRDefault="00E9344E" w:rsidP="00E9344E">
      <w:pPr>
        <w:pStyle w:val="Citas"/>
        <w:spacing w:before="0" w:after="0" w:line="240" w:lineRule="auto"/>
      </w:pPr>
      <w:r w:rsidRPr="00E9344E">
        <w:t xml:space="preserve">c) Contraloría Municipal; y  </w:t>
      </w:r>
    </w:p>
    <w:p w14:paraId="3BD13254" w14:textId="77777777" w:rsidR="00E9344E" w:rsidRDefault="00E9344E" w:rsidP="00E9344E">
      <w:pPr>
        <w:pStyle w:val="Citas"/>
        <w:spacing w:before="0" w:after="0" w:line="240" w:lineRule="auto"/>
      </w:pPr>
      <w:r w:rsidRPr="00E9344E">
        <w:lastRenderedPageBreak/>
        <w:t xml:space="preserve">III. DIRECCIONES:  </w:t>
      </w:r>
    </w:p>
    <w:p w14:paraId="638498B4" w14:textId="77777777" w:rsidR="00E9344E" w:rsidRDefault="00E9344E" w:rsidP="00E9344E">
      <w:pPr>
        <w:pStyle w:val="Citas"/>
        <w:spacing w:before="0" w:after="0" w:line="240" w:lineRule="auto"/>
      </w:pPr>
      <w:r w:rsidRPr="00E9344E">
        <w:t xml:space="preserve">a) Dirección de Administración;  </w:t>
      </w:r>
    </w:p>
    <w:p w14:paraId="70E32993" w14:textId="77777777" w:rsidR="00E9344E" w:rsidRDefault="00E9344E" w:rsidP="00E9344E">
      <w:pPr>
        <w:pStyle w:val="Citas"/>
        <w:spacing w:before="0" w:after="0" w:line="240" w:lineRule="auto"/>
      </w:pPr>
      <w:r w:rsidRPr="00E9344E">
        <w:t xml:space="preserve">b) Dirección de Gobierno  </w:t>
      </w:r>
    </w:p>
    <w:p w14:paraId="55BED3BA" w14:textId="77777777" w:rsidR="00E9344E" w:rsidRDefault="00E9344E" w:rsidP="00E9344E">
      <w:pPr>
        <w:pStyle w:val="Citas"/>
        <w:spacing w:before="0" w:after="0" w:line="240" w:lineRule="auto"/>
      </w:pPr>
      <w:r w:rsidRPr="00E9344E">
        <w:t xml:space="preserve">c) Dirección de Desarrollo y Fomento Económico;  </w:t>
      </w:r>
    </w:p>
    <w:p w14:paraId="14CD72FF" w14:textId="77777777" w:rsidR="00E9344E" w:rsidRDefault="00E9344E" w:rsidP="00E9344E">
      <w:pPr>
        <w:pStyle w:val="Citas"/>
        <w:spacing w:before="0" w:after="0" w:line="240" w:lineRule="auto"/>
      </w:pPr>
      <w:r w:rsidRPr="00E9344E">
        <w:t xml:space="preserve">d) Dirección de Servicios Públicos;  </w:t>
      </w:r>
    </w:p>
    <w:p w14:paraId="28C14DBF" w14:textId="77777777" w:rsidR="00E9344E" w:rsidRDefault="00E9344E" w:rsidP="00E9344E">
      <w:pPr>
        <w:pStyle w:val="Citas"/>
        <w:spacing w:before="0" w:after="0" w:line="240" w:lineRule="auto"/>
      </w:pPr>
      <w:r w:rsidRPr="00E9344E">
        <w:t xml:space="preserve">e) Comisaría de Seguridad Pública y Tránsito Municipal;  </w:t>
      </w:r>
    </w:p>
    <w:p w14:paraId="1AD05934" w14:textId="77777777" w:rsidR="00E9344E" w:rsidRDefault="00E9344E" w:rsidP="00E9344E">
      <w:pPr>
        <w:pStyle w:val="Citas"/>
        <w:spacing w:before="0" w:after="0" w:line="240" w:lineRule="auto"/>
      </w:pPr>
      <w:r w:rsidRPr="00E9344E">
        <w:t xml:space="preserve">f) Dirección de Desarrollo Social;  </w:t>
      </w:r>
    </w:p>
    <w:p w14:paraId="45FAD7F0" w14:textId="77777777" w:rsidR="00E9344E" w:rsidRDefault="00E9344E" w:rsidP="00E9344E">
      <w:pPr>
        <w:pStyle w:val="Citas"/>
        <w:spacing w:before="0" w:after="0" w:line="240" w:lineRule="auto"/>
      </w:pPr>
      <w:r w:rsidRPr="00E9344E">
        <w:t xml:space="preserve">g) Dirección de Educación y Cultura;  </w:t>
      </w:r>
    </w:p>
    <w:p w14:paraId="433AE6EE" w14:textId="77777777" w:rsidR="00E9344E" w:rsidRDefault="00E9344E" w:rsidP="00E9344E">
      <w:pPr>
        <w:pStyle w:val="Citas"/>
        <w:spacing w:before="0" w:after="0" w:line="240" w:lineRule="auto"/>
      </w:pPr>
      <w:r w:rsidRPr="00E9344E">
        <w:t xml:space="preserve">h) Dirección de Desarrollo Urbano;  </w:t>
      </w:r>
    </w:p>
    <w:p w14:paraId="45BA2302" w14:textId="77777777" w:rsidR="00E9344E" w:rsidRDefault="00E9344E" w:rsidP="00E9344E">
      <w:pPr>
        <w:pStyle w:val="Citas"/>
        <w:spacing w:before="0" w:after="0" w:line="240" w:lineRule="auto"/>
      </w:pPr>
      <w:r w:rsidRPr="00E9344E">
        <w:t xml:space="preserve">i) Dirección de Medio Ambiente;  </w:t>
      </w:r>
    </w:p>
    <w:p w14:paraId="10DDE8CF" w14:textId="77777777" w:rsidR="00E9344E" w:rsidRDefault="00E9344E" w:rsidP="00E9344E">
      <w:pPr>
        <w:pStyle w:val="Citas"/>
        <w:spacing w:before="0" w:after="0" w:line="240" w:lineRule="auto"/>
      </w:pPr>
      <w:r w:rsidRPr="00E9344E">
        <w:t xml:space="preserve">j) Dirección de Obras Públicas;  </w:t>
      </w:r>
    </w:p>
    <w:p w14:paraId="2C3901F3" w14:textId="77777777" w:rsidR="00E9344E" w:rsidRDefault="00E9344E" w:rsidP="00E9344E">
      <w:pPr>
        <w:pStyle w:val="Citas"/>
        <w:spacing w:before="0" w:after="0" w:line="240" w:lineRule="auto"/>
      </w:pPr>
      <w:r w:rsidRPr="00E9344E">
        <w:t xml:space="preserve">k) Dirección Jurídica; </w:t>
      </w:r>
    </w:p>
    <w:p w14:paraId="220C9C53" w14:textId="77777777" w:rsidR="00E9344E" w:rsidRDefault="00E9344E" w:rsidP="00E9344E">
      <w:pPr>
        <w:pStyle w:val="Citas"/>
        <w:spacing w:before="0" w:after="0" w:line="240" w:lineRule="auto"/>
      </w:pPr>
      <w:r w:rsidRPr="00E9344E">
        <w:t xml:space="preserve"> l) Dirección de Comunicación Institucional; </w:t>
      </w:r>
    </w:p>
    <w:p w14:paraId="58D5D5D9" w14:textId="77777777" w:rsidR="00E9344E" w:rsidRDefault="00E9344E" w:rsidP="00E9344E">
      <w:pPr>
        <w:pStyle w:val="Citas"/>
        <w:spacing w:before="0" w:after="0" w:line="240" w:lineRule="auto"/>
      </w:pPr>
      <w:r w:rsidRPr="00E9344E">
        <w:t>m) Dirección de Diversidad Sexual y atención LGBTTTIQ+</w:t>
      </w:r>
    </w:p>
    <w:p w14:paraId="1E79BA6E" w14:textId="77777777" w:rsidR="00E9344E" w:rsidRDefault="00E9344E" w:rsidP="00E9344E">
      <w:pPr>
        <w:pStyle w:val="Citas"/>
        <w:spacing w:before="0" w:after="0" w:line="240" w:lineRule="auto"/>
      </w:pPr>
      <w:r w:rsidRPr="00E9344E">
        <w:t>IV. ORGANISMOS PÚBLICOS DESCONCENTRADOS:</w:t>
      </w:r>
    </w:p>
    <w:p w14:paraId="3EF1C436" w14:textId="77777777" w:rsidR="00E9344E" w:rsidRDefault="00E9344E" w:rsidP="00E9344E">
      <w:pPr>
        <w:pStyle w:val="Citas"/>
        <w:numPr>
          <w:ilvl w:val="0"/>
          <w:numId w:val="12"/>
        </w:numPr>
        <w:spacing w:before="0" w:after="0" w:line="240" w:lineRule="auto"/>
      </w:pPr>
      <w:r w:rsidRPr="00E9344E">
        <w:t xml:space="preserve">Instituto Municipal de la Mujer.  </w:t>
      </w:r>
    </w:p>
    <w:p w14:paraId="5C011293" w14:textId="77777777" w:rsidR="00E9344E" w:rsidRDefault="00E9344E" w:rsidP="00E9344E">
      <w:pPr>
        <w:pStyle w:val="Citas"/>
        <w:numPr>
          <w:ilvl w:val="0"/>
          <w:numId w:val="12"/>
        </w:numPr>
        <w:spacing w:before="0" w:after="0" w:line="240" w:lineRule="auto"/>
      </w:pPr>
      <w:r w:rsidRPr="00E9344E">
        <w:t xml:space="preserve">Instituto Municipal de la Juventud Coacalco.  </w:t>
      </w:r>
    </w:p>
    <w:p w14:paraId="30326BC4" w14:textId="77777777" w:rsidR="00E9344E" w:rsidRDefault="00E9344E" w:rsidP="00E9344E">
      <w:pPr>
        <w:pStyle w:val="Citas"/>
        <w:numPr>
          <w:ilvl w:val="0"/>
          <w:numId w:val="12"/>
        </w:numPr>
        <w:spacing w:before="0" w:after="0" w:line="240" w:lineRule="auto"/>
      </w:pPr>
      <w:r w:rsidRPr="00E9344E">
        <w:t xml:space="preserve">Instituto Municipal de Planeación.  </w:t>
      </w:r>
    </w:p>
    <w:p w14:paraId="195D1A4B" w14:textId="77777777" w:rsidR="00E9344E" w:rsidRDefault="00E9344E" w:rsidP="00007F38">
      <w:pPr>
        <w:pStyle w:val="Citas"/>
        <w:spacing w:line="276" w:lineRule="auto"/>
      </w:pPr>
    </w:p>
    <w:p w14:paraId="23C66BCA" w14:textId="77777777" w:rsidR="00007F38" w:rsidRDefault="00007F38" w:rsidP="00007F38">
      <w:pPr>
        <w:pStyle w:val="Citas"/>
        <w:spacing w:line="276" w:lineRule="auto"/>
      </w:pPr>
      <w:r w:rsidRPr="00007F38">
        <w:t xml:space="preserve">Artículo 21. </w:t>
      </w:r>
      <w:r w:rsidRPr="00007F38">
        <w:rPr>
          <w:b/>
          <w:u w:val="single"/>
        </w:rPr>
        <w:t>Son derechos de las y los habitantes del municipio</w:t>
      </w:r>
      <w:r w:rsidRPr="00007F38">
        <w:t xml:space="preserve"> y personas transitorias, de manera enunciativa más no limitativa, los siguientes:  </w:t>
      </w:r>
    </w:p>
    <w:p w14:paraId="0E21F53C" w14:textId="77777777" w:rsidR="00007F38" w:rsidRDefault="00007F38" w:rsidP="00007F38">
      <w:pPr>
        <w:pStyle w:val="Citas"/>
        <w:spacing w:line="276" w:lineRule="auto"/>
      </w:pPr>
      <w:r>
        <w:t>…</w:t>
      </w:r>
    </w:p>
    <w:p w14:paraId="47C9B1E6" w14:textId="77777777" w:rsidR="00007F38" w:rsidRDefault="00007F38" w:rsidP="00007F38">
      <w:pPr>
        <w:pStyle w:val="Citas"/>
        <w:spacing w:line="276" w:lineRule="auto"/>
      </w:pPr>
      <w:r w:rsidRPr="00007F38">
        <w:t xml:space="preserve">XIX. Tener acceso a una igualdad de trato y oportunidades entre hombres y mujeres para prevenir, atender y erradicar la violencia de género;  </w:t>
      </w:r>
    </w:p>
    <w:p w14:paraId="1FBA99C0" w14:textId="77777777" w:rsidR="00007F38" w:rsidRPr="00007F38" w:rsidRDefault="00007F38" w:rsidP="00007F38">
      <w:pPr>
        <w:pStyle w:val="Citas"/>
        <w:spacing w:line="276" w:lineRule="auto"/>
      </w:pPr>
      <w:r w:rsidRPr="00007F38">
        <w:t xml:space="preserve">XX. Recibir atención oportuna y adecuada, así como el seguimiento por parte de las autoridades competentes o primer respondiente en caso de ser víctima de acoso y/u hostigamiento sexual callejero cometido en espacios públicos, garantizando que las niñas, niños y adolescentes, así como las y los ciudadanos tengan un tránsito libre y seguro en el territorio municipal.  </w:t>
      </w:r>
    </w:p>
    <w:p w14:paraId="54A92261" w14:textId="77777777" w:rsidR="00BB22EE" w:rsidRDefault="00BB22EE" w:rsidP="00007F38">
      <w:pPr>
        <w:pStyle w:val="Citas"/>
        <w:spacing w:line="276" w:lineRule="auto"/>
      </w:pPr>
      <w:r w:rsidRPr="00007F38">
        <w:rPr>
          <w:b/>
          <w:u w:val="single"/>
        </w:rPr>
        <w:t>Artículo 121. El Instituto Municipal de la Mujer procurará garantizar los mejores mecanismos de oportunidades y defensa de los derechos de las mujeres</w:t>
      </w:r>
      <w:r w:rsidRPr="00BB22EE">
        <w:t xml:space="preserve">, e implementará los mecanismos y acciones necesarias que aseguren un trato </w:t>
      </w:r>
      <w:r w:rsidRPr="00BB22EE">
        <w:lastRenderedPageBreak/>
        <w:t xml:space="preserve">de igualdad a las mujeres que viven en el Municipio, a través de las siguientes acciones:  </w:t>
      </w:r>
    </w:p>
    <w:p w14:paraId="7798D5F3" w14:textId="77777777" w:rsidR="00BB22EE" w:rsidRDefault="00BB22EE" w:rsidP="00007F38">
      <w:pPr>
        <w:pStyle w:val="Citas"/>
        <w:numPr>
          <w:ilvl w:val="0"/>
          <w:numId w:val="11"/>
        </w:numPr>
        <w:spacing w:line="276" w:lineRule="auto"/>
      </w:pPr>
      <w:r w:rsidRPr="00BB22EE">
        <w:t xml:space="preserve">Promover planes, programas y acciones con perspectiva de género en beneficio de las mujeres del Municipio, fomentando la cultura de la igualdad; </w:t>
      </w:r>
    </w:p>
    <w:p w14:paraId="3D54CF00" w14:textId="77777777" w:rsidR="00BB22EE" w:rsidRDefault="00BB22EE" w:rsidP="00007F38">
      <w:pPr>
        <w:pStyle w:val="Citas"/>
        <w:numPr>
          <w:ilvl w:val="0"/>
          <w:numId w:val="11"/>
        </w:numPr>
        <w:spacing w:line="276" w:lineRule="auto"/>
      </w:pPr>
      <w:r w:rsidRPr="00BB22EE">
        <w:t xml:space="preserve">Proporcionar asesoría jurídica y psicológica gratuita a mujeres habitantes del Municipio en situación de violencia; </w:t>
      </w:r>
    </w:p>
    <w:p w14:paraId="7996196C" w14:textId="77777777" w:rsidR="00BB22EE" w:rsidRDefault="00BB22EE" w:rsidP="00007F38">
      <w:pPr>
        <w:pStyle w:val="Citas"/>
        <w:numPr>
          <w:ilvl w:val="0"/>
          <w:numId w:val="11"/>
        </w:numPr>
        <w:spacing w:line="276" w:lineRule="auto"/>
      </w:pPr>
      <w:r w:rsidRPr="00BB22EE">
        <w:t xml:space="preserve">Desarrollar acciones para la prevención, atención y erradicación de las violencias contra las mujeres en el ámbito municipal; </w:t>
      </w:r>
    </w:p>
    <w:p w14:paraId="0E5A500E" w14:textId="77777777" w:rsidR="00BB22EE" w:rsidRPr="00BB22EE" w:rsidRDefault="00BB22EE" w:rsidP="00007F38">
      <w:pPr>
        <w:pStyle w:val="Citas"/>
        <w:numPr>
          <w:ilvl w:val="0"/>
          <w:numId w:val="11"/>
        </w:numPr>
        <w:spacing w:line="276" w:lineRule="auto"/>
        <w:rPr>
          <w:rFonts w:cs="Tahoma"/>
        </w:rPr>
      </w:pPr>
      <w:r w:rsidRPr="00BB22EE">
        <w:t>Llevar a cabo cursos, conferencias, talleres de empoderamiento económico, para garantizar el acceso a las mujeres del Municipio a una vida libre de violencia;</w:t>
      </w:r>
    </w:p>
    <w:p w14:paraId="39BDDA77" w14:textId="77777777" w:rsidR="00BB22EE" w:rsidRPr="00BB22EE" w:rsidRDefault="00BB22EE" w:rsidP="00007F38">
      <w:pPr>
        <w:pStyle w:val="Citas"/>
        <w:numPr>
          <w:ilvl w:val="0"/>
          <w:numId w:val="11"/>
        </w:numPr>
        <w:spacing w:line="276" w:lineRule="auto"/>
        <w:rPr>
          <w:rFonts w:cs="Tahoma"/>
          <w:b/>
        </w:rPr>
      </w:pPr>
      <w:r w:rsidRPr="00BB22EE">
        <w:rPr>
          <w:rFonts w:cs="Tahoma"/>
          <w:b/>
        </w:rPr>
        <w:t xml:space="preserve">Dar cumplimiento a los instrumentos internacionales, nacionales y estatales en materia de derechos humanos, garantizando en todo momento la igualdad de trato y oportunidades entre mujeres y hombres, así como, prevenir, atender y erradicar la violencia contra las mujeres en el ámbito de su competencia; </w:t>
      </w:r>
    </w:p>
    <w:p w14:paraId="4372D59B" w14:textId="77777777" w:rsidR="00BB22EE" w:rsidRDefault="00BB22EE" w:rsidP="00007F38">
      <w:pPr>
        <w:pStyle w:val="Citas"/>
        <w:numPr>
          <w:ilvl w:val="0"/>
          <w:numId w:val="11"/>
        </w:numPr>
        <w:spacing w:line="276" w:lineRule="auto"/>
        <w:rPr>
          <w:rFonts w:cs="Tahoma"/>
        </w:rPr>
      </w:pPr>
      <w:r w:rsidRPr="00BB22EE">
        <w:rPr>
          <w:rFonts w:cs="Tahoma"/>
        </w:rPr>
        <w:t xml:space="preserve">Procurar cuando sea posible el acompañamiento y seguimiento a los casos; </w:t>
      </w:r>
    </w:p>
    <w:p w14:paraId="27797500" w14:textId="77777777" w:rsidR="00BB22EE" w:rsidRDefault="00BB22EE" w:rsidP="00007F38">
      <w:pPr>
        <w:pStyle w:val="Citas"/>
        <w:numPr>
          <w:ilvl w:val="0"/>
          <w:numId w:val="11"/>
        </w:numPr>
        <w:spacing w:line="276" w:lineRule="auto"/>
        <w:rPr>
          <w:rFonts w:cs="Tahoma"/>
        </w:rPr>
      </w:pPr>
      <w:r w:rsidRPr="00BB22EE">
        <w:rPr>
          <w:rFonts w:cs="Tahoma"/>
        </w:rPr>
        <w:t>Las demás previstas en otras disposiciones aplicables.</w:t>
      </w:r>
    </w:p>
    <w:p w14:paraId="798A44BB" w14:textId="77777777" w:rsidR="00BB22EE" w:rsidRDefault="00BB22EE" w:rsidP="00BB22EE">
      <w:pPr>
        <w:pStyle w:val="Citas"/>
        <w:jc w:val="center"/>
        <w:rPr>
          <w:rFonts w:cs="Tahoma"/>
        </w:rPr>
      </w:pPr>
      <w:r w:rsidRPr="00BB22EE">
        <w:rPr>
          <w:rFonts w:cs="Tahoma"/>
          <w:b/>
        </w:rPr>
        <w:t>DE LA CONTRALORÍA MUNICIPAL</w:t>
      </w:r>
    </w:p>
    <w:p w14:paraId="487BC1EE" w14:textId="77777777" w:rsidR="00BB22EE" w:rsidRDefault="00BB22EE" w:rsidP="00BB22EE">
      <w:pPr>
        <w:pStyle w:val="Citas"/>
        <w:rPr>
          <w:rFonts w:cs="Tahoma"/>
        </w:rPr>
      </w:pPr>
      <w:r w:rsidRPr="00BB22EE">
        <w:rPr>
          <w:rFonts w:cs="Tahoma"/>
        </w:rPr>
        <w:t xml:space="preserve">Artículo 50. La Contraloría Municipal es el Órgano Interno de supervisión, control y vigilancia de la Administración Pública Municipal y tiene a su cargo las funciones y facultades establecidas en la Ley Orgánica; la Ley del Sistema Anticorrupción del Estado de México y Municipios; la Ley de Responsabilidades Administrativas del Estado de México y Municipios, y demás relativos aplicables en materia de prevención, revisión, evaluación, análisis, fiscalización de recursos públicos, </w:t>
      </w:r>
      <w:r w:rsidRPr="00BB22EE">
        <w:rPr>
          <w:rFonts w:cs="Tahoma"/>
        </w:rPr>
        <w:lastRenderedPageBreak/>
        <w:t xml:space="preserve">responsabilidades de servidores públicos, combate a la corrupción, investigación, detección y sanciones por faltas administrativas no graves. </w:t>
      </w:r>
    </w:p>
    <w:p w14:paraId="4ECB9503" w14:textId="77777777" w:rsidR="00BB22EE" w:rsidRDefault="00BB22EE" w:rsidP="00BB22EE">
      <w:pPr>
        <w:pStyle w:val="Citas"/>
        <w:rPr>
          <w:rFonts w:cs="Tahoma"/>
        </w:rPr>
      </w:pPr>
      <w:r w:rsidRPr="00BB22EE">
        <w:rPr>
          <w:rFonts w:cs="Tahoma"/>
        </w:rPr>
        <w:t xml:space="preserve">Artículo 51. La Contraloría Municipal es la responsable de recibir quejas y denuncias públicas por presuntas faltas administrativas y actos de corrupción de servidores públicos, siendo permanente promotor de la cultura de la denuncia y de la participación social como medio para su prevención y erradicación. </w:t>
      </w:r>
    </w:p>
    <w:p w14:paraId="73206DDA" w14:textId="77777777" w:rsidR="00BB22EE" w:rsidRDefault="00BB22EE" w:rsidP="00BB22EE">
      <w:pPr>
        <w:pStyle w:val="Citas"/>
        <w:rPr>
          <w:rFonts w:cs="Tahoma"/>
        </w:rPr>
      </w:pPr>
      <w:r w:rsidRPr="00BB22EE">
        <w:rPr>
          <w:rFonts w:cs="Tahoma"/>
        </w:rPr>
        <w:t xml:space="preserve">Además, es el órgano garante de la conformación e integración de los Comités Ciudadanos de Control y Vigilancia (COCICOVI`S), facultado para dar seguimiento, asesoramiento, supervisión y entrega de cada obra o acción que se realice con recursos públicos en beneficio de la ciudadanía en el Municipio, de acuerdo a lo establecido en la Ley Orgánica y demás relativos aplicables en materia vigente. </w:t>
      </w:r>
    </w:p>
    <w:p w14:paraId="3E233543" w14:textId="77777777" w:rsidR="00BB22EE" w:rsidRPr="00BB22EE" w:rsidRDefault="00BB22EE" w:rsidP="00BB22EE">
      <w:pPr>
        <w:pStyle w:val="Citas"/>
        <w:rPr>
          <w:rFonts w:cs="Tahoma"/>
        </w:rPr>
      </w:pPr>
      <w:r w:rsidRPr="00BB22EE">
        <w:rPr>
          <w:rFonts w:cs="Tahoma"/>
        </w:rPr>
        <w:t>Artículo 52. Para el mejor desempeño y resultado de las funciones de la Contraloría Municipal, las Dependencias, Entidades y ciudadanos deberán proporcionar los datos, información y documentación que les requiera dicha autoridad en la forma y plazos que establece el marco normativo aplicable.</w:t>
      </w:r>
    </w:p>
    <w:p w14:paraId="67BF28EC" w14:textId="77777777" w:rsidR="003740F3" w:rsidRDefault="00BB22EE" w:rsidP="003740F3">
      <w:pPr>
        <w:spacing w:line="360" w:lineRule="auto"/>
        <w:jc w:val="both"/>
        <w:rPr>
          <w:rFonts w:ascii="Palatino Linotype" w:hAnsi="Palatino Linotype" w:cs="Tahoma"/>
        </w:rPr>
      </w:pPr>
      <w:r>
        <w:rPr>
          <w:rFonts w:ascii="Palatino Linotype" w:hAnsi="Palatino Linotype" w:cs="Tahoma"/>
        </w:rPr>
        <w:t xml:space="preserve"> </w:t>
      </w:r>
    </w:p>
    <w:p w14:paraId="2B91E0EB" w14:textId="77777777" w:rsidR="00007F38" w:rsidRDefault="00007F38" w:rsidP="003740F3">
      <w:pPr>
        <w:spacing w:line="360" w:lineRule="auto"/>
        <w:jc w:val="both"/>
        <w:rPr>
          <w:rFonts w:ascii="Palatino Linotype" w:hAnsi="Palatino Linotype" w:cs="Tahoma"/>
        </w:rPr>
      </w:pPr>
      <w:r>
        <w:rPr>
          <w:rFonts w:ascii="Palatino Linotype" w:hAnsi="Palatino Linotype" w:cs="Tahoma"/>
        </w:rPr>
        <w:t>Conforme a la normatividad antes referida, se observa que si bien se establecen los derechos de t</w:t>
      </w:r>
      <w:r w:rsidRPr="00007F38">
        <w:rPr>
          <w:rFonts w:ascii="Palatino Linotype" w:hAnsi="Palatino Linotype" w:cs="Tahoma"/>
        </w:rPr>
        <w:t xml:space="preserve">ener acceso a una igualdad de trato y oportunidades entre hombres y mujeres para prevenir, atender y erradicar la violencia de género;  </w:t>
      </w:r>
      <w:r>
        <w:rPr>
          <w:rFonts w:ascii="Palatino Linotype" w:hAnsi="Palatino Linotype" w:cs="Tahoma"/>
        </w:rPr>
        <w:t>así como, r</w:t>
      </w:r>
      <w:r w:rsidRPr="00007F38">
        <w:rPr>
          <w:rFonts w:ascii="Palatino Linotype" w:hAnsi="Palatino Linotype" w:cs="Tahoma"/>
        </w:rPr>
        <w:t xml:space="preserve">ecibir atención oportuna y adecuada, así como el seguimiento por parte de las autoridades competentes o primer respondiente en caso de ser víctima de acoso y/u hostigamiento sexual callejero cometido en espacios públicos, garantizando que las niñas, niños y adolescentes, así como las y los ciudadanos tengan un tránsito libre y seguro en el </w:t>
      </w:r>
      <w:r w:rsidRPr="00007F38">
        <w:rPr>
          <w:rFonts w:ascii="Palatino Linotype" w:hAnsi="Palatino Linotype" w:cs="Tahoma"/>
        </w:rPr>
        <w:lastRenderedPageBreak/>
        <w:t>territorio municipal</w:t>
      </w:r>
      <w:r>
        <w:rPr>
          <w:rFonts w:ascii="Palatino Linotype" w:hAnsi="Palatino Linotype" w:cs="Tahoma"/>
        </w:rPr>
        <w:t xml:space="preserve">, lo cierto es que estos se refieren a los derechos de los habitantes, no así respecto de los servidores públicos de la administración pública. </w:t>
      </w:r>
    </w:p>
    <w:p w14:paraId="166E6287" w14:textId="77777777" w:rsidR="00A47040" w:rsidRDefault="00A47040" w:rsidP="003740F3">
      <w:pPr>
        <w:spacing w:line="360" w:lineRule="auto"/>
        <w:jc w:val="both"/>
        <w:rPr>
          <w:rFonts w:ascii="Palatino Linotype" w:hAnsi="Palatino Linotype" w:cs="Tahoma"/>
        </w:rPr>
      </w:pPr>
    </w:p>
    <w:p w14:paraId="23C68FA4" w14:textId="77777777" w:rsidR="00BB22EE" w:rsidRDefault="003740F3" w:rsidP="003740F3">
      <w:pPr>
        <w:pStyle w:val="Sinespaciado"/>
        <w:spacing w:line="360" w:lineRule="auto"/>
        <w:jc w:val="both"/>
        <w:rPr>
          <w:rFonts w:ascii="Palatino Linotype" w:eastAsia="Palatino Linotype" w:hAnsi="Palatino Linotype" w:cs="Palatino Linotype"/>
          <w:color w:val="000000"/>
          <w:sz w:val="24"/>
          <w:lang w:val="es-ES_tradnl" w:eastAsia="es-MX"/>
        </w:rPr>
      </w:pPr>
      <w:r w:rsidRPr="006F1142">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establecer si </w:t>
      </w:r>
      <w:r w:rsidR="00BB22EE">
        <w:rPr>
          <w:rFonts w:ascii="Palatino Linotype" w:eastAsia="Palatino Linotype" w:hAnsi="Palatino Linotype" w:cs="Palatino Linotype"/>
          <w:color w:val="000000"/>
          <w:sz w:val="24"/>
          <w:lang w:val="es-ES_tradnl" w:eastAsia="es-MX"/>
        </w:rPr>
        <w:t>el informe justificado</w:t>
      </w:r>
      <w:r w:rsidRPr="006F1142">
        <w:rPr>
          <w:rFonts w:ascii="Palatino Linotype" w:eastAsia="Palatino Linotype" w:hAnsi="Palatino Linotype" w:cs="Palatino Linotype"/>
          <w:color w:val="000000"/>
          <w:sz w:val="24"/>
          <w:lang w:val="es-ES_tradnl" w:eastAsia="es-MX"/>
        </w:rPr>
        <w:t xml:space="preserve"> </w:t>
      </w:r>
      <w:r>
        <w:rPr>
          <w:rFonts w:ascii="Palatino Linotype" w:eastAsia="Palatino Linotype" w:hAnsi="Palatino Linotype" w:cs="Palatino Linotype"/>
          <w:color w:val="000000"/>
          <w:sz w:val="24"/>
          <w:lang w:val="es-ES_tradnl" w:eastAsia="es-MX"/>
        </w:rPr>
        <w:t>del Sujeto Obligado colma</w:t>
      </w:r>
      <w:r w:rsidR="00BB22EE">
        <w:rPr>
          <w:rFonts w:ascii="Palatino Linotype" w:eastAsia="Palatino Linotype" w:hAnsi="Palatino Linotype" w:cs="Palatino Linotype"/>
          <w:color w:val="000000"/>
          <w:sz w:val="24"/>
          <w:lang w:val="es-ES_tradnl" w:eastAsia="es-MX"/>
        </w:rPr>
        <w:t xml:space="preserve"> la pretensión del Recurrente.</w:t>
      </w:r>
    </w:p>
    <w:p w14:paraId="13813BB5" w14:textId="77777777" w:rsidR="00BB22EE" w:rsidRPr="00177253" w:rsidRDefault="00BB22EE" w:rsidP="003740F3">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3544"/>
        <w:gridCol w:w="1939"/>
      </w:tblGrid>
      <w:tr w:rsidR="003740F3" w14:paraId="35C2D83F" w14:textId="77777777" w:rsidTr="00BB22EE">
        <w:trPr>
          <w:trHeight w:val="396"/>
        </w:trPr>
        <w:tc>
          <w:tcPr>
            <w:tcW w:w="3671" w:type="dxa"/>
            <w:shd w:val="clear" w:color="auto" w:fill="E7E6E6" w:themeFill="background2"/>
          </w:tcPr>
          <w:p w14:paraId="5FDC39E9" w14:textId="77777777" w:rsidR="003740F3" w:rsidRPr="00E80E99" w:rsidRDefault="003740F3" w:rsidP="00D21971">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544" w:type="dxa"/>
            <w:shd w:val="clear" w:color="auto" w:fill="E7E6E6" w:themeFill="background2"/>
          </w:tcPr>
          <w:p w14:paraId="1EA69177" w14:textId="77777777" w:rsidR="003740F3" w:rsidRPr="00E80E99" w:rsidRDefault="00D21971" w:rsidP="00D21971">
            <w:pPr>
              <w:spacing w:line="360" w:lineRule="auto"/>
              <w:jc w:val="center"/>
              <w:rPr>
                <w:rFonts w:ascii="Palatino Linotype" w:hAnsi="Palatino Linotype"/>
                <w:b/>
                <w:i/>
                <w:color w:val="000000"/>
              </w:rPr>
            </w:pPr>
            <w:r>
              <w:rPr>
                <w:rFonts w:ascii="Palatino Linotype" w:hAnsi="Palatino Linotype"/>
                <w:b/>
                <w:i/>
                <w:color w:val="000000"/>
              </w:rPr>
              <w:t>Informe Justificado</w:t>
            </w:r>
          </w:p>
        </w:tc>
        <w:tc>
          <w:tcPr>
            <w:tcW w:w="1939" w:type="dxa"/>
            <w:shd w:val="clear" w:color="auto" w:fill="E7E6E6" w:themeFill="background2"/>
          </w:tcPr>
          <w:p w14:paraId="77273255" w14:textId="77777777" w:rsidR="003740F3" w:rsidRPr="00E80E99" w:rsidRDefault="00BB22EE" w:rsidP="00D21971">
            <w:pPr>
              <w:spacing w:line="360" w:lineRule="auto"/>
              <w:jc w:val="center"/>
              <w:rPr>
                <w:rFonts w:ascii="Palatino Linotype" w:hAnsi="Palatino Linotype"/>
                <w:b/>
                <w:i/>
                <w:color w:val="000000"/>
              </w:rPr>
            </w:pPr>
            <w:r>
              <w:rPr>
                <w:rFonts w:ascii="Palatino Linotype" w:hAnsi="Palatino Linotype"/>
                <w:b/>
                <w:i/>
                <w:color w:val="000000"/>
              </w:rPr>
              <w:t>Colma</w:t>
            </w:r>
          </w:p>
        </w:tc>
      </w:tr>
      <w:tr w:rsidR="003740F3" w14:paraId="16289762" w14:textId="77777777" w:rsidTr="00BB22EE">
        <w:trPr>
          <w:trHeight w:val="1197"/>
        </w:trPr>
        <w:tc>
          <w:tcPr>
            <w:tcW w:w="3671" w:type="dxa"/>
          </w:tcPr>
          <w:p w14:paraId="0EEEBBFC" w14:textId="77777777" w:rsidR="003740F3" w:rsidRPr="002D3E19" w:rsidRDefault="00D21971" w:rsidP="00D21971">
            <w:pPr>
              <w:tabs>
                <w:tab w:val="left" w:pos="1828"/>
              </w:tabs>
              <w:jc w:val="both"/>
              <w:rPr>
                <w:rFonts w:ascii="Palatino Linotype" w:hAnsi="Palatino Linotype" w:cs="Tahoma"/>
                <w:bCs/>
                <w:sz w:val="22"/>
                <w:szCs w:val="22"/>
              </w:rPr>
            </w:pPr>
            <w:r w:rsidRPr="00341E0E">
              <w:rPr>
                <w:rFonts w:ascii="Palatino Linotype" w:hAnsi="Palatino Linotype" w:cs="Tahoma"/>
                <w:bCs/>
              </w:rPr>
              <w:t xml:space="preserve">Solicito saber si existe un Protocolo Para Detectar, Atender </w:t>
            </w:r>
            <w:r>
              <w:rPr>
                <w:rFonts w:ascii="Palatino Linotype" w:hAnsi="Palatino Linotype" w:cs="Tahoma"/>
                <w:bCs/>
              </w:rPr>
              <w:t>y</w:t>
            </w:r>
            <w:r w:rsidRPr="00341E0E">
              <w:rPr>
                <w:rFonts w:ascii="Palatino Linotype" w:hAnsi="Palatino Linotype" w:cs="Tahoma"/>
                <w:bCs/>
              </w:rPr>
              <w:t xml:space="preserve"> Acompañar </w:t>
            </w:r>
            <w:r>
              <w:rPr>
                <w:rFonts w:ascii="Palatino Linotype" w:hAnsi="Palatino Linotype" w:cs="Tahoma"/>
                <w:bCs/>
              </w:rPr>
              <w:t>a l</w:t>
            </w:r>
            <w:r w:rsidRPr="00341E0E">
              <w:rPr>
                <w:rFonts w:ascii="Palatino Linotype" w:hAnsi="Palatino Linotype" w:cs="Tahoma"/>
                <w:bCs/>
              </w:rPr>
              <w:t xml:space="preserve">os Servidores Públicos de Coacalco en casos de Hostigamiento </w:t>
            </w:r>
            <w:r>
              <w:rPr>
                <w:rFonts w:ascii="Palatino Linotype" w:hAnsi="Palatino Linotype" w:cs="Tahoma"/>
                <w:bCs/>
              </w:rPr>
              <w:t>y</w:t>
            </w:r>
            <w:r w:rsidRPr="00341E0E">
              <w:rPr>
                <w:rFonts w:ascii="Palatino Linotype" w:hAnsi="Palatino Linotype" w:cs="Tahoma"/>
                <w:bCs/>
              </w:rPr>
              <w:t xml:space="preserve"> Acoso Sexual y/o / Laboral y q</w:t>
            </w:r>
            <w:r>
              <w:rPr>
                <w:rFonts w:ascii="Palatino Linotype" w:hAnsi="Palatino Linotype" w:cs="Tahoma"/>
                <w:bCs/>
              </w:rPr>
              <w:t>uien es el responsable de vigilar</w:t>
            </w:r>
            <w:r w:rsidRPr="00341E0E">
              <w:rPr>
                <w:rFonts w:ascii="Palatino Linotype" w:hAnsi="Palatino Linotype" w:cs="Tahoma"/>
                <w:bCs/>
              </w:rPr>
              <w:t xml:space="preserve"> su cumplimiento</w:t>
            </w:r>
          </w:p>
        </w:tc>
        <w:tc>
          <w:tcPr>
            <w:tcW w:w="3544" w:type="dxa"/>
          </w:tcPr>
          <w:p w14:paraId="77AE76E1" w14:textId="77777777" w:rsidR="003740F3" w:rsidRPr="002D3E19" w:rsidRDefault="00D21971" w:rsidP="00D21971">
            <w:pPr>
              <w:jc w:val="both"/>
              <w:rPr>
                <w:rFonts w:ascii="Palatino Linotype" w:hAnsi="Palatino Linotype"/>
                <w:color w:val="000000"/>
                <w:sz w:val="22"/>
                <w:szCs w:val="22"/>
              </w:rPr>
            </w:pPr>
            <w:r>
              <w:rPr>
                <w:rFonts w:ascii="Palatino Linotype" w:hAnsi="Palatino Linotype"/>
                <w:color w:val="000000"/>
                <w:sz w:val="22"/>
                <w:szCs w:val="22"/>
              </w:rPr>
              <w:t xml:space="preserve">La Servidora Pública Habilitada de la Dirección de Administración, refirió que </w:t>
            </w:r>
            <w:r w:rsidR="00BB22EE">
              <w:rPr>
                <w:rFonts w:ascii="Palatino Linotype" w:hAnsi="Palatino Linotype"/>
                <w:color w:val="000000"/>
                <w:sz w:val="22"/>
                <w:szCs w:val="22"/>
              </w:rPr>
              <w:t>no existe tal Protocolo, el procedimiento es presentarse ante la Contraloría Municipal para realizar la denuncia correspondiente.</w:t>
            </w:r>
          </w:p>
        </w:tc>
        <w:tc>
          <w:tcPr>
            <w:tcW w:w="1939" w:type="dxa"/>
          </w:tcPr>
          <w:p w14:paraId="7B1388C0" w14:textId="77777777" w:rsidR="003740F3" w:rsidRPr="00BB22EE" w:rsidRDefault="00BB22EE" w:rsidP="00BB22EE">
            <w:pPr>
              <w:jc w:val="center"/>
              <w:rPr>
                <w:rFonts w:ascii="Palatino Linotype" w:hAnsi="Palatino Linotype"/>
                <w:b/>
                <w:i/>
                <w:szCs w:val="22"/>
              </w:rPr>
            </w:pPr>
            <w:r w:rsidRPr="00BB22EE">
              <w:rPr>
                <w:rFonts w:ascii="Palatino Linotype" w:hAnsi="Palatino Linotype"/>
                <w:b/>
                <w:i/>
                <w:szCs w:val="22"/>
              </w:rPr>
              <w:t>Colma</w:t>
            </w:r>
          </w:p>
          <w:p w14:paraId="3772270F" w14:textId="77777777" w:rsidR="00BB22EE" w:rsidRPr="00BB22EE" w:rsidRDefault="00BB22EE" w:rsidP="00BB22EE">
            <w:pPr>
              <w:jc w:val="center"/>
              <w:rPr>
                <w:rFonts w:ascii="Palatino Linotype" w:hAnsi="Palatino Linotype"/>
                <w:b/>
                <w:i/>
                <w:szCs w:val="22"/>
              </w:rPr>
            </w:pPr>
          </w:p>
          <w:p w14:paraId="31514749" w14:textId="77777777" w:rsidR="00BB22EE" w:rsidRPr="00BB22EE" w:rsidRDefault="00BB22EE" w:rsidP="00BB22EE">
            <w:pPr>
              <w:jc w:val="center"/>
              <w:rPr>
                <w:rFonts w:ascii="Palatino Linotype" w:hAnsi="Palatino Linotype"/>
                <w:b/>
                <w:sz w:val="22"/>
                <w:szCs w:val="22"/>
              </w:rPr>
            </w:pPr>
            <w:r w:rsidRPr="00BB22EE">
              <w:rPr>
                <w:rFonts w:ascii="Palatino Linotype" w:hAnsi="Palatino Linotype"/>
                <w:b/>
                <w:i/>
                <w:szCs w:val="22"/>
              </w:rPr>
              <w:t>Hechos negativos</w:t>
            </w:r>
          </w:p>
        </w:tc>
      </w:tr>
    </w:tbl>
    <w:p w14:paraId="2E44589A" w14:textId="77777777" w:rsidR="003740F3" w:rsidRDefault="003740F3" w:rsidP="003740F3">
      <w:pPr>
        <w:spacing w:line="360" w:lineRule="auto"/>
        <w:jc w:val="both"/>
        <w:rPr>
          <w:rFonts w:ascii="Palatino Linotype" w:hAnsi="Palatino Linotype"/>
          <w:color w:val="000000"/>
        </w:rPr>
      </w:pPr>
    </w:p>
    <w:p w14:paraId="0F07E929" w14:textId="77777777" w:rsidR="003740F3" w:rsidRPr="000E2974" w:rsidRDefault="003740F3" w:rsidP="003740F3">
      <w:pPr>
        <w:spacing w:line="360" w:lineRule="auto"/>
        <w:jc w:val="both"/>
        <w:rPr>
          <w:rFonts w:ascii="Palatino Linotype" w:hAnsi="Palatino Linotype"/>
          <w:color w:val="000000"/>
        </w:rPr>
      </w:pPr>
    </w:p>
    <w:p w14:paraId="3D887BDF" w14:textId="77777777" w:rsidR="003740F3" w:rsidRPr="00265709" w:rsidRDefault="003740F3" w:rsidP="003740F3">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265709">
        <w:rPr>
          <w:rFonts w:ascii="Palatino Linotype" w:eastAsiaTheme="minorHAnsi" w:hAnsi="Palatino Linotype" w:cstheme="minorBidi"/>
          <w:szCs w:val="22"/>
          <w:lang w:val="es-MX" w:eastAsia="en-US"/>
        </w:rPr>
        <w:t>Sin embargo, el Recurrente consideró que n</w:t>
      </w:r>
      <w:r>
        <w:rPr>
          <w:rFonts w:ascii="Palatino Linotype" w:eastAsiaTheme="minorHAnsi" w:hAnsi="Palatino Linotype" w:cstheme="minorBidi"/>
          <w:szCs w:val="22"/>
          <w:lang w:val="es-MX" w:eastAsia="en-US"/>
        </w:rPr>
        <w:t>o le entregaron la información requerida</w:t>
      </w:r>
      <w:r w:rsidRPr="00265709">
        <w:rPr>
          <w:rFonts w:ascii="Palatino Linotype" w:eastAsiaTheme="minorHAnsi" w:hAnsi="Palatino Linotype" w:cstheme="minorBidi"/>
          <w:szCs w:val="22"/>
          <w:lang w:val="es-MX" w:eastAsia="en-US"/>
        </w:rPr>
        <w:t xml:space="preserve">, así del análisis efectuado a las manifestaciones esgrimidas mediante su informe justificado, se advierte que </w:t>
      </w:r>
      <w:r w:rsidRPr="00265709">
        <w:rPr>
          <w:rFonts w:ascii="Palatino Linotype" w:eastAsiaTheme="minorHAnsi" w:hAnsi="Palatino Linotype" w:cstheme="minorBidi"/>
          <w:b/>
          <w:szCs w:val="22"/>
          <w:lang w:val="es-MX" w:eastAsia="en-US"/>
        </w:rPr>
        <w:t>El Sujeto Obligado</w:t>
      </w:r>
      <w:r w:rsidRPr="00265709">
        <w:rPr>
          <w:rFonts w:ascii="Palatino Linotype" w:eastAsiaTheme="minorHAnsi" w:hAnsi="Palatino Linotype" w:cstheme="minorBidi"/>
          <w:szCs w:val="22"/>
          <w:lang w:val="es-MX" w:eastAsia="en-US"/>
        </w:rPr>
        <w:t xml:space="preserve"> colma en su totalidad lo solicitado por la particular, al referir </w:t>
      </w:r>
      <w:r>
        <w:rPr>
          <w:rFonts w:ascii="Palatino Linotype" w:eastAsiaTheme="minorHAnsi" w:hAnsi="Palatino Linotype" w:cstheme="minorBidi"/>
          <w:szCs w:val="22"/>
          <w:lang w:val="es-MX" w:eastAsia="en-US"/>
        </w:rPr>
        <w:t>que no han otorgado estímulos, lo que se colige como un hecho negativo</w:t>
      </w:r>
      <w:r w:rsidRPr="00265709">
        <w:rPr>
          <w:rFonts w:ascii="Palatino Linotype" w:eastAsiaTheme="minorHAnsi" w:hAnsi="Palatino Linotype" w:cstheme="minorBidi"/>
          <w:szCs w:val="22"/>
          <w:lang w:val="es-MX" w:eastAsia="en-US"/>
        </w:rPr>
        <w:t xml:space="preserve">. </w:t>
      </w:r>
    </w:p>
    <w:p w14:paraId="3804F9C5" w14:textId="77777777" w:rsidR="003740F3" w:rsidRDefault="003740F3" w:rsidP="003740F3">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31EED9A7" w14:textId="77777777" w:rsidR="003740F3" w:rsidRPr="007769B2" w:rsidRDefault="003740F3" w:rsidP="003740F3">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 xml:space="preserve">De lo anterior se coligue que el sujeto obligado no está obligado a proporcionar información que no obre en sus archivos, siendo necesario referir puntualmente que la </w:t>
      </w:r>
      <w:r w:rsidRPr="007769B2">
        <w:rPr>
          <w:rFonts w:ascii="Palatino Linotype" w:eastAsia="Calibri" w:hAnsi="Palatino Linotype" w:cs="Arial"/>
        </w:rPr>
        <w:lastRenderedPageBreak/>
        <w:t>inexistencia de la información solicitada en el presente asunto, implica la acreditación de un hecho negativo, el cual no es susceptible de exigir su demostración.</w:t>
      </w:r>
    </w:p>
    <w:p w14:paraId="3320A267" w14:textId="77777777" w:rsidR="003740F3" w:rsidRPr="007769B2" w:rsidRDefault="003740F3" w:rsidP="003740F3">
      <w:pPr>
        <w:spacing w:line="360" w:lineRule="auto"/>
        <w:ind w:right="51"/>
        <w:jc w:val="both"/>
        <w:rPr>
          <w:rFonts w:ascii="Palatino Linotype" w:hAnsi="Palatino Linotype" w:cs="Arial"/>
        </w:rPr>
      </w:pPr>
    </w:p>
    <w:p w14:paraId="06030EE1" w14:textId="77777777" w:rsidR="003740F3" w:rsidRPr="007769B2" w:rsidRDefault="003740F3" w:rsidP="003740F3">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Por lo anterior sirve de sustento la Tesis Aislada 267287, emanada por el Máximo Juzgador de la Nación, la cual refiere lo siguiente:</w:t>
      </w:r>
    </w:p>
    <w:p w14:paraId="3E5E8FD3" w14:textId="77777777" w:rsidR="003740F3" w:rsidRPr="007769B2" w:rsidRDefault="003740F3" w:rsidP="003740F3"/>
    <w:p w14:paraId="4CC0736F" w14:textId="77777777" w:rsidR="003740F3" w:rsidRPr="007769B2" w:rsidRDefault="003740F3" w:rsidP="003740F3">
      <w:pPr>
        <w:shd w:val="clear" w:color="auto" w:fill="FFFFFF"/>
        <w:spacing w:before="120"/>
        <w:ind w:left="851" w:rightChars="386" w:right="926"/>
        <w:jc w:val="both"/>
        <w:rPr>
          <w:rFonts w:ascii="Palatino Linotype" w:eastAsia="Calibri" w:hAnsi="Palatino Linotype"/>
          <w:color w:val="222222"/>
        </w:rPr>
      </w:pPr>
      <w:r w:rsidRPr="007769B2">
        <w:rPr>
          <w:rFonts w:ascii="Palatino Linotype" w:eastAsia="Calibri" w:hAnsi="Palatino Linotype"/>
          <w:b/>
          <w:bCs/>
          <w:i/>
          <w:iCs/>
          <w:color w:val="222222"/>
        </w:rPr>
        <w:t>HECHOS NEGATIVOS, NO SON SUSCEPTIBLES DE DEMOSTRACIÓN. ”</w:t>
      </w:r>
      <w:r w:rsidRPr="007769B2">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0E1944BD" w14:textId="77777777" w:rsidR="003740F3" w:rsidRPr="007769B2" w:rsidRDefault="003740F3" w:rsidP="003740F3">
      <w:pPr>
        <w:shd w:val="clear" w:color="auto" w:fill="FFFFFF"/>
        <w:ind w:left="851" w:rightChars="386" w:right="926"/>
        <w:jc w:val="both"/>
        <w:rPr>
          <w:rFonts w:ascii="Palatino Linotype" w:eastAsia="Calibri" w:hAnsi="Palatino Linotype"/>
          <w:i/>
          <w:iCs/>
          <w:color w:val="222222"/>
        </w:rPr>
      </w:pPr>
      <w:r w:rsidRPr="007769B2">
        <w:rPr>
          <w:rFonts w:ascii="Palatino Linotype" w:eastAsia="Calibri" w:hAnsi="Palatino Linotype"/>
          <w:i/>
          <w:iCs/>
          <w:color w:val="222222"/>
        </w:rPr>
        <w:t>Amparo en revisión 2022/61. José García Florín (Menor). 9 de octubre de 1961. Cinco votos. Ponente: José Rivera Pérez Campos.”</w:t>
      </w:r>
    </w:p>
    <w:p w14:paraId="7A6ED136" w14:textId="77777777" w:rsidR="003740F3" w:rsidRPr="007769B2" w:rsidRDefault="003740F3" w:rsidP="003740F3">
      <w:pPr>
        <w:rPr>
          <w:sz w:val="14"/>
        </w:rPr>
      </w:pPr>
    </w:p>
    <w:p w14:paraId="085CFA8F" w14:textId="77777777" w:rsidR="003740F3" w:rsidRPr="007769B2" w:rsidRDefault="003740F3" w:rsidP="003740F3">
      <w:pPr>
        <w:autoSpaceDE w:val="0"/>
        <w:autoSpaceDN w:val="0"/>
        <w:adjustRightInd w:val="0"/>
        <w:spacing w:before="240" w:line="360" w:lineRule="auto"/>
        <w:jc w:val="both"/>
        <w:rPr>
          <w:rFonts w:ascii="Palatino Linotype" w:eastAsia="Calibri" w:hAnsi="Palatino Linotype" w:cs="Arial"/>
        </w:rPr>
      </w:pPr>
      <w:r w:rsidRPr="007769B2">
        <w:rPr>
          <w:rFonts w:ascii="Palatino Linotype" w:eastAsia="Calibri" w:hAnsi="Palatino Linotype" w:cs="Arial"/>
        </w:rPr>
        <w:t>De igual forma viene a colación el Criterio</w:t>
      </w:r>
      <w:r>
        <w:rPr>
          <w:rFonts w:ascii="Palatino Linotype" w:eastAsia="Calibri" w:hAnsi="Palatino Linotype" w:cs="Arial"/>
        </w:rPr>
        <w:t xml:space="preserve"> orientador</w:t>
      </w:r>
      <w:r w:rsidRPr="007769B2">
        <w:rPr>
          <w:rFonts w:ascii="Palatino Linotype" w:eastAsia="Calibri" w:hAnsi="Palatino Linotype" w:cs="Arial"/>
        </w:rPr>
        <w:t xml:space="preserve"> 7/2017, emitido por el</w:t>
      </w:r>
      <w:r>
        <w:rPr>
          <w:rFonts w:ascii="Palatino Linotype" w:eastAsia="Calibri" w:hAnsi="Palatino Linotype" w:cs="Arial"/>
        </w:rPr>
        <w:t xml:space="preserve"> entonces</w:t>
      </w:r>
      <w:r w:rsidRPr="007769B2">
        <w:rPr>
          <w:rFonts w:ascii="Palatino Linotype" w:eastAsia="Calibri" w:hAnsi="Palatino Linotype" w:cs="Arial"/>
        </w:rPr>
        <w:t xml:space="preserve"> Instituto Nacional de Transparencia, Acceso a la Información y Protección de Datos Personales, cuyo texto se transcribe a continuación:</w:t>
      </w:r>
    </w:p>
    <w:p w14:paraId="7204EFD3" w14:textId="77777777" w:rsidR="003740F3" w:rsidRPr="007769B2" w:rsidRDefault="003740F3" w:rsidP="003740F3">
      <w:pPr>
        <w:tabs>
          <w:tab w:val="left" w:pos="851"/>
        </w:tabs>
        <w:spacing w:before="240" w:after="240" w:line="276" w:lineRule="auto"/>
        <w:ind w:left="851" w:right="850"/>
        <w:jc w:val="both"/>
        <w:rPr>
          <w:i/>
          <w:color w:val="222222"/>
        </w:rPr>
      </w:pPr>
      <w:r w:rsidRPr="007769B2">
        <w:rPr>
          <w:rFonts w:ascii="Palatino Linotype" w:hAnsi="Palatino Linotype"/>
          <w:b/>
          <w:i/>
          <w:color w:val="222222"/>
        </w:rPr>
        <w:t>Casos en los que no es necesario que el Comité de Transparencia confirme formalmente la inexistencia de la información.</w:t>
      </w:r>
      <w:r w:rsidRPr="007769B2">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7769B2">
        <w:rPr>
          <w:rFonts w:ascii="Palatino Linotype" w:hAnsi="Palatino Linotype"/>
          <w:i/>
          <w:color w:val="222222"/>
        </w:rPr>
        <w:lastRenderedPageBreak/>
        <w:t>archivos, no será necesario que el Comité de Transparencia emita una resolución que confirme la inexistencia de la información</w:t>
      </w:r>
      <w:r w:rsidRPr="007769B2">
        <w:rPr>
          <w:i/>
          <w:color w:val="222222"/>
        </w:rPr>
        <w:t>.</w:t>
      </w:r>
    </w:p>
    <w:p w14:paraId="4271747A" w14:textId="77777777" w:rsidR="003740F3" w:rsidRPr="00265709" w:rsidRDefault="003740F3" w:rsidP="003740F3">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158E4BDB" w14:textId="77777777" w:rsidR="003740F3" w:rsidRPr="00265709" w:rsidRDefault="003740F3" w:rsidP="003740F3">
      <w:pPr>
        <w:spacing w:after="160"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65709">
        <w:rPr>
          <w:rFonts w:ascii="Palatino Linotype" w:eastAsiaTheme="minorHAnsi" w:hAnsi="Palatino Linotype" w:cs="Arial"/>
          <w:b/>
          <w:color w:val="000000"/>
          <w:szCs w:val="22"/>
          <w:lang w:val="es-MX" w:eastAsia="en-US"/>
        </w:rPr>
        <w:t xml:space="preserve"> </w:t>
      </w:r>
      <w:r w:rsidRPr="00265709">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65709">
        <w:rPr>
          <w:rFonts w:ascii="Palatino Linotype" w:eastAsiaTheme="minorHAnsi" w:hAnsi="Palatino Linotype" w:cs="Arial"/>
          <w:i/>
          <w:color w:val="000000"/>
          <w:szCs w:val="22"/>
          <w:lang w:val="es-MX" w:eastAsia="en-US"/>
        </w:rPr>
        <w:t>ad hoc</w:t>
      </w:r>
      <w:r w:rsidRPr="00265709">
        <w:rPr>
          <w:rFonts w:ascii="Palatino Linotype" w:eastAsiaTheme="minorHAnsi" w:hAnsi="Palatino Linotype" w:cs="Arial"/>
          <w:color w:val="000000"/>
          <w:szCs w:val="22"/>
          <w:lang w:val="es-MX" w:eastAsia="en-US"/>
        </w:rPr>
        <w:t>, para satisfacer el derecho de acceso a la información pública.</w:t>
      </w:r>
    </w:p>
    <w:p w14:paraId="0F00DABE" w14:textId="77777777" w:rsidR="003740F3" w:rsidRPr="00265709" w:rsidRDefault="003740F3" w:rsidP="003740F3">
      <w:pPr>
        <w:rPr>
          <w:lang w:val="es-MX"/>
        </w:rPr>
      </w:pPr>
    </w:p>
    <w:p w14:paraId="2ED457C2" w14:textId="77777777" w:rsidR="003740F3" w:rsidRPr="00265709" w:rsidRDefault="003740F3" w:rsidP="003740F3">
      <w:pPr>
        <w:spacing w:after="160"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Como apoyo a lo anterior, es aplicable el Criterio</w:t>
      </w:r>
      <w:r>
        <w:rPr>
          <w:rFonts w:ascii="Palatino Linotype" w:eastAsiaTheme="minorHAnsi" w:hAnsi="Palatino Linotype" w:cs="Arial"/>
          <w:color w:val="000000"/>
          <w:szCs w:val="22"/>
          <w:lang w:val="es-MX" w:eastAsia="en-US"/>
        </w:rPr>
        <w:t xml:space="preserve"> orientador</w:t>
      </w:r>
      <w:r w:rsidRPr="00265709">
        <w:rPr>
          <w:rFonts w:ascii="Palatino Linotype" w:eastAsiaTheme="minorHAnsi" w:hAnsi="Palatino Linotype" w:cs="Arial"/>
          <w:color w:val="000000"/>
          <w:szCs w:val="22"/>
          <w:lang w:val="es-MX" w:eastAsia="en-US"/>
        </w:rPr>
        <w:t xml:space="preserve"> 03-17, emitido por </w:t>
      </w:r>
      <w:r w:rsidRPr="00265709">
        <w:rPr>
          <w:rFonts w:ascii="Palatino Linotype" w:eastAsia="Arial Unicode MS" w:hAnsi="Palatino Linotype" w:cs="Arial"/>
          <w:color w:val="000000"/>
          <w:szCs w:val="22"/>
          <w:lang w:val="es-MX" w:eastAsia="en-US"/>
        </w:rPr>
        <w:t xml:space="preserve">el </w:t>
      </w:r>
      <w:r>
        <w:rPr>
          <w:rFonts w:ascii="Palatino Linotype" w:eastAsia="Arial Unicode MS" w:hAnsi="Palatino Linotype" w:cs="Arial"/>
          <w:color w:val="000000"/>
          <w:szCs w:val="22"/>
          <w:lang w:val="es-MX" w:eastAsia="en-US"/>
        </w:rPr>
        <w:t xml:space="preserve">entonces </w:t>
      </w:r>
      <w:r w:rsidRPr="00265709">
        <w:rPr>
          <w:rFonts w:ascii="Palatino Linotype" w:eastAsia="Arial Unicode MS" w:hAnsi="Palatino Linotype" w:cs="Arial"/>
          <w:color w:val="000000"/>
          <w:szCs w:val="22"/>
          <w:lang w:val="es-MX" w:eastAsia="en-US"/>
        </w:rPr>
        <w:t>Instituto Nacional de Transparencia, Acceso a la Información y Protección de Datos Personales,</w:t>
      </w:r>
      <w:r w:rsidRPr="00265709">
        <w:rPr>
          <w:rFonts w:ascii="Palatino Linotype" w:eastAsiaTheme="minorHAnsi" w:hAnsi="Palatino Linotype" w:cstheme="minorBidi"/>
          <w:bCs/>
          <w:color w:val="000000"/>
          <w:szCs w:val="22"/>
          <w:lang w:val="es-MX" w:eastAsia="en-US"/>
        </w:rPr>
        <w:t xml:space="preserve"> que dice:</w:t>
      </w:r>
      <w:r w:rsidRPr="00265709">
        <w:rPr>
          <w:rFonts w:ascii="Palatino Linotype" w:eastAsiaTheme="minorHAnsi" w:hAnsi="Palatino Linotype" w:cstheme="minorBidi"/>
          <w:b/>
          <w:bCs/>
          <w:color w:val="000000"/>
          <w:szCs w:val="22"/>
          <w:lang w:val="es-MX" w:eastAsia="en-US"/>
        </w:rPr>
        <w:t xml:space="preserve"> </w:t>
      </w:r>
    </w:p>
    <w:p w14:paraId="233771D0" w14:textId="77777777" w:rsidR="003740F3" w:rsidRPr="00265709" w:rsidRDefault="003740F3" w:rsidP="003740F3">
      <w:pPr>
        <w:spacing w:after="160" w:line="259" w:lineRule="auto"/>
        <w:ind w:left="851" w:right="850"/>
        <w:jc w:val="both"/>
        <w:rPr>
          <w:rFonts w:ascii="Palatino Linotype" w:eastAsiaTheme="minorHAnsi" w:hAnsi="Palatino Linotype" w:cs="Arial"/>
          <w:color w:val="000000"/>
          <w:sz w:val="2"/>
          <w:szCs w:val="22"/>
          <w:lang w:val="es-MX" w:eastAsia="en-US"/>
        </w:rPr>
      </w:pPr>
    </w:p>
    <w:p w14:paraId="21160537" w14:textId="77777777" w:rsidR="003740F3" w:rsidRPr="00265709" w:rsidRDefault="003740F3" w:rsidP="003740F3">
      <w:pPr>
        <w:spacing w:after="160" w:line="259" w:lineRule="auto"/>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t>“</w:t>
      </w:r>
      <w:r w:rsidRPr="0026570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26570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D2E1D9" w14:textId="77777777" w:rsidR="003740F3" w:rsidRPr="00265709" w:rsidRDefault="003740F3" w:rsidP="003740F3">
      <w:pPr>
        <w:spacing w:after="160" w:line="259" w:lineRule="auto"/>
        <w:ind w:left="567" w:right="567"/>
        <w:jc w:val="both"/>
        <w:rPr>
          <w:rFonts w:ascii="Palatino Linotype" w:eastAsiaTheme="minorHAnsi" w:hAnsi="Palatino Linotype" w:cs="Arial"/>
          <w:i/>
          <w:color w:val="000000"/>
          <w:sz w:val="2"/>
          <w:szCs w:val="22"/>
          <w:lang w:val="es-MX" w:eastAsia="en-US"/>
        </w:rPr>
      </w:pPr>
    </w:p>
    <w:p w14:paraId="092F3DFE" w14:textId="77777777" w:rsidR="003740F3" w:rsidRPr="00265709" w:rsidRDefault="003740F3" w:rsidP="003740F3">
      <w:pPr>
        <w:spacing w:after="160" w:line="259" w:lineRule="auto"/>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t xml:space="preserve">Resoluciones: </w:t>
      </w:r>
    </w:p>
    <w:p w14:paraId="7469EBEC" w14:textId="77777777" w:rsidR="003740F3" w:rsidRPr="00265709" w:rsidRDefault="003740F3" w:rsidP="003740F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sym w:font="Symbol" w:char="F0B7"/>
      </w:r>
      <w:r w:rsidRPr="0026570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E8CB4D9" w14:textId="77777777" w:rsidR="003740F3" w:rsidRPr="00265709" w:rsidRDefault="003740F3" w:rsidP="003740F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lastRenderedPageBreak/>
        <w:sym w:font="Symbol" w:char="F0B7"/>
      </w:r>
      <w:r w:rsidRPr="0026570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1702A2E7" w14:textId="77777777" w:rsidR="003740F3" w:rsidRPr="00265709" w:rsidRDefault="003740F3" w:rsidP="003740F3">
      <w:pPr>
        <w:spacing w:after="160"/>
        <w:ind w:left="567" w:right="567"/>
        <w:jc w:val="both"/>
        <w:rPr>
          <w:rFonts w:ascii="Palatino Linotype" w:eastAsiaTheme="minorHAnsi" w:hAnsi="Palatino Linotype" w:cs="Arial"/>
          <w:i/>
          <w:color w:val="000000"/>
          <w:sz w:val="22"/>
          <w:szCs w:val="22"/>
          <w:lang w:val="es-MX" w:eastAsia="en-US"/>
        </w:rPr>
      </w:pPr>
      <w:r w:rsidRPr="00265709">
        <w:rPr>
          <w:rFonts w:ascii="Palatino Linotype" w:eastAsiaTheme="minorHAnsi" w:hAnsi="Palatino Linotype" w:cs="Arial"/>
          <w:i/>
          <w:color w:val="000000"/>
          <w:sz w:val="22"/>
          <w:szCs w:val="22"/>
          <w:lang w:val="es-MX" w:eastAsia="en-US"/>
        </w:rPr>
        <w:sym w:font="Symbol" w:char="F0B7"/>
      </w:r>
      <w:r w:rsidRPr="0026570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B3048FD" w14:textId="77777777" w:rsidR="003740F3" w:rsidRPr="00265709" w:rsidRDefault="003740F3" w:rsidP="003740F3">
      <w:pPr>
        <w:autoSpaceDE w:val="0"/>
        <w:autoSpaceDN w:val="0"/>
        <w:adjustRightInd w:val="0"/>
        <w:spacing w:line="360" w:lineRule="auto"/>
        <w:jc w:val="both"/>
        <w:rPr>
          <w:rFonts w:ascii="Palatino Linotype" w:eastAsiaTheme="minorHAnsi" w:hAnsi="Palatino Linotype" w:cs="Arial"/>
          <w:lang w:val="es-MX" w:eastAsia="en-US"/>
        </w:rPr>
      </w:pPr>
    </w:p>
    <w:p w14:paraId="666D0047" w14:textId="77777777" w:rsidR="003740F3" w:rsidRPr="00265709" w:rsidRDefault="003740F3" w:rsidP="003740F3">
      <w:pPr>
        <w:autoSpaceDE w:val="0"/>
        <w:autoSpaceDN w:val="0"/>
        <w:adjustRightInd w:val="0"/>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 xml:space="preserve">Aunado a lo antes expuesto, la respuesta emitida por </w:t>
      </w:r>
      <w:r w:rsidRPr="00265709">
        <w:rPr>
          <w:rFonts w:ascii="Palatino Linotype" w:eastAsiaTheme="minorHAnsi" w:hAnsi="Palatino Linotype" w:cs="Arial"/>
          <w:b/>
          <w:lang w:val="es-MX" w:eastAsia="en-US"/>
        </w:rPr>
        <w:t>El Sujeto Obligado</w:t>
      </w:r>
      <w:r w:rsidRPr="00265709">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7EB092FC" w14:textId="77777777" w:rsidR="003740F3" w:rsidRPr="00265709" w:rsidRDefault="003740F3" w:rsidP="003740F3">
      <w:pPr>
        <w:rPr>
          <w:sz w:val="2"/>
          <w:lang w:val="es-MX"/>
        </w:rPr>
      </w:pPr>
    </w:p>
    <w:p w14:paraId="5703BCAA" w14:textId="77777777" w:rsidR="003740F3" w:rsidRPr="00265709" w:rsidRDefault="003740F3" w:rsidP="003740F3">
      <w:pPr>
        <w:rPr>
          <w:sz w:val="2"/>
          <w:lang w:val="es-MX"/>
        </w:rPr>
      </w:pPr>
    </w:p>
    <w:p w14:paraId="4569ADFC" w14:textId="77777777" w:rsidR="003740F3" w:rsidRPr="00265709" w:rsidRDefault="003740F3" w:rsidP="003740F3">
      <w:pPr>
        <w:autoSpaceDE w:val="0"/>
        <w:autoSpaceDN w:val="0"/>
        <w:adjustRightInd w:val="0"/>
        <w:spacing w:line="360" w:lineRule="auto"/>
        <w:jc w:val="both"/>
        <w:rPr>
          <w:rFonts w:ascii="Palatino Linotype" w:eastAsiaTheme="minorHAnsi" w:hAnsi="Palatino Linotype" w:cs="Arial"/>
          <w:szCs w:val="22"/>
          <w:lang w:val="es-MX" w:eastAsia="en-US"/>
        </w:rPr>
      </w:pPr>
    </w:p>
    <w:p w14:paraId="0244696D" w14:textId="77777777" w:rsidR="003740F3" w:rsidRPr="00265709" w:rsidRDefault="003740F3" w:rsidP="003740F3">
      <w:pPr>
        <w:autoSpaceDE w:val="0"/>
        <w:autoSpaceDN w:val="0"/>
        <w:adjustRightInd w:val="0"/>
        <w:spacing w:line="360" w:lineRule="auto"/>
        <w:jc w:val="both"/>
        <w:rPr>
          <w:rFonts w:ascii="Palatino Linotype" w:hAnsi="Palatino Linotype" w:cs="Arial"/>
        </w:rPr>
      </w:pPr>
      <w:r w:rsidRPr="00265709">
        <w:rPr>
          <w:rFonts w:ascii="Palatino Linotype" w:eastAsiaTheme="minorHAnsi" w:hAnsi="Palatino Linotype" w:cs="Arial"/>
          <w:szCs w:val="22"/>
          <w:lang w:val="es-MX" w:eastAsia="en-US"/>
        </w:rPr>
        <w:t xml:space="preserve">En conclusión, la ley de la materia establece </w:t>
      </w:r>
      <w:r w:rsidRPr="00265709">
        <w:rPr>
          <w:rFonts w:ascii="Palatino Linotype" w:hAnsi="Palatino Linotype" w:cs="Arial"/>
        </w:rPr>
        <w:t>en la fracción III, del artículo 192, de la Ley de Transparencia vigente en la entidad, que a la letra establecen:</w:t>
      </w:r>
    </w:p>
    <w:p w14:paraId="158D3C03" w14:textId="77777777" w:rsidR="003740F3" w:rsidRPr="00265709" w:rsidRDefault="003740F3" w:rsidP="003740F3">
      <w:pPr>
        <w:spacing w:line="259" w:lineRule="auto"/>
        <w:rPr>
          <w:rFonts w:asciiTheme="minorHAnsi" w:eastAsiaTheme="minorHAnsi" w:hAnsiTheme="minorHAnsi" w:cstheme="minorBidi"/>
          <w:sz w:val="22"/>
          <w:szCs w:val="22"/>
        </w:rPr>
      </w:pPr>
    </w:p>
    <w:p w14:paraId="66440885" w14:textId="77777777" w:rsidR="003740F3" w:rsidRPr="00265709" w:rsidRDefault="003740F3" w:rsidP="003740F3">
      <w:pPr>
        <w:autoSpaceDE w:val="0"/>
        <w:autoSpaceDN w:val="0"/>
        <w:adjustRightInd w:val="0"/>
        <w:ind w:left="708"/>
        <w:jc w:val="both"/>
        <w:rPr>
          <w:rFonts w:ascii="Palatino Linotype" w:hAnsi="Palatino Linotype"/>
          <w:i/>
          <w:sz w:val="22"/>
        </w:rPr>
      </w:pPr>
      <w:r w:rsidRPr="00265709">
        <w:rPr>
          <w:rFonts w:ascii="Palatino Linotype" w:hAnsi="Palatino Linotype"/>
          <w:b/>
          <w:i/>
          <w:sz w:val="22"/>
        </w:rPr>
        <w:t xml:space="preserve">“Artículo 192. </w:t>
      </w:r>
      <w:r w:rsidRPr="00265709">
        <w:rPr>
          <w:rFonts w:ascii="Palatino Linotype" w:hAnsi="Palatino Linotype"/>
          <w:b/>
          <w:i/>
          <w:sz w:val="22"/>
          <w:u w:val="single"/>
        </w:rPr>
        <w:t>El recurso será sobreseído, en todo o en parte, cuando una vez admitido, se actualicen alguno de los siguientes supuestos</w:t>
      </w:r>
      <w:r w:rsidRPr="00265709">
        <w:rPr>
          <w:rFonts w:ascii="Palatino Linotype" w:hAnsi="Palatino Linotype"/>
          <w:i/>
          <w:sz w:val="22"/>
        </w:rPr>
        <w:t>:</w:t>
      </w:r>
    </w:p>
    <w:p w14:paraId="5B07C775" w14:textId="77777777" w:rsidR="003740F3" w:rsidRPr="00265709" w:rsidRDefault="003740F3" w:rsidP="003740F3">
      <w:pPr>
        <w:numPr>
          <w:ilvl w:val="0"/>
          <w:numId w:val="7"/>
        </w:numPr>
        <w:autoSpaceDE w:val="0"/>
        <w:autoSpaceDN w:val="0"/>
        <w:adjustRightInd w:val="0"/>
        <w:spacing w:after="160" w:line="259" w:lineRule="auto"/>
        <w:jc w:val="both"/>
        <w:rPr>
          <w:rFonts w:ascii="Palatino Linotype" w:hAnsi="Palatino Linotype"/>
          <w:i/>
          <w:sz w:val="22"/>
        </w:rPr>
      </w:pPr>
      <w:r w:rsidRPr="00265709">
        <w:rPr>
          <w:rFonts w:ascii="Palatino Linotype" w:hAnsi="Palatino Linotype"/>
          <w:i/>
          <w:sz w:val="22"/>
        </w:rPr>
        <w:t xml:space="preserve">El recurrente se desista expresamente del recurso; </w:t>
      </w:r>
    </w:p>
    <w:p w14:paraId="547BB7FB" w14:textId="77777777" w:rsidR="003740F3" w:rsidRPr="00265709" w:rsidRDefault="003740F3" w:rsidP="003740F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 xml:space="preserve">El recurrente fallezca o, tratándose de personas jurídicas colectivas, se disuelva; </w:t>
      </w:r>
    </w:p>
    <w:p w14:paraId="294E0847" w14:textId="77777777" w:rsidR="003740F3" w:rsidRPr="00265709" w:rsidRDefault="003740F3" w:rsidP="003740F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b/>
          <w:i/>
          <w:sz w:val="22"/>
          <w:u w:val="single"/>
        </w:rPr>
        <w:t>El sujeto obligado responsable del acto lo modifique o revoque de tal manera que el recurso de revisión quede sin materia</w:t>
      </w:r>
      <w:r w:rsidRPr="00265709">
        <w:rPr>
          <w:rFonts w:ascii="Palatino Linotype" w:hAnsi="Palatino Linotype"/>
          <w:i/>
          <w:sz w:val="22"/>
        </w:rPr>
        <w:t xml:space="preserve">; </w:t>
      </w:r>
    </w:p>
    <w:p w14:paraId="31A05B71" w14:textId="77777777" w:rsidR="003740F3" w:rsidRPr="00265709" w:rsidRDefault="003740F3" w:rsidP="003740F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 xml:space="preserve">Admitido el recurso de revisión, aparezca alguna causal de improcedencia en los términos de la presente Ley; y </w:t>
      </w:r>
    </w:p>
    <w:p w14:paraId="6FE0DB1C" w14:textId="77777777" w:rsidR="003740F3" w:rsidRPr="00265709" w:rsidRDefault="003740F3" w:rsidP="003740F3">
      <w:pPr>
        <w:numPr>
          <w:ilvl w:val="0"/>
          <w:numId w:val="7"/>
        </w:numPr>
        <w:autoSpaceDE w:val="0"/>
        <w:autoSpaceDN w:val="0"/>
        <w:adjustRightInd w:val="0"/>
        <w:spacing w:after="160" w:line="259" w:lineRule="auto"/>
        <w:jc w:val="both"/>
        <w:rPr>
          <w:rFonts w:ascii="Palatino Linotype" w:hAnsi="Palatino Linotype" w:cs="Arial"/>
          <w:i/>
          <w:sz w:val="22"/>
        </w:rPr>
      </w:pPr>
      <w:r w:rsidRPr="00265709">
        <w:rPr>
          <w:rFonts w:ascii="Palatino Linotype" w:hAnsi="Palatino Linotype"/>
          <w:i/>
          <w:sz w:val="22"/>
        </w:rPr>
        <w:t>Cuando por cualquier motivo quede sin materia el recurso.”</w:t>
      </w:r>
    </w:p>
    <w:p w14:paraId="2042B1F1" w14:textId="77777777" w:rsidR="003740F3" w:rsidRPr="00265709" w:rsidRDefault="003740F3" w:rsidP="003740F3">
      <w:pPr>
        <w:spacing w:after="160" w:line="259" w:lineRule="auto"/>
        <w:rPr>
          <w:rFonts w:ascii="Palatino Linotype" w:eastAsiaTheme="minorHAnsi" w:hAnsi="Palatino Linotype" w:cstheme="minorBidi"/>
          <w:szCs w:val="22"/>
        </w:rPr>
      </w:pPr>
    </w:p>
    <w:p w14:paraId="39B12C43" w14:textId="77777777" w:rsidR="003740F3" w:rsidRPr="00265709" w:rsidRDefault="003740F3" w:rsidP="003740F3">
      <w:pPr>
        <w:spacing w:after="160"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 xml:space="preserve">Por otra parte, la doctrina del sobreseimiento provoca que un procedimiento se suspenda o se resuelva en definitiva sin que se entre al estudio de los agravios o motivos de inconformidad. Este mismo criterio es compartido por el más alto tribunal </w:t>
      </w:r>
      <w:r w:rsidRPr="00265709">
        <w:rPr>
          <w:rFonts w:ascii="Palatino Linotype" w:eastAsiaTheme="minorHAnsi" w:hAnsi="Palatino Linotype" w:cs="Arial"/>
          <w:lang w:val="es-MX" w:eastAsia="en-US"/>
        </w:rPr>
        <w:lastRenderedPageBreak/>
        <w:t>del país en múltiples jurisprudencias, por lo que a continuación se agrega una de ellas que sirve como orientador en esta resolución:</w:t>
      </w:r>
    </w:p>
    <w:p w14:paraId="5CFBEBA4" w14:textId="77777777" w:rsidR="003740F3" w:rsidRPr="00265709" w:rsidRDefault="003740F3" w:rsidP="003740F3">
      <w:pPr>
        <w:spacing w:after="160"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478BE299" w14:textId="77777777" w:rsidR="003740F3" w:rsidRPr="00265709" w:rsidRDefault="003740F3" w:rsidP="003740F3">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265709">
        <w:rPr>
          <w:rFonts w:ascii="Palatino Linotype" w:eastAsiaTheme="minorHAnsi" w:hAnsi="Palatino Linotype" w:cs="Arial"/>
          <w:b/>
          <w:i/>
          <w:sz w:val="22"/>
          <w:szCs w:val="22"/>
          <w:u w:val="single"/>
          <w:lang w:val="es-MX" w:eastAsia="en-US"/>
        </w:rPr>
        <w:t>El sobreseimiento</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 xml:space="preserve">en el juicio de amparo directo </w:t>
      </w:r>
      <w:r w:rsidRPr="00265709">
        <w:rPr>
          <w:rFonts w:ascii="Palatino Linotype" w:eastAsiaTheme="minorHAnsi" w:hAnsi="Palatino Linotype" w:cs="Arial"/>
          <w:b/>
          <w:i/>
          <w:sz w:val="22"/>
          <w:szCs w:val="22"/>
          <w:u w:val="single"/>
          <w:lang w:val="es-MX" w:eastAsia="en-US"/>
        </w:rPr>
        <w:t>provoca la terminación de la controversia planteada</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por el quejoso en la demanda de amparo</w:t>
      </w:r>
      <w:r w:rsidRPr="00265709">
        <w:rPr>
          <w:rFonts w:ascii="Calibri" w:eastAsiaTheme="minorHAnsi" w:hAnsi="Calibri" w:cstheme="minorBidi"/>
          <w:color w:val="000000"/>
          <w:sz w:val="26"/>
          <w:szCs w:val="26"/>
          <w:lang w:val="es-MX" w:eastAsia="en-US"/>
        </w:rPr>
        <w:t xml:space="preserve"> </w:t>
      </w:r>
      <w:r w:rsidRPr="00265709">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265709">
        <w:rPr>
          <w:rFonts w:ascii="Palatino Linotype" w:eastAsiaTheme="minorHAnsi" w:hAnsi="Palatino Linotype" w:cstheme="minorBidi"/>
          <w:b/>
          <w:i/>
          <w:color w:val="000000"/>
          <w:sz w:val="22"/>
          <w:szCs w:val="22"/>
          <w:lang w:val="es-MX" w:eastAsia="en-US"/>
        </w:rPr>
        <w:t xml:space="preserve"> 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265709">
        <w:rPr>
          <w:rFonts w:ascii="Palatino Linotype" w:eastAsiaTheme="minorHAnsi" w:hAnsi="Palatino Linotype" w:cstheme="minorBidi"/>
          <w:b/>
          <w:i/>
          <w:color w:val="000000"/>
          <w:sz w:val="22"/>
          <w:szCs w:val="22"/>
          <w:lang w:val="es-MX" w:eastAsia="en-US"/>
        </w:rPr>
        <w:t xml:space="preserve"> violaciones procesales</w:t>
      </w:r>
      <w:r w:rsidRPr="00265709">
        <w:rPr>
          <w:rFonts w:ascii="Palatino Linotype" w:eastAsiaTheme="minorHAnsi" w:hAnsi="Palatino Linotype" w:cstheme="minorBidi"/>
          <w:i/>
          <w:color w:val="000000"/>
          <w:sz w:val="22"/>
          <w:szCs w:val="22"/>
          <w:lang w:val="es-MX" w:eastAsia="en-US"/>
        </w:rPr>
        <w:t xml:space="preserve"> propuestas en los </w:t>
      </w:r>
      <w:r w:rsidRPr="00265709">
        <w:rPr>
          <w:rFonts w:ascii="Palatino Linotype" w:eastAsiaTheme="minorHAnsi" w:hAnsi="Palatino Linotype" w:cstheme="minorBidi"/>
          <w:b/>
          <w:i/>
          <w:color w:val="000000"/>
          <w:sz w:val="22"/>
          <w:szCs w:val="22"/>
          <w:lang w:val="es-MX" w:eastAsia="en-US"/>
        </w:rPr>
        <w:t xml:space="preserve">conceptos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violación</w:t>
      </w:r>
      <w:r w:rsidRPr="00265709">
        <w:rPr>
          <w:rFonts w:ascii="Palatino Linotype" w:eastAsiaTheme="minorHAnsi" w:hAnsi="Palatino Linotype" w:cstheme="minorBidi"/>
          <w:i/>
          <w:color w:val="000000"/>
          <w:sz w:val="22"/>
          <w:szCs w:val="22"/>
          <w:lang w:val="es-MX" w:eastAsia="en-US"/>
        </w:rPr>
        <w:t xml:space="preserve">, dado que, la principal consecuencia del </w:t>
      </w:r>
      <w:r w:rsidRPr="00265709">
        <w:rPr>
          <w:rFonts w:ascii="Palatino Linotype" w:eastAsiaTheme="minorHAnsi" w:hAnsi="Palatino Linotype" w:cstheme="minorBidi"/>
          <w:b/>
          <w:i/>
          <w:color w:val="000000"/>
          <w:sz w:val="22"/>
          <w:szCs w:val="22"/>
          <w:lang w:val="es-MX" w:eastAsia="en-US"/>
        </w:rPr>
        <w:t>sobreseimiento</w:t>
      </w:r>
      <w:r w:rsidRPr="00265709">
        <w:rPr>
          <w:rFonts w:ascii="Palatino Linotype" w:eastAsiaTheme="minorHAnsi" w:hAnsi="Palatino Linotype" w:cstheme="minorBidi"/>
          <w:i/>
          <w:color w:val="000000"/>
          <w:sz w:val="22"/>
          <w:szCs w:val="22"/>
          <w:lang w:val="es-MX" w:eastAsia="en-US"/>
        </w:rPr>
        <w:t xml:space="preserve"> es poner fin al </w:t>
      </w:r>
      <w:r w:rsidRPr="00265709">
        <w:rPr>
          <w:rFonts w:ascii="Palatino Linotype" w:eastAsiaTheme="minorHAnsi" w:hAnsi="Palatino Linotype" w:cstheme="minorBidi"/>
          <w:b/>
          <w:i/>
          <w:color w:val="000000"/>
          <w:sz w:val="22"/>
          <w:szCs w:val="22"/>
          <w:lang w:val="es-MX" w:eastAsia="en-US"/>
        </w:rPr>
        <w:t xml:space="preserve">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 xml:space="preserve">amparo </w:t>
      </w:r>
      <w:r w:rsidRPr="00265709">
        <w:rPr>
          <w:rFonts w:ascii="Palatino Linotype" w:eastAsiaTheme="minorHAnsi" w:hAnsi="Palatino Linotype" w:cstheme="minorBidi"/>
          <w:i/>
          <w:color w:val="000000"/>
          <w:sz w:val="22"/>
          <w:szCs w:val="22"/>
          <w:lang w:val="es-MX" w:eastAsia="en-US"/>
        </w:rPr>
        <w:t>sin resolver la controversia en sus méritos.  </w:t>
      </w:r>
    </w:p>
    <w:p w14:paraId="5C80D043" w14:textId="77777777" w:rsidR="003740F3" w:rsidRPr="00265709" w:rsidRDefault="003740F3" w:rsidP="003740F3">
      <w:pPr>
        <w:spacing w:after="160"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SÉPTIMO TRIBUNAL COLEGIADO EN MATERIA CIVIL DEL PRIMER CIRCUITO.</w:t>
      </w:r>
    </w:p>
    <w:p w14:paraId="54C27B85" w14:textId="77777777" w:rsidR="003740F3" w:rsidRPr="00265709" w:rsidRDefault="003740F3" w:rsidP="003740F3">
      <w:pPr>
        <w:spacing w:after="160" w:line="360" w:lineRule="auto"/>
        <w:ind w:left="851" w:right="851"/>
        <w:jc w:val="both"/>
        <w:rPr>
          <w:rFonts w:ascii="Palatino Linotype" w:eastAsiaTheme="minorHAnsi" w:hAnsi="Palatino Linotype" w:cs="Arial"/>
          <w:i/>
          <w:sz w:val="22"/>
          <w:szCs w:val="22"/>
          <w:lang w:val="es-MX" w:eastAsia="en-US"/>
        </w:rPr>
      </w:pPr>
      <w:r w:rsidRPr="00265709">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265709">
        <w:rPr>
          <w:rFonts w:ascii="Palatino Linotype" w:hAnsi="Palatino Linotype"/>
          <w:b/>
          <w:i/>
          <w:sz w:val="22"/>
          <w:szCs w:val="22"/>
          <w:lang w:val="es-ES_tradnl"/>
        </w:rPr>
        <w:t xml:space="preserve"> [Sic]</w:t>
      </w:r>
    </w:p>
    <w:p w14:paraId="44098DB5" w14:textId="77777777" w:rsidR="003740F3" w:rsidRPr="00265709" w:rsidRDefault="003740F3" w:rsidP="003740F3">
      <w:pPr>
        <w:autoSpaceDE w:val="0"/>
        <w:autoSpaceDN w:val="0"/>
        <w:adjustRightInd w:val="0"/>
        <w:spacing w:line="360" w:lineRule="auto"/>
        <w:jc w:val="both"/>
        <w:rPr>
          <w:rFonts w:ascii="Palatino Linotype" w:hAnsi="Palatino Linotype" w:cs="Arial"/>
        </w:rPr>
      </w:pPr>
    </w:p>
    <w:p w14:paraId="3D8E4447" w14:textId="77777777" w:rsidR="003740F3" w:rsidRPr="00265709" w:rsidRDefault="003740F3" w:rsidP="003740F3">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rPr>
        <w:t>Por lo que hace a los requisitos de procedencia del sobreseimiento en términos del artículo 192, de la Ley de Transparencia estatal se establece lo siguiente:</w:t>
      </w:r>
    </w:p>
    <w:p w14:paraId="15DE245F" w14:textId="77777777" w:rsidR="003740F3" w:rsidRPr="00265709" w:rsidRDefault="003740F3" w:rsidP="003740F3"/>
    <w:p w14:paraId="06261C6B" w14:textId="77777777" w:rsidR="003740F3" w:rsidRPr="00265709" w:rsidRDefault="003740F3" w:rsidP="003740F3">
      <w:pPr>
        <w:numPr>
          <w:ilvl w:val="0"/>
          <w:numId w:val="6"/>
        </w:numPr>
        <w:autoSpaceDE w:val="0"/>
        <w:autoSpaceDN w:val="0"/>
        <w:adjustRightInd w:val="0"/>
        <w:spacing w:after="160" w:line="360" w:lineRule="auto"/>
        <w:ind w:left="851" w:right="850" w:firstLine="10"/>
        <w:jc w:val="both"/>
        <w:rPr>
          <w:rFonts w:ascii="Palatino Linotype" w:hAnsi="Palatino Linotype" w:cs="Arial"/>
        </w:rPr>
      </w:pPr>
      <w:r w:rsidRPr="00265709">
        <w:rPr>
          <w:rFonts w:ascii="Palatino Linotype" w:hAnsi="Palatino Linotype" w:cs="Arial"/>
        </w:rPr>
        <w:lastRenderedPageBreak/>
        <w:t xml:space="preserve">Mediante acuerdo de fecha </w:t>
      </w:r>
      <w:r w:rsidR="00E9344E">
        <w:rPr>
          <w:rFonts w:ascii="Palatino Linotype" w:hAnsi="Palatino Linotype" w:cs="Arial"/>
          <w:b/>
        </w:rPr>
        <w:t>dieciocho de junio</w:t>
      </w:r>
      <w:r>
        <w:rPr>
          <w:rFonts w:ascii="Palatino Linotype" w:hAnsi="Palatino Linotype" w:cs="Arial"/>
          <w:b/>
        </w:rPr>
        <w:t xml:space="preserve"> de dos mil veinticinco</w:t>
      </w:r>
      <w:r w:rsidRPr="00265709">
        <w:rPr>
          <w:rFonts w:ascii="Palatino Linotype" w:hAnsi="Palatino Linotype" w:cs="Arial"/>
        </w:rPr>
        <w:t xml:space="preserve">, el Comisionado </w:t>
      </w:r>
      <w:r w:rsidRPr="00265709">
        <w:rPr>
          <w:rFonts w:ascii="Palatino Linotype" w:hAnsi="Palatino Linotype" w:cs="Arial"/>
          <w:b/>
        </w:rPr>
        <w:t>José Martínez Vilchis</w:t>
      </w:r>
      <w:r w:rsidRPr="00265709">
        <w:rPr>
          <w:rFonts w:ascii="Palatino Linotype" w:hAnsi="Palatino Linotype" w:cs="Arial"/>
        </w:rPr>
        <w:t>, admitió a trámite el recurso de revisión que nos ocupa</w:t>
      </w:r>
      <w:r w:rsidRPr="00265709">
        <w:rPr>
          <w:rFonts w:ascii="Palatino Linotype" w:hAnsi="Palatino Linotype" w:cs="Arial"/>
          <w:lang w:val="es-MX"/>
        </w:rPr>
        <w:t>.</w:t>
      </w:r>
    </w:p>
    <w:p w14:paraId="7F1CE86B" w14:textId="77777777" w:rsidR="003740F3" w:rsidRPr="00265709" w:rsidRDefault="003740F3" w:rsidP="003740F3">
      <w:pPr>
        <w:rPr>
          <w:lang w:val="es-MX"/>
        </w:rPr>
      </w:pPr>
    </w:p>
    <w:p w14:paraId="130D4FE1" w14:textId="77777777" w:rsidR="003740F3" w:rsidRPr="00265709" w:rsidRDefault="003740F3" w:rsidP="003740F3">
      <w:pPr>
        <w:numPr>
          <w:ilvl w:val="0"/>
          <w:numId w:val="6"/>
        </w:numPr>
        <w:autoSpaceDE w:val="0"/>
        <w:autoSpaceDN w:val="0"/>
        <w:adjustRightInd w:val="0"/>
        <w:spacing w:after="160" w:line="360" w:lineRule="auto"/>
        <w:ind w:left="851" w:right="850" w:firstLine="10"/>
        <w:jc w:val="both"/>
      </w:pPr>
      <w:r w:rsidRPr="00265709">
        <w:rPr>
          <w:rFonts w:ascii="Palatino Linotype" w:hAnsi="Palatino Linotype" w:cs="Arial"/>
        </w:rPr>
        <w:t xml:space="preserve">Lo esgrimido por </w:t>
      </w:r>
      <w:r w:rsidRPr="00265709">
        <w:rPr>
          <w:rFonts w:ascii="Palatino Linotype" w:hAnsi="Palatino Linotype" w:cs="Arial"/>
          <w:b/>
        </w:rPr>
        <w:t>el Recurrente</w:t>
      </w:r>
      <w:r w:rsidRPr="00265709">
        <w:rPr>
          <w:rFonts w:ascii="Palatino Linotype" w:hAnsi="Palatino Linotype" w:cs="Arial"/>
        </w:rPr>
        <w:t xml:space="preserve"> dentro del recurso de revisión impugnado queda sin materia, toda vez que </w:t>
      </w:r>
      <w:r w:rsidRPr="00265709">
        <w:rPr>
          <w:rFonts w:ascii="Palatino Linotype" w:hAnsi="Palatino Linotype" w:cs="Arial"/>
          <w:b/>
        </w:rPr>
        <w:t>El Sujeto Obligado</w:t>
      </w:r>
      <w:r w:rsidRPr="00265709">
        <w:rPr>
          <w:rFonts w:ascii="Palatino Linotype" w:hAnsi="Palatino Linotype" w:cs="Arial"/>
        </w:rPr>
        <w:t xml:space="preserve"> colmó el derecho de acceso a la información del </w:t>
      </w:r>
      <w:r w:rsidRPr="00265709">
        <w:rPr>
          <w:rFonts w:ascii="Palatino Linotype" w:hAnsi="Palatino Linotype" w:cs="Arial"/>
          <w:b/>
        </w:rPr>
        <w:t>Recurrente</w:t>
      </w:r>
      <w:r w:rsidRPr="00265709">
        <w:rPr>
          <w:rFonts w:ascii="Palatino Linotype" w:hAnsi="Palatino Linotype" w:cs="Arial"/>
        </w:rPr>
        <w:t>,</w:t>
      </w:r>
      <w:r w:rsidRPr="00265709">
        <w:rPr>
          <w:rFonts w:ascii="Palatino Linotype" w:hAnsi="Palatino Linotype" w:cs="Arial"/>
          <w:b/>
        </w:rPr>
        <w:t xml:space="preserve"> </w:t>
      </w:r>
      <w:r w:rsidRPr="00265709">
        <w:rPr>
          <w:rFonts w:ascii="Palatino Linotype" w:hAnsi="Palatino Linotype" w:cs="Arial"/>
        </w:rPr>
        <w:t xml:space="preserve">ello al modificar su respuesta primigenia, mediante la información remitida en su informe justificado, en fecha </w:t>
      </w:r>
      <w:r w:rsidR="00DE0E29">
        <w:rPr>
          <w:rFonts w:ascii="Palatino Linotype" w:hAnsi="Palatino Linotype" w:cs="Arial"/>
          <w:b/>
        </w:rPr>
        <w:t>veintitrés de junio</w:t>
      </w:r>
      <w:r>
        <w:rPr>
          <w:rFonts w:ascii="Palatino Linotype" w:hAnsi="Palatino Linotype" w:cs="Arial"/>
          <w:b/>
        </w:rPr>
        <w:t xml:space="preserve"> de dos mil veinticinco</w:t>
      </w:r>
      <w:r w:rsidRPr="00265709">
        <w:rPr>
          <w:rFonts w:ascii="Palatino Linotype" w:hAnsi="Palatino Linotype" w:cs="Arial"/>
          <w:b/>
        </w:rPr>
        <w:t>.</w:t>
      </w:r>
    </w:p>
    <w:p w14:paraId="00BE19B9" w14:textId="77777777" w:rsidR="003740F3" w:rsidRPr="00265709" w:rsidRDefault="003740F3" w:rsidP="003740F3">
      <w:pPr>
        <w:numPr>
          <w:ilvl w:val="0"/>
          <w:numId w:val="6"/>
        </w:numPr>
        <w:autoSpaceDE w:val="0"/>
        <w:autoSpaceDN w:val="0"/>
        <w:adjustRightInd w:val="0"/>
        <w:spacing w:after="160" w:line="360" w:lineRule="auto"/>
        <w:ind w:left="851" w:right="850" w:firstLine="10"/>
        <w:jc w:val="both"/>
        <w:rPr>
          <w:rFonts w:ascii="Palatino Linotype" w:hAnsi="Palatino Linotype" w:cs="Arial"/>
        </w:rPr>
      </w:pPr>
      <w:r w:rsidRPr="00265709">
        <w:rPr>
          <w:rFonts w:ascii="Palatino Linotype" w:hAnsi="Palatino Linotype" w:cs="Arial"/>
        </w:rPr>
        <w:t xml:space="preserve">El recurso </w:t>
      </w:r>
      <w:r>
        <w:rPr>
          <w:rFonts w:ascii="Palatino Linotype" w:hAnsi="Palatino Linotype" w:cs="Arial"/>
          <w:b/>
          <w:bCs/>
          <w:lang w:val="es-MX" w:eastAsia="es-MX"/>
        </w:rPr>
        <w:t>07115/INFOEM/IP/RR/2025</w:t>
      </w:r>
      <w:r w:rsidRPr="00265709">
        <w:rPr>
          <w:rFonts w:ascii="Palatino Linotype" w:hAnsi="Palatino Linotype" w:cs="Arial"/>
          <w:bCs/>
          <w:lang w:eastAsia="es-MX"/>
        </w:rPr>
        <w:t>,</w:t>
      </w:r>
      <w:r w:rsidRPr="00265709">
        <w:rPr>
          <w:rFonts w:ascii="Palatino Linotype" w:hAnsi="Palatino Linotype" w:cs="Arial"/>
        </w:rPr>
        <w:t xml:space="preserve"> no actualiza ninguna hipótesis de las inmersas en el numeral 179, de la Ley en materia vigente en la entidad. </w:t>
      </w:r>
    </w:p>
    <w:p w14:paraId="17ED7D6A" w14:textId="77777777" w:rsidR="003740F3" w:rsidRPr="00265709" w:rsidRDefault="003740F3" w:rsidP="003740F3">
      <w:pPr>
        <w:autoSpaceDE w:val="0"/>
        <w:autoSpaceDN w:val="0"/>
        <w:adjustRightInd w:val="0"/>
        <w:spacing w:line="360" w:lineRule="auto"/>
        <w:jc w:val="both"/>
        <w:rPr>
          <w:rFonts w:ascii="Palatino Linotype" w:hAnsi="Palatino Linotype"/>
        </w:rPr>
      </w:pPr>
    </w:p>
    <w:p w14:paraId="0CF10F9F" w14:textId="77777777" w:rsidR="003740F3" w:rsidRPr="00265709" w:rsidRDefault="003740F3" w:rsidP="003740F3">
      <w:pPr>
        <w:autoSpaceDE w:val="0"/>
        <w:autoSpaceDN w:val="0"/>
        <w:adjustRightInd w:val="0"/>
        <w:spacing w:line="360" w:lineRule="auto"/>
        <w:jc w:val="both"/>
        <w:rPr>
          <w:rFonts w:ascii="Palatino Linotype" w:hAnsi="Palatino Linotype"/>
        </w:rPr>
      </w:pPr>
      <w:r w:rsidRPr="00265709">
        <w:rPr>
          <w:rFonts w:ascii="Palatino Linotype" w:hAnsi="Palatino Linotype"/>
        </w:rPr>
        <w:t xml:space="preserve">Es importante resaltar a manera de analogía que la Suprema Corte de Justicia de la Nación mediante el número 2 de la Serie </w:t>
      </w:r>
      <w:r w:rsidRPr="00265709">
        <w:rPr>
          <w:rFonts w:ascii="Palatino Linotype" w:hAnsi="Palatino Linotype"/>
          <w:i/>
        </w:rPr>
        <w:t xml:space="preserve">Estudios Introductorios sobre el Juicio de Amparo </w:t>
      </w:r>
      <w:r w:rsidRPr="00265709">
        <w:rPr>
          <w:rFonts w:ascii="Palatino Linotype" w:hAnsi="Palatino Linotype"/>
        </w:rPr>
        <w:t xml:space="preserve">relativo a </w:t>
      </w:r>
      <w:r w:rsidRPr="00265709">
        <w:rPr>
          <w:rFonts w:ascii="Palatino Linotype" w:hAnsi="Palatino Linotype"/>
          <w:i/>
        </w:rPr>
        <w:t xml:space="preserve">LA IMPROCEDENCIA DE LA ACCIÓN DE AMPARO </w:t>
      </w:r>
      <w:r w:rsidRPr="0026570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65709">
        <w:rPr>
          <w:rFonts w:ascii="Palatino Linotype" w:hAnsi="Palatino Linotype"/>
          <w:b/>
          <w:u w:val="single"/>
        </w:rPr>
        <w:t>lo que generará que la demanda sea desechada; o bien, después de admitida la demanda, lo que tendrá como consecuencia que se sobresea en el juicio.</w:t>
      </w:r>
    </w:p>
    <w:p w14:paraId="16F10A03" w14:textId="77777777" w:rsidR="003740F3" w:rsidRPr="00265709" w:rsidRDefault="003740F3" w:rsidP="003740F3">
      <w:pPr>
        <w:autoSpaceDE w:val="0"/>
        <w:autoSpaceDN w:val="0"/>
        <w:adjustRightInd w:val="0"/>
        <w:spacing w:before="240" w:after="240" w:line="360" w:lineRule="auto"/>
        <w:jc w:val="both"/>
        <w:rPr>
          <w:rFonts w:ascii="Palatino Linotype" w:hAnsi="Palatino Linotype"/>
        </w:rPr>
      </w:pPr>
      <w:r w:rsidRPr="00265709">
        <w:rPr>
          <w:rFonts w:ascii="Palatino Linotype" w:hAnsi="Palatino Linotype"/>
        </w:rPr>
        <w:lastRenderedPageBreak/>
        <w:t xml:space="preserve">Por lo tanto, en mérito de lo expuesto en líneas anteriores, </w:t>
      </w:r>
      <w:r w:rsidRPr="00265709">
        <w:rPr>
          <w:rFonts w:ascii="Palatino Linotype" w:hAnsi="Palatino Linotype" w:cs="Arial"/>
          <w:b/>
        </w:rPr>
        <w:t xml:space="preserve">con fundamento en la fracción III del artículo 192, </w:t>
      </w:r>
      <w:r w:rsidRPr="00265709">
        <w:rPr>
          <w:rFonts w:ascii="Palatino Linotype" w:hAnsi="Palatino Linotype" w:cs="Arial"/>
        </w:rPr>
        <w:t xml:space="preserve">de la Ley de Transparencia y Acceso a la Información Pública del Estado de México y Municipios, se </w:t>
      </w:r>
      <w:r w:rsidRPr="00265709">
        <w:rPr>
          <w:rFonts w:ascii="Palatino Linotype" w:hAnsi="Palatino Linotype" w:cs="Arial"/>
          <w:b/>
        </w:rPr>
        <w:t xml:space="preserve">SOBRESEE </w:t>
      </w:r>
      <w:r w:rsidRPr="00265709">
        <w:rPr>
          <w:rFonts w:ascii="Palatino Linotype" w:hAnsi="Palatino Linotype" w:cs="Arial"/>
        </w:rPr>
        <w:t xml:space="preserve">el recurso de revisión </w:t>
      </w:r>
      <w:r>
        <w:rPr>
          <w:rFonts w:ascii="Palatino Linotype" w:hAnsi="Palatino Linotype" w:cs="Arial"/>
          <w:b/>
        </w:rPr>
        <w:t>07115/INFOEM/IP/RR/2025</w:t>
      </w:r>
      <w:r w:rsidRPr="00265709">
        <w:rPr>
          <w:rFonts w:ascii="Palatino Linotype" w:hAnsi="Palatino Linotype" w:cs="Arial"/>
        </w:rPr>
        <w:t>,</w:t>
      </w:r>
      <w:r w:rsidRPr="00265709">
        <w:rPr>
          <w:rFonts w:ascii="Palatino Linotype" w:hAnsi="Palatino Linotype"/>
        </w:rPr>
        <w:t xml:space="preserve"> que ha sido materia del presente fallo.</w:t>
      </w:r>
    </w:p>
    <w:p w14:paraId="3819DC9C" w14:textId="77777777" w:rsidR="003740F3" w:rsidRPr="00265709" w:rsidRDefault="003740F3" w:rsidP="003740F3">
      <w:pPr>
        <w:spacing w:line="360" w:lineRule="auto"/>
        <w:jc w:val="both"/>
        <w:rPr>
          <w:rFonts w:ascii="Palatino Linotype" w:hAnsi="Palatino Linotype"/>
          <w:lang w:val="es-MX"/>
        </w:rPr>
      </w:pPr>
      <w:r w:rsidRPr="00265709">
        <w:rPr>
          <w:rFonts w:ascii="Palatino Linotype" w:hAnsi="Palatino Linotype"/>
          <w:lang w:val="es-MX"/>
        </w:rPr>
        <w:t>Por lo antes expuesto y fundado es de resolverse y,</w:t>
      </w:r>
    </w:p>
    <w:p w14:paraId="533121C1" w14:textId="77777777" w:rsidR="003740F3" w:rsidRPr="00265709" w:rsidRDefault="003740F3" w:rsidP="003740F3">
      <w:pPr>
        <w:spacing w:after="160" w:line="360" w:lineRule="auto"/>
        <w:contextualSpacing/>
        <w:jc w:val="both"/>
        <w:rPr>
          <w:rFonts w:ascii="Palatino Linotype" w:eastAsia="MS Mincho" w:hAnsi="Palatino Linotype" w:cstheme="minorBidi"/>
          <w:sz w:val="22"/>
          <w:szCs w:val="22"/>
          <w:lang w:val="es-MX" w:eastAsia="en-US"/>
        </w:rPr>
      </w:pPr>
    </w:p>
    <w:p w14:paraId="1EE8B970" w14:textId="77777777" w:rsidR="003740F3" w:rsidRPr="00265709" w:rsidRDefault="003740F3" w:rsidP="003740F3">
      <w:pPr>
        <w:spacing w:before="240" w:after="240" w:line="360" w:lineRule="auto"/>
        <w:jc w:val="center"/>
        <w:rPr>
          <w:rFonts w:ascii="Palatino Linotype" w:eastAsiaTheme="minorHAnsi" w:hAnsi="Palatino Linotype" w:cstheme="minorBidi"/>
          <w:b/>
          <w:spacing w:val="60"/>
          <w:sz w:val="28"/>
          <w:lang w:val="es-MX" w:eastAsia="en-US"/>
        </w:rPr>
      </w:pPr>
      <w:r w:rsidRPr="00265709">
        <w:rPr>
          <w:rFonts w:ascii="Palatino Linotype" w:eastAsiaTheme="minorHAnsi" w:hAnsi="Palatino Linotype" w:cstheme="minorBidi"/>
          <w:b/>
          <w:spacing w:val="60"/>
          <w:sz w:val="28"/>
          <w:lang w:val="es-MX" w:eastAsia="en-US"/>
        </w:rPr>
        <w:t>S E RESUELVE</w:t>
      </w:r>
    </w:p>
    <w:p w14:paraId="611ECCBC" w14:textId="77777777" w:rsidR="003740F3" w:rsidRPr="00265709" w:rsidRDefault="003740F3" w:rsidP="003740F3">
      <w:pPr>
        <w:spacing w:line="360" w:lineRule="auto"/>
        <w:jc w:val="both"/>
        <w:rPr>
          <w:rFonts w:ascii="Palatino Linotype" w:eastAsiaTheme="minorHAnsi" w:hAnsi="Palatino Linotype" w:cs="Arial"/>
          <w:lang w:val="es-ES_tradnl" w:eastAsia="en-US"/>
        </w:rPr>
      </w:pPr>
      <w:r w:rsidRPr="00265709">
        <w:rPr>
          <w:rFonts w:ascii="Palatino Linotype" w:hAnsi="Palatino Linotype" w:cstheme="minorBidi"/>
          <w:b/>
          <w:bCs/>
          <w:sz w:val="28"/>
          <w:szCs w:val="22"/>
          <w:lang w:val="es-MX" w:eastAsia="es-MX"/>
        </w:rPr>
        <w:t>PRIMERO</w:t>
      </w:r>
      <w:r w:rsidRPr="00265709">
        <w:rPr>
          <w:rFonts w:ascii="Palatino Linotype" w:hAnsi="Palatino Linotype" w:cstheme="minorBidi"/>
          <w:sz w:val="28"/>
          <w:szCs w:val="22"/>
          <w:lang w:val="es-MX" w:eastAsia="es-MX"/>
        </w:rPr>
        <w:t xml:space="preserve">. </w:t>
      </w:r>
      <w:r w:rsidRPr="00265709">
        <w:rPr>
          <w:rFonts w:ascii="Palatino Linotype" w:eastAsiaTheme="minorHAnsi" w:hAnsi="Palatino Linotype" w:cs="Arial"/>
          <w:lang w:val="es-ES_tradnl" w:eastAsia="en-US"/>
        </w:rPr>
        <w:t xml:space="preserve">Se </w:t>
      </w:r>
      <w:r w:rsidRPr="00265709">
        <w:rPr>
          <w:rFonts w:ascii="Palatino Linotype" w:eastAsiaTheme="minorHAnsi" w:hAnsi="Palatino Linotype" w:cs="Arial"/>
          <w:b/>
          <w:lang w:val="es-ES_tradnl" w:eastAsia="en-US"/>
        </w:rPr>
        <w:t>SOBRESEE</w:t>
      </w:r>
      <w:r w:rsidRPr="00265709">
        <w:rPr>
          <w:rFonts w:ascii="Palatino Linotype" w:eastAsiaTheme="minorHAnsi" w:hAnsi="Palatino Linotype" w:cs="Arial"/>
          <w:lang w:val="es-ES_tradnl" w:eastAsia="en-US"/>
        </w:rPr>
        <w:t xml:space="preserve"> el recurso de revisión número </w:t>
      </w:r>
      <w:r>
        <w:rPr>
          <w:rFonts w:ascii="Palatino Linotype" w:eastAsiaTheme="minorEastAsia" w:hAnsi="Palatino Linotype" w:cstheme="minorBidi"/>
          <w:b/>
          <w:lang w:val="es-ES_tradnl" w:eastAsia="en-US"/>
        </w:rPr>
        <w:t>07115/INFOEM/IP/RR/2025</w:t>
      </w:r>
      <w:r w:rsidRPr="00265709">
        <w:rPr>
          <w:rFonts w:ascii="Palatino Linotype" w:eastAsiaTheme="minorEastAsia" w:hAnsi="Palatino Linotype" w:cstheme="minorBidi"/>
          <w:lang w:val="es-ES_tradnl" w:eastAsia="en-US"/>
        </w:rPr>
        <w:t>, porque al modificar la respuesta el recurso quedó sin materia</w:t>
      </w:r>
      <w:r w:rsidRPr="00265709">
        <w:rPr>
          <w:rFonts w:asciiTheme="minorHAnsi" w:eastAsiaTheme="minorHAnsi" w:hAnsiTheme="minorHAnsi" w:cstheme="minorBidi"/>
          <w:sz w:val="22"/>
          <w:szCs w:val="22"/>
          <w:lang w:val="es-MX" w:eastAsia="en-US"/>
        </w:rPr>
        <w:t xml:space="preserve"> </w:t>
      </w:r>
      <w:r w:rsidRPr="0026570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265709">
        <w:rPr>
          <w:rFonts w:ascii="Palatino Linotype" w:eastAsiaTheme="minorEastAsia" w:hAnsi="Palatino Linotype" w:cstheme="minorBidi"/>
          <w:b/>
          <w:lang w:val="es-ES_tradnl" w:eastAsia="en-US"/>
        </w:rPr>
        <w:t xml:space="preserve">CUARTO </w:t>
      </w:r>
      <w:r w:rsidRPr="00265709">
        <w:rPr>
          <w:rFonts w:ascii="Palatino Linotype" w:eastAsiaTheme="minorEastAsia" w:hAnsi="Palatino Linotype" w:cstheme="minorBidi"/>
          <w:lang w:val="es-ES_tradnl" w:eastAsia="en-US"/>
        </w:rPr>
        <w:t>de la presente resolución.</w:t>
      </w:r>
    </w:p>
    <w:p w14:paraId="75A13A56" w14:textId="77777777" w:rsidR="003740F3" w:rsidRPr="00265709" w:rsidRDefault="003740F3" w:rsidP="003740F3">
      <w:pPr>
        <w:spacing w:line="360" w:lineRule="auto"/>
        <w:jc w:val="both"/>
        <w:rPr>
          <w:rFonts w:ascii="Palatino Linotype" w:eastAsiaTheme="minorHAnsi" w:hAnsi="Palatino Linotype" w:cstheme="minorBidi"/>
          <w:b/>
          <w:lang w:val="es-MX" w:eastAsia="en-US"/>
        </w:rPr>
      </w:pPr>
    </w:p>
    <w:p w14:paraId="4547E09D" w14:textId="77777777" w:rsidR="003740F3" w:rsidRDefault="003740F3" w:rsidP="003740F3">
      <w:pPr>
        <w:spacing w:line="360" w:lineRule="auto"/>
        <w:jc w:val="both"/>
        <w:rPr>
          <w:rFonts w:ascii="Palatino Linotype" w:eastAsiaTheme="minorHAnsi" w:hAnsi="Palatino Linotype" w:cstheme="minorBidi"/>
          <w:lang w:val="es-MX" w:eastAsia="en-US"/>
        </w:rPr>
      </w:pPr>
      <w:r w:rsidRPr="00265709">
        <w:rPr>
          <w:rFonts w:ascii="Palatino Linotype" w:eastAsiaTheme="minorHAnsi" w:hAnsi="Palatino Linotype" w:cstheme="minorBidi"/>
          <w:b/>
          <w:sz w:val="28"/>
          <w:lang w:val="es-MX" w:eastAsia="en-US"/>
        </w:rPr>
        <w:t>SEGUNDO.</w:t>
      </w:r>
      <w:r w:rsidRPr="00265709">
        <w:rPr>
          <w:rFonts w:ascii="Palatino Linotype" w:eastAsiaTheme="minorHAnsi" w:hAnsi="Palatino Linotype" w:cs="Arial"/>
          <w:sz w:val="28"/>
          <w:lang w:val="es-MX" w:eastAsia="en-US"/>
        </w:rPr>
        <w:t xml:space="preserve"> </w:t>
      </w:r>
      <w:r w:rsidRPr="00265709">
        <w:rPr>
          <w:rFonts w:ascii="Palatino Linotype" w:eastAsiaTheme="minorHAnsi" w:hAnsi="Palatino Linotype" w:cstheme="minorBidi"/>
          <w:b/>
          <w:lang w:val="es-MX" w:eastAsia="en-US"/>
        </w:rPr>
        <w:t>NOTIFÍQUESE</w:t>
      </w:r>
      <w:r w:rsidRPr="00265709">
        <w:rPr>
          <w:rFonts w:ascii="Palatino Linotype" w:eastAsiaTheme="minorHAnsi" w:hAnsi="Palatino Linotype" w:cstheme="minorBidi"/>
          <w:lang w:val="es-MX" w:eastAsia="en-US"/>
        </w:rPr>
        <w:t xml:space="preserve"> vía Sistema de Acceso a la Información Mexiquense (</w:t>
      </w:r>
      <w:r w:rsidRPr="00265709">
        <w:rPr>
          <w:rFonts w:ascii="Palatino Linotype" w:eastAsiaTheme="minorHAnsi" w:hAnsi="Palatino Linotype" w:cstheme="minorBidi"/>
          <w:b/>
          <w:lang w:val="es-MX" w:eastAsia="en-US"/>
        </w:rPr>
        <w:t>SAIMEX)</w:t>
      </w:r>
      <w:r w:rsidRPr="00265709">
        <w:rPr>
          <w:rFonts w:ascii="Palatino Linotype" w:eastAsiaTheme="minorHAnsi" w:hAnsi="Palatino Linotype" w:cstheme="minorBidi"/>
          <w:lang w:val="es-MX" w:eastAsia="en-US"/>
        </w:rPr>
        <w:t xml:space="preserve">, la presente resolución al Titular de la Unidad de Transparencia del </w:t>
      </w:r>
      <w:r w:rsidRPr="00265709">
        <w:rPr>
          <w:rFonts w:ascii="Palatino Linotype" w:eastAsiaTheme="minorHAnsi" w:hAnsi="Palatino Linotype" w:cstheme="minorBidi"/>
          <w:b/>
          <w:lang w:val="es-MX" w:eastAsia="en-US"/>
        </w:rPr>
        <w:t>Sujeto Obligado</w:t>
      </w:r>
      <w:r w:rsidRPr="00265709">
        <w:rPr>
          <w:rFonts w:ascii="Palatino Linotype" w:eastAsiaTheme="minorHAnsi" w:hAnsi="Palatino Linotype" w:cstheme="minorBidi"/>
          <w:lang w:val="es-MX" w:eastAsia="en-US"/>
        </w:rPr>
        <w:t>.</w:t>
      </w:r>
    </w:p>
    <w:p w14:paraId="7180CC1C" w14:textId="77777777" w:rsidR="003740F3" w:rsidRDefault="003740F3" w:rsidP="003740F3">
      <w:pPr>
        <w:autoSpaceDE w:val="0"/>
        <w:autoSpaceDN w:val="0"/>
        <w:adjustRightInd w:val="0"/>
        <w:spacing w:line="360" w:lineRule="auto"/>
        <w:jc w:val="both"/>
        <w:rPr>
          <w:rFonts w:ascii="Palatino Linotype" w:hAnsi="Palatino Linotype" w:cs="Arial"/>
          <w:b/>
          <w:sz w:val="28"/>
          <w:szCs w:val="28"/>
        </w:rPr>
      </w:pPr>
    </w:p>
    <w:p w14:paraId="75234FA5" w14:textId="77777777" w:rsidR="003740F3" w:rsidRPr="00265709" w:rsidRDefault="003740F3" w:rsidP="003740F3">
      <w:pPr>
        <w:autoSpaceDE w:val="0"/>
        <w:autoSpaceDN w:val="0"/>
        <w:adjustRightInd w:val="0"/>
        <w:spacing w:before="240" w:line="360" w:lineRule="auto"/>
        <w:jc w:val="both"/>
        <w:rPr>
          <w:rFonts w:ascii="Palatino Linotype" w:hAnsi="Palatino Linotype" w:cs="Arial"/>
          <w:b/>
        </w:rPr>
      </w:pPr>
      <w:r w:rsidRPr="00265709">
        <w:rPr>
          <w:rFonts w:ascii="Palatino Linotype" w:hAnsi="Palatino Linotype" w:cs="Arial"/>
          <w:b/>
          <w:sz w:val="28"/>
          <w:szCs w:val="28"/>
        </w:rPr>
        <w:t>TERCERO</w:t>
      </w:r>
      <w:r w:rsidRPr="00265709">
        <w:rPr>
          <w:rFonts w:ascii="Palatino Linotype" w:hAnsi="Palatino Linotype" w:cs="Arial"/>
          <w:sz w:val="28"/>
          <w:szCs w:val="28"/>
        </w:rPr>
        <w:t>.</w:t>
      </w:r>
      <w:r w:rsidRPr="00265709">
        <w:rPr>
          <w:rFonts w:ascii="Palatino Linotype" w:hAnsi="Palatino Linotype" w:cs="Arial"/>
        </w:rPr>
        <w:t xml:space="preserve"> </w:t>
      </w:r>
      <w:r w:rsidRPr="00265709">
        <w:rPr>
          <w:rFonts w:ascii="Palatino Linotype" w:hAnsi="Palatino Linotype" w:cs="Arial"/>
          <w:b/>
          <w:bCs/>
          <w:color w:val="222222"/>
          <w:shd w:val="clear" w:color="auto" w:fill="FFFFFF"/>
        </w:rPr>
        <w:t>Notifíquese</w:t>
      </w:r>
      <w:r w:rsidRPr="00265709">
        <w:rPr>
          <w:rFonts w:ascii="Palatino Linotype" w:hAnsi="Palatino Linotype" w:cs="Arial"/>
        </w:rPr>
        <w:t xml:space="preserve"> la presente resolución a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a través del Sistema de Acceso a la Información Mexiquense </w:t>
      </w:r>
      <w:r w:rsidRPr="00265709">
        <w:rPr>
          <w:rFonts w:ascii="Palatino Linotype" w:hAnsi="Palatino Linotype" w:cs="Arial"/>
          <w:b/>
        </w:rPr>
        <w:t>(SAIMEX)</w:t>
      </w:r>
      <w:r>
        <w:rPr>
          <w:rFonts w:ascii="Palatino Linotype" w:hAnsi="Palatino Linotype" w:cs="Arial"/>
          <w:b/>
        </w:rPr>
        <w:t>.</w:t>
      </w:r>
    </w:p>
    <w:p w14:paraId="66B36859" w14:textId="77777777" w:rsidR="003740F3" w:rsidRPr="00265709" w:rsidRDefault="003740F3" w:rsidP="003740F3">
      <w:pPr>
        <w:autoSpaceDE w:val="0"/>
        <w:autoSpaceDN w:val="0"/>
        <w:adjustRightInd w:val="0"/>
        <w:spacing w:line="360" w:lineRule="auto"/>
        <w:jc w:val="both"/>
        <w:rPr>
          <w:rFonts w:ascii="Palatino Linotype" w:hAnsi="Palatino Linotype" w:cs="Arial"/>
          <w:b/>
        </w:rPr>
      </w:pPr>
    </w:p>
    <w:p w14:paraId="0BB6FE78" w14:textId="77777777" w:rsidR="003740F3" w:rsidRPr="00265709" w:rsidRDefault="003740F3" w:rsidP="003740F3">
      <w:pPr>
        <w:autoSpaceDE w:val="0"/>
        <w:autoSpaceDN w:val="0"/>
        <w:adjustRightInd w:val="0"/>
        <w:spacing w:before="240" w:line="360" w:lineRule="auto"/>
        <w:jc w:val="both"/>
        <w:rPr>
          <w:rFonts w:ascii="Palatino Linotype" w:hAnsi="Palatino Linotype" w:cs="Arial"/>
        </w:rPr>
      </w:pPr>
      <w:r w:rsidRPr="00265709">
        <w:rPr>
          <w:rFonts w:ascii="Palatino Linotype" w:hAnsi="Palatino Linotype" w:cs="Arial"/>
          <w:b/>
          <w:sz w:val="28"/>
          <w:szCs w:val="28"/>
        </w:rPr>
        <w:lastRenderedPageBreak/>
        <w:t xml:space="preserve">CUARTO. </w:t>
      </w:r>
      <w:r w:rsidRPr="00265709">
        <w:rPr>
          <w:rFonts w:ascii="Palatino Linotype" w:hAnsi="Palatino Linotype" w:cs="Arial"/>
        </w:rPr>
        <w:t xml:space="preserve">Se hace del conocimiento de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64CF6CC" w14:textId="77777777" w:rsidR="003740F3" w:rsidRDefault="003740F3" w:rsidP="003740F3">
      <w:pPr>
        <w:spacing w:line="360" w:lineRule="auto"/>
        <w:jc w:val="both"/>
        <w:rPr>
          <w:rFonts w:ascii="Palatino Linotype" w:hAnsi="Palatino Linotype" w:cs="Arial"/>
        </w:rPr>
      </w:pPr>
    </w:p>
    <w:p w14:paraId="51A4A23C" w14:textId="2BBE2634" w:rsidR="003740F3" w:rsidRPr="007C3942" w:rsidRDefault="003740F3" w:rsidP="003740F3">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EC115F">
        <w:rPr>
          <w:rFonts w:ascii="Palatino Linotype" w:hAnsi="Palatino Linotype" w:cs="Arial"/>
        </w:rPr>
        <w:t xml:space="preserve"> </w:t>
      </w:r>
      <w:r w:rsidR="00EC115F">
        <w:rPr>
          <w:rFonts w:ascii="Palatino Linotype" w:eastAsia="Palatino Linotype" w:hAnsi="Palatino Linotype" w:cs="Palatino Linotype"/>
        </w:rPr>
        <w:t>(AUSENCIA JUSTIFICADA)</w:t>
      </w:r>
      <w:r w:rsidRPr="007C3942">
        <w:rPr>
          <w:rFonts w:ascii="Palatino Linotype" w:hAnsi="Palatino Linotype" w:cs="Arial"/>
        </w:rPr>
        <w:t>,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DE0E29">
        <w:rPr>
          <w:rFonts w:ascii="Palatino Linotype" w:hAnsi="Palatino Linotype" w:cs="Arial"/>
        </w:rPr>
        <w:t>VIGÉS</w:t>
      </w:r>
      <w:r>
        <w:rPr>
          <w:rFonts w:ascii="Palatino Linotype" w:hAnsi="Palatino Linotype" w:cs="Arial"/>
        </w:rPr>
        <w:t xml:space="preserve">IMA </w:t>
      </w:r>
      <w:r w:rsidR="00DE0E29">
        <w:rPr>
          <w:rFonts w:ascii="Palatino Linotype" w:hAnsi="Palatino Linotype" w:cs="Arial"/>
        </w:rPr>
        <w:t>QUINTA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DE0E29">
        <w:rPr>
          <w:rFonts w:ascii="Palatino Linotype" w:hAnsi="Palatino Linotype" w:cs="Arial"/>
        </w:rPr>
        <w:t>NUEVE DE JULIO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073177">
        <w:rPr>
          <w:rFonts w:ascii="Palatino Linotype" w:hAnsi="Palatino Linotype" w:cs="Arial"/>
        </w:rPr>
        <w:t>--------------------</w:t>
      </w:r>
      <w:r>
        <w:rPr>
          <w:rFonts w:ascii="Palatino Linotype" w:hAnsi="Palatino Linotype" w:cs="Arial"/>
        </w:rPr>
        <w:t>---</w:t>
      </w:r>
    </w:p>
    <w:p w14:paraId="33F0C57E" w14:textId="4C19C341" w:rsidR="003740F3" w:rsidRDefault="00073177" w:rsidP="003740F3">
      <w:pPr>
        <w:spacing w:line="360" w:lineRule="auto"/>
        <w:jc w:val="both"/>
        <w:rPr>
          <w:rFonts w:ascii="Palatino Linotype" w:hAnsi="Palatino Linotype" w:cs="Arial"/>
          <w:sz w:val="16"/>
        </w:rPr>
      </w:pPr>
      <w:r>
        <w:rPr>
          <w:rFonts w:ascii="Palatino Linotype" w:hAnsi="Palatino Linotype" w:cs="Arial"/>
        </w:rPr>
        <w:t>------------------------------------------------------------------------------------------------------------------------------------------------------------------------------------------------------------------------------------</w:t>
      </w:r>
      <w:r w:rsidR="003740F3">
        <w:rPr>
          <w:rFonts w:ascii="Palatino Linotype" w:hAnsi="Palatino Linotype" w:cs="Arial"/>
        </w:rPr>
        <w:t>----------------------------------------------------</w:t>
      </w:r>
      <w:r w:rsidR="003740F3" w:rsidRPr="007C3942">
        <w:rPr>
          <w:rFonts w:ascii="Palatino Linotype" w:hAnsi="Palatino Linotype" w:cs="Arial"/>
        </w:rPr>
        <w:t>-----------------------------------------</w:t>
      </w:r>
      <w:r w:rsidR="003740F3" w:rsidRPr="00692461">
        <w:rPr>
          <w:rFonts w:ascii="Palatino Linotype" w:hAnsi="Palatino Linotype" w:cs="Arial"/>
        </w:rPr>
        <w:t>---------------------</w:t>
      </w:r>
      <w:r w:rsidR="00DE0E29">
        <w:rPr>
          <w:rFonts w:ascii="Palatino Linotype" w:hAnsi="Palatino Linotype" w:cs="Arial"/>
          <w:sz w:val="16"/>
        </w:rPr>
        <w:t>JMV/CCR/</w:t>
      </w:r>
    </w:p>
    <w:p w14:paraId="36D5499E" w14:textId="77777777" w:rsidR="003740F3" w:rsidRDefault="003740F3" w:rsidP="003740F3"/>
    <w:p w14:paraId="2F75F9E2" w14:textId="77777777" w:rsidR="003740F3" w:rsidRDefault="003740F3" w:rsidP="003740F3"/>
    <w:p w14:paraId="5C001184" w14:textId="77777777" w:rsidR="003740F3" w:rsidRDefault="003740F3" w:rsidP="003740F3"/>
    <w:p w14:paraId="09ACDA8F" w14:textId="77777777" w:rsidR="003740F3" w:rsidRDefault="003740F3" w:rsidP="003740F3"/>
    <w:p w14:paraId="47495F1D" w14:textId="77777777" w:rsidR="003740F3" w:rsidRDefault="003740F3" w:rsidP="003740F3"/>
    <w:p w14:paraId="64D2BA18" w14:textId="77777777" w:rsidR="003740F3" w:rsidRDefault="003740F3" w:rsidP="003740F3"/>
    <w:p w14:paraId="033A0D67" w14:textId="77777777" w:rsidR="003740F3" w:rsidRDefault="003740F3" w:rsidP="003740F3"/>
    <w:p w14:paraId="6520E45C" w14:textId="77777777" w:rsidR="003740F3" w:rsidRDefault="003740F3" w:rsidP="003740F3"/>
    <w:p w14:paraId="39E58341" w14:textId="77777777" w:rsidR="003740F3" w:rsidRDefault="003740F3" w:rsidP="003740F3"/>
    <w:p w14:paraId="34E91953" w14:textId="77777777" w:rsidR="003740F3" w:rsidRDefault="003740F3" w:rsidP="003740F3"/>
    <w:p w14:paraId="6D7D4E48" w14:textId="77777777" w:rsidR="003740F3" w:rsidRDefault="003740F3" w:rsidP="003740F3"/>
    <w:p w14:paraId="7B3104C8" w14:textId="77777777" w:rsidR="003740F3" w:rsidRDefault="003740F3" w:rsidP="003740F3"/>
    <w:p w14:paraId="22916AC3" w14:textId="77777777" w:rsidR="003740F3" w:rsidRDefault="003740F3" w:rsidP="003740F3"/>
    <w:p w14:paraId="3FB9894A" w14:textId="77777777" w:rsidR="003740F3" w:rsidRDefault="003740F3" w:rsidP="003740F3"/>
    <w:p w14:paraId="4BD4BC8A" w14:textId="77777777" w:rsidR="003740F3" w:rsidRDefault="003740F3" w:rsidP="003740F3"/>
    <w:p w14:paraId="3B51E01C" w14:textId="77777777" w:rsidR="003740F3" w:rsidRDefault="003740F3" w:rsidP="003740F3"/>
    <w:p w14:paraId="4F0F742D" w14:textId="77777777" w:rsidR="003740F3" w:rsidRDefault="003740F3" w:rsidP="003740F3"/>
    <w:p w14:paraId="1EE8D2AB" w14:textId="77777777" w:rsidR="003740F3" w:rsidRDefault="003740F3" w:rsidP="003740F3"/>
    <w:p w14:paraId="64E6A84F" w14:textId="77777777" w:rsidR="003740F3" w:rsidRDefault="003740F3" w:rsidP="003740F3"/>
    <w:p w14:paraId="7FD3D5C2" w14:textId="77777777" w:rsidR="003740F3" w:rsidRDefault="003740F3" w:rsidP="003740F3"/>
    <w:p w14:paraId="7CBC655D" w14:textId="77777777" w:rsidR="003740F3" w:rsidRDefault="003740F3" w:rsidP="003740F3"/>
    <w:p w14:paraId="6289A495" w14:textId="77777777" w:rsidR="003740F3" w:rsidRDefault="003740F3" w:rsidP="003740F3"/>
    <w:p w14:paraId="557BD573" w14:textId="77777777" w:rsidR="003740F3" w:rsidRDefault="003740F3" w:rsidP="003740F3"/>
    <w:p w14:paraId="0AB87725" w14:textId="77777777" w:rsidR="003740F3" w:rsidRDefault="003740F3" w:rsidP="003740F3"/>
    <w:p w14:paraId="61BF7C2A" w14:textId="77777777" w:rsidR="003740F3" w:rsidRDefault="003740F3" w:rsidP="003740F3"/>
    <w:p w14:paraId="0A0B3A2B" w14:textId="77777777" w:rsidR="003740F3" w:rsidRDefault="003740F3" w:rsidP="003740F3"/>
    <w:p w14:paraId="6BC32E1A" w14:textId="77777777" w:rsidR="003740F3" w:rsidRDefault="003740F3" w:rsidP="003740F3"/>
    <w:p w14:paraId="39CC9B46" w14:textId="77777777" w:rsidR="003740F3" w:rsidRDefault="003740F3" w:rsidP="003740F3"/>
    <w:p w14:paraId="796DA1C5" w14:textId="77777777" w:rsidR="003740F3" w:rsidRDefault="003740F3" w:rsidP="003740F3"/>
    <w:p w14:paraId="7DE3FE7F" w14:textId="77777777" w:rsidR="003740F3" w:rsidRDefault="003740F3" w:rsidP="003740F3"/>
    <w:p w14:paraId="2EA738C3" w14:textId="77777777" w:rsidR="003740F3" w:rsidRDefault="003740F3" w:rsidP="003740F3"/>
    <w:p w14:paraId="60395699" w14:textId="77777777" w:rsidR="003740F3" w:rsidRDefault="003740F3" w:rsidP="003740F3"/>
    <w:p w14:paraId="12BC098C" w14:textId="77777777" w:rsidR="00A518A0" w:rsidRDefault="00A518A0"/>
    <w:sectPr w:rsidR="00A518A0" w:rsidSect="00D2197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8984B" w14:textId="77777777" w:rsidR="00A47040" w:rsidRDefault="00A47040" w:rsidP="003740F3">
      <w:r>
        <w:separator/>
      </w:r>
    </w:p>
  </w:endnote>
  <w:endnote w:type="continuationSeparator" w:id="0">
    <w:p w14:paraId="10D40466" w14:textId="77777777" w:rsidR="00A47040" w:rsidRDefault="00A47040" w:rsidP="003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E6A2" w14:textId="77777777" w:rsidR="00A47040" w:rsidRPr="00A2780F" w:rsidRDefault="00A47040"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1A2B">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1A2B">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919" w14:textId="77777777" w:rsidR="00A47040" w:rsidRPr="00070856" w:rsidRDefault="00A47040"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1A2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1A2B">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A4AA9" w14:textId="77777777" w:rsidR="00A47040" w:rsidRDefault="00A47040" w:rsidP="003740F3">
      <w:r>
        <w:separator/>
      </w:r>
    </w:p>
  </w:footnote>
  <w:footnote w:type="continuationSeparator" w:id="0">
    <w:p w14:paraId="0211752B" w14:textId="77777777" w:rsidR="00A47040" w:rsidRDefault="00A47040" w:rsidP="003740F3">
      <w:r>
        <w:continuationSeparator/>
      </w:r>
    </w:p>
  </w:footnote>
  <w:footnote w:id="1">
    <w:p w14:paraId="709E824A" w14:textId="77777777" w:rsidR="00A47040" w:rsidRPr="005552A8" w:rsidRDefault="00A47040" w:rsidP="003740F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F95416" w14:textId="77777777" w:rsidR="00A47040" w:rsidRPr="005552A8" w:rsidRDefault="00A47040" w:rsidP="003740F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47040" w:rsidRPr="008F2CCC" w14:paraId="013FC9CD" w14:textId="77777777" w:rsidTr="00D21971">
      <w:tc>
        <w:tcPr>
          <w:tcW w:w="3620" w:type="dxa"/>
          <w:shd w:val="clear" w:color="auto" w:fill="auto"/>
        </w:tcPr>
        <w:p w14:paraId="54DFA5EC" w14:textId="77777777" w:rsidR="00A47040" w:rsidRPr="007E5FC4" w:rsidRDefault="00A47040"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22ED3610" w14:textId="77777777" w:rsidR="00A47040" w:rsidRPr="00664658" w:rsidRDefault="00A47040" w:rsidP="003740F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07115/INFOEM/IP/RR/2025</w:t>
          </w:r>
        </w:p>
      </w:tc>
    </w:tr>
    <w:tr w:rsidR="00A47040" w:rsidRPr="008F2CCC" w14:paraId="5C3D0DA1" w14:textId="77777777" w:rsidTr="00D21971">
      <w:tc>
        <w:tcPr>
          <w:tcW w:w="3620" w:type="dxa"/>
          <w:shd w:val="clear" w:color="auto" w:fill="auto"/>
        </w:tcPr>
        <w:p w14:paraId="072D639D" w14:textId="77777777" w:rsidR="00A47040" w:rsidRPr="007E5FC4" w:rsidRDefault="00A47040"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35342F8" w14:textId="77777777" w:rsidR="00A47040" w:rsidRPr="00664658" w:rsidRDefault="00A47040" w:rsidP="00D21971">
          <w:pPr>
            <w:spacing w:line="276" w:lineRule="auto"/>
            <w:jc w:val="right"/>
            <w:rPr>
              <w:rFonts w:ascii="Palatino Linotype" w:hAnsi="Palatino Linotype"/>
              <w:b/>
              <w:sz w:val="22"/>
              <w:szCs w:val="22"/>
              <w:lang w:val="es-ES_tradnl"/>
            </w:rPr>
          </w:pPr>
          <w:r w:rsidRPr="003740F3">
            <w:rPr>
              <w:rFonts w:ascii="Palatino Linotype" w:hAnsi="Palatino Linotype"/>
              <w:b/>
              <w:sz w:val="22"/>
              <w:szCs w:val="22"/>
            </w:rPr>
            <w:t>Ayuntamiento de Coacalco de Berriozábal</w:t>
          </w:r>
        </w:p>
      </w:tc>
    </w:tr>
    <w:tr w:rsidR="00A47040" w:rsidRPr="008F2CCC" w14:paraId="621B2A95" w14:textId="77777777" w:rsidTr="00D21971">
      <w:trPr>
        <w:trHeight w:val="228"/>
      </w:trPr>
      <w:tc>
        <w:tcPr>
          <w:tcW w:w="3620" w:type="dxa"/>
          <w:shd w:val="clear" w:color="auto" w:fill="auto"/>
        </w:tcPr>
        <w:p w14:paraId="2D40C084" w14:textId="77777777" w:rsidR="00A47040" w:rsidRPr="007E5FC4" w:rsidRDefault="00A47040"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826586E" w14:textId="77777777" w:rsidR="00A47040" w:rsidRPr="00664658" w:rsidRDefault="00A47040" w:rsidP="00D2197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3D7FED" w14:textId="77777777" w:rsidR="00A47040" w:rsidRDefault="00A47040" w:rsidP="00D21971">
    <w:pPr>
      <w:pStyle w:val="Encabezado"/>
      <w:tabs>
        <w:tab w:val="clear" w:pos="4252"/>
        <w:tab w:val="clear" w:pos="8504"/>
        <w:tab w:val="left" w:pos="2326"/>
      </w:tabs>
      <w:rPr>
        <w:rFonts w:ascii="Palatino Linotype" w:hAnsi="Palatino Linotype"/>
        <w:sz w:val="20"/>
      </w:rPr>
    </w:pPr>
  </w:p>
  <w:p w14:paraId="1D619339" w14:textId="77777777" w:rsidR="00A47040" w:rsidRPr="001779E0" w:rsidRDefault="00A47040" w:rsidP="00D2197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3FE9F5" wp14:editId="21FF279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47040" w:rsidRPr="008F2CCC" w14:paraId="4F92C55F" w14:textId="77777777" w:rsidTr="00D21971">
      <w:tc>
        <w:tcPr>
          <w:tcW w:w="2977" w:type="dxa"/>
          <w:shd w:val="clear" w:color="auto" w:fill="auto"/>
        </w:tcPr>
        <w:p w14:paraId="3F1C68AC" w14:textId="77777777" w:rsidR="00A47040" w:rsidRPr="007E5FC4" w:rsidRDefault="00A47040"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FE8585D" w14:textId="77777777" w:rsidR="00A47040" w:rsidRPr="008F2CCC" w:rsidRDefault="00A47040" w:rsidP="003740F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07115/INFOEM/IP/RR/2025</w:t>
          </w:r>
        </w:p>
      </w:tc>
    </w:tr>
    <w:tr w:rsidR="00A47040" w:rsidRPr="008F2CCC" w14:paraId="4717ADDD" w14:textId="77777777" w:rsidTr="00D21971">
      <w:tc>
        <w:tcPr>
          <w:tcW w:w="2977" w:type="dxa"/>
          <w:shd w:val="clear" w:color="auto" w:fill="auto"/>
          <w:vAlign w:val="center"/>
        </w:tcPr>
        <w:p w14:paraId="4CAAA255" w14:textId="77777777" w:rsidR="00A47040" w:rsidRPr="007E5FC4" w:rsidRDefault="00A47040"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49226208" w14:textId="3C93CA84" w:rsidR="00A47040" w:rsidRPr="008F2CCC" w:rsidRDefault="00F41A2B"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A47040" w:rsidRPr="008F2CCC" w14:paraId="50A77898" w14:textId="77777777" w:rsidTr="00D21971">
      <w:trPr>
        <w:trHeight w:val="228"/>
      </w:trPr>
      <w:tc>
        <w:tcPr>
          <w:tcW w:w="2977" w:type="dxa"/>
          <w:shd w:val="clear" w:color="auto" w:fill="auto"/>
        </w:tcPr>
        <w:p w14:paraId="7275D2C5" w14:textId="77777777" w:rsidR="00A47040" w:rsidRPr="007E5FC4" w:rsidRDefault="00A47040"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D23C774" w14:textId="77777777" w:rsidR="00A47040" w:rsidRPr="00DC41C8" w:rsidRDefault="00A47040" w:rsidP="00D21971">
          <w:pPr>
            <w:spacing w:line="360" w:lineRule="auto"/>
            <w:jc w:val="right"/>
            <w:rPr>
              <w:rFonts w:ascii="Palatino Linotype" w:hAnsi="Palatino Linotype"/>
              <w:b/>
              <w:sz w:val="22"/>
              <w:szCs w:val="22"/>
            </w:rPr>
          </w:pPr>
          <w:r w:rsidRPr="003740F3">
            <w:rPr>
              <w:rFonts w:ascii="Palatino Linotype" w:hAnsi="Palatino Linotype"/>
              <w:b/>
              <w:sz w:val="22"/>
              <w:szCs w:val="22"/>
            </w:rPr>
            <w:t>Ayuntamiento de Coacalco de Berriozábal</w:t>
          </w:r>
        </w:p>
      </w:tc>
    </w:tr>
    <w:tr w:rsidR="00A47040" w:rsidRPr="008F2CCC" w14:paraId="568BCF92" w14:textId="77777777" w:rsidTr="00D21971">
      <w:tc>
        <w:tcPr>
          <w:tcW w:w="2977" w:type="dxa"/>
          <w:shd w:val="clear" w:color="auto" w:fill="auto"/>
        </w:tcPr>
        <w:p w14:paraId="43CA35B0" w14:textId="77777777" w:rsidR="00A47040" w:rsidRPr="007E5FC4" w:rsidRDefault="00A47040"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3F7A6BF1" w14:textId="77777777" w:rsidR="00A47040" w:rsidRPr="008F2CCC" w:rsidRDefault="00A47040"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A6F7C5" w14:textId="77777777" w:rsidR="00A47040" w:rsidRPr="009F1AB6" w:rsidRDefault="00A4704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9F49B6" wp14:editId="7DDBB43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7"/>
  </w:num>
  <w:num w:numId="8">
    <w:abstractNumId w:val="2"/>
  </w:num>
  <w:num w:numId="9">
    <w:abstractNumId w:val="8"/>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F3"/>
    <w:rsid w:val="00007F38"/>
    <w:rsid w:val="00046C81"/>
    <w:rsid w:val="00073177"/>
    <w:rsid w:val="002C5336"/>
    <w:rsid w:val="00341E0E"/>
    <w:rsid w:val="003740F3"/>
    <w:rsid w:val="00A47040"/>
    <w:rsid w:val="00A518A0"/>
    <w:rsid w:val="00B070D6"/>
    <w:rsid w:val="00BB22EE"/>
    <w:rsid w:val="00CA7C46"/>
    <w:rsid w:val="00D21971"/>
    <w:rsid w:val="00DE0E29"/>
    <w:rsid w:val="00E9344E"/>
    <w:rsid w:val="00EC115F"/>
    <w:rsid w:val="00F41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F32F"/>
  <w15:chartTrackingRefBased/>
  <w15:docId w15:val="{4DF1E53A-23E8-4A98-9D39-423BF3D8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0F3"/>
    <w:rPr>
      <w:rFonts w:eastAsiaTheme="minorEastAsia"/>
      <w:sz w:val="24"/>
      <w:szCs w:val="24"/>
      <w:lang w:val="es-ES_tradnl" w:eastAsia="es-ES"/>
    </w:rPr>
  </w:style>
  <w:style w:type="paragraph" w:styleId="Piedepgina">
    <w:name w:val="footer"/>
    <w:basedOn w:val="Normal"/>
    <w:link w:val="Piedepgina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0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0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0F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740F3"/>
    <w:pPr>
      <w:spacing w:after="0" w:line="240" w:lineRule="auto"/>
    </w:pPr>
  </w:style>
  <w:style w:type="character" w:customStyle="1" w:styleId="SinespaciadoCar">
    <w:name w:val="Sin espaciado Car"/>
    <w:aliases w:val="Francesa Car,INAI Car"/>
    <w:link w:val="Sinespaciado"/>
    <w:uiPriority w:val="1"/>
    <w:locked/>
    <w:rsid w:val="003740F3"/>
  </w:style>
  <w:style w:type="character" w:styleId="Hipervnculo">
    <w:name w:val="Hyperlink"/>
    <w:aliases w:val="Hipervínculo1,Hipervínculo11,Hipervínculo12,Hipervínculo13,Hipervínculo14,Hipervínculo15"/>
    <w:basedOn w:val="Fuentedeprrafopredeter"/>
    <w:uiPriority w:val="99"/>
    <w:unhideWhenUsed/>
    <w:rsid w:val="003740F3"/>
    <w:rPr>
      <w:color w:val="0563C1" w:themeColor="hyperlink"/>
      <w:u w:val="single"/>
    </w:rPr>
  </w:style>
  <w:style w:type="paragraph" w:customStyle="1" w:styleId="INFOEM">
    <w:name w:val="INFOEM"/>
    <w:basedOn w:val="Normal"/>
    <w:qFormat/>
    <w:rsid w:val="003740F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740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0F3"/>
    <w:rPr>
      <w:vertAlign w:val="superscript"/>
    </w:rPr>
  </w:style>
  <w:style w:type="paragraph" w:customStyle="1" w:styleId="infoemcitas">
    <w:name w:val="infoem citas"/>
    <w:basedOn w:val="Normal"/>
    <w:qFormat/>
    <w:rsid w:val="003740F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740F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27</Pages>
  <Words>5775</Words>
  <Characters>31767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dcterms:created xsi:type="dcterms:W3CDTF">2025-07-02T23:00:00Z</dcterms:created>
  <dcterms:modified xsi:type="dcterms:W3CDTF">2025-08-20T23:20:00Z</dcterms:modified>
</cp:coreProperties>
</file>