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D02EB" w14:textId="29094212"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1D0BB1" w:rsidRPr="005D02EA">
        <w:rPr>
          <w:rFonts w:ascii="Palatino Linotype" w:eastAsia="Palatino Linotype" w:hAnsi="Palatino Linotype" w:cs="Palatino Linotype"/>
          <w:sz w:val="22"/>
          <w:szCs w:val="22"/>
        </w:rPr>
        <w:t xml:space="preserve">cuatro de junio </w:t>
      </w:r>
      <w:r w:rsidRPr="005D02EA">
        <w:rPr>
          <w:rFonts w:ascii="Palatino Linotype" w:eastAsia="Palatino Linotype" w:hAnsi="Palatino Linotype" w:cs="Palatino Linotype"/>
          <w:sz w:val="22"/>
          <w:szCs w:val="22"/>
        </w:rPr>
        <w:t xml:space="preserve">de dos mil veinticinco. </w:t>
      </w:r>
    </w:p>
    <w:p w14:paraId="7E95EF06"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58FFAA8C"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Visto</w:t>
      </w:r>
      <w:r w:rsidRPr="005D02EA">
        <w:rPr>
          <w:rFonts w:ascii="Palatino Linotype" w:eastAsia="Palatino Linotype" w:hAnsi="Palatino Linotype" w:cs="Palatino Linotype"/>
          <w:sz w:val="22"/>
          <w:szCs w:val="22"/>
        </w:rPr>
        <w:t xml:space="preserve"> el expediente relativo al recurso de revisión </w:t>
      </w:r>
      <w:r w:rsidRPr="005D02EA">
        <w:rPr>
          <w:rFonts w:ascii="Palatino Linotype" w:eastAsia="Palatino Linotype" w:hAnsi="Palatino Linotype" w:cs="Palatino Linotype"/>
          <w:b/>
          <w:sz w:val="22"/>
          <w:szCs w:val="22"/>
        </w:rPr>
        <w:t>02864/INFOEM/IP/RR/2025</w:t>
      </w:r>
      <w:r w:rsidRPr="005D02EA">
        <w:rPr>
          <w:rFonts w:ascii="Palatino Linotype" w:eastAsia="Palatino Linotype" w:hAnsi="Palatino Linotype" w:cs="Palatino Linotype"/>
          <w:sz w:val="22"/>
          <w:szCs w:val="22"/>
        </w:rPr>
        <w:t xml:space="preserve">, interpuesto por </w:t>
      </w:r>
      <w:r w:rsidRPr="005D02EA">
        <w:rPr>
          <w:rFonts w:ascii="Palatino Linotype" w:eastAsia="Palatino Linotype" w:hAnsi="Palatino Linotype" w:cs="Palatino Linotype"/>
          <w:b/>
          <w:sz w:val="22"/>
          <w:szCs w:val="22"/>
        </w:rPr>
        <w:t xml:space="preserve">un particular que no proporcionó nombre o seudónimo para ser identificado, </w:t>
      </w:r>
      <w:r w:rsidRPr="005D02EA">
        <w:rPr>
          <w:rFonts w:ascii="Palatino Linotype" w:eastAsia="Palatino Linotype" w:hAnsi="Palatino Linotype" w:cs="Palatino Linotype"/>
          <w:sz w:val="22"/>
          <w:szCs w:val="22"/>
        </w:rPr>
        <w:t>en lo sucesivo se le denominará la parte</w:t>
      </w:r>
      <w:r w:rsidRPr="005D02EA">
        <w:rPr>
          <w:rFonts w:ascii="Palatino Linotype" w:eastAsia="Palatino Linotype" w:hAnsi="Palatino Linotype" w:cs="Palatino Linotype"/>
          <w:b/>
          <w:sz w:val="22"/>
          <w:szCs w:val="22"/>
        </w:rPr>
        <w:t xml:space="preserve"> Recurrente</w:t>
      </w:r>
      <w:r w:rsidRPr="005D02EA">
        <w:rPr>
          <w:rFonts w:ascii="Palatino Linotype" w:eastAsia="Palatino Linotype" w:hAnsi="Palatino Linotype" w:cs="Palatino Linotype"/>
          <w:sz w:val="22"/>
          <w:szCs w:val="22"/>
        </w:rPr>
        <w:t>, en contra de la respuesta a su solicitud de información con número de folio</w:t>
      </w:r>
      <w:r w:rsidRPr="005D02EA">
        <w:rPr>
          <w:rFonts w:ascii="Palatino Linotype" w:eastAsia="Palatino Linotype" w:hAnsi="Palatino Linotype" w:cs="Palatino Linotype"/>
          <w:b/>
          <w:sz w:val="22"/>
          <w:szCs w:val="22"/>
        </w:rPr>
        <w:t xml:space="preserve"> 00790/TOLUCA/IP/2025</w:t>
      </w:r>
      <w:r w:rsidRPr="005D02EA">
        <w:rPr>
          <w:rFonts w:ascii="Palatino Linotype" w:eastAsia="Palatino Linotype" w:hAnsi="Palatino Linotype" w:cs="Palatino Linotype"/>
          <w:sz w:val="22"/>
          <w:szCs w:val="22"/>
        </w:rPr>
        <w:t xml:space="preserve">, por parte del </w:t>
      </w:r>
      <w:r w:rsidRPr="005D02EA">
        <w:rPr>
          <w:rFonts w:ascii="Palatino Linotype" w:eastAsia="Palatino Linotype" w:hAnsi="Palatino Linotype" w:cs="Palatino Linotype"/>
          <w:b/>
          <w:sz w:val="22"/>
          <w:szCs w:val="22"/>
        </w:rPr>
        <w:t xml:space="preserve">Ayuntamiento de Toluca </w:t>
      </w:r>
      <w:r w:rsidRPr="005D02EA">
        <w:rPr>
          <w:rFonts w:ascii="Palatino Linotype" w:eastAsia="Palatino Linotype" w:hAnsi="Palatino Linotype" w:cs="Palatino Linotype"/>
          <w:sz w:val="22"/>
          <w:szCs w:val="22"/>
        </w:rPr>
        <w:t xml:space="preserve">en lo sucesivo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w:t>
      </w:r>
      <w:r w:rsidRPr="005D02EA">
        <w:rPr>
          <w:rFonts w:ascii="Palatino Linotype" w:eastAsia="Palatino Linotype" w:hAnsi="Palatino Linotype" w:cs="Palatino Linotype"/>
          <w:b/>
          <w:sz w:val="22"/>
          <w:szCs w:val="22"/>
        </w:rPr>
        <w:t xml:space="preserve"> </w:t>
      </w:r>
      <w:r w:rsidRPr="005D02EA">
        <w:rPr>
          <w:rFonts w:ascii="Palatino Linotype" w:eastAsia="Palatino Linotype" w:hAnsi="Palatino Linotype" w:cs="Palatino Linotype"/>
          <w:sz w:val="22"/>
          <w:szCs w:val="22"/>
        </w:rPr>
        <w:t>se procede a dictar la presente resolución, con base en los siguientes:</w:t>
      </w:r>
    </w:p>
    <w:p w14:paraId="633E8FF4" w14:textId="77777777" w:rsidR="00D43543" w:rsidRPr="005D02EA" w:rsidRDefault="00D9591D">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5D02EA">
        <w:rPr>
          <w:rFonts w:ascii="Palatino Linotype" w:eastAsia="Palatino Linotype" w:hAnsi="Palatino Linotype" w:cs="Palatino Linotype"/>
          <w:b/>
          <w:sz w:val="22"/>
          <w:szCs w:val="22"/>
        </w:rPr>
        <w:t>A N T E C E D E N T E S:</w:t>
      </w:r>
    </w:p>
    <w:p w14:paraId="72256E56" w14:textId="77777777" w:rsidR="00D43543" w:rsidRPr="005D02EA" w:rsidRDefault="00D4354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106CC42" w14:textId="77777777" w:rsidR="00D43543" w:rsidRPr="005D02EA" w:rsidRDefault="00D9591D">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5D02EA">
        <w:rPr>
          <w:rFonts w:ascii="Palatino Linotype" w:eastAsia="Palatino Linotype" w:hAnsi="Palatino Linotype" w:cs="Palatino Linotype"/>
          <w:b/>
          <w:sz w:val="22"/>
          <w:szCs w:val="22"/>
        </w:rPr>
        <w:t xml:space="preserve">Solicitud de acceso a la información. </w:t>
      </w:r>
      <w:r w:rsidRPr="005D02EA">
        <w:rPr>
          <w:rFonts w:ascii="Palatino Linotype" w:eastAsia="Palatino Linotype" w:hAnsi="Palatino Linotype" w:cs="Palatino Linotype"/>
          <w:sz w:val="22"/>
          <w:szCs w:val="22"/>
        </w:rPr>
        <w:t xml:space="preserve">Con fecha </w:t>
      </w:r>
      <w:r w:rsidRPr="005D02EA">
        <w:rPr>
          <w:rFonts w:ascii="Palatino Linotype" w:eastAsia="Palatino Linotype" w:hAnsi="Palatino Linotype" w:cs="Palatino Linotype"/>
          <w:b/>
          <w:sz w:val="22"/>
          <w:szCs w:val="22"/>
        </w:rPr>
        <w:t>diez de febrero de dos mil veinticinco</w:t>
      </w:r>
      <w:r w:rsidRPr="005D02EA">
        <w:rPr>
          <w:rFonts w:ascii="Palatino Linotype" w:eastAsia="Palatino Linotype" w:hAnsi="Palatino Linotype" w:cs="Palatino Linotype"/>
          <w:sz w:val="22"/>
          <w:szCs w:val="22"/>
        </w:rPr>
        <w:t xml:space="preserve">, la parte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xml:space="preserve"> formuló solicitud de acceso a información pública al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a través del Sistema de Acceso a la Información Mexiquense, en adelante </w:t>
      </w:r>
      <w:r w:rsidRPr="005D02EA">
        <w:rPr>
          <w:rFonts w:ascii="Palatino Linotype" w:eastAsia="Palatino Linotype" w:hAnsi="Palatino Linotype" w:cs="Palatino Linotype"/>
          <w:b/>
          <w:sz w:val="22"/>
          <w:szCs w:val="22"/>
        </w:rPr>
        <w:t>SAIMEX</w:t>
      </w:r>
      <w:r w:rsidRPr="005D02EA">
        <w:rPr>
          <w:rFonts w:ascii="Palatino Linotype" w:eastAsia="Palatino Linotype" w:hAnsi="Palatino Linotype" w:cs="Palatino Linotype"/>
          <w:sz w:val="22"/>
          <w:szCs w:val="22"/>
        </w:rPr>
        <w:t>, requiriéndole lo siguiente:</w:t>
      </w:r>
    </w:p>
    <w:p w14:paraId="7866847E" w14:textId="77777777" w:rsidR="00D43543" w:rsidRPr="005D02EA" w:rsidRDefault="00D43543">
      <w:pPr>
        <w:ind w:left="851" w:right="616"/>
        <w:jc w:val="both"/>
        <w:rPr>
          <w:rFonts w:ascii="Palatino Linotype" w:eastAsia="Palatino Linotype" w:hAnsi="Palatino Linotype" w:cs="Palatino Linotype"/>
          <w:i/>
          <w:sz w:val="22"/>
          <w:szCs w:val="22"/>
        </w:rPr>
      </w:pPr>
    </w:p>
    <w:p w14:paraId="0FF5D109" w14:textId="77777777" w:rsidR="00D43543" w:rsidRPr="005D02EA" w:rsidRDefault="00D9591D">
      <w:pPr>
        <w:ind w:left="851" w:right="616"/>
        <w:jc w:val="both"/>
        <w:rPr>
          <w:rFonts w:ascii="Palatino Linotype" w:eastAsia="Palatino Linotype" w:hAnsi="Palatino Linotype" w:cs="Palatino Linotype"/>
          <w:b/>
          <w:i/>
          <w:sz w:val="22"/>
          <w:szCs w:val="22"/>
        </w:rPr>
      </w:pPr>
      <w:r w:rsidRPr="005D02EA">
        <w:rPr>
          <w:rFonts w:ascii="Palatino Linotype" w:eastAsia="Palatino Linotype" w:hAnsi="Palatino Linotype" w:cs="Palatino Linotype"/>
          <w:i/>
          <w:sz w:val="22"/>
          <w:szCs w:val="22"/>
        </w:rPr>
        <w:t xml:space="preserve">“Los escritos, </w:t>
      </w:r>
      <w:proofErr w:type="spellStart"/>
      <w:r w:rsidRPr="005D02EA">
        <w:rPr>
          <w:rFonts w:ascii="Palatino Linotype" w:eastAsia="Palatino Linotype" w:hAnsi="Palatino Linotype" w:cs="Palatino Linotype"/>
          <w:i/>
          <w:sz w:val="22"/>
          <w:szCs w:val="22"/>
        </w:rPr>
        <w:t>memeos</w:t>
      </w:r>
      <w:proofErr w:type="spellEnd"/>
      <w:r w:rsidRPr="005D02EA">
        <w:rPr>
          <w:rFonts w:ascii="Palatino Linotype" w:eastAsia="Palatino Linotype" w:hAnsi="Palatino Linotype" w:cs="Palatino Linotype"/>
          <w:i/>
          <w:sz w:val="22"/>
          <w:szCs w:val="22"/>
        </w:rPr>
        <w:t xml:space="preserve"> y oficina firmados por el </w:t>
      </w:r>
      <w:proofErr w:type="gramStart"/>
      <w:r w:rsidRPr="005D02EA">
        <w:rPr>
          <w:rFonts w:ascii="Palatino Linotype" w:eastAsia="Palatino Linotype" w:hAnsi="Palatino Linotype" w:cs="Palatino Linotype"/>
          <w:i/>
          <w:sz w:val="22"/>
          <w:szCs w:val="22"/>
        </w:rPr>
        <w:t>Director General</w:t>
      </w:r>
      <w:proofErr w:type="gramEnd"/>
      <w:r w:rsidRPr="005D02EA">
        <w:rPr>
          <w:rFonts w:ascii="Palatino Linotype" w:eastAsia="Palatino Linotype" w:hAnsi="Palatino Linotype" w:cs="Palatino Linotype"/>
          <w:i/>
          <w:sz w:val="22"/>
          <w:szCs w:val="22"/>
        </w:rPr>
        <w:t xml:space="preserve"> de Seguridad Pública.”</w:t>
      </w:r>
    </w:p>
    <w:p w14:paraId="28DBE1BD" w14:textId="77777777" w:rsidR="00783DB2" w:rsidRPr="005D02EA" w:rsidRDefault="00783DB2">
      <w:pPr>
        <w:spacing w:line="360" w:lineRule="auto"/>
        <w:jc w:val="both"/>
        <w:rPr>
          <w:rFonts w:ascii="Palatino Linotype" w:eastAsia="Palatino Linotype" w:hAnsi="Palatino Linotype" w:cs="Palatino Linotype"/>
          <w:b/>
          <w:sz w:val="22"/>
          <w:szCs w:val="22"/>
        </w:rPr>
      </w:pPr>
    </w:p>
    <w:p w14:paraId="6460F21A" w14:textId="03BDF13A"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Modalidad elegida para la entrega de la información: </w:t>
      </w:r>
      <w:r w:rsidRPr="005D02EA">
        <w:rPr>
          <w:rFonts w:ascii="Palatino Linotype" w:eastAsia="Palatino Linotype" w:hAnsi="Palatino Linotype" w:cs="Palatino Linotype"/>
          <w:sz w:val="22"/>
          <w:szCs w:val="22"/>
        </w:rPr>
        <w:t xml:space="preserve">a través del Sistema de Acceso a la Información Mexiquense. </w:t>
      </w:r>
    </w:p>
    <w:p w14:paraId="7634B33F"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5ECD75FD" w14:textId="77777777" w:rsidR="00D43543" w:rsidRPr="005D02EA" w:rsidRDefault="00D9591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Respuesta. </w:t>
      </w:r>
      <w:r w:rsidRPr="005D02EA">
        <w:rPr>
          <w:rFonts w:ascii="Palatino Linotype" w:eastAsia="Palatino Linotype" w:hAnsi="Palatino Linotype" w:cs="Palatino Linotype"/>
          <w:sz w:val="22"/>
          <w:szCs w:val="22"/>
        </w:rPr>
        <w:t xml:space="preserve">Con fecha </w:t>
      </w:r>
      <w:r w:rsidRPr="005D02EA">
        <w:rPr>
          <w:rFonts w:ascii="Palatino Linotype" w:eastAsia="Palatino Linotype" w:hAnsi="Palatino Linotype" w:cs="Palatino Linotype"/>
          <w:b/>
          <w:sz w:val="22"/>
          <w:szCs w:val="22"/>
        </w:rPr>
        <w:t>cinco de marzo de dos mil veinticinco</w:t>
      </w:r>
      <w:r w:rsidRPr="005D02EA">
        <w:rPr>
          <w:rFonts w:ascii="Palatino Linotype" w:eastAsia="Palatino Linotype" w:hAnsi="Palatino Linotype" w:cs="Palatino Linotype"/>
          <w:sz w:val="22"/>
          <w:szCs w:val="22"/>
        </w:rPr>
        <w:t xml:space="preserve">,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0B345FBA" w14:textId="77777777" w:rsidR="00D43543" w:rsidRPr="005D02EA" w:rsidRDefault="00D43543">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73491CDD" w14:textId="77777777" w:rsidR="00D43543" w:rsidRPr="005D02EA" w:rsidRDefault="00D9591D">
      <w:pPr>
        <w:tabs>
          <w:tab w:val="left" w:pos="7371"/>
        </w:tabs>
        <w:ind w:left="851" w:right="616"/>
        <w:jc w:val="both"/>
        <w:rPr>
          <w:rFonts w:ascii="Palatino Linotype" w:eastAsia="Palatino Linotype" w:hAnsi="Palatino Linotype" w:cs="Palatino Linotype"/>
          <w:i/>
          <w:sz w:val="22"/>
          <w:szCs w:val="22"/>
        </w:rPr>
      </w:pPr>
      <w:proofErr w:type="gramStart"/>
      <w:r w:rsidRPr="005D02EA">
        <w:rPr>
          <w:rFonts w:ascii="Palatino Linotype" w:eastAsia="Palatino Linotype" w:hAnsi="Palatino Linotype" w:cs="Palatino Linotype"/>
          <w:i/>
          <w:sz w:val="22"/>
          <w:szCs w:val="22"/>
        </w:rPr>
        <w:lastRenderedPageBreak/>
        <w:t>”En</w:t>
      </w:r>
      <w:proofErr w:type="gramEnd"/>
      <w:r w:rsidRPr="005D02EA">
        <w:rPr>
          <w:rFonts w:ascii="Palatino Linotype" w:eastAsia="Palatino Linotype" w:hAnsi="Palatino Linotype" w:cs="Palatino Linotype"/>
          <w:i/>
          <w:sz w:val="22"/>
          <w:szCs w:val="22"/>
        </w:rPr>
        <w:t xml:space="preserve"> respuesta a la solicitud recibida, nos permitimos hacer de su conocimiento que con fundamento en el artículo 53, Fracciones: II, V y VI de la Ley de Transparencia y Acceso a la Información Pública del Estado de México y Municipios, le contestamos que:</w:t>
      </w:r>
    </w:p>
    <w:p w14:paraId="56E53043" w14:textId="77777777" w:rsidR="00D43543" w:rsidRPr="005D02EA" w:rsidRDefault="00D9591D">
      <w:pPr>
        <w:tabs>
          <w:tab w:val="left" w:pos="7371"/>
        </w:tabs>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En atención a la solicitud con folio 0790/TOLUCA/IP/2025, me permito adjuntar al presente la respuesta correspondiente. Sin más por el momento, reciba un saludo.</w:t>
      </w:r>
    </w:p>
    <w:p w14:paraId="31795C6C" w14:textId="77777777" w:rsidR="00D43543" w:rsidRPr="005D02EA" w:rsidRDefault="00D43543">
      <w:pPr>
        <w:tabs>
          <w:tab w:val="left" w:pos="7371"/>
        </w:tabs>
        <w:ind w:left="851" w:right="616"/>
        <w:jc w:val="both"/>
        <w:rPr>
          <w:rFonts w:ascii="Palatino Linotype" w:eastAsia="Palatino Linotype" w:hAnsi="Palatino Linotype" w:cs="Palatino Linotype"/>
          <w:i/>
          <w:sz w:val="22"/>
          <w:szCs w:val="22"/>
        </w:rPr>
      </w:pPr>
    </w:p>
    <w:p w14:paraId="17DB6C29" w14:textId="77777777" w:rsidR="00D43543" w:rsidRPr="005D02EA" w:rsidRDefault="00D9591D">
      <w:pPr>
        <w:tabs>
          <w:tab w:val="left" w:pos="7371"/>
        </w:tabs>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ATENTAMENTE</w:t>
      </w:r>
    </w:p>
    <w:p w14:paraId="57D11AF6" w14:textId="77777777" w:rsidR="00D43543" w:rsidRPr="005D02EA" w:rsidRDefault="00D9591D">
      <w:pPr>
        <w:tabs>
          <w:tab w:val="left" w:pos="7371"/>
        </w:tabs>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Dr. Nahum Miguel Mendoza Morales.”</w:t>
      </w:r>
    </w:p>
    <w:p w14:paraId="0C0446CE" w14:textId="77777777" w:rsidR="00D43543" w:rsidRPr="005D02EA" w:rsidRDefault="00D43543">
      <w:pPr>
        <w:spacing w:line="360" w:lineRule="auto"/>
        <w:ind w:right="49"/>
        <w:jc w:val="both"/>
        <w:rPr>
          <w:rFonts w:ascii="Palatino Linotype" w:eastAsia="Palatino Linotype" w:hAnsi="Palatino Linotype" w:cs="Palatino Linotype"/>
          <w:sz w:val="22"/>
          <w:szCs w:val="22"/>
        </w:rPr>
      </w:pPr>
    </w:p>
    <w:p w14:paraId="1B1D14D8" w14:textId="77777777" w:rsidR="00D43543" w:rsidRPr="005D02EA" w:rsidRDefault="00D9591D">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Del mismo modo,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adjuntó a su respuesta lo siguiente: </w:t>
      </w:r>
    </w:p>
    <w:p w14:paraId="45B56B4D" w14:textId="77777777" w:rsidR="00D43543" w:rsidRPr="005D02EA" w:rsidRDefault="00D43543">
      <w:pPr>
        <w:spacing w:line="360" w:lineRule="auto"/>
        <w:ind w:right="49"/>
        <w:jc w:val="both"/>
        <w:rPr>
          <w:rFonts w:ascii="Palatino Linotype" w:eastAsia="Palatino Linotype" w:hAnsi="Palatino Linotype" w:cs="Palatino Linotype"/>
          <w:sz w:val="22"/>
          <w:szCs w:val="22"/>
        </w:rPr>
      </w:pPr>
    </w:p>
    <w:p w14:paraId="5BE231BA" w14:textId="77777777" w:rsidR="00D43543" w:rsidRPr="005D02EA" w:rsidRDefault="00D9591D">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rPr>
        <w:t>ACTA CENTÉSIMA OCTOGÉSIMA SESIÓN EXTRAORDINARIA 2025.pdf</w:t>
      </w:r>
      <w:r w:rsidRPr="005D02EA">
        <w:rPr>
          <w:rFonts w:ascii="Palatino Linotype" w:eastAsia="Palatino Linotype" w:hAnsi="Palatino Linotype" w:cs="Palatino Linotype"/>
          <w:sz w:val="22"/>
          <w:szCs w:val="22"/>
        </w:rPr>
        <w:t>: Acta de la Centésima Octogésima Sesión Extraordinaria del Comité de Transparencia del Municipio de Toluca, de fecha veintiocho de febrero de dos mil veinticinco, en la que se aprobó la clasificación como información reservada en su totalidad, por un periodo de 3 años, de la información contenida en oficios firmados por el Director General de seguridad y Protección, para dar respuesta a la Solicitud de Información número 00790/TOLUCA/IP/2025, con fundamento en los artículos 54 de la Ley de Seguridad Nacional; 110 de la Ley General del Sistema Nacional de Seguridad Pública; 27 у 81 fracciones I, II y III de la Ley de Seguridad del Estado de México; 6, 76, 77, 78 у 79 de la Ley de Protección de Datos Personales en Posesión de Sujetos Obligados del Estado de México; 140 fracciones IV, VI, VIII, IX, X y XI y demás aplicables de la Ley de Transparencia y Acceso a la Información Pública del Estado de México y Municipios.</w:t>
      </w:r>
    </w:p>
    <w:p w14:paraId="0F9A94B9" w14:textId="77777777" w:rsidR="00D43543" w:rsidRPr="005D02EA" w:rsidRDefault="00D9591D">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rPr>
        <w:t>RESPUESTA 790. 2025.pdf</w:t>
      </w:r>
      <w:r w:rsidRPr="005D02EA">
        <w:rPr>
          <w:rFonts w:ascii="Palatino Linotype" w:eastAsia="Palatino Linotype" w:hAnsi="Palatino Linotype" w:cs="Palatino Linotype"/>
          <w:sz w:val="22"/>
          <w:szCs w:val="22"/>
        </w:rPr>
        <w:t>: Oficio de fecha cuatro de marzo de dos mil veinticinco, mediante el cual la Dirección General de Seguridad y Protección Ciudadana informó que la información solicitada, fue Clasificada como reservada, por el Comité de Transparencia, recayendo el acuerdo CT/SE/180/02/2025, en el Acta de la sesión Centésima Octogésima, de fecha veintiocho de febrero de dos mil veinticinco.</w:t>
      </w:r>
    </w:p>
    <w:p w14:paraId="3848431E" w14:textId="77777777" w:rsidR="00D43543" w:rsidRPr="005D02EA" w:rsidRDefault="00D43543">
      <w:pPr>
        <w:pBdr>
          <w:top w:val="nil"/>
          <w:left w:val="nil"/>
          <w:bottom w:val="nil"/>
          <w:right w:val="nil"/>
          <w:between w:val="nil"/>
        </w:pBdr>
        <w:spacing w:line="360" w:lineRule="auto"/>
        <w:ind w:left="720" w:right="616"/>
        <w:jc w:val="both"/>
        <w:rPr>
          <w:rFonts w:ascii="Palatino Linotype" w:eastAsia="Palatino Linotype" w:hAnsi="Palatino Linotype" w:cs="Palatino Linotype"/>
          <w:sz w:val="22"/>
          <w:szCs w:val="22"/>
        </w:rPr>
      </w:pPr>
    </w:p>
    <w:p w14:paraId="47439B6F" w14:textId="77777777" w:rsidR="00D43543" w:rsidRPr="005D02EA" w:rsidRDefault="00D9591D">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Interposición del recurso de revisión. </w:t>
      </w:r>
      <w:r w:rsidRPr="005D02EA">
        <w:rPr>
          <w:rFonts w:ascii="Palatino Linotype" w:eastAsia="Palatino Linotype" w:hAnsi="Palatino Linotype" w:cs="Palatino Linotype"/>
          <w:sz w:val="22"/>
          <w:szCs w:val="22"/>
        </w:rPr>
        <w:t xml:space="preserve">Inconforme con la respuesta del </w:t>
      </w:r>
      <w:r w:rsidRPr="005D02EA">
        <w:rPr>
          <w:rFonts w:ascii="Palatino Linotype" w:eastAsia="Palatino Linotype" w:hAnsi="Palatino Linotype" w:cs="Palatino Linotype"/>
          <w:b/>
          <w:sz w:val="22"/>
          <w:szCs w:val="22"/>
        </w:rPr>
        <w:t xml:space="preserve">Sujeto Obligado </w:t>
      </w:r>
      <w:r w:rsidRPr="005D02EA">
        <w:rPr>
          <w:rFonts w:ascii="Palatino Linotype" w:eastAsia="Palatino Linotype" w:hAnsi="Palatino Linotype" w:cs="Palatino Linotype"/>
          <w:sz w:val="22"/>
          <w:szCs w:val="22"/>
        </w:rPr>
        <w:t>la parte</w:t>
      </w:r>
      <w:r w:rsidRPr="005D02EA">
        <w:rPr>
          <w:rFonts w:ascii="Palatino Linotype" w:eastAsia="Palatino Linotype" w:hAnsi="Palatino Linotype" w:cs="Palatino Linotype"/>
          <w:b/>
          <w:sz w:val="22"/>
          <w:szCs w:val="22"/>
        </w:rPr>
        <w:t xml:space="preserve"> Recurrente</w:t>
      </w:r>
      <w:r w:rsidRPr="005D02EA">
        <w:rPr>
          <w:rFonts w:ascii="Palatino Linotype" w:eastAsia="Palatino Linotype" w:hAnsi="Palatino Linotype" w:cs="Palatino Linotype"/>
          <w:sz w:val="22"/>
          <w:szCs w:val="22"/>
        </w:rPr>
        <w:t xml:space="preserve"> interpuso recurso de revisión a través del SAIMEX en fecha </w:t>
      </w:r>
      <w:r w:rsidRPr="005D02EA">
        <w:rPr>
          <w:rFonts w:ascii="Palatino Linotype" w:eastAsia="Palatino Linotype" w:hAnsi="Palatino Linotype" w:cs="Palatino Linotype"/>
          <w:b/>
          <w:sz w:val="22"/>
          <w:szCs w:val="22"/>
        </w:rPr>
        <w:t>doce de marzo de dos mil veinticinco</w:t>
      </w:r>
      <w:r w:rsidRPr="005D02EA">
        <w:rPr>
          <w:rFonts w:ascii="Palatino Linotype" w:eastAsia="Palatino Linotype" w:hAnsi="Palatino Linotype" w:cs="Palatino Linotype"/>
          <w:sz w:val="22"/>
          <w:szCs w:val="22"/>
        </w:rPr>
        <w:t>, a través del cual expresó lo siguiente:</w:t>
      </w:r>
    </w:p>
    <w:p w14:paraId="07AEBA62" w14:textId="77777777" w:rsidR="00D43543" w:rsidRPr="005D02EA" w:rsidRDefault="00D43543">
      <w:pPr>
        <w:ind w:left="851" w:right="616"/>
        <w:jc w:val="both"/>
        <w:rPr>
          <w:rFonts w:ascii="Palatino Linotype" w:eastAsia="Palatino Linotype" w:hAnsi="Palatino Linotype" w:cs="Palatino Linotype"/>
          <w:b/>
          <w:sz w:val="22"/>
          <w:szCs w:val="22"/>
        </w:rPr>
      </w:pPr>
    </w:p>
    <w:p w14:paraId="5530F8E6"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sz w:val="22"/>
          <w:szCs w:val="22"/>
        </w:rPr>
        <w:t xml:space="preserve">Acto impugnado. </w:t>
      </w:r>
      <w:r w:rsidRPr="005D02EA">
        <w:rPr>
          <w:rFonts w:ascii="Palatino Linotype" w:eastAsia="Palatino Linotype" w:hAnsi="Palatino Linotype" w:cs="Palatino Linotype"/>
          <w:i/>
          <w:sz w:val="22"/>
          <w:szCs w:val="22"/>
        </w:rPr>
        <w:t xml:space="preserve">“La reserva infundada de los documentos.” </w:t>
      </w:r>
    </w:p>
    <w:p w14:paraId="52C96B57" w14:textId="77777777" w:rsidR="00D43543" w:rsidRPr="005D02EA" w:rsidRDefault="00D43543">
      <w:pPr>
        <w:spacing w:line="276" w:lineRule="auto"/>
        <w:ind w:left="851" w:right="616"/>
        <w:rPr>
          <w:rFonts w:ascii="Palatino Linotype" w:eastAsia="Palatino Linotype" w:hAnsi="Palatino Linotype" w:cs="Palatino Linotype"/>
          <w:sz w:val="22"/>
          <w:szCs w:val="22"/>
        </w:rPr>
      </w:pPr>
    </w:p>
    <w:p w14:paraId="1427D601" w14:textId="77777777" w:rsidR="00D43543" w:rsidRPr="005D02EA" w:rsidRDefault="00D9591D">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5D02EA">
        <w:rPr>
          <w:rFonts w:ascii="Palatino Linotype" w:eastAsia="Palatino Linotype" w:hAnsi="Palatino Linotype" w:cs="Palatino Linotype"/>
          <w:b/>
          <w:sz w:val="22"/>
          <w:szCs w:val="22"/>
        </w:rPr>
        <w:t xml:space="preserve">Motivos de inconformidad. </w:t>
      </w:r>
      <w:r w:rsidRPr="005D02EA">
        <w:rPr>
          <w:rFonts w:ascii="Palatino Linotype" w:eastAsia="Palatino Linotype" w:hAnsi="Palatino Linotype" w:cs="Palatino Linotype"/>
          <w:i/>
          <w:sz w:val="22"/>
          <w:szCs w:val="22"/>
        </w:rPr>
        <w:t xml:space="preserve">“La negativa de la información argumentando qué es reservada no </w:t>
      </w:r>
      <w:proofErr w:type="spellStart"/>
      <w:r w:rsidRPr="005D02EA">
        <w:rPr>
          <w:rFonts w:ascii="Palatino Linotype" w:eastAsia="Palatino Linotype" w:hAnsi="Palatino Linotype" w:cs="Palatino Linotype"/>
          <w:i/>
          <w:sz w:val="22"/>
          <w:szCs w:val="22"/>
        </w:rPr>
        <w:t>esta</w:t>
      </w:r>
      <w:proofErr w:type="spellEnd"/>
      <w:r w:rsidRPr="005D02EA">
        <w:rPr>
          <w:rFonts w:ascii="Palatino Linotype" w:eastAsia="Palatino Linotype" w:hAnsi="Palatino Linotype" w:cs="Palatino Linotype"/>
          <w:i/>
          <w:sz w:val="22"/>
          <w:szCs w:val="22"/>
        </w:rPr>
        <w:t xml:space="preserve"> fundado si son públicos”</w:t>
      </w:r>
    </w:p>
    <w:p w14:paraId="57499F55" w14:textId="77777777" w:rsidR="00D43543" w:rsidRPr="005D02EA" w:rsidRDefault="00D43543">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3E7257D8" w14:textId="77777777" w:rsidR="00D43543" w:rsidRPr="005D02EA" w:rsidRDefault="00D9591D">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Turno. </w:t>
      </w:r>
      <w:r w:rsidRPr="005D02E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5D02EA">
        <w:rPr>
          <w:rFonts w:ascii="Palatino Linotype" w:eastAsia="Palatino Linotype" w:hAnsi="Palatino Linotype" w:cs="Palatino Linotype"/>
          <w:b/>
          <w:sz w:val="22"/>
          <w:szCs w:val="22"/>
        </w:rPr>
        <w:t>02864/INFOEM/IP/RR/2025</w:t>
      </w:r>
      <w:r w:rsidRPr="005D02EA">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5D02EA">
        <w:rPr>
          <w:rFonts w:ascii="Palatino Linotype" w:eastAsia="Palatino Linotype" w:hAnsi="Palatino Linotype" w:cs="Palatino Linotype"/>
          <w:b/>
          <w:sz w:val="22"/>
          <w:szCs w:val="22"/>
        </w:rPr>
        <w:t>Guadalupe Ramírez Peña</w:t>
      </w:r>
      <w:r w:rsidRPr="005D02EA">
        <w:rPr>
          <w:rFonts w:ascii="Palatino Linotype" w:eastAsia="Palatino Linotype" w:hAnsi="Palatino Linotype" w:cs="Palatino Linotype"/>
          <w:sz w:val="22"/>
          <w:szCs w:val="22"/>
        </w:rPr>
        <w:t>, para su análisis, estudio, elaboración del proyecto y presentación ante el Pleno de este Instituto.</w:t>
      </w:r>
    </w:p>
    <w:p w14:paraId="43A0DCC0" w14:textId="77777777" w:rsidR="00D43543" w:rsidRPr="005D02EA" w:rsidRDefault="00D435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0D417F14" w14:textId="77777777" w:rsidR="00D43543" w:rsidRPr="005D02EA" w:rsidRDefault="00D9591D">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5D02EA">
        <w:rPr>
          <w:rFonts w:ascii="Palatino Linotype" w:eastAsia="Palatino Linotype" w:hAnsi="Palatino Linotype" w:cs="Palatino Linotype"/>
          <w:b/>
          <w:sz w:val="22"/>
          <w:szCs w:val="22"/>
        </w:rPr>
        <w:t xml:space="preserve">Admisión del recurso de revisión: </w:t>
      </w:r>
      <w:r w:rsidRPr="005D02EA">
        <w:rPr>
          <w:rFonts w:ascii="Palatino Linotype" w:eastAsia="Palatino Linotype" w:hAnsi="Palatino Linotype" w:cs="Palatino Linotype"/>
          <w:sz w:val="22"/>
          <w:szCs w:val="22"/>
        </w:rPr>
        <w:t xml:space="preserve">En fecha </w:t>
      </w:r>
      <w:r w:rsidRPr="005D02EA">
        <w:rPr>
          <w:rFonts w:ascii="Palatino Linotype" w:eastAsia="Palatino Linotype" w:hAnsi="Palatino Linotype" w:cs="Palatino Linotype"/>
          <w:b/>
          <w:sz w:val="22"/>
          <w:szCs w:val="22"/>
        </w:rPr>
        <w:t>dieciocho de marzo de dos mil veinticinco</w:t>
      </w:r>
      <w:r w:rsidRPr="005D02EA">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presentara su informe justificado.</w:t>
      </w:r>
    </w:p>
    <w:p w14:paraId="24B4E720" w14:textId="77777777" w:rsidR="00D43543" w:rsidRPr="005D02EA" w:rsidRDefault="00D435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B138DB1" w14:textId="1FCA9B50" w:rsidR="00D43543" w:rsidRPr="005D02EA" w:rsidRDefault="00D9591D">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Manifestaciones</w:t>
      </w:r>
      <w:r w:rsidRPr="005D02EA">
        <w:rPr>
          <w:rFonts w:ascii="Palatino Linotype" w:eastAsia="Palatino Linotype" w:hAnsi="Palatino Linotype" w:cs="Palatino Linotype"/>
          <w:sz w:val="22"/>
          <w:szCs w:val="22"/>
        </w:rPr>
        <w:t xml:space="preserve">: De las constancias que obran en el expediente electrónico del </w:t>
      </w:r>
      <w:r w:rsidRPr="005D02EA">
        <w:rPr>
          <w:rFonts w:ascii="Palatino Linotype" w:eastAsia="Palatino Linotype" w:hAnsi="Palatino Linotype" w:cs="Palatino Linotype"/>
          <w:b/>
          <w:sz w:val="22"/>
          <w:szCs w:val="22"/>
        </w:rPr>
        <w:t>SAIMEX</w:t>
      </w:r>
      <w:r w:rsidRPr="005D02EA">
        <w:rPr>
          <w:rFonts w:ascii="Palatino Linotype" w:eastAsia="Palatino Linotype" w:hAnsi="Palatino Linotype" w:cs="Palatino Linotype"/>
          <w:sz w:val="22"/>
          <w:szCs w:val="22"/>
        </w:rPr>
        <w:t xml:space="preserve"> se desprende que en fecha </w:t>
      </w:r>
      <w:r w:rsidRPr="005D02EA">
        <w:rPr>
          <w:rFonts w:ascii="Palatino Linotype" w:eastAsia="Palatino Linotype" w:hAnsi="Palatino Linotype" w:cs="Palatino Linotype"/>
          <w:b/>
          <w:sz w:val="22"/>
          <w:szCs w:val="22"/>
        </w:rPr>
        <w:t>veintisiete de marzo de dos mil veinticinco</w:t>
      </w:r>
      <w:r w:rsidRPr="005D02EA">
        <w:rPr>
          <w:rFonts w:ascii="Palatino Linotype" w:eastAsia="Palatino Linotype" w:hAnsi="Palatino Linotype" w:cs="Palatino Linotype"/>
          <w:sz w:val="22"/>
          <w:szCs w:val="22"/>
        </w:rPr>
        <w:t xml:space="preserve">,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a través del </w:t>
      </w:r>
      <w:proofErr w:type="gramStart"/>
      <w:r w:rsidRPr="005D02EA">
        <w:rPr>
          <w:rFonts w:ascii="Palatino Linotype" w:eastAsia="Palatino Linotype" w:hAnsi="Palatino Linotype" w:cs="Palatino Linotype"/>
          <w:sz w:val="22"/>
          <w:szCs w:val="22"/>
        </w:rPr>
        <w:t>Director General</w:t>
      </w:r>
      <w:proofErr w:type="gramEnd"/>
      <w:r w:rsidRPr="005D02EA">
        <w:rPr>
          <w:rFonts w:ascii="Palatino Linotype" w:eastAsia="Palatino Linotype" w:hAnsi="Palatino Linotype" w:cs="Palatino Linotype"/>
          <w:sz w:val="22"/>
          <w:szCs w:val="22"/>
        </w:rPr>
        <w:t xml:space="preserve"> de Seguridad y Protección, rindió su informe justificado, en el que ratificó en todas y cada una de sus partes la respuesta emitida a la solicitud de información número 00790/TOLUCA/IP/2025. </w:t>
      </w:r>
    </w:p>
    <w:p w14:paraId="482F9BB0" w14:textId="77777777" w:rsidR="00D43543" w:rsidRPr="005D02EA" w:rsidRDefault="00D43543">
      <w:pPr>
        <w:pBdr>
          <w:top w:val="nil"/>
          <w:left w:val="nil"/>
          <w:bottom w:val="nil"/>
          <w:right w:val="nil"/>
          <w:between w:val="nil"/>
        </w:pBdr>
        <w:tabs>
          <w:tab w:val="left" w:pos="284"/>
        </w:tabs>
        <w:spacing w:line="360" w:lineRule="auto"/>
        <w:ind w:left="1440"/>
        <w:jc w:val="both"/>
        <w:rPr>
          <w:rFonts w:ascii="Palatino Linotype" w:eastAsia="Palatino Linotype" w:hAnsi="Palatino Linotype" w:cs="Palatino Linotype"/>
          <w:sz w:val="22"/>
          <w:szCs w:val="22"/>
        </w:rPr>
      </w:pPr>
    </w:p>
    <w:p w14:paraId="6574875A" w14:textId="761388C6" w:rsidR="00D43543" w:rsidRPr="005D02EA" w:rsidRDefault="00D9591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Por su parte, el ahora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xml:space="preserve"> omitió realizar manifestaciones que a su derecho resultaran convenientes.</w:t>
      </w:r>
    </w:p>
    <w:p w14:paraId="6673166A" w14:textId="682FDA1D" w:rsidR="00783DB2" w:rsidRPr="005D02EA" w:rsidRDefault="00783DB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ADCC200" w14:textId="37A273DA" w:rsidR="001D0BB1" w:rsidRPr="005D02EA" w:rsidRDefault="001D0BB1" w:rsidP="001D0BB1">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7. Ampliación de plazo:</w:t>
      </w:r>
      <w:r w:rsidRPr="005D02EA">
        <w:rPr>
          <w:rFonts w:ascii="Palatino Linotype" w:eastAsia="Palatino Linotype" w:hAnsi="Palatino Linotype" w:cs="Palatino Linotype"/>
          <w:sz w:val="22"/>
          <w:szCs w:val="22"/>
        </w:rPr>
        <w:t xml:space="preserve"> El</w:t>
      </w:r>
      <w:r w:rsidRPr="005D02EA">
        <w:rPr>
          <w:rFonts w:ascii="Palatino Linotype" w:eastAsia="Palatino Linotype" w:hAnsi="Palatino Linotype" w:cs="Palatino Linotype"/>
          <w:b/>
          <w:sz w:val="22"/>
          <w:szCs w:val="22"/>
        </w:rPr>
        <w:t xml:space="preserve"> quince de mayo de dos mil veinticinco</w:t>
      </w:r>
      <w:r w:rsidRPr="005D02EA">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20B326B"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p>
    <w:p w14:paraId="329A2A75" w14:textId="77777777" w:rsidR="001D0BB1" w:rsidRPr="005D02EA" w:rsidRDefault="001D0BB1" w:rsidP="001D0BB1">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F5BA072"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 </w:t>
      </w:r>
    </w:p>
    <w:p w14:paraId="59271C5D"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C780BA7"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 </w:t>
      </w:r>
    </w:p>
    <w:p w14:paraId="3463E6C7"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99235A"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p>
    <w:p w14:paraId="48EE2357"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w:t>
      </w:r>
      <w:r w:rsidRPr="005D02EA">
        <w:rPr>
          <w:rFonts w:ascii="Palatino Linotype" w:eastAsia="Palatino Linotype" w:hAnsi="Palatino Linotype" w:cs="Palatino Linotype"/>
          <w:sz w:val="22"/>
          <w:szCs w:val="22"/>
        </w:rPr>
        <w:lastRenderedPageBreak/>
        <w:t>jurisdiccionales o cuasi jurisdiccionales, tanto por la complejidad de los hechos, como por el número de casos que conocen.</w:t>
      </w:r>
    </w:p>
    <w:p w14:paraId="72CE8CF4"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p>
    <w:p w14:paraId="7902705D"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D9D8636"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p>
    <w:p w14:paraId="4F32AB25" w14:textId="77777777" w:rsidR="001D0BB1" w:rsidRPr="005D02EA" w:rsidRDefault="001D0BB1" w:rsidP="001D0BB1">
      <w:pPr>
        <w:tabs>
          <w:tab w:val="left" w:pos="709"/>
        </w:tabs>
        <w:spacing w:line="360" w:lineRule="auto"/>
        <w:ind w:left="567" w:right="560"/>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a)    Complejidad del asunto:</w:t>
      </w:r>
      <w:r w:rsidRPr="005D02EA">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65DC8913" w14:textId="77777777" w:rsidR="001D0BB1" w:rsidRPr="005D02EA" w:rsidRDefault="001D0BB1" w:rsidP="001D0BB1">
      <w:pPr>
        <w:tabs>
          <w:tab w:val="left" w:pos="709"/>
        </w:tabs>
        <w:spacing w:line="360" w:lineRule="auto"/>
        <w:ind w:left="567" w:right="560"/>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b)   Actividad Procesal del interesado</w:t>
      </w:r>
      <w:r w:rsidRPr="005D02EA">
        <w:rPr>
          <w:rFonts w:ascii="Palatino Linotype" w:eastAsia="Palatino Linotype" w:hAnsi="Palatino Linotype" w:cs="Palatino Linotype"/>
          <w:sz w:val="22"/>
          <w:szCs w:val="22"/>
        </w:rPr>
        <w:t>: Acciones u omisiones del interesado.</w:t>
      </w:r>
    </w:p>
    <w:p w14:paraId="5883878D" w14:textId="77777777" w:rsidR="001D0BB1" w:rsidRPr="005D02EA" w:rsidRDefault="001D0BB1" w:rsidP="001D0BB1">
      <w:pPr>
        <w:tabs>
          <w:tab w:val="left" w:pos="851"/>
        </w:tabs>
        <w:spacing w:line="360" w:lineRule="auto"/>
        <w:ind w:left="567" w:right="560"/>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c)  Conducta de la Autoridad:</w:t>
      </w:r>
      <w:r w:rsidRPr="005D02EA">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8F40A68" w14:textId="77777777" w:rsidR="001D0BB1" w:rsidRPr="005D02EA" w:rsidRDefault="001D0BB1" w:rsidP="001D0BB1">
      <w:pPr>
        <w:tabs>
          <w:tab w:val="left" w:pos="851"/>
        </w:tabs>
        <w:spacing w:line="360" w:lineRule="auto"/>
        <w:ind w:left="567" w:right="560"/>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d) La afectación generada en la situación jurídica de la persona involucrada en el proceso:</w:t>
      </w:r>
      <w:r w:rsidRPr="005D02EA">
        <w:rPr>
          <w:rFonts w:ascii="Palatino Linotype" w:eastAsia="Palatino Linotype" w:hAnsi="Palatino Linotype" w:cs="Palatino Linotype"/>
          <w:sz w:val="22"/>
          <w:szCs w:val="22"/>
        </w:rPr>
        <w:t xml:space="preserve"> Violación a sus derechos humanos.</w:t>
      </w:r>
    </w:p>
    <w:p w14:paraId="55401DFC" w14:textId="77777777" w:rsidR="001D0BB1" w:rsidRPr="005D02EA" w:rsidRDefault="001D0BB1" w:rsidP="001D0BB1">
      <w:pPr>
        <w:tabs>
          <w:tab w:val="left" w:pos="851"/>
        </w:tabs>
        <w:spacing w:line="360" w:lineRule="auto"/>
        <w:ind w:left="567" w:right="560"/>
        <w:jc w:val="both"/>
        <w:rPr>
          <w:rFonts w:ascii="Palatino Linotype" w:eastAsia="Palatino Linotype" w:hAnsi="Palatino Linotype" w:cs="Palatino Linotype"/>
          <w:sz w:val="22"/>
          <w:szCs w:val="22"/>
        </w:rPr>
      </w:pPr>
    </w:p>
    <w:p w14:paraId="17CB1D19"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2805AC"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 </w:t>
      </w:r>
    </w:p>
    <w:p w14:paraId="286E7D2A"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5D02EA">
        <w:rPr>
          <w:rFonts w:ascii="Palatino Linotype" w:eastAsia="Palatino Linotype" w:hAnsi="Palatino Linotype" w:cs="Palatino Linotype"/>
          <w:b/>
          <w:sz w:val="22"/>
          <w:szCs w:val="22"/>
        </w:rPr>
        <w:t xml:space="preserve">TÉRMINOS PROCESALES. PARA DETERMINAR SI UN FUNCIONARIO JUDICIAL ACTUÓ INDEBIDAMENTE POR NO RESPETARLOS SE DEBE ATENDER AL PRESUPUESTO QUE CONSIDERÓ EL </w:t>
      </w:r>
      <w:r w:rsidRPr="005D02EA">
        <w:rPr>
          <w:rFonts w:ascii="Palatino Linotype" w:eastAsia="Palatino Linotype" w:hAnsi="Palatino Linotype" w:cs="Palatino Linotype"/>
          <w:b/>
          <w:sz w:val="22"/>
          <w:szCs w:val="22"/>
        </w:rPr>
        <w:lastRenderedPageBreak/>
        <w:t>LEGISLADOR AL FIJARLOS Y LAS CARACTERÍSTICAS DEL CASO.”</w:t>
      </w:r>
      <w:r w:rsidRPr="005D02EA">
        <w:rPr>
          <w:rFonts w:ascii="Palatino Linotype" w:eastAsia="Palatino Linotype" w:hAnsi="Palatino Linotype" w:cs="Palatino Linotype"/>
          <w:sz w:val="22"/>
          <w:szCs w:val="22"/>
        </w:rPr>
        <w:t>, visible en la Gaceta del Seminario Judicial de la Federación con el registro digital 205635.</w:t>
      </w:r>
    </w:p>
    <w:p w14:paraId="31C47A64"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 </w:t>
      </w:r>
    </w:p>
    <w:p w14:paraId="599828C4"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60CA42"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p>
    <w:p w14:paraId="453C24C3"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F5B1E10" w14:textId="77777777" w:rsidR="001D0BB1" w:rsidRPr="005D02EA" w:rsidRDefault="001D0BB1" w:rsidP="001D0BB1">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 </w:t>
      </w:r>
    </w:p>
    <w:p w14:paraId="559D21C1" w14:textId="77777777" w:rsidR="001D0BB1" w:rsidRPr="005D02EA" w:rsidRDefault="001D0BB1" w:rsidP="001D0BB1">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“PLAZO RAZONABLE PARA RESOLVER. DIMENSIÓN Y EFECTOS DE ESTE CONCEPTO CUANDO SE ADUCE EXCESIVA CARGA DE TRABAJO.”</w:t>
      </w:r>
      <w:r w:rsidRPr="005D02EA">
        <w:rPr>
          <w:rFonts w:ascii="Palatino Linotype" w:eastAsia="Palatino Linotype" w:hAnsi="Palatino Linotype" w:cs="Palatino Linotype"/>
          <w:i/>
          <w:sz w:val="22"/>
          <w:szCs w:val="22"/>
        </w:rPr>
        <w:t xml:space="preserve"> consultable en el Seminario Judicial de la Federación y su gaceta, con el registro digital 2002351.</w:t>
      </w:r>
    </w:p>
    <w:p w14:paraId="0824D012" w14:textId="77777777" w:rsidR="001D0BB1" w:rsidRPr="005D02EA" w:rsidRDefault="001D0BB1" w:rsidP="001D0BB1">
      <w:pPr>
        <w:spacing w:line="276" w:lineRule="auto"/>
        <w:ind w:left="851" w:right="616"/>
        <w:jc w:val="both"/>
        <w:rPr>
          <w:rFonts w:ascii="Palatino Linotype" w:eastAsia="Palatino Linotype" w:hAnsi="Palatino Linotype" w:cs="Palatino Linotype"/>
          <w:i/>
          <w:sz w:val="22"/>
          <w:szCs w:val="22"/>
        </w:rPr>
      </w:pPr>
    </w:p>
    <w:p w14:paraId="074EE5AF" w14:textId="77777777" w:rsidR="001D0BB1" w:rsidRPr="005D02EA" w:rsidRDefault="001D0BB1" w:rsidP="001D0BB1">
      <w:pPr>
        <w:spacing w:line="276" w:lineRule="auto"/>
        <w:ind w:left="851" w:right="616"/>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D02EA">
        <w:rPr>
          <w:rFonts w:ascii="Palatino Linotype" w:eastAsia="Palatino Linotype" w:hAnsi="Palatino Linotype" w:cs="Palatino Linotype"/>
          <w:i/>
          <w:sz w:val="22"/>
          <w:szCs w:val="22"/>
        </w:rPr>
        <w:t xml:space="preserve"> visible en el Seminario Judicial de la Federación y su gaceta, con el registro digital 2002350</w:t>
      </w:r>
      <w:r w:rsidRPr="005D02EA">
        <w:rPr>
          <w:rFonts w:ascii="Palatino Linotype" w:eastAsia="Palatino Linotype" w:hAnsi="Palatino Linotype" w:cs="Palatino Linotype"/>
          <w:sz w:val="22"/>
          <w:szCs w:val="22"/>
        </w:rPr>
        <w:t>.</w:t>
      </w:r>
    </w:p>
    <w:p w14:paraId="78CE2551" w14:textId="77777777" w:rsidR="001D0BB1" w:rsidRPr="005D02EA" w:rsidRDefault="001D0BB1" w:rsidP="001D0BB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77A7DDA" w14:textId="77777777" w:rsidR="001D0BB1" w:rsidRPr="005D02EA" w:rsidRDefault="001D0BB1" w:rsidP="001D0BB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lastRenderedPageBreak/>
        <w:t>Por ello, este organismo garante comprometido con la tutela de los derechos humanos confiados señala que este exceso del plazo legal para resolver el presente asunto resulta de carácter excepcional.</w:t>
      </w:r>
    </w:p>
    <w:p w14:paraId="387C3DDA" w14:textId="77777777" w:rsidR="001D0BB1" w:rsidRPr="005D02EA" w:rsidRDefault="001D0BB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78E0032" w14:textId="77777777" w:rsidR="00D43543" w:rsidRPr="005D02EA" w:rsidRDefault="00D9591D" w:rsidP="001D0BB1">
      <w:pPr>
        <w:numPr>
          <w:ilvl w:val="0"/>
          <w:numId w:val="1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Cierre de instrucción. </w:t>
      </w:r>
      <w:r w:rsidRPr="005D02EA">
        <w:rPr>
          <w:rFonts w:ascii="Palatino Linotype" w:eastAsia="Palatino Linotype" w:hAnsi="Palatino Linotype" w:cs="Palatino Linotype"/>
          <w:sz w:val="22"/>
          <w:szCs w:val="22"/>
        </w:rPr>
        <w:t xml:space="preserve">El </w:t>
      </w:r>
      <w:r w:rsidRPr="005D02EA">
        <w:rPr>
          <w:rFonts w:ascii="Palatino Linotype" w:eastAsia="Palatino Linotype" w:hAnsi="Palatino Linotype" w:cs="Palatino Linotype"/>
          <w:b/>
          <w:sz w:val="22"/>
          <w:szCs w:val="22"/>
        </w:rPr>
        <w:t>veintiuno de mayo de dos mil veinticinco</w:t>
      </w:r>
      <w:r w:rsidRPr="005D02E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DAA6BA3" w14:textId="77777777" w:rsidR="00D43543" w:rsidRPr="005D02EA" w:rsidRDefault="00D4354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7DF00E26"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D5BC202"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442ED0D2" w14:textId="77777777" w:rsidR="00D43543" w:rsidRPr="005D02EA" w:rsidRDefault="00D9591D">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5D02EA">
        <w:rPr>
          <w:rFonts w:ascii="Palatino Linotype" w:eastAsia="Palatino Linotype" w:hAnsi="Palatino Linotype" w:cs="Palatino Linotype"/>
          <w:b/>
          <w:sz w:val="22"/>
          <w:szCs w:val="22"/>
        </w:rPr>
        <w:t>C O N S I D E R A N D O:</w:t>
      </w:r>
    </w:p>
    <w:p w14:paraId="530DD923" w14:textId="77777777" w:rsidR="00D43543" w:rsidRPr="005D02EA" w:rsidRDefault="00D4354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54FED2E"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Primero. Competencia. </w:t>
      </w:r>
      <w:r w:rsidRPr="005D02EA">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64AD2E7" w14:textId="77777777" w:rsidR="00D43543" w:rsidRPr="005D02EA" w:rsidRDefault="00D43543">
      <w:pPr>
        <w:spacing w:line="360" w:lineRule="auto"/>
        <w:jc w:val="both"/>
        <w:rPr>
          <w:rFonts w:ascii="Palatino Linotype" w:eastAsia="Palatino Linotype" w:hAnsi="Palatino Linotype" w:cs="Palatino Linotype"/>
          <w:b/>
          <w:sz w:val="22"/>
          <w:szCs w:val="22"/>
        </w:rPr>
      </w:pPr>
    </w:p>
    <w:p w14:paraId="2F89D5EA"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lastRenderedPageBreak/>
        <w:t>Segundo. Oportunidad y Procedibilidad del Recurso de Revisión</w:t>
      </w:r>
      <w:r w:rsidRPr="005D02E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5E03E5C"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16C52CC9" w14:textId="77777777" w:rsidR="00D43543" w:rsidRPr="005D02EA" w:rsidRDefault="00D9591D">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proporcionó su respuesta a la solicitud de información el </w:t>
      </w:r>
      <w:r w:rsidRPr="005D02EA">
        <w:rPr>
          <w:rFonts w:ascii="Palatino Linotype" w:eastAsia="Palatino Linotype" w:hAnsi="Palatino Linotype" w:cs="Palatino Linotype"/>
          <w:b/>
          <w:sz w:val="22"/>
          <w:szCs w:val="22"/>
        </w:rPr>
        <w:t>cinco de marzo de dos mil veinticinco,</w:t>
      </w:r>
      <w:r w:rsidRPr="005D02EA">
        <w:rPr>
          <w:rFonts w:ascii="Palatino Linotype" w:eastAsia="Palatino Linotype" w:hAnsi="Palatino Linotype" w:cs="Palatino Linotype"/>
          <w:sz w:val="22"/>
          <w:szCs w:val="22"/>
        </w:rPr>
        <w:t xml:space="preserve"> y la parte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xml:space="preserve"> presentó su recurso de revisión el </w:t>
      </w:r>
      <w:r w:rsidRPr="005D02EA">
        <w:rPr>
          <w:rFonts w:ascii="Palatino Linotype" w:eastAsia="Palatino Linotype" w:hAnsi="Palatino Linotype" w:cs="Palatino Linotype"/>
          <w:b/>
          <w:sz w:val="22"/>
          <w:szCs w:val="22"/>
        </w:rPr>
        <w:t>doce de marzo de dos mil veinticinco</w:t>
      </w:r>
      <w:r w:rsidRPr="005D02EA">
        <w:rPr>
          <w:rFonts w:ascii="Palatino Linotype" w:eastAsia="Palatino Linotype" w:hAnsi="Palatino Linotype" w:cs="Palatino Linotype"/>
          <w:sz w:val="22"/>
          <w:szCs w:val="22"/>
        </w:rPr>
        <w:t>;</w:t>
      </w:r>
      <w:r w:rsidRPr="005D02EA">
        <w:rPr>
          <w:rFonts w:ascii="Palatino Linotype" w:eastAsia="Palatino Linotype" w:hAnsi="Palatino Linotype" w:cs="Palatino Linotype"/>
          <w:b/>
          <w:sz w:val="22"/>
          <w:szCs w:val="22"/>
        </w:rPr>
        <w:t xml:space="preserve"> </w:t>
      </w:r>
      <w:r w:rsidRPr="005D02EA">
        <w:rPr>
          <w:rFonts w:ascii="Palatino Linotype" w:eastAsia="Palatino Linotype" w:hAnsi="Palatino Linotype" w:cs="Palatino Linotype"/>
          <w:sz w:val="22"/>
          <w:szCs w:val="22"/>
        </w:rPr>
        <w:t xml:space="preserve">esto es al quinto día hábil en que tuvo conocimiento de la respuesta. </w:t>
      </w:r>
    </w:p>
    <w:p w14:paraId="2553DAEF" w14:textId="77777777" w:rsidR="00D43543" w:rsidRPr="005D02EA" w:rsidRDefault="00D43543">
      <w:pPr>
        <w:spacing w:line="360" w:lineRule="auto"/>
        <w:ind w:right="843"/>
        <w:jc w:val="both"/>
        <w:rPr>
          <w:rFonts w:ascii="Palatino Linotype" w:eastAsia="Palatino Linotype" w:hAnsi="Palatino Linotype" w:cs="Palatino Linotype"/>
          <w:sz w:val="22"/>
          <w:szCs w:val="22"/>
        </w:rPr>
      </w:pPr>
    </w:p>
    <w:p w14:paraId="1D02DA58"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17F1B71"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544C7DBD"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fracciones I y II de la ley de la materia, que a la letra dice:</w:t>
      </w:r>
    </w:p>
    <w:p w14:paraId="1580A4A3" w14:textId="77777777" w:rsidR="00D43543" w:rsidRPr="005D02EA" w:rsidRDefault="00D43543">
      <w:pPr>
        <w:ind w:left="851" w:right="616"/>
        <w:jc w:val="both"/>
        <w:rPr>
          <w:rFonts w:ascii="Palatino Linotype" w:eastAsia="Palatino Linotype" w:hAnsi="Palatino Linotype" w:cs="Palatino Linotype"/>
          <w:i/>
          <w:sz w:val="22"/>
          <w:szCs w:val="22"/>
        </w:rPr>
      </w:pPr>
    </w:p>
    <w:p w14:paraId="0338C70D"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r w:rsidRPr="005D02EA">
        <w:rPr>
          <w:rFonts w:ascii="Palatino Linotype" w:eastAsia="Palatino Linotype" w:hAnsi="Palatino Linotype" w:cs="Palatino Linotype"/>
          <w:b/>
          <w:i/>
          <w:sz w:val="22"/>
          <w:szCs w:val="22"/>
        </w:rPr>
        <w:t xml:space="preserve">Artículo 179. </w:t>
      </w:r>
      <w:r w:rsidRPr="005D02E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438FC4A" w14:textId="77777777" w:rsidR="00D43543" w:rsidRPr="005D02EA" w:rsidRDefault="00D43543">
      <w:pPr>
        <w:ind w:left="851" w:right="616"/>
        <w:jc w:val="both"/>
        <w:rPr>
          <w:rFonts w:ascii="Palatino Linotype" w:eastAsia="Palatino Linotype" w:hAnsi="Palatino Linotype" w:cs="Palatino Linotype"/>
          <w:i/>
          <w:sz w:val="22"/>
          <w:szCs w:val="22"/>
        </w:rPr>
      </w:pPr>
    </w:p>
    <w:p w14:paraId="09337011"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 La negativa a la información solicitada; </w:t>
      </w:r>
    </w:p>
    <w:p w14:paraId="155EE3BE"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II. La clasificación de la información; </w:t>
      </w:r>
    </w:p>
    <w:p w14:paraId="74539FE6"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 </w:t>
      </w:r>
    </w:p>
    <w:p w14:paraId="472A3D61" w14:textId="77777777" w:rsidR="00D43543" w:rsidRPr="005D02EA" w:rsidRDefault="00D43543">
      <w:pPr>
        <w:spacing w:line="360" w:lineRule="auto"/>
        <w:ind w:left="567" w:right="616"/>
        <w:jc w:val="both"/>
        <w:rPr>
          <w:rFonts w:ascii="Palatino Linotype" w:eastAsia="Palatino Linotype" w:hAnsi="Palatino Linotype" w:cs="Palatino Linotype"/>
          <w:i/>
          <w:sz w:val="22"/>
          <w:szCs w:val="22"/>
        </w:rPr>
      </w:pPr>
    </w:p>
    <w:p w14:paraId="3A8191C6"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lastRenderedPageBreak/>
        <w:t>Tercero. Materia de Revisión</w:t>
      </w:r>
      <w:r w:rsidRPr="005D02EA">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actualizan las fracciones I y II del artículo 179 de la Ley de Transparencia y Acceso a la Información Pública del Estado de México y Municipios.  </w:t>
      </w:r>
    </w:p>
    <w:p w14:paraId="17C2231D"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0DC9BC45"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Cuarto. Estudio de fondo del asunto. </w:t>
      </w:r>
      <w:r w:rsidRPr="005D02EA">
        <w:rPr>
          <w:rFonts w:ascii="Palatino Linotype" w:eastAsia="Palatino Linotype" w:hAnsi="Palatino Linotype" w:cs="Palatino Linotype"/>
          <w:sz w:val="22"/>
          <w:szCs w:val="22"/>
        </w:rPr>
        <w:t>Es conveniente analizar si la respuesta del Sujeto Obligado</w:t>
      </w:r>
      <w:r w:rsidRPr="005D02EA">
        <w:rPr>
          <w:rFonts w:ascii="Palatino Linotype" w:eastAsia="Palatino Linotype" w:hAnsi="Palatino Linotype" w:cs="Palatino Linotype"/>
          <w:b/>
          <w:sz w:val="22"/>
          <w:szCs w:val="22"/>
        </w:rPr>
        <w:t xml:space="preserve"> </w:t>
      </w:r>
      <w:r w:rsidRPr="005D02EA">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F486768"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67B3A711" w14:textId="77777777" w:rsidR="00D43543" w:rsidRPr="005D02EA" w:rsidRDefault="00D9591D">
      <w:pPr>
        <w:tabs>
          <w:tab w:val="left" w:pos="851"/>
        </w:tabs>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r w:rsidRPr="005D02EA">
        <w:rPr>
          <w:rFonts w:ascii="Palatino Linotype" w:eastAsia="Palatino Linotype" w:hAnsi="Palatino Linotype" w:cs="Palatino Linotype"/>
          <w:b/>
          <w:i/>
          <w:sz w:val="22"/>
          <w:szCs w:val="22"/>
        </w:rPr>
        <w:t>Artículo 4</w:t>
      </w:r>
      <w:r w:rsidRPr="005D02E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21D3068" w14:textId="77777777" w:rsidR="00D43543" w:rsidRPr="005D02EA" w:rsidRDefault="00D9591D">
      <w:pPr>
        <w:tabs>
          <w:tab w:val="left" w:pos="851"/>
        </w:tabs>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D02E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4D701EF" w14:textId="77777777" w:rsidR="00D43543" w:rsidRPr="005D02EA" w:rsidRDefault="00D9591D">
      <w:pPr>
        <w:tabs>
          <w:tab w:val="left" w:pos="851"/>
        </w:tabs>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5D02EA">
        <w:rPr>
          <w:rFonts w:ascii="Palatino Linotype" w:eastAsia="Palatino Linotype" w:hAnsi="Palatino Linotype" w:cs="Palatino Linotype"/>
          <w:i/>
          <w:sz w:val="22"/>
          <w:szCs w:val="22"/>
        </w:rPr>
        <w:t>.”(</w:t>
      </w:r>
      <w:proofErr w:type="gramEnd"/>
      <w:r w:rsidRPr="005D02EA">
        <w:rPr>
          <w:rFonts w:ascii="Palatino Linotype" w:eastAsia="Palatino Linotype" w:hAnsi="Palatino Linotype" w:cs="Palatino Linotype"/>
          <w:i/>
          <w:sz w:val="22"/>
          <w:szCs w:val="22"/>
        </w:rPr>
        <w:t>Sic)</w:t>
      </w:r>
    </w:p>
    <w:p w14:paraId="27722D47"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623FD582"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5EEB877" w14:textId="77777777" w:rsidR="00D43543" w:rsidRPr="005D02EA" w:rsidRDefault="00D43543">
      <w:pPr>
        <w:spacing w:line="276" w:lineRule="auto"/>
        <w:ind w:left="567" w:right="616"/>
        <w:jc w:val="both"/>
        <w:rPr>
          <w:rFonts w:ascii="Palatino Linotype" w:eastAsia="Palatino Linotype" w:hAnsi="Palatino Linotype" w:cs="Palatino Linotype"/>
          <w:sz w:val="22"/>
          <w:szCs w:val="22"/>
        </w:rPr>
      </w:pPr>
    </w:p>
    <w:p w14:paraId="722777B5"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r w:rsidRPr="005D02EA">
        <w:rPr>
          <w:rFonts w:ascii="Palatino Linotype" w:eastAsia="Palatino Linotype" w:hAnsi="Palatino Linotype" w:cs="Palatino Linotype"/>
          <w:b/>
          <w:i/>
          <w:sz w:val="22"/>
          <w:szCs w:val="22"/>
        </w:rPr>
        <w:t>Artículo 12.-</w:t>
      </w:r>
      <w:r w:rsidRPr="005D02E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F2849B8" w14:textId="77777777" w:rsidR="00D43543" w:rsidRPr="005D02EA" w:rsidRDefault="00D43543">
      <w:pPr>
        <w:ind w:left="851" w:right="616"/>
        <w:jc w:val="both"/>
        <w:rPr>
          <w:rFonts w:ascii="Palatino Linotype" w:eastAsia="Palatino Linotype" w:hAnsi="Palatino Linotype" w:cs="Palatino Linotype"/>
          <w:i/>
          <w:sz w:val="22"/>
          <w:szCs w:val="22"/>
        </w:rPr>
      </w:pPr>
    </w:p>
    <w:p w14:paraId="77A1187E"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D02EA">
        <w:rPr>
          <w:rFonts w:ascii="Palatino Linotype" w:eastAsia="Palatino Linotype" w:hAnsi="Palatino Linotype" w:cs="Palatino Linotype"/>
          <w:i/>
          <w:sz w:val="22"/>
          <w:szCs w:val="22"/>
        </w:rPr>
        <w:t xml:space="preserve">. </w:t>
      </w:r>
      <w:r w:rsidRPr="005D02E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5D02EA">
        <w:rPr>
          <w:rFonts w:ascii="Palatino Linotype" w:eastAsia="Palatino Linotype" w:hAnsi="Palatino Linotype" w:cs="Palatino Linotype"/>
          <w:i/>
          <w:sz w:val="22"/>
          <w:szCs w:val="22"/>
        </w:rPr>
        <w:t xml:space="preserve">.” </w:t>
      </w:r>
    </w:p>
    <w:p w14:paraId="7A359554" w14:textId="77777777" w:rsidR="00D43543" w:rsidRPr="005D02EA" w:rsidRDefault="00D43543">
      <w:pPr>
        <w:spacing w:line="360" w:lineRule="auto"/>
        <w:ind w:right="-93"/>
        <w:jc w:val="both"/>
        <w:rPr>
          <w:rFonts w:ascii="Palatino Linotype" w:eastAsia="Palatino Linotype" w:hAnsi="Palatino Linotype" w:cs="Palatino Linotype"/>
          <w:sz w:val="22"/>
          <w:szCs w:val="22"/>
        </w:rPr>
      </w:pPr>
    </w:p>
    <w:p w14:paraId="74AEA595" w14:textId="77777777" w:rsidR="00D43543" w:rsidRPr="005D02EA" w:rsidRDefault="00D9591D">
      <w:pPr>
        <w:spacing w:line="360" w:lineRule="auto"/>
        <w:ind w:right="-93"/>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B133EE3" w14:textId="77777777" w:rsidR="00D43543" w:rsidRPr="005D02EA" w:rsidRDefault="00D43543">
      <w:pPr>
        <w:spacing w:line="360" w:lineRule="auto"/>
        <w:ind w:right="-93"/>
        <w:jc w:val="both"/>
        <w:rPr>
          <w:rFonts w:ascii="Palatino Linotype" w:eastAsia="Palatino Linotype" w:hAnsi="Palatino Linotype" w:cs="Palatino Linotype"/>
          <w:sz w:val="22"/>
          <w:szCs w:val="22"/>
        </w:rPr>
      </w:pPr>
    </w:p>
    <w:p w14:paraId="5C606ABF" w14:textId="1CAAD70F" w:rsidR="00D43543" w:rsidRPr="005D02EA" w:rsidRDefault="00D9591D">
      <w:pPr>
        <w:spacing w:line="360" w:lineRule="auto"/>
        <w:jc w:val="both"/>
        <w:rPr>
          <w:rFonts w:ascii="Palatino Linotype" w:eastAsia="Palatino Linotype" w:hAnsi="Palatino Linotype" w:cs="Palatino Linotype"/>
          <w:b/>
          <w:sz w:val="22"/>
          <w:szCs w:val="22"/>
        </w:rPr>
      </w:pPr>
      <w:r w:rsidRPr="005D02EA">
        <w:rPr>
          <w:rFonts w:ascii="Palatino Linotype" w:eastAsia="Palatino Linotype" w:hAnsi="Palatino Linotype" w:cs="Palatino Linotype"/>
          <w:sz w:val="22"/>
          <w:szCs w:val="22"/>
        </w:rPr>
        <w:t>Sirve de apoyo a lo anterior, el criterio</w:t>
      </w:r>
      <w:r w:rsidR="001D0BB1" w:rsidRPr="005D02EA">
        <w:rPr>
          <w:rFonts w:ascii="Palatino Linotype" w:eastAsia="Palatino Linotype" w:hAnsi="Palatino Linotype" w:cs="Palatino Linotype"/>
          <w:sz w:val="22"/>
          <w:szCs w:val="22"/>
        </w:rPr>
        <w:t xml:space="preserve"> orientador</w:t>
      </w:r>
      <w:r w:rsidRPr="005D02EA">
        <w:rPr>
          <w:rFonts w:ascii="Palatino Linotype" w:eastAsia="Palatino Linotype" w:hAnsi="Palatino Linotype" w:cs="Palatino Linotype"/>
          <w:sz w:val="22"/>
          <w:szCs w:val="22"/>
        </w:rPr>
        <w:t xml:space="preserve"> 03-17, expuesto por el</w:t>
      </w:r>
      <w:r w:rsidR="001D0BB1" w:rsidRPr="005D02EA">
        <w:rPr>
          <w:rFonts w:ascii="Palatino Linotype" w:eastAsia="Palatino Linotype" w:hAnsi="Palatino Linotype" w:cs="Palatino Linotype"/>
          <w:sz w:val="22"/>
          <w:szCs w:val="22"/>
        </w:rPr>
        <w:t xml:space="preserve"> entonces </w:t>
      </w:r>
      <w:r w:rsidRPr="005D02EA">
        <w:rPr>
          <w:rFonts w:ascii="Palatino Linotype" w:eastAsia="Palatino Linotype" w:hAnsi="Palatino Linotype" w:cs="Palatino Linotype"/>
          <w:sz w:val="22"/>
          <w:szCs w:val="22"/>
        </w:rPr>
        <w:t>Instituto Nacional de Transparencia, Acceso a la Información y Protección de Datos Personales, que dice:</w:t>
      </w:r>
      <w:r w:rsidRPr="005D02EA">
        <w:rPr>
          <w:rFonts w:ascii="Palatino Linotype" w:eastAsia="Palatino Linotype" w:hAnsi="Palatino Linotype" w:cs="Palatino Linotype"/>
          <w:b/>
          <w:sz w:val="22"/>
          <w:szCs w:val="22"/>
        </w:rPr>
        <w:t xml:space="preserve"> </w:t>
      </w:r>
    </w:p>
    <w:p w14:paraId="79EC0AF5" w14:textId="77777777" w:rsidR="00D43543" w:rsidRPr="005D02EA" w:rsidRDefault="00D43543">
      <w:pPr>
        <w:spacing w:line="276" w:lineRule="auto"/>
        <w:ind w:left="851" w:right="850"/>
        <w:jc w:val="both"/>
        <w:rPr>
          <w:rFonts w:ascii="Palatino Linotype" w:eastAsia="Palatino Linotype" w:hAnsi="Palatino Linotype" w:cs="Palatino Linotype"/>
          <w:sz w:val="22"/>
          <w:szCs w:val="22"/>
        </w:rPr>
      </w:pPr>
    </w:p>
    <w:p w14:paraId="6F6D5695"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lastRenderedPageBreak/>
        <w:t>“</w:t>
      </w:r>
      <w:r w:rsidRPr="005D02EA">
        <w:rPr>
          <w:rFonts w:ascii="Palatino Linotype" w:eastAsia="Palatino Linotype" w:hAnsi="Palatino Linotype" w:cs="Palatino Linotype"/>
          <w:b/>
          <w:i/>
          <w:sz w:val="22"/>
          <w:szCs w:val="22"/>
        </w:rPr>
        <w:t>No existe obligación de elaborar documentos ad hoc para atender las solicitudes de acceso a la información.</w:t>
      </w:r>
      <w:r w:rsidRPr="005D02E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09F7C74" w14:textId="77777777" w:rsidR="00D43543" w:rsidRPr="005D02EA" w:rsidRDefault="00D43543">
      <w:pPr>
        <w:spacing w:line="276" w:lineRule="auto"/>
        <w:ind w:left="567" w:right="616"/>
        <w:jc w:val="both"/>
        <w:rPr>
          <w:rFonts w:ascii="Palatino Linotype" w:eastAsia="Palatino Linotype" w:hAnsi="Palatino Linotype" w:cs="Palatino Linotype"/>
          <w:i/>
          <w:sz w:val="22"/>
          <w:szCs w:val="22"/>
        </w:rPr>
      </w:pPr>
    </w:p>
    <w:p w14:paraId="11763E64"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444A6A"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56E76DF1"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771A18E"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2D4F6EC6"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r w:rsidRPr="005D02EA">
        <w:rPr>
          <w:rFonts w:ascii="Palatino Linotype" w:eastAsia="Palatino Linotype" w:hAnsi="Palatino Linotype" w:cs="Palatino Linotype"/>
          <w:b/>
          <w:i/>
          <w:sz w:val="22"/>
          <w:szCs w:val="22"/>
        </w:rPr>
        <w:t xml:space="preserve">Artículo 3. </w:t>
      </w:r>
      <w:r w:rsidRPr="005D02EA">
        <w:rPr>
          <w:rFonts w:ascii="Palatino Linotype" w:eastAsia="Palatino Linotype" w:hAnsi="Palatino Linotype" w:cs="Palatino Linotype"/>
          <w:i/>
          <w:sz w:val="22"/>
          <w:szCs w:val="22"/>
        </w:rPr>
        <w:t>Para los efectos de la presente Ley se entenderá por:</w:t>
      </w:r>
    </w:p>
    <w:p w14:paraId="5B595F85"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p>
    <w:p w14:paraId="0EB256FF"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XI. Documento:</w:t>
      </w:r>
      <w:r w:rsidRPr="005D02EA">
        <w:rPr>
          <w:rFonts w:ascii="Palatino Linotype" w:eastAsia="Palatino Linotype" w:hAnsi="Palatino Linotype" w:cs="Palatino Linotype"/>
          <w:i/>
          <w:sz w:val="22"/>
          <w:szCs w:val="22"/>
        </w:rPr>
        <w:t xml:space="preserve"> Los expedientes, reportes, estudios, actas</w:t>
      </w:r>
      <w:r w:rsidRPr="005D02EA">
        <w:rPr>
          <w:rFonts w:ascii="Palatino Linotype" w:eastAsia="Palatino Linotype" w:hAnsi="Palatino Linotype" w:cs="Palatino Linotype"/>
          <w:b/>
          <w:i/>
          <w:sz w:val="22"/>
          <w:szCs w:val="22"/>
        </w:rPr>
        <w:t>,</w:t>
      </w:r>
      <w:r w:rsidRPr="005D02E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w:t>
      </w:r>
      <w:r w:rsidRPr="005D02EA">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AC03AC4" w14:textId="77777777" w:rsidR="00D43543" w:rsidRPr="005D02EA" w:rsidRDefault="00D43543">
      <w:pPr>
        <w:spacing w:line="360" w:lineRule="auto"/>
        <w:ind w:left="851" w:right="899"/>
        <w:jc w:val="both"/>
        <w:rPr>
          <w:rFonts w:ascii="Palatino Linotype" w:eastAsia="Palatino Linotype" w:hAnsi="Palatino Linotype" w:cs="Palatino Linotype"/>
          <w:sz w:val="22"/>
          <w:szCs w:val="22"/>
        </w:rPr>
      </w:pPr>
    </w:p>
    <w:p w14:paraId="6B9B7201"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571736B" w14:textId="77777777" w:rsidR="00D43543" w:rsidRPr="005D02EA" w:rsidRDefault="00D43543">
      <w:pPr>
        <w:spacing w:line="360" w:lineRule="auto"/>
        <w:ind w:left="851" w:right="899"/>
        <w:jc w:val="both"/>
        <w:rPr>
          <w:rFonts w:ascii="Palatino Linotype" w:eastAsia="Palatino Linotype" w:hAnsi="Palatino Linotype" w:cs="Palatino Linotype"/>
          <w:sz w:val="22"/>
          <w:szCs w:val="22"/>
        </w:rPr>
      </w:pPr>
    </w:p>
    <w:p w14:paraId="2C65AECF" w14:textId="77777777" w:rsidR="00D43543" w:rsidRPr="005D02EA" w:rsidRDefault="00D9591D">
      <w:pPr>
        <w:ind w:left="851" w:right="616"/>
        <w:jc w:val="both"/>
        <w:rPr>
          <w:rFonts w:ascii="Palatino Linotype" w:eastAsia="Palatino Linotype" w:hAnsi="Palatino Linotype" w:cs="Palatino Linotype"/>
          <w:b/>
          <w:i/>
          <w:sz w:val="22"/>
          <w:szCs w:val="22"/>
        </w:rPr>
      </w:pPr>
      <w:r w:rsidRPr="005D02EA">
        <w:rPr>
          <w:rFonts w:ascii="Palatino Linotype" w:eastAsia="Palatino Linotype" w:hAnsi="Palatino Linotype" w:cs="Palatino Linotype"/>
          <w:b/>
          <w:sz w:val="22"/>
          <w:szCs w:val="22"/>
        </w:rPr>
        <w:t>“</w:t>
      </w:r>
      <w:r w:rsidRPr="005D02EA">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5D02E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EFF3FE"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En </w:t>
      </w:r>
      <w:proofErr w:type="gramStart"/>
      <w:r w:rsidRPr="005D02EA">
        <w:rPr>
          <w:rFonts w:ascii="Palatino Linotype" w:eastAsia="Palatino Linotype" w:hAnsi="Palatino Linotype" w:cs="Palatino Linotype"/>
          <w:i/>
          <w:sz w:val="22"/>
          <w:szCs w:val="22"/>
        </w:rPr>
        <w:t>consecuencia</w:t>
      </w:r>
      <w:proofErr w:type="gramEnd"/>
      <w:r w:rsidRPr="005D02E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7704B57" w14:textId="77777777" w:rsidR="00D43543" w:rsidRPr="005D02EA" w:rsidRDefault="00D9591D">
      <w:pPr>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D02EA">
        <w:rPr>
          <w:rFonts w:ascii="Palatino Linotype" w:eastAsia="Palatino Linotype" w:hAnsi="Palatino Linotype" w:cs="Palatino Linotype"/>
          <w:i/>
          <w:sz w:val="22"/>
          <w:szCs w:val="22"/>
        </w:rPr>
        <w:t>que</w:t>
      </w:r>
      <w:proofErr w:type="gramEnd"/>
      <w:r w:rsidRPr="005D02EA">
        <w:rPr>
          <w:rFonts w:ascii="Palatino Linotype" w:eastAsia="Palatino Linotype" w:hAnsi="Palatino Linotype" w:cs="Palatino Linotype"/>
          <w:i/>
          <w:sz w:val="22"/>
          <w:szCs w:val="22"/>
        </w:rPr>
        <w:t xml:space="preserve"> en ejercicio de las atribuciones conferidas, sea generada por los Sujetos Obligados;</w:t>
      </w:r>
    </w:p>
    <w:p w14:paraId="6A0709F1" w14:textId="77777777" w:rsidR="00D43543" w:rsidRPr="005D02EA" w:rsidRDefault="00D9591D">
      <w:pPr>
        <w:ind w:left="851" w:right="616"/>
        <w:jc w:val="both"/>
        <w:rPr>
          <w:rFonts w:ascii="Palatino Linotype" w:eastAsia="Palatino Linotype" w:hAnsi="Palatino Linotype" w:cs="Palatino Linotype"/>
          <w:b/>
          <w:i/>
          <w:sz w:val="22"/>
          <w:szCs w:val="22"/>
        </w:rPr>
      </w:pPr>
      <w:r w:rsidRPr="005D02EA">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5D02EA">
        <w:rPr>
          <w:rFonts w:ascii="Palatino Linotype" w:eastAsia="Palatino Linotype" w:hAnsi="Palatino Linotype" w:cs="Palatino Linotype"/>
          <w:b/>
          <w:i/>
          <w:sz w:val="22"/>
          <w:szCs w:val="22"/>
        </w:rPr>
        <w:t>que</w:t>
      </w:r>
      <w:proofErr w:type="gramEnd"/>
      <w:r w:rsidRPr="005D02EA">
        <w:rPr>
          <w:rFonts w:ascii="Palatino Linotype" w:eastAsia="Palatino Linotype" w:hAnsi="Palatino Linotype" w:cs="Palatino Linotype"/>
          <w:b/>
          <w:i/>
          <w:sz w:val="22"/>
          <w:szCs w:val="22"/>
        </w:rPr>
        <w:t xml:space="preserve"> en ejercicio de las atribuciones conferidas, sea administrada por los Sujetos Obligados, y</w:t>
      </w:r>
    </w:p>
    <w:p w14:paraId="2B154B61" w14:textId="77777777" w:rsidR="00D43543" w:rsidRPr="005D02EA" w:rsidRDefault="00D9591D">
      <w:pPr>
        <w:ind w:left="851" w:right="616"/>
        <w:jc w:val="both"/>
        <w:rPr>
          <w:rFonts w:ascii="Palatino Linotype" w:eastAsia="Palatino Linotype" w:hAnsi="Palatino Linotype" w:cs="Palatino Linotype"/>
          <w:b/>
          <w:i/>
          <w:sz w:val="22"/>
          <w:szCs w:val="22"/>
        </w:rPr>
      </w:pPr>
      <w:r w:rsidRPr="005D02EA">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5D02EA">
        <w:rPr>
          <w:rFonts w:ascii="Palatino Linotype" w:eastAsia="Palatino Linotype" w:hAnsi="Palatino Linotype" w:cs="Palatino Linotype"/>
          <w:b/>
          <w:i/>
          <w:sz w:val="22"/>
          <w:szCs w:val="22"/>
        </w:rPr>
        <w:t>que</w:t>
      </w:r>
      <w:proofErr w:type="gramEnd"/>
      <w:r w:rsidRPr="005D02EA">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AF98022"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00B58587" w14:textId="77777777" w:rsidR="00D43543" w:rsidRPr="005D02EA" w:rsidRDefault="00D9591D">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w:t>
      </w:r>
      <w:r w:rsidRPr="005D02EA">
        <w:rPr>
          <w:rFonts w:ascii="Palatino Linotype" w:eastAsia="Palatino Linotype" w:hAnsi="Palatino Linotype" w:cs="Palatino Linotype"/>
          <w:sz w:val="22"/>
          <w:szCs w:val="22"/>
        </w:rPr>
        <w:lastRenderedPageBreak/>
        <w:t>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ED0322E"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2421FA03"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681083A" w14:textId="77777777" w:rsidR="00D43543" w:rsidRPr="005D02EA" w:rsidRDefault="00D9591D">
      <w:pPr>
        <w:spacing w:before="240" w:after="240" w:line="360" w:lineRule="auto"/>
        <w:ind w:right="5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xml:space="preserve"> requirió al </w:t>
      </w:r>
      <w:r w:rsidRPr="005D02EA">
        <w:rPr>
          <w:rFonts w:ascii="Palatino Linotype" w:eastAsia="Palatino Linotype" w:hAnsi="Palatino Linotype" w:cs="Palatino Linotype"/>
          <w:b/>
          <w:sz w:val="22"/>
          <w:szCs w:val="22"/>
        </w:rPr>
        <w:t xml:space="preserve">Sujeto Obligado </w:t>
      </w:r>
      <w:r w:rsidRPr="005D02EA">
        <w:rPr>
          <w:rFonts w:ascii="Palatino Linotype" w:eastAsia="Palatino Linotype" w:hAnsi="Palatino Linotype" w:cs="Palatino Linotype"/>
          <w:sz w:val="22"/>
          <w:szCs w:val="22"/>
        </w:rPr>
        <w:t>le proporcione, información consistente en lo siguiente:</w:t>
      </w:r>
    </w:p>
    <w:p w14:paraId="5F256951" w14:textId="77777777" w:rsidR="00D43543" w:rsidRPr="005D02EA" w:rsidRDefault="00D9591D">
      <w:pPr>
        <w:numPr>
          <w:ilvl w:val="0"/>
          <w:numId w:val="3"/>
        </w:num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sz w:val="22"/>
          <w:szCs w:val="22"/>
        </w:rPr>
        <w:t xml:space="preserve">Los escritos, memos y oficios firmados por el </w:t>
      </w:r>
      <w:proofErr w:type="gramStart"/>
      <w:r w:rsidRPr="005D02EA">
        <w:rPr>
          <w:rFonts w:ascii="Palatino Linotype" w:eastAsia="Palatino Linotype" w:hAnsi="Palatino Linotype" w:cs="Palatino Linotype"/>
          <w:b/>
          <w:sz w:val="22"/>
          <w:szCs w:val="22"/>
        </w:rPr>
        <w:t>Director General</w:t>
      </w:r>
      <w:proofErr w:type="gramEnd"/>
      <w:r w:rsidRPr="005D02EA">
        <w:rPr>
          <w:rFonts w:ascii="Palatino Linotype" w:eastAsia="Palatino Linotype" w:hAnsi="Palatino Linotype" w:cs="Palatino Linotype"/>
          <w:b/>
          <w:sz w:val="22"/>
          <w:szCs w:val="22"/>
        </w:rPr>
        <w:t xml:space="preserve"> de Seguridad Pública</w:t>
      </w:r>
      <w:r w:rsidRPr="005D02EA">
        <w:rPr>
          <w:rFonts w:ascii="Palatino Linotype" w:eastAsia="Palatino Linotype" w:hAnsi="Palatino Linotype" w:cs="Palatino Linotype"/>
          <w:i/>
          <w:sz w:val="22"/>
          <w:szCs w:val="22"/>
        </w:rPr>
        <w:t xml:space="preserve">. </w:t>
      </w:r>
    </w:p>
    <w:p w14:paraId="394636DF" w14:textId="77777777" w:rsidR="00D43543" w:rsidRPr="005D02EA" w:rsidRDefault="00D43543">
      <w:pPr>
        <w:pBdr>
          <w:top w:val="nil"/>
          <w:left w:val="nil"/>
          <w:bottom w:val="nil"/>
          <w:right w:val="nil"/>
          <w:between w:val="nil"/>
        </w:pBdr>
        <w:spacing w:line="276" w:lineRule="auto"/>
        <w:ind w:left="1854" w:right="616"/>
        <w:jc w:val="both"/>
        <w:rPr>
          <w:rFonts w:ascii="Palatino Linotype" w:eastAsia="Palatino Linotype" w:hAnsi="Palatino Linotype" w:cs="Palatino Linotype"/>
          <w:i/>
          <w:sz w:val="22"/>
          <w:szCs w:val="22"/>
        </w:rPr>
      </w:pPr>
    </w:p>
    <w:p w14:paraId="55B3D8CF" w14:textId="41F5A801"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En respuesta,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a través de la Dirección General de Seguridad y Protección, hizo del conocimiento que la información solicitada, fue clasificada como reservada, por lo que hizo entrega del Acta de la Centésima Octogésima Sesión Extraordinaria del Comité de Transparencia del Municipio de Toluca, de fecha veintiocho </w:t>
      </w:r>
      <w:r w:rsidRPr="005D02EA">
        <w:rPr>
          <w:rFonts w:ascii="Palatino Linotype" w:eastAsia="Palatino Linotype" w:hAnsi="Palatino Linotype" w:cs="Palatino Linotype"/>
          <w:sz w:val="22"/>
          <w:szCs w:val="22"/>
        </w:rPr>
        <w:lastRenderedPageBreak/>
        <w:t>de febrero de dos mil veinticinco, en la que se aprobó mediante el acuerdo número CT/SE/180/02/2025, la clasificación como reservada en su totalidad, por un periodo de 3 años, de la información contenida en los “</w:t>
      </w:r>
      <w:r w:rsidRPr="005D02EA">
        <w:rPr>
          <w:rFonts w:ascii="Palatino Linotype" w:eastAsia="Palatino Linotype" w:hAnsi="Palatino Linotype" w:cs="Palatino Linotype"/>
          <w:b/>
          <w:bCs/>
          <w:i/>
          <w:sz w:val="22"/>
          <w:szCs w:val="22"/>
          <w:u w:val="single"/>
        </w:rPr>
        <w:t>Oficios</w:t>
      </w:r>
      <w:r w:rsidRPr="005D02EA">
        <w:rPr>
          <w:rFonts w:ascii="Palatino Linotype" w:eastAsia="Palatino Linotype" w:hAnsi="Palatino Linotype" w:cs="Palatino Linotype"/>
          <w:i/>
          <w:sz w:val="22"/>
          <w:szCs w:val="22"/>
        </w:rPr>
        <w:t xml:space="preserve"> firmados por el Director General de Seguridad y Protección”</w:t>
      </w:r>
      <w:r w:rsidRPr="005D02EA">
        <w:rPr>
          <w:rFonts w:ascii="Palatino Linotype" w:eastAsia="Palatino Linotype" w:hAnsi="Palatino Linotype" w:cs="Palatino Linotype"/>
          <w:sz w:val="22"/>
          <w:szCs w:val="22"/>
        </w:rPr>
        <w:t>, con fundamento en los artículos 54 de la Ley de Seguridad Nacional; 110 de la Ley General del Sistema Nacional de Seguridad Pública; 27 у 81 fracciones I, II y III de la Ley de Seguridad del Estado de México; 6, 76, 77, 78 у 79 de la Ley de Protección de Datos Personales en Posesión de Sujetos Obligados del Estado de México; 140 fracciones IV, VI, VIII, IX, X y XI y demás aplicables de la Ley de Transparencia y Acceso a la Información Pública del Estado de México y Municipios.</w:t>
      </w:r>
    </w:p>
    <w:p w14:paraId="6F916832" w14:textId="51F1FDDA" w:rsidR="00D43543" w:rsidRPr="005D02EA" w:rsidRDefault="00D9591D">
      <w:pPr>
        <w:spacing w:before="240" w:after="240"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Inconforme con la respuesta, el hoy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xml:space="preserve"> interpuso el recurso de revisión que se analiza en el presente asunto, por medio del cual se inconformó en lo medular de la negativa de la información derivada de la reserva de los documentos. </w:t>
      </w:r>
    </w:p>
    <w:p w14:paraId="38572EB1" w14:textId="40D51043" w:rsidR="00D43543" w:rsidRPr="005D02EA" w:rsidRDefault="00FD30C1">
      <w:pPr>
        <w:tabs>
          <w:tab w:val="left" w:pos="4962"/>
        </w:tabs>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E</w:t>
      </w:r>
      <w:r w:rsidR="00D9591D" w:rsidRPr="005D02EA">
        <w:rPr>
          <w:rFonts w:ascii="Palatino Linotype" w:eastAsia="Palatino Linotype" w:hAnsi="Palatino Linotype" w:cs="Palatino Linotype"/>
          <w:sz w:val="22"/>
          <w:szCs w:val="22"/>
        </w:rPr>
        <w:t xml:space="preserve">s así que, el </w:t>
      </w:r>
      <w:r w:rsidR="00D9591D" w:rsidRPr="005D02EA">
        <w:rPr>
          <w:rFonts w:ascii="Palatino Linotype" w:eastAsia="Palatino Linotype" w:hAnsi="Palatino Linotype" w:cs="Palatino Linotype"/>
          <w:b/>
          <w:sz w:val="22"/>
          <w:szCs w:val="22"/>
        </w:rPr>
        <w:t xml:space="preserve">Sujeto Obligado </w:t>
      </w:r>
      <w:r w:rsidR="00D9591D" w:rsidRPr="005D02EA">
        <w:rPr>
          <w:rFonts w:ascii="Palatino Linotype" w:eastAsia="Palatino Linotype" w:hAnsi="Palatino Linotype" w:cs="Palatino Linotype"/>
          <w:sz w:val="22"/>
          <w:szCs w:val="22"/>
        </w:rPr>
        <w:t xml:space="preserve">en informe justificado ratificó su respuesta inicial, mientras que la parte </w:t>
      </w:r>
      <w:r w:rsidR="00D9591D" w:rsidRPr="005D02EA">
        <w:rPr>
          <w:rFonts w:ascii="Palatino Linotype" w:eastAsia="Palatino Linotype" w:hAnsi="Palatino Linotype" w:cs="Palatino Linotype"/>
          <w:b/>
          <w:sz w:val="22"/>
          <w:szCs w:val="22"/>
        </w:rPr>
        <w:t>Recurrente</w:t>
      </w:r>
      <w:r w:rsidR="00D9591D" w:rsidRPr="005D02EA">
        <w:rPr>
          <w:rFonts w:ascii="Palatino Linotype" w:eastAsia="Palatino Linotype" w:hAnsi="Palatino Linotype" w:cs="Palatino Linotype"/>
          <w:sz w:val="22"/>
          <w:szCs w:val="22"/>
        </w:rPr>
        <w:t xml:space="preserve">, fue omisa en realizar alguna manifestación al respecto. </w:t>
      </w:r>
    </w:p>
    <w:p w14:paraId="4DE44BC6" w14:textId="58DB9E50" w:rsidR="001D0BB1" w:rsidRPr="005D02EA" w:rsidRDefault="00FD30C1" w:rsidP="0053433F">
      <w:pPr>
        <w:spacing w:before="240" w:after="240"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Luego entonces como la reserva invocada por el </w:t>
      </w:r>
      <w:r w:rsidR="001D0BB1"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únicamente se re</w:t>
      </w:r>
      <w:r w:rsidR="001D0BB1" w:rsidRPr="005D02EA">
        <w:rPr>
          <w:rFonts w:ascii="Palatino Linotype" w:eastAsia="Palatino Linotype" w:hAnsi="Palatino Linotype" w:cs="Palatino Linotype"/>
          <w:sz w:val="22"/>
          <w:szCs w:val="22"/>
        </w:rPr>
        <w:t>fiere a los oficios, no así a los escritos</w:t>
      </w:r>
      <w:r w:rsidRPr="005D02EA">
        <w:rPr>
          <w:rFonts w:ascii="Palatino Linotype" w:eastAsia="Palatino Linotype" w:hAnsi="Palatino Linotype" w:cs="Palatino Linotype"/>
          <w:sz w:val="22"/>
          <w:szCs w:val="22"/>
        </w:rPr>
        <w:t xml:space="preserve"> o memos</w:t>
      </w:r>
      <w:r w:rsidR="0053433F" w:rsidRPr="005D02EA">
        <w:rPr>
          <w:rFonts w:ascii="Palatino Linotype" w:eastAsia="Palatino Linotype" w:hAnsi="Palatino Linotype" w:cs="Palatino Linotype"/>
          <w:sz w:val="22"/>
          <w:szCs w:val="22"/>
        </w:rPr>
        <w:t xml:space="preserve"> firmados por el Director General de Seguridad Pública</w:t>
      </w:r>
      <w:r w:rsidR="00B84F8E" w:rsidRPr="005D02EA">
        <w:rPr>
          <w:rFonts w:ascii="Palatino Linotype" w:eastAsia="Palatino Linotype" w:hAnsi="Palatino Linotype" w:cs="Palatino Linotype"/>
          <w:sz w:val="22"/>
          <w:szCs w:val="22"/>
        </w:rPr>
        <w:t xml:space="preserve">; y en atención a que </w:t>
      </w:r>
      <w:r w:rsidR="0053433F" w:rsidRPr="005D02EA">
        <w:rPr>
          <w:rFonts w:ascii="Palatino Linotype" w:eastAsia="Palatino Linotype" w:hAnsi="Palatino Linotype" w:cs="Palatino Linotype"/>
          <w:sz w:val="22"/>
          <w:szCs w:val="22"/>
        </w:rPr>
        <w:t xml:space="preserve">la parte </w:t>
      </w:r>
      <w:r w:rsidR="0053433F" w:rsidRPr="005D02EA">
        <w:rPr>
          <w:rFonts w:ascii="Palatino Linotype" w:eastAsia="Palatino Linotype" w:hAnsi="Palatino Linotype" w:cs="Palatino Linotype"/>
          <w:b/>
          <w:sz w:val="22"/>
          <w:szCs w:val="22"/>
        </w:rPr>
        <w:t>Recurrente</w:t>
      </w:r>
      <w:r w:rsidR="0053433F" w:rsidRPr="005D02EA">
        <w:rPr>
          <w:rFonts w:ascii="Palatino Linotype" w:eastAsia="Palatino Linotype" w:hAnsi="Palatino Linotype" w:cs="Palatino Linotype"/>
          <w:sz w:val="22"/>
          <w:szCs w:val="22"/>
        </w:rPr>
        <w:t xml:space="preserve"> impugnó </w:t>
      </w:r>
      <w:r w:rsidR="00B84F8E" w:rsidRPr="005D02EA">
        <w:rPr>
          <w:rFonts w:ascii="Palatino Linotype" w:eastAsia="Palatino Linotype" w:hAnsi="Palatino Linotype" w:cs="Palatino Linotype"/>
          <w:sz w:val="22"/>
          <w:szCs w:val="22"/>
        </w:rPr>
        <w:t xml:space="preserve">únicamente la reserva </w:t>
      </w:r>
      <w:r w:rsidR="001D0BB1" w:rsidRPr="005D02EA">
        <w:rPr>
          <w:rFonts w:ascii="Palatino Linotype" w:eastAsia="Palatino Linotype" w:hAnsi="Palatino Linotype" w:cs="Palatino Linotype"/>
          <w:sz w:val="22"/>
          <w:szCs w:val="22"/>
        </w:rPr>
        <w:t xml:space="preserve">del </w:t>
      </w:r>
      <w:r w:rsidR="00035DB0" w:rsidRPr="005D02EA">
        <w:rPr>
          <w:rFonts w:ascii="Palatino Linotype" w:eastAsia="Palatino Linotype" w:hAnsi="Palatino Linotype" w:cs="Palatino Linotype"/>
          <w:b/>
          <w:sz w:val="22"/>
          <w:szCs w:val="22"/>
        </w:rPr>
        <w:t xml:space="preserve">Sujeto Obligado, </w:t>
      </w:r>
      <w:r w:rsidR="00035DB0" w:rsidRPr="005D02EA">
        <w:rPr>
          <w:rFonts w:ascii="Palatino Linotype" w:eastAsia="Palatino Linotype" w:hAnsi="Palatino Linotype" w:cs="Palatino Linotype"/>
          <w:sz w:val="22"/>
          <w:szCs w:val="22"/>
        </w:rPr>
        <w:t xml:space="preserve">es que </w:t>
      </w:r>
      <w:r w:rsidR="001D0BB1" w:rsidRPr="005D02EA">
        <w:rPr>
          <w:rFonts w:ascii="Palatino Linotype" w:eastAsia="Palatino Linotype" w:hAnsi="Palatino Linotype" w:cs="Palatino Linotype"/>
          <w:sz w:val="22"/>
          <w:szCs w:val="22"/>
        </w:rPr>
        <w:t xml:space="preserve">la parte de la información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001D0BB1" w:rsidRPr="005D02EA">
        <w:rPr>
          <w:rFonts w:ascii="Palatino Linotype" w:eastAsia="Palatino Linotype" w:hAnsi="Palatino Linotype" w:cs="Palatino Linotype"/>
          <w:b/>
          <w:sz w:val="22"/>
          <w:szCs w:val="22"/>
        </w:rPr>
        <w:t>Sujeto Obligado</w:t>
      </w:r>
      <w:r w:rsidR="001D0BB1" w:rsidRPr="005D02EA">
        <w:rPr>
          <w:rFonts w:ascii="Palatino Linotype" w:eastAsia="Palatino Linotype" w:hAnsi="Palatino Linotype" w:cs="Palatino Linotype"/>
          <w:sz w:val="22"/>
          <w:szCs w:val="22"/>
        </w:rPr>
        <w:t>, satisface parte de la solicitud presentada.</w:t>
      </w:r>
    </w:p>
    <w:p w14:paraId="4A3BD028" w14:textId="77777777" w:rsidR="001D0BB1" w:rsidRPr="005D02EA" w:rsidRDefault="001D0BB1" w:rsidP="001D0BB1">
      <w:pPr>
        <w:spacing w:line="360" w:lineRule="auto"/>
        <w:jc w:val="both"/>
        <w:rPr>
          <w:rFonts w:ascii="Palatino Linotype" w:eastAsia="Palatino Linotype" w:hAnsi="Palatino Linotype" w:cs="Palatino Linotype"/>
          <w:sz w:val="22"/>
          <w:szCs w:val="22"/>
        </w:rPr>
      </w:pPr>
    </w:p>
    <w:p w14:paraId="73AD7794" w14:textId="77777777" w:rsidR="001D0BB1" w:rsidRPr="005D02EA" w:rsidRDefault="001D0BB1" w:rsidP="001D0BB1">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lastRenderedPageBreak/>
        <w:t xml:space="preserve">Lo anterior es así, debido a que cuando un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xml:space="preserve"> impugna la respuesta del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w:t>
      </w:r>
      <w:r w:rsidRPr="005D02EA">
        <w:rPr>
          <w:rFonts w:ascii="Palatino Linotype" w:eastAsia="Palatino Linotype" w:hAnsi="Palatino Linotype" w:cs="Palatino Linotype"/>
          <w:b/>
          <w:sz w:val="22"/>
          <w:szCs w:val="22"/>
        </w:rPr>
        <w:t>la parte Recurrente</w:t>
      </w:r>
      <w:r w:rsidRPr="005D02EA">
        <w:rPr>
          <w:rFonts w:ascii="Palatino Linotype" w:eastAsia="Palatino Linotype" w:hAnsi="Palatino Linotype" w:cs="Palatino Linotype"/>
          <w:sz w:val="22"/>
          <w:szCs w:val="22"/>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0D15BEE" w14:textId="77777777" w:rsidR="001D0BB1" w:rsidRPr="005D02EA" w:rsidRDefault="001D0BB1" w:rsidP="001D0BB1">
      <w:pPr>
        <w:spacing w:line="276" w:lineRule="auto"/>
        <w:ind w:left="851" w:right="616"/>
        <w:jc w:val="both"/>
        <w:rPr>
          <w:rFonts w:ascii="Palatino Linotype" w:eastAsia="Palatino Linotype" w:hAnsi="Palatino Linotype" w:cs="Palatino Linotype"/>
          <w:i/>
          <w:sz w:val="22"/>
          <w:szCs w:val="22"/>
        </w:rPr>
      </w:pPr>
    </w:p>
    <w:p w14:paraId="5AC09A58" w14:textId="77777777" w:rsidR="001D0BB1" w:rsidRPr="005D02EA" w:rsidRDefault="001D0BB1" w:rsidP="001D0BB1">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r w:rsidRPr="005D02EA">
        <w:rPr>
          <w:rFonts w:ascii="Palatino Linotype" w:eastAsia="Palatino Linotype" w:hAnsi="Palatino Linotype" w:cs="Palatino Linotype"/>
          <w:b/>
          <w:i/>
          <w:sz w:val="22"/>
          <w:szCs w:val="22"/>
        </w:rPr>
        <w:t xml:space="preserve">REVISIÓN EN AMPARO. LOS RESOLUTIVOS NO COMBATIDOS DEBEN DECLARARSE FIRMES. </w:t>
      </w:r>
      <w:r w:rsidRPr="005D02E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9EDF67D" w14:textId="77777777" w:rsidR="001D0BB1" w:rsidRPr="005D02EA" w:rsidRDefault="001D0BB1" w:rsidP="001D0BB1">
      <w:pPr>
        <w:spacing w:line="276" w:lineRule="auto"/>
        <w:ind w:left="851" w:right="616"/>
        <w:jc w:val="both"/>
        <w:rPr>
          <w:rFonts w:ascii="Palatino Linotype" w:eastAsia="Palatino Linotype" w:hAnsi="Palatino Linotype" w:cs="Palatino Linotype"/>
          <w:i/>
          <w:sz w:val="22"/>
          <w:szCs w:val="22"/>
        </w:rPr>
      </w:pPr>
    </w:p>
    <w:p w14:paraId="2915EF0E" w14:textId="77777777" w:rsidR="001D0BB1" w:rsidRPr="005D02EA" w:rsidRDefault="001D0BB1" w:rsidP="001D0BB1">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Consecuentemente, se reitera que la parte de la solicitud que no fue impugnada debe declararse consentida por la parte</w:t>
      </w:r>
      <w:r w:rsidRPr="005D02EA">
        <w:rPr>
          <w:rFonts w:ascii="Palatino Linotype" w:eastAsia="Palatino Linotype" w:hAnsi="Palatino Linotype" w:cs="Palatino Linotype"/>
          <w:b/>
          <w:sz w:val="22"/>
          <w:szCs w:val="22"/>
        </w:rPr>
        <w:t xml:space="preserve"> Recurrente</w:t>
      </w:r>
      <w:r w:rsidRPr="005D02EA">
        <w:rPr>
          <w:rFonts w:ascii="Palatino Linotype" w:eastAsia="Palatino Linotype" w:hAnsi="Palatino Linotype" w:cs="Palatino Linotype"/>
          <w:sz w:val="22"/>
          <w:szCs w:val="22"/>
        </w:rPr>
        <w:t>, en razón de que no se realizaron manifestaciones de inconformidad, por lo que no pueden producirse efectos jurídicos tendentes a revocar, confirmar o modificar el acto reclamado ya que se infiere un consentimiento de la parte</w:t>
      </w:r>
      <w:r w:rsidRPr="005D02EA">
        <w:rPr>
          <w:rFonts w:ascii="Palatino Linotype" w:eastAsia="Palatino Linotype" w:hAnsi="Palatino Linotype" w:cs="Palatino Linotype"/>
          <w:b/>
          <w:sz w:val="22"/>
          <w:szCs w:val="22"/>
        </w:rPr>
        <w:t xml:space="preserve"> Recurrente</w:t>
      </w:r>
      <w:r w:rsidRPr="005D02EA">
        <w:rPr>
          <w:rFonts w:ascii="Palatino Linotype" w:eastAsia="Palatino Linotype" w:hAnsi="Palatino Linotype" w:cs="Palatino Linotype"/>
          <w:sz w:val="22"/>
          <w:szCs w:val="22"/>
        </w:rPr>
        <w:t xml:space="preserve"> ante la falta de impugnación eficaz. </w:t>
      </w:r>
    </w:p>
    <w:p w14:paraId="4980B72A" w14:textId="77777777" w:rsidR="001D0BB1" w:rsidRPr="005D02EA" w:rsidRDefault="001D0BB1" w:rsidP="001D0BB1">
      <w:pPr>
        <w:spacing w:line="360" w:lineRule="auto"/>
        <w:jc w:val="both"/>
        <w:rPr>
          <w:rFonts w:ascii="Palatino Linotype" w:eastAsia="Palatino Linotype" w:hAnsi="Palatino Linotype" w:cs="Palatino Linotype"/>
          <w:sz w:val="22"/>
          <w:szCs w:val="22"/>
        </w:rPr>
      </w:pPr>
    </w:p>
    <w:p w14:paraId="69FFA03F" w14:textId="77777777" w:rsidR="001D0BB1" w:rsidRPr="005D02EA" w:rsidRDefault="001D0BB1" w:rsidP="001D0BB1">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Sirve de sustento a lo anterior por analogía la tesis jurisprudencial número VI.3o.C. J/60, publicada en el Semanario Judicial de la Federación y su Gaceta bajo el número de registro 176,608 que a la letra dice:</w:t>
      </w:r>
    </w:p>
    <w:p w14:paraId="0EB37080" w14:textId="77777777" w:rsidR="001D0BB1" w:rsidRPr="005D02EA" w:rsidRDefault="001D0BB1" w:rsidP="001D0BB1">
      <w:pPr>
        <w:spacing w:line="360" w:lineRule="auto"/>
        <w:jc w:val="both"/>
        <w:rPr>
          <w:rFonts w:ascii="Palatino Linotype" w:eastAsia="Palatino Linotype" w:hAnsi="Palatino Linotype" w:cs="Palatino Linotype"/>
          <w:sz w:val="22"/>
          <w:szCs w:val="22"/>
        </w:rPr>
      </w:pPr>
    </w:p>
    <w:p w14:paraId="14EF8949" w14:textId="77777777" w:rsidR="001D0BB1" w:rsidRPr="005D02EA" w:rsidRDefault="001D0BB1" w:rsidP="001D0BB1">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lastRenderedPageBreak/>
        <w:t>“</w:t>
      </w:r>
      <w:r w:rsidRPr="005D02EA">
        <w:rPr>
          <w:rFonts w:ascii="Palatino Linotype" w:eastAsia="Palatino Linotype" w:hAnsi="Palatino Linotype" w:cs="Palatino Linotype"/>
          <w:b/>
          <w:i/>
          <w:sz w:val="22"/>
          <w:szCs w:val="22"/>
        </w:rPr>
        <w:t xml:space="preserve">ACTOS CONSENTIDOS. SON LOS QUE NO SE IMPUGNAN MEDIANTE EL RECURSO IDÓNEO. </w:t>
      </w:r>
      <w:r w:rsidRPr="005D02EA">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5D02EA">
        <w:rPr>
          <w:rFonts w:ascii="Palatino Linotype" w:eastAsia="Palatino Linotype" w:hAnsi="Palatino Linotype" w:cs="Palatino Linotype"/>
          <w:i/>
          <w:sz w:val="22"/>
          <w:szCs w:val="22"/>
        </w:rPr>
        <w:t>ya que</w:t>
      </w:r>
      <w:proofErr w:type="gramEnd"/>
      <w:r w:rsidRPr="005D02EA">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472847E" w14:textId="77777777" w:rsidR="001D0BB1" w:rsidRPr="005D02EA" w:rsidRDefault="001D0BB1" w:rsidP="001D0BB1">
      <w:pPr>
        <w:spacing w:line="276" w:lineRule="auto"/>
        <w:ind w:left="851" w:right="616"/>
        <w:jc w:val="both"/>
        <w:rPr>
          <w:rFonts w:ascii="Palatino Linotype" w:eastAsia="Palatino Linotype" w:hAnsi="Palatino Linotype" w:cs="Palatino Linotype"/>
          <w:sz w:val="22"/>
          <w:szCs w:val="22"/>
        </w:rPr>
      </w:pPr>
    </w:p>
    <w:p w14:paraId="3B7C4C93" w14:textId="3BA50D41" w:rsidR="00FD30C1" w:rsidRPr="005D02EA" w:rsidRDefault="001D0BB1" w:rsidP="00035DB0">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Ahora bien, a efecto de garantizar el efectivo ejercicio del derecho de acceso a la información pública que asiste al particular, resulta conveniente reiterar que el presente análisis versará </w:t>
      </w:r>
      <w:r w:rsidR="00FD30C1" w:rsidRPr="005D02EA">
        <w:rPr>
          <w:rFonts w:ascii="Palatino Linotype" w:eastAsia="Palatino Linotype" w:hAnsi="Palatino Linotype" w:cs="Palatino Linotype"/>
          <w:sz w:val="22"/>
          <w:szCs w:val="22"/>
        </w:rPr>
        <w:t xml:space="preserve">únicamente </w:t>
      </w:r>
      <w:r w:rsidR="00035DB0" w:rsidRPr="005D02EA">
        <w:rPr>
          <w:rFonts w:ascii="Palatino Linotype" w:eastAsia="Palatino Linotype" w:hAnsi="Palatino Linotype" w:cs="Palatino Linotype"/>
          <w:sz w:val="22"/>
          <w:szCs w:val="22"/>
        </w:rPr>
        <w:t xml:space="preserve">respecto a </w:t>
      </w:r>
      <w:r w:rsidR="00FD30C1" w:rsidRPr="005D02EA">
        <w:rPr>
          <w:rFonts w:ascii="Palatino Linotype" w:eastAsia="Palatino Linotype" w:hAnsi="Palatino Linotype" w:cs="Palatino Linotype"/>
          <w:sz w:val="22"/>
          <w:szCs w:val="22"/>
        </w:rPr>
        <w:t xml:space="preserve">la reserva de los oficios </w:t>
      </w:r>
      <w:r w:rsidR="00035DB0" w:rsidRPr="005D02EA">
        <w:rPr>
          <w:rFonts w:ascii="Palatino Linotype" w:eastAsia="Palatino Linotype" w:hAnsi="Palatino Linotype" w:cs="Palatino Linotype"/>
          <w:sz w:val="22"/>
          <w:szCs w:val="22"/>
        </w:rPr>
        <w:t xml:space="preserve">firmados por el </w:t>
      </w:r>
      <w:proofErr w:type="gramStart"/>
      <w:r w:rsidR="00035DB0" w:rsidRPr="005D02EA">
        <w:rPr>
          <w:rFonts w:ascii="Palatino Linotype" w:eastAsia="Palatino Linotype" w:hAnsi="Palatino Linotype" w:cs="Palatino Linotype"/>
          <w:sz w:val="22"/>
          <w:szCs w:val="22"/>
        </w:rPr>
        <w:t>Director General</w:t>
      </w:r>
      <w:proofErr w:type="gramEnd"/>
      <w:r w:rsidR="00035DB0" w:rsidRPr="005D02EA">
        <w:rPr>
          <w:rFonts w:ascii="Palatino Linotype" w:eastAsia="Palatino Linotype" w:hAnsi="Palatino Linotype" w:cs="Palatino Linotype"/>
          <w:sz w:val="22"/>
          <w:szCs w:val="22"/>
        </w:rPr>
        <w:t xml:space="preserve"> de Seguridad Pública. </w:t>
      </w:r>
    </w:p>
    <w:p w14:paraId="4EEA3B91" w14:textId="77777777" w:rsidR="00FD30C1" w:rsidRPr="005D02EA" w:rsidRDefault="00FD30C1">
      <w:pPr>
        <w:spacing w:line="360" w:lineRule="auto"/>
        <w:ind w:right="49"/>
        <w:jc w:val="both"/>
        <w:rPr>
          <w:rFonts w:ascii="Palatino Linotype" w:eastAsia="Palatino Linotype" w:hAnsi="Palatino Linotype" w:cs="Palatino Linotype"/>
          <w:sz w:val="22"/>
          <w:szCs w:val="22"/>
        </w:rPr>
      </w:pPr>
    </w:p>
    <w:p w14:paraId="38885D1A" w14:textId="7ADC5DF4" w:rsidR="00D43543" w:rsidRPr="005D02EA" w:rsidRDefault="00D9591D">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Expuestas las posturas de las partes, conviene traer a contexto el artículo 12 de la Ley en la materia, que establece que los sujetos obligados proporcionarán la información pública que se les requiera y que obre en sus archivos, en el estado en que esta se encuentre, de tal forma que, lo solicitado, al tratarse de documentación, es información que puede obrar en los archivos del Sujeto Obligado y, que, por ende, es de acceso público. </w:t>
      </w:r>
    </w:p>
    <w:p w14:paraId="62687540"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5C670B0A"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Para tal efecto, resulta procedente señalar que la administración pública municipal se auxiliara de una Dirección General de Seguridad y Protección y de las siguientes dependencias, de conformidad con el artículo 90 del Bando Municipal de Toluca 2025: </w:t>
      </w:r>
    </w:p>
    <w:p w14:paraId="781F62F5"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67245985"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r w:rsidRPr="005D02EA">
        <w:rPr>
          <w:rFonts w:ascii="Palatino Linotype" w:eastAsia="Palatino Linotype" w:hAnsi="Palatino Linotype" w:cs="Palatino Linotype"/>
          <w:b/>
          <w:i/>
          <w:sz w:val="22"/>
          <w:szCs w:val="22"/>
        </w:rPr>
        <w:t xml:space="preserve">Artículo 90. </w:t>
      </w:r>
      <w:r w:rsidRPr="005D02EA">
        <w:rPr>
          <w:rFonts w:ascii="Palatino Linotype" w:eastAsia="Palatino Linotype" w:hAnsi="Palatino Linotype" w:cs="Palatino Linotype"/>
          <w:i/>
          <w:sz w:val="22"/>
          <w:szCs w:val="22"/>
        </w:rPr>
        <w:t xml:space="preserve">Para la consulta, estudio, planeación, gestión y ejecución en los diferentes ámbitos de aplicación de la Administración Pública Municipal, la o el </w:t>
      </w:r>
      <w:proofErr w:type="gramStart"/>
      <w:r w:rsidRPr="005D02EA">
        <w:rPr>
          <w:rFonts w:ascii="Palatino Linotype" w:eastAsia="Palatino Linotype" w:hAnsi="Palatino Linotype" w:cs="Palatino Linotype"/>
          <w:i/>
          <w:sz w:val="22"/>
          <w:szCs w:val="22"/>
        </w:rPr>
        <w:t>Presidente</w:t>
      </w:r>
      <w:proofErr w:type="gramEnd"/>
      <w:r w:rsidRPr="005D02EA">
        <w:rPr>
          <w:rFonts w:ascii="Palatino Linotype" w:eastAsia="Palatino Linotype" w:hAnsi="Palatino Linotype" w:cs="Palatino Linotype"/>
          <w:i/>
          <w:sz w:val="22"/>
          <w:szCs w:val="22"/>
        </w:rPr>
        <w:t xml:space="preserv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788B41B8" w14:textId="77777777" w:rsidR="00D43543" w:rsidRPr="005D02EA" w:rsidRDefault="00D43543">
      <w:pPr>
        <w:spacing w:line="276" w:lineRule="auto"/>
        <w:ind w:left="851" w:right="616"/>
        <w:jc w:val="both"/>
        <w:rPr>
          <w:rFonts w:ascii="Palatino Linotype" w:eastAsia="Palatino Linotype" w:hAnsi="Palatino Linotype" w:cs="Palatino Linotype"/>
          <w:i/>
          <w:sz w:val="22"/>
          <w:szCs w:val="22"/>
        </w:rPr>
      </w:pPr>
    </w:p>
    <w:p w14:paraId="11651A18"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lastRenderedPageBreak/>
        <w:t>I. DEPENDENCIAS:</w:t>
      </w:r>
    </w:p>
    <w:p w14:paraId="6EA6D412"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 Secretaría del Ayuntamiento;</w:t>
      </w:r>
    </w:p>
    <w:p w14:paraId="1122B013"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2. Tesorería Municipal;</w:t>
      </w:r>
    </w:p>
    <w:p w14:paraId="7AC9945A"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3.Órgano Interno de Control;</w:t>
      </w:r>
    </w:p>
    <w:p w14:paraId="224D3D87"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4. Dirección General de Gobierno;</w:t>
      </w:r>
    </w:p>
    <w:p w14:paraId="083E2F33"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5. Dirección General de Seguridad y Protección</w:t>
      </w:r>
      <w:r w:rsidRPr="005D02EA">
        <w:rPr>
          <w:rFonts w:ascii="Palatino Linotype" w:eastAsia="Palatino Linotype" w:hAnsi="Palatino Linotype" w:cs="Palatino Linotype"/>
          <w:i/>
          <w:sz w:val="22"/>
          <w:szCs w:val="22"/>
        </w:rPr>
        <w:t>;</w:t>
      </w:r>
    </w:p>
    <w:p w14:paraId="54A5721F"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6. Dirección General de Administración;</w:t>
      </w:r>
    </w:p>
    <w:p w14:paraId="6A17EABF"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7. Dirección General de Medio Ambiente;</w:t>
      </w:r>
    </w:p>
    <w:p w14:paraId="32959946"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8. Dirección General de Servicios Públicos;</w:t>
      </w:r>
    </w:p>
    <w:p w14:paraId="3025DDE2"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9. Dirección General de Innovación, Planeación y Gestión Urbana;</w:t>
      </w:r>
    </w:p>
    <w:p w14:paraId="37BDFD92"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10. Dirección General de Obras Públicas;</w:t>
      </w:r>
    </w:p>
    <w:p w14:paraId="0EB5950C"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11. Dirección General de Desarrollo Económico;</w:t>
      </w:r>
    </w:p>
    <w:p w14:paraId="67239A04"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12. Dirección General de Bienestar; y</w:t>
      </w:r>
    </w:p>
    <w:p w14:paraId="5BD86F2E"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13. Dirección General de Educación, Cultura y Turismo.</w:t>
      </w:r>
    </w:p>
    <w:p w14:paraId="192E2EDA" w14:textId="77777777" w:rsidR="00D43543" w:rsidRPr="005D02EA" w:rsidRDefault="00D9591D">
      <w:pP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p>
    <w:p w14:paraId="1BC80D55"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64B428D4" w14:textId="000A1433"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Del precepto citado se advierte que en efecto el Ayuntamiento de Toluca cuenta con una Dirección General de Seguridad y Protección, la cual tiene como objetivo planear, organizar, implementar, medir y controlar los servicios de seguridad pública, vial, de protección civil y urgencias, promoviendo la participación social, su transversalidad, la equidad de género y la justicia cívica, con la finalidad de preservar el orden y la paz social, así como promover la denuncia ciudadana, observando las garantías constitucionales y la normatividad vigente, ello de conformidad con la codificación </w:t>
      </w:r>
      <w:r w:rsidRPr="005D02EA">
        <w:rPr>
          <w:rFonts w:ascii="Palatino Linotype" w:eastAsia="Palatino Linotype" w:hAnsi="Palatino Linotype" w:cs="Palatino Linotype"/>
          <w:i/>
          <w:sz w:val="22"/>
          <w:szCs w:val="22"/>
        </w:rPr>
        <w:t>205010000</w:t>
      </w:r>
      <w:r w:rsidRPr="005D02EA">
        <w:rPr>
          <w:rFonts w:ascii="Palatino Linotype" w:eastAsia="Palatino Linotype" w:hAnsi="Palatino Linotype" w:cs="Palatino Linotype"/>
          <w:sz w:val="22"/>
          <w:szCs w:val="22"/>
        </w:rPr>
        <w:t xml:space="preserve"> del Manual de Organización de la Dirección General de Seguridad y Protección. </w:t>
      </w:r>
    </w:p>
    <w:p w14:paraId="1DB5AB24" w14:textId="5D7349E9" w:rsidR="00154BC7" w:rsidRPr="005D02EA" w:rsidRDefault="00154BC7">
      <w:pPr>
        <w:spacing w:line="360" w:lineRule="auto"/>
        <w:jc w:val="both"/>
        <w:rPr>
          <w:rFonts w:ascii="Palatino Linotype" w:eastAsia="Palatino Linotype" w:hAnsi="Palatino Linotype" w:cs="Palatino Linotype"/>
          <w:sz w:val="22"/>
          <w:szCs w:val="22"/>
        </w:rPr>
      </w:pPr>
    </w:p>
    <w:p w14:paraId="07C94F18"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Ahora bien, en el caso que nos ocupa, derivado de las constancias que obran en el expediente en el que se actúa se advierte que la Unidad de Transparencia, en observancia de lo previsto </w:t>
      </w:r>
      <w:r w:rsidRPr="005D02EA">
        <w:rPr>
          <w:rFonts w:ascii="Palatino Linotype" w:eastAsia="Palatino Linotype" w:hAnsi="Palatino Linotype" w:cs="Palatino Linotype"/>
          <w:sz w:val="22"/>
          <w:szCs w:val="22"/>
        </w:rPr>
        <w:lastRenderedPageBreak/>
        <w:t>en los artículos 53, fracciones II y IV</w:t>
      </w:r>
      <w:r w:rsidRPr="005D02EA">
        <w:rPr>
          <w:rFonts w:ascii="Palatino Linotype" w:eastAsia="Palatino Linotype" w:hAnsi="Palatino Linotype" w:cs="Palatino Linotype"/>
          <w:sz w:val="22"/>
          <w:szCs w:val="22"/>
          <w:vertAlign w:val="superscript"/>
        </w:rPr>
        <w:t xml:space="preserve"> </w:t>
      </w:r>
      <w:r w:rsidRPr="005D02EA">
        <w:rPr>
          <w:rFonts w:ascii="Palatino Linotype" w:eastAsia="Palatino Linotype" w:hAnsi="Palatino Linotype" w:cs="Palatino Linotype"/>
          <w:sz w:val="22"/>
          <w:szCs w:val="22"/>
          <w:vertAlign w:val="superscript"/>
        </w:rPr>
        <w:footnoteReference w:id="1"/>
      </w:r>
      <w:r w:rsidRPr="005D02EA">
        <w:rPr>
          <w:rFonts w:ascii="Palatino Linotype" w:eastAsia="Palatino Linotype" w:hAnsi="Palatino Linotype" w:cs="Palatino Linotype"/>
          <w:sz w:val="22"/>
          <w:szCs w:val="22"/>
        </w:rPr>
        <w:t xml:space="preserve"> y 162</w:t>
      </w:r>
      <w:r w:rsidRPr="005D02EA">
        <w:rPr>
          <w:rFonts w:ascii="Palatino Linotype" w:eastAsia="Palatino Linotype" w:hAnsi="Palatino Linotype" w:cs="Palatino Linotype"/>
          <w:sz w:val="22"/>
          <w:szCs w:val="22"/>
          <w:vertAlign w:val="superscript"/>
        </w:rPr>
        <w:footnoteReference w:id="2"/>
      </w:r>
      <w:r w:rsidRPr="005D02EA">
        <w:rPr>
          <w:rFonts w:ascii="Palatino Linotype" w:eastAsia="Palatino Linotype" w:hAnsi="Palatino Linotype" w:cs="Palatino Linotype"/>
          <w:sz w:val="22"/>
          <w:szCs w:val="22"/>
        </w:rPr>
        <w:t xml:space="preserve"> de la Ley de Transparencia y Acceso a la Información Pública del Estado de México y Municipios, turnó la solicitud de información al área que, de acuerdo con sus facultades, competencias y funciones, pudiera contar con la información materia de la solicitud, esto es la Dirección General de Seguridad y Protección al ser la dependencia de la cual se solicitó la información y quien en ejercicio de sus funciones dio atención a la solicitud de mérito. </w:t>
      </w:r>
    </w:p>
    <w:p w14:paraId="50EBF11B" w14:textId="54F7E071" w:rsidR="00D43543" w:rsidRPr="005D02EA" w:rsidRDefault="00D43543">
      <w:pPr>
        <w:spacing w:line="360" w:lineRule="auto"/>
        <w:jc w:val="both"/>
        <w:rPr>
          <w:rFonts w:ascii="Palatino Linotype" w:eastAsia="Palatino Linotype" w:hAnsi="Palatino Linotype" w:cs="Palatino Linotype"/>
          <w:sz w:val="22"/>
          <w:szCs w:val="22"/>
        </w:rPr>
      </w:pPr>
    </w:p>
    <w:p w14:paraId="446A2658" w14:textId="24546D54" w:rsidR="00154BC7" w:rsidRPr="005D02EA" w:rsidRDefault="00154BC7">
      <w:pPr>
        <w:spacing w:line="360" w:lineRule="auto"/>
        <w:jc w:val="both"/>
        <w:rPr>
          <w:rFonts w:ascii="Palatino Linotype" w:hAnsi="Palatino Linotype"/>
          <w:sz w:val="22"/>
          <w:szCs w:val="22"/>
        </w:rPr>
      </w:pPr>
      <w:r w:rsidRPr="005D02EA">
        <w:rPr>
          <w:rFonts w:ascii="Palatino Linotype" w:hAnsi="Palatino Linotype"/>
          <w:sz w:val="22"/>
          <w:szCs w:val="22"/>
        </w:rPr>
        <w:t xml:space="preserve">Dicho lo anterior, retomando la clasificación como información reservada que el </w:t>
      </w:r>
      <w:r w:rsidRPr="005D02EA">
        <w:rPr>
          <w:rFonts w:ascii="Palatino Linotype" w:hAnsi="Palatino Linotype"/>
          <w:b/>
          <w:sz w:val="22"/>
          <w:szCs w:val="22"/>
        </w:rPr>
        <w:t>Sujeto Obligado</w:t>
      </w:r>
      <w:r w:rsidRPr="005D02EA">
        <w:rPr>
          <w:rFonts w:ascii="Palatino Linotype" w:hAnsi="Palatino Linotype"/>
          <w:sz w:val="22"/>
          <w:szCs w:val="22"/>
        </w:rPr>
        <w:t xml:space="preserve"> realizó respecto de los oficios emitidos por la Dirección General de Seguridad Publica, a criterio de este Órgano Garante conviene analizar la reserva de dicha información, partiendo de las siguientes consideraciones:</w:t>
      </w:r>
    </w:p>
    <w:p w14:paraId="55F2E769" w14:textId="77777777" w:rsidR="00154BC7" w:rsidRPr="005D02EA" w:rsidRDefault="00154BC7">
      <w:pPr>
        <w:spacing w:line="360" w:lineRule="auto"/>
        <w:jc w:val="both"/>
        <w:rPr>
          <w:rFonts w:ascii="Palatino Linotype" w:eastAsia="Palatino Linotype" w:hAnsi="Palatino Linotype" w:cs="Palatino Linotype"/>
          <w:sz w:val="22"/>
          <w:szCs w:val="22"/>
        </w:rPr>
      </w:pPr>
    </w:p>
    <w:p w14:paraId="068D8B27" w14:textId="2BA153DF" w:rsidR="00D43543" w:rsidRPr="005D02EA" w:rsidRDefault="00D9591D">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De las restricciones a la entrega de la información. </w:t>
      </w:r>
    </w:p>
    <w:p w14:paraId="671B6E3F" w14:textId="77777777" w:rsidR="00154BC7" w:rsidRPr="005D02EA" w:rsidRDefault="00154BC7" w:rsidP="00154BC7">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F2011AF" w14:textId="77777777" w:rsidR="00D43543" w:rsidRPr="005D02EA" w:rsidRDefault="00D9591D">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Al respecto, cabe precisar, que conforme al artículo 20 de la Ley de Transparencia y Acceso a la Información Pública del Estado de México y Municipios, ante la negativa de acceso a la información o su inexistencia, el sujeto obligado deberá demostrar que se encuentra en alguna de las excepciones establecidas en la normatividad aplicable.</w:t>
      </w:r>
    </w:p>
    <w:p w14:paraId="0C536176" w14:textId="77777777" w:rsidR="00D43543" w:rsidRPr="005D02EA" w:rsidRDefault="00D43543">
      <w:pPr>
        <w:spacing w:line="360" w:lineRule="auto"/>
        <w:ind w:right="49"/>
        <w:jc w:val="both"/>
        <w:rPr>
          <w:rFonts w:ascii="Palatino Linotype" w:eastAsia="Palatino Linotype" w:hAnsi="Palatino Linotype" w:cs="Palatino Linotype"/>
          <w:sz w:val="22"/>
          <w:szCs w:val="22"/>
        </w:rPr>
      </w:pPr>
    </w:p>
    <w:p w14:paraId="75CE9B25" w14:textId="77777777" w:rsidR="00D43543" w:rsidRPr="005D02EA" w:rsidRDefault="00D9591D">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En ese sentido, según Trujillo, Humberto (2019), en el “Diccionario de Transparencia y Acceso a la Información Pública” (p. 201), </w:t>
      </w:r>
      <w:r w:rsidRPr="005D02EA">
        <w:rPr>
          <w:rFonts w:ascii="Palatino Linotype" w:eastAsia="Palatino Linotype" w:hAnsi="Palatino Linotype" w:cs="Palatino Linotype"/>
          <w:b/>
          <w:sz w:val="22"/>
          <w:szCs w:val="22"/>
        </w:rPr>
        <w:t xml:space="preserve">la negativa de acceso a la información </w:t>
      </w:r>
      <w:r w:rsidRPr="005D02EA">
        <w:rPr>
          <w:rFonts w:ascii="Palatino Linotype" w:eastAsia="Palatino Linotype" w:hAnsi="Palatino Linotype" w:cs="Palatino Linotype"/>
          <w:sz w:val="22"/>
          <w:szCs w:val="22"/>
        </w:rPr>
        <w:t xml:space="preserve">ocurre </w:t>
      </w:r>
      <w:r w:rsidRPr="005D02EA">
        <w:rPr>
          <w:rFonts w:ascii="Palatino Linotype" w:eastAsia="Palatino Linotype" w:hAnsi="Palatino Linotype" w:cs="Palatino Linotype"/>
          <w:sz w:val="22"/>
          <w:szCs w:val="22"/>
        </w:rPr>
        <w:lastRenderedPageBreak/>
        <w:t xml:space="preserve">cuanto de manera fundada y motivada, una autoridad la niega o la limita, por alguna de las siguientes razones: </w:t>
      </w:r>
    </w:p>
    <w:p w14:paraId="1222CBE3" w14:textId="77777777" w:rsidR="00D43543" w:rsidRPr="005D02EA" w:rsidRDefault="00D43543">
      <w:pPr>
        <w:spacing w:line="360" w:lineRule="auto"/>
        <w:ind w:right="49"/>
        <w:jc w:val="both"/>
        <w:rPr>
          <w:rFonts w:ascii="Palatino Linotype" w:eastAsia="Palatino Linotype" w:hAnsi="Palatino Linotype" w:cs="Palatino Linotype"/>
          <w:sz w:val="22"/>
          <w:szCs w:val="22"/>
        </w:rPr>
      </w:pPr>
    </w:p>
    <w:p w14:paraId="5BF4773D" w14:textId="77777777" w:rsidR="00D43543" w:rsidRPr="005D02EA" w:rsidRDefault="00D9591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D02EA">
        <w:rPr>
          <w:rFonts w:ascii="Palatino Linotype" w:eastAsia="Palatino Linotype" w:hAnsi="Palatino Linotype" w:cs="Palatino Linotype"/>
          <w:b/>
          <w:sz w:val="22"/>
          <w:szCs w:val="22"/>
        </w:rPr>
        <w:t xml:space="preserve">La inexistencia de la información (p. 171): </w:t>
      </w:r>
      <w:r w:rsidRPr="005D02EA">
        <w:rPr>
          <w:rFonts w:ascii="Palatino Linotype" w:eastAsia="Palatino Linotype" w:hAnsi="Palatino Linotype" w:cs="Palatino Linotype"/>
          <w:sz w:val="22"/>
          <w:szCs w:val="22"/>
        </w:rPr>
        <w:t>Sucede cuando la información solicitada no se encuentra en los archivos públicos o clasificados de los entes sujetos a las Leyes de Transparencia.</w:t>
      </w:r>
    </w:p>
    <w:p w14:paraId="4C8F4CB4" w14:textId="77777777" w:rsidR="00D43543" w:rsidRPr="005D02EA" w:rsidRDefault="00D9591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D02EA">
        <w:rPr>
          <w:rFonts w:ascii="Palatino Linotype" w:eastAsia="Palatino Linotype" w:hAnsi="Palatino Linotype" w:cs="Palatino Linotype"/>
          <w:b/>
          <w:sz w:val="22"/>
          <w:szCs w:val="22"/>
        </w:rPr>
        <w:t xml:space="preserve">La incompetencia del Sujeto Obligado (p. 171): </w:t>
      </w:r>
      <w:r w:rsidRPr="005D02EA">
        <w:rPr>
          <w:rFonts w:ascii="Palatino Linotype" w:eastAsia="Palatino Linotype" w:hAnsi="Palatino Linotype" w:cs="Palatino Linotype"/>
          <w:sz w:val="22"/>
          <w:szCs w:val="22"/>
        </w:rPr>
        <w:t>Ocurre cuando el Sujeto Obligado carece de atribuciones para poseer la información peticionada.</w:t>
      </w:r>
    </w:p>
    <w:p w14:paraId="307E84A9" w14:textId="77777777" w:rsidR="00D43543" w:rsidRPr="005D02EA" w:rsidRDefault="00D9591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5D02EA">
        <w:rPr>
          <w:rFonts w:ascii="Palatino Linotype" w:eastAsia="Palatino Linotype" w:hAnsi="Palatino Linotype" w:cs="Palatino Linotype"/>
          <w:b/>
          <w:sz w:val="22"/>
          <w:szCs w:val="22"/>
          <w:u w:val="single"/>
        </w:rPr>
        <w:t>La clasificación de la información (p. 70): Es el proceso o conjunto de acciones que realizan los sujetos obligados para establecer que determinada información se encuentra en alguno de los supuestos de reserva o confidencialidad establecidos en la legislación en materia de transparencia.</w:t>
      </w:r>
    </w:p>
    <w:p w14:paraId="00B4171F"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17E7BDEE" w14:textId="77777777" w:rsidR="00D43543" w:rsidRPr="005D02EA" w:rsidRDefault="00D9591D">
      <w:pPr>
        <w:spacing w:line="360" w:lineRule="auto"/>
        <w:jc w:val="both"/>
        <w:rPr>
          <w:rFonts w:ascii="Palatino Linotype" w:eastAsia="Palatino Linotype" w:hAnsi="Palatino Linotype" w:cs="Palatino Linotype"/>
          <w:b/>
          <w:sz w:val="22"/>
          <w:szCs w:val="22"/>
        </w:rPr>
      </w:pPr>
      <w:r w:rsidRPr="005D02EA">
        <w:rPr>
          <w:rFonts w:ascii="Palatino Linotype" w:eastAsia="Palatino Linotype" w:hAnsi="Palatino Linotype" w:cs="Palatino Linotype"/>
          <w:sz w:val="22"/>
          <w:szCs w:val="22"/>
        </w:rPr>
        <w:t xml:space="preserve">En ese orden de ideas y en atención a lo anterior, es de señalar que las excepciones al derecho de acceso a la información, consisten en que la documentación sea inexistente, </w:t>
      </w:r>
      <w:r w:rsidRPr="005D02EA">
        <w:rPr>
          <w:rFonts w:ascii="Palatino Linotype" w:eastAsia="Palatino Linotype" w:hAnsi="Palatino Linotype" w:cs="Palatino Linotype"/>
          <w:b/>
          <w:sz w:val="22"/>
          <w:szCs w:val="22"/>
        </w:rPr>
        <w:t>se encuentre clasificada</w:t>
      </w:r>
      <w:r w:rsidRPr="005D02EA">
        <w:rPr>
          <w:rFonts w:ascii="Palatino Linotype" w:eastAsia="Palatino Linotype" w:hAnsi="Palatino Linotype" w:cs="Palatino Linotype"/>
          <w:sz w:val="22"/>
          <w:szCs w:val="22"/>
        </w:rPr>
        <w:t xml:space="preserve">, o bien,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sea incompetente para contar con esta; esto es, la negativa de acceso a la información, recae cuando la documentación no se encuentre en los archivos del sujeto obligado, o bien exista, pero no pueda proporcionarse por contener datos </w:t>
      </w:r>
      <w:r w:rsidRPr="005D02EA">
        <w:rPr>
          <w:rFonts w:ascii="Palatino Linotype" w:eastAsia="Palatino Linotype" w:hAnsi="Palatino Linotype" w:cs="Palatino Linotype"/>
          <w:b/>
          <w:sz w:val="22"/>
          <w:szCs w:val="22"/>
        </w:rPr>
        <w:t>confidenciales o reservados.</w:t>
      </w:r>
    </w:p>
    <w:p w14:paraId="306E19BF" w14:textId="77777777" w:rsidR="00D43543" w:rsidRPr="005D02EA" w:rsidRDefault="00D43543">
      <w:pPr>
        <w:spacing w:line="360" w:lineRule="auto"/>
        <w:jc w:val="both"/>
        <w:rPr>
          <w:rFonts w:ascii="Palatino Linotype" w:eastAsia="Palatino Linotype" w:hAnsi="Palatino Linotype" w:cs="Palatino Linotype"/>
          <w:b/>
          <w:sz w:val="22"/>
          <w:szCs w:val="22"/>
        </w:rPr>
      </w:pPr>
    </w:p>
    <w:p w14:paraId="0ADE81E7"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Así, en los artículos 122, 128 y 130 de la Ley Transparencia y Acceso a la Información Pública del Estado de México y Municipios, se prevé que </w:t>
      </w:r>
      <w:r w:rsidRPr="005D02EA">
        <w:rPr>
          <w:rFonts w:ascii="Palatino Linotype" w:eastAsia="Palatino Linotype" w:hAnsi="Palatino Linotype" w:cs="Palatino Linotype"/>
          <w:b/>
          <w:sz w:val="22"/>
          <w:szCs w:val="22"/>
        </w:rPr>
        <w:t xml:space="preserve">la clasificación </w:t>
      </w:r>
      <w:r w:rsidRPr="005D02EA">
        <w:rPr>
          <w:rFonts w:ascii="Palatino Linotype" w:eastAsia="Palatino Linotype" w:hAnsi="Palatino Linotype" w:cs="Palatino Linotype"/>
          <w:sz w:val="22"/>
          <w:szCs w:val="22"/>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152A3E05"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1099FF67"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lastRenderedPageBreak/>
        <w:t xml:space="preserve">Por lo cual, en los casos en que se niegue el acceso a la información, por actualizarse alguno de los supuestos de clasificación, </w:t>
      </w:r>
      <w:r w:rsidRPr="005D02EA">
        <w:rPr>
          <w:rFonts w:ascii="Palatino Linotype" w:eastAsia="Palatino Linotype" w:hAnsi="Palatino Linotype" w:cs="Palatino Linotype"/>
          <w:b/>
          <w:sz w:val="22"/>
          <w:szCs w:val="22"/>
        </w:rPr>
        <w:t xml:space="preserve">el Comité de Transparencia deberá confirmar, modificar o revocar la decisión; </w:t>
      </w:r>
      <w:r w:rsidRPr="005D02EA">
        <w:rPr>
          <w:rFonts w:ascii="Palatino Linotype" w:eastAsia="Palatino Linotype" w:hAnsi="Palatino Linotype" w:cs="Palatino Linotype"/>
          <w:sz w:val="22"/>
          <w:szCs w:val="22"/>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7EE7C960"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1D255DDA" w14:textId="24473F49" w:rsidR="00D43543" w:rsidRPr="005D02EA" w:rsidRDefault="00D9591D">
      <w:pPr>
        <w:spacing w:line="360" w:lineRule="auto"/>
        <w:jc w:val="both"/>
        <w:rPr>
          <w:rFonts w:ascii="Palatino Linotype" w:eastAsia="Palatino Linotype" w:hAnsi="Palatino Linotype" w:cs="Palatino Linotype"/>
          <w:b/>
          <w:sz w:val="22"/>
          <w:szCs w:val="22"/>
        </w:rPr>
      </w:pPr>
      <w:r w:rsidRPr="005D02EA">
        <w:rPr>
          <w:rFonts w:ascii="Palatino Linotype" w:eastAsia="Palatino Linotype" w:hAnsi="Palatino Linotype" w:cs="Palatino Linotype"/>
          <w:sz w:val="22"/>
          <w:szCs w:val="22"/>
        </w:rPr>
        <w:t xml:space="preserve">Por su parte, según Bonifaz, Leticia (2016), en la “Ley General de Transparencia y Acceso a la Información Pública Comentada” (p. 342), la </w:t>
      </w:r>
      <w:r w:rsidRPr="005D02EA">
        <w:rPr>
          <w:rFonts w:ascii="Palatino Linotype" w:eastAsia="Palatino Linotype" w:hAnsi="Palatino Linotype" w:cs="Palatino Linotype"/>
          <w:b/>
          <w:sz w:val="22"/>
          <w:szCs w:val="22"/>
        </w:rPr>
        <w:t>clasificación de la información</w:t>
      </w:r>
      <w:r w:rsidRPr="005D02EA">
        <w:rPr>
          <w:rFonts w:ascii="Palatino Linotype" w:eastAsia="Palatino Linotype" w:hAnsi="Palatino Linotype" w:cs="Palatino Linotype"/>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5D02EA">
        <w:rPr>
          <w:rFonts w:ascii="Palatino Linotype" w:eastAsia="Palatino Linotype" w:hAnsi="Palatino Linotype" w:cs="Palatino Linotype"/>
          <w:b/>
          <w:sz w:val="22"/>
          <w:szCs w:val="22"/>
        </w:rPr>
        <w:t>de manera adecuada la negativa de información.</w:t>
      </w:r>
    </w:p>
    <w:p w14:paraId="5EDAB3DA" w14:textId="628A722C" w:rsidR="00154BC7" w:rsidRPr="005D02EA" w:rsidRDefault="00154BC7">
      <w:pPr>
        <w:spacing w:line="360" w:lineRule="auto"/>
        <w:jc w:val="both"/>
        <w:rPr>
          <w:rFonts w:ascii="Palatino Linotype" w:eastAsia="Palatino Linotype" w:hAnsi="Palatino Linotype" w:cs="Palatino Linotype"/>
          <w:bCs/>
          <w:sz w:val="22"/>
          <w:szCs w:val="22"/>
        </w:rPr>
      </w:pPr>
    </w:p>
    <w:p w14:paraId="3AC574D6" w14:textId="19E827C0" w:rsidR="00154BC7" w:rsidRPr="005D02EA" w:rsidRDefault="00154BC7">
      <w:pPr>
        <w:spacing w:line="360" w:lineRule="auto"/>
        <w:jc w:val="both"/>
        <w:rPr>
          <w:rFonts w:ascii="Palatino Linotype" w:eastAsia="Palatino Linotype" w:hAnsi="Palatino Linotype" w:cs="Palatino Linotype"/>
          <w:bCs/>
          <w:sz w:val="22"/>
          <w:szCs w:val="22"/>
        </w:rPr>
      </w:pPr>
      <w:r w:rsidRPr="005D02EA">
        <w:rPr>
          <w:rFonts w:ascii="Palatino Linotype" w:eastAsia="Palatino Linotype" w:hAnsi="Palatino Linotype" w:cs="Palatino Linotype"/>
          <w:bCs/>
          <w:sz w:val="22"/>
          <w:szCs w:val="22"/>
        </w:rPr>
        <w:t>Conforme a lo anterior, en el presente caso, el Sujeto Obligado por conducto del servidor público habilitado competente, no señaló que era inexistente la información; al contrario, precisó que no podía proporcionarla al ser reservada; esto es, aludió a una clasificación; al respecto, el Criterio Orientador 29/10, emitido por el Pleno del entonces Instituto Federal de Acceso a la Información y Protección de Datos, precisa lo siguiente:</w:t>
      </w:r>
    </w:p>
    <w:p w14:paraId="7A49B9E0" w14:textId="796CD15D" w:rsidR="00154BC7" w:rsidRPr="005D02EA" w:rsidRDefault="00154BC7">
      <w:pPr>
        <w:spacing w:line="360" w:lineRule="auto"/>
        <w:jc w:val="both"/>
        <w:rPr>
          <w:rFonts w:ascii="Palatino Linotype" w:eastAsia="Palatino Linotype" w:hAnsi="Palatino Linotype" w:cs="Palatino Linotype"/>
          <w:bCs/>
          <w:sz w:val="22"/>
          <w:szCs w:val="22"/>
        </w:rPr>
      </w:pPr>
    </w:p>
    <w:p w14:paraId="5EA8DAE3" w14:textId="15899A3E" w:rsidR="00154BC7" w:rsidRPr="005D02EA" w:rsidRDefault="00154BC7" w:rsidP="00C66D71">
      <w:pPr>
        <w:spacing w:line="276" w:lineRule="auto"/>
        <w:ind w:left="851" w:right="616"/>
        <w:jc w:val="both"/>
        <w:rPr>
          <w:rFonts w:ascii="Palatino Linotype" w:eastAsia="Palatino Linotype" w:hAnsi="Palatino Linotype" w:cs="Palatino Linotype"/>
          <w:bCs/>
          <w:i/>
          <w:iCs/>
          <w:sz w:val="22"/>
          <w:szCs w:val="22"/>
        </w:rPr>
      </w:pPr>
      <w:r w:rsidRPr="005D02EA">
        <w:rPr>
          <w:rFonts w:ascii="Palatino Linotype" w:hAnsi="Palatino Linotype"/>
          <w:i/>
          <w:iCs/>
          <w:sz w:val="22"/>
          <w:szCs w:val="22"/>
        </w:rPr>
        <w:t xml:space="preserve">“La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w:t>
      </w:r>
      <w:r w:rsidRPr="005D02EA">
        <w:rPr>
          <w:rFonts w:ascii="Palatino Linotype" w:hAnsi="Palatino Linotype"/>
          <w:i/>
          <w:iCs/>
          <w:sz w:val="22"/>
          <w:szCs w:val="22"/>
        </w:rPr>
        <w:lastRenderedPageBreak/>
        <w:t>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15A32374" w14:textId="77777777" w:rsidR="00154BC7" w:rsidRPr="005D02EA" w:rsidRDefault="00154BC7">
      <w:pPr>
        <w:spacing w:line="360" w:lineRule="auto"/>
        <w:jc w:val="both"/>
        <w:rPr>
          <w:rFonts w:ascii="Palatino Linotype" w:eastAsia="Palatino Linotype" w:hAnsi="Palatino Linotype" w:cs="Palatino Linotype"/>
          <w:bCs/>
          <w:sz w:val="22"/>
          <w:szCs w:val="22"/>
        </w:rPr>
      </w:pPr>
    </w:p>
    <w:p w14:paraId="3D8E3AB4" w14:textId="61A35E9B" w:rsidR="00D43543" w:rsidRPr="005D02EA" w:rsidRDefault="00154BC7">
      <w:pPr>
        <w:spacing w:line="360" w:lineRule="auto"/>
        <w:jc w:val="both"/>
        <w:rPr>
          <w:rFonts w:ascii="Palatino Linotype" w:hAnsi="Palatino Linotype"/>
          <w:sz w:val="22"/>
          <w:szCs w:val="22"/>
        </w:rPr>
      </w:pPr>
      <w:r w:rsidRPr="005D02EA">
        <w:rPr>
          <w:rFonts w:ascii="Palatino Linotype" w:hAnsi="Palatino Linotype"/>
          <w:sz w:val="22"/>
          <w:szCs w:val="22"/>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53715D37" w14:textId="3F11D8F4" w:rsidR="00154BC7" w:rsidRPr="005D02EA" w:rsidRDefault="00154BC7">
      <w:pPr>
        <w:spacing w:line="360" w:lineRule="auto"/>
        <w:jc w:val="both"/>
        <w:rPr>
          <w:rFonts w:ascii="Palatino Linotype" w:hAnsi="Palatino Linotype"/>
          <w:sz w:val="22"/>
          <w:szCs w:val="22"/>
        </w:rPr>
      </w:pPr>
    </w:p>
    <w:p w14:paraId="5FC84BC4" w14:textId="77777777" w:rsidR="00F12D99" w:rsidRPr="005D02EA" w:rsidRDefault="00154BC7" w:rsidP="00F12D9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hAnsi="Palatino Linotype"/>
          <w:sz w:val="22"/>
          <w:szCs w:val="22"/>
        </w:rPr>
        <w:t xml:space="preserve">Conforme a lo anterior, se negó el acceso a la información peticionada por la parte </w:t>
      </w:r>
      <w:r w:rsidRPr="005D02EA">
        <w:rPr>
          <w:rFonts w:ascii="Palatino Linotype" w:hAnsi="Palatino Linotype"/>
          <w:b/>
          <w:sz w:val="22"/>
          <w:szCs w:val="22"/>
        </w:rPr>
        <w:t>Recurrente</w:t>
      </w:r>
      <w:r w:rsidRPr="005D02EA">
        <w:rPr>
          <w:rFonts w:ascii="Palatino Linotype" w:hAnsi="Palatino Linotype"/>
          <w:sz w:val="22"/>
          <w:szCs w:val="22"/>
        </w:rPr>
        <w:t>, al considerar que estaba clasificada;</w:t>
      </w:r>
      <w:r w:rsidR="00F12D99" w:rsidRPr="005D02EA">
        <w:rPr>
          <w:rFonts w:ascii="Palatino Linotype" w:hAnsi="Palatino Linotype"/>
          <w:sz w:val="22"/>
          <w:szCs w:val="22"/>
        </w:rPr>
        <w:t xml:space="preserve"> en términos de lo dispuesto por </w:t>
      </w:r>
      <w:r w:rsidR="00F12D99" w:rsidRPr="005D02EA">
        <w:rPr>
          <w:rFonts w:ascii="Palatino Linotype" w:eastAsia="Palatino Linotype" w:hAnsi="Palatino Linotype" w:cs="Palatino Linotype"/>
          <w:sz w:val="22"/>
          <w:szCs w:val="22"/>
        </w:rPr>
        <w:t xml:space="preserve">las fracciones IV, VI, VIII, IX, X y XI del artículo 140 de la Ley de Transparencia y Acceso a la Información Pública del Estado de México y Municipios; por lo que, proporcionó el Acta de la Centésima Octogésima Sesión Extraordinaria, emitida por el Comité de Transparencia mediante el cual confirmó la clasificación de la información solicitada como reservada, tal como se muestra a continuación: </w:t>
      </w:r>
    </w:p>
    <w:p w14:paraId="7753E2B9" w14:textId="1B2AF724" w:rsidR="00154BC7" w:rsidRPr="005D02EA" w:rsidRDefault="00F12D99">
      <w:pPr>
        <w:spacing w:line="360" w:lineRule="auto"/>
        <w:jc w:val="both"/>
        <w:rPr>
          <w:rFonts w:ascii="Palatino Linotype" w:hAnsi="Palatino Linotype"/>
          <w:sz w:val="22"/>
          <w:szCs w:val="22"/>
        </w:rPr>
      </w:pPr>
      <w:r w:rsidRPr="005D02EA">
        <w:rPr>
          <w:rFonts w:ascii="Palatino Linotype" w:eastAsia="Palatino Linotype" w:hAnsi="Palatino Linotype" w:cs="Palatino Linotype"/>
          <w:noProof/>
          <w:sz w:val="22"/>
          <w:szCs w:val="22"/>
          <w:lang w:val="es-MX" w:eastAsia="es-MX"/>
        </w:rPr>
        <w:drawing>
          <wp:inline distT="0" distB="0" distL="0" distR="0" wp14:anchorId="3EFD6896" wp14:editId="1AA2100C">
            <wp:extent cx="5449060" cy="225774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449060" cy="2257740"/>
                    </a:xfrm>
                    <a:prstGeom prst="rect">
                      <a:avLst/>
                    </a:prstGeom>
                    <a:ln/>
                  </pic:spPr>
                </pic:pic>
              </a:graphicData>
            </a:graphic>
          </wp:inline>
        </w:drawing>
      </w:r>
      <w:r w:rsidR="00154BC7" w:rsidRPr="005D02EA">
        <w:rPr>
          <w:rFonts w:ascii="Palatino Linotype" w:hAnsi="Palatino Linotype"/>
          <w:sz w:val="22"/>
          <w:szCs w:val="22"/>
        </w:rPr>
        <w:t xml:space="preserve">En ese sentido, conforme al artículo 134 de la Ley de Transparencia y Acceso a la </w:t>
      </w:r>
      <w:r w:rsidR="00154BC7" w:rsidRPr="005D02EA">
        <w:rPr>
          <w:rFonts w:ascii="Palatino Linotype" w:hAnsi="Palatino Linotype"/>
          <w:sz w:val="22"/>
          <w:szCs w:val="22"/>
        </w:rPr>
        <w:lastRenderedPageBreak/>
        <w:t xml:space="preserve">Información Pública del Estado de México y Municipios y el Sexto de los Lineamientos Generales en Materia de Clasificación y Desclasificación de la Información, así como para la Elaboración de Versiones Públicas –Lineamientos Generales-, </w:t>
      </w:r>
      <w:r w:rsidR="00154BC7" w:rsidRPr="005D02EA">
        <w:rPr>
          <w:rFonts w:ascii="Palatino Linotype" w:hAnsi="Palatino Linotype"/>
          <w:sz w:val="22"/>
          <w:szCs w:val="22"/>
          <w:u w:val="single"/>
        </w:rPr>
        <w:t>los sujetos obligados no podrán emitir acuerdos de carácter general que clasifiquen documentos o expedientes</w:t>
      </w:r>
      <w:r w:rsidR="00154BC7" w:rsidRPr="005D02EA">
        <w:rPr>
          <w:rFonts w:ascii="Palatino Linotype" w:hAnsi="Palatino Linotype"/>
          <w:sz w:val="22"/>
          <w:szCs w:val="22"/>
        </w:rPr>
        <w:t xml:space="preserve">; por lo que, </w:t>
      </w:r>
      <w:r w:rsidR="00154BC7" w:rsidRPr="005D02EA">
        <w:rPr>
          <w:rFonts w:ascii="Palatino Linotype" w:hAnsi="Palatino Linotype"/>
          <w:b/>
          <w:sz w:val="22"/>
          <w:szCs w:val="22"/>
          <w:u w:val="single"/>
        </w:rPr>
        <w:t>la clasificación de información se llevará a cabo mediante un análisis caso por caso</w:t>
      </w:r>
      <w:r w:rsidR="00154BC7" w:rsidRPr="005D02EA">
        <w:rPr>
          <w:rFonts w:ascii="Palatino Linotype" w:hAnsi="Palatino Linotype"/>
          <w:sz w:val="22"/>
          <w:szCs w:val="22"/>
        </w:rPr>
        <w:t xml:space="preserve">. </w:t>
      </w:r>
    </w:p>
    <w:p w14:paraId="55E5AAEE" w14:textId="77777777" w:rsidR="00F12D99" w:rsidRPr="005D02EA" w:rsidRDefault="00F12D99">
      <w:pPr>
        <w:spacing w:line="360" w:lineRule="auto"/>
        <w:jc w:val="both"/>
        <w:rPr>
          <w:rFonts w:ascii="Palatino Linotype" w:hAnsi="Palatino Linotype"/>
          <w:sz w:val="22"/>
          <w:szCs w:val="22"/>
        </w:rPr>
      </w:pPr>
    </w:p>
    <w:p w14:paraId="38A91084" w14:textId="682DCA1E" w:rsidR="00154BC7" w:rsidRPr="005D02EA" w:rsidRDefault="00154BC7">
      <w:pPr>
        <w:spacing w:line="360" w:lineRule="auto"/>
        <w:jc w:val="both"/>
        <w:rPr>
          <w:rFonts w:ascii="Palatino Linotype" w:hAnsi="Palatino Linotype"/>
          <w:sz w:val="22"/>
          <w:szCs w:val="22"/>
        </w:rPr>
      </w:pPr>
      <w:r w:rsidRPr="005D02EA">
        <w:rPr>
          <w:rFonts w:ascii="Palatino Linotype" w:hAnsi="Palatino Linotype"/>
          <w:sz w:val="22"/>
          <w:szCs w:val="22"/>
        </w:rPr>
        <w:t>Además, el artículo 131 de la Ley referida, así como el Quinto de los Lineamientos Generales, establecen que los sujetos obligados deberán fundar y motivar debidamente la clasificación de la información. Al respecto, el Octavo de los Lineamientos Generales, precisa lo siguiente:</w:t>
      </w:r>
    </w:p>
    <w:p w14:paraId="3FAFC4EE" w14:textId="6E1F32EA" w:rsidR="00154BC7" w:rsidRPr="005D02EA" w:rsidRDefault="00154BC7">
      <w:pPr>
        <w:spacing w:line="360" w:lineRule="auto"/>
        <w:jc w:val="both"/>
        <w:rPr>
          <w:rFonts w:ascii="Palatino Linotype" w:hAnsi="Palatino Linotype"/>
          <w:sz w:val="22"/>
          <w:szCs w:val="22"/>
        </w:rPr>
      </w:pPr>
    </w:p>
    <w:p w14:paraId="667166B7" w14:textId="77777777" w:rsidR="00F12D99" w:rsidRPr="005D02EA" w:rsidRDefault="00F12D99" w:rsidP="00F12D99">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5D02E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77E6987"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p>
    <w:p w14:paraId="37A31ADD"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Octavo. </w:t>
      </w:r>
      <w:r w:rsidRPr="005D02EA">
        <w:rPr>
          <w:rFonts w:ascii="Palatino Linotype" w:eastAsia="Palatino Linotype" w:hAnsi="Palatino Linotype" w:cs="Palatino Linotype"/>
          <w:b/>
          <w:i/>
          <w:sz w:val="22"/>
          <w:szCs w:val="22"/>
          <w:u w:val="single"/>
        </w:rPr>
        <w:t>Para fundar la clasificación de la información se debe señalar el artículo, fracción, inciso, párrafo o numeral de la ley o tratado internacional suscrito por el Estado mexicano que expresamente le otorga el carácter de reservada o confidencial</w:t>
      </w:r>
      <w:r w:rsidRPr="005D02EA">
        <w:rPr>
          <w:rFonts w:ascii="Palatino Linotype" w:eastAsia="Palatino Linotype" w:hAnsi="Palatino Linotype" w:cs="Palatino Linotype"/>
          <w:i/>
          <w:sz w:val="22"/>
          <w:szCs w:val="22"/>
        </w:rPr>
        <w:t>.</w:t>
      </w:r>
    </w:p>
    <w:p w14:paraId="074A5A51"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A779A96"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u w:val="single"/>
        </w:rPr>
        <w:t>Para motivar la clasificación se deberán señalar las razones o circunstancias especiales que lo llevaron a concluir que el caso particular se ajusta al supuesto previsto por la norma legal invocada como fundamento</w:t>
      </w:r>
      <w:r w:rsidRPr="005D02EA">
        <w:rPr>
          <w:rFonts w:ascii="Palatino Linotype" w:eastAsia="Palatino Linotype" w:hAnsi="Palatino Linotype" w:cs="Palatino Linotype"/>
          <w:i/>
          <w:sz w:val="22"/>
          <w:szCs w:val="22"/>
        </w:rPr>
        <w:t>.</w:t>
      </w:r>
    </w:p>
    <w:p w14:paraId="69723911"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E043371"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2364FF7"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E82B280"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4BF68BAC"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DF12050" w14:textId="4FF64323"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57A6E0E" w14:textId="34DCEED8"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D16F566" w14:textId="06BA4448" w:rsidR="00154BC7" w:rsidRPr="005D02EA" w:rsidRDefault="00154BC7">
      <w:pPr>
        <w:spacing w:line="360" w:lineRule="auto"/>
        <w:jc w:val="both"/>
        <w:rPr>
          <w:rFonts w:ascii="Palatino Linotype" w:hAnsi="Palatino Linotype"/>
          <w:sz w:val="22"/>
          <w:szCs w:val="22"/>
        </w:rPr>
      </w:pPr>
      <w:r w:rsidRPr="005D02EA">
        <w:rPr>
          <w:rFonts w:ascii="Palatino Linotype" w:hAnsi="Palatino Linotype"/>
          <w:sz w:val="22"/>
          <w:szCs w:val="22"/>
        </w:rPr>
        <w:t>● Para fundar la clasificación de la información se deberán señalar el artículo, fracción, inciso, párrafo o numeral de la Ley aplicable;</w:t>
      </w:r>
    </w:p>
    <w:p w14:paraId="32DA2B44" w14:textId="76BA9083" w:rsidR="00154BC7" w:rsidRPr="005D02EA" w:rsidRDefault="00154BC7">
      <w:pPr>
        <w:spacing w:line="360" w:lineRule="auto"/>
        <w:jc w:val="both"/>
        <w:rPr>
          <w:rFonts w:ascii="Palatino Linotype" w:hAnsi="Palatino Linotype"/>
          <w:sz w:val="22"/>
          <w:szCs w:val="22"/>
        </w:rPr>
      </w:pPr>
    </w:p>
    <w:p w14:paraId="6E46F65C" w14:textId="506F4F43" w:rsidR="00154BC7" w:rsidRPr="005D02EA" w:rsidRDefault="00154BC7">
      <w:pPr>
        <w:spacing w:line="360" w:lineRule="auto"/>
        <w:jc w:val="both"/>
        <w:rPr>
          <w:rFonts w:ascii="Palatino Linotype" w:hAnsi="Palatino Linotype"/>
          <w:sz w:val="22"/>
          <w:szCs w:val="22"/>
        </w:rPr>
      </w:pPr>
      <w:r w:rsidRPr="005D02EA">
        <w:rPr>
          <w:rFonts w:ascii="Palatino Linotype" w:hAnsi="Palatino Linotype"/>
          <w:sz w:val="22"/>
          <w:szCs w:val="22"/>
        </w:rPr>
        <w:t>● Para motivar la clasificación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5940A7D0" w14:textId="2072B4AD" w:rsidR="00154BC7" w:rsidRPr="005D02EA" w:rsidRDefault="00154BC7">
      <w:pPr>
        <w:spacing w:line="360" w:lineRule="auto"/>
        <w:jc w:val="both"/>
        <w:rPr>
          <w:rFonts w:ascii="Palatino Linotype" w:hAnsi="Palatino Linotype"/>
          <w:sz w:val="22"/>
          <w:szCs w:val="22"/>
        </w:rPr>
      </w:pPr>
    </w:p>
    <w:p w14:paraId="6B8A09B7" w14:textId="2238E425" w:rsidR="00154BC7" w:rsidRPr="005D02EA" w:rsidRDefault="00154BC7">
      <w:pPr>
        <w:spacing w:line="360" w:lineRule="auto"/>
        <w:jc w:val="both"/>
        <w:rPr>
          <w:rFonts w:ascii="Palatino Linotype" w:hAnsi="Palatino Linotype"/>
          <w:sz w:val="22"/>
          <w:szCs w:val="22"/>
        </w:rPr>
      </w:pPr>
      <w:r w:rsidRPr="005D02EA">
        <w:rPr>
          <w:rFonts w:ascii="Palatino Linotype" w:hAnsi="Palatino Linotype"/>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071E0153" w14:textId="0B0F847E" w:rsidR="00154BC7" w:rsidRPr="005D02EA" w:rsidRDefault="00154BC7">
      <w:pPr>
        <w:spacing w:line="360" w:lineRule="auto"/>
        <w:jc w:val="both"/>
        <w:rPr>
          <w:rFonts w:ascii="Palatino Linotype" w:hAnsi="Palatino Linotype"/>
          <w:sz w:val="22"/>
          <w:szCs w:val="22"/>
        </w:rPr>
      </w:pPr>
    </w:p>
    <w:p w14:paraId="6D5A99C5" w14:textId="44C2148D" w:rsidR="00F12D99" w:rsidRPr="005D02EA" w:rsidRDefault="00F12D99" w:rsidP="00C66D71">
      <w:pPr>
        <w:ind w:left="851" w:right="616"/>
        <w:jc w:val="both"/>
        <w:rPr>
          <w:rFonts w:ascii="Palatino Linotype" w:hAnsi="Palatino Linotype"/>
          <w:i/>
          <w:iCs/>
          <w:sz w:val="22"/>
          <w:szCs w:val="22"/>
        </w:rPr>
      </w:pPr>
      <w:r w:rsidRPr="005D02EA">
        <w:rPr>
          <w:rFonts w:ascii="Palatino Linotype" w:hAnsi="Palatino Linotype"/>
          <w:i/>
          <w:iCs/>
          <w:sz w:val="22"/>
          <w:szCs w:val="22"/>
        </w:rPr>
        <w:t xml:space="preserve">“FUNDAMENTACION Y MOTIVACION, CONCEPTO DE.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w:t>
      </w:r>
      <w:r w:rsidRPr="005D02EA">
        <w:rPr>
          <w:rFonts w:ascii="Palatino Linotype" w:hAnsi="Palatino Linotype"/>
          <w:i/>
          <w:iCs/>
          <w:sz w:val="22"/>
          <w:szCs w:val="22"/>
        </w:rPr>
        <w:lastRenderedPageBreak/>
        <w:t>adoptada; y por lo segundo, que exprese una serie de razonamientos lógico-jurídicos sobre el por qué consideró que el caso concreto se ajusta a la hipótesis normativa.”</w:t>
      </w:r>
    </w:p>
    <w:p w14:paraId="2968A1CF" w14:textId="226157BB" w:rsidR="00154BC7" w:rsidRPr="005D02EA" w:rsidRDefault="00154BC7">
      <w:pPr>
        <w:spacing w:line="360" w:lineRule="auto"/>
        <w:jc w:val="both"/>
        <w:rPr>
          <w:rFonts w:ascii="Palatino Linotype" w:hAnsi="Palatino Linotype"/>
          <w:i/>
          <w:iCs/>
          <w:sz w:val="22"/>
          <w:szCs w:val="22"/>
        </w:rPr>
      </w:pPr>
    </w:p>
    <w:p w14:paraId="49DE0C85" w14:textId="77777777" w:rsidR="00F12D99" w:rsidRPr="005D02EA" w:rsidRDefault="00F12D99">
      <w:pPr>
        <w:spacing w:line="360" w:lineRule="auto"/>
        <w:jc w:val="both"/>
        <w:rPr>
          <w:rFonts w:ascii="Palatino Linotype" w:hAnsi="Palatino Linotype"/>
          <w:sz w:val="22"/>
          <w:szCs w:val="22"/>
        </w:rPr>
      </w:pPr>
      <w:r w:rsidRPr="005D02EA">
        <w:rPr>
          <w:rFonts w:ascii="Palatino Linotype" w:hAnsi="Palatino Linotype"/>
          <w:sz w:val="22"/>
          <w:szCs w:val="22"/>
        </w:rPr>
        <w:t xml:space="preserve">Conforme a lo anterior, se advierte lo siguiente: </w:t>
      </w:r>
    </w:p>
    <w:p w14:paraId="0B6F698B" w14:textId="3CB2CC7C" w:rsidR="00154BC7" w:rsidRPr="005D02EA" w:rsidRDefault="00F12D99" w:rsidP="00C30731">
      <w:pPr>
        <w:pStyle w:val="Prrafodelista"/>
        <w:numPr>
          <w:ilvl w:val="0"/>
          <w:numId w:val="12"/>
        </w:numPr>
        <w:spacing w:line="360" w:lineRule="auto"/>
        <w:jc w:val="both"/>
        <w:rPr>
          <w:rFonts w:ascii="Palatino Linotype" w:hAnsi="Palatino Linotype"/>
          <w:i/>
          <w:iCs/>
        </w:rPr>
      </w:pPr>
      <w:r w:rsidRPr="005D02EA">
        <w:rPr>
          <w:rFonts w:ascii="Palatino Linotype" w:hAnsi="Palatino Linotype"/>
          <w:b/>
        </w:rPr>
        <w:t>Fundamentación:</w:t>
      </w:r>
      <w:r w:rsidRPr="005D02EA">
        <w:rPr>
          <w:rFonts w:ascii="Palatino Linotype" w:hAnsi="Palatino Linotype"/>
        </w:rPr>
        <w:t xml:space="preserve"> Obligación de la autoridad que emite un acto, para citar los preceptos legales, sustantivos y adjetivos, en que se apoye para la determinación tomada.</w:t>
      </w:r>
    </w:p>
    <w:p w14:paraId="2E49A371" w14:textId="3A709C48" w:rsidR="00F12D99" w:rsidRPr="005D02EA" w:rsidRDefault="00F12D99" w:rsidP="00C30731">
      <w:pPr>
        <w:pStyle w:val="Prrafodelista"/>
        <w:numPr>
          <w:ilvl w:val="0"/>
          <w:numId w:val="12"/>
        </w:numPr>
        <w:spacing w:line="360" w:lineRule="auto"/>
        <w:jc w:val="both"/>
        <w:rPr>
          <w:rFonts w:ascii="Palatino Linotype" w:hAnsi="Palatino Linotype"/>
          <w:i/>
          <w:iCs/>
        </w:rPr>
      </w:pPr>
      <w:r w:rsidRPr="005D02EA">
        <w:rPr>
          <w:rFonts w:ascii="Palatino Linotype" w:hAnsi="Palatino Linotype"/>
          <w:b/>
        </w:rPr>
        <w:t>Motivación:</w:t>
      </w:r>
      <w:r w:rsidRPr="005D02EA">
        <w:rPr>
          <w:rFonts w:ascii="Palatino Linotype" w:hAnsi="Palatino Linotype"/>
        </w:rPr>
        <w:t xml:space="preserve"> Razonamientos lógico-jurídicos sobre porque se consideró en el caso en concreto, que se ajusta a la hipótesis normativa.</w:t>
      </w:r>
    </w:p>
    <w:p w14:paraId="27FBB57B" w14:textId="77777777" w:rsidR="00154BC7" w:rsidRPr="005D02EA" w:rsidRDefault="00154BC7">
      <w:pPr>
        <w:spacing w:line="360" w:lineRule="auto"/>
        <w:jc w:val="both"/>
        <w:rPr>
          <w:rFonts w:ascii="Palatino Linotype" w:hAnsi="Palatino Linotype"/>
          <w:i/>
          <w:iCs/>
          <w:sz w:val="22"/>
          <w:szCs w:val="22"/>
        </w:rPr>
      </w:pPr>
    </w:p>
    <w:p w14:paraId="495DF5B8" w14:textId="77777777" w:rsidR="00F12D99" w:rsidRPr="005D02EA" w:rsidRDefault="00F12D99" w:rsidP="00F12D9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Asimismo, el Trigésimo tercero de los Lineamientos Generales establece la forma en que debe fundamentar y motivar la reserva de la información, es decir, a través de los siguientes pasos:</w:t>
      </w:r>
    </w:p>
    <w:p w14:paraId="34A87E9E" w14:textId="77777777" w:rsidR="00F12D99" w:rsidRPr="005D02EA" w:rsidRDefault="00F12D99" w:rsidP="00F12D9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0E4705"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Trigésimo tercero</w:t>
      </w:r>
      <w:r w:rsidRPr="005D02EA">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14:paraId="21C75991"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7C3E5D7"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315564F7"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II.       Mediante la ponderación de los intereses en conflicto, los sujetos obligados deberán demostrar que la publicidad de la información solicitada generaría un riesgo de perjuicio </w:t>
      </w:r>
      <w:proofErr w:type="gramStart"/>
      <w:r w:rsidRPr="005D02EA">
        <w:rPr>
          <w:rFonts w:ascii="Palatino Linotype" w:eastAsia="Palatino Linotype" w:hAnsi="Palatino Linotype" w:cs="Palatino Linotype"/>
          <w:i/>
          <w:sz w:val="22"/>
          <w:szCs w:val="22"/>
        </w:rPr>
        <w:t>y</w:t>
      </w:r>
      <w:proofErr w:type="gramEnd"/>
      <w:r w:rsidRPr="005D02EA">
        <w:rPr>
          <w:rFonts w:ascii="Palatino Linotype" w:eastAsia="Palatino Linotype" w:hAnsi="Palatino Linotype" w:cs="Palatino Linotype"/>
          <w:i/>
          <w:sz w:val="22"/>
          <w:szCs w:val="22"/>
        </w:rPr>
        <w:t xml:space="preserve"> por lo tanto, tendrán que acreditar que este último rebasa el interés público protegido por la reserva;</w:t>
      </w:r>
    </w:p>
    <w:p w14:paraId="340F14F3"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III.      Se debe de acreditar el vínculo entre la difusión de la información y la afectación del interés jurídico tutelado de que se trate;</w:t>
      </w:r>
    </w:p>
    <w:p w14:paraId="41A3711D"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IV.      Precisar las razones objetivas por las que la apertura de la información generaría una afectación, a través de los elementos de un riesgo real, demostrable e identificable;</w:t>
      </w:r>
    </w:p>
    <w:p w14:paraId="36374046"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lastRenderedPageBreak/>
        <w:t>V.       En la motivación de la clasificación, el sujeto obligado deberá acreditar las circunstancias de modo, tiempo y lugar del daño, y</w:t>
      </w:r>
    </w:p>
    <w:p w14:paraId="00A99600" w14:textId="77777777" w:rsidR="00F12D99" w:rsidRPr="005D02EA" w:rsidRDefault="00F12D99" w:rsidP="00F12D9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04EC25F1" w14:textId="77777777" w:rsidR="00F12D99" w:rsidRPr="005D02EA" w:rsidRDefault="00F12D99" w:rsidP="00F12D9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46E7D479" w14:textId="77777777" w:rsidR="00F12D99" w:rsidRPr="005D02EA" w:rsidRDefault="00F12D99">
      <w:pPr>
        <w:spacing w:line="360" w:lineRule="auto"/>
        <w:jc w:val="both"/>
        <w:rPr>
          <w:rFonts w:ascii="Palatino Linotype" w:hAnsi="Palatino Linotype"/>
          <w:sz w:val="22"/>
          <w:szCs w:val="22"/>
        </w:rPr>
      </w:pPr>
      <w:r w:rsidRPr="005D02EA">
        <w:rPr>
          <w:rFonts w:ascii="Palatino Linotype" w:hAnsi="Palatino Linotype"/>
          <w:sz w:val="22"/>
          <w:szCs w:val="22"/>
        </w:rPr>
        <w:t xml:space="preserve">En ese orden de ideas, el Trigésimo tercero de los Lineamientos Generales, establece la forma en que se debe fundamentar y motivar la reserva de la información, es decir, a través de los siguientes pasos: </w:t>
      </w:r>
    </w:p>
    <w:p w14:paraId="3D741518" w14:textId="77777777" w:rsidR="00C30731" w:rsidRPr="005D02EA" w:rsidRDefault="00C30731" w:rsidP="00C30731">
      <w:pPr>
        <w:spacing w:line="276" w:lineRule="auto"/>
        <w:jc w:val="both"/>
        <w:rPr>
          <w:rFonts w:ascii="Palatino Linotype" w:hAnsi="Palatino Linotype"/>
          <w:sz w:val="22"/>
          <w:szCs w:val="22"/>
        </w:rPr>
      </w:pPr>
    </w:p>
    <w:p w14:paraId="1C820F3B" w14:textId="0A0552C8" w:rsidR="00F12D99" w:rsidRPr="005D02EA" w:rsidRDefault="00F12D99" w:rsidP="00C30731">
      <w:pPr>
        <w:pStyle w:val="Prrafodelista"/>
        <w:numPr>
          <w:ilvl w:val="0"/>
          <w:numId w:val="13"/>
        </w:numPr>
        <w:spacing w:line="360" w:lineRule="auto"/>
        <w:jc w:val="both"/>
        <w:rPr>
          <w:rFonts w:ascii="Palatino Linotype" w:hAnsi="Palatino Linotype"/>
        </w:rPr>
      </w:pPr>
      <w:r w:rsidRPr="005D02EA">
        <w:rPr>
          <w:rFonts w:ascii="Palatino Linotype" w:hAnsi="Palatino Linotype"/>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4121F21B" w14:textId="65BCD167" w:rsidR="00F12D99" w:rsidRPr="005D02EA" w:rsidRDefault="00F12D99" w:rsidP="00C30731">
      <w:pPr>
        <w:pStyle w:val="Prrafodelista"/>
        <w:numPr>
          <w:ilvl w:val="0"/>
          <w:numId w:val="13"/>
        </w:numPr>
        <w:spacing w:line="360" w:lineRule="auto"/>
        <w:jc w:val="both"/>
        <w:rPr>
          <w:rFonts w:ascii="Palatino Linotype" w:hAnsi="Palatino Linotype"/>
        </w:rPr>
      </w:pPr>
      <w:r w:rsidRPr="005D02EA">
        <w:rPr>
          <w:rFonts w:ascii="Palatino Linotype" w:hAnsi="Palatino Linotype"/>
        </w:rPr>
        <w:t xml:space="preserve">Se deberá demostrar que la publicidad de la información generaría un riesgo de perjuicio, que rebasa el interés público; </w:t>
      </w:r>
    </w:p>
    <w:p w14:paraId="306D4973" w14:textId="62CF0CCE" w:rsidR="00F12D99" w:rsidRPr="005D02EA" w:rsidRDefault="00F12D99" w:rsidP="00C30731">
      <w:pPr>
        <w:pStyle w:val="Prrafodelista"/>
        <w:numPr>
          <w:ilvl w:val="0"/>
          <w:numId w:val="13"/>
        </w:numPr>
        <w:spacing w:line="360" w:lineRule="auto"/>
        <w:jc w:val="both"/>
        <w:rPr>
          <w:rFonts w:ascii="Palatino Linotype" w:hAnsi="Palatino Linotype"/>
        </w:rPr>
      </w:pPr>
      <w:r w:rsidRPr="005D02EA">
        <w:rPr>
          <w:rFonts w:ascii="Palatino Linotype" w:hAnsi="Palatino Linotype"/>
        </w:rPr>
        <w:t xml:space="preserve">Se acreditará el vínculo entre la difusión de la información y la afectación del interés jurídico tutelado; </w:t>
      </w:r>
    </w:p>
    <w:p w14:paraId="13C1A0AA" w14:textId="166B2121" w:rsidR="00F12D99" w:rsidRPr="005D02EA" w:rsidRDefault="00F12D99" w:rsidP="00C30731">
      <w:pPr>
        <w:pStyle w:val="Prrafodelista"/>
        <w:numPr>
          <w:ilvl w:val="0"/>
          <w:numId w:val="13"/>
        </w:numPr>
        <w:spacing w:line="360" w:lineRule="auto"/>
        <w:jc w:val="both"/>
        <w:rPr>
          <w:rFonts w:ascii="Palatino Linotype" w:hAnsi="Palatino Linotype"/>
        </w:rPr>
      </w:pPr>
      <w:r w:rsidRPr="005D02EA">
        <w:rPr>
          <w:rFonts w:ascii="Palatino Linotype" w:hAnsi="Palatino Linotype"/>
        </w:rPr>
        <w:t xml:space="preserve">Se precisará las razones objetivas por las que la apertura de la información generaría una afectación, por medio del riesgo real, demostrable e identificable; </w:t>
      </w:r>
    </w:p>
    <w:p w14:paraId="7BCB25CE" w14:textId="01D1BF63" w:rsidR="00F12D99" w:rsidRPr="005D02EA" w:rsidRDefault="00F12D99" w:rsidP="00C30731">
      <w:pPr>
        <w:pStyle w:val="Prrafodelista"/>
        <w:numPr>
          <w:ilvl w:val="0"/>
          <w:numId w:val="13"/>
        </w:numPr>
        <w:spacing w:line="360" w:lineRule="auto"/>
        <w:jc w:val="both"/>
        <w:rPr>
          <w:rFonts w:ascii="Palatino Linotype" w:hAnsi="Palatino Linotype"/>
        </w:rPr>
      </w:pPr>
      <w:r w:rsidRPr="005D02EA">
        <w:rPr>
          <w:rFonts w:ascii="Palatino Linotype" w:hAnsi="Palatino Linotype"/>
        </w:rPr>
        <w:t xml:space="preserve">Se deberán señalar las circunstancias de modo, tiempo y lugar del daño, y </w:t>
      </w:r>
    </w:p>
    <w:p w14:paraId="07EFD329" w14:textId="050228DC" w:rsidR="00154BC7" w:rsidRPr="005D02EA" w:rsidRDefault="00F12D99" w:rsidP="00C30731">
      <w:pPr>
        <w:pStyle w:val="Prrafodelista"/>
        <w:numPr>
          <w:ilvl w:val="0"/>
          <w:numId w:val="13"/>
        </w:numPr>
        <w:spacing w:line="360" w:lineRule="auto"/>
        <w:jc w:val="both"/>
        <w:rPr>
          <w:rFonts w:ascii="Palatino Linotype" w:hAnsi="Palatino Linotype"/>
        </w:rPr>
      </w:pPr>
      <w:r w:rsidRPr="005D02EA">
        <w:rPr>
          <w:rFonts w:ascii="Palatino Linotype" w:hAnsi="Palatino Linotype"/>
        </w:rPr>
        <w:t>Se elegirá la opción de excepción al acceso a la información que menos restrinja, la cual será adecuada y proporcional para la protección del interés público.</w:t>
      </w:r>
    </w:p>
    <w:p w14:paraId="460E9430" w14:textId="3857D772" w:rsidR="00F12D99" w:rsidRPr="005D02EA" w:rsidRDefault="00F12D99">
      <w:pPr>
        <w:spacing w:line="360" w:lineRule="auto"/>
        <w:jc w:val="both"/>
        <w:rPr>
          <w:rFonts w:ascii="Palatino Linotype" w:hAnsi="Palatino Linotype"/>
          <w:sz w:val="22"/>
          <w:szCs w:val="22"/>
        </w:rPr>
      </w:pPr>
    </w:p>
    <w:p w14:paraId="3211FC08" w14:textId="77777777" w:rsidR="00F12D99" w:rsidRPr="005D02EA" w:rsidRDefault="00F12D99" w:rsidP="00F12D99">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Por lo que para determinar si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fundó y motivó la clasificación de la información, resulta procedente analizar el Acuerdo emitido por su Comité de Transparencia, al tenor de lo siguiente: </w:t>
      </w:r>
    </w:p>
    <w:p w14:paraId="76FE92BF" w14:textId="77777777" w:rsidR="00F12D99" w:rsidRPr="005D02EA" w:rsidRDefault="00F12D99" w:rsidP="00F12D99">
      <w:pPr>
        <w:spacing w:line="360" w:lineRule="auto"/>
        <w:jc w:val="both"/>
        <w:rPr>
          <w:rFonts w:ascii="Palatino Linotype" w:eastAsia="Palatino Linotype" w:hAnsi="Palatino Linotype" w:cs="Palatino Linotype"/>
          <w:sz w:val="22"/>
          <w:szCs w:val="22"/>
        </w:rPr>
      </w:pPr>
    </w:p>
    <w:tbl>
      <w:tblPr>
        <w:tblStyle w:val="afa"/>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701"/>
        <w:gridCol w:w="5386"/>
      </w:tblGrid>
      <w:tr w:rsidR="00F67C51" w:rsidRPr="005D02EA" w14:paraId="5F4D620B" w14:textId="77777777" w:rsidTr="008924ED">
        <w:tc>
          <w:tcPr>
            <w:tcW w:w="1985" w:type="dxa"/>
            <w:tcBorders>
              <w:top w:val="nil"/>
              <w:left w:val="nil"/>
            </w:tcBorders>
          </w:tcPr>
          <w:p w14:paraId="1F50B368" w14:textId="77777777" w:rsidR="00F12D99" w:rsidRPr="005D02EA" w:rsidRDefault="00F12D99" w:rsidP="001D0BB1">
            <w:pPr>
              <w:pBdr>
                <w:top w:val="nil"/>
                <w:left w:val="nil"/>
                <w:bottom w:val="nil"/>
                <w:right w:val="nil"/>
                <w:between w:val="nil"/>
              </w:pBdr>
              <w:ind w:left="47"/>
              <w:jc w:val="both"/>
              <w:rPr>
                <w:rFonts w:ascii="Palatino Linotype" w:eastAsia="Palatino Linotype" w:hAnsi="Palatino Linotype" w:cs="Palatino Linotype"/>
                <w:b/>
                <w:sz w:val="20"/>
                <w:szCs w:val="20"/>
              </w:rPr>
            </w:pPr>
          </w:p>
        </w:tc>
        <w:tc>
          <w:tcPr>
            <w:tcW w:w="1701" w:type="dxa"/>
            <w:tcBorders>
              <w:bottom w:val="single" w:sz="4" w:space="0" w:color="000000"/>
            </w:tcBorders>
            <w:shd w:val="clear" w:color="auto" w:fill="BFBFBF"/>
            <w:vAlign w:val="bottom"/>
          </w:tcPr>
          <w:p w14:paraId="75FF66BC" w14:textId="77777777" w:rsidR="00F12D99" w:rsidRPr="005D02EA" w:rsidRDefault="00F12D99" w:rsidP="001D0BB1">
            <w:pPr>
              <w:pBdr>
                <w:top w:val="nil"/>
                <w:left w:val="nil"/>
                <w:bottom w:val="nil"/>
                <w:right w:val="nil"/>
                <w:between w:val="nil"/>
              </w:pBdr>
              <w:ind w:left="47"/>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Cumplió:</w:t>
            </w:r>
          </w:p>
        </w:tc>
        <w:tc>
          <w:tcPr>
            <w:tcW w:w="5386" w:type="dxa"/>
            <w:tcBorders>
              <w:bottom w:val="single" w:sz="4" w:space="0" w:color="000000"/>
            </w:tcBorders>
            <w:shd w:val="clear" w:color="auto" w:fill="BFBFBF"/>
            <w:vAlign w:val="bottom"/>
          </w:tcPr>
          <w:p w14:paraId="62151ED9" w14:textId="77777777" w:rsidR="00F12D99" w:rsidRPr="005D02EA" w:rsidRDefault="00F12D99" w:rsidP="001D0BB1">
            <w:pPr>
              <w:pBdr>
                <w:top w:val="nil"/>
                <w:left w:val="nil"/>
                <w:bottom w:val="nil"/>
                <w:right w:val="nil"/>
                <w:between w:val="nil"/>
              </w:pBdr>
              <w:ind w:left="47"/>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Contenido</w:t>
            </w:r>
          </w:p>
        </w:tc>
      </w:tr>
      <w:tr w:rsidR="00F67C51" w:rsidRPr="005D02EA" w14:paraId="774CB996" w14:textId="77777777" w:rsidTr="008924ED">
        <w:tc>
          <w:tcPr>
            <w:tcW w:w="1985" w:type="dxa"/>
            <w:vAlign w:val="center"/>
          </w:tcPr>
          <w:p w14:paraId="36B71976" w14:textId="77777777" w:rsidR="00F12D99" w:rsidRPr="005D02EA" w:rsidRDefault="00F12D99" w:rsidP="001D0BB1">
            <w:pPr>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Número de folio de la solicitud</w:t>
            </w:r>
          </w:p>
        </w:tc>
        <w:tc>
          <w:tcPr>
            <w:tcW w:w="1701" w:type="dxa"/>
            <w:tcBorders>
              <w:top w:val="single" w:sz="4" w:space="0" w:color="000000"/>
            </w:tcBorders>
            <w:vAlign w:val="center"/>
          </w:tcPr>
          <w:p w14:paraId="29589910" w14:textId="77777777" w:rsidR="00F12D99" w:rsidRPr="005D02EA" w:rsidRDefault="00F12D99" w:rsidP="001D0BB1">
            <w:pPr>
              <w:ind w:left="47"/>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Sí</w:t>
            </w:r>
          </w:p>
        </w:tc>
        <w:tc>
          <w:tcPr>
            <w:tcW w:w="5386" w:type="dxa"/>
            <w:tcBorders>
              <w:top w:val="single" w:sz="4" w:space="0" w:color="000000"/>
            </w:tcBorders>
            <w:vAlign w:val="center"/>
          </w:tcPr>
          <w:p w14:paraId="46F4C272" w14:textId="77777777" w:rsidR="00F12D99" w:rsidRPr="005D02EA" w:rsidRDefault="00F12D99" w:rsidP="001D0BB1">
            <w:pPr>
              <w:ind w:left="30" w:right="175"/>
              <w:jc w:val="center"/>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drawing>
                <wp:inline distT="0" distB="0" distL="0" distR="0" wp14:anchorId="5486584E" wp14:editId="40F68D44">
                  <wp:extent cx="3552825" cy="25654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52825" cy="256540"/>
                          </a:xfrm>
                          <a:prstGeom prst="rect">
                            <a:avLst/>
                          </a:prstGeom>
                          <a:ln/>
                        </pic:spPr>
                      </pic:pic>
                    </a:graphicData>
                  </a:graphic>
                </wp:inline>
              </w:drawing>
            </w:r>
          </w:p>
          <w:p w14:paraId="36D45BC4" w14:textId="77777777" w:rsidR="00F12D99" w:rsidRPr="005D02EA" w:rsidRDefault="00F12D99" w:rsidP="001D0BB1">
            <w:pPr>
              <w:ind w:left="30" w:right="175"/>
              <w:jc w:val="center"/>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drawing>
                <wp:inline distT="0" distB="0" distL="0" distR="0" wp14:anchorId="4D9636E1" wp14:editId="16C43307">
                  <wp:extent cx="3552825" cy="3841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552825" cy="384175"/>
                          </a:xfrm>
                          <a:prstGeom prst="rect">
                            <a:avLst/>
                          </a:prstGeom>
                          <a:ln/>
                        </pic:spPr>
                      </pic:pic>
                    </a:graphicData>
                  </a:graphic>
                </wp:inline>
              </w:drawing>
            </w:r>
          </w:p>
          <w:p w14:paraId="0BD14B91" w14:textId="77777777" w:rsidR="00F12D99" w:rsidRPr="005D02EA" w:rsidRDefault="00F12D99" w:rsidP="001D0BB1">
            <w:pPr>
              <w:ind w:left="30" w:right="175"/>
              <w:jc w:val="center"/>
              <w:rPr>
                <w:rFonts w:ascii="Palatino Linotype" w:eastAsia="Palatino Linotype" w:hAnsi="Palatino Linotype" w:cs="Palatino Linotype"/>
                <w:sz w:val="20"/>
                <w:szCs w:val="20"/>
              </w:rPr>
            </w:pPr>
          </w:p>
        </w:tc>
      </w:tr>
      <w:tr w:rsidR="00F67C51" w:rsidRPr="005D02EA" w14:paraId="28524895" w14:textId="77777777" w:rsidTr="008924ED">
        <w:tc>
          <w:tcPr>
            <w:tcW w:w="1985" w:type="dxa"/>
            <w:vAlign w:val="center"/>
          </w:tcPr>
          <w:p w14:paraId="5578AD5F" w14:textId="77777777" w:rsidR="00F12D99" w:rsidRPr="005D02EA" w:rsidRDefault="00F12D99" w:rsidP="001D0BB1">
            <w:pPr>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Referencia de la información solicitada</w:t>
            </w:r>
          </w:p>
        </w:tc>
        <w:tc>
          <w:tcPr>
            <w:tcW w:w="1701" w:type="dxa"/>
            <w:vAlign w:val="center"/>
          </w:tcPr>
          <w:p w14:paraId="04F582FB" w14:textId="7A60F67C" w:rsidR="00F12D99" w:rsidRPr="005D02EA" w:rsidRDefault="00FD30C1" w:rsidP="001D0BB1">
            <w:pPr>
              <w:ind w:left="47"/>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 xml:space="preserve">Existe inconsistencia </w:t>
            </w:r>
          </w:p>
          <w:p w14:paraId="74DCF545" w14:textId="5BBA4C94" w:rsidR="00FD30C1" w:rsidRPr="005D02EA" w:rsidRDefault="00FD30C1" w:rsidP="001D0BB1">
            <w:pPr>
              <w:ind w:left="47"/>
              <w:jc w:val="center"/>
              <w:rPr>
                <w:rFonts w:ascii="Palatino Linotype" w:eastAsia="Palatino Linotype" w:hAnsi="Palatino Linotype" w:cs="Palatino Linotype"/>
                <w:b/>
                <w:sz w:val="20"/>
                <w:szCs w:val="20"/>
              </w:rPr>
            </w:pPr>
          </w:p>
          <w:p w14:paraId="119FF559" w14:textId="42FCF6B8" w:rsidR="00C66D71" w:rsidRPr="005D02EA" w:rsidRDefault="00FD30C1" w:rsidP="008924ED">
            <w:pPr>
              <w:ind w:left="47"/>
              <w:jc w:val="both"/>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 xml:space="preserve">Ya que en una parte del acuerdo se señala que se clasifica la información de oficios firmados, y también se </w:t>
            </w:r>
            <w:r w:rsidR="00C66D71" w:rsidRPr="005D02EA">
              <w:rPr>
                <w:rFonts w:ascii="Palatino Linotype" w:eastAsia="Palatino Linotype" w:hAnsi="Palatino Linotype" w:cs="Palatino Linotype"/>
                <w:b/>
                <w:sz w:val="20"/>
                <w:szCs w:val="20"/>
              </w:rPr>
              <w:t>hace referencia a expedientes concluidos en los últimos dos años por tema de control y confianza</w:t>
            </w:r>
            <w:r w:rsidRPr="005D02EA">
              <w:rPr>
                <w:rFonts w:ascii="Palatino Linotype" w:eastAsia="Palatino Linotype" w:hAnsi="Palatino Linotype" w:cs="Palatino Linotype"/>
                <w:b/>
                <w:sz w:val="20"/>
                <w:szCs w:val="20"/>
              </w:rPr>
              <w:t>, esta última que no se relaciona con la solicitud que se analiza</w:t>
            </w:r>
          </w:p>
        </w:tc>
        <w:tc>
          <w:tcPr>
            <w:tcW w:w="5386" w:type="dxa"/>
            <w:vAlign w:val="center"/>
          </w:tcPr>
          <w:p w14:paraId="40941705" w14:textId="77777777" w:rsidR="00F12D99" w:rsidRPr="005D02EA" w:rsidRDefault="00F12D99" w:rsidP="001D0BB1">
            <w:pPr>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noProof/>
                <w:sz w:val="20"/>
                <w:szCs w:val="20"/>
                <w:lang w:val="es-MX" w:eastAsia="es-MX"/>
              </w:rPr>
              <w:drawing>
                <wp:inline distT="0" distB="0" distL="0" distR="0" wp14:anchorId="7FE64C7C" wp14:editId="65878F86">
                  <wp:extent cx="3305175" cy="876300"/>
                  <wp:effectExtent l="0" t="0" r="9525"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305175" cy="876300"/>
                          </a:xfrm>
                          <a:prstGeom prst="rect">
                            <a:avLst/>
                          </a:prstGeom>
                          <a:ln/>
                        </pic:spPr>
                      </pic:pic>
                    </a:graphicData>
                  </a:graphic>
                </wp:inline>
              </w:drawing>
            </w:r>
          </w:p>
          <w:p w14:paraId="0C4403CB" w14:textId="77777777" w:rsidR="00F12D99" w:rsidRPr="005D02EA" w:rsidRDefault="00F12D99" w:rsidP="001D0BB1">
            <w:pPr>
              <w:jc w:val="center"/>
              <w:rPr>
                <w:rFonts w:ascii="Palatino Linotype" w:eastAsia="Palatino Linotype" w:hAnsi="Palatino Linotype" w:cs="Palatino Linotype"/>
                <w:b/>
                <w:sz w:val="20"/>
                <w:szCs w:val="20"/>
              </w:rPr>
            </w:pPr>
          </w:p>
        </w:tc>
      </w:tr>
      <w:tr w:rsidR="00F67C51" w:rsidRPr="005D02EA" w14:paraId="0B72DFA3" w14:textId="77777777" w:rsidTr="008924ED">
        <w:tc>
          <w:tcPr>
            <w:tcW w:w="1985" w:type="dxa"/>
            <w:vAlign w:val="center"/>
          </w:tcPr>
          <w:p w14:paraId="77B73AB1" w14:textId="77777777" w:rsidR="00F12D99" w:rsidRPr="005D02EA" w:rsidRDefault="00F12D99" w:rsidP="001D0BB1">
            <w:pPr>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 xml:space="preserve">Causal aplicable del artículo 113 de la Ley General, vinculándola con el Lineamiento específico del presente ordenamiento y, cuando corresponda, el supuesto normativo que expresamente le </w:t>
            </w:r>
            <w:r w:rsidRPr="005D02EA">
              <w:rPr>
                <w:rFonts w:ascii="Palatino Linotype" w:eastAsia="Palatino Linotype" w:hAnsi="Palatino Linotype" w:cs="Palatino Linotype"/>
                <w:b/>
                <w:sz w:val="20"/>
                <w:szCs w:val="20"/>
              </w:rPr>
              <w:lastRenderedPageBreak/>
              <w:t>otorga el carácter de información reservada</w:t>
            </w:r>
          </w:p>
        </w:tc>
        <w:tc>
          <w:tcPr>
            <w:tcW w:w="1701" w:type="dxa"/>
            <w:vAlign w:val="center"/>
          </w:tcPr>
          <w:p w14:paraId="628BE27A" w14:textId="24805A95" w:rsidR="00FD30C1" w:rsidRPr="005D02EA" w:rsidRDefault="007076CE" w:rsidP="001D0BB1">
            <w:pPr>
              <w:ind w:left="47"/>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lastRenderedPageBreak/>
              <w:t>No</w:t>
            </w:r>
          </w:p>
          <w:p w14:paraId="35681050" w14:textId="77777777" w:rsidR="008924ED" w:rsidRPr="005D02EA" w:rsidRDefault="008924ED" w:rsidP="001D0BB1">
            <w:pPr>
              <w:ind w:left="47"/>
              <w:jc w:val="center"/>
              <w:rPr>
                <w:rFonts w:ascii="Palatino Linotype" w:eastAsia="Palatino Linotype" w:hAnsi="Palatino Linotype" w:cs="Palatino Linotype"/>
                <w:b/>
                <w:sz w:val="20"/>
                <w:szCs w:val="20"/>
              </w:rPr>
            </w:pPr>
          </w:p>
          <w:p w14:paraId="4B538BD7" w14:textId="6812BB24" w:rsidR="00B07FFA" w:rsidRPr="005D02EA" w:rsidRDefault="008924ED" w:rsidP="00B07FFA">
            <w:pPr>
              <w:ind w:left="47"/>
              <w:jc w:val="both"/>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 xml:space="preserve">Dentro de la propuesta y del acuerdo de clasificación de la información no </w:t>
            </w:r>
            <w:r w:rsidR="00B07FFA" w:rsidRPr="005D02EA">
              <w:rPr>
                <w:rFonts w:ascii="Palatino Linotype" w:eastAsia="Palatino Linotype" w:hAnsi="Palatino Linotype" w:cs="Palatino Linotype"/>
                <w:b/>
                <w:sz w:val="20"/>
                <w:szCs w:val="20"/>
              </w:rPr>
              <w:t xml:space="preserve">se vinculan </w:t>
            </w:r>
            <w:r w:rsidRPr="005D02EA">
              <w:rPr>
                <w:rFonts w:ascii="Palatino Linotype" w:eastAsia="Palatino Linotype" w:hAnsi="Palatino Linotype" w:cs="Palatino Linotype"/>
                <w:b/>
                <w:sz w:val="20"/>
                <w:szCs w:val="20"/>
              </w:rPr>
              <w:t xml:space="preserve">las causales aplicables </w:t>
            </w:r>
            <w:r w:rsidR="00B07FFA" w:rsidRPr="005D02EA">
              <w:rPr>
                <w:rFonts w:ascii="Palatino Linotype" w:eastAsia="Palatino Linotype" w:hAnsi="Palatino Linotype" w:cs="Palatino Linotype"/>
                <w:b/>
                <w:sz w:val="20"/>
                <w:szCs w:val="20"/>
              </w:rPr>
              <w:t xml:space="preserve">con el </w:t>
            </w:r>
            <w:r w:rsidRPr="005D02EA">
              <w:rPr>
                <w:rFonts w:ascii="Palatino Linotype" w:eastAsia="Palatino Linotype" w:hAnsi="Palatino Linotype" w:cs="Palatino Linotype"/>
                <w:b/>
                <w:sz w:val="20"/>
                <w:szCs w:val="20"/>
              </w:rPr>
              <w:t>artículo 113 de la Ley General</w:t>
            </w:r>
            <w:r w:rsidR="00B07FFA" w:rsidRPr="005D02EA">
              <w:rPr>
                <w:rFonts w:ascii="Palatino Linotype" w:eastAsia="Palatino Linotype" w:hAnsi="Palatino Linotype" w:cs="Palatino Linotype"/>
                <w:b/>
                <w:sz w:val="20"/>
                <w:szCs w:val="20"/>
              </w:rPr>
              <w:t xml:space="preserve">, así </w:t>
            </w:r>
            <w:r w:rsidR="00B07FFA" w:rsidRPr="005D02EA">
              <w:rPr>
                <w:rFonts w:ascii="Palatino Linotype" w:eastAsia="Palatino Linotype" w:hAnsi="Palatino Linotype" w:cs="Palatino Linotype"/>
                <w:b/>
                <w:sz w:val="20"/>
                <w:szCs w:val="20"/>
              </w:rPr>
              <w:lastRenderedPageBreak/>
              <w:t xml:space="preserve">como tampoco con los Lineamientos Generales aplicable al caso concreto; sin </w:t>
            </w:r>
            <w:proofErr w:type="gramStart"/>
            <w:r w:rsidR="00B07FFA" w:rsidRPr="005D02EA">
              <w:rPr>
                <w:rFonts w:ascii="Palatino Linotype" w:eastAsia="Palatino Linotype" w:hAnsi="Palatino Linotype" w:cs="Palatino Linotype"/>
                <w:b/>
                <w:sz w:val="20"/>
                <w:szCs w:val="20"/>
              </w:rPr>
              <w:t>embargo</w:t>
            </w:r>
            <w:proofErr w:type="gramEnd"/>
            <w:r w:rsidR="00B07FFA" w:rsidRPr="005D02EA">
              <w:rPr>
                <w:rFonts w:ascii="Palatino Linotype" w:eastAsia="Palatino Linotype" w:hAnsi="Palatino Linotype" w:cs="Palatino Linotype"/>
                <w:b/>
                <w:sz w:val="20"/>
                <w:szCs w:val="20"/>
              </w:rPr>
              <w:t xml:space="preserve"> dentro del desarrollo del acuerdo se citan algunos. </w:t>
            </w:r>
          </w:p>
        </w:tc>
        <w:tc>
          <w:tcPr>
            <w:tcW w:w="5386" w:type="dxa"/>
            <w:vAlign w:val="center"/>
          </w:tcPr>
          <w:p w14:paraId="5F28948A" w14:textId="77777777" w:rsidR="00F12D99" w:rsidRPr="005D02EA" w:rsidRDefault="00F12D99" w:rsidP="001D0BB1">
            <w:pPr>
              <w:rPr>
                <w:rFonts w:ascii="Palatino Linotype" w:eastAsia="Palatino Linotype" w:hAnsi="Palatino Linotype" w:cs="Palatino Linotype"/>
                <w:b/>
                <w:sz w:val="20"/>
                <w:szCs w:val="20"/>
              </w:rPr>
            </w:pPr>
            <w:r w:rsidRPr="005D02EA">
              <w:rPr>
                <w:rFonts w:ascii="Palatino Linotype" w:eastAsia="Palatino Linotype" w:hAnsi="Palatino Linotype" w:cs="Palatino Linotype"/>
                <w:noProof/>
                <w:sz w:val="20"/>
                <w:szCs w:val="20"/>
                <w:lang w:val="es-MX" w:eastAsia="es-MX"/>
              </w:rPr>
              <w:lastRenderedPageBreak/>
              <w:drawing>
                <wp:inline distT="0" distB="0" distL="0" distR="0" wp14:anchorId="4BE032E4" wp14:editId="36C32E9D">
                  <wp:extent cx="3190875" cy="257175"/>
                  <wp:effectExtent l="0" t="0" r="9525" b="9525"/>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90875" cy="257175"/>
                          </a:xfrm>
                          <a:prstGeom prst="rect">
                            <a:avLst/>
                          </a:prstGeom>
                          <a:ln/>
                        </pic:spPr>
                      </pic:pic>
                    </a:graphicData>
                  </a:graphic>
                </wp:inline>
              </w:drawing>
            </w:r>
            <w:r w:rsidRPr="005D02EA">
              <w:rPr>
                <w:rFonts w:ascii="Palatino Linotype" w:eastAsia="Palatino Linotype" w:hAnsi="Palatino Linotype" w:cs="Palatino Linotype"/>
                <w:b/>
                <w:noProof/>
                <w:sz w:val="20"/>
                <w:szCs w:val="20"/>
                <w:lang w:val="es-MX" w:eastAsia="es-MX"/>
              </w:rPr>
              <w:drawing>
                <wp:inline distT="0" distB="0" distL="0" distR="0" wp14:anchorId="5F2B209B" wp14:editId="1AA39AA2">
                  <wp:extent cx="3190875" cy="933450"/>
                  <wp:effectExtent l="0" t="0" r="9525"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190875" cy="933450"/>
                          </a:xfrm>
                          <a:prstGeom prst="rect">
                            <a:avLst/>
                          </a:prstGeom>
                          <a:ln/>
                        </pic:spPr>
                      </pic:pic>
                    </a:graphicData>
                  </a:graphic>
                </wp:inline>
              </w:drawing>
            </w:r>
          </w:p>
          <w:p w14:paraId="31A23D81" w14:textId="13295604" w:rsidR="00B07FFA" w:rsidRPr="005D02EA" w:rsidRDefault="00B07FFA" w:rsidP="00B07FFA">
            <w:pPr>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noProof/>
                <w:sz w:val="20"/>
                <w:szCs w:val="20"/>
                <w:lang w:val="es-MX" w:eastAsia="es-MX"/>
              </w:rPr>
              <w:lastRenderedPageBreak/>
              <w:drawing>
                <wp:inline distT="0" distB="0" distL="0" distR="0" wp14:anchorId="33D5A24F" wp14:editId="25C075C9">
                  <wp:extent cx="2372540" cy="3069672"/>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372540" cy="3069672"/>
                          </a:xfrm>
                          <a:prstGeom prst="rect">
                            <a:avLst/>
                          </a:prstGeom>
                          <a:ln/>
                        </pic:spPr>
                      </pic:pic>
                    </a:graphicData>
                  </a:graphic>
                </wp:inline>
              </w:drawing>
            </w:r>
          </w:p>
          <w:p w14:paraId="32D75F61" w14:textId="77777777" w:rsidR="00F12D99" w:rsidRPr="005D02EA" w:rsidRDefault="00F12D99" w:rsidP="001D0BB1">
            <w:pPr>
              <w:rPr>
                <w:rFonts w:ascii="Palatino Linotype" w:eastAsia="Palatino Linotype" w:hAnsi="Palatino Linotype" w:cs="Palatino Linotype"/>
                <w:b/>
                <w:sz w:val="20"/>
                <w:szCs w:val="20"/>
              </w:rPr>
            </w:pPr>
          </w:p>
        </w:tc>
      </w:tr>
      <w:tr w:rsidR="00F67C51" w:rsidRPr="005D02EA" w14:paraId="45E25653" w14:textId="77777777" w:rsidTr="008924ED">
        <w:tc>
          <w:tcPr>
            <w:tcW w:w="1985" w:type="dxa"/>
            <w:vAlign w:val="center"/>
          </w:tcPr>
          <w:p w14:paraId="50FA2A0F" w14:textId="77777777" w:rsidR="00F12D99" w:rsidRPr="005D02EA" w:rsidRDefault="00F12D99" w:rsidP="001D0BB1">
            <w:pPr>
              <w:tabs>
                <w:tab w:val="left" w:pos="317"/>
              </w:tabs>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lastRenderedPageBreak/>
              <w:t>Fundamento y Motivación Legal</w:t>
            </w:r>
          </w:p>
        </w:tc>
        <w:tc>
          <w:tcPr>
            <w:tcW w:w="1701" w:type="dxa"/>
            <w:vAlign w:val="center"/>
          </w:tcPr>
          <w:p w14:paraId="282C63FB" w14:textId="77777777" w:rsidR="00F12D99" w:rsidRPr="005D02EA" w:rsidRDefault="00F12D99" w:rsidP="001D0BB1">
            <w:pPr>
              <w:ind w:left="47"/>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 xml:space="preserve">Parcialmente </w:t>
            </w:r>
          </w:p>
          <w:p w14:paraId="4A04688D" w14:textId="77777777" w:rsidR="00F12D99" w:rsidRPr="005D02EA" w:rsidRDefault="00F12D99" w:rsidP="001D0BB1">
            <w:pPr>
              <w:ind w:left="47"/>
              <w:jc w:val="center"/>
              <w:rPr>
                <w:rFonts w:ascii="Palatino Linotype" w:eastAsia="Palatino Linotype" w:hAnsi="Palatino Linotype" w:cs="Palatino Linotype"/>
                <w:b/>
                <w:sz w:val="20"/>
                <w:szCs w:val="20"/>
              </w:rPr>
            </w:pPr>
          </w:p>
          <w:p w14:paraId="262BD74B" w14:textId="4F794771" w:rsidR="00C24828" w:rsidRPr="005D02EA" w:rsidRDefault="00F12D99" w:rsidP="007076CE">
            <w:pPr>
              <w:ind w:left="47"/>
              <w:jc w:val="both"/>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No se citó correctamente el artículo de los Lineamientos Generales aplicable</w:t>
            </w:r>
            <w:r w:rsidR="0085247B" w:rsidRPr="005D02EA">
              <w:rPr>
                <w:rFonts w:ascii="Palatino Linotype" w:eastAsia="Palatino Linotype" w:hAnsi="Palatino Linotype" w:cs="Palatino Linotype"/>
                <w:b/>
                <w:sz w:val="20"/>
                <w:szCs w:val="20"/>
              </w:rPr>
              <w:t>s</w:t>
            </w:r>
            <w:r w:rsidRPr="005D02EA">
              <w:rPr>
                <w:rFonts w:ascii="Palatino Linotype" w:eastAsia="Palatino Linotype" w:hAnsi="Palatino Linotype" w:cs="Palatino Linotype"/>
                <w:b/>
                <w:sz w:val="20"/>
                <w:szCs w:val="20"/>
              </w:rPr>
              <w:t xml:space="preserve"> al caso concreto</w:t>
            </w:r>
            <w:r w:rsidR="0085247B" w:rsidRPr="005D02EA">
              <w:rPr>
                <w:rFonts w:ascii="Palatino Linotype" w:eastAsia="Palatino Linotype" w:hAnsi="Palatino Linotype" w:cs="Palatino Linotype"/>
                <w:b/>
                <w:sz w:val="20"/>
                <w:szCs w:val="20"/>
              </w:rPr>
              <w:t xml:space="preserve">, tampoco se </w:t>
            </w:r>
            <w:r w:rsidR="00127027" w:rsidRPr="005D02EA">
              <w:rPr>
                <w:rFonts w:ascii="Palatino Linotype" w:eastAsia="Palatino Linotype" w:hAnsi="Palatino Linotype" w:cs="Palatino Linotype"/>
                <w:b/>
                <w:sz w:val="20"/>
                <w:szCs w:val="20"/>
              </w:rPr>
              <w:t>motivó</w:t>
            </w:r>
            <w:r w:rsidR="0085247B" w:rsidRPr="005D02EA">
              <w:rPr>
                <w:rFonts w:ascii="Palatino Linotype" w:eastAsia="Palatino Linotype" w:hAnsi="Palatino Linotype" w:cs="Palatino Linotype"/>
                <w:b/>
                <w:sz w:val="20"/>
                <w:szCs w:val="20"/>
              </w:rPr>
              <w:t xml:space="preserve"> porque </w:t>
            </w:r>
            <w:r w:rsidR="007076CE" w:rsidRPr="005D02EA">
              <w:rPr>
                <w:rFonts w:ascii="Palatino Linotype" w:eastAsia="Palatino Linotype" w:hAnsi="Palatino Linotype" w:cs="Palatino Linotype"/>
                <w:b/>
                <w:sz w:val="20"/>
                <w:szCs w:val="20"/>
              </w:rPr>
              <w:t>resultaba</w:t>
            </w:r>
            <w:r w:rsidR="0085247B" w:rsidRPr="005D02EA">
              <w:rPr>
                <w:rFonts w:ascii="Palatino Linotype" w:eastAsia="Palatino Linotype" w:hAnsi="Palatino Linotype" w:cs="Palatino Linotype"/>
                <w:b/>
                <w:sz w:val="20"/>
                <w:szCs w:val="20"/>
              </w:rPr>
              <w:t xml:space="preserve"> aplicables</w:t>
            </w:r>
            <w:r w:rsidR="007076CE" w:rsidRPr="005D02EA">
              <w:rPr>
                <w:rFonts w:ascii="Palatino Linotype" w:eastAsia="Palatino Linotype" w:hAnsi="Palatino Linotype" w:cs="Palatino Linotype"/>
                <w:b/>
                <w:sz w:val="20"/>
                <w:szCs w:val="20"/>
              </w:rPr>
              <w:t xml:space="preserve"> cada una de las fracciones</w:t>
            </w:r>
            <w:r w:rsidR="0085247B" w:rsidRPr="005D02EA">
              <w:rPr>
                <w:rFonts w:ascii="Palatino Linotype" w:eastAsia="Palatino Linotype" w:hAnsi="Palatino Linotype" w:cs="Palatino Linotype"/>
                <w:b/>
                <w:sz w:val="20"/>
                <w:szCs w:val="20"/>
              </w:rPr>
              <w:t xml:space="preserve">, </w:t>
            </w:r>
            <w:r w:rsidR="00127027" w:rsidRPr="005D02EA">
              <w:rPr>
                <w:rFonts w:ascii="Palatino Linotype" w:eastAsia="Palatino Linotype" w:hAnsi="Palatino Linotype" w:cs="Palatino Linotype"/>
                <w:b/>
                <w:sz w:val="20"/>
                <w:szCs w:val="20"/>
              </w:rPr>
              <w:t xml:space="preserve">primero refiere una fracción y en el desarrollo de la reserva citan otras, tampoco se vinculan las causales aplicables con </w:t>
            </w:r>
            <w:r w:rsidR="00127027" w:rsidRPr="005D02EA">
              <w:rPr>
                <w:rFonts w:ascii="Palatino Linotype" w:eastAsia="Palatino Linotype" w:hAnsi="Palatino Linotype" w:cs="Palatino Linotype"/>
                <w:b/>
                <w:sz w:val="20"/>
                <w:szCs w:val="20"/>
              </w:rPr>
              <w:lastRenderedPageBreak/>
              <w:t xml:space="preserve">el artículo 113 de la Ley General, ni con los Lineamientos Generales. </w:t>
            </w:r>
          </w:p>
        </w:tc>
        <w:tc>
          <w:tcPr>
            <w:tcW w:w="5386" w:type="dxa"/>
            <w:vAlign w:val="center"/>
          </w:tcPr>
          <w:p w14:paraId="7AEF2B90" w14:textId="77777777" w:rsidR="00F12D99" w:rsidRPr="005D02EA" w:rsidRDefault="00F12D99" w:rsidP="001D0BB1">
            <w:pPr>
              <w:jc w:val="center"/>
              <w:rPr>
                <w:rFonts w:ascii="Palatino Linotype" w:eastAsia="Palatino Linotype" w:hAnsi="Palatino Linotype" w:cs="Palatino Linotype"/>
                <w:b/>
                <w:sz w:val="20"/>
                <w:szCs w:val="20"/>
              </w:rPr>
            </w:pPr>
          </w:p>
          <w:p w14:paraId="446732EA" w14:textId="77777777" w:rsidR="00F12D99" w:rsidRPr="005D02EA" w:rsidRDefault="00F12D99" w:rsidP="001D0BB1">
            <w:pPr>
              <w:ind w:left="-395"/>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noProof/>
                <w:sz w:val="20"/>
                <w:szCs w:val="20"/>
                <w:lang w:val="es-MX" w:eastAsia="es-MX"/>
              </w:rPr>
              <w:drawing>
                <wp:inline distT="0" distB="0" distL="0" distR="0" wp14:anchorId="442B8A40" wp14:editId="55638800">
                  <wp:extent cx="3013975" cy="1150644"/>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013975" cy="1150644"/>
                          </a:xfrm>
                          <a:prstGeom prst="rect">
                            <a:avLst/>
                          </a:prstGeom>
                          <a:ln/>
                        </pic:spPr>
                      </pic:pic>
                    </a:graphicData>
                  </a:graphic>
                </wp:inline>
              </w:drawing>
            </w:r>
          </w:p>
          <w:p w14:paraId="461921BC" w14:textId="77777777" w:rsidR="00F12D99" w:rsidRPr="005D02EA" w:rsidRDefault="00F12D99" w:rsidP="001D0BB1">
            <w:pPr>
              <w:ind w:left="-395"/>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noProof/>
                <w:sz w:val="20"/>
                <w:szCs w:val="20"/>
                <w:lang w:val="es-MX" w:eastAsia="es-MX"/>
              </w:rPr>
              <w:drawing>
                <wp:inline distT="0" distB="0" distL="0" distR="0" wp14:anchorId="66653E2A" wp14:editId="7D29020E">
                  <wp:extent cx="2886075" cy="2124075"/>
                  <wp:effectExtent l="0" t="0" r="9525" b="9525"/>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886309" cy="2124247"/>
                          </a:xfrm>
                          <a:prstGeom prst="rect">
                            <a:avLst/>
                          </a:prstGeom>
                          <a:ln/>
                        </pic:spPr>
                      </pic:pic>
                    </a:graphicData>
                  </a:graphic>
                </wp:inline>
              </w:drawing>
            </w:r>
          </w:p>
          <w:p w14:paraId="4D300442" w14:textId="77777777" w:rsidR="00F12D99" w:rsidRPr="005D02EA" w:rsidRDefault="00F12D99" w:rsidP="001D0BB1">
            <w:pPr>
              <w:ind w:left="-395"/>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noProof/>
                <w:sz w:val="20"/>
                <w:szCs w:val="20"/>
                <w:lang w:val="es-MX" w:eastAsia="es-MX"/>
              </w:rPr>
              <w:lastRenderedPageBreak/>
              <w:drawing>
                <wp:inline distT="0" distB="0" distL="0" distR="0" wp14:anchorId="33DFB50A" wp14:editId="283122DE">
                  <wp:extent cx="2728202" cy="3346985"/>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728202" cy="3346985"/>
                          </a:xfrm>
                          <a:prstGeom prst="rect">
                            <a:avLst/>
                          </a:prstGeom>
                          <a:ln/>
                        </pic:spPr>
                      </pic:pic>
                    </a:graphicData>
                  </a:graphic>
                </wp:inline>
              </w:drawing>
            </w:r>
          </w:p>
          <w:p w14:paraId="46204572" w14:textId="77777777" w:rsidR="00F12D99" w:rsidRPr="005D02EA" w:rsidRDefault="00F12D99" w:rsidP="001D0BB1">
            <w:pPr>
              <w:ind w:left="-395"/>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noProof/>
                <w:sz w:val="20"/>
                <w:szCs w:val="20"/>
                <w:lang w:val="es-MX" w:eastAsia="es-MX"/>
              </w:rPr>
              <w:drawing>
                <wp:inline distT="0" distB="0" distL="0" distR="0" wp14:anchorId="00135726" wp14:editId="0102FEA3">
                  <wp:extent cx="3038038" cy="2969621"/>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3038038" cy="2969621"/>
                          </a:xfrm>
                          <a:prstGeom prst="rect">
                            <a:avLst/>
                          </a:prstGeom>
                          <a:ln/>
                        </pic:spPr>
                      </pic:pic>
                    </a:graphicData>
                  </a:graphic>
                </wp:inline>
              </w:drawing>
            </w:r>
          </w:p>
          <w:p w14:paraId="5F150EB6" w14:textId="77777777" w:rsidR="00F12D99" w:rsidRPr="005D02EA" w:rsidRDefault="00F12D99" w:rsidP="001D0BB1">
            <w:pPr>
              <w:ind w:left="-395"/>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noProof/>
                <w:sz w:val="20"/>
                <w:szCs w:val="20"/>
                <w:lang w:val="es-MX" w:eastAsia="es-MX"/>
              </w:rPr>
              <w:drawing>
                <wp:inline distT="0" distB="0" distL="0" distR="0" wp14:anchorId="6AEF5EAC" wp14:editId="7C0FE176">
                  <wp:extent cx="2962601" cy="1086552"/>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962601" cy="1086552"/>
                          </a:xfrm>
                          <a:prstGeom prst="rect">
                            <a:avLst/>
                          </a:prstGeom>
                          <a:ln/>
                        </pic:spPr>
                      </pic:pic>
                    </a:graphicData>
                  </a:graphic>
                </wp:inline>
              </w:drawing>
            </w:r>
          </w:p>
        </w:tc>
      </w:tr>
      <w:tr w:rsidR="00F67C51" w:rsidRPr="005D02EA" w14:paraId="345F6E2D" w14:textId="77777777" w:rsidTr="008924ED">
        <w:trPr>
          <w:trHeight w:val="12297"/>
        </w:trPr>
        <w:tc>
          <w:tcPr>
            <w:tcW w:w="1985" w:type="dxa"/>
            <w:vAlign w:val="center"/>
          </w:tcPr>
          <w:p w14:paraId="171691CF" w14:textId="77777777" w:rsidR="00F12D99" w:rsidRPr="005D02EA" w:rsidRDefault="00F12D99" w:rsidP="001D0BB1">
            <w:pPr>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lastRenderedPageBreak/>
              <w:t>Conexión entre los fundamentos y motivos que dieron origen a la Reserva de la información</w:t>
            </w:r>
          </w:p>
        </w:tc>
        <w:tc>
          <w:tcPr>
            <w:tcW w:w="1701" w:type="dxa"/>
            <w:vAlign w:val="center"/>
          </w:tcPr>
          <w:p w14:paraId="31E157D0" w14:textId="51AC95A1" w:rsidR="007076CE" w:rsidRPr="005D02EA" w:rsidRDefault="007076CE" w:rsidP="007076CE">
            <w:pPr>
              <w:ind w:left="47"/>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No</w:t>
            </w:r>
          </w:p>
          <w:p w14:paraId="21F2E175" w14:textId="65F1E448" w:rsidR="000A44B5" w:rsidRPr="005D02EA" w:rsidRDefault="007076CE" w:rsidP="007076CE">
            <w:pPr>
              <w:ind w:left="47"/>
              <w:jc w:val="both"/>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N</w:t>
            </w:r>
            <w:r w:rsidR="00F12D99" w:rsidRPr="005D02EA">
              <w:rPr>
                <w:rFonts w:ascii="Palatino Linotype" w:eastAsia="Palatino Linotype" w:hAnsi="Palatino Linotype" w:cs="Palatino Linotype"/>
                <w:b/>
                <w:sz w:val="20"/>
                <w:szCs w:val="20"/>
              </w:rPr>
              <w:t>o existe correcta relación entre los fundamentos legales utiliza</w:t>
            </w:r>
            <w:r w:rsidR="0085247B" w:rsidRPr="005D02EA">
              <w:rPr>
                <w:rFonts w:ascii="Palatino Linotype" w:eastAsia="Palatino Linotype" w:hAnsi="Palatino Linotype" w:cs="Palatino Linotype"/>
                <w:b/>
                <w:sz w:val="20"/>
                <w:szCs w:val="20"/>
              </w:rPr>
              <w:t>d</w:t>
            </w:r>
            <w:r w:rsidR="00836DB5" w:rsidRPr="005D02EA">
              <w:rPr>
                <w:rFonts w:ascii="Palatino Linotype" w:eastAsia="Palatino Linotype" w:hAnsi="Palatino Linotype" w:cs="Palatino Linotype"/>
                <w:b/>
                <w:sz w:val="20"/>
                <w:szCs w:val="20"/>
              </w:rPr>
              <w:t>os con el origen de la reserva, pues no se acreditó que los oficios tuvieran relación directa con los procedimientos que refiere, tampoco determina que los oficios solicitados, sean parte de los procedimientos</w:t>
            </w:r>
            <w:r w:rsidRPr="005D02EA">
              <w:rPr>
                <w:rFonts w:ascii="Palatino Linotype" w:eastAsia="Palatino Linotype" w:hAnsi="Palatino Linotype" w:cs="Palatino Linotype"/>
                <w:b/>
                <w:sz w:val="20"/>
                <w:szCs w:val="20"/>
              </w:rPr>
              <w:t xml:space="preserve">, se limita </w:t>
            </w:r>
            <w:proofErr w:type="gramStart"/>
            <w:r w:rsidRPr="005D02EA">
              <w:rPr>
                <w:rFonts w:ascii="Palatino Linotype" w:eastAsia="Palatino Linotype" w:hAnsi="Palatino Linotype" w:cs="Palatino Linotype"/>
                <w:b/>
                <w:sz w:val="20"/>
                <w:szCs w:val="20"/>
              </w:rPr>
              <w:t>hacer  una</w:t>
            </w:r>
            <w:proofErr w:type="gramEnd"/>
            <w:r w:rsidRPr="005D02EA">
              <w:rPr>
                <w:rFonts w:ascii="Palatino Linotype" w:eastAsia="Palatino Linotype" w:hAnsi="Palatino Linotype" w:cs="Palatino Linotype"/>
                <w:b/>
                <w:sz w:val="20"/>
                <w:szCs w:val="20"/>
              </w:rPr>
              <w:t xml:space="preserve"> clasificación de carácter general. </w:t>
            </w:r>
          </w:p>
          <w:p w14:paraId="57E47C01" w14:textId="4EE9299C" w:rsidR="00F12D99" w:rsidRPr="005D02EA" w:rsidRDefault="00F12D99" w:rsidP="000A44B5">
            <w:pPr>
              <w:rPr>
                <w:rFonts w:ascii="Palatino Linotype" w:eastAsia="Palatino Linotype" w:hAnsi="Palatino Linotype" w:cs="Palatino Linotype"/>
                <w:b/>
                <w:sz w:val="20"/>
                <w:szCs w:val="20"/>
              </w:rPr>
            </w:pPr>
          </w:p>
        </w:tc>
        <w:tc>
          <w:tcPr>
            <w:tcW w:w="5386" w:type="dxa"/>
            <w:vAlign w:val="center"/>
          </w:tcPr>
          <w:p w14:paraId="737608FA" w14:textId="77777777" w:rsidR="00F12D99" w:rsidRPr="005D02EA" w:rsidRDefault="00F12D99" w:rsidP="001D0BB1">
            <w:pPr>
              <w:pBdr>
                <w:top w:val="nil"/>
                <w:left w:val="nil"/>
                <w:bottom w:val="nil"/>
                <w:right w:val="nil"/>
                <w:between w:val="nil"/>
              </w:pBdr>
              <w:ind w:left="29" w:firstLine="18"/>
              <w:jc w:val="center"/>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drawing>
                <wp:inline distT="0" distB="0" distL="0" distR="0" wp14:anchorId="08496D92" wp14:editId="416E0C78">
                  <wp:extent cx="3228975" cy="323850"/>
                  <wp:effectExtent l="0" t="0" r="9525"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3228975" cy="323850"/>
                          </a:xfrm>
                          <a:prstGeom prst="rect">
                            <a:avLst/>
                          </a:prstGeom>
                          <a:ln/>
                        </pic:spPr>
                      </pic:pic>
                    </a:graphicData>
                  </a:graphic>
                </wp:inline>
              </w:drawing>
            </w:r>
          </w:p>
          <w:p w14:paraId="12435E20" w14:textId="77777777" w:rsidR="00F12D99" w:rsidRPr="005D02EA" w:rsidRDefault="00F12D99" w:rsidP="001D0BB1">
            <w:pPr>
              <w:pBdr>
                <w:top w:val="nil"/>
                <w:left w:val="nil"/>
                <w:bottom w:val="nil"/>
                <w:right w:val="nil"/>
                <w:between w:val="nil"/>
              </w:pBdr>
              <w:ind w:left="172" w:right="324" w:firstLine="18"/>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drawing>
                <wp:inline distT="0" distB="0" distL="0" distR="0" wp14:anchorId="2534D6B1" wp14:editId="3CC31818">
                  <wp:extent cx="3190875" cy="885825"/>
                  <wp:effectExtent l="0" t="0" r="9525" b="9525"/>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190875" cy="885825"/>
                          </a:xfrm>
                          <a:prstGeom prst="rect">
                            <a:avLst/>
                          </a:prstGeom>
                          <a:ln/>
                        </pic:spPr>
                      </pic:pic>
                    </a:graphicData>
                  </a:graphic>
                </wp:inline>
              </w:drawing>
            </w:r>
          </w:p>
          <w:p w14:paraId="3D7EBC7B" w14:textId="77777777" w:rsidR="00F12D99" w:rsidRPr="005D02EA" w:rsidRDefault="00F12D99" w:rsidP="001D0BB1">
            <w:pPr>
              <w:pBdr>
                <w:top w:val="nil"/>
                <w:left w:val="nil"/>
                <w:bottom w:val="nil"/>
                <w:right w:val="nil"/>
                <w:between w:val="nil"/>
              </w:pBdr>
              <w:ind w:left="29" w:firstLine="18"/>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w:t>
            </w:r>
          </w:p>
          <w:p w14:paraId="42117FC5" w14:textId="77777777" w:rsidR="00F12D99" w:rsidRPr="005D02EA" w:rsidRDefault="00F12D99" w:rsidP="001D0BB1">
            <w:pPr>
              <w:pBdr>
                <w:top w:val="nil"/>
                <w:left w:val="nil"/>
                <w:bottom w:val="nil"/>
                <w:right w:val="nil"/>
                <w:between w:val="nil"/>
              </w:pBdr>
              <w:ind w:left="29" w:firstLine="18"/>
              <w:jc w:val="center"/>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drawing>
                <wp:inline distT="0" distB="0" distL="0" distR="0" wp14:anchorId="31DDEAFA" wp14:editId="298C4B2B">
                  <wp:extent cx="3374000" cy="1470811"/>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374000" cy="1470811"/>
                          </a:xfrm>
                          <a:prstGeom prst="rect">
                            <a:avLst/>
                          </a:prstGeom>
                          <a:ln/>
                        </pic:spPr>
                      </pic:pic>
                    </a:graphicData>
                  </a:graphic>
                </wp:inline>
              </w:drawing>
            </w:r>
          </w:p>
        </w:tc>
      </w:tr>
      <w:tr w:rsidR="00F67C51" w:rsidRPr="005D02EA" w14:paraId="7D6D0A0C" w14:textId="77777777" w:rsidTr="001D0BB1">
        <w:tc>
          <w:tcPr>
            <w:tcW w:w="9072" w:type="dxa"/>
            <w:gridSpan w:val="3"/>
            <w:shd w:val="clear" w:color="auto" w:fill="D9D9D9"/>
            <w:vAlign w:val="center"/>
          </w:tcPr>
          <w:p w14:paraId="4C12845F" w14:textId="77777777" w:rsidR="00F12D99" w:rsidRPr="005D02EA" w:rsidRDefault="00F12D99" w:rsidP="001D0BB1">
            <w:pPr>
              <w:pBdr>
                <w:top w:val="nil"/>
                <w:left w:val="nil"/>
                <w:bottom w:val="nil"/>
                <w:right w:val="nil"/>
                <w:between w:val="nil"/>
              </w:pBdr>
              <w:ind w:left="29" w:firstLine="18"/>
              <w:jc w:val="center"/>
              <w:rPr>
                <w:rFonts w:ascii="Palatino Linotype" w:eastAsia="Palatino Linotype" w:hAnsi="Palatino Linotype" w:cs="Palatino Linotype"/>
                <w:sz w:val="20"/>
                <w:szCs w:val="20"/>
              </w:rPr>
            </w:pPr>
            <w:r w:rsidRPr="005D02EA">
              <w:rPr>
                <w:rFonts w:ascii="Palatino Linotype" w:eastAsia="Palatino Linotype" w:hAnsi="Palatino Linotype" w:cs="Palatino Linotype"/>
                <w:b/>
                <w:sz w:val="20"/>
                <w:szCs w:val="20"/>
              </w:rPr>
              <w:lastRenderedPageBreak/>
              <w:t>Prueba de Daño</w:t>
            </w:r>
          </w:p>
        </w:tc>
      </w:tr>
      <w:tr w:rsidR="00F67C51" w:rsidRPr="005D02EA" w14:paraId="645A2024" w14:textId="77777777" w:rsidTr="008924ED">
        <w:trPr>
          <w:trHeight w:val="3777"/>
        </w:trPr>
        <w:tc>
          <w:tcPr>
            <w:tcW w:w="1985" w:type="dxa"/>
            <w:vAlign w:val="center"/>
          </w:tcPr>
          <w:p w14:paraId="5B2770E2" w14:textId="77777777" w:rsidR="00F12D99" w:rsidRPr="005D02EA" w:rsidRDefault="00F12D99" w:rsidP="001D0BB1">
            <w:pPr>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Riesgo Real, Demostrable e Identificable</w:t>
            </w:r>
          </w:p>
          <w:p w14:paraId="13227821" w14:textId="77777777" w:rsidR="00F12D99" w:rsidRPr="005D02EA" w:rsidRDefault="00F12D99" w:rsidP="001D0BB1">
            <w:pPr>
              <w:jc w:val="center"/>
              <w:rPr>
                <w:rFonts w:ascii="Palatino Linotype" w:eastAsia="Palatino Linotype" w:hAnsi="Palatino Linotype" w:cs="Palatino Linotype"/>
                <w:b/>
                <w:sz w:val="20"/>
                <w:szCs w:val="20"/>
              </w:rPr>
            </w:pPr>
          </w:p>
        </w:tc>
        <w:tc>
          <w:tcPr>
            <w:tcW w:w="1701" w:type="dxa"/>
            <w:vAlign w:val="center"/>
          </w:tcPr>
          <w:p w14:paraId="2C673E4A" w14:textId="77777777" w:rsidR="00F12D99" w:rsidRPr="005D02EA" w:rsidRDefault="00F12D99" w:rsidP="001D0BB1">
            <w:pPr>
              <w:pBdr>
                <w:top w:val="nil"/>
                <w:left w:val="nil"/>
                <w:bottom w:val="nil"/>
                <w:right w:val="nil"/>
                <w:between w:val="nil"/>
              </w:pBdr>
              <w:ind w:left="29" w:firstLine="18"/>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No</w:t>
            </w:r>
          </w:p>
          <w:p w14:paraId="541B1F51" w14:textId="77777777" w:rsidR="00F12D99" w:rsidRPr="005D02EA" w:rsidRDefault="00F12D99" w:rsidP="0085247B">
            <w:pPr>
              <w:pBdr>
                <w:top w:val="nil"/>
                <w:left w:val="nil"/>
                <w:bottom w:val="nil"/>
                <w:right w:val="nil"/>
                <w:between w:val="nil"/>
              </w:pBdr>
              <w:ind w:left="29" w:firstLine="18"/>
              <w:jc w:val="both"/>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Debido a que no se exponen los argumentos tendientes a demostrar el Riesgo Real, Demostrable e Identificable, que existe al hacer la entrega de la información.</w:t>
            </w:r>
          </w:p>
          <w:p w14:paraId="57BC4FD3" w14:textId="1D77169D" w:rsidR="00C24828" w:rsidRPr="005D02EA" w:rsidRDefault="0085247B" w:rsidP="0085247B">
            <w:pPr>
              <w:pBdr>
                <w:top w:val="nil"/>
                <w:left w:val="nil"/>
                <w:bottom w:val="nil"/>
                <w:right w:val="nil"/>
                <w:between w:val="nil"/>
              </w:pBdr>
              <w:ind w:left="29" w:firstLine="18"/>
              <w:jc w:val="both"/>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 xml:space="preserve">Tampoco se realizó el análisis de cada una de las causales de clasificación invocadas por el Sujeto Obligado, ya que la Ley de la materia refiere que la clasificación de la información se llevara a cabo mediante un análisis de caso por caso, lo cual no aconteció en el presente asunto. </w:t>
            </w:r>
          </w:p>
          <w:p w14:paraId="0FCD6E7C" w14:textId="7CAB3DD4" w:rsidR="00C24828" w:rsidRPr="005D02EA" w:rsidRDefault="00C24828" w:rsidP="00C24828">
            <w:pPr>
              <w:pBdr>
                <w:top w:val="nil"/>
                <w:left w:val="nil"/>
                <w:bottom w:val="nil"/>
                <w:right w:val="nil"/>
                <w:between w:val="nil"/>
              </w:pBdr>
              <w:ind w:left="29" w:firstLine="18"/>
              <w:rPr>
                <w:rFonts w:ascii="Palatino Linotype" w:eastAsia="Palatino Linotype" w:hAnsi="Palatino Linotype" w:cs="Palatino Linotype"/>
                <w:b/>
                <w:sz w:val="20"/>
                <w:szCs w:val="20"/>
              </w:rPr>
            </w:pPr>
          </w:p>
        </w:tc>
        <w:tc>
          <w:tcPr>
            <w:tcW w:w="5386" w:type="dxa"/>
            <w:vAlign w:val="center"/>
          </w:tcPr>
          <w:p w14:paraId="5714371B" w14:textId="77777777" w:rsidR="00F12D99" w:rsidRPr="005D02EA" w:rsidRDefault="00F12D99" w:rsidP="001D0BB1">
            <w:pPr>
              <w:pBdr>
                <w:top w:val="nil"/>
                <w:left w:val="nil"/>
                <w:bottom w:val="nil"/>
                <w:right w:val="nil"/>
                <w:between w:val="nil"/>
              </w:pBdr>
              <w:ind w:left="29" w:firstLine="18"/>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drawing>
                <wp:inline distT="0" distB="0" distL="0" distR="0" wp14:anchorId="062C7C01" wp14:editId="1F2B8D2C">
                  <wp:extent cx="3333750" cy="272777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341223" cy="2733890"/>
                          </a:xfrm>
                          <a:prstGeom prst="rect">
                            <a:avLst/>
                          </a:prstGeom>
                          <a:ln/>
                        </pic:spPr>
                      </pic:pic>
                    </a:graphicData>
                  </a:graphic>
                </wp:inline>
              </w:drawing>
            </w:r>
          </w:p>
          <w:p w14:paraId="3D92D928" w14:textId="77777777" w:rsidR="00F12D99" w:rsidRPr="005D02EA" w:rsidRDefault="00F12D99" w:rsidP="001D0BB1">
            <w:pPr>
              <w:pBdr>
                <w:top w:val="nil"/>
                <w:left w:val="nil"/>
                <w:bottom w:val="nil"/>
                <w:right w:val="nil"/>
                <w:between w:val="nil"/>
              </w:pBdr>
              <w:ind w:left="29" w:firstLine="18"/>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drawing>
                <wp:inline distT="0" distB="0" distL="0" distR="0" wp14:anchorId="09FA8CA1" wp14:editId="1FE3770B">
                  <wp:extent cx="3352800" cy="3688715"/>
                  <wp:effectExtent l="0" t="0" r="0" b="6985"/>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353321" cy="3689288"/>
                          </a:xfrm>
                          <a:prstGeom prst="rect">
                            <a:avLst/>
                          </a:prstGeom>
                          <a:ln/>
                        </pic:spPr>
                      </pic:pic>
                    </a:graphicData>
                  </a:graphic>
                </wp:inline>
              </w:drawing>
            </w:r>
          </w:p>
          <w:p w14:paraId="45A19EE9" w14:textId="77777777" w:rsidR="00F12D99" w:rsidRPr="005D02EA" w:rsidRDefault="00F12D99" w:rsidP="001D0BB1">
            <w:pPr>
              <w:pBdr>
                <w:top w:val="nil"/>
                <w:left w:val="nil"/>
                <w:bottom w:val="nil"/>
                <w:right w:val="nil"/>
                <w:between w:val="nil"/>
              </w:pBdr>
              <w:ind w:left="29" w:firstLine="18"/>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lastRenderedPageBreak/>
              <w:drawing>
                <wp:inline distT="0" distB="0" distL="0" distR="0" wp14:anchorId="30E474D2" wp14:editId="47625B74">
                  <wp:extent cx="3373120" cy="225425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3373120" cy="2254250"/>
                          </a:xfrm>
                          <a:prstGeom prst="rect">
                            <a:avLst/>
                          </a:prstGeom>
                          <a:ln/>
                        </pic:spPr>
                      </pic:pic>
                    </a:graphicData>
                  </a:graphic>
                </wp:inline>
              </w:drawing>
            </w:r>
          </w:p>
        </w:tc>
      </w:tr>
      <w:tr w:rsidR="00F67C51" w:rsidRPr="005D02EA" w14:paraId="47AEA951" w14:textId="77777777" w:rsidTr="008924ED">
        <w:tc>
          <w:tcPr>
            <w:tcW w:w="1985" w:type="dxa"/>
            <w:vAlign w:val="center"/>
          </w:tcPr>
          <w:p w14:paraId="708FFA90" w14:textId="77777777" w:rsidR="00F12D99" w:rsidRPr="005D02EA" w:rsidRDefault="00F12D99" w:rsidP="001D0BB1">
            <w:pPr>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lastRenderedPageBreak/>
              <w:t>Temporalidad de la Reserva de la información</w:t>
            </w:r>
          </w:p>
        </w:tc>
        <w:tc>
          <w:tcPr>
            <w:tcW w:w="1701" w:type="dxa"/>
            <w:vAlign w:val="center"/>
          </w:tcPr>
          <w:p w14:paraId="5E8C5F52" w14:textId="77777777" w:rsidR="00F12D99" w:rsidRPr="005D02EA" w:rsidRDefault="00F12D99" w:rsidP="001D0BB1">
            <w:pPr>
              <w:pBdr>
                <w:top w:val="nil"/>
                <w:left w:val="nil"/>
                <w:bottom w:val="nil"/>
                <w:right w:val="nil"/>
                <w:between w:val="nil"/>
              </w:pBdr>
              <w:ind w:left="29" w:firstLine="18"/>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Sí</w:t>
            </w:r>
          </w:p>
        </w:tc>
        <w:tc>
          <w:tcPr>
            <w:tcW w:w="5386" w:type="dxa"/>
            <w:vAlign w:val="center"/>
          </w:tcPr>
          <w:p w14:paraId="4A31B41D" w14:textId="77777777" w:rsidR="00F12D99" w:rsidRPr="005D02EA" w:rsidRDefault="00F12D99" w:rsidP="001D0BB1">
            <w:pPr>
              <w:pBdr>
                <w:top w:val="nil"/>
                <w:left w:val="nil"/>
                <w:bottom w:val="nil"/>
                <w:right w:val="nil"/>
                <w:between w:val="nil"/>
              </w:pBdr>
              <w:ind w:left="29" w:firstLine="18"/>
              <w:rPr>
                <w:rFonts w:ascii="Palatino Linotype" w:eastAsia="Palatino Linotype" w:hAnsi="Palatino Linotype" w:cs="Palatino Linotype"/>
                <w:sz w:val="20"/>
                <w:szCs w:val="20"/>
              </w:rPr>
            </w:pPr>
          </w:p>
          <w:p w14:paraId="6FD7A8E1" w14:textId="77777777" w:rsidR="00F12D99" w:rsidRPr="005D02EA" w:rsidRDefault="00F12D99" w:rsidP="001D0BB1">
            <w:pPr>
              <w:pBdr>
                <w:top w:val="nil"/>
                <w:left w:val="nil"/>
                <w:bottom w:val="nil"/>
                <w:right w:val="nil"/>
                <w:between w:val="nil"/>
              </w:pBdr>
              <w:ind w:left="29" w:firstLine="18"/>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drawing>
                <wp:inline distT="0" distB="0" distL="0" distR="0" wp14:anchorId="235B4FB4" wp14:editId="6F4A06FE">
                  <wp:extent cx="3162300" cy="276225"/>
                  <wp:effectExtent l="0" t="0" r="0" b="9525"/>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162300" cy="276225"/>
                          </a:xfrm>
                          <a:prstGeom prst="rect">
                            <a:avLst/>
                          </a:prstGeom>
                          <a:ln/>
                        </pic:spPr>
                      </pic:pic>
                    </a:graphicData>
                  </a:graphic>
                </wp:inline>
              </w:drawing>
            </w:r>
          </w:p>
          <w:p w14:paraId="3F76B29B" w14:textId="77777777" w:rsidR="00F12D99" w:rsidRPr="005D02EA" w:rsidRDefault="00F12D99" w:rsidP="001D0BB1">
            <w:pPr>
              <w:pBdr>
                <w:top w:val="nil"/>
                <w:left w:val="nil"/>
                <w:bottom w:val="nil"/>
                <w:right w:val="nil"/>
                <w:between w:val="nil"/>
              </w:pBdr>
              <w:ind w:left="29" w:firstLine="18"/>
              <w:jc w:val="center"/>
              <w:rPr>
                <w:rFonts w:ascii="Palatino Linotype" w:eastAsia="Palatino Linotype" w:hAnsi="Palatino Linotype" w:cs="Palatino Linotype"/>
                <w:sz w:val="20"/>
                <w:szCs w:val="20"/>
              </w:rPr>
            </w:pPr>
          </w:p>
        </w:tc>
      </w:tr>
      <w:tr w:rsidR="00F12D99" w:rsidRPr="005D02EA" w14:paraId="5292FDEF" w14:textId="77777777" w:rsidTr="008924ED">
        <w:trPr>
          <w:trHeight w:val="3517"/>
        </w:trPr>
        <w:tc>
          <w:tcPr>
            <w:tcW w:w="1985" w:type="dxa"/>
            <w:vAlign w:val="center"/>
          </w:tcPr>
          <w:p w14:paraId="12A26D6F" w14:textId="77777777" w:rsidR="00F12D99" w:rsidRPr="005D02EA" w:rsidRDefault="00F12D99" w:rsidP="001D0BB1">
            <w:pPr>
              <w:tabs>
                <w:tab w:val="left" w:pos="317"/>
              </w:tabs>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Autoridades competentes.</w:t>
            </w:r>
          </w:p>
        </w:tc>
        <w:tc>
          <w:tcPr>
            <w:tcW w:w="1701" w:type="dxa"/>
            <w:vAlign w:val="center"/>
          </w:tcPr>
          <w:p w14:paraId="0AF84FE0" w14:textId="77777777" w:rsidR="00F12D99" w:rsidRPr="005D02EA" w:rsidRDefault="00F12D99" w:rsidP="001D0BB1">
            <w:pPr>
              <w:pBdr>
                <w:top w:val="nil"/>
                <w:left w:val="nil"/>
                <w:bottom w:val="nil"/>
                <w:right w:val="nil"/>
                <w:between w:val="nil"/>
              </w:pBdr>
              <w:ind w:left="29" w:firstLine="18"/>
              <w:jc w:val="center"/>
              <w:rPr>
                <w:rFonts w:ascii="Palatino Linotype" w:eastAsia="Palatino Linotype" w:hAnsi="Palatino Linotype" w:cs="Palatino Linotype"/>
                <w:b/>
                <w:sz w:val="20"/>
                <w:szCs w:val="20"/>
              </w:rPr>
            </w:pPr>
            <w:r w:rsidRPr="005D02EA">
              <w:rPr>
                <w:rFonts w:ascii="Palatino Linotype" w:eastAsia="Palatino Linotype" w:hAnsi="Palatino Linotype" w:cs="Palatino Linotype"/>
                <w:b/>
                <w:sz w:val="20"/>
                <w:szCs w:val="20"/>
              </w:rPr>
              <w:t>No</w:t>
            </w:r>
          </w:p>
          <w:p w14:paraId="37ED486C" w14:textId="77777777" w:rsidR="00C24828" w:rsidRPr="005D02EA" w:rsidRDefault="00C24828" w:rsidP="001D0BB1">
            <w:pPr>
              <w:pBdr>
                <w:top w:val="nil"/>
                <w:left w:val="nil"/>
                <w:bottom w:val="nil"/>
                <w:right w:val="nil"/>
                <w:between w:val="nil"/>
              </w:pBdr>
              <w:ind w:left="29" w:firstLine="18"/>
              <w:jc w:val="center"/>
              <w:rPr>
                <w:rFonts w:ascii="Palatino Linotype" w:eastAsia="Palatino Linotype" w:hAnsi="Palatino Linotype" w:cs="Palatino Linotype"/>
                <w:b/>
                <w:sz w:val="20"/>
                <w:szCs w:val="20"/>
              </w:rPr>
            </w:pPr>
          </w:p>
          <w:p w14:paraId="7C4CE91A" w14:textId="731CEE42" w:rsidR="00C24828" w:rsidRPr="005D02EA" w:rsidRDefault="00C24828" w:rsidP="001D0BB1">
            <w:pPr>
              <w:pBdr>
                <w:top w:val="nil"/>
                <w:left w:val="nil"/>
                <w:bottom w:val="nil"/>
                <w:right w:val="nil"/>
                <w:between w:val="nil"/>
              </w:pBdr>
              <w:ind w:left="29" w:firstLine="18"/>
              <w:jc w:val="center"/>
              <w:rPr>
                <w:rFonts w:ascii="Palatino Linotype" w:eastAsia="Palatino Linotype" w:hAnsi="Palatino Linotype" w:cs="Palatino Linotype"/>
                <w:b/>
                <w:sz w:val="20"/>
                <w:szCs w:val="20"/>
              </w:rPr>
            </w:pPr>
          </w:p>
        </w:tc>
        <w:tc>
          <w:tcPr>
            <w:tcW w:w="5386" w:type="dxa"/>
          </w:tcPr>
          <w:p w14:paraId="2D9789FA" w14:textId="77777777" w:rsidR="00F12D99" w:rsidRPr="005D02EA" w:rsidRDefault="00F12D99" w:rsidP="001D0BB1">
            <w:pPr>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drawing>
                <wp:inline distT="0" distB="0" distL="0" distR="0" wp14:anchorId="7A76CA0E" wp14:editId="3A328747">
                  <wp:extent cx="3552825" cy="4112895"/>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3552825" cy="4112895"/>
                          </a:xfrm>
                          <a:prstGeom prst="rect">
                            <a:avLst/>
                          </a:prstGeom>
                          <a:ln/>
                        </pic:spPr>
                      </pic:pic>
                    </a:graphicData>
                  </a:graphic>
                </wp:inline>
              </w:drawing>
            </w:r>
          </w:p>
          <w:p w14:paraId="2994F54B" w14:textId="77777777" w:rsidR="00F12D99" w:rsidRPr="005D02EA" w:rsidRDefault="00F12D99" w:rsidP="001D0BB1">
            <w:pPr>
              <w:rPr>
                <w:rFonts w:ascii="Palatino Linotype" w:eastAsia="Palatino Linotype" w:hAnsi="Palatino Linotype" w:cs="Palatino Linotype"/>
                <w:sz w:val="20"/>
                <w:szCs w:val="20"/>
              </w:rPr>
            </w:pPr>
            <w:r w:rsidRPr="005D02EA">
              <w:rPr>
                <w:rFonts w:ascii="Palatino Linotype" w:eastAsia="Palatino Linotype" w:hAnsi="Palatino Linotype" w:cs="Palatino Linotype"/>
                <w:noProof/>
                <w:sz w:val="20"/>
                <w:szCs w:val="20"/>
                <w:lang w:val="es-MX" w:eastAsia="es-MX"/>
              </w:rPr>
              <w:lastRenderedPageBreak/>
              <w:drawing>
                <wp:inline distT="0" distB="0" distL="0" distR="0" wp14:anchorId="3F7C8E7A" wp14:editId="2872B670">
                  <wp:extent cx="3552825" cy="2103755"/>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3552825" cy="2103755"/>
                          </a:xfrm>
                          <a:prstGeom prst="rect">
                            <a:avLst/>
                          </a:prstGeom>
                          <a:ln/>
                        </pic:spPr>
                      </pic:pic>
                    </a:graphicData>
                  </a:graphic>
                </wp:inline>
              </w:drawing>
            </w:r>
          </w:p>
        </w:tc>
      </w:tr>
    </w:tbl>
    <w:p w14:paraId="6C24A2CC" w14:textId="77777777" w:rsidR="00F12D99" w:rsidRPr="005D02EA" w:rsidRDefault="00F12D99" w:rsidP="00F12D99">
      <w:pPr>
        <w:spacing w:line="360" w:lineRule="auto"/>
        <w:jc w:val="both"/>
        <w:rPr>
          <w:rFonts w:ascii="Palatino Linotype" w:eastAsia="Palatino Linotype" w:hAnsi="Palatino Linotype" w:cs="Palatino Linotype"/>
          <w:sz w:val="22"/>
          <w:szCs w:val="22"/>
        </w:rPr>
      </w:pPr>
    </w:p>
    <w:p w14:paraId="3FAB7A8A" w14:textId="1313A503" w:rsidR="00F12D99" w:rsidRPr="005D02EA" w:rsidRDefault="00F12D99">
      <w:pPr>
        <w:spacing w:line="360" w:lineRule="auto"/>
        <w:jc w:val="both"/>
        <w:rPr>
          <w:rFonts w:ascii="Palatino Linotype" w:hAnsi="Palatino Linotype"/>
          <w:sz w:val="22"/>
          <w:szCs w:val="22"/>
        </w:rPr>
      </w:pPr>
      <w:r w:rsidRPr="005D02EA">
        <w:rPr>
          <w:rFonts w:ascii="Palatino Linotype" w:hAnsi="Palatino Linotype"/>
          <w:sz w:val="22"/>
          <w:szCs w:val="22"/>
        </w:rPr>
        <w:t>Ahora bien, toda vez que, el Comité de Transparencia reservó la información solicitada en apego a la</w:t>
      </w:r>
      <w:r w:rsidR="00C24828" w:rsidRPr="005D02EA">
        <w:rPr>
          <w:rFonts w:ascii="Palatino Linotype" w:hAnsi="Palatino Linotype"/>
          <w:sz w:val="22"/>
          <w:szCs w:val="22"/>
        </w:rPr>
        <w:t>s</w:t>
      </w:r>
      <w:r w:rsidRPr="005D02EA">
        <w:rPr>
          <w:rFonts w:ascii="Palatino Linotype" w:hAnsi="Palatino Linotype"/>
          <w:sz w:val="22"/>
          <w:szCs w:val="22"/>
        </w:rPr>
        <w:t xml:space="preserve"> </w:t>
      </w:r>
      <w:r w:rsidR="00C24828" w:rsidRPr="005D02EA">
        <w:rPr>
          <w:rFonts w:ascii="Palatino Linotype" w:hAnsi="Palatino Linotype"/>
          <w:sz w:val="22"/>
          <w:szCs w:val="22"/>
        </w:rPr>
        <w:t xml:space="preserve">fracciones </w:t>
      </w:r>
      <w:r w:rsidR="000A44B5" w:rsidRPr="005D02EA">
        <w:rPr>
          <w:rFonts w:ascii="Palatino Linotype" w:hAnsi="Palatino Linotype"/>
          <w:sz w:val="22"/>
          <w:szCs w:val="22"/>
        </w:rPr>
        <w:t xml:space="preserve">IV, VI, VIII, IX, X y XI </w:t>
      </w:r>
      <w:r w:rsidRPr="005D02EA">
        <w:rPr>
          <w:rFonts w:ascii="Palatino Linotype" w:hAnsi="Palatino Linotype"/>
          <w:sz w:val="22"/>
          <w:szCs w:val="22"/>
        </w:rPr>
        <w:t xml:space="preserve">del </w:t>
      </w:r>
      <w:r w:rsidR="000A44B5" w:rsidRPr="005D02EA">
        <w:rPr>
          <w:rFonts w:ascii="Palatino Linotype" w:hAnsi="Palatino Linotype"/>
          <w:sz w:val="22"/>
          <w:szCs w:val="22"/>
        </w:rPr>
        <w:t xml:space="preserve">artículo </w:t>
      </w:r>
      <w:r w:rsidRPr="005D02EA">
        <w:rPr>
          <w:rFonts w:ascii="Palatino Linotype" w:hAnsi="Palatino Linotype"/>
          <w:sz w:val="22"/>
          <w:szCs w:val="22"/>
        </w:rPr>
        <w:t xml:space="preserve">140 de la Ley de Transparencia Local, </w:t>
      </w:r>
      <w:r w:rsidR="000A44B5" w:rsidRPr="005D02EA">
        <w:rPr>
          <w:rFonts w:ascii="Palatino Linotype" w:hAnsi="Palatino Linotype"/>
          <w:sz w:val="22"/>
          <w:szCs w:val="22"/>
        </w:rPr>
        <w:t xml:space="preserve">conviene </w:t>
      </w:r>
      <w:r w:rsidR="009C0B21" w:rsidRPr="005D02EA">
        <w:rPr>
          <w:rFonts w:ascii="Palatino Linotype" w:hAnsi="Palatino Linotype"/>
          <w:sz w:val="22"/>
          <w:szCs w:val="22"/>
        </w:rPr>
        <w:t xml:space="preserve">hacer de su conocimiento que </w:t>
      </w:r>
      <w:r w:rsidR="000A44B5" w:rsidRPr="005D02EA">
        <w:rPr>
          <w:rFonts w:ascii="Palatino Linotype" w:hAnsi="Palatino Linotype"/>
          <w:sz w:val="22"/>
          <w:szCs w:val="22"/>
        </w:rPr>
        <w:t xml:space="preserve">la Ley de la materia establece en sus artículo 134 tercer párrafo y </w:t>
      </w:r>
      <w:r w:rsidR="009C0B21" w:rsidRPr="005D02EA">
        <w:rPr>
          <w:rFonts w:ascii="Palatino Linotype" w:hAnsi="Palatino Linotype"/>
          <w:sz w:val="22"/>
          <w:szCs w:val="22"/>
        </w:rPr>
        <w:t xml:space="preserve">numeral </w:t>
      </w:r>
      <w:r w:rsidR="000A44B5" w:rsidRPr="005D02EA">
        <w:rPr>
          <w:rFonts w:ascii="Palatino Linotype" w:hAnsi="Palatino Linotype"/>
          <w:sz w:val="22"/>
          <w:szCs w:val="22"/>
        </w:rPr>
        <w:t>Sexto de los Lineamientos Generales en Materia de Clasificación y Desclasificación de la Información, así como para la Ela</w:t>
      </w:r>
      <w:r w:rsidR="009C0B21" w:rsidRPr="005D02EA">
        <w:rPr>
          <w:rFonts w:ascii="Palatino Linotype" w:hAnsi="Palatino Linotype"/>
          <w:sz w:val="22"/>
          <w:szCs w:val="22"/>
        </w:rPr>
        <w:t>boración de Versiones Públicas</w:t>
      </w:r>
      <w:r w:rsidR="000A44B5" w:rsidRPr="005D02EA">
        <w:rPr>
          <w:rFonts w:ascii="Palatino Linotype" w:hAnsi="Palatino Linotype"/>
          <w:sz w:val="22"/>
          <w:szCs w:val="22"/>
        </w:rPr>
        <w:t xml:space="preserve">, </w:t>
      </w:r>
      <w:r w:rsidR="009C0B21" w:rsidRPr="005D02EA">
        <w:rPr>
          <w:rFonts w:ascii="Palatino Linotype" w:hAnsi="Palatino Linotype"/>
          <w:sz w:val="22"/>
          <w:szCs w:val="22"/>
        </w:rPr>
        <w:t xml:space="preserve">que </w:t>
      </w:r>
      <w:r w:rsidR="000A44B5" w:rsidRPr="005D02EA">
        <w:rPr>
          <w:rFonts w:ascii="Palatino Linotype" w:hAnsi="Palatino Linotype"/>
          <w:sz w:val="22"/>
          <w:szCs w:val="22"/>
        </w:rPr>
        <w:t xml:space="preserve">los </w:t>
      </w:r>
      <w:r w:rsidR="009C0B21" w:rsidRPr="005D02EA">
        <w:rPr>
          <w:rFonts w:ascii="Palatino Linotype" w:hAnsi="Palatino Linotype"/>
          <w:sz w:val="22"/>
          <w:szCs w:val="22"/>
        </w:rPr>
        <w:t xml:space="preserve">Sujetos Obligados </w:t>
      </w:r>
      <w:r w:rsidR="000A44B5" w:rsidRPr="005D02EA">
        <w:rPr>
          <w:rFonts w:ascii="Palatino Linotype" w:hAnsi="Palatino Linotype"/>
          <w:sz w:val="22"/>
          <w:szCs w:val="22"/>
        </w:rPr>
        <w:t>no podrán emitir acuerdos de carácter general que clasifiquen documentos; por lo que, la clasificación de información se llevará a cabo mediante un análisis caso por caso</w:t>
      </w:r>
      <w:r w:rsidR="009C0B21" w:rsidRPr="005D02EA">
        <w:rPr>
          <w:rFonts w:ascii="Palatino Linotype" w:hAnsi="Palatino Linotype"/>
          <w:sz w:val="22"/>
          <w:szCs w:val="22"/>
        </w:rPr>
        <w:t>, es decir debe desarrollar una prueba de daño por cada una de las fracciones que refiere, lo cual no aconteció en el presente caso</w:t>
      </w:r>
      <w:r w:rsidR="000A44B5" w:rsidRPr="005D02EA">
        <w:rPr>
          <w:rFonts w:ascii="Palatino Linotype" w:hAnsi="Palatino Linotype"/>
          <w:sz w:val="22"/>
          <w:szCs w:val="22"/>
        </w:rPr>
        <w:t>.</w:t>
      </w:r>
    </w:p>
    <w:p w14:paraId="2A1DD8B9" w14:textId="560FF098" w:rsidR="008755C4" w:rsidRPr="005D02EA" w:rsidRDefault="008755C4">
      <w:pPr>
        <w:spacing w:line="360" w:lineRule="auto"/>
        <w:jc w:val="both"/>
        <w:rPr>
          <w:rFonts w:ascii="Palatino Linotype" w:hAnsi="Palatino Linotype"/>
          <w:sz w:val="22"/>
          <w:szCs w:val="22"/>
        </w:rPr>
      </w:pPr>
    </w:p>
    <w:p w14:paraId="01CB745B" w14:textId="522389E0" w:rsidR="00C24828" w:rsidRPr="005D02EA" w:rsidRDefault="008755C4" w:rsidP="00C24828">
      <w:pPr>
        <w:spacing w:line="360" w:lineRule="auto"/>
        <w:jc w:val="both"/>
        <w:rPr>
          <w:rFonts w:ascii="Palatino Linotype" w:hAnsi="Palatino Linotype"/>
          <w:sz w:val="22"/>
          <w:szCs w:val="22"/>
        </w:rPr>
      </w:pPr>
      <w:r w:rsidRPr="005D02EA">
        <w:rPr>
          <w:rFonts w:ascii="Palatino Linotype" w:hAnsi="Palatino Linotype"/>
          <w:sz w:val="22"/>
          <w:szCs w:val="22"/>
        </w:rPr>
        <w:t xml:space="preserve">Así por ejemplo por lo que hace a una de las causales invocadas por el </w:t>
      </w:r>
      <w:r w:rsidR="009C0B21" w:rsidRPr="005D02EA">
        <w:rPr>
          <w:rFonts w:ascii="Palatino Linotype" w:hAnsi="Palatino Linotype"/>
          <w:b/>
          <w:sz w:val="22"/>
          <w:szCs w:val="22"/>
        </w:rPr>
        <w:t>Sujeto Obligado</w:t>
      </w:r>
      <w:r w:rsidR="009C0B21" w:rsidRPr="005D02EA">
        <w:rPr>
          <w:rFonts w:ascii="Palatino Linotype" w:hAnsi="Palatino Linotype"/>
          <w:sz w:val="22"/>
          <w:szCs w:val="22"/>
        </w:rPr>
        <w:t xml:space="preserve"> </w:t>
      </w:r>
      <w:r w:rsidRPr="005D02EA">
        <w:rPr>
          <w:rFonts w:ascii="Palatino Linotype" w:hAnsi="Palatino Linotype"/>
          <w:sz w:val="22"/>
          <w:szCs w:val="22"/>
        </w:rPr>
        <w:t>en el acuerdo</w:t>
      </w:r>
      <w:r w:rsidR="00AB1730" w:rsidRPr="005D02EA">
        <w:rPr>
          <w:rFonts w:ascii="Palatino Linotype" w:hAnsi="Palatino Linotype"/>
          <w:sz w:val="22"/>
          <w:szCs w:val="22"/>
        </w:rPr>
        <w:t>,</w:t>
      </w:r>
      <w:r w:rsidRPr="005D02EA">
        <w:rPr>
          <w:rFonts w:ascii="Palatino Linotype" w:hAnsi="Palatino Linotype"/>
          <w:sz w:val="22"/>
          <w:szCs w:val="22"/>
        </w:rPr>
        <w:t xml:space="preserve"> esto es a la </w:t>
      </w:r>
      <w:r w:rsidR="00C24828" w:rsidRPr="005D02EA">
        <w:rPr>
          <w:rFonts w:ascii="Palatino Linotype" w:hAnsi="Palatino Linotype"/>
          <w:b/>
          <w:bCs/>
          <w:sz w:val="22"/>
          <w:szCs w:val="22"/>
          <w:u w:val="single"/>
        </w:rPr>
        <w:t>fracción X</w:t>
      </w:r>
      <w:r w:rsidRPr="005D02EA">
        <w:rPr>
          <w:rFonts w:ascii="Palatino Linotype" w:hAnsi="Palatino Linotype"/>
          <w:b/>
          <w:bCs/>
          <w:sz w:val="22"/>
          <w:szCs w:val="22"/>
          <w:u w:val="single"/>
        </w:rPr>
        <w:t xml:space="preserve"> del artículo 140</w:t>
      </w:r>
      <w:r w:rsidR="00C24828" w:rsidRPr="005D02EA">
        <w:rPr>
          <w:rFonts w:ascii="Palatino Linotype" w:hAnsi="Palatino Linotype"/>
          <w:sz w:val="22"/>
          <w:szCs w:val="22"/>
        </w:rPr>
        <w:t xml:space="preserve">, de la Ley de Transparencia y Acceso a la Información Pública del Estado de México y Municipios, será información reservada, aquella en la que el daño que pueda producirse con la publicación de la información sea mayor que el interés público de conocer la información de referencia, siempre que esté directamente relacionado con procesos o procedimientos administrativos o judiciales que no hayan quedado firme. </w:t>
      </w:r>
    </w:p>
    <w:p w14:paraId="753B7972" w14:textId="77777777" w:rsidR="00C24828" w:rsidRPr="005D02EA" w:rsidRDefault="00C24828" w:rsidP="00C24828">
      <w:pPr>
        <w:spacing w:line="360" w:lineRule="auto"/>
        <w:jc w:val="both"/>
        <w:rPr>
          <w:rFonts w:ascii="Palatino Linotype" w:hAnsi="Palatino Linotype"/>
          <w:sz w:val="22"/>
          <w:szCs w:val="22"/>
        </w:rPr>
      </w:pPr>
    </w:p>
    <w:p w14:paraId="68C37F20" w14:textId="77777777" w:rsidR="008755C4"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lastRenderedPageBreak/>
        <w:t xml:space="preserve">En ese sentido, los Lineamientos Generales prevén lo siguiente: “Vigésimo noveno. De conformidad con el artículo 113, fracción X de la Ley General, podrá considerarse como información reservada, aquella que de divulgarse afecte el debido proceso al actualizarse los siguientes elementos: I. La existencia de un procedimiento judicial, administrativo o arbitral en trámite; II. Que el sujeto obligado sea parte en ese procedimiento; III. Que la información no sea conocida por la contraparte antes de la presentación de la misma en el proceso, y IV. Que con su divulgación se afecte la oportunidad de llevar a cabo alguna de las garantías del debido proceso.” De la normatividad citada, se desprende que el supuesto de clasificación invocado por el sujeto obligado, prevé que como información reservada podrá clasificarse aquella que de divulgarse afecte el debido proceso, por lo cual, para considerar que se actualiza dicha causal es necesario que se configuren los siguientes elementos: </w:t>
      </w:r>
    </w:p>
    <w:p w14:paraId="6C3DAA3A" w14:textId="77777777" w:rsidR="008755C4" w:rsidRPr="005D02EA" w:rsidRDefault="008755C4" w:rsidP="00C24828">
      <w:pPr>
        <w:spacing w:line="360" w:lineRule="auto"/>
        <w:jc w:val="both"/>
        <w:rPr>
          <w:rFonts w:ascii="Palatino Linotype" w:hAnsi="Palatino Linotype"/>
          <w:sz w:val="22"/>
          <w:szCs w:val="22"/>
        </w:rPr>
      </w:pPr>
    </w:p>
    <w:p w14:paraId="05AEFD53" w14:textId="2EF0F041" w:rsidR="00C24828"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t>I. La existencia de un procedimiento judicial, administrativo o arbitral en trámite;</w:t>
      </w:r>
    </w:p>
    <w:p w14:paraId="02DD7999" w14:textId="77777777" w:rsidR="008755C4"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t xml:space="preserve">II. Que el sujeto obligado sea parte en ese procedimiento; </w:t>
      </w:r>
    </w:p>
    <w:p w14:paraId="1A54635F" w14:textId="52DEFD1F" w:rsidR="008755C4"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t>III. Que la información no sea conocida por la contraparte antes de la presentació</w:t>
      </w:r>
      <w:r w:rsidR="00AB1730" w:rsidRPr="005D02EA">
        <w:rPr>
          <w:rFonts w:ascii="Palatino Linotype" w:hAnsi="Palatino Linotype"/>
          <w:sz w:val="22"/>
          <w:szCs w:val="22"/>
        </w:rPr>
        <w:t xml:space="preserve">n de la misma en el proceso, y </w:t>
      </w:r>
    </w:p>
    <w:p w14:paraId="4BB133DB" w14:textId="77777777" w:rsidR="008755C4"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t xml:space="preserve">V. Que con su divulgación se afecte la oportunidad de llevar a cabo alguna de las garantías del debido proceso. </w:t>
      </w:r>
    </w:p>
    <w:p w14:paraId="0F87089C" w14:textId="77777777" w:rsidR="008755C4" w:rsidRPr="005D02EA" w:rsidRDefault="008755C4" w:rsidP="00C24828">
      <w:pPr>
        <w:spacing w:line="360" w:lineRule="auto"/>
        <w:jc w:val="both"/>
        <w:rPr>
          <w:rFonts w:ascii="Palatino Linotype" w:hAnsi="Palatino Linotype"/>
          <w:sz w:val="22"/>
          <w:szCs w:val="22"/>
        </w:rPr>
      </w:pPr>
    </w:p>
    <w:p w14:paraId="2D498183" w14:textId="77777777" w:rsidR="008755C4"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t xml:space="preserve">Con base en lo expuesto, se advierte que la información susceptible de clasificarse como reservada bajo el supuesto aludido por el sujeto obligado, es aquella cuya difusión afecte el debido proceso, ante la existencia de un procedimiento judicial, administrativo o arbitral en trámite, en donde el Sujeto Obligado es parte. </w:t>
      </w:r>
    </w:p>
    <w:p w14:paraId="5698AE3D" w14:textId="77777777" w:rsidR="008755C4" w:rsidRPr="005D02EA" w:rsidRDefault="008755C4" w:rsidP="00C24828">
      <w:pPr>
        <w:spacing w:line="360" w:lineRule="auto"/>
        <w:jc w:val="both"/>
        <w:rPr>
          <w:rFonts w:ascii="Palatino Linotype" w:hAnsi="Palatino Linotype"/>
          <w:sz w:val="22"/>
          <w:szCs w:val="22"/>
        </w:rPr>
      </w:pPr>
    </w:p>
    <w:p w14:paraId="42368615" w14:textId="77777777" w:rsidR="008755C4"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t xml:space="preserve">Por lo cual, se procede analizar cada uno de los requisitos señalados en los Lineamientos Generales, con la finalidad de verificar si se configura la hipótesis de reserva en estudio: </w:t>
      </w:r>
    </w:p>
    <w:p w14:paraId="04668A39" w14:textId="77777777" w:rsidR="008755C4" w:rsidRPr="005D02EA" w:rsidRDefault="008755C4" w:rsidP="00C24828">
      <w:pPr>
        <w:spacing w:line="360" w:lineRule="auto"/>
        <w:jc w:val="both"/>
        <w:rPr>
          <w:rFonts w:ascii="Palatino Linotype" w:hAnsi="Palatino Linotype"/>
          <w:sz w:val="22"/>
          <w:szCs w:val="22"/>
        </w:rPr>
      </w:pPr>
    </w:p>
    <w:p w14:paraId="16A0E571" w14:textId="0188377E" w:rsidR="00C24828" w:rsidRPr="005D02EA" w:rsidRDefault="00C24828" w:rsidP="00AB1730">
      <w:pPr>
        <w:spacing w:line="360" w:lineRule="auto"/>
        <w:jc w:val="both"/>
        <w:rPr>
          <w:rFonts w:ascii="Palatino Linotype" w:hAnsi="Palatino Linotype"/>
          <w:sz w:val="22"/>
          <w:szCs w:val="22"/>
        </w:rPr>
      </w:pPr>
      <w:r w:rsidRPr="005D02EA">
        <w:rPr>
          <w:rFonts w:ascii="Palatino Linotype" w:hAnsi="Palatino Linotype"/>
          <w:sz w:val="22"/>
          <w:szCs w:val="22"/>
        </w:rPr>
        <w:t xml:space="preserve">1) La existencia de un procedimiento judicial, administrativo o arbitral en trámite. Al respecto, en el presente caso, el </w:t>
      </w:r>
      <w:r w:rsidRPr="005D02EA">
        <w:rPr>
          <w:rFonts w:ascii="Palatino Linotype" w:hAnsi="Palatino Linotype"/>
          <w:b/>
          <w:sz w:val="22"/>
          <w:szCs w:val="22"/>
        </w:rPr>
        <w:t>Sujeto Obligado</w:t>
      </w:r>
      <w:r w:rsidRPr="005D02EA">
        <w:rPr>
          <w:rFonts w:ascii="Palatino Linotype" w:hAnsi="Palatino Linotype"/>
          <w:sz w:val="22"/>
          <w:szCs w:val="22"/>
        </w:rPr>
        <w:t xml:space="preserve"> indicó que los oficios requeridos se clasificaban como información reservada ya que los oficios </w:t>
      </w:r>
      <w:r w:rsidR="00A33968" w:rsidRPr="005D02EA">
        <w:rPr>
          <w:rFonts w:ascii="Palatino Linotype" w:hAnsi="Palatino Linotype"/>
          <w:sz w:val="22"/>
          <w:szCs w:val="22"/>
        </w:rPr>
        <w:t xml:space="preserve">obran en expedientes </w:t>
      </w:r>
      <w:r w:rsidR="00990234" w:rsidRPr="005D02EA">
        <w:rPr>
          <w:rFonts w:ascii="Palatino Linotype" w:hAnsi="Palatino Linotype"/>
          <w:sz w:val="22"/>
          <w:szCs w:val="22"/>
        </w:rPr>
        <w:t>relativos a la investigación realizada por organismos jurisdiccionales, contenida en averiguaciones previas, carpetas de investigación y demás relativos a la investigación de los delitos</w:t>
      </w:r>
      <w:r w:rsidRPr="005D02EA">
        <w:rPr>
          <w:rFonts w:ascii="Palatino Linotype" w:hAnsi="Palatino Linotype"/>
          <w:sz w:val="22"/>
          <w:szCs w:val="22"/>
        </w:rPr>
        <w:t xml:space="preserve">. Por lo que, en el </w:t>
      </w:r>
      <w:r w:rsidR="00AB1730" w:rsidRPr="005D02EA">
        <w:rPr>
          <w:rFonts w:ascii="Palatino Linotype" w:hAnsi="Palatino Linotype"/>
          <w:sz w:val="22"/>
          <w:szCs w:val="22"/>
        </w:rPr>
        <w:t xml:space="preserve">presente </w:t>
      </w:r>
      <w:r w:rsidRPr="005D02EA">
        <w:rPr>
          <w:rFonts w:ascii="Palatino Linotype" w:hAnsi="Palatino Linotype"/>
          <w:sz w:val="22"/>
          <w:szCs w:val="22"/>
        </w:rPr>
        <w:t xml:space="preserve">caso, se desprende que la información a dicho del ente obligado se relaciona con </w:t>
      </w:r>
      <w:r w:rsidR="00AB1730" w:rsidRPr="005D02EA">
        <w:rPr>
          <w:rFonts w:ascii="Palatino Linotype" w:hAnsi="Palatino Linotype"/>
          <w:sz w:val="22"/>
          <w:szCs w:val="22"/>
        </w:rPr>
        <w:t>la investigación realizada por órganos jurisdiccionales, contenida en averiguaciones previas, carpetas de investigación, expedientes y demás archivos relativos a la investigación de los delitos</w:t>
      </w:r>
      <w:r w:rsidRPr="005D02EA">
        <w:rPr>
          <w:rFonts w:ascii="Palatino Linotype" w:hAnsi="Palatino Linotype"/>
          <w:sz w:val="22"/>
          <w:szCs w:val="22"/>
        </w:rPr>
        <w:t>.</w:t>
      </w:r>
    </w:p>
    <w:p w14:paraId="358EDFF7" w14:textId="77777777" w:rsidR="00C24828" w:rsidRPr="005D02EA" w:rsidRDefault="00C24828" w:rsidP="00C24828">
      <w:pPr>
        <w:spacing w:line="360" w:lineRule="auto"/>
        <w:jc w:val="both"/>
        <w:rPr>
          <w:rFonts w:ascii="Palatino Linotype" w:hAnsi="Palatino Linotype"/>
          <w:sz w:val="22"/>
          <w:szCs w:val="22"/>
        </w:rPr>
      </w:pPr>
    </w:p>
    <w:p w14:paraId="121859C1" w14:textId="77777777" w:rsidR="008755C4"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t xml:space="preserve">En ese sentido, en el presente asunto se advierte que el </w:t>
      </w:r>
      <w:r w:rsidRPr="005D02EA">
        <w:rPr>
          <w:rFonts w:ascii="Palatino Linotype" w:hAnsi="Palatino Linotype"/>
          <w:b/>
          <w:sz w:val="22"/>
          <w:szCs w:val="22"/>
        </w:rPr>
        <w:t>Sujeto Obligado</w:t>
      </w:r>
      <w:r w:rsidRPr="005D02EA">
        <w:rPr>
          <w:rFonts w:ascii="Palatino Linotype" w:hAnsi="Palatino Linotype"/>
          <w:sz w:val="22"/>
          <w:szCs w:val="22"/>
        </w:rPr>
        <w:t xml:space="preserve"> no acreditó fehacientemente que los oficios tuvieran relación directa con los procedimientos que se desahogan y tampoco proporcionó elementos detallados que permitieran acreditar la existencia de procedimientos en trámite, como pudiera ser el número de radicación de los procedimientos, la etapa en la que se encuentra cada uno de ellos o bien, que los oficios fueran constancias propias del mismo. </w:t>
      </w:r>
    </w:p>
    <w:p w14:paraId="3D3BF031" w14:textId="77777777" w:rsidR="008755C4" w:rsidRPr="005D02EA" w:rsidRDefault="008755C4" w:rsidP="00C24828">
      <w:pPr>
        <w:spacing w:line="360" w:lineRule="auto"/>
        <w:jc w:val="both"/>
        <w:rPr>
          <w:rFonts w:ascii="Palatino Linotype" w:hAnsi="Palatino Linotype"/>
          <w:sz w:val="22"/>
          <w:szCs w:val="22"/>
        </w:rPr>
      </w:pPr>
    </w:p>
    <w:p w14:paraId="536B547C" w14:textId="654D045F" w:rsidR="008755C4"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t xml:space="preserve">Es así que, la simple referencia del </w:t>
      </w:r>
      <w:r w:rsidRPr="005D02EA">
        <w:rPr>
          <w:rFonts w:ascii="Palatino Linotype" w:hAnsi="Palatino Linotype"/>
          <w:b/>
          <w:sz w:val="22"/>
          <w:szCs w:val="22"/>
        </w:rPr>
        <w:t>Sujeto Obligado</w:t>
      </w:r>
      <w:r w:rsidRPr="005D02EA">
        <w:rPr>
          <w:rFonts w:ascii="Palatino Linotype" w:hAnsi="Palatino Linotype"/>
          <w:sz w:val="22"/>
          <w:szCs w:val="22"/>
        </w:rPr>
        <w:t xml:space="preserve"> respecto de</w:t>
      </w:r>
      <w:r w:rsidR="00AB1730" w:rsidRPr="005D02EA">
        <w:rPr>
          <w:rFonts w:ascii="Palatino Linotype" w:hAnsi="Palatino Linotype"/>
          <w:sz w:val="22"/>
          <w:szCs w:val="22"/>
        </w:rPr>
        <w:t xml:space="preserve"> que</w:t>
      </w:r>
      <w:r w:rsidRPr="005D02EA">
        <w:rPr>
          <w:rFonts w:ascii="Palatino Linotype" w:hAnsi="Palatino Linotype"/>
          <w:sz w:val="22"/>
          <w:szCs w:val="22"/>
        </w:rPr>
        <w:t xml:space="preserve"> </w:t>
      </w:r>
      <w:r w:rsidR="00AB1730" w:rsidRPr="005D02EA">
        <w:rPr>
          <w:rFonts w:ascii="Palatino Linotype" w:hAnsi="Palatino Linotype"/>
          <w:sz w:val="22"/>
          <w:szCs w:val="22"/>
        </w:rPr>
        <w:t>se relaciona con la investigación contenida en averiguaciones previas, carpetas de investigación y expedientes</w:t>
      </w:r>
      <w:r w:rsidRPr="005D02EA">
        <w:rPr>
          <w:rFonts w:ascii="Palatino Linotype" w:hAnsi="Palatino Linotype"/>
          <w:sz w:val="22"/>
          <w:szCs w:val="22"/>
        </w:rPr>
        <w:t xml:space="preserve">, no basta para acreditar la existencia de un procedimiento judicial, administrativo o arbitral en proceso y, por ende, no se actualiza la primera hipótesis. </w:t>
      </w:r>
    </w:p>
    <w:p w14:paraId="08FD1738" w14:textId="77777777" w:rsidR="008755C4" w:rsidRPr="005D02EA" w:rsidRDefault="008755C4" w:rsidP="00C24828">
      <w:pPr>
        <w:spacing w:line="360" w:lineRule="auto"/>
        <w:jc w:val="both"/>
        <w:rPr>
          <w:rFonts w:ascii="Palatino Linotype" w:hAnsi="Palatino Linotype"/>
          <w:sz w:val="22"/>
          <w:szCs w:val="22"/>
        </w:rPr>
      </w:pPr>
    </w:p>
    <w:p w14:paraId="2281F007" w14:textId="161D3A7B" w:rsidR="008755C4"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t>2) Que el sujeto obligado sea parte en ese procedimiento: Ahora bien, en el pr</w:t>
      </w:r>
      <w:r w:rsidR="00A33968" w:rsidRPr="005D02EA">
        <w:rPr>
          <w:rFonts w:ascii="Palatino Linotype" w:hAnsi="Palatino Linotype"/>
          <w:sz w:val="22"/>
          <w:szCs w:val="22"/>
        </w:rPr>
        <w:t xml:space="preserve">esente caso, el </w:t>
      </w:r>
      <w:r w:rsidR="00A33968" w:rsidRPr="005D02EA">
        <w:rPr>
          <w:rFonts w:ascii="Palatino Linotype" w:hAnsi="Palatino Linotype"/>
          <w:b/>
          <w:sz w:val="22"/>
          <w:szCs w:val="22"/>
        </w:rPr>
        <w:t>Sujeto Obligado</w:t>
      </w:r>
      <w:r w:rsidR="00A33968" w:rsidRPr="005D02EA">
        <w:rPr>
          <w:rFonts w:ascii="Palatino Linotype" w:hAnsi="Palatino Linotype"/>
          <w:sz w:val="22"/>
          <w:szCs w:val="22"/>
        </w:rPr>
        <w:t xml:space="preserve"> no </w:t>
      </w:r>
      <w:r w:rsidRPr="005D02EA">
        <w:rPr>
          <w:rFonts w:ascii="Palatino Linotype" w:hAnsi="Palatino Linotype"/>
          <w:sz w:val="22"/>
          <w:szCs w:val="22"/>
        </w:rPr>
        <w:t xml:space="preserve">señaló </w:t>
      </w:r>
      <w:r w:rsidR="00AB1730" w:rsidRPr="005D02EA">
        <w:rPr>
          <w:rFonts w:ascii="Palatino Linotype" w:hAnsi="Palatino Linotype"/>
          <w:sz w:val="22"/>
          <w:szCs w:val="22"/>
        </w:rPr>
        <w:t xml:space="preserve">expresamente </w:t>
      </w:r>
      <w:r w:rsidRPr="005D02EA">
        <w:rPr>
          <w:rFonts w:ascii="Palatino Linotype" w:hAnsi="Palatino Linotype"/>
          <w:sz w:val="22"/>
          <w:szCs w:val="22"/>
        </w:rPr>
        <w:t xml:space="preserve">que, </w:t>
      </w:r>
      <w:r w:rsidR="00A33968" w:rsidRPr="005D02EA">
        <w:rPr>
          <w:rFonts w:ascii="Palatino Linotype" w:hAnsi="Palatino Linotype"/>
          <w:sz w:val="22"/>
          <w:szCs w:val="22"/>
        </w:rPr>
        <w:t xml:space="preserve">formara </w:t>
      </w:r>
      <w:r w:rsidRPr="005D02EA">
        <w:rPr>
          <w:rFonts w:ascii="Palatino Linotype" w:hAnsi="Palatino Linotype"/>
          <w:sz w:val="22"/>
          <w:szCs w:val="22"/>
        </w:rPr>
        <w:t xml:space="preserve">parte dentro de los procedimientos. </w:t>
      </w:r>
    </w:p>
    <w:p w14:paraId="4532DE3F" w14:textId="6DE1FB8E" w:rsidR="00C24828" w:rsidRPr="005D02EA" w:rsidRDefault="00C24828" w:rsidP="00C24828">
      <w:pPr>
        <w:spacing w:line="360" w:lineRule="auto"/>
        <w:jc w:val="both"/>
        <w:rPr>
          <w:rFonts w:ascii="Palatino Linotype" w:hAnsi="Palatino Linotype"/>
          <w:sz w:val="22"/>
          <w:szCs w:val="22"/>
        </w:rPr>
      </w:pPr>
      <w:r w:rsidRPr="005D02EA">
        <w:rPr>
          <w:rFonts w:ascii="Palatino Linotype" w:hAnsi="Palatino Linotype"/>
          <w:sz w:val="22"/>
          <w:szCs w:val="22"/>
        </w:rPr>
        <w:t xml:space="preserve">No obstante, como anteriormente se refirió, el </w:t>
      </w:r>
      <w:r w:rsidRPr="005D02EA">
        <w:rPr>
          <w:rFonts w:ascii="Palatino Linotype" w:hAnsi="Palatino Linotype"/>
          <w:b/>
          <w:sz w:val="22"/>
          <w:szCs w:val="22"/>
        </w:rPr>
        <w:t>Sujeto Obligado</w:t>
      </w:r>
      <w:r w:rsidRPr="005D02EA">
        <w:rPr>
          <w:rFonts w:ascii="Palatino Linotype" w:hAnsi="Palatino Linotype"/>
          <w:sz w:val="22"/>
          <w:szCs w:val="22"/>
        </w:rPr>
        <w:t xml:space="preserve"> no acreditó fehacientemente que los oficios tuvieran relación directa con los procedimientos que se desahogan o incluso </w:t>
      </w:r>
      <w:r w:rsidRPr="005D02EA">
        <w:rPr>
          <w:rFonts w:ascii="Palatino Linotype" w:hAnsi="Palatino Linotype"/>
          <w:sz w:val="22"/>
          <w:szCs w:val="22"/>
        </w:rPr>
        <w:lastRenderedPageBreak/>
        <w:t>de su existencia, razón por la que, en el presente caso, tampoco se puede determinar que en todos los expedientes que se encuentren en trámite obren los oficios solicitados, así como, que sea parte del procedimiento; por lo que no se acredita el cumplimiento de dicho requisito.</w:t>
      </w:r>
    </w:p>
    <w:p w14:paraId="4B84F6B8" w14:textId="77777777" w:rsidR="00C24828" w:rsidRPr="005D02EA" w:rsidRDefault="00C24828" w:rsidP="00C24828">
      <w:pPr>
        <w:spacing w:line="360" w:lineRule="auto"/>
        <w:jc w:val="both"/>
        <w:rPr>
          <w:rFonts w:ascii="Palatino Linotype" w:hAnsi="Palatino Linotype"/>
          <w:sz w:val="22"/>
          <w:szCs w:val="22"/>
        </w:rPr>
      </w:pPr>
    </w:p>
    <w:p w14:paraId="0B2212ED" w14:textId="3A0F503F" w:rsidR="008755C4" w:rsidRPr="005D02EA" w:rsidRDefault="00C24828" w:rsidP="00A33968">
      <w:pPr>
        <w:spacing w:line="360" w:lineRule="auto"/>
        <w:jc w:val="both"/>
        <w:rPr>
          <w:rFonts w:ascii="Palatino Linotype" w:hAnsi="Palatino Linotype"/>
          <w:sz w:val="22"/>
          <w:szCs w:val="22"/>
        </w:rPr>
      </w:pPr>
      <w:r w:rsidRPr="005D02EA">
        <w:rPr>
          <w:rFonts w:ascii="Palatino Linotype" w:hAnsi="Palatino Linotype"/>
          <w:sz w:val="22"/>
          <w:szCs w:val="22"/>
        </w:rPr>
        <w:t xml:space="preserve">3) Que la información no sea conocida por la contraparte antes de la presentación de la misma en el proceso. Al respecto, el </w:t>
      </w:r>
      <w:r w:rsidRPr="005D02EA">
        <w:rPr>
          <w:rFonts w:ascii="Palatino Linotype" w:hAnsi="Palatino Linotype"/>
          <w:b/>
          <w:sz w:val="22"/>
          <w:szCs w:val="22"/>
        </w:rPr>
        <w:t>Sujeto Obligado</w:t>
      </w:r>
      <w:r w:rsidRPr="005D02EA">
        <w:rPr>
          <w:rFonts w:ascii="Palatino Linotype" w:hAnsi="Palatino Linotype"/>
          <w:sz w:val="22"/>
          <w:szCs w:val="22"/>
        </w:rPr>
        <w:t xml:space="preserve"> en la referida Acta del Comité de Transparencia, indicó que no se podía dar a conocer la información requerida porque </w:t>
      </w:r>
      <w:r w:rsidR="00A33968" w:rsidRPr="005D02EA">
        <w:rPr>
          <w:rFonts w:ascii="Palatino Linotype" w:hAnsi="Palatino Linotype"/>
          <w:sz w:val="22"/>
          <w:szCs w:val="22"/>
        </w:rPr>
        <w:t>se compromete y se afectaría la investigación realizada por órganos jurisdiccionales</w:t>
      </w:r>
      <w:r w:rsidRPr="005D02EA">
        <w:rPr>
          <w:rFonts w:ascii="Palatino Linotype" w:hAnsi="Palatino Linotype"/>
          <w:sz w:val="22"/>
          <w:szCs w:val="22"/>
        </w:rPr>
        <w:t xml:space="preserve">; situación que no acredita el cumplimiento de dicho requisito, ya que no se demuestra el tipo de información que obra </w:t>
      </w:r>
      <w:r w:rsidR="00A33968" w:rsidRPr="005D02EA">
        <w:rPr>
          <w:rFonts w:ascii="Palatino Linotype" w:hAnsi="Palatino Linotype"/>
          <w:sz w:val="22"/>
          <w:szCs w:val="22"/>
        </w:rPr>
        <w:t xml:space="preserve">en </w:t>
      </w:r>
      <w:r w:rsidRPr="005D02EA">
        <w:rPr>
          <w:rFonts w:ascii="Palatino Linotype" w:hAnsi="Palatino Linotype"/>
          <w:sz w:val="22"/>
          <w:szCs w:val="22"/>
        </w:rPr>
        <w:t xml:space="preserve">los oficios requeridos y las razones por las que no puede ser conocida por la hoy parte </w:t>
      </w:r>
      <w:r w:rsidRPr="005D02EA">
        <w:rPr>
          <w:rFonts w:ascii="Palatino Linotype" w:hAnsi="Palatino Linotype"/>
          <w:b/>
          <w:sz w:val="22"/>
          <w:szCs w:val="22"/>
        </w:rPr>
        <w:t>Recurrente</w:t>
      </w:r>
      <w:r w:rsidRPr="005D02EA">
        <w:rPr>
          <w:rFonts w:ascii="Palatino Linotype" w:hAnsi="Palatino Linotype"/>
          <w:sz w:val="22"/>
          <w:szCs w:val="22"/>
        </w:rPr>
        <w:t xml:space="preserve">. </w:t>
      </w:r>
    </w:p>
    <w:p w14:paraId="79BAD4F7" w14:textId="77777777" w:rsidR="008755C4" w:rsidRPr="005D02EA" w:rsidRDefault="008755C4" w:rsidP="00C24828">
      <w:pPr>
        <w:spacing w:line="360" w:lineRule="auto"/>
        <w:jc w:val="both"/>
        <w:rPr>
          <w:rFonts w:ascii="Palatino Linotype" w:hAnsi="Palatino Linotype"/>
          <w:sz w:val="22"/>
          <w:szCs w:val="22"/>
        </w:rPr>
      </w:pPr>
    </w:p>
    <w:p w14:paraId="46F9D6E5" w14:textId="0A73220A" w:rsidR="00C24828" w:rsidRPr="005D02EA" w:rsidRDefault="00C24828" w:rsidP="00C24828">
      <w:pPr>
        <w:spacing w:line="360" w:lineRule="auto"/>
        <w:jc w:val="both"/>
        <w:rPr>
          <w:rFonts w:ascii="Palatino Linotype" w:eastAsia="Palatino Linotype" w:hAnsi="Palatino Linotype" w:cs="Palatino Linotype"/>
          <w:sz w:val="22"/>
          <w:szCs w:val="22"/>
        </w:rPr>
      </w:pPr>
      <w:r w:rsidRPr="005D02EA">
        <w:rPr>
          <w:rFonts w:ascii="Palatino Linotype" w:hAnsi="Palatino Linotype"/>
          <w:sz w:val="22"/>
          <w:szCs w:val="22"/>
        </w:rPr>
        <w:t xml:space="preserve">4) Que la información con su divulgación se afecte la oportunidad de llevar a cabo alguna de las garantías del debido proceso. Sobre dicho requisito, el </w:t>
      </w:r>
      <w:r w:rsidRPr="005D02EA">
        <w:rPr>
          <w:rFonts w:ascii="Palatino Linotype" w:hAnsi="Palatino Linotype"/>
          <w:b/>
          <w:sz w:val="22"/>
          <w:szCs w:val="22"/>
        </w:rPr>
        <w:t>Sujeto Obligado</w:t>
      </w:r>
      <w:r w:rsidRPr="005D02EA">
        <w:rPr>
          <w:rFonts w:ascii="Palatino Linotype" w:hAnsi="Palatino Linotype"/>
          <w:sz w:val="22"/>
          <w:szCs w:val="22"/>
        </w:rPr>
        <w:t xml:space="preserve"> fue omiso en indicar la razón por la que la divulgación de la información afectaría la oportunidad de llevar a cabo </w:t>
      </w:r>
      <w:r w:rsidR="00AB1730" w:rsidRPr="005D02EA">
        <w:rPr>
          <w:rFonts w:ascii="Palatino Linotype" w:hAnsi="Palatino Linotype"/>
          <w:sz w:val="22"/>
          <w:szCs w:val="22"/>
        </w:rPr>
        <w:t>alguno</w:t>
      </w:r>
      <w:r w:rsidRPr="005D02EA">
        <w:rPr>
          <w:rFonts w:ascii="Palatino Linotype" w:hAnsi="Palatino Linotype"/>
          <w:sz w:val="22"/>
          <w:szCs w:val="22"/>
        </w:rPr>
        <w:t xml:space="preserve"> de las garantías del debido proceso. Respecto lo anterior, es de recordar que el debido proceso es el derecho que tiene toda persona para ejercer su defensa y ser oída dentro de un procedimiento, con las debidas oportunidades y dentro de un plazo razonable, por la autoridad competente previo al reconocimiento o restricción de sus derechos y obligaciones. Por tales circunstancias, se considera que en el caso no se acredita la reserva de la información bajo la causal analizada, por el incumplimiento a los requisitos para que proceda.</w:t>
      </w:r>
    </w:p>
    <w:p w14:paraId="127A05AD" w14:textId="77777777" w:rsidR="008755C4" w:rsidRPr="005D02EA" w:rsidRDefault="008755C4" w:rsidP="00C24828">
      <w:pPr>
        <w:spacing w:line="360" w:lineRule="auto"/>
        <w:jc w:val="both"/>
        <w:rPr>
          <w:rFonts w:ascii="Palatino Linotype" w:eastAsia="Palatino Linotype" w:hAnsi="Palatino Linotype" w:cs="Palatino Linotype"/>
          <w:sz w:val="22"/>
          <w:szCs w:val="22"/>
        </w:rPr>
      </w:pPr>
    </w:p>
    <w:p w14:paraId="54FE4F74" w14:textId="0A583D40" w:rsidR="00C24828" w:rsidRPr="005D02EA" w:rsidRDefault="00C24828" w:rsidP="00C24828">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Es así que, del análisis al Acta de la </w:t>
      </w:r>
      <w:r w:rsidR="00990234" w:rsidRPr="005D02EA">
        <w:rPr>
          <w:rFonts w:ascii="Palatino Linotype" w:eastAsia="Palatino Linotype" w:hAnsi="Palatino Linotype" w:cs="Palatino Linotype"/>
          <w:sz w:val="22"/>
          <w:szCs w:val="22"/>
        </w:rPr>
        <w:t xml:space="preserve">Centésima Octogésima Sesión Extraordinaria del Comité de Transparencia del Municipio de Toluca, </w:t>
      </w:r>
      <w:r w:rsidRPr="005D02EA">
        <w:rPr>
          <w:rFonts w:ascii="Palatino Linotype" w:eastAsia="Palatino Linotype" w:hAnsi="Palatino Linotype" w:cs="Palatino Linotype"/>
          <w:sz w:val="22"/>
          <w:szCs w:val="22"/>
        </w:rPr>
        <w:t xml:space="preserve">de fecha veintiocho de febrero de dos mil veinticinco, emitida por el Comité de Transparencia, se tiene que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w:t>
      </w:r>
      <w:r w:rsidRPr="005D02EA">
        <w:rPr>
          <w:rFonts w:ascii="Palatino Linotype" w:eastAsia="Palatino Linotype" w:hAnsi="Palatino Linotype" w:cs="Palatino Linotype"/>
          <w:b/>
          <w:sz w:val="22"/>
          <w:szCs w:val="22"/>
          <w:u w:val="single"/>
        </w:rPr>
        <w:t xml:space="preserve">no </w:t>
      </w:r>
      <w:r w:rsidRPr="005D02EA">
        <w:rPr>
          <w:rFonts w:ascii="Palatino Linotype" w:eastAsia="Palatino Linotype" w:hAnsi="Palatino Linotype" w:cs="Palatino Linotype"/>
          <w:b/>
          <w:sz w:val="22"/>
          <w:szCs w:val="22"/>
          <w:u w:val="single"/>
        </w:rPr>
        <w:lastRenderedPageBreak/>
        <w:t>fundó y motivó adecuadamente la clasificación de la información solicitada</w:t>
      </w:r>
      <w:r w:rsidRPr="005D02EA">
        <w:rPr>
          <w:rFonts w:ascii="Palatino Linotype" w:eastAsia="Palatino Linotype" w:hAnsi="Palatino Linotype" w:cs="Palatino Linotype"/>
          <w:sz w:val="22"/>
          <w:szCs w:val="22"/>
        </w:rPr>
        <w:t xml:space="preserve">, pues no señaló específicamente las razones, motivos o circunstancias especiales que lo llevaron a concluir que el caso concreto se ajusta a </w:t>
      </w:r>
      <w:r w:rsidR="00990234" w:rsidRPr="005D02EA">
        <w:rPr>
          <w:rFonts w:ascii="Palatino Linotype" w:eastAsia="Palatino Linotype" w:hAnsi="Palatino Linotype" w:cs="Palatino Linotype"/>
          <w:sz w:val="22"/>
          <w:szCs w:val="22"/>
        </w:rPr>
        <w:t xml:space="preserve">cada una de las </w:t>
      </w:r>
      <w:r w:rsidRPr="005D02EA">
        <w:rPr>
          <w:rFonts w:ascii="Palatino Linotype" w:eastAsia="Palatino Linotype" w:hAnsi="Palatino Linotype" w:cs="Palatino Linotype"/>
          <w:sz w:val="22"/>
          <w:szCs w:val="22"/>
        </w:rPr>
        <w:t>hipótesis prevista</w:t>
      </w:r>
      <w:r w:rsidR="00990234" w:rsidRPr="005D02EA">
        <w:rPr>
          <w:rFonts w:ascii="Palatino Linotype" w:eastAsia="Palatino Linotype" w:hAnsi="Palatino Linotype" w:cs="Palatino Linotype"/>
          <w:sz w:val="22"/>
          <w:szCs w:val="22"/>
        </w:rPr>
        <w:t>s</w:t>
      </w:r>
      <w:r w:rsidRPr="005D02EA">
        <w:rPr>
          <w:rFonts w:ascii="Palatino Linotype" w:eastAsia="Palatino Linotype" w:hAnsi="Palatino Linotype" w:cs="Palatino Linotype"/>
          <w:sz w:val="22"/>
          <w:szCs w:val="22"/>
        </w:rPr>
        <w:t xml:space="preserve"> por la norma legal que fundamenta el acto, </w:t>
      </w:r>
      <w:r w:rsidRPr="005D02EA">
        <w:rPr>
          <w:rFonts w:ascii="Palatino Linotype" w:eastAsia="Palatino Linotype" w:hAnsi="Palatino Linotype" w:cs="Palatino Linotype"/>
          <w:b/>
          <w:sz w:val="22"/>
          <w:szCs w:val="22"/>
          <w:u w:val="single"/>
        </w:rPr>
        <w:t>tampoco precisó correctamente los fundamentos legales aplicables al caso concreto</w:t>
      </w:r>
      <w:r w:rsidRPr="005D02EA">
        <w:rPr>
          <w:rFonts w:ascii="Palatino Linotype" w:eastAsia="Palatino Linotype" w:hAnsi="Palatino Linotype" w:cs="Palatino Linotype"/>
          <w:sz w:val="22"/>
          <w:szCs w:val="22"/>
        </w:rPr>
        <w:t xml:space="preserve">, así como, </w:t>
      </w:r>
      <w:r w:rsidRPr="005D02EA">
        <w:rPr>
          <w:rFonts w:ascii="Palatino Linotype" w:eastAsia="Palatino Linotype" w:hAnsi="Palatino Linotype" w:cs="Palatino Linotype"/>
          <w:b/>
          <w:sz w:val="22"/>
          <w:szCs w:val="22"/>
          <w:u w:val="single"/>
        </w:rPr>
        <w:t>no desarrolló la prueba de daño cabalmente</w:t>
      </w:r>
      <w:r w:rsidR="00990234" w:rsidRPr="005D02EA">
        <w:rPr>
          <w:rFonts w:ascii="Palatino Linotype" w:eastAsia="Palatino Linotype" w:hAnsi="Palatino Linotype" w:cs="Palatino Linotype"/>
          <w:b/>
          <w:sz w:val="22"/>
          <w:szCs w:val="22"/>
          <w:u w:val="single"/>
        </w:rPr>
        <w:t xml:space="preserve"> de cada una de los supuestos referidos</w:t>
      </w:r>
      <w:r w:rsidRPr="005D02EA">
        <w:rPr>
          <w:rFonts w:ascii="Palatino Linotype" w:eastAsia="Palatino Linotype" w:hAnsi="Palatino Linotype" w:cs="Palatino Linotype"/>
          <w:sz w:val="22"/>
          <w:szCs w:val="22"/>
        </w:rPr>
        <w:t xml:space="preserve">, es decir: </w:t>
      </w:r>
    </w:p>
    <w:p w14:paraId="3B3AFA12" w14:textId="77777777" w:rsidR="00C24828" w:rsidRPr="005D02EA" w:rsidRDefault="00C24828" w:rsidP="00C24828">
      <w:pPr>
        <w:spacing w:line="360" w:lineRule="auto"/>
        <w:jc w:val="both"/>
        <w:rPr>
          <w:rFonts w:ascii="Palatino Linotype" w:eastAsia="Palatino Linotype" w:hAnsi="Palatino Linotype" w:cs="Palatino Linotype"/>
          <w:sz w:val="22"/>
          <w:szCs w:val="22"/>
        </w:rPr>
      </w:pPr>
    </w:p>
    <w:p w14:paraId="609851B7" w14:textId="77777777" w:rsidR="00C24828" w:rsidRPr="005D02EA" w:rsidRDefault="00C24828" w:rsidP="00C24828">
      <w:pPr>
        <w:numPr>
          <w:ilvl w:val="0"/>
          <w:numId w:val="9"/>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No señaló las razones objetivas por las que la exhibición de la información generaría una afectación;</w:t>
      </w:r>
    </w:p>
    <w:p w14:paraId="4E83B6C4" w14:textId="77777777" w:rsidR="00C24828" w:rsidRPr="005D02EA" w:rsidRDefault="00C24828" w:rsidP="00C24828">
      <w:pPr>
        <w:numPr>
          <w:ilvl w:val="0"/>
          <w:numId w:val="9"/>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 No justificó que la divulgación de la información representa un riesgo real, demostrable e identificable en perjuicio del interés público.</w:t>
      </w:r>
    </w:p>
    <w:p w14:paraId="2E075C83" w14:textId="77777777" w:rsidR="00C24828" w:rsidRPr="005D02EA" w:rsidRDefault="00C24828" w:rsidP="00C24828">
      <w:pPr>
        <w:numPr>
          <w:ilvl w:val="0"/>
          <w:numId w:val="9"/>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No justificó que el riesgo del perjuicio que supondría dicha divulgación, supera el interés público general de que se difunda; y </w:t>
      </w:r>
    </w:p>
    <w:p w14:paraId="6B74E93A" w14:textId="77777777" w:rsidR="00C24828" w:rsidRPr="005D02EA" w:rsidRDefault="00C24828" w:rsidP="00C24828">
      <w:pPr>
        <w:numPr>
          <w:ilvl w:val="0"/>
          <w:numId w:val="9"/>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No precisó adecuadamente que la limitación se adecua al principio de proporcionalidad y representa el medio menos restrictivo disponible para evitar el perjuicio.</w:t>
      </w:r>
    </w:p>
    <w:p w14:paraId="7F243587" w14:textId="77777777" w:rsidR="00C24828" w:rsidRPr="005D02EA" w:rsidRDefault="00C24828" w:rsidP="00C248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B2665C5" w14:textId="77777777" w:rsidR="00C24828" w:rsidRPr="005D02EA" w:rsidRDefault="00C24828" w:rsidP="00C24828">
      <w:pPr>
        <w:spacing w:line="360" w:lineRule="auto"/>
        <w:jc w:val="both"/>
        <w:rPr>
          <w:rFonts w:ascii="Palatino Linotype" w:eastAsia="Palatino Linotype" w:hAnsi="Palatino Linotype" w:cs="Palatino Linotype"/>
          <w:b/>
          <w:sz w:val="22"/>
          <w:szCs w:val="22"/>
          <w:u w:val="single"/>
        </w:rPr>
      </w:pPr>
      <w:r w:rsidRPr="005D02EA">
        <w:rPr>
          <w:rFonts w:ascii="Palatino Linotype" w:eastAsia="Palatino Linotype" w:hAnsi="Palatino Linotype" w:cs="Palatino Linotype"/>
          <w:b/>
          <w:sz w:val="22"/>
          <w:szCs w:val="22"/>
          <w:u w:val="single"/>
        </w:rPr>
        <w:t xml:space="preserve">Es así que, este Organismo Garante determina que el Comité de Transparencia no fundamentó ni motivo adecuadamente la clasificación de la información, ya que, no acreditó fehacientemente que la divulgación de la información lesiona el interés jurídicamente protegido por la normatividad aplicable y que el daño que puede producirse con la publicidad de la información es mayor que el interés de conocerla. </w:t>
      </w:r>
    </w:p>
    <w:p w14:paraId="32F4BB16" w14:textId="77777777" w:rsidR="00F12D99" w:rsidRPr="005D02EA" w:rsidRDefault="00F12D99">
      <w:pPr>
        <w:spacing w:line="360" w:lineRule="auto"/>
        <w:jc w:val="both"/>
        <w:rPr>
          <w:rFonts w:ascii="Palatino Linotype" w:eastAsia="Palatino Linotype" w:hAnsi="Palatino Linotype" w:cs="Palatino Linotype"/>
          <w:b/>
          <w:i/>
          <w:iCs/>
          <w:sz w:val="22"/>
          <w:szCs w:val="22"/>
        </w:rPr>
      </w:pPr>
    </w:p>
    <w:p w14:paraId="146EE24F" w14:textId="77777777" w:rsidR="00D43543" w:rsidRPr="005D02EA" w:rsidRDefault="00D9591D">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D02EA">
        <w:rPr>
          <w:rFonts w:ascii="Palatino Linotype" w:eastAsia="Palatino Linotype" w:hAnsi="Palatino Linotype" w:cs="Palatino Linotype"/>
          <w:b/>
          <w:sz w:val="22"/>
          <w:szCs w:val="22"/>
        </w:rPr>
        <w:t xml:space="preserve">Del interés público de la información solicitada. </w:t>
      </w:r>
    </w:p>
    <w:p w14:paraId="7CECBF25"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En ese sentido, para realizar el análisis de la reserva de la información es necesario valorar la naturaleza de la información solicitada, en el presente caso, es de señalar que la </w:t>
      </w:r>
      <w:r w:rsidRPr="005D02EA">
        <w:rPr>
          <w:rFonts w:ascii="Palatino Linotype" w:eastAsia="Palatino Linotype" w:hAnsi="Palatino Linotype" w:cs="Palatino Linotype"/>
          <w:b/>
          <w:sz w:val="22"/>
          <w:szCs w:val="22"/>
        </w:rPr>
        <w:lastRenderedPageBreak/>
        <w:t xml:space="preserve">pretensión </w:t>
      </w:r>
      <w:r w:rsidRPr="005D02EA">
        <w:rPr>
          <w:rFonts w:ascii="Palatino Linotype" w:eastAsia="Palatino Linotype" w:hAnsi="Palatino Linotype" w:cs="Palatino Linotype"/>
          <w:sz w:val="22"/>
          <w:szCs w:val="22"/>
        </w:rPr>
        <w:t xml:space="preserve">de la parte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xml:space="preserve"> es obtener los escritos, memos y oficios firmados por el </w:t>
      </w:r>
      <w:proofErr w:type="gramStart"/>
      <w:r w:rsidRPr="005D02EA">
        <w:rPr>
          <w:rFonts w:ascii="Palatino Linotype" w:eastAsia="Palatino Linotype" w:hAnsi="Palatino Linotype" w:cs="Palatino Linotype"/>
          <w:sz w:val="22"/>
          <w:szCs w:val="22"/>
        </w:rPr>
        <w:t>Director General</w:t>
      </w:r>
      <w:proofErr w:type="gramEnd"/>
      <w:r w:rsidRPr="005D02EA">
        <w:rPr>
          <w:rFonts w:ascii="Palatino Linotype" w:eastAsia="Palatino Linotype" w:hAnsi="Palatino Linotype" w:cs="Palatino Linotype"/>
          <w:sz w:val="22"/>
          <w:szCs w:val="22"/>
        </w:rPr>
        <w:t xml:space="preserve"> de Seguridad Pública. </w:t>
      </w:r>
    </w:p>
    <w:p w14:paraId="216DF577"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126E95FF"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Respecto al tema, es conviene señalar que los </w:t>
      </w:r>
      <w:r w:rsidRPr="005D02EA">
        <w:rPr>
          <w:rFonts w:ascii="Palatino Linotype" w:eastAsia="Palatino Linotype" w:hAnsi="Palatino Linotype" w:cs="Palatino Linotype"/>
          <w:b/>
          <w:i/>
          <w:sz w:val="22"/>
          <w:szCs w:val="22"/>
        </w:rPr>
        <w:t>oficios</w:t>
      </w:r>
      <w:r w:rsidRPr="005D02EA">
        <w:rPr>
          <w:rFonts w:ascii="Palatino Linotype" w:eastAsia="Palatino Linotype" w:hAnsi="Palatino Linotype" w:cs="Palatino Linotype"/>
          <w:sz w:val="22"/>
          <w:szCs w:val="22"/>
        </w:rPr>
        <w:t>,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14:paraId="377D2138" w14:textId="77777777" w:rsidR="00D43543" w:rsidRPr="005D02EA" w:rsidRDefault="00D43543">
      <w:pPr>
        <w:shd w:val="clear" w:color="auto" w:fill="FFFFFF"/>
        <w:spacing w:line="276" w:lineRule="auto"/>
        <w:ind w:left="851" w:right="616"/>
        <w:jc w:val="both"/>
        <w:rPr>
          <w:rFonts w:ascii="Palatino Linotype" w:eastAsia="Palatino Linotype" w:hAnsi="Palatino Linotype" w:cs="Palatino Linotype"/>
          <w:i/>
          <w:sz w:val="22"/>
          <w:szCs w:val="22"/>
        </w:rPr>
      </w:pPr>
    </w:p>
    <w:p w14:paraId="5670230E" w14:textId="77777777" w:rsidR="00D43543" w:rsidRPr="005D02EA" w:rsidRDefault="00D9591D">
      <w:pPr>
        <w:shd w:val="clear" w:color="auto" w:fill="FFFFFF"/>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“6. m. Comunicación escrita, referente a los asuntos de las Administraciones públicas.</w:t>
      </w:r>
    </w:p>
    <w:p w14:paraId="26FDB564" w14:textId="77777777" w:rsidR="00D43543" w:rsidRPr="005D02EA" w:rsidRDefault="00D9591D">
      <w:pPr>
        <w:shd w:val="clear" w:color="auto" w:fill="FFFFFF"/>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Sin.: escrito, comunicado, comunicación, documento, expediente.” (Sic)</w:t>
      </w:r>
    </w:p>
    <w:p w14:paraId="6E2486FB" w14:textId="77777777" w:rsidR="00D43543" w:rsidRPr="005D02EA" w:rsidRDefault="00D9591D">
      <w:pPr>
        <w:shd w:val="clear" w:color="auto" w:fill="FFFFFF"/>
        <w:spacing w:before="240" w:after="240"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En ese sentido, resulta importante mencionar que como se precisó en líneas anteriores, el acceso a la información pública versa sobre documentos, en este caso, sobre memorándums y oficios, por lo tanto, </w:t>
      </w:r>
      <w:r w:rsidRPr="005D02EA">
        <w:rPr>
          <w:rFonts w:ascii="Palatino Linotype" w:eastAsia="Palatino Linotype" w:hAnsi="Palatino Linotype" w:cs="Palatino Linotype"/>
          <w:b/>
          <w:sz w:val="22"/>
          <w:szCs w:val="22"/>
          <w:u w:val="single"/>
        </w:rPr>
        <w:t>sirve citar por analogía</w:t>
      </w:r>
      <w:r w:rsidRPr="005D02EA">
        <w:rPr>
          <w:rFonts w:ascii="Palatino Linotype" w:eastAsia="Palatino Linotype" w:hAnsi="Palatino Linotype" w:cs="Palatino Linotype"/>
          <w:sz w:val="22"/>
          <w:szCs w:val="22"/>
        </w:rPr>
        <w:t xml:space="preserve"> los </w:t>
      </w:r>
      <w:r w:rsidRPr="005D02EA">
        <w:rPr>
          <w:rFonts w:ascii="Palatino Linotype" w:eastAsia="Palatino Linotype" w:hAnsi="Palatino Linotype" w:cs="Palatino Linotype"/>
          <w:b/>
          <w:sz w:val="22"/>
          <w:szCs w:val="22"/>
        </w:rPr>
        <w:t>Lineamientos para el trámite de la correspondencia de las unidades orgánicas del Poder Ejecutivo</w:t>
      </w:r>
      <w:r w:rsidRPr="005D02EA">
        <w:rPr>
          <w:rFonts w:ascii="Palatino Linotype" w:eastAsia="Palatino Linotype" w:hAnsi="Palatino Linotype" w:cs="Palatino Linotype"/>
          <w:sz w:val="22"/>
          <w:szCs w:val="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0A5B3A3B" w14:textId="77777777" w:rsidR="00D43543" w:rsidRPr="005D02EA" w:rsidRDefault="00D9591D">
      <w:pPr>
        <w:shd w:val="clear" w:color="auto" w:fill="FFFFFF"/>
        <w:spacing w:after="120" w:line="276" w:lineRule="auto"/>
        <w:ind w:left="851" w:right="851"/>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rPr>
        <w:t>“2. Objetivo</w:t>
      </w:r>
    </w:p>
    <w:p w14:paraId="68D5A466"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5D02EA">
        <w:rPr>
          <w:rFonts w:ascii="Palatino Linotype" w:eastAsia="Palatino Linotype" w:hAnsi="Palatino Linotype" w:cs="Palatino Linotype"/>
          <w:i/>
          <w:sz w:val="22"/>
          <w:szCs w:val="22"/>
        </w:rPr>
        <w:t>, un instrumento técnico que les permita homogeneizar y </w:t>
      </w:r>
      <w:proofErr w:type="spellStart"/>
      <w:r w:rsidRPr="005D02EA">
        <w:rPr>
          <w:rFonts w:ascii="Palatino Linotype" w:eastAsia="Palatino Linotype" w:hAnsi="Palatino Linotype" w:cs="Palatino Linotype"/>
          <w:b/>
          <w:i/>
          <w:sz w:val="22"/>
          <w:szCs w:val="22"/>
          <w:u w:val="single"/>
        </w:rPr>
        <w:t>eficientar</w:t>
      </w:r>
      <w:proofErr w:type="spellEnd"/>
      <w:r w:rsidRPr="005D02EA">
        <w:rPr>
          <w:rFonts w:ascii="Palatino Linotype" w:eastAsia="Palatino Linotype" w:hAnsi="Palatino Linotype" w:cs="Palatino Linotype"/>
          <w:b/>
          <w:i/>
          <w:sz w:val="22"/>
          <w:szCs w:val="22"/>
          <w:u w:val="single"/>
        </w:rPr>
        <w:t xml:space="preserve"> los servicios de correspondencia, a fin de agilizar la comunicación </w:t>
      </w:r>
      <w:proofErr w:type="gramStart"/>
      <w:r w:rsidRPr="005D02EA">
        <w:rPr>
          <w:rFonts w:ascii="Palatino Linotype" w:eastAsia="Palatino Linotype" w:hAnsi="Palatino Linotype" w:cs="Palatino Linotype"/>
          <w:b/>
          <w:i/>
          <w:sz w:val="22"/>
          <w:szCs w:val="22"/>
          <w:u w:val="single"/>
        </w:rPr>
        <w:t>formal</w:t>
      </w:r>
      <w:proofErr w:type="gramEnd"/>
      <w:r w:rsidRPr="005D02EA">
        <w:rPr>
          <w:rFonts w:ascii="Palatino Linotype" w:eastAsia="Palatino Linotype" w:hAnsi="Palatino Linotype" w:cs="Palatino Linotype"/>
          <w:b/>
          <w:i/>
          <w:sz w:val="22"/>
          <w:szCs w:val="22"/>
          <w:u w:val="single"/>
        </w:rPr>
        <w:t xml:space="preserve"> así como coadyuvar a la oportuna toma de decisiones por parte de los servidores públicos</w:t>
      </w:r>
      <w:r w:rsidRPr="005D02EA">
        <w:rPr>
          <w:rFonts w:ascii="Palatino Linotype" w:eastAsia="Palatino Linotype" w:hAnsi="Palatino Linotype" w:cs="Palatino Linotype"/>
          <w:i/>
          <w:sz w:val="22"/>
          <w:szCs w:val="22"/>
        </w:rPr>
        <w:t>.</w:t>
      </w:r>
    </w:p>
    <w:p w14:paraId="6710DB62"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i/>
          <w:sz w:val="22"/>
          <w:szCs w:val="22"/>
        </w:rPr>
        <w:t> </w:t>
      </w:r>
      <w:r w:rsidRPr="005D02EA">
        <w:rPr>
          <w:rFonts w:ascii="Palatino Linotype" w:eastAsia="Palatino Linotype" w:hAnsi="Palatino Linotype" w:cs="Palatino Linotype"/>
          <w:b/>
          <w:i/>
          <w:sz w:val="22"/>
          <w:szCs w:val="22"/>
        </w:rPr>
        <w:t>Administración de documentos:</w:t>
      </w:r>
    </w:p>
    <w:p w14:paraId="0CBD21E3"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u w:val="single"/>
        </w:rPr>
        <w:t xml:space="preserve">Conjunto de actividades vinculadas con la generación, </w:t>
      </w:r>
      <w:r w:rsidRPr="005D02EA">
        <w:rPr>
          <w:rFonts w:ascii="Palatino Linotype" w:eastAsia="Palatino Linotype" w:hAnsi="Palatino Linotype" w:cs="Palatino Linotype"/>
          <w:i/>
          <w:sz w:val="22"/>
          <w:szCs w:val="22"/>
        </w:rPr>
        <w:t>adquisición</w:t>
      </w:r>
      <w:r w:rsidRPr="005D02EA">
        <w:rPr>
          <w:rFonts w:ascii="Palatino Linotype" w:eastAsia="Palatino Linotype" w:hAnsi="Palatino Linotype" w:cs="Palatino Linotype"/>
          <w:b/>
          <w:i/>
          <w:sz w:val="22"/>
          <w:szCs w:val="22"/>
          <w:u w:val="single"/>
        </w:rPr>
        <w:t>, recepción</w:t>
      </w:r>
      <w:r w:rsidRPr="005D02EA">
        <w:rPr>
          <w:rFonts w:ascii="Palatino Linotype" w:eastAsia="Palatino Linotype" w:hAnsi="Palatino Linotype" w:cs="Palatino Linotype"/>
          <w:i/>
          <w:sz w:val="22"/>
          <w:szCs w:val="22"/>
        </w:rPr>
        <w:t xml:space="preserve">, control, circulación, reproducción, organización, conservación, </w:t>
      </w:r>
      <w:r w:rsidRPr="005D02EA">
        <w:rPr>
          <w:rFonts w:ascii="Palatino Linotype" w:eastAsia="Palatino Linotype" w:hAnsi="Palatino Linotype" w:cs="Palatino Linotype"/>
          <w:i/>
          <w:sz w:val="22"/>
          <w:szCs w:val="22"/>
        </w:rPr>
        <w:lastRenderedPageBreak/>
        <w:t>custodia, restauración, valoración, selección, eliminación</w:t>
      </w:r>
      <w:r w:rsidRPr="005D02EA">
        <w:rPr>
          <w:rFonts w:ascii="Palatino Linotype" w:eastAsia="Palatino Linotype" w:hAnsi="Palatino Linotype" w:cs="Palatino Linotype"/>
          <w:b/>
          <w:i/>
          <w:sz w:val="22"/>
          <w:szCs w:val="22"/>
        </w:rPr>
        <w:t>, </w:t>
      </w:r>
      <w:r w:rsidRPr="005D02EA">
        <w:rPr>
          <w:rFonts w:ascii="Palatino Linotype" w:eastAsia="Palatino Linotype" w:hAnsi="Palatino Linotype" w:cs="Palatino Linotype"/>
          <w:b/>
          <w:i/>
          <w:sz w:val="22"/>
          <w:szCs w:val="22"/>
          <w:u w:val="single"/>
        </w:rPr>
        <w:t>uso y divulgación de los documentos.</w:t>
      </w:r>
    </w:p>
    <w:p w14:paraId="4E40122C" w14:textId="77777777" w:rsidR="008924ED" w:rsidRPr="005D02EA" w:rsidRDefault="008924ED">
      <w:pPr>
        <w:shd w:val="clear" w:color="auto" w:fill="FFFFFF"/>
        <w:spacing w:after="120" w:line="276" w:lineRule="auto"/>
        <w:ind w:left="851" w:right="851"/>
        <w:jc w:val="both"/>
        <w:rPr>
          <w:rFonts w:ascii="Palatino Linotype" w:eastAsia="Palatino Linotype" w:hAnsi="Palatino Linotype" w:cs="Palatino Linotype"/>
          <w:b/>
          <w:i/>
          <w:sz w:val="22"/>
          <w:szCs w:val="22"/>
        </w:rPr>
      </w:pPr>
      <w:r w:rsidRPr="005D02EA">
        <w:rPr>
          <w:rFonts w:ascii="Palatino Linotype" w:eastAsia="Palatino Linotype" w:hAnsi="Palatino Linotype" w:cs="Palatino Linotype"/>
          <w:b/>
          <w:i/>
          <w:sz w:val="22"/>
          <w:szCs w:val="22"/>
        </w:rPr>
        <w:t>…</w:t>
      </w:r>
    </w:p>
    <w:p w14:paraId="3D54BA72" w14:textId="0B060891"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b/>
          <w:i/>
          <w:sz w:val="22"/>
          <w:szCs w:val="22"/>
        </w:rPr>
      </w:pPr>
      <w:r w:rsidRPr="005D02EA">
        <w:rPr>
          <w:rFonts w:ascii="Palatino Linotype" w:eastAsia="Palatino Linotype" w:hAnsi="Palatino Linotype" w:cs="Palatino Linotype"/>
          <w:b/>
          <w:i/>
          <w:sz w:val="22"/>
          <w:szCs w:val="22"/>
        </w:rPr>
        <w:t>Documentación en trámite:</w:t>
      </w:r>
    </w:p>
    <w:p w14:paraId="76817FD4"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p>
    <w:p w14:paraId="6111CEBE"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b/>
          <w:i/>
          <w:sz w:val="22"/>
          <w:szCs w:val="22"/>
        </w:rPr>
      </w:pPr>
      <w:r w:rsidRPr="005D02EA">
        <w:rPr>
          <w:rFonts w:ascii="Palatino Linotype" w:eastAsia="Palatino Linotype" w:hAnsi="Palatino Linotype" w:cs="Palatino Linotype"/>
          <w:b/>
          <w:i/>
          <w:sz w:val="22"/>
          <w:szCs w:val="22"/>
        </w:rPr>
        <w:t>Documento:</w:t>
      </w:r>
    </w:p>
    <w:p w14:paraId="03352A11"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b/>
          <w:i/>
          <w:sz w:val="22"/>
          <w:szCs w:val="22"/>
        </w:rPr>
      </w:pPr>
      <w:r w:rsidRPr="005D02EA">
        <w:rPr>
          <w:rFonts w:ascii="Palatino Linotype" w:eastAsia="Palatino Linotype" w:hAnsi="Palatino Linotype" w:cs="Palatino Linotype"/>
          <w:b/>
          <w:i/>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p>
    <w:p w14:paraId="299B75E4"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p>
    <w:p w14:paraId="51CB8453"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rPr>
        <w:t>Oficio:</w:t>
      </w:r>
    </w:p>
    <w:p w14:paraId="07A0408B"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5D02EA">
        <w:rPr>
          <w:rFonts w:ascii="Palatino Linotype" w:eastAsia="Palatino Linotype" w:hAnsi="Palatino Linotype" w:cs="Palatino Linotype"/>
          <w:i/>
          <w:sz w:val="22"/>
          <w:szCs w:val="22"/>
        </w:rPr>
        <w:t>.</w:t>
      </w:r>
    </w:p>
    <w:p w14:paraId="29D8C68D"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Producción de documentos:</w:t>
      </w:r>
    </w:p>
    <w:p w14:paraId="7C45CF95"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Es la generación de los documentos con el objeto de cumplir un trámite determinado, en el desarrollo de toda gestión, a partir del razonamiento de que su producción es necesaria y útil.</w:t>
      </w:r>
    </w:p>
    <w:p w14:paraId="1D398875"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i/>
          <w:sz w:val="22"/>
          <w:szCs w:val="22"/>
        </w:rPr>
        <w:t>…</w:t>
      </w:r>
    </w:p>
    <w:p w14:paraId="4334B7C3" w14:textId="77777777" w:rsidR="00D43543" w:rsidRPr="005D02EA" w:rsidRDefault="00D9591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i/>
          <w:sz w:val="22"/>
          <w:szCs w:val="22"/>
        </w:rPr>
        <w:lastRenderedPageBreak/>
        <w:t>4.2 </w:t>
      </w:r>
      <w:r w:rsidRPr="005D02EA">
        <w:rPr>
          <w:rFonts w:ascii="Palatino Linotype" w:eastAsia="Palatino Linotype" w:hAnsi="Palatino Linotype" w:cs="Palatino Linotype"/>
          <w:b/>
          <w:i/>
          <w:sz w:val="22"/>
          <w:szCs w:val="22"/>
        </w:rPr>
        <w:t>Las disposiciones establecidas en los presentes lineamientos son de </w:t>
      </w:r>
      <w:r w:rsidRPr="005D02EA">
        <w:rPr>
          <w:rFonts w:ascii="Palatino Linotype" w:eastAsia="Palatino Linotype" w:hAnsi="Palatino Linotype" w:cs="Palatino Linotype"/>
          <w:b/>
          <w:i/>
          <w:sz w:val="22"/>
          <w:szCs w:val="22"/>
          <w:u w:val="single"/>
        </w:rPr>
        <w:t>observancia obligatoria para las unidades orgánicas del Poder Ejecutivo Estatal</w:t>
      </w:r>
      <w:r w:rsidRPr="005D02EA">
        <w:rPr>
          <w:rFonts w:ascii="Palatino Linotype" w:eastAsia="Palatino Linotype" w:hAnsi="Palatino Linotype" w:cs="Palatino Linotype"/>
          <w:sz w:val="22"/>
          <w:szCs w:val="22"/>
        </w:rPr>
        <w:t>…”</w:t>
      </w:r>
    </w:p>
    <w:p w14:paraId="587A83B6" w14:textId="187213B7" w:rsidR="00D43543" w:rsidRPr="005D02EA" w:rsidRDefault="00D9591D">
      <w:pPr>
        <w:spacing w:before="240" w:after="240"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De lo anteriormente vertido, se tiene que los documentos que sirven de comunicación entre las diferentes unidades administrativas de una institución pública pueden ser a través de </w:t>
      </w:r>
      <w:r w:rsidRPr="005D02EA">
        <w:rPr>
          <w:rFonts w:ascii="Palatino Linotype" w:eastAsia="Palatino Linotype" w:hAnsi="Palatino Linotype" w:cs="Palatino Linotype"/>
          <w:b/>
          <w:sz w:val="22"/>
          <w:szCs w:val="22"/>
        </w:rPr>
        <w:t>oficios</w:t>
      </w:r>
      <w:r w:rsidR="008924ED" w:rsidRPr="005D02EA">
        <w:rPr>
          <w:rFonts w:ascii="Palatino Linotype" w:eastAsia="Palatino Linotype" w:hAnsi="Palatino Linotype" w:cs="Palatino Linotype"/>
          <w:sz w:val="22"/>
          <w:szCs w:val="22"/>
        </w:rPr>
        <w:t xml:space="preserve">. </w:t>
      </w:r>
      <w:r w:rsidR="00124198" w:rsidRPr="005D02EA">
        <w:rPr>
          <w:rFonts w:ascii="Palatino Linotype" w:eastAsia="Palatino Linotype" w:hAnsi="Palatino Linotype" w:cs="Palatino Linotype"/>
          <w:sz w:val="22"/>
          <w:szCs w:val="22"/>
        </w:rPr>
        <w:t xml:space="preserve">Así </w:t>
      </w:r>
      <w:r w:rsidRPr="005D02EA">
        <w:rPr>
          <w:rFonts w:ascii="Palatino Linotype" w:eastAsia="Palatino Linotype" w:hAnsi="Palatino Linotype" w:cs="Palatino Linotype"/>
          <w:sz w:val="22"/>
          <w:szCs w:val="22"/>
        </w:rPr>
        <w:t>el oficio</w:t>
      </w:r>
      <w:r w:rsidRPr="005D02EA">
        <w:rPr>
          <w:rFonts w:ascii="Palatino Linotype" w:eastAsia="Palatino Linotype" w:hAnsi="Palatino Linotype" w:cs="Palatino Linotype"/>
          <w:b/>
          <w:i/>
          <w:sz w:val="22"/>
          <w:szCs w:val="22"/>
        </w:rPr>
        <w:t xml:space="preserve"> </w:t>
      </w:r>
      <w:r w:rsidRPr="005D02EA">
        <w:rPr>
          <w:rFonts w:ascii="Palatino Linotype" w:eastAsia="Palatino Linotype" w:hAnsi="Palatino Linotype" w:cs="Palatino Linotype"/>
          <w:sz w:val="22"/>
          <w:szCs w:val="22"/>
        </w:rPr>
        <w:t xml:space="preserve">es el </w:t>
      </w:r>
      <w:r w:rsidRPr="005D02EA">
        <w:rPr>
          <w:rFonts w:ascii="Palatino Linotype" w:eastAsia="Palatino Linotype" w:hAnsi="Palatino Linotype" w:cs="Palatino Linotype"/>
          <w:b/>
          <w:sz w:val="22"/>
          <w:szCs w:val="22"/>
          <w:u w:val="single"/>
        </w:rPr>
        <w:t>medio de comunicación formal que inicia una gestión</w:t>
      </w:r>
      <w:r w:rsidRPr="005D02EA">
        <w:rPr>
          <w:rFonts w:ascii="Palatino Linotype" w:eastAsia="Palatino Linotype" w:hAnsi="Palatino Linotype" w:cs="Palatino Linotype"/>
          <w:b/>
          <w:sz w:val="22"/>
          <w:szCs w:val="22"/>
        </w:rPr>
        <w:t xml:space="preserve">, </w:t>
      </w:r>
      <w:r w:rsidRPr="005D02EA">
        <w:rPr>
          <w:rFonts w:ascii="Palatino Linotype" w:eastAsia="Palatino Linotype" w:hAnsi="Palatino Linotype" w:cs="Palatino Linotype"/>
          <w:b/>
          <w:sz w:val="22"/>
          <w:szCs w:val="22"/>
          <w:u w:val="single"/>
        </w:rPr>
        <w:t>informa de un hecho relevante, regulariza una situación, transmite órdenes, lineamientos o instrucciones, o trata asuntos específicos relacionados con personas físicas o morales en el marco de sus actuaciones</w:t>
      </w:r>
      <w:r w:rsidRPr="005D02EA">
        <w:rPr>
          <w:rFonts w:ascii="Palatino Linotype" w:eastAsia="Palatino Linotype" w:hAnsi="Palatino Linotype" w:cs="Palatino Linotype"/>
          <w:sz w:val="22"/>
          <w:szCs w:val="22"/>
        </w:rPr>
        <w:t>.</w:t>
      </w:r>
    </w:p>
    <w:p w14:paraId="6F1BCF15" w14:textId="77777777" w:rsidR="00D43543" w:rsidRPr="005D02EA" w:rsidRDefault="00D9591D">
      <w:pPr>
        <w:widowControl w:val="0"/>
        <w:spacing w:line="360" w:lineRule="auto"/>
        <w:ind w:right="-9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En lo que respecta al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el Manual de Organización de la Dirección de Seguridad y Protección establece que contara con las siguientes funciones: </w:t>
      </w:r>
    </w:p>
    <w:p w14:paraId="18E43D09" w14:textId="77777777" w:rsidR="00D43543" w:rsidRPr="005D02EA" w:rsidRDefault="00D43543">
      <w:pPr>
        <w:widowControl w:val="0"/>
        <w:spacing w:line="360" w:lineRule="auto"/>
        <w:ind w:right="-91"/>
        <w:jc w:val="both"/>
        <w:rPr>
          <w:rFonts w:ascii="Palatino Linotype" w:eastAsia="Palatino Linotype" w:hAnsi="Palatino Linotype" w:cs="Palatino Linotype"/>
          <w:sz w:val="22"/>
          <w:szCs w:val="22"/>
        </w:rPr>
      </w:pPr>
    </w:p>
    <w:p w14:paraId="07064509"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“205010000 Dirección General de Seguridad y Protección</w:t>
      </w:r>
    </w:p>
    <w:p w14:paraId="169317AE"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Funciones:</w:t>
      </w:r>
    </w:p>
    <w:p w14:paraId="24002489"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 Coordinar y vigilar proyectos, programas y acciones de seguridad pública y vial, para salvaguardar la integridad física y el patrimonio de las personas en el territorio municipal, así como propiciar condiciones que les permitan una mejor movilidad y desplazamiento;</w:t>
      </w:r>
    </w:p>
    <w:p w14:paraId="348669B2"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2. Planear y proponer programas de seguridad pública y vialidad con las tres instancias de gobierno, para la reciprocidad de información y ejecución de acciones, y así mejorar estos servicios;</w:t>
      </w:r>
    </w:p>
    <w:p w14:paraId="2391A7E9"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3. Coordinar y vigilar al personal encargado, del funcionamiento del sistema de emergencias a través del número 911, video vigilancia y aplicativos para telefonía;</w:t>
      </w:r>
    </w:p>
    <w:p w14:paraId="25E34BBF"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4. Coadyuvar con las instituciones correspondientes, mediante la entrega de información para las bases de datos relacionadas con los índices que se encuentran en las diferentes plataformas federales y estatales, a efecto de generar los reportes y estadística correspondiente;</w:t>
      </w:r>
    </w:p>
    <w:p w14:paraId="1BDD9769"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5. Diseñar, coordinar y vigilar que se brinde la educación vial a la comunidad estudiantil y a los diferentes sectores sociales que lo soliciten;</w:t>
      </w:r>
    </w:p>
    <w:p w14:paraId="1F065364"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6. Diseñar, implementar y vigilar el calendario de las evaluaciones de control de </w:t>
      </w:r>
      <w:r w:rsidRPr="005D02EA">
        <w:rPr>
          <w:rFonts w:ascii="Palatino Linotype" w:eastAsia="Palatino Linotype" w:hAnsi="Palatino Linotype" w:cs="Palatino Linotype"/>
          <w:i/>
          <w:sz w:val="22"/>
          <w:szCs w:val="22"/>
        </w:rPr>
        <w:lastRenderedPageBreak/>
        <w:t>confianza, así como las requeridas para el ingreso, permanencia y obtención del Certificado Único Policial del personal;</w:t>
      </w:r>
    </w:p>
    <w:p w14:paraId="50B9D84D"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7. Diseñar, proponer e implementar los trabajos de la formación continua, así como de capacitación especializada para el personal operativo y de mandos medios y superiores, conforme a la normatividad aplicable en la materia;</w:t>
      </w:r>
    </w:p>
    <w:p w14:paraId="04ABEBED"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8. Formar parte de las Comisiones de Honor y Justicia y del Servicio Profesional de Carrera Policial, así como atender las responsabilidades inherentes;</w:t>
      </w:r>
    </w:p>
    <w:p w14:paraId="5286906E"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9. Coadyuvar en el procedimiento jurídico administrativo correspondiente para la separación del cargo del personal operativo por faltas a la normatividad aplicable;</w:t>
      </w:r>
    </w:p>
    <w:p w14:paraId="0F5FA1AF"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10. Instruir a que los trabajos de seguridad sean enfocados al Modelo Homologado de Justicia Cívica y a la normatividad aplicable;</w:t>
      </w:r>
    </w:p>
    <w:p w14:paraId="62CA6241"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11. Establecer acciones y programas para sensibilizar y capacitar a las y los servidores públicos, así como a la sociedad civil en el tema de discriminación, equidad de género y acciones de proximidad;</w:t>
      </w:r>
    </w:p>
    <w:p w14:paraId="092853D9"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12. Diseñar, desarrollar y promover proyectos de seguridad, de vialidad y acciones de proximidad con la participación ciudadana, incluyendo a los diferentes sectores que integran la sociedad y con las autoridades auxiliares del Municipio de Toluca;</w:t>
      </w:r>
    </w:p>
    <w:p w14:paraId="6B256573"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13. Supervisar, coordinar y dirigir los trabajos del servicio operativo para que se brinden conforme a la normatividad aplicable a las personas con discapacidad y en apego a sus derechos fundamentales;</w:t>
      </w:r>
    </w:p>
    <w:p w14:paraId="14B1E0C5"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14. Incorporar la equidad de género como eje transversal en las actividades de todas las áreas que integran a la Dirección General de Seguridad y Protección;</w:t>
      </w:r>
    </w:p>
    <w:p w14:paraId="07089FF0"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15. Supervisar que los servicios al público de sustentabilidad vial, cumplan con la normatividad y buena atención a la ciudadanía;</w:t>
      </w:r>
    </w:p>
    <w:p w14:paraId="70EC80C4"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16. Organizar, coordinar y vigilar que se realice el Programa Municipal de Seguridad Pública;</w:t>
      </w:r>
    </w:p>
    <w:p w14:paraId="3C14E374"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17. Supervisar y coordinar la integración, instrumentación, desarrollo y ejecución de los programas y acciones en materia de protección civil y bomberos tendientes a salvaguardar la integridad fisca de las personas, sus bienes y el entorno;</w:t>
      </w:r>
    </w:p>
    <w:p w14:paraId="0866A38C"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18. Analizar y determinar en el ámbito de su competencia, la resolución de las quejas relacionadas con los diferentes factores que afectan la operación de las vialidades; y</w:t>
      </w:r>
    </w:p>
    <w:p w14:paraId="649CF37F" w14:textId="77777777" w:rsidR="00D43543" w:rsidRPr="005D02EA" w:rsidRDefault="00D9591D">
      <w:pPr>
        <w:widowControl w:val="0"/>
        <w:spacing w:line="276" w:lineRule="auto"/>
        <w:ind w:left="851"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19. Realizar todas aquellas actividades que sean inherentes y aplicables al área de su competencia y las demás que le sean encomendadas por instrucción de la o el C. </w:t>
      </w:r>
      <w:proofErr w:type="gramStart"/>
      <w:r w:rsidRPr="005D02EA">
        <w:rPr>
          <w:rFonts w:ascii="Palatino Linotype" w:eastAsia="Palatino Linotype" w:hAnsi="Palatino Linotype" w:cs="Palatino Linotype"/>
          <w:i/>
          <w:sz w:val="22"/>
          <w:szCs w:val="22"/>
        </w:rPr>
        <w:t>Presidente</w:t>
      </w:r>
      <w:proofErr w:type="gramEnd"/>
      <w:r w:rsidRPr="005D02EA">
        <w:rPr>
          <w:rFonts w:ascii="Palatino Linotype" w:eastAsia="Palatino Linotype" w:hAnsi="Palatino Linotype" w:cs="Palatino Linotype"/>
          <w:i/>
          <w:sz w:val="22"/>
          <w:szCs w:val="22"/>
        </w:rPr>
        <w:t xml:space="preserve"> Municipal.”</w:t>
      </w:r>
    </w:p>
    <w:p w14:paraId="74362D78" w14:textId="77777777" w:rsidR="00D43543" w:rsidRPr="005D02EA" w:rsidRDefault="00D43543">
      <w:pPr>
        <w:widowControl w:val="0"/>
        <w:spacing w:line="360" w:lineRule="auto"/>
        <w:ind w:right="-91"/>
        <w:jc w:val="both"/>
        <w:rPr>
          <w:rFonts w:ascii="Palatino Linotype" w:eastAsia="Palatino Linotype" w:hAnsi="Palatino Linotype" w:cs="Palatino Linotype"/>
          <w:sz w:val="22"/>
          <w:szCs w:val="22"/>
        </w:rPr>
      </w:pPr>
    </w:p>
    <w:p w14:paraId="5D7B48BB" w14:textId="77777777" w:rsidR="00D43543" w:rsidRPr="005D02EA" w:rsidRDefault="00D9591D">
      <w:pPr>
        <w:widowControl w:val="0"/>
        <w:spacing w:line="360" w:lineRule="auto"/>
        <w:ind w:right="-9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lastRenderedPageBreak/>
        <w:t xml:space="preserve">Conforme a lo anterior, se logra advertir que la información solicitada por la parte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xml:space="preserve">, resulta relevante, pues al tratarse de información relacionada con las acciones de seguridad pública está íntimamente relacionada con el cumplimiento de las atribuciones y fines del Ayuntamiento. </w:t>
      </w:r>
    </w:p>
    <w:p w14:paraId="5DA21CC0" w14:textId="77777777" w:rsidR="00D43543" w:rsidRPr="005D02EA" w:rsidRDefault="00D43543">
      <w:pPr>
        <w:widowControl w:val="0"/>
        <w:spacing w:line="360" w:lineRule="auto"/>
        <w:ind w:right="-91"/>
        <w:jc w:val="both"/>
        <w:rPr>
          <w:rFonts w:ascii="Palatino Linotype" w:eastAsia="Palatino Linotype" w:hAnsi="Palatino Linotype" w:cs="Palatino Linotype"/>
          <w:sz w:val="22"/>
          <w:szCs w:val="22"/>
        </w:rPr>
      </w:pPr>
    </w:p>
    <w:p w14:paraId="2F35E464" w14:textId="77777777" w:rsidR="00D43543" w:rsidRPr="005D02EA" w:rsidRDefault="00D9591D">
      <w:pPr>
        <w:widowControl w:val="0"/>
        <w:spacing w:line="360" w:lineRule="auto"/>
        <w:ind w:right="-91"/>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Toma relevancia, lo señalado en el artículo 2°, fracción VII de la Ley de Transparencia y Acceso a la Información Pública del Estado de México y Municipios, el cual establece como objetivo promover, fomentar y difundir la cultura de la transparencia en el ejercicio de la función pública, así como, la rendición de cuentas, a través del establecimiento de mecanismos que garanticen la publicidad de la información oportuna, verificable, comprensible, actualizada y completa.</w:t>
      </w:r>
    </w:p>
    <w:p w14:paraId="4187A6B8"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0C13CB3F" w14:textId="02B01A58"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Como se logra observar, el derecho de acceso a la información pública, es una herramienta con la que, cuentan los particulares, para conocer la forma en que los Gobiernos Municipales, cumplen sus atribuciones y obligaciones, así como, ejercen los recursos públicos con los que cuentan; esto es, sirven para que los Sujetos Obligados rindan cuentas a la ciudadanía, de su hacer diario.</w:t>
      </w:r>
    </w:p>
    <w:p w14:paraId="38EF4CAE" w14:textId="4F5D7738" w:rsidR="00124198" w:rsidRPr="005D02EA" w:rsidRDefault="00124198">
      <w:pPr>
        <w:spacing w:line="360" w:lineRule="auto"/>
        <w:jc w:val="both"/>
        <w:rPr>
          <w:rFonts w:ascii="Palatino Linotype" w:eastAsia="Palatino Linotype" w:hAnsi="Palatino Linotype" w:cs="Palatino Linotype"/>
          <w:sz w:val="22"/>
          <w:szCs w:val="22"/>
        </w:rPr>
      </w:pPr>
    </w:p>
    <w:p w14:paraId="3422C767" w14:textId="50B33034" w:rsidR="00124198" w:rsidRPr="005D02EA" w:rsidRDefault="00124198" w:rsidP="00124198">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Aunado a que de la revisión al Manual de Organización </w:t>
      </w:r>
      <w:r w:rsidR="00990234" w:rsidRPr="005D02EA">
        <w:rPr>
          <w:rFonts w:ascii="Palatino Linotype" w:eastAsia="Palatino Linotype" w:hAnsi="Palatino Linotype" w:cs="Palatino Linotype"/>
          <w:sz w:val="22"/>
          <w:szCs w:val="22"/>
        </w:rPr>
        <w:t xml:space="preserve">de la Dirección General de Seguridad y Protección, </w:t>
      </w:r>
      <w:r w:rsidRPr="005D02EA">
        <w:rPr>
          <w:rFonts w:ascii="Palatino Linotype" w:eastAsia="Palatino Linotype" w:hAnsi="Palatino Linotype" w:cs="Palatino Linotype"/>
          <w:sz w:val="22"/>
          <w:szCs w:val="22"/>
        </w:rPr>
        <w:t xml:space="preserve">refiere que el objetivo del Director de Seguridad y Protección es planear, organizar, implementar, medir y controlar los servicios de seguridad pública, vial, de protección civil y urgencias, promoviendo la participación social, su transversalidad, la equidad de género y la justicia cívica, con la finalidad de preservar el orden y la paz social, así como, coadyuvar en el procedimiento jurídico administrativo correspondiente para la separación del cargo del personal operativo por faltas a la normatividad aplicable; sin embargo, cuenta con áreas que se encargan de realizar dichas actividades, tales como la Dirección jurídica, quien representa jurídicamente a la Dirección General de Seguridad y </w:t>
      </w:r>
      <w:r w:rsidRPr="005D02EA">
        <w:rPr>
          <w:rFonts w:ascii="Palatino Linotype" w:eastAsia="Palatino Linotype" w:hAnsi="Palatino Linotype" w:cs="Palatino Linotype"/>
          <w:sz w:val="22"/>
          <w:szCs w:val="22"/>
        </w:rPr>
        <w:lastRenderedPageBreak/>
        <w:t>Protección; además de desahogar los procedimientos administrativos disciplinarios instaurados por la Comisión de Honor y Justicia; así como el Departamento de Normatividad y el Departamento Jurídico y Consultivo; por lo que, este Organismo considera que la unidad administrativa competente, conoce de diversos temas, no únicamente de aquellos relativos a la investigación realizada por organismos jurisdiccionales, contenida en averiguaciones previas, carpetas de investigación y demás relativos a la investigación de los delitos, como se refirió en el acta.</w:t>
      </w:r>
    </w:p>
    <w:p w14:paraId="0F9AFD41" w14:textId="77777777" w:rsidR="00124198" w:rsidRPr="005D02EA" w:rsidRDefault="00124198">
      <w:pPr>
        <w:spacing w:line="360" w:lineRule="auto"/>
        <w:jc w:val="both"/>
        <w:rPr>
          <w:rFonts w:ascii="Palatino Linotype" w:eastAsia="Palatino Linotype" w:hAnsi="Palatino Linotype" w:cs="Palatino Linotype"/>
          <w:sz w:val="22"/>
          <w:szCs w:val="22"/>
        </w:rPr>
      </w:pPr>
    </w:p>
    <w:p w14:paraId="487FBD1D"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Conforme a todo lo expuesto, es de interés público, proporcionar información solicitada, pues rinde cuentas de que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está cumpliendo atribuciones y fines específicos; además, que transparenta, las acciones realizadas por este.</w:t>
      </w:r>
    </w:p>
    <w:p w14:paraId="30A5286E"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6417F679" w14:textId="66654591" w:rsidR="00124198" w:rsidRPr="005D02EA" w:rsidRDefault="00124198">
      <w:pPr>
        <w:spacing w:line="360" w:lineRule="auto"/>
        <w:jc w:val="both"/>
        <w:rPr>
          <w:rFonts w:ascii="Palatino Linotype" w:eastAsia="Palatino Linotype" w:hAnsi="Palatino Linotype" w:cs="Palatino Linotype"/>
          <w:sz w:val="22"/>
          <w:szCs w:val="22"/>
        </w:rPr>
      </w:pPr>
      <w:r w:rsidRPr="005D02EA">
        <w:rPr>
          <w:rFonts w:ascii="Palatino Linotype" w:hAnsi="Palatino Linotype"/>
          <w:sz w:val="22"/>
          <w:szCs w:val="22"/>
        </w:rPr>
        <w:t xml:space="preserve">Sin embargo, no obsta mencionar que cabe la posibilidad de que dentro de la información que se ordena, pudieran encontrarse oficios que contengan información que actualice alguna de las causales de reserva establecidas en el artículo 140 de la Ley de Transparencia y Acceso a la Información Pública del Estado de México y Municipios, concretamente por lo que se refiere </w:t>
      </w:r>
      <w:r w:rsidR="00990234" w:rsidRPr="005D02EA">
        <w:rPr>
          <w:rFonts w:ascii="Palatino Linotype" w:hAnsi="Palatino Linotype"/>
          <w:sz w:val="22"/>
          <w:szCs w:val="22"/>
        </w:rPr>
        <w:t>procedimientos</w:t>
      </w:r>
      <w:r w:rsidR="0042342E" w:rsidRPr="005D02EA">
        <w:rPr>
          <w:rFonts w:ascii="Palatino Linotype" w:hAnsi="Palatino Linotype"/>
          <w:sz w:val="22"/>
          <w:szCs w:val="22"/>
        </w:rPr>
        <w:t xml:space="preserve"> </w:t>
      </w:r>
      <w:r w:rsidRPr="005D02EA">
        <w:rPr>
          <w:rFonts w:ascii="Palatino Linotype" w:hAnsi="Palatino Linotype"/>
          <w:sz w:val="22"/>
          <w:szCs w:val="22"/>
        </w:rPr>
        <w:t>que de haberse presentado y se encontraran en trámite a la fecha de la solicitud</w:t>
      </w:r>
      <w:r w:rsidR="00990234" w:rsidRPr="005D02EA">
        <w:rPr>
          <w:rFonts w:ascii="Palatino Linotype" w:hAnsi="Palatino Linotype"/>
          <w:sz w:val="22"/>
          <w:szCs w:val="22"/>
        </w:rPr>
        <w:t xml:space="preserve">, </w:t>
      </w:r>
      <w:r w:rsidRPr="005D02EA">
        <w:rPr>
          <w:rFonts w:ascii="Palatino Linotype" w:hAnsi="Palatino Linotype"/>
          <w:sz w:val="22"/>
          <w:szCs w:val="22"/>
        </w:rPr>
        <w:t>actualizarían el supuesto establecido en la fracción VI, de precepto legal referido, en cuyo caso se deberá emitir un acuerdo que clasifique con tal carácter el documento, de conformidad con lo previsto en los artículos 49, fracciones II y VIII, 129, 132, 134, 141 y 142, de la misma Ley, así como en los Lineamientos Generales en materia de Clasificación y Desclasificación de la Información, así como para la elaboración de Versiones Públicas, para efectos de clasificar dicha información hasta en tanto no se emita una resolución definitiva, cumpliendo con las formalidades anteriormente analizadas. Lo anterior, siempre y cuando no se relacionen los oficios con los supuestos previstos en el artículo 142 de la Ley de Transparencia Local, a saber:</w:t>
      </w:r>
    </w:p>
    <w:p w14:paraId="61CBE561" w14:textId="77777777" w:rsidR="00124198" w:rsidRPr="005D02EA" w:rsidRDefault="00124198">
      <w:pPr>
        <w:spacing w:line="360" w:lineRule="auto"/>
        <w:jc w:val="both"/>
        <w:rPr>
          <w:rFonts w:ascii="Palatino Linotype" w:eastAsia="Palatino Linotype" w:hAnsi="Palatino Linotype" w:cs="Palatino Linotype"/>
          <w:sz w:val="22"/>
          <w:szCs w:val="22"/>
        </w:rPr>
      </w:pPr>
    </w:p>
    <w:p w14:paraId="45D42818" w14:textId="332A420A" w:rsidR="00D43543" w:rsidRPr="005D02EA" w:rsidRDefault="00124198">
      <w:pPr>
        <w:spacing w:line="360" w:lineRule="auto"/>
        <w:jc w:val="both"/>
        <w:rPr>
          <w:rFonts w:ascii="Palatino Linotype" w:hAnsi="Palatino Linotype"/>
          <w:sz w:val="22"/>
          <w:szCs w:val="22"/>
        </w:rPr>
      </w:pPr>
      <w:r w:rsidRPr="005D02EA">
        <w:rPr>
          <w:rFonts w:ascii="Palatino Linotype" w:hAnsi="Palatino Linotype"/>
          <w:sz w:val="22"/>
          <w:szCs w:val="22"/>
        </w:rPr>
        <w:lastRenderedPageBreak/>
        <w:t xml:space="preserve">Por lo que el </w:t>
      </w:r>
      <w:r w:rsidRPr="005D02EA">
        <w:rPr>
          <w:rFonts w:ascii="Palatino Linotype" w:hAnsi="Palatino Linotype"/>
          <w:b/>
          <w:sz w:val="22"/>
          <w:szCs w:val="22"/>
        </w:rPr>
        <w:t>Sujeto Obligado</w:t>
      </w:r>
      <w:r w:rsidRPr="005D02EA">
        <w:rPr>
          <w:rFonts w:ascii="Palatino Linotype" w:hAnsi="Palatino Linotype"/>
          <w:sz w:val="22"/>
          <w:szCs w:val="22"/>
        </w:rPr>
        <w:t xml:space="preserve"> deberá analizar la información requerida por la parte </w:t>
      </w:r>
      <w:r w:rsidR="00990234" w:rsidRPr="005D02EA">
        <w:rPr>
          <w:rFonts w:ascii="Palatino Linotype" w:hAnsi="Palatino Linotype"/>
          <w:b/>
          <w:sz w:val="22"/>
          <w:szCs w:val="22"/>
        </w:rPr>
        <w:t>Recurrente</w:t>
      </w:r>
      <w:r w:rsidR="00990234" w:rsidRPr="005D02EA">
        <w:rPr>
          <w:rFonts w:ascii="Palatino Linotype" w:hAnsi="Palatino Linotype"/>
          <w:sz w:val="22"/>
          <w:szCs w:val="22"/>
        </w:rPr>
        <w:t xml:space="preserve"> </w:t>
      </w:r>
      <w:r w:rsidRPr="005D02EA">
        <w:rPr>
          <w:rFonts w:ascii="Palatino Linotype" w:hAnsi="Palatino Linotype"/>
          <w:sz w:val="22"/>
          <w:szCs w:val="22"/>
        </w:rPr>
        <w:t xml:space="preserve">y, de ser el caso de que se actualice alguno de los supuestos contemplados en el artículo 142 de la Ley de Transparencia y Acceso a la Información del Estado de México y Municipios, deberá entregar a la parte </w:t>
      </w:r>
      <w:r w:rsidR="00700CD6" w:rsidRPr="005D02EA">
        <w:rPr>
          <w:rFonts w:ascii="Palatino Linotype" w:hAnsi="Palatino Linotype"/>
          <w:b/>
          <w:sz w:val="22"/>
          <w:szCs w:val="22"/>
        </w:rPr>
        <w:t>Recurrente</w:t>
      </w:r>
      <w:r w:rsidR="00700CD6" w:rsidRPr="005D02EA">
        <w:rPr>
          <w:rFonts w:ascii="Palatino Linotype" w:hAnsi="Palatino Linotype"/>
          <w:sz w:val="22"/>
          <w:szCs w:val="22"/>
        </w:rPr>
        <w:t xml:space="preserve"> </w:t>
      </w:r>
      <w:r w:rsidRPr="005D02EA">
        <w:rPr>
          <w:rFonts w:ascii="Palatino Linotype" w:hAnsi="Palatino Linotype"/>
          <w:sz w:val="22"/>
          <w:szCs w:val="22"/>
        </w:rPr>
        <w:t>la información en versión pública a efecto de proteger cualquier dato personal sensible de ser clasificado de terceros, si no se pudiera encuadrar tal circunstancia el Sujeto Obligado deberá fundar y motivar debidamente las razones por las cuales no se le puede entregar la información, esto es emitir el acuerdo de reserva correspondiente.</w:t>
      </w:r>
    </w:p>
    <w:p w14:paraId="73721D04" w14:textId="7BD01C95" w:rsidR="00124198" w:rsidRPr="005D02EA" w:rsidRDefault="00124198">
      <w:pPr>
        <w:spacing w:line="360" w:lineRule="auto"/>
        <w:jc w:val="both"/>
        <w:rPr>
          <w:rFonts w:ascii="Palatino Linotype" w:hAnsi="Palatino Linotype"/>
          <w:sz w:val="22"/>
          <w:szCs w:val="22"/>
        </w:rPr>
      </w:pPr>
    </w:p>
    <w:p w14:paraId="79E58353" w14:textId="48B6C5EE" w:rsidR="00124198" w:rsidRPr="005D02EA" w:rsidRDefault="00124198">
      <w:pPr>
        <w:spacing w:line="360" w:lineRule="auto"/>
        <w:jc w:val="both"/>
        <w:rPr>
          <w:rFonts w:ascii="Palatino Linotype" w:hAnsi="Palatino Linotype"/>
          <w:sz w:val="22"/>
          <w:szCs w:val="22"/>
        </w:rPr>
      </w:pPr>
      <w:r w:rsidRPr="005D02EA">
        <w:rPr>
          <w:rFonts w:ascii="Palatino Linotype" w:hAnsi="Palatino Linotype"/>
          <w:sz w:val="22"/>
          <w:szCs w:val="22"/>
        </w:rPr>
        <w:t xml:space="preserve">De igual forma, deberá ser clasificada aquella información que implique la revelación de normas, procedimientos y métodos útiles a la generación de inteligencia para la seguridad pública o el combate a la delincuencia, como por ejemplo las estrategias de seguridad del Sujeto Obligado; así como la relativa a los servidores públicos integrantes de las instituciones de seguridad pública, cuya revelación pueda poner en riesgo su vida e integridad física con motivo de sus funciones. </w:t>
      </w:r>
    </w:p>
    <w:p w14:paraId="6D903FCC" w14:textId="77777777" w:rsidR="00124198" w:rsidRPr="005D02EA" w:rsidRDefault="00124198">
      <w:pPr>
        <w:spacing w:line="360" w:lineRule="auto"/>
        <w:jc w:val="both"/>
        <w:rPr>
          <w:rFonts w:ascii="Palatino Linotype" w:eastAsia="Palatino Linotype" w:hAnsi="Palatino Linotype" w:cs="Palatino Linotype"/>
          <w:sz w:val="22"/>
          <w:szCs w:val="22"/>
        </w:rPr>
      </w:pPr>
    </w:p>
    <w:p w14:paraId="42974B84" w14:textId="109BF287" w:rsidR="0042342E" w:rsidRPr="005D02EA" w:rsidRDefault="00D9591D" w:rsidP="00AF428F">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Por lo que, se determina que los agravios del Particular son </w:t>
      </w:r>
      <w:r w:rsidRPr="005D02EA">
        <w:rPr>
          <w:rFonts w:ascii="Palatino Linotype" w:eastAsia="Palatino Linotype" w:hAnsi="Palatino Linotype" w:cs="Palatino Linotype"/>
          <w:b/>
          <w:sz w:val="22"/>
          <w:szCs w:val="22"/>
        </w:rPr>
        <w:t xml:space="preserve">parcialmente fundados </w:t>
      </w:r>
      <w:r w:rsidRPr="005D02EA">
        <w:rPr>
          <w:rFonts w:ascii="Palatino Linotype" w:eastAsia="Palatino Linotype" w:hAnsi="Palatino Linotype" w:cs="Palatino Linotype"/>
          <w:sz w:val="22"/>
          <w:szCs w:val="22"/>
        </w:rPr>
        <w:t xml:space="preserve">y, con fundamento en el artículo 186, fracción III, de la Ley de Transparencia y Acceso a la Información Pública del Estado de México y Municipios, este Instituto considera procedente </w:t>
      </w:r>
      <w:r w:rsidR="00AF428F" w:rsidRPr="005D02EA">
        <w:rPr>
          <w:rFonts w:ascii="Palatino Linotype" w:eastAsia="Palatino Linotype" w:hAnsi="Palatino Linotype" w:cs="Palatino Linotype"/>
          <w:b/>
          <w:sz w:val="22"/>
          <w:szCs w:val="22"/>
        </w:rPr>
        <w:t xml:space="preserve">Revocar </w:t>
      </w:r>
      <w:r w:rsidRPr="005D02EA">
        <w:rPr>
          <w:rFonts w:ascii="Palatino Linotype" w:eastAsia="Palatino Linotype" w:hAnsi="Palatino Linotype" w:cs="Palatino Linotype"/>
          <w:sz w:val="22"/>
          <w:szCs w:val="22"/>
        </w:rPr>
        <w:t xml:space="preserve">la respuesta del Ayuntamiento de Toluca, a efecto de que entregue, de ser el caso en versión pública, a través del Sistema de Acceso a la Información Mexiquense (SAIMEX), </w:t>
      </w:r>
      <w:r w:rsidR="00AF428F" w:rsidRPr="005D02EA">
        <w:rPr>
          <w:rFonts w:ascii="Palatino Linotype" w:eastAsia="Palatino Linotype" w:hAnsi="Palatino Linotype" w:cs="Palatino Linotype"/>
          <w:sz w:val="22"/>
          <w:szCs w:val="22"/>
        </w:rPr>
        <w:t>los oficios firmados por el Director General de Seguridad y Protección del Ayuntamiento de Toluca, del primero de enero al diez de febrero de dos mil veinticinco, en versión pública</w:t>
      </w:r>
      <w:bookmarkStart w:id="3" w:name="_heading=h.g574rcqg1rzm" w:colFirst="0" w:colLast="0"/>
      <w:bookmarkEnd w:id="3"/>
      <w:r w:rsidR="0042342E" w:rsidRPr="005D02EA">
        <w:rPr>
          <w:rFonts w:ascii="Palatino Linotype" w:eastAsia="Palatino Linotype" w:hAnsi="Palatino Linotype" w:cs="Palatino Linotype"/>
          <w:sz w:val="22"/>
          <w:szCs w:val="22"/>
        </w:rPr>
        <w:t xml:space="preserve">, y para el caso de que el Sujeto Obligado no cuente con oficios firmados en algunos de los días del periodo que se está ordenando o algunos oficios hayan sido cancelados, bastará con que así lo haga del conocimiento de la parte Recurrente, de manera clara y precisa, en términos del artículo 19, párrafo segundo de la Ley de Transparencia y Acceso a la Información </w:t>
      </w:r>
      <w:r w:rsidR="0042342E" w:rsidRPr="005D02EA">
        <w:rPr>
          <w:rFonts w:ascii="Palatino Linotype" w:eastAsia="Palatino Linotype" w:hAnsi="Palatino Linotype" w:cs="Palatino Linotype"/>
          <w:sz w:val="22"/>
          <w:szCs w:val="22"/>
        </w:rPr>
        <w:lastRenderedPageBreak/>
        <w:t xml:space="preserve">pública del Estado de México y Municipios para tener por colmado el requerimiento de información. </w:t>
      </w:r>
    </w:p>
    <w:p w14:paraId="4138D029" w14:textId="77777777" w:rsidR="0042342E" w:rsidRPr="005D02EA" w:rsidRDefault="0042342E" w:rsidP="00AF428F">
      <w:pPr>
        <w:spacing w:line="360" w:lineRule="auto"/>
        <w:jc w:val="both"/>
        <w:rPr>
          <w:rFonts w:ascii="Palatino Linotype" w:eastAsia="Palatino Linotype" w:hAnsi="Palatino Linotype" w:cs="Palatino Linotype"/>
          <w:sz w:val="22"/>
          <w:szCs w:val="22"/>
        </w:rPr>
      </w:pPr>
    </w:p>
    <w:p w14:paraId="3C9DD516"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Quinto. Versión Pública. </w:t>
      </w:r>
      <w:r w:rsidRPr="005D02EA">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0E047DD8"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5D5C7A92"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3FD7083C"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3763AD6E" w14:textId="01227BEF" w:rsidR="00D43543" w:rsidRPr="005D02EA" w:rsidRDefault="00D959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Por otro lado, derivado de la información que se ordena entregar existe información de la </w:t>
      </w:r>
      <w:r w:rsidR="00990234" w:rsidRPr="005D02EA">
        <w:rPr>
          <w:rFonts w:ascii="Palatino Linotype" w:eastAsia="Palatino Linotype" w:hAnsi="Palatino Linotype" w:cs="Palatino Linotype"/>
          <w:b/>
          <w:sz w:val="22"/>
          <w:szCs w:val="22"/>
        </w:rPr>
        <w:t xml:space="preserve">Dirección General de </w:t>
      </w:r>
      <w:r w:rsidRPr="005D02EA">
        <w:rPr>
          <w:rFonts w:ascii="Palatino Linotype" w:eastAsia="Palatino Linotype" w:hAnsi="Palatino Linotype" w:cs="Palatino Linotype"/>
          <w:b/>
          <w:sz w:val="22"/>
          <w:szCs w:val="22"/>
        </w:rPr>
        <w:t xml:space="preserve">Seguridad </w:t>
      </w:r>
      <w:r w:rsidR="00990234" w:rsidRPr="005D02EA">
        <w:rPr>
          <w:rFonts w:ascii="Palatino Linotype" w:eastAsia="Palatino Linotype" w:hAnsi="Palatino Linotype" w:cs="Palatino Linotype"/>
          <w:b/>
          <w:sz w:val="22"/>
          <w:szCs w:val="22"/>
        </w:rPr>
        <w:t xml:space="preserve">y Protección </w:t>
      </w:r>
      <w:r w:rsidRPr="005D02EA">
        <w:rPr>
          <w:rFonts w:ascii="Palatino Linotype" w:eastAsia="Palatino Linotype" w:hAnsi="Palatino Linotype" w:cs="Palatino Linotype"/>
          <w:sz w:val="22"/>
          <w:szCs w:val="22"/>
        </w:rPr>
        <w:t xml:space="preserve">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por lo que deberá testarse de igual manera sólo el nombre de los servidores públicos de la Policía Municipal </w:t>
      </w:r>
      <w:r w:rsidRPr="005D02EA">
        <w:rPr>
          <w:rFonts w:ascii="Palatino Linotype" w:eastAsia="Palatino Linotype" w:hAnsi="Palatino Linotype" w:cs="Palatino Linotype"/>
          <w:b/>
          <w:sz w:val="22"/>
          <w:szCs w:val="22"/>
        </w:rPr>
        <w:t>que desempeñen funciones operativas</w:t>
      </w:r>
      <w:r w:rsidRPr="005D02EA">
        <w:rPr>
          <w:rFonts w:ascii="Palatino Linotype" w:eastAsia="Palatino Linotype" w:hAnsi="Palatino Linotype" w:cs="Palatino Linotype"/>
          <w:sz w:val="22"/>
          <w:szCs w:val="22"/>
        </w:rPr>
        <w:t>.</w:t>
      </w:r>
    </w:p>
    <w:p w14:paraId="06012151" w14:textId="77777777" w:rsidR="00D43543" w:rsidRPr="005D02EA" w:rsidRDefault="00D435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67D76C"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Al respecto, la información </w:t>
      </w:r>
      <w:r w:rsidRPr="005D02EA">
        <w:rPr>
          <w:rFonts w:ascii="Palatino Linotype" w:eastAsia="Palatino Linotype" w:hAnsi="Palatino Linotype" w:cs="Palatino Linotype"/>
          <w:b/>
          <w:sz w:val="22"/>
          <w:szCs w:val="22"/>
        </w:rPr>
        <w:t>de los elementos que realizan funciones operativas, entre ellos su nombre debe ser protegido</w:t>
      </w:r>
      <w:r w:rsidRPr="005D02EA">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w:t>
      </w:r>
      <w:r w:rsidRPr="005D02EA">
        <w:rPr>
          <w:rFonts w:ascii="Palatino Linotype" w:eastAsia="Palatino Linotype" w:hAnsi="Palatino Linotype" w:cs="Palatino Linotype"/>
          <w:sz w:val="22"/>
          <w:szCs w:val="22"/>
        </w:rPr>
        <w:lastRenderedPageBreak/>
        <w:t>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4EC03083"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3E11E92E" w14:textId="77777777" w:rsidR="00D43543" w:rsidRPr="005D02EA" w:rsidRDefault="00D959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502B7083" w14:textId="77777777" w:rsidR="00D43543" w:rsidRPr="005D02EA" w:rsidRDefault="00D43543">
      <w:pPr>
        <w:spacing w:line="360" w:lineRule="auto"/>
        <w:rPr>
          <w:rFonts w:ascii="Palatino Linotype" w:eastAsia="Palatino Linotype" w:hAnsi="Palatino Linotype" w:cs="Palatino Linotype"/>
          <w:sz w:val="22"/>
          <w:szCs w:val="22"/>
        </w:rPr>
      </w:pPr>
    </w:p>
    <w:p w14:paraId="2D883386" w14:textId="77777777" w:rsidR="00D43543" w:rsidRPr="005D02EA" w:rsidRDefault="00D959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5D2D5EAA" w14:textId="77777777" w:rsidR="00D43543" w:rsidRPr="005D02EA" w:rsidRDefault="00D43543">
      <w:pPr>
        <w:spacing w:line="360" w:lineRule="auto"/>
        <w:rPr>
          <w:rFonts w:ascii="Palatino Linotype" w:eastAsia="Palatino Linotype" w:hAnsi="Palatino Linotype" w:cs="Palatino Linotype"/>
          <w:sz w:val="22"/>
          <w:szCs w:val="22"/>
        </w:rPr>
      </w:pPr>
    </w:p>
    <w:p w14:paraId="3095886F" w14:textId="77777777" w:rsidR="00D43543" w:rsidRPr="005D02EA" w:rsidRDefault="00D959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739FDAA5" w14:textId="77777777" w:rsidR="00D43543" w:rsidRPr="005D02EA" w:rsidRDefault="00D43543">
      <w:pPr>
        <w:spacing w:line="360" w:lineRule="auto"/>
        <w:rPr>
          <w:rFonts w:ascii="Palatino Linotype" w:eastAsia="Palatino Linotype" w:hAnsi="Palatino Linotype" w:cs="Palatino Linotype"/>
          <w:sz w:val="22"/>
          <w:szCs w:val="22"/>
        </w:rPr>
      </w:pPr>
    </w:p>
    <w:p w14:paraId="5693E15A" w14:textId="77777777" w:rsidR="00D43543" w:rsidRPr="005D02EA" w:rsidRDefault="00D959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lastRenderedPageBreak/>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02392BD1" w14:textId="77777777" w:rsidR="00D43543" w:rsidRPr="005D02EA" w:rsidRDefault="00D4354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652968A"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5D02EA">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5D02EA">
        <w:rPr>
          <w:rFonts w:ascii="Palatino Linotype" w:eastAsia="Palatino Linotype" w:hAnsi="Palatino Linotype" w:cs="Palatino Linotype"/>
          <w:i/>
          <w:sz w:val="22"/>
          <w:szCs w:val="22"/>
        </w:rPr>
        <w:t>obstante</w:t>
      </w:r>
      <w:proofErr w:type="gramEnd"/>
      <w:r w:rsidRPr="005D02EA">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9660D05" w14:textId="77777777" w:rsidR="00D43543" w:rsidRPr="005D02EA" w:rsidRDefault="00D43543">
      <w:pPr>
        <w:spacing w:line="360" w:lineRule="auto"/>
        <w:rPr>
          <w:rFonts w:ascii="Palatino Linotype" w:eastAsia="Palatino Linotype" w:hAnsi="Palatino Linotype" w:cs="Palatino Linotype"/>
          <w:sz w:val="22"/>
          <w:szCs w:val="22"/>
        </w:rPr>
      </w:pPr>
    </w:p>
    <w:p w14:paraId="2B0E3DFA" w14:textId="77777777" w:rsidR="00D43543" w:rsidRPr="005D02EA" w:rsidRDefault="00D959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w:t>
      </w:r>
      <w:r w:rsidRPr="005D02EA">
        <w:rPr>
          <w:rFonts w:ascii="Palatino Linotype" w:eastAsia="Palatino Linotype" w:hAnsi="Palatino Linotype" w:cs="Palatino Linotype"/>
          <w:sz w:val="22"/>
          <w:szCs w:val="22"/>
        </w:rPr>
        <w:lastRenderedPageBreak/>
        <w:t xml:space="preserve">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5D02EA">
        <w:rPr>
          <w:rFonts w:ascii="Palatino Linotype" w:eastAsia="Palatino Linotype" w:hAnsi="Palatino Linotype" w:cs="Palatino Linotype"/>
          <w:b/>
          <w:sz w:val="22"/>
          <w:szCs w:val="22"/>
        </w:rPr>
        <w:t>funciones de carácter operativo.</w:t>
      </w:r>
    </w:p>
    <w:p w14:paraId="5C6C6C65" w14:textId="77777777" w:rsidR="00D43543" w:rsidRPr="005D02EA" w:rsidRDefault="00D43543">
      <w:pPr>
        <w:spacing w:line="360" w:lineRule="auto"/>
        <w:rPr>
          <w:rFonts w:ascii="Palatino Linotype" w:eastAsia="Palatino Linotype" w:hAnsi="Palatino Linotype" w:cs="Palatino Linotype"/>
          <w:sz w:val="22"/>
          <w:szCs w:val="22"/>
        </w:rPr>
      </w:pPr>
    </w:p>
    <w:p w14:paraId="468750F5" w14:textId="77777777" w:rsidR="00D43543" w:rsidRPr="005D02EA" w:rsidRDefault="00D959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5039A0EB" w14:textId="77777777" w:rsidR="00D43543" w:rsidRPr="005D02EA" w:rsidRDefault="00D43543">
      <w:pPr>
        <w:spacing w:line="360" w:lineRule="auto"/>
        <w:rPr>
          <w:rFonts w:ascii="Palatino Linotype" w:eastAsia="Palatino Linotype" w:hAnsi="Palatino Linotype" w:cs="Palatino Linotype"/>
          <w:sz w:val="22"/>
          <w:szCs w:val="22"/>
        </w:rPr>
      </w:pPr>
    </w:p>
    <w:p w14:paraId="4DDF3003"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5D02EA">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D02EA">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5D02EA">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5D02EA">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p>
    <w:p w14:paraId="0641B85D" w14:textId="77777777" w:rsidR="00D43543" w:rsidRPr="005D02EA" w:rsidRDefault="00D43543">
      <w:pPr>
        <w:ind w:left="567" w:right="616"/>
        <w:rPr>
          <w:rFonts w:ascii="Palatino Linotype" w:eastAsia="Palatino Linotype" w:hAnsi="Palatino Linotype" w:cs="Palatino Linotype"/>
          <w:sz w:val="22"/>
          <w:szCs w:val="22"/>
        </w:rPr>
      </w:pPr>
    </w:p>
    <w:p w14:paraId="224A7006"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5D02EA">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w:t>
      </w:r>
      <w:r w:rsidRPr="005D02EA">
        <w:rPr>
          <w:rFonts w:ascii="Palatino Linotype" w:eastAsia="Palatino Linotype" w:hAnsi="Palatino Linotype" w:cs="Palatino Linotype"/>
          <w:i/>
          <w:sz w:val="22"/>
          <w:szCs w:val="22"/>
        </w:rPr>
        <w:lastRenderedPageBreak/>
        <w:t xml:space="preserve">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D02EA">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D02EA">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1CB85E6A"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680ABFE1" w14:textId="77777777" w:rsidR="00D43543" w:rsidRPr="005D02EA" w:rsidRDefault="00D9591D">
      <w:pPr>
        <w:spacing w:line="360" w:lineRule="auto"/>
        <w:ind w:right="50"/>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7F6FFD7D" w14:textId="77777777" w:rsidR="00D43543" w:rsidRPr="005D02EA" w:rsidRDefault="00D43543">
      <w:pPr>
        <w:spacing w:line="360" w:lineRule="auto"/>
        <w:ind w:right="50"/>
        <w:jc w:val="both"/>
        <w:rPr>
          <w:rFonts w:ascii="Palatino Linotype" w:eastAsia="Palatino Linotype" w:hAnsi="Palatino Linotype" w:cs="Palatino Linotype"/>
          <w:sz w:val="22"/>
          <w:szCs w:val="22"/>
        </w:rPr>
      </w:pPr>
    </w:p>
    <w:p w14:paraId="065CB40D"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r w:rsidRPr="005D02EA">
        <w:rPr>
          <w:rFonts w:ascii="Palatino Linotype" w:eastAsia="Palatino Linotype" w:hAnsi="Palatino Linotype" w:cs="Palatino Linotype"/>
          <w:b/>
          <w:i/>
          <w:sz w:val="22"/>
          <w:szCs w:val="22"/>
        </w:rPr>
        <w:t>Artículo 3.</w:t>
      </w:r>
      <w:r w:rsidRPr="005D02EA">
        <w:rPr>
          <w:rFonts w:ascii="Palatino Linotype" w:eastAsia="Palatino Linotype" w:hAnsi="Palatino Linotype" w:cs="Palatino Linotype"/>
          <w:i/>
          <w:sz w:val="22"/>
          <w:szCs w:val="22"/>
        </w:rPr>
        <w:t xml:space="preserve"> Para los efectos de la presente Ley se entenderá por:</w:t>
      </w:r>
    </w:p>
    <w:p w14:paraId="2D741224"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p>
    <w:p w14:paraId="58E8CA7D"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75AD0E53"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XX. Información clasificada: Aquella considerada por la presente Ley como reservada o confidencial;</w:t>
      </w:r>
    </w:p>
    <w:p w14:paraId="0B0B7C18"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A45499"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054E4E0C"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lastRenderedPageBreak/>
        <w:t>[…]</w:t>
      </w:r>
    </w:p>
    <w:p w14:paraId="2814DB62"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Artículo 91.</w:t>
      </w:r>
      <w:r w:rsidRPr="005D02E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330FAD8"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Artículo 132.</w:t>
      </w:r>
      <w:r w:rsidRPr="005D02EA">
        <w:rPr>
          <w:rFonts w:ascii="Palatino Linotype" w:eastAsia="Palatino Linotype" w:hAnsi="Palatino Linotype" w:cs="Palatino Linotype"/>
          <w:i/>
          <w:sz w:val="22"/>
          <w:szCs w:val="22"/>
        </w:rPr>
        <w:t xml:space="preserve"> La clasificación de la información se llevará a cabo en el momento en que:</w:t>
      </w:r>
    </w:p>
    <w:p w14:paraId="49140BCE" w14:textId="77777777" w:rsidR="00D43543" w:rsidRPr="005D02EA" w:rsidRDefault="00D9591D">
      <w:pPr>
        <w:tabs>
          <w:tab w:val="left" w:pos="1134"/>
        </w:tabs>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 Se reciba una solicitud de acceso a la información;</w:t>
      </w:r>
    </w:p>
    <w:p w14:paraId="2115C7C9" w14:textId="77777777" w:rsidR="00D43543" w:rsidRPr="005D02EA" w:rsidRDefault="00D9591D">
      <w:pPr>
        <w:tabs>
          <w:tab w:val="left" w:pos="1134"/>
        </w:tabs>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II. Se determine mediante resolución de autoridad competente; o</w:t>
      </w:r>
    </w:p>
    <w:p w14:paraId="5B9E3DB7" w14:textId="77777777" w:rsidR="00D43543" w:rsidRPr="005D02EA" w:rsidRDefault="00D9591D">
      <w:pPr>
        <w:tabs>
          <w:tab w:val="left" w:pos="1134"/>
        </w:tabs>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III. Se generen versiones públicas para dar cumplimiento a las obligaciones de transparencia previstas en esta Ley.</w:t>
      </w:r>
    </w:p>
    <w:p w14:paraId="60B26B32"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p>
    <w:p w14:paraId="37C75593"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Artículo 143</w:t>
      </w:r>
      <w:r w:rsidRPr="005D02E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52ABE44"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03D23D0E"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37CE96D"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5A13BBEF"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21DA8A6"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6DBC691" w14:textId="77777777" w:rsidR="00D43543" w:rsidRPr="005D02EA" w:rsidRDefault="00D43543">
      <w:pPr>
        <w:ind w:left="567" w:right="616"/>
        <w:jc w:val="both"/>
        <w:rPr>
          <w:rFonts w:ascii="Palatino Linotype" w:eastAsia="Palatino Linotype" w:hAnsi="Palatino Linotype" w:cs="Palatino Linotype"/>
          <w:i/>
          <w:sz w:val="22"/>
          <w:szCs w:val="22"/>
        </w:rPr>
      </w:pPr>
    </w:p>
    <w:p w14:paraId="385D6F7C"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38AB479" w14:textId="77777777" w:rsidR="00D43543" w:rsidRPr="005D02EA" w:rsidRDefault="00D43543">
      <w:pPr>
        <w:jc w:val="both"/>
        <w:rPr>
          <w:rFonts w:ascii="Palatino Linotype" w:eastAsia="Palatino Linotype" w:hAnsi="Palatino Linotype" w:cs="Palatino Linotype"/>
          <w:sz w:val="22"/>
          <w:szCs w:val="22"/>
        </w:rPr>
      </w:pPr>
    </w:p>
    <w:p w14:paraId="2B3A6A4A"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Por otro lado, es de destacar que los artículos Quincuagésimo, Quincuagésimo primero, Quincuagésimo segundo, de los Lineamientos Generales en Materia de Clasificación y </w:t>
      </w:r>
      <w:r w:rsidRPr="005D02EA">
        <w:rPr>
          <w:rFonts w:ascii="Palatino Linotype" w:eastAsia="Palatino Linotype" w:hAnsi="Palatino Linotype" w:cs="Palatino Linotype"/>
          <w:sz w:val="22"/>
          <w:szCs w:val="22"/>
        </w:rPr>
        <w:lastRenderedPageBreak/>
        <w:t>Desclasificación de la Información, así como para la Elaboración de Versiones Públicas señalan las formalidades que deberá llevar el acuerdo de clasificación que deberá emitir el Sujeto Obligado, siendo estas las siguientes:</w:t>
      </w:r>
    </w:p>
    <w:p w14:paraId="7B0C54BF"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231C289C"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 “</w:t>
      </w:r>
      <w:r w:rsidRPr="005D02EA">
        <w:rPr>
          <w:rFonts w:ascii="Palatino Linotype" w:eastAsia="Palatino Linotype" w:hAnsi="Palatino Linotype" w:cs="Palatino Linotype"/>
          <w:b/>
          <w:i/>
          <w:sz w:val="22"/>
          <w:szCs w:val="22"/>
        </w:rPr>
        <w:t>Quincuagésimo</w:t>
      </w:r>
      <w:r w:rsidRPr="005D02EA">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A4EC104"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Quincuagésimo primero.</w:t>
      </w:r>
      <w:r w:rsidRPr="005D02EA">
        <w:rPr>
          <w:rFonts w:ascii="Palatino Linotype" w:eastAsia="Palatino Linotype" w:hAnsi="Palatino Linotype" w:cs="Palatino Linotype"/>
          <w:i/>
          <w:sz w:val="22"/>
          <w:szCs w:val="22"/>
        </w:rPr>
        <w:t xml:space="preserve"> Toda acta del Comité de Transparencia deberá contener: </w:t>
      </w:r>
    </w:p>
    <w:p w14:paraId="0A4F6FDA"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 El número de sesión y fecha; </w:t>
      </w:r>
    </w:p>
    <w:p w14:paraId="2482B6EB"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II. El nombre del área que solicitó la clasificación de información; </w:t>
      </w:r>
    </w:p>
    <w:p w14:paraId="45B01C1A"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III. La fundamentación legal y motivación correspondiente; </w:t>
      </w:r>
    </w:p>
    <w:p w14:paraId="1032FD45"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IV. La resolución o resoluciones aprobadas; y </w:t>
      </w:r>
    </w:p>
    <w:p w14:paraId="0F2B0228"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V. La rúbrica o firma digital de cada integrante del Comité de Transparencia. </w:t>
      </w:r>
    </w:p>
    <w:p w14:paraId="7FFE73F2"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FB30CB0"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 Los motivos y razonamientos que sustenten la confirmación o modificación de la prueba de daño;</w:t>
      </w:r>
    </w:p>
    <w:p w14:paraId="72FAACDA"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II. Descripción de las partes o secciones reservadas, en caso de clasificación parcial; </w:t>
      </w:r>
    </w:p>
    <w:p w14:paraId="15C61D23"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III. El periodo por el que mantendrá su clasificación y fecha de expiración; y </w:t>
      </w:r>
    </w:p>
    <w:p w14:paraId="6C587797"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18F0DEAF"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B9B98BE"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B3FA191"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Quincuagésimo segundo.</w:t>
      </w:r>
      <w:r w:rsidRPr="005D02EA">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3260AEB"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57DD201"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6EE5B24"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14:paraId="012B2157"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III. Señalar las personas o instancias autorizadas a acceder a la información clasificada.</w:t>
      </w:r>
    </w:p>
    <w:p w14:paraId="6EAAAEFD"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5081C72"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4337FC15"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55CE9415"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7113DD64" w14:textId="77777777" w:rsidR="00D43543" w:rsidRPr="005D02EA" w:rsidRDefault="00D9591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r w:rsidRPr="005D02EA">
        <w:rPr>
          <w:rFonts w:ascii="Palatino Linotype" w:eastAsia="Palatino Linotype" w:hAnsi="Palatino Linotype" w:cs="Palatino Linotype"/>
          <w:b/>
          <w:i/>
          <w:sz w:val="22"/>
          <w:szCs w:val="22"/>
        </w:rPr>
        <w:t>Quincuagésimo cuarto.</w:t>
      </w:r>
      <w:r w:rsidRPr="005D02EA">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22213785"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Quincuagésimo quinto.</w:t>
      </w:r>
      <w:r w:rsidRPr="005D02EA">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5D02EA">
        <w:rPr>
          <w:rFonts w:ascii="Palatino Linotype" w:eastAsia="Palatino Linotype" w:hAnsi="Palatino Linotype" w:cs="Palatino Linotype"/>
          <w:i/>
          <w:sz w:val="22"/>
          <w:szCs w:val="22"/>
        </w:rPr>
        <w:t>testado</w:t>
      </w:r>
      <w:proofErr w:type="spellEnd"/>
      <w:r w:rsidRPr="005D02EA">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F5BBC42"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w:t>
      </w:r>
    </w:p>
    <w:p w14:paraId="2D52331A"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b/>
          <w:i/>
          <w:sz w:val="22"/>
          <w:szCs w:val="22"/>
        </w:rPr>
        <w:t>Quincuagésimo séptimo.</w:t>
      </w:r>
      <w:r w:rsidRPr="005D02E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57F417D"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E003878"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29832831"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7A9960D"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FEE37AE" w14:textId="77777777" w:rsidR="00D43543" w:rsidRPr="005D02EA" w:rsidRDefault="00D9591D">
      <w:pPr>
        <w:ind w:left="567" w:right="616"/>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0DAE893" w14:textId="77777777" w:rsidR="00D43543" w:rsidRPr="005D02EA" w:rsidRDefault="00D43543">
      <w:pPr>
        <w:spacing w:line="360" w:lineRule="auto"/>
        <w:ind w:left="567" w:right="616"/>
        <w:jc w:val="both"/>
        <w:rPr>
          <w:rFonts w:ascii="Palatino Linotype" w:eastAsia="Palatino Linotype" w:hAnsi="Palatino Linotype" w:cs="Palatino Linotype"/>
          <w:i/>
          <w:sz w:val="22"/>
          <w:szCs w:val="22"/>
        </w:rPr>
      </w:pPr>
    </w:p>
    <w:p w14:paraId="49192B7D"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lastRenderedPageBreak/>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65A63D50"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358B1D46" w14:textId="523ECDC8" w:rsidR="00D43543" w:rsidRPr="005D02EA" w:rsidRDefault="00D9591D">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xml:space="preserve"> dentro del recurso de revisión </w:t>
      </w:r>
      <w:r w:rsidRPr="005D02EA">
        <w:rPr>
          <w:rFonts w:ascii="Palatino Linotype" w:eastAsia="Palatino Linotype" w:hAnsi="Palatino Linotype" w:cs="Palatino Linotype"/>
          <w:b/>
          <w:sz w:val="22"/>
          <w:szCs w:val="22"/>
        </w:rPr>
        <w:t>02864/INFOEM/IP/RR/2025</w:t>
      </w:r>
      <w:r w:rsidRPr="005D02EA">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000A2D72" w:rsidRPr="005D02EA">
        <w:rPr>
          <w:rFonts w:ascii="Palatino Linotype" w:eastAsia="Palatino Linotype" w:hAnsi="Palatino Linotype" w:cs="Palatino Linotype"/>
          <w:b/>
          <w:sz w:val="22"/>
          <w:szCs w:val="22"/>
        </w:rPr>
        <w:t>Revoca</w:t>
      </w:r>
      <w:r w:rsidRPr="005D02EA">
        <w:rPr>
          <w:rFonts w:ascii="Palatino Linotype" w:eastAsia="Palatino Linotype" w:hAnsi="Palatino Linotype" w:cs="Palatino Linotype"/>
          <w:b/>
          <w:sz w:val="22"/>
          <w:szCs w:val="22"/>
        </w:rPr>
        <w:t xml:space="preserve"> </w:t>
      </w:r>
      <w:r w:rsidRPr="005D02EA">
        <w:rPr>
          <w:rFonts w:ascii="Palatino Linotype" w:eastAsia="Palatino Linotype" w:hAnsi="Palatino Linotype" w:cs="Palatino Linotype"/>
          <w:sz w:val="22"/>
          <w:szCs w:val="22"/>
        </w:rPr>
        <w:t xml:space="preserve">la respuesta del </w:t>
      </w:r>
      <w:r w:rsidRPr="005D02EA">
        <w:rPr>
          <w:rFonts w:ascii="Palatino Linotype" w:eastAsia="Palatino Linotype" w:hAnsi="Palatino Linotype" w:cs="Palatino Linotype"/>
          <w:b/>
          <w:sz w:val="22"/>
          <w:szCs w:val="22"/>
        </w:rPr>
        <w:t xml:space="preserve">Sujeto Obligado </w:t>
      </w:r>
      <w:r w:rsidRPr="005D02EA">
        <w:rPr>
          <w:rFonts w:ascii="Palatino Linotype" w:eastAsia="Palatino Linotype" w:hAnsi="Palatino Linotype" w:cs="Palatino Linotype"/>
          <w:sz w:val="22"/>
          <w:szCs w:val="22"/>
        </w:rPr>
        <w:t xml:space="preserve">a la solicitud de información </w:t>
      </w:r>
      <w:r w:rsidRPr="005D02EA">
        <w:rPr>
          <w:rFonts w:ascii="Palatino Linotype" w:eastAsia="Palatino Linotype" w:hAnsi="Palatino Linotype" w:cs="Palatino Linotype"/>
          <w:b/>
          <w:sz w:val="22"/>
          <w:szCs w:val="22"/>
        </w:rPr>
        <w:t>00790/TOLUCA/IP/2025.</w:t>
      </w:r>
      <w:r w:rsidRPr="005D02EA">
        <w:rPr>
          <w:rFonts w:ascii="Palatino Linotype" w:eastAsia="Palatino Linotype" w:hAnsi="Palatino Linotype" w:cs="Palatino Linotype"/>
          <w:sz w:val="22"/>
          <w:szCs w:val="22"/>
        </w:rPr>
        <w:t xml:space="preserve">  </w:t>
      </w:r>
    </w:p>
    <w:p w14:paraId="34EEDFE5" w14:textId="77777777" w:rsidR="00D43543" w:rsidRPr="005D02EA" w:rsidRDefault="00D43543">
      <w:pPr>
        <w:spacing w:line="360" w:lineRule="auto"/>
        <w:ind w:right="49"/>
        <w:jc w:val="both"/>
        <w:rPr>
          <w:rFonts w:ascii="Palatino Linotype" w:eastAsia="Palatino Linotype" w:hAnsi="Palatino Linotype" w:cs="Palatino Linotype"/>
          <w:sz w:val="22"/>
          <w:szCs w:val="22"/>
        </w:rPr>
      </w:pPr>
    </w:p>
    <w:p w14:paraId="4B102962" w14:textId="77777777" w:rsidR="00D43543" w:rsidRPr="005D02EA" w:rsidRDefault="00D9591D">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26EF3F0" w14:textId="77777777" w:rsidR="00D43543" w:rsidRPr="005D02EA" w:rsidRDefault="00D9591D">
      <w:pPr>
        <w:spacing w:line="360" w:lineRule="auto"/>
        <w:ind w:left="1080"/>
        <w:jc w:val="center"/>
        <w:rPr>
          <w:rFonts w:ascii="Palatino Linotype" w:eastAsia="Palatino Linotype" w:hAnsi="Palatino Linotype" w:cs="Palatino Linotype"/>
          <w:b/>
          <w:sz w:val="22"/>
          <w:szCs w:val="22"/>
        </w:rPr>
      </w:pPr>
      <w:r w:rsidRPr="005D02EA">
        <w:rPr>
          <w:rFonts w:ascii="Palatino Linotype" w:eastAsia="Palatino Linotype" w:hAnsi="Palatino Linotype" w:cs="Palatino Linotype"/>
          <w:b/>
          <w:sz w:val="22"/>
          <w:szCs w:val="22"/>
        </w:rPr>
        <w:t>R E S U E L V E</w:t>
      </w:r>
    </w:p>
    <w:p w14:paraId="7590F52F" w14:textId="77777777" w:rsidR="00D43543" w:rsidRPr="005D02EA" w:rsidRDefault="00D43543">
      <w:pPr>
        <w:spacing w:line="360" w:lineRule="auto"/>
        <w:ind w:left="1080"/>
        <w:rPr>
          <w:rFonts w:ascii="Palatino Linotype" w:eastAsia="Palatino Linotype" w:hAnsi="Palatino Linotype" w:cs="Palatino Linotype"/>
          <w:b/>
          <w:sz w:val="22"/>
          <w:szCs w:val="22"/>
        </w:rPr>
      </w:pPr>
    </w:p>
    <w:p w14:paraId="551AF25A" w14:textId="27D434FF"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PRIMERO. </w:t>
      </w:r>
      <w:r w:rsidRPr="005D02EA">
        <w:rPr>
          <w:rFonts w:ascii="Palatino Linotype" w:eastAsia="Palatino Linotype" w:hAnsi="Palatino Linotype" w:cs="Palatino Linotype"/>
          <w:sz w:val="22"/>
          <w:szCs w:val="22"/>
        </w:rPr>
        <w:t xml:space="preserve">Resultan parcialmente fundados los motivos de inconformidad hechos valer por la parte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xml:space="preserve"> en el Recurso de Revisión </w:t>
      </w:r>
      <w:r w:rsidRPr="005D02EA">
        <w:rPr>
          <w:rFonts w:ascii="Palatino Linotype" w:eastAsia="Palatino Linotype" w:hAnsi="Palatino Linotype" w:cs="Palatino Linotype"/>
          <w:b/>
          <w:sz w:val="22"/>
          <w:szCs w:val="22"/>
        </w:rPr>
        <w:t>02864/INFOEM/IP/RR/2025</w:t>
      </w:r>
      <w:r w:rsidRPr="005D02EA">
        <w:rPr>
          <w:rFonts w:ascii="Palatino Linotype" w:eastAsia="Palatino Linotype" w:hAnsi="Palatino Linotype" w:cs="Palatino Linotype"/>
          <w:sz w:val="22"/>
          <w:szCs w:val="22"/>
        </w:rPr>
        <w:t>,</w:t>
      </w:r>
      <w:r w:rsidRPr="005D02EA">
        <w:rPr>
          <w:rFonts w:ascii="Palatino Linotype" w:eastAsia="Palatino Linotype" w:hAnsi="Palatino Linotype" w:cs="Palatino Linotype"/>
          <w:b/>
          <w:sz w:val="22"/>
          <w:szCs w:val="22"/>
        </w:rPr>
        <w:t xml:space="preserve"> </w:t>
      </w:r>
      <w:r w:rsidRPr="005D02EA">
        <w:rPr>
          <w:rFonts w:ascii="Palatino Linotype" w:eastAsia="Palatino Linotype" w:hAnsi="Palatino Linotype" w:cs="Palatino Linotype"/>
          <w:sz w:val="22"/>
          <w:szCs w:val="22"/>
        </w:rPr>
        <w:t xml:space="preserve">por lo que, </w:t>
      </w:r>
      <w:r w:rsidRPr="005D02EA">
        <w:rPr>
          <w:rFonts w:ascii="Palatino Linotype" w:eastAsia="Palatino Linotype" w:hAnsi="Palatino Linotype" w:cs="Palatino Linotype"/>
          <w:sz w:val="22"/>
          <w:szCs w:val="22"/>
        </w:rPr>
        <w:lastRenderedPageBreak/>
        <w:t xml:space="preserve">en términos del considerando </w:t>
      </w:r>
      <w:r w:rsidRPr="005D02EA">
        <w:rPr>
          <w:rFonts w:ascii="Palatino Linotype" w:eastAsia="Palatino Linotype" w:hAnsi="Palatino Linotype" w:cs="Palatino Linotype"/>
          <w:b/>
          <w:sz w:val="22"/>
          <w:szCs w:val="22"/>
        </w:rPr>
        <w:t xml:space="preserve">Cuarto </w:t>
      </w:r>
      <w:r w:rsidRPr="005D02EA">
        <w:rPr>
          <w:rFonts w:ascii="Palatino Linotype" w:eastAsia="Palatino Linotype" w:hAnsi="Palatino Linotype" w:cs="Palatino Linotype"/>
          <w:sz w:val="22"/>
          <w:szCs w:val="22"/>
        </w:rPr>
        <w:t xml:space="preserve">de esta resolución, se </w:t>
      </w:r>
      <w:r w:rsidR="000A2D72" w:rsidRPr="005D02EA">
        <w:rPr>
          <w:rFonts w:ascii="Palatino Linotype" w:eastAsia="Palatino Linotype" w:hAnsi="Palatino Linotype" w:cs="Palatino Linotype"/>
          <w:b/>
          <w:sz w:val="22"/>
          <w:szCs w:val="22"/>
        </w:rPr>
        <w:t>Revo</w:t>
      </w:r>
      <w:r w:rsidRPr="005D02EA">
        <w:rPr>
          <w:rFonts w:ascii="Palatino Linotype" w:eastAsia="Palatino Linotype" w:hAnsi="Palatino Linotype" w:cs="Palatino Linotype"/>
          <w:b/>
          <w:sz w:val="22"/>
          <w:szCs w:val="22"/>
        </w:rPr>
        <w:t xml:space="preserve">ca </w:t>
      </w:r>
      <w:r w:rsidRPr="005D02EA">
        <w:rPr>
          <w:rFonts w:ascii="Palatino Linotype" w:eastAsia="Palatino Linotype" w:hAnsi="Palatino Linotype" w:cs="Palatino Linotype"/>
          <w:sz w:val="22"/>
          <w:szCs w:val="22"/>
        </w:rPr>
        <w:t xml:space="preserve">la respuesta emitida por el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w:t>
      </w:r>
    </w:p>
    <w:p w14:paraId="05D05538"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50DAFE3D" w14:textId="7B0B5964" w:rsidR="00D43543" w:rsidRPr="005D02EA" w:rsidRDefault="00D9591D" w:rsidP="00F67C51">
      <w:pPr>
        <w:spacing w:line="360" w:lineRule="auto"/>
        <w:ind w:right="49"/>
        <w:jc w:val="both"/>
        <w:rPr>
          <w:rFonts w:ascii="Palatino Linotype" w:eastAsia="Palatino Linotype" w:hAnsi="Palatino Linotype" w:cs="Palatino Linotype"/>
          <w:sz w:val="22"/>
          <w:szCs w:val="22"/>
        </w:rPr>
      </w:pPr>
      <w:bookmarkStart w:id="4" w:name="_heading=h.1fob9te" w:colFirst="0" w:colLast="0"/>
      <w:bookmarkEnd w:id="4"/>
      <w:r w:rsidRPr="005D02EA">
        <w:rPr>
          <w:rFonts w:ascii="Palatino Linotype" w:eastAsia="Palatino Linotype" w:hAnsi="Palatino Linotype" w:cs="Palatino Linotype"/>
          <w:b/>
          <w:sz w:val="22"/>
          <w:szCs w:val="22"/>
        </w:rPr>
        <w:t xml:space="preserve">SEGUNDO. </w:t>
      </w:r>
      <w:r w:rsidRPr="005D02EA">
        <w:rPr>
          <w:rFonts w:ascii="Palatino Linotype" w:eastAsia="Palatino Linotype" w:hAnsi="Palatino Linotype" w:cs="Palatino Linotype"/>
          <w:sz w:val="22"/>
          <w:szCs w:val="22"/>
        </w:rPr>
        <w:t xml:space="preserve">Se </w:t>
      </w:r>
      <w:r w:rsidRPr="005D02EA">
        <w:rPr>
          <w:rFonts w:ascii="Palatino Linotype" w:eastAsia="Palatino Linotype" w:hAnsi="Palatino Linotype" w:cs="Palatino Linotype"/>
          <w:b/>
          <w:sz w:val="22"/>
          <w:szCs w:val="22"/>
        </w:rPr>
        <w:t xml:space="preserve">Ordena </w:t>
      </w:r>
      <w:r w:rsidRPr="005D02EA">
        <w:rPr>
          <w:rFonts w:ascii="Palatino Linotype" w:eastAsia="Palatino Linotype" w:hAnsi="Palatino Linotype" w:cs="Palatino Linotype"/>
          <w:sz w:val="22"/>
          <w:szCs w:val="22"/>
        </w:rPr>
        <w:t xml:space="preserve">al </w:t>
      </w:r>
      <w:r w:rsidRPr="005D02EA">
        <w:rPr>
          <w:rFonts w:ascii="Palatino Linotype" w:eastAsia="Palatino Linotype" w:hAnsi="Palatino Linotype" w:cs="Palatino Linotype"/>
          <w:b/>
          <w:sz w:val="22"/>
          <w:szCs w:val="22"/>
        </w:rPr>
        <w:t>Sujeto Obligado</w:t>
      </w:r>
      <w:r w:rsidRPr="005D02EA">
        <w:rPr>
          <w:rFonts w:ascii="Palatino Linotype" w:eastAsia="Palatino Linotype" w:hAnsi="Palatino Linotype" w:cs="Palatino Linotype"/>
          <w:sz w:val="22"/>
          <w:szCs w:val="22"/>
        </w:rPr>
        <w:t xml:space="preserve"> entregue, previa búsqueda exhaustiva y razonable, a</w:t>
      </w:r>
      <w:r w:rsidRPr="005D02EA">
        <w:rPr>
          <w:rFonts w:ascii="Palatino Linotype" w:eastAsia="Palatino Linotype" w:hAnsi="Palatino Linotype" w:cs="Palatino Linotype"/>
          <w:b/>
          <w:sz w:val="22"/>
          <w:szCs w:val="22"/>
        </w:rPr>
        <w:t xml:space="preserve"> </w:t>
      </w:r>
      <w:r w:rsidRPr="005D02EA">
        <w:rPr>
          <w:rFonts w:ascii="Palatino Linotype" w:eastAsia="Palatino Linotype" w:hAnsi="Palatino Linotype" w:cs="Palatino Linotype"/>
          <w:sz w:val="22"/>
          <w:szCs w:val="22"/>
        </w:rPr>
        <w:t xml:space="preserve">la parte </w:t>
      </w:r>
      <w:r w:rsidRPr="005D02EA">
        <w:rPr>
          <w:rFonts w:ascii="Palatino Linotype" w:eastAsia="Palatino Linotype" w:hAnsi="Palatino Linotype" w:cs="Palatino Linotype"/>
          <w:b/>
          <w:sz w:val="22"/>
          <w:szCs w:val="22"/>
        </w:rPr>
        <w:t>Recurrente</w:t>
      </w:r>
      <w:r w:rsidRPr="005D02EA">
        <w:rPr>
          <w:rFonts w:ascii="Palatino Linotype" w:eastAsia="Palatino Linotype" w:hAnsi="Palatino Linotype" w:cs="Palatino Linotype"/>
          <w:sz w:val="22"/>
          <w:szCs w:val="22"/>
        </w:rPr>
        <w:t>, vía</w:t>
      </w:r>
      <w:r w:rsidRPr="005D02EA">
        <w:rPr>
          <w:rFonts w:ascii="Palatino Linotype" w:eastAsia="Palatino Linotype" w:hAnsi="Palatino Linotype" w:cs="Palatino Linotype"/>
          <w:b/>
          <w:sz w:val="22"/>
          <w:szCs w:val="22"/>
        </w:rPr>
        <w:t xml:space="preserve"> Sistema de Acceso a la Información Mexiquense</w:t>
      </w:r>
      <w:r w:rsidRPr="005D02EA">
        <w:rPr>
          <w:rFonts w:ascii="Palatino Linotype" w:eastAsia="Palatino Linotype" w:hAnsi="Palatino Linotype" w:cs="Palatino Linotype"/>
          <w:sz w:val="22"/>
          <w:szCs w:val="22"/>
        </w:rPr>
        <w:t>, en términos de los</w:t>
      </w:r>
      <w:r w:rsidRPr="005D02EA">
        <w:rPr>
          <w:rFonts w:ascii="Palatino Linotype" w:eastAsia="Palatino Linotype" w:hAnsi="Palatino Linotype" w:cs="Palatino Linotype"/>
          <w:b/>
          <w:sz w:val="22"/>
          <w:szCs w:val="22"/>
        </w:rPr>
        <w:t xml:space="preserve"> Considerandos</w:t>
      </w:r>
      <w:r w:rsidRPr="005D02EA">
        <w:rPr>
          <w:rFonts w:ascii="Palatino Linotype" w:eastAsia="Palatino Linotype" w:hAnsi="Palatino Linotype" w:cs="Palatino Linotype"/>
          <w:sz w:val="22"/>
          <w:szCs w:val="22"/>
        </w:rPr>
        <w:t xml:space="preserve"> </w:t>
      </w:r>
      <w:r w:rsidRPr="005D02EA">
        <w:rPr>
          <w:rFonts w:ascii="Palatino Linotype" w:eastAsia="Palatino Linotype" w:hAnsi="Palatino Linotype" w:cs="Palatino Linotype"/>
          <w:b/>
          <w:sz w:val="22"/>
          <w:szCs w:val="22"/>
        </w:rPr>
        <w:t>Cuarto y Quinto</w:t>
      </w:r>
      <w:r w:rsidRPr="005D02EA">
        <w:rPr>
          <w:rFonts w:ascii="Palatino Linotype" w:eastAsia="Palatino Linotype" w:hAnsi="Palatino Linotype" w:cs="Palatino Linotype"/>
          <w:sz w:val="22"/>
          <w:szCs w:val="22"/>
        </w:rPr>
        <w:t>,</w:t>
      </w:r>
      <w:r w:rsidRPr="005D02EA">
        <w:rPr>
          <w:rFonts w:ascii="Palatino Linotype" w:eastAsia="Palatino Linotype" w:hAnsi="Palatino Linotype" w:cs="Palatino Linotype"/>
          <w:b/>
          <w:sz w:val="22"/>
          <w:szCs w:val="22"/>
        </w:rPr>
        <w:t xml:space="preserve"> </w:t>
      </w:r>
      <w:r w:rsidRPr="005D02EA">
        <w:rPr>
          <w:rFonts w:ascii="Palatino Linotype" w:eastAsia="Palatino Linotype" w:hAnsi="Palatino Linotype" w:cs="Palatino Linotype"/>
          <w:sz w:val="22"/>
          <w:szCs w:val="22"/>
        </w:rPr>
        <w:t xml:space="preserve">de ser el caso en versión pública, de lo siguiente: </w:t>
      </w:r>
    </w:p>
    <w:p w14:paraId="7C584F63" w14:textId="174A777C" w:rsidR="00D43543" w:rsidRPr="005D02EA" w:rsidRDefault="00D9591D">
      <w:pPr>
        <w:numPr>
          <w:ilvl w:val="0"/>
          <w:numId w:val="5"/>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sz w:val="22"/>
          <w:szCs w:val="22"/>
        </w:rPr>
        <w:t xml:space="preserve">Los </w:t>
      </w:r>
      <w:r w:rsidR="00124198" w:rsidRPr="005D02EA">
        <w:rPr>
          <w:rFonts w:ascii="Palatino Linotype" w:eastAsia="Palatino Linotype" w:hAnsi="Palatino Linotype" w:cs="Palatino Linotype"/>
          <w:sz w:val="22"/>
          <w:szCs w:val="22"/>
        </w:rPr>
        <w:t>oficios</w:t>
      </w:r>
      <w:r w:rsidRPr="005D02EA">
        <w:rPr>
          <w:rFonts w:ascii="Palatino Linotype" w:eastAsia="Palatino Linotype" w:hAnsi="Palatino Linotype" w:cs="Palatino Linotype"/>
          <w:sz w:val="22"/>
          <w:szCs w:val="22"/>
        </w:rPr>
        <w:t xml:space="preserve"> firmados por el </w:t>
      </w:r>
      <w:proofErr w:type="gramStart"/>
      <w:r w:rsidRPr="005D02EA">
        <w:rPr>
          <w:rFonts w:ascii="Palatino Linotype" w:eastAsia="Palatino Linotype" w:hAnsi="Palatino Linotype" w:cs="Palatino Linotype"/>
          <w:sz w:val="22"/>
          <w:szCs w:val="22"/>
        </w:rPr>
        <w:t>Director General</w:t>
      </w:r>
      <w:proofErr w:type="gramEnd"/>
      <w:r w:rsidRPr="005D02EA">
        <w:rPr>
          <w:rFonts w:ascii="Palatino Linotype" w:eastAsia="Palatino Linotype" w:hAnsi="Palatino Linotype" w:cs="Palatino Linotype"/>
          <w:sz w:val="22"/>
          <w:szCs w:val="22"/>
        </w:rPr>
        <w:t xml:space="preserve"> de Seguridad y Protección del Ayuntamiento de Toluca, del primero de enero al diez de febrero de dos mil veinticinco. </w:t>
      </w:r>
    </w:p>
    <w:p w14:paraId="5724D067" w14:textId="1740A6B0" w:rsidR="00D43543" w:rsidRPr="005D02EA" w:rsidRDefault="00D9591D">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5D02EA">
        <w:rPr>
          <w:rFonts w:ascii="Palatino Linotype" w:eastAsia="Palatino Linotype" w:hAnsi="Palatino Linotype" w:cs="Palatino Linotype"/>
          <w:b/>
          <w:i/>
          <w:sz w:val="22"/>
          <w:szCs w:val="22"/>
        </w:rPr>
        <w:t>,</w:t>
      </w:r>
      <w:r w:rsidRPr="005D02EA">
        <w:rPr>
          <w:rFonts w:ascii="Palatino Linotype" w:eastAsia="Palatino Linotype" w:hAnsi="Palatino Linotype" w:cs="Palatino Linotype"/>
          <w:i/>
          <w:sz w:val="22"/>
          <w:szCs w:val="22"/>
        </w:rPr>
        <w:t xml:space="preserve"> y se ponga a disposición de la parte Recurrente, en términos de los artículos 49, fracción VIII, de la Ley de Transparencia y Acceso a la Información Pública del Estado de México y Municipios.</w:t>
      </w:r>
      <w:r w:rsidR="00AC7C17" w:rsidRPr="005D02EA">
        <w:rPr>
          <w:rFonts w:ascii="Palatino Linotype" w:eastAsia="Palatino Linotype" w:hAnsi="Palatino Linotype" w:cs="Palatino Linotype"/>
          <w:i/>
          <w:sz w:val="22"/>
          <w:szCs w:val="22"/>
        </w:rPr>
        <w:t xml:space="preserve"> </w:t>
      </w:r>
    </w:p>
    <w:p w14:paraId="2647792B" w14:textId="1F002830" w:rsidR="00AC7C17" w:rsidRPr="005D02EA" w:rsidRDefault="00AC7C17">
      <w:pPr>
        <w:pBdr>
          <w:top w:val="nil"/>
          <w:left w:val="nil"/>
          <w:bottom w:val="nil"/>
          <w:right w:val="nil"/>
          <w:between w:val="nil"/>
        </w:pBdr>
        <w:ind w:left="567" w:right="560"/>
        <w:jc w:val="both"/>
        <w:rPr>
          <w:rFonts w:ascii="Palatino Linotype" w:eastAsia="Palatino Linotype" w:hAnsi="Palatino Linotype" w:cs="Palatino Linotype"/>
          <w:i/>
          <w:sz w:val="22"/>
          <w:szCs w:val="22"/>
        </w:rPr>
      </w:pPr>
    </w:p>
    <w:p w14:paraId="0E4EBC88" w14:textId="54844F37" w:rsidR="00E07099" w:rsidRPr="005D02EA" w:rsidRDefault="00E07099" w:rsidP="00E07099">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En el supuesto de que alguno</w:t>
      </w:r>
      <w:r w:rsidR="00C12A76" w:rsidRPr="005D02EA">
        <w:rPr>
          <w:rFonts w:ascii="Palatino Linotype" w:eastAsia="Palatino Linotype" w:hAnsi="Palatino Linotype" w:cs="Palatino Linotype"/>
          <w:i/>
          <w:sz w:val="22"/>
          <w:szCs w:val="22"/>
        </w:rPr>
        <w:t xml:space="preserve"> de los </w:t>
      </w:r>
      <w:r w:rsidRPr="005D02EA">
        <w:rPr>
          <w:rFonts w:ascii="Palatino Linotype" w:eastAsia="Palatino Linotype" w:hAnsi="Palatino Linotype" w:cs="Palatino Linotype"/>
          <w:i/>
          <w:sz w:val="22"/>
          <w:szCs w:val="22"/>
        </w:rPr>
        <w:t xml:space="preserve">oficios </w:t>
      </w:r>
      <w:r w:rsidR="00C12A76" w:rsidRPr="005D02EA">
        <w:rPr>
          <w:rFonts w:ascii="Palatino Linotype" w:eastAsia="Palatino Linotype" w:hAnsi="Palatino Linotype" w:cs="Palatino Linotype"/>
          <w:i/>
          <w:sz w:val="22"/>
          <w:szCs w:val="22"/>
        </w:rPr>
        <w:t>actualice alguna causal de reserva en su totalidad</w:t>
      </w:r>
      <w:r w:rsidRPr="005D02EA">
        <w:rPr>
          <w:rFonts w:ascii="Palatino Linotype" w:eastAsia="Palatino Linotype" w:hAnsi="Palatino Linotype" w:cs="Palatino Linotype"/>
          <w:i/>
          <w:sz w:val="22"/>
          <w:szCs w:val="22"/>
        </w:rPr>
        <w:t xml:space="preserve">, el </w:t>
      </w:r>
      <w:r w:rsidRPr="005D02EA">
        <w:rPr>
          <w:rFonts w:ascii="Palatino Linotype" w:eastAsia="Palatino Linotype" w:hAnsi="Palatino Linotype" w:cs="Palatino Linotype"/>
          <w:b/>
          <w:i/>
          <w:sz w:val="22"/>
          <w:szCs w:val="22"/>
        </w:rPr>
        <w:t>Sujeto Obligado</w:t>
      </w:r>
      <w:r w:rsidRPr="005D02EA">
        <w:rPr>
          <w:rFonts w:ascii="Palatino Linotype" w:eastAsia="Palatino Linotype" w:hAnsi="Palatino Linotype" w:cs="Palatino Linotype"/>
          <w:i/>
          <w:sz w:val="22"/>
          <w:szCs w:val="22"/>
        </w:rPr>
        <w:t xml:space="preserve"> deberá emitir y entregar el Acuerdo de Clasificación como información reservada que emita el Comité de Transparencia, de conformidad con lo dispuesto en los artículos 128, 129, 135 y 140 de la Ley de Transparencia y Acceso a la Información Pública del Estado de México y Municipios, que sustente su clasificación en términos del Considerando Quinto de esta resolución.</w:t>
      </w:r>
    </w:p>
    <w:p w14:paraId="7DA3793B" w14:textId="77777777" w:rsidR="00E07099" w:rsidRPr="005D02EA" w:rsidRDefault="00E07099" w:rsidP="00E07099">
      <w:pPr>
        <w:pBdr>
          <w:top w:val="nil"/>
          <w:left w:val="nil"/>
          <w:bottom w:val="nil"/>
          <w:right w:val="nil"/>
          <w:between w:val="nil"/>
        </w:pBdr>
        <w:ind w:left="567" w:right="560"/>
        <w:jc w:val="both"/>
        <w:rPr>
          <w:rFonts w:ascii="Palatino Linotype" w:eastAsia="Palatino Linotype" w:hAnsi="Palatino Linotype" w:cs="Palatino Linotype"/>
          <w:i/>
          <w:sz w:val="22"/>
          <w:szCs w:val="22"/>
        </w:rPr>
      </w:pPr>
    </w:p>
    <w:p w14:paraId="7F385B67" w14:textId="67991284" w:rsidR="00E07099" w:rsidRPr="005D02EA" w:rsidRDefault="00E07099">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5D02EA">
        <w:rPr>
          <w:rFonts w:ascii="Palatino Linotype" w:eastAsia="Palatino Linotype" w:hAnsi="Palatino Linotype" w:cs="Palatino Linotype"/>
          <w:i/>
          <w:sz w:val="22"/>
          <w:szCs w:val="22"/>
        </w:rPr>
        <w:t xml:space="preserve">Para el caso de que el </w:t>
      </w:r>
      <w:r w:rsidR="00C12A76" w:rsidRPr="005D02EA">
        <w:rPr>
          <w:rFonts w:ascii="Palatino Linotype" w:eastAsia="Palatino Linotype" w:hAnsi="Palatino Linotype" w:cs="Palatino Linotype"/>
          <w:b/>
          <w:i/>
          <w:sz w:val="22"/>
          <w:szCs w:val="22"/>
        </w:rPr>
        <w:t>Sujeto Obligado</w:t>
      </w:r>
      <w:r w:rsidR="00C12A76" w:rsidRPr="005D02EA">
        <w:rPr>
          <w:rFonts w:ascii="Palatino Linotype" w:eastAsia="Palatino Linotype" w:hAnsi="Palatino Linotype" w:cs="Palatino Linotype"/>
          <w:i/>
          <w:sz w:val="22"/>
          <w:szCs w:val="22"/>
        </w:rPr>
        <w:t xml:space="preserve"> no cuente con oficios firmados en algunos de los días del periodo que se está ordenando o algunos oficios hayan sido cancelados, bastará con que así lo haga del conocimiento de la parte </w:t>
      </w:r>
      <w:r w:rsidR="00C12A76" w:rsidRPr="005D02EA">
        <w:rPr>
          <w:rFonts w:ascii="Palatino Linotype" w:eastAsia="Palatino Linotype" w:hAnsi="Palatino Linotype" w:cs="Palatino Linotype"/>
          <w:b/>
          <w:i/>
          <w:sz w:val="22"/>
          <w:szCs w:val="22"/>
        </w:rPr>
        <w:t>Recurrente</w:t>
      </w:r>
      <w:r w:rsidR="00C12A76" w:rsidRPr="005D02EA">
        <w:rPr>
          <w:rFonts w:ascii="Palatino Linotype" w:eastAsia="Palatino Linotype" w:hAnsi="Palatino Linotype" w:cs="Palatino Linotype"/>
          <w:i/>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30178763" w14:textId="77777777" w:rsidR="00E07099" w:rsidRPr="005D02EA" w:rsidRDefault="00E07099">
      <w:pPr>
        <w:pBdr>
          <w:top w:val="nil"/>
          <w:left w:val="nil"/>
          <w:bottom w:val="nil"/>
          <w:right w:val="nil"/>
          <w:between w:val="nil"/>
        </w:pBdr>
        <w:ind w:left="567" w:right="560"/>
        <w:jc w:val="both"/>
        <w:rPr>
          <w:rFonts w:ascii="Palatino Linotype" w:eastAsia="Palatino Linotype" w:hAnsi="Palatino Linotype" w:cs="Palatino Linotype"/>
          <w:i/>
          <w:sz w:val="22"/>
          <w:szCs w:val="22"/>
        </w:rPr>
      </w:pPr>
    </w:p>
    <w:p w14:paraId="73CC8690" w14:textId="77777777" w:rsidR="00D43543" w:rsidRPr="005D02EA" w:rsidRDefault="00D9591D">
      <w:pPr>
        <w:spacing w:line="360" w:lineRule="auto"/>
        <w:ind w:right="49"/>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TERCERO.  Notifíquese vía SAIMEX, </w:t>
      </w:r>
      <w:r w:rsidRPr="005D02EA">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w:t>
      </w:r>
      <w:r w:rsidRPr="005D02EA">
        <w:rPr>
          <w:rFonts w:ascii="Palatino Linotype" w:eastAsia="Palatino Linotype" w:hAnsi="Palatino Linotype" w:cs="Palatino Linotype"/>
          <w:sz w:val="22"/>
          <w:szCs w:val="22"/>
        </w:rPr>
        <w:lastRenderedPageBreak/>
        <w:t>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8534331" w14:textId="77777777" w:rsidR="00D43543" w:rsidRPr="005D02EA" w:rsidRDefault="00D43543">
      <w:pPr>
        <w:spacing w:line="360" w:lineRule="auto"/>
        <w:ind w:right="49"/>
        <w:jc w:val="both"/>
        <w:rPr>
          <w:rFonts w:ascii="Palatino Linotype" w:eastAsia="Palatino Linotype" w:hAnsi="Palatino Linotype" w:cs="Palatino Linotype"/>
          <w:sz w:val="22"/>
          <w:szCs w:val="22"/>
        </w:rPr>
      </w:pPr>
    </w:p>
    <w:p w14:paraId="7D457275" w14:textId="77777777" w:rsidR="00D43543" w:rsidRPr="005D02EA" w:rsidRDefault="00D9591D">
      <w:pP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CUARTO. </w:t>
      </w:r>
      <w:r w:rsidRPr="005D02EA">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w:t>
      </w:r>
      <w:r w:rsidRPr="005D02EA">
        <w:rPr>
          <w:rFonts w:ascii="Palatino Linotype" w:eastAsia="Palatino Linotype" w:hAnsi="Palatino Linotype" w:cs="Palatino Linotype"/>
          <w:b/>
          <w:sz w:val="22"/>
          <w:szCs w:val="22"/>
        </w:rPr>
        <w:t xml:space="preserve"> Sujeto Obligado</w:t>
      </w:r>
      <w:r w:rsidRPr="005D02E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C44F387" w14:textId="77777777" w:rsidR="00D43543" w:rsidRPr="005D02EA" w:rsidRDefault="00D43543">
      <w:pPr>
        <w:spacing w:line="360" w:lineRule="auto"/>
        <w:jc w:val="both"/>
        <w:rPr>
          <w:rFonts w:ascii="Palatino Linotype" w:eastAsia="Palatino Linotype" w:hAnsi="Palatino Linotype" w:cs="Palatino Linotype"/>
          <w:sz w:val="22"/>
          <w:szCs w:val="22"/>
        </w:rPr>
      </w:pPr>
    </w:p>
    <w:p w14:paraId="2C3F7A28" w14:textId="77777777" w:rsidR="00D43543" w:rsidRPr="005D02EA" w:rsidRDefault="00D959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D02EA">
        <w:rPr>
          <w:rFonts w:ascii="Palatino Linotype" w:eastAsia="Palatino Linotype" w:hAnsi="Palatino Linotype" w:cs="Palatino Linotype"/>
          <w:b/>
          <w:sz w:val="22"/>
          <w:szCs w:val="22"/>
        </w:rPr>
        <w:t xml:space="preserve">QUINTO. Notifíquese, </w:t>
      </w:r>
      <w:r w:rsidRPr="005D02EA">
        <w:rPr>
          <w:rFonts w:ascii="Palatino Linotype" w:eastAsia="Palatino Linotype" w:hAnsi="Palatino Linotype" w:cs="Palatino Linotype"/>
          <w:sz w:val="22"/>
          <w:szCs w:val="22"/>
        </w:rPr>
        <w:t xml:space="preserve">vía </w:t>
      </w:r>
      <w:r w:rsidRPr="005D02EA">
        <w:rPr>
          <w:rFonts w:ascii="Palatino Linotype" w:eastAsia="Palatino Linotype" w:hAnsi="Palatino Linotype" w:cs="Palatino Linotype"/>
          <w:b/>
          <w:sz w:val="22"/>
          <w:szCs w:val="22"/>
        </w:rPr>
        <w:t>SAIMEX</w:t>
      </w:r>
      <w:r w:rsidRPr="005D02EA">
        <w:rPr>
          <w:rFonts w:ascii="Palatino Linotype" w:eastAsia="Palatino Linotype" w:hAnsi="Palatino Linotype" w:cs="Palatino Linotype"/>
          <w:sz w:val="22"/>
          <w:szCs w:val="22"/>
        </w:rPr>
        <w:t>, a la parte</w:t>
      </w:r>
      <w:r w:rsidRPr="005D02EA">
        <w:rPr>
          <w:rFonts w:ascii="Palatino Linotype" w:eastAsia="Palatino Linotype" w:hAnsi="Palatino Linotype" w:cs="Palatino Linotype"/>
          <w:b/>
          <w:sz w:val="22"/>
          <w:szCs w:val="22"/>
        </w:rPr>
        <w:t xml:space="preserve"> Recurrente</w:t>
      </w:r>
      <w:r w:rsidRPr="005D02EA">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A3E0A9A" w14:textId="37AF2BE3" w:rsidR="00D43543" w:rsidRPr="00F67C51" w:rsidRDefault="00D9591D">
      <w:pPr>
        <w:spacing w:before="240" w:after="240" w:line="360" w:lineRule="auto"/>
        <w:jc w:val="both"/>
        <w:rPr>
          <w:rFonts w:ascii="Palatino Linotype" w:eastAsia="Palatino Linotype" w:hAnsi="Palatino Linotype" w:cs="Palatino Linotype"/>
          <w:sz w:val="22"/>
          <w:szCs w:val="22"/>
        </w:rPr>
        <w:sectPr w:rsidR="00D43543" w:rsidRPr="00F67C51">
          <w:headerReference w:type="default" r:id="rId27"/>
          <w:footerReference w:type="default" r:id="rId28"/>
          <w:headerReference w:type="first" r:id="rId29"/>
          <w:footerReference w:type="first" r:id="rId30"/>
          <w:pgSz w:w="12240" w:h="15840"/>
          <w:pgMar w:top="2041" w:right="1701" w:bottom="1701" w:left="1701" w:header="709" w:footer="709" w:gutter="0"/>
          <w:pgNumType w:start="1"/>
          <w:cols w:space="720"/>
          <w:titlePg/>
        </w:sectPr>
      </w:pPr>
      <w:r w:rsidRPr="005D02E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6463EA" w:rsidRPr="005D02EA">
        <w:rPr>
          <w:rFonts w:ascii="Palatino Linotype" w:eastAsia="Palatino Linotype" w:hAnsi="Palatino Linotype" w:cs="Palatino Linotype"/>
          <w:sz w:val="22"/>
          <w:szCs w:val="22"/>
        </w:rPr>
        <w:t xml:space="preserve">(EMITIENDO VOTO PARTICULAR) </w:t>
      </w:r>
      <w:r w:rsidRPr="005D02EA">
        <w:rPr>
          <w:rFonts w:ascii="Palatino Linotype" w:eastAsia="Palatino Linotype" w:hAnsi="Palatino Linotype" w:cs="Palatino Linotype"/>
          <w:sz w:val="22"/>
          <w:szCs w:val="22"/>
        </w:rPr>
        <w:t xml:space="preserve">Y GUADALUPE RAMÍREZ PEÑA; EN </w:t>
      </w:r>
      <w:r w:rsidR="00A84687" w:rsidRPr="005D02EA">
        <w:rPr>
          <w:rFonts w:ascii="Palatino Linotype" w:eastAsia="Palatino Linotype" w:hAnsi="Palatino Linotype" w:cs="Palatino Linotype"/>
          <w:sz w:val="22"/>
          <w:szCs w:val="22"/>
        </w:rPr>
        <w:t>VIGESIMA</w:t>
      </w:r>
      <w:r w:rsidRPr="005D02EA">
        <w:rPr>
          <w:rFonts w:ascii="Palatino Linotype" w:eastAsia="Palatino Linotype" w:hAnsi="Palatino Linotype" w:cs="Palatino Linotype"/>
          <w:sz w:val="22"/>
          <w:szCs w:val="22"/>
        </w:rPr>
        <w:t xml:space="preserve"> SESIÓN ORDINARIA CELEBRADA EL </w:t>
      </w:r>
      <w:r w:rsidR="00A84687" w:rsidRPr="005D02EA">
        <w:rPr>
          <w:rFonts w:ascii="Palatino Linotype" w:eastAsia="Palatino Linotype" w:hAnsi="Palatino Linotype" w:cs="Palatino Linotype"/>
          <w:sz w:val="22"/>
          <w:szCs w:val="22"/>
        </w:rPr>
        <w:t xml:space="preserve">CUATRO DE JUNIO </w:t>
      </w:r>
      <w:r w:rsidRPr="005D02EA">
        <w:rPr>
          <w:rFonts w:ascii="Palatino Linotype" w:eastAsia="Palatino Linotype" w:hAnsi="Palatino Linotype" w:cs="Palatino Linotype"/>
          <w:sz w:val="22"/>
          <w:szCs w:val="22"/>
        </w:rPr>
        <w:t>DE DOS MIL VEINTICINCO, ANTE EL SECRETARIO TÉCNICO DEL PLENO, ALEXIS TAPIA RAMÍREZ.</w:t>
      </w:r>
      <w:r w:rsidRPr="00F67C51">
        <w:rPr>
          <w:rFonts w:ascii="Palatino Linotype" w:eastAsia="Palatino Linotype" w:hAnsi="Palatino Linotype" w:cs="Palatino Linotype"/>
          <w:sz w:val="22"/>
          <w:szCs w:val="22"/>
        </w:rPr>
        <w:t xml:space="preserve">                            </w:t>
      </w:r>
    </w:p>
    <w:p w14:paraId="59298704" w14:textId="77777777" w:rsidR="00D43543" w:rsidRPr="00F67C51" w:rsidRDefault="00D43543">
      <w:pPr>
        <w:spacing w:line="360" w:lineRule="auto"/>
        <w:jc w:val="both"/>
        <w:rPr>
          <w:rFonts w:ascii="Palatino Linotype" w:eastAsia="Palatino Linotype" w:hAnsi="Palatino Linotype" w:cs="Palatino Linotype"/>
          <w:sz w:val="22"/>
          <w:szCs w:val="22"/>
        </w:rPr>
      </w:pPr>
    </w:p>
    <w:p w14:paraId="292D92D3" w14:textId="77777777" w:rsidR="00D43543" w:rsidRPr="00F67C51" w:rsidRDefault="00D43543">
      <w:pPr>
        <w:spacing w:line="360" w:lineRule="auto"/>
        <w:jc w:val="both"/>
        <w:rPr>
          <w:rFonts w:ascii="Palatino Linotype" w:eastAsia="Palatino Linotype" w:hAnsi="Palatino Linotype" w:cs="Palatino Linotype"/>
          <w:sz w:val="22"/>
          <w:szCs w:val="22"/>
        </w:rPr>
      </w:pPr>
    </w:p>
    <w:sectPr w:rsidR="00D43543" w:rsidRPr="00F67C51">
      <w:headerReference w:type="first" r:id="rId3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98461" w14:textId="77777777" w:rsidR="0049625A" w:rsidRDefault="0049625A">
      <w:r>
        <w:separator/>
      </w:r>
    </w:p>
  </w:endnote>
  <w:endnote w:type="continuationSeparator" w:id="0">
    <w:p w14:paraId="150DA307" w14:textId="77777777" w:rsidR="0049625A" w:rsidRDefault="00496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59E3" w14:textId="77777777" w:rsidR="00700CD6" w:rsidRDefault="00700CD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D02EA">
      <w:rPr>
        <w:rFonts w:ascii="Arial" w:eastAsia="Arial" w:hAnsi="Arial" w:cs="Arial"/>
        <w:b/>
        <w:noProof/>
        <w:color w:val="000000"/>
        <w:sz w:val="20"/>
        <w:szCs w:val="20"/>
      </w:rPr>
      <w:t>53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D02EA">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12C54C7C" w14:textId="77777777" w:rsidR="00700CD6" w:rsidRDefault="00700CD6">
    <w:pPr>
      <w:pBdr>
        <w:top w:val="nil"/>
        <w:left w:val="nil"/>
        <w:bottom w:val="nil"/>
        <w:right w:val="nil"/>
        <w:between w:val="nil"/>
      </w:pBdr>
      <w:tabs>
        <w:tab w:val="center" w:pos="4252"/>
        <w:tab w:val="right" w:pos="8504"/>
      </w:tabs>
      <w:rPr>
        <w:color w:val="000000"/>
      </w:rPr>
    </w:pPr>
  </w:p>
  <w:p w14:paraId="3613DDA1" w14:textId="77777777" w:rsidR="00700CD6" w:rsidRDefault="00700CD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CE26" w14:textId="77777777" w:rsidR="00700CD6" w:rsidRDefault="00700CD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D02EA">
      <w:rPr>
        <w:rFonts w:ascii="Arial" w:eastAsia="Arial" w:hAnsi="Arial" w:cs="Arial"/>
        <w:b/>
        <w:noProof/>
        <w:color w:val="000000"/>
        <w:sz w:val="20"/>
        <w:szCs w:val="20"/>
      </w:rPr>
      <w:t>55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D02EA">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312F494B" w14:textId="77777777" w:rsidR="00700CD6" w:rsidRDefault="00700CD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026DD" w14:textId="77777777" w:rsidR="0049625A" w:rsidRDefault="0049625A">
      <w:r>
        <w:separator/>
      </w:r>
    </w:p>
  </w:footnote>
  <w:footnote w:type="continuationSeparator" w:id="0">
    <w:p w14:paraId="46F35A9D" w14:textId="77777777" w:rsidR="0049625A" w:rsidRDefault="0049625A">
      <w:r>
        <w:continuationSeparator/>
      </w:r>
    </w:p>
  </w:footnote>
  <w:footnote w:id="1">
    <w:p w14:paraId="5AB90793" w14:textId="77777777" w:rsidR="00700CD6" w:rsidRDefault="00700CD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b/>
          <w:color w:val="000000"/>
          <w:sz w:val="16"/>
          <w:szCs w:val="16"/>
        </w:rPr>
        <w:t xml:space="preserve"> Artículo 53</w:t>
      </w:r>
      <w:r>
        <w:rPr>
          <w:rFonts w:ascii="Palatino Linotype" w:eastAsia="Palatino Linotype" w:hAnsi="Palatino Linotype" w:cs="Palatino Linotype"/>
          <w:color w:val="000000"/>
          <w:sz w:val="16"/>
          <w:szCs w:val="16"/>
        </w:rPr>
        <w:t>. Las Unidades de Transparencia tendrán las siguientes funciones:</w:t>
      </w:r>
    </w:p>
    <w:p w14:paraId="076472FD" w14:textId="77777777" w:rsidR="00700CD6" w:rsidRDefault="00700CD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339C0C8F" w14:textId="77777777" w:rsidR="00700CD6" w:rsidRDefault="00700CD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2">
    <w:p w14:paraId="049A89B8" w14:textId="77777777" w:rsidR="00700CD6" w:rsidRDefault="00700CD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162.</w:t>
      </w:r>
      <w:r>
        <w:rPr>
          <w:rFonts w:ascii="Palatino Linotype" w:eastAsia="Palatino Linotype" w:hAnsi="Palatino Linotype" w:cs="Palatino Linotype"/>
          <w:color w:val="000000"/>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7B73" w14:textId="77777777" w:rsidR="00700CD6" w:rsidRDefault="00700CD6">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719D2774" wp14:editId="34FF8F5E">
          <wp:simplePos x="0" y="0"/>
          <wp:positionH relativeFrom="column">
            <wp:posOffset>-638171</wp:posOffset>
          </wp:positionH>
          <wp:positionV relativeFrom="paragraph">
            <wp:posOffset>-450210</wp:posOffset>
          </wp:positionV>
          <wp:extent cx="7809876" cy="10165823"/>
          <wp:effectExtent l="0" t="0" r="0" b="0"/>
          <wp:wrapNone/>
          <wp:docPr id="21285507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b"/>
      <w:tblW w:w="5528" w:type="dxa"/>
      <w:tblInd w:w="3261" w:type="dxa"/>
      <w:tblLayout w:type="fixed"/>
      <w:tblLook w:val="0400" w:firstRow="0" w:lastRow="0" w:firstColumn="0" w:lastColumn="0" w:noHBand="0" w:noVBand="1"/>
    </w:tblPr>
    <w:tblGrid>
      <w:gridCol w:w="2551"/>
      <w:gridCol w:w="2977"/>
    </w:tblGrid>
    <w:tr w:rsidR="00700CD6" w14:paraId="0C0B3A7F" w14:textId="77777777">
      <w:tc>
        <w:tcPr>
          <w:tcW w:w="2551" w:type="dxa"/>
          <w:vAlign w:val="center"/>
        </w:tcPr>
        <w:p w14:paraId="63B8C4EA" w14:textId="77777777" w:rsidR="00700CD6" w:rsidRDefault="00700C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4267328E" w14:textId="77777777" w:rsidR="00700CD6" w:rsidRDefault="00700CD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02864/INFOEM/IP/RR/2025</w:t>
          </w:r>
        </w:p>
      </w:tc>
    </w:tr>
    <w:tr w:rsidR="00700CD6" w14:paraId="42CB0EE7" w14:textId="77777777">
      <w:trPr>
        <w:trHeight w:val="228"/>
      </w:trPr>
      <w:tc>
        <w:tcPr>
          <w:tcW w:w="2551" w:type="dxa"/>
          <w:vAlign w:val="center"/>
        </w:tcPr>
        <w:p w14:paraId="25CFC380" w14:textId="77777777" w:rsidR="00700CD6" w:rsidRDefault="00700C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2E8BC32B" w14:textId="77777777" w:rsidR="00700CD6" w:rsidRDefault="00700CD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00CD6" w14:paraId="698552FC" w14:textId="77777777">
      <w:tc>
        <w:tcPr>
          <w:tcW w:w="2551" w:type="dxa"/>
          <w:vAlign w:val="center"/>
        </w:tcPr>
        <w:p w14:paraId="03079C4C" w14:textId="77777777" w:rsidR="00700CD6" w:rsidRDefault="00700C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603C40F" w14:textId="77777777" w:rsidR="00700CD6" w:rsidRDefault="00700C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ACD6EBB" w14:textId="77777777" w:rsidR="00700CD6" w:rsidRDefault="00700CD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DA24" w14:textId="77777777" w:rsidR="00700CD6" w:rsidRDefault="00700CD6">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4B2BD74C" wp14:editId="6BEF69C1">
          <wp:simplePos x="0" y="0"/>
          <wp:positionH relativeFrom="column">
            <wp:posOffset>-798188</wp:posOffset>
          </wp:positionH>
          <wp:positionV relativeFrom="paragraph">
            <wp:posOffset>-399409</wp:posOffset>
          </wp:positionV>
          <wp:extent cx="7809876" cy="10165823"/>
          <wp:effectExtent l="0" t="0" r="0" b="0"/>
          <wp:wrapNone/>
          <wp:docPr id="21285507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c"/>
      <w:tblW w:w="5670" w:type="dxa"/>
      <w:tblInd w:w="3119" w:type="dxa"/>
      <w:tblLayout w:type="fixed"/>
      <w:tblLook w:val="0400" w:firstRow="0" w:lastRow="0" w:firstColumn="0" w:lastColumn="0" w:noHBand="0" w:noVBand="1"/>
    </w:tblPr>
    <w:tblGrid>
      <w:gridCol w:w="2551"/>
      <w:gridCol w:w="3119"/>
    </w:tblGrid>
    <w:tr w:rsidR="00700CD6" w14:paraId="5DECE1AA" w14:textId="77777777">
      <w:tc>
        <w:tcPr>
          <w:tcW w:w="2551" w:type="dxa"/>
          <w:vAlign w:val="center"/>
        </w:tcPr>
        <w:p w14:paraId="621E8F90" w14:textId="77777777" w:rsidR="00700CD6" w:rsidRDefault="00700C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9766426" w14:textId="77777777" w:rsidR="00700CD6" w:rsidRDefault="00700CD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02864/INFOEM/IP/RR/2025</w:t>
          </w:r>
        </w:p>
      </w:tc>
    </w:tr>
    <w:tr w:rsidR="00700CD6" w14:paraId="2491F74D" w14:textId="77777777">
      <w:tc>
        <w:tcPr>
          <w:tcW w:w="2551" w:type="dxa"/>
          <w:vAlign w:val="center"/>
        </w:tcPr>
        <w:p w14:paraId="639A2B1F" w14:textId="77777777" w:rsidR="00700CD6" w:rsidRDefault="00700CD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2C752179" w14:textId="77777777" w:rsidR="00700CD6" w:rsidRDefault="00700CD6">
          <w:pPr>
            <w:ind w:right="-533"/>
            <w:jc w:val="both"/>
            <w:rPr>
              <w:rFonts w:ascii="Palatino Linotype" w:eastAsia="Palatino Linotype" w:hAnsi="Palatino Linotype" w:cs="Palatino Linotype"/>
              <w:b/>
              <w:sz w:val="22"/>
              <w:szCs w:val="22"/>
            </w:rPr>
          </w:pPr>
        </w:p>
      </w:tc>
    </w:tr>
    <w:tr w:rsidR="00700CD6" w14:paraId="75943387" w14:textId="77777777">
      <w:trPr>
        <w:trHeight w:val="228"/>
      </w:trPr>
      <w:tc>
        <w:tcPr>
          <w:tcW w:w="2551" w:type="dxa"/>
          <w:vAlign w:val="center"/>
        </w:tcPr>
        <w:p w14:paraId="0EC8FE5F" w14:textId="77777777" w:rsidR="00700CD6" w:rsidRDefault="00700C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FD33B3B" w14:textId="77777777" w:rsidR="00700CD6" w:rsidRDefault="00700CD6">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00CD6" w14:paraId="0C99F0F4" w14:textId="77777777">
      <w:tc>
        <w:tcPr>
          <w:tcW w:w="2551" w:type="dxa"/>
          <w:vAlign w:val="center"/>
        </w:tcPr>
        <w:p w14:paraId="5189ADDD" w14:textId="77777777" w:rsidR="00700CD6" w:rsidRDefault="00700C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9DFDFD0" w14:textId="77777777" w:rsidR="00700CD6" w:rsidRDefault="00700C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BD7193" w14:textId="77777777" w:rsidR="00700CD6" w:rsidRDefault="00700CD6">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F7" w14:textId="77777777" w:rsidR="00700CD6" w:rsidRDefault="00700CD6">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78039EC" w14:textId="77777777" w:rsidR="00700CD6" w:rsidRDefault="00700CD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8055C"/>
    <w:multiLevelType w:val="multilevel"/>
    <w:tmpl w:val="98A8CB50"/>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190452DD"/>
    <w:multiLevelType w:val="multilevel"/>
    <w:tmpl w:val="45705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C7524A"/>
    <w:multiLevelType w:val="multilevel"/>
    <w:tmpl w:val="4374040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9835EA"/>
    <w:multiLevelType w:val="multilevel"/>
    <w:tmpl w:val="12FCD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2F0714"/>
    <w:multiLevelType w:val="multilevel"/>
    <w:tmpl w:val="B2CE0FE6"/>
    <w:lvl w:ilvl="0">
      <w:start w:val="8"/>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42100EA"/>
    <w:multiLevelType w:val="hybridMultilevel"/>
    <w:tmpl w:val="884C5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E4371F"/>
    <w:multiLevelType w:val="multilevel"/>
    <w:tmpl w:val="DFB84ED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F81835"/>
    <w:multiLevelType w:val="multilevel"/>
    <w:tmpl w:val="CB9A850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71E5DE2"/>
    <w:multiLevelType w:val="hybridMultilevel"/>
    <w:tmpl w:val="D4649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592094"/>
    <w:multiLevelType w:val="multilevel"/>
    <w:tmpl w:val="088C5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85032F"/>
    <w:multiLevelType w:val="multilevel"/>
    <w:tmpl w:val="B99C1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054F0F"/>
    <w:multiLevelType w:val="multilevel"/>
    <w:tmpl w:val="8280DD0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AF01EC0"/>
    <w:multiLevelType w:val="multilevel"/>
    <w:tmpl w:val="CDDE3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1"/>
  </w:num>
  <w:num w:numId="4">
    <w:abstractNumId w:val="11"/>
  </w:num>
  <w:num w:numId="5">
    <w:abstractNumId w:val="6"/>
  </w:num>
  <w:num w:numId="6">
    <w:abstractNumId w:val="9"/>
  </w:num>
  <w:num w:numId="7">
    <w:abstractNumId w:val="10"/>
  </w:num>
  <w:num w:numId="8">
    <w:abstractNumId w:val="12"/>
  </w:num>
  <w:num w:numId="9">
    <w:abstractNumId w:val="2"/>
  </w:num>
  <w:num w:numId="10">
    <w:abstractNumId w:val="3"/>
  </w:num>
  <w:num w:numId="11">
    <w:abstractNumId w:val="4"/>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43"/>
    <w:rsid w:val="00035DB0"/>
    <w:rsid w:val="000975E5"/>
    <w:rsid w:val="000A2D72"/>
    <w:rsid w:val="000A44B5"/>
    <w:rsid w:val="00124198"/>
    <w:rsid w:val="00127027"/>
    <w:rsid w:val="00154BC7"/>
    <w:rsid w:val="001D0BB1"/>
    <w:rsid w:val="00254919"/>
    <w:rsid w:val="002C5CD0"/>
    <w:rsid w:val="00422672"/>
    <w:rsid w:val="0042342E"/>
    <w:rsid w:val="00490B38"/>
    <w:rsid w:val="0049625A"/>
    <w:rsid w:val="00507511"/>
    <w:rsid w:val="0053433F"/>
    <w:rsid w:val="00564479"/>
    <w:rsid w:val="005D02EA"/>
    <w:rsid w:val="00634FAC"/>
    <w:rsid w:val="006463EA"/>
    <w:rsid w:val="00700CD6"/>
    <w:rsid w:val="007076CE"/>
    <w:rsid w:val="00783DB2"/>
    <w:rsid w:val="00836DB5"/>
    <w:rsid w:val="0085247B"/>
    <w:rsid w:val="008755C4"/>
    <w:rsid w:val="008924ED"/>
    <w:rsid w:val="00990234"/>
    <w:rsid w:val="009B50F8"/>
    <w:rsid w:val="009C0B21"/>
    <w:rsid w:val="00A33968"/>
    <w:rsid w:val="00A84687"/>
    <w:rsid w:val="00AB1730"/>
    <w:rsid w:val="00AC7C17"/>
    <w:rsid w:val="00AF428F"/>
    <w:rsid w:val="00B07FFA"/>
    <w:rsid w:val="00B84F8E"/>
    <w:rsid w:val="00BC78F8"/>
    <w:rsid w:val="00C10BE3"/>
    <w:rsid w:val="00C12A76"/>
    <w:rsid w:val="00C24828"/>
    <w:rsid w:val="00C30731"/>
    <w:rsid w:val="00C66D71"/>
    <w:rsid w:val="00C866C8"/>
    <w:rsid w:val="00CE3AFE"/>
    <w:rsid w:val="00D43543"/>
    <w:rsid w:val="00D6557E"/>
    <w:rsid w:val="00D70EA3"/>
    <w:rsid w:val="00D9591D"/>
    <w:rsid w:val="00D97C92"/>
    <w:rsid w:val="00E07099"/>
    <w:rsid w:val="00F11809"/>
    <w:rsid w:val="00F12D99"/>
    <w:rsid w:val="00F67C51"/>
    <w:rsid w:val="00FD30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937FC"/>
  <w15:docId w15:val="{F80FFD0A-20D3-438D-B2AD-F82653EB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table" w:customStyle="1" w:styleId="a5">
    <w:basedOn w:val="TableNormal6"/>
    <w:tblPr>
      <w:tblStyleRowBandSize w:val="1"/>
      <w:tblStyleColBandSize w:val="1"/>
      <w:tblCellMar>
        <w:left w:w="108" w:type="dxa"/>
        <w:right w:w="108" w:type="dxa"/>
      </w:tblCellMar>
    </w:tblPr>
  </w:style>
  <w:style w:type="table" w:customStyle="1" w:styleId="a6">
    <w:basedOn w:val="TableNormal6"/>
    <w:tblPr>
      <w:tblStyleRowBandSize w:val="1"/>
      <w:tblStyleColBandSize w:val="1"/>
      <w:tblCellMar>
        <w:left w:w="108" w:type="dxa"/>
        <w:right w:w="108" w:type="dxa"/>
      </w:tblCellMar>
    </w:tblPr>
  </w:style>
  <w:style w:type="table" w:customStyle="1" w:styleId="a7">
    <w:basedOn w:val="TableNormal6"/>
    <w:tblPr>
      <w:tblStyleRowBandSize w:val="1"/>
      <w:tblStyleColBandSize w:val="1"/>
      <w:tblCellMar>
        <w:left w:w="108" w:type="dxa"/>
        <w:right w:w="108"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A34A0"/>
    <w:rPr>
      <w:color w:val="605E5C"/>
      <w:shd w:val="clear" w:color="auto" w:fill="E1DFDD"/>
    </w:rPr>
  </w:style>
  <w:style w:type="paragraph" w:customStyle="1" w:styleId="Default">
    <w:name w:val="Default"/>
    <w:rsid w:val="00740F46"/>
    <w:pPr>
      <w:autoSpaceDE w:val="0"/>
      <w:autoSpaceDN w:val="0"/>
      <w:adjustRightInd w:val="0"/>
    </w:pPr>
    <w:rPr>
      <w:rFonts w:ascii="Arial" w:eastAsiaTheme="minorHAnsi" w:hAnsi="Arial" w:cs="Arial"/>
      <w:color w:val="000000"/>
      <w:lang w:val="es-MX" w:eastAsia="en-US"/>
    </w:rPr>
  </w:style>
  <w:style w:type="table" w:customStyle="1" w:styleId="Tablaconcuadrcula2">
    <w:name w:val="Tabla con cuadrícula2"/>
    <w:basedOn w:val="Tablanormal"/>
    <w:next w:val="Tablaconcuadrcula"/>
    <w:uiPriority w:val="39"/>
    <w:rsid w:val="0057641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1">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jHD+40yacIwRy9AzGmKdxJZQIg==">CgMxLjAyCWguM3pueXNoNzIIaC5namRneHMyCWguMzBqMHpsbDIOaC5xNzBrNWRrajNuNmEyDmguZzU3NHJjcWcxcnptMgloLjFmb2I5dGU4AHIhMUhna0dIMzNDb2V1MERDcDdaZ2hEbUFZcnlacUpNamgx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14466</Words>
  <Characters>79564</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2025-06-06T20:32:00Z</cp:lastPrinted>
  <dcterms:created xsi:type="dcterms:W3CDTF">2025-06-27T01:18:00Z</dcterms:created>
  <dcterms:modified xsi:type="dcterms:W3CDTF">2025-06-27T01:18:00Z</dcterms:modified>
</cp:coreProperties>
</file>