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D0359" w14:textId="743F76E8" w:rsidR="005B68DD" w:rsidRPr="00A618CE" w:rsidRDefault="00A57AF2">
      <w:pPr>
        <w:spacing w:line="360" w:lineRule="auto"/>
        <w:ind w:left="-142"/>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E820A2" w:rsidRPr="00A618CE">
        <w:rPr>
          <w:rFonts w:ascii="Palatino Linotype" w:eastAsia="Palatino Linotype" w:hAnsi="Palatino Linotype" w:cs="Palatino Linotype"/>
          <w:sz w:val="22"/>
          <w:szCs w:val="22"/>
        </w:rPr>
        <w:t xml:space="preserve">seis de agosto </w:t>
      </w:r>
      <w:r w:rsidRPr="00A618CE">
        <w:rPr>
          <w:rFonts w:ascii="Palatino Linotype" w:eastAsia="Palatino Linotype" w:hAnsi="Palatino Linotype" w:cs="Palatino Linotype"/>
          <w:sz w:val="22"/>
          <w:szCs w:val="22"/>
        </w:rPr>
        <w:t xml:space="preserve">de dos mil veinticinco. </w:t>
      </w:r>
    </w:p>
    <w:p w14:paraId="7E063EED" w14:textId="77777777" w:rsidR="005B68DD" w:rsidRPr="00A618CE" w:rsidRDefault="005B68DD">
      <w:pPr>
        <w:spacing w:line="360" w:lineRule="auto"/>
        <w:ind w:left="-142"/>
        <w:jc w:val="both"/>
        <w:rPr>
          <w:rFonts w:ascii="Palatino Linotype" w:eastAsia="Palatino Linotype" w:hAnsi="Palatino Linotype" w:cs="Palatino Linotype"/>
          <w:sz w:val="22"/>
          <w:szCs w:val="22"/>
        </w:rPr>
      </w:pPr>
    </w:p>
    <w:p w14:paraId="50A902E2" w14:textId="6574C945" w:rsidR="005B68DD" w:rsidRPr="00A618CE" w:rsidRDefault="00A57AF2" w:rsidP="0013107C">
      <w:pPr>
        <w:spacing w:line="360" w:lineRule="auto"/>
        <w:ind w:left="-142"/>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t>Visto</w:t>
      </w:r>
      <w:r w:rsidRPr="00A618CE">
        <w:rPr>
          <w:rFonts w:ascii="Palatino Linotype" w:eastAsia="Palatino Linotype" w:hAnsi="Palatino Linotype" w:cs="Palatino Linotype"/>
          <w:sz w:val="22"/>
          <w:szCs w:val="22"/>
        </w:rPr>
        <w:t xml:space="preserve"> el expediente relativo al recurso de revisión </w:t>
      </w:r>
      <w:r w:rsidR="0013107C" w:rsidRPr="00A618CE">
        <w:rPr>
          <w:rFonts w:ascii="Palatino Linotype" w:eastAsia="Palatino Linotype" w:hAnsi="Palatino Linotype" w:cs="Palatino Linotype"/>
          <w:b/>
          <w:sz w:val="22"/>
          <w:szCs w:val="22"/>
        </w:rPr>
        <w:t>05604/INFOEM/IP/RR/2025</w:t>
      </w:r>
      <w:r w:rsidR="009713B0" w:rsidRPr="00A618CE">
        <w:rPr>
          <w:rFonts w:ascii="Palatino Linotype" w:eastAsia="Palatino Linotype" w:hAnsi="Palatino Linotype" w:cs="Palatino Linotype"/>
          <w:sz w:val="22"/>
          <w:szCs w:val="22"/>
        </w:rPr>
        <w:t xml:space="preserve">, interpuesto por </w:t>
      </w:r>
      <w:r w:rsidR="00B60790" w:rsidRPr="00A618CE">
        <w:rPr>
          <w:rFonts w:ascii="Palatino Linotype" w:eastAsia="Palatino Linotype" w:hAnsi="Palatino Linotype" w:cs="Palatino Linotype"/>
          <w:b/>
          <w:sz w:val="22"/>
          <w:szCs w:val="22"/>
        </w:rPr>
        <w:t xml:space="preserve">una persona usuaria del Sistema de Acceso a la Información Mexiquense que no proporcionó nombre </w:t>
      </w:r>
      <w:r w:rsidR="009713B0" w:rsidRPr="00A618CE">
        <w:rPr>
          <w:rFonts w:ascii="Palatino Linotype" w:eastAsia="Palatino Linotype" w:hAnsi="Palatino Linotype" w:cs="Palatino Linotype"/>
          <w:b/>
          <w:sz w:val="22"/>
          <w:szCs w:val="22"/>
        </w:rPr>
        <w:t xml:space="preserve"> </w:t>
      </w:r>
      <w:r w:rsidRPr="00A618CE">
        <w:rPr>
          <w:rFonts w:ascii="Palatino Linotype" w:eastAsia="Palatino Linotype" w:hAnsi="Palatino Linotype" w:cs="Palatino Linotype"/>
          <w:sz w:val="22"/>
          <w:szCs w:val="22"/>
        </w:rPr>
        <w:t>en lo suce</w:t>
      </w:r>
      <w:r w:rsidR="009713B0" w:rsidRPr="00A618CE">
        <w:rPr>
          <w:rFonts w:ascii="Palatino Linotype" w:eastAsia="Palatino Linotype" w:hAnsi="Palatino Linotype" w:cs="Palatino Linotype"/>
          <w:sz w:val="22"/>
          <w:szCs w:val="22"/>
        </w:rPr>
        <w:t xml:space="preserve">sivo se le denominará la persona </w:t>
      </w:r>
      <w:r w:rsidR="009713B0" w:rsidRPr="00A618CE">
        <w:rPr>
          <w:rFonts w:ascii="Palatino Linotype" w:eastAsia="Palatino Linotype" w:hAnsi="Palatino Linotype" w:cs="Palatino Linotype"/>
          <w:b/>
          <w:sz w:val="22"/>
          <w:szCs w:val="22"/>
        </w:rPr>
        <w:t xml:space="preserve">RECURRENTE </w:t>
      </w:r>
      <w:r w:rsidRPr="00A618CE">
        <w:rPr>
          <w:rFonts w:ascii="Palatino Linotype" w:eastAsia="Palatino Linotype" w:hAnsi="Palatino Linotype" w:cs="Palatino Linotype"/>
          <w:sz w:val="22"/>
          <w:szCs w:val="22"/>
        </w:rPr>
        <w:t>en contra de la respuesta a su solicitud de información con número de folio</w:t>
      </w:r>
      <w:r w:rsidR="001B1B82" w:rsidRPr="00A618CE">
        <w:rPr>
          <w:rFonts w:ascii="Palatino Linotype" w:eastAsia="Palatino Linotype" w:hAnsi="Palatino Linotype" w:cs="Palatino Linotype"/>
          <w:b/>
          <w:sz w:val="22"/>
          <w:szCs w:val="22"/>
        </w:rPr>
        <w:t xml:space="preserve"> </w:t>
      </w:r>
      <w:r w:rsidR="0013107C" w:rsidRPr="00A618CE">
        <w:rPr>
          <w:rFonts w:ascii="Palatino Linotype" w:eastAsia="Palatino Linotype" w:hAnsi="Palatino Linotype" w:cs="Palatino Linotype"/>
          <w:b/>
          <w:sz w:val="22"/>
          <w:szCs w:val="22"/>
        </w:rPr>
        <w:t>00441/IEEM/IP/2025</w:t>
      </w:r>
      <w:r w:rsidR="00B60790" w:rsidRPr="00A618CE">
        <w:rPr>
          <w:rFonts w:ascii="Palatino Linotype" w:eastAsia="Palatino Linotype" w:hAnsi="Palatino Linotype" w:cs="Palatino Linotype"/>
          <w:sz w:val="22"/>
          <w:szCs w:val="22"/>
        </w:rPr>
        <w:t xml:space="preserve">, por parte del </w:t>
      </w:r>
      <w:r w:rsidR="00B60790" w:rsidRPr="00A618CE">
        <w:rPr>
          <w:rFonts w:ascii="Palatino Linotype" w:eastAsia="Palatino Linotype" w:hAnsi="Palatino Linotype" w:cs="Palatino Linotype"/>
          <w:b/>
          <w:sz w:val="22"/>
          <w:szCs w:val="22"/>
        </w:rPr>
        <w:t xml:space="preserve">Instituto Electoral del Estado de México </w:t>
      </w:r>
      <w:r w:rsidRPr="00A618CE">
        <w:rPr>
          <w:rFonts w:ascii="Palatino Linotype" w:eastAsia="Palatino Linotype" w:hAnsi="Palatino Linotype" w:cs="Palatino Linotype"/>
          <w:sz w:val="22"/>
          <w:szCs w:val="22"/>
        </w:rPr>
        <w:t xml:space="preserve">en lo sucesivo el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w:t>
      </w:r>
      <w:r w:rsidRPr="00A618CE">
        <w:rPr>
          <w:rFonts w:ascii="Palatino Linotype" w:eastAsia="Palatino Linotype" w:hAnsi="Palatino Linotype" w:cs="Palatino Linotype"/>
          <w:b/>
          <w:sz w:val="22"/>
          <w:szCs w:val="22"/>
        </w:rPr>
        <w:t xml:space="preserve"> </w:t>
      </w:r>
      <w:r w:rsidRPr="00A618CE">
        <w:rPr>
          <w:rFonts w:ascii="Palatino Linotype" w:eastAsia="Palatino Linotype" w:hAnsi="Palatino Linotype" w:cs="Palatino Linotype"/>
          <w:sz w:val="22"/>
          <w:szCs w:val="22"/>
        </w:rPr>
        <w:t>se procede a dictar la presente resolución, con base en los siguientes:</w:t>
      </w:r>
    </w:p>
    <w:p w14:paraId="7EE06A72" w14:textId="77777777" w:rsidR="005B68DD" w:rsidRPr="00A618CE" w:rsidRDefault="005B68DD">
      <w:pPr>
        <w:spacing w:line="360" w:lineRule="auto"/>
        <w:ind w:left="-142"/>
        <w:jc w:val="both"/>
        <w:rPr>
          <w:rFonts w:ascii="Palatino Linotype" w:eastAsia="Palatino Linotype" w:hAnsi="Palatino Linotype" w:cs="Palatino Linotype"/>
          <w:sz w:val="22"/>
          <w:szCs w:val="22"/>
        </w:rPr>
      </w:pPr>
    </w:p>
    <w:p w14:paraId="02608929" w14:textId="77777777" w:rsidR="005B68DD" w:rsidRPr="00A618CE"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t>A N T E C E D E N T E S:</w:t>
      </w:r>
    </w:p>
    <w:p w14:paraId="4C7A932E" w14:textId="77777777" w:rsidR="005B68DD" w:rsidRPr="00A618CE"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56D28C7" w14:textId="600E5D59" w:rsidR="005B68DD" w:rsidRPr="00A618CE" w:rsidRDefault="00A57AF2">
      <w:pPr>
        <w:numPr>
          <w:ilvl w:val="1"/>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t xml:space="preserve">Solicitud de acceso a la información. </w:t>
      </w:r>
      <w:r w:rsidRPr="00A618CE">
        <w:rPr>
          <w:rFonts w:ascii="Palatino Linotype" w:eastAsia="Palatino Linotype" w:hAnsi="Palatino Linotype" w:cs="Palatino Linotype"/>
          <w:sz w:val="22"/>
          <w:szCs w:val="22"/>
        </w:rPr>
        <w:t xml:space="preserve">Con fecha </w:t>
      </w:r>
      <w:r w:rsidR="0013107C" w:rsidRPr="00A618CE">
        <w:rPr>
          <w:rFonts w:ascii="Palatino Linotype" w:eastAsia="Palatino Linotype" w:hAnsi="Palatino Linotype" w:cs="Palatino Linotype"/>
          <w:b/>
          <w:sz w:val="22"/>
          <w:szCs w:val="22"/>
        </w:rPr>
        <w:t>siet</w:t>
      </w:r>
      <w:r w:rsidR="00B27686" w:rsidRPr="00A618CE">
        <w:rPr>
          <w:rFonts w:ascii="Palatino Linotype" w:eastAsia="Palatino Linotype" w:hAnsi="Palatino Linotype" w:cs="Palatino Linotype"/>
          <w:b/>
          <w:sz w:val="22"/>
          <w:szCs w:val="22"/>
        </w:rPr>
        <w:t xml:space="preserve">e </w:t>
      </w:r>
      <w:r w:rsidR="00B60790" w:rsidRPr="00A618CE">
        <w:rPr>
          <w:rFonts w:ascii="Palatino Linotype" w:eastAsia="Palatino Linotype" w:hAnsi="Palatino Linotype" w:cs="Palatino Linotype"/>
          <w:b/>
          <w:sz w:val="22"/>
          <w:szCs w:val="22"/>
        </w:rPr>
        <w:t>de abril</w:t>
      </w:r>
      <w:r w:rsidRPr="00A618CE">
        <w:rPr>
          <w:rFonts w:ascii="Palatino Linotype" w:eastAsia="Palatino Linotype" w:hAnsi="Palatino Linotype" w:cs="Palatino Linotype"/>
          <w:b/>
          <w:sz w:val="22"/>
          <w:szCs w:val="22"/>
        </w:rPr>
        <w:t xml:space="preserve"> de dos mil veinticinco</w:t>
      </w:r>
      <w:r w:rsidRPr="00A618CE">
        <w:rPr>
          <w:rFonts w:ascii="Palatino Linotype" w:eastAsia="Palatino Linotype" w:hAnsi="Palatino Linotype" w:cs="Palatino Linotype"/>
          <w:sz w:val="22"/>
          <w:szCs w:val="22"/>
        </w:rPr>
        <w:t xml:space="preserve">, la parte </w:t>
      </w:r>
      <w:r w:rsidRPr="00A618CE">
        <w:rPr>
          <w:rFonts w:ascii="Palatino Linotype" w:eastAsia="Palatino Linotype" w:hAnsi="Palatino Linotype" w:cs="Palatino Linotype"/>
          <w:b/>
          <w:sz w:val="22"/>
          <w:szCs w:val="22"/>
        </w:rPr>
        <w:t>RECURRENTE</w:t>
      </w:r>
      <w:r w:rsidRPr="00A618CE">
        <w:rPr>
          <w:rFonts w:ascii="Palatino Linotype" w:eastAsia="Palatino Linotype" w:hAnsi="Palatino Linotype" w:cs="Palatino Linotype"/>
          <w:sz w:val="22"/>
          <w:szCs w:val="22"/>
        </w:rPr>
        <w:t xml:space="preserve"> formuló solicitud de acceso a información pública al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 xml:space="preserve"> a través del Sistema de Acceso a la Información Mexiquense, en adelante </w:t>
      </w:r>
      <w:r w:rsidRPr="00A618CE">
        <w:rPr>
          <w:rFonts w:ascii="Palatino Linotype" w:eastAsia="Palatino Linotype" w:hAnsi="Palatino Linotype" w:cs="Palatino Linotype"/>
          <w:b/>
          <w:sz w:val="22"/>
          <w:szCs w:val="22"/>
        </w:rPr>
        <w:t>SAIMEX</w:t>
      </w:r>
      <w:r w:rsidRPr="00A618CE">
        <w:rPr>
          <w:rFonts w:ascii="Palatino Linotype" w:eastAsia="Palatino Linotype" w:hAnsi="Palatino Linotype" w:cs="Palatino Linotype"/>
          <w:sz w:val="22"/>
          <w:szCs w:val="22"/>
        </w:rPr>
        <w:t>, requiriéndole lo siguiente:</w:t>
      </w:r>
    </w:p>
    <w:p w14:paraId="17C21557" w14:textId="77777777" w:rsidR="005B68DD" w:rsidRPr="00A618CE" w:rsidRDefault="005B68DD">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0BB9632E" w14:textId="24AC26E9" w:rsidR="005B68DD" w:rsidRPr="00A618CE" w:rsidRDefault="00A57AF2">
      <w:pPr>
        <w:spacing w:line="276" w:lineRule="auto"/>
        <w:ind w:left="567" w:right="900"/>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r w:rsidR="00B27686" w:rsidRPr="00A618CE">
        <w:rPr>
          <w:rFonts w:ascii="Palatino Linotype" w:eastAsia="Palatino Linotype" w:hAnsi="Palatino Linotype" w:cs="Palatino Linotype"/>
          <w:i/>
          <w:sz w:val="22"/>
          <w:szCs w:val="22"/>
        </w:rPr>
        <w:t>En esta fecha, 07 de abril de 2025, a 54 días para la jornada electoral, en los términos expresados por la Presidenta del IEEM durante la sesión solemne del Proceso Electoral Judicial Extraordinario 2025 mencionó que cerca de 7,000 personas de manera temporal van a colaborar en esta elección, por lo que, se solicitan las documentales con las cerca de 7,000 plazas. En el siguiente link https://www.youtube.com/watch?v=dM1787poeo8&amp;t=3199s relativa a la sesión solemne se puede confirmar la información expresada por la Presidenta Amalia Pulido Gómez.</w:t>
      </w:r>
      <w:r w:rsidRPr="00A618CE">
        <w:rPr>
          <w:rFonts w:ascii="Palatino Linotype" w:eastAsia="Palatino Linotype" w:hAnsi="Palatino Linotype" w:cs="Palatino Linotype"/>
          <w:i/>
          <w:sz w:val="22"/>
          <w:szCs w:val="22"/>
        </w:rPr>
        <w:t xml:space="preserve">”. </w:t>
      </w:r>
    </w:p>
    <w:p w14:paraId="621E9481" w14:textId="77777777" w:rsidR="005B68DD" w:rsidRPr="00A618CE" w:rsidRDefault="005B68DD">
      <w:pPr>
        <w:spacing w:line="360" w:lineRule="auto"/>
        <w:ind w:right="900"/>
        <w:jc w:val="both"/>
        <w:rPr>
          <w:rFonts w:ascii="Palatino Linotype" w:eastAsia="Palatino Linotype" w:hAnsi="Palatino Linotype" w:cs="Palatino Linotype"/>
          <w:b/>
          <w:i/>
          <w:sz w:val="22"/>
          <w:szCs w:val="22"/>
        </w:rPr>
      </w:pPr>
    </w:p>
    <w:p w14:paraId="4A340CED"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Modalidad elegida para la entrega de la información: </w:t>
      </w:r>
      <w:r w:rsidRPr="00A618CE">
        <w:rPr>
          <w:rFonts w:ascii="Palatino Linotype" w:eastAsia="Palatino Linotype" w:hAnsi="Palatino Linotype" w:cs="Palatino Linotype"/>
          <w:sz w:val="22"/>
          <w:szCs w:val="22"/>
        </w:rPr>
        <w:t>a través del Sistema de Acceso a la Información Mexiquense.</w:t>
      </w:r>
    </w:p>
    <w:p w14:paraId="49E0C7CC" w14:textId="77777777" w:rsidR="005B68DD" w:rsidRPr="00A618CE"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DFEFA04" w14:textId="6DDAB642" w:rsidR="00C6540C" w:rsidRPr="00A618CE" w:rsidRDefault="00E820A2" w:rsidP="00C6540C">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lastRenderedPageBreak/>
        <w:t xml:space="preserve">Prórroga. </w:t>
      </w:r>
      <w:r w:rsidR="00C6540C" w:rsidRPr="00A618CE">
        <w:rPr>
          <w:rFonts w:ascii="Palatino Linotype" w:hAnsi="Palatino Linotype"/>
          <w:sz w:val="22"/>
          <w:szCs w:val="22"/>
        </w:rPr>
        <w:t>El</w:t>
      </w:r>
      <w:r w:rsidR="00C6540C" w:rsidRPr="00A618CE">
        <w:rPr>
          <w:rFonts w:ascii="Palatino Linotype" w:hAnsi="Palatino Linotype"/>
          <w:b/>
          <w:bCs/>
          <w:sz w:val="22"/>
          <w:szCs w:val="22"/>
        </w:rPr>
        <w:t xml:space="preserve"> dos de mayo de dos mil veinticinco, </w:t>
      </w:r>
      <w:r w:rsidR="00C6540C" w:rsidRPr="00A618CE">
        <w:rPr>
          <w:rFonts w:ascii="Palatino Linotype" w:hAnsi="Palatino Linotype"/>
          <w:sz w:val="22"/>
          <w:szCs w:val="22"/>
        </w:rPr>
        <w:t xml:space="preserve">el </w:t>
      </w:r>
      <w:r w:rsidR="00C6540C" w:rsidRPr="00A618CE">
        <w:rPr>
          <w:rFonts w:ascii="Palatino Linotype" w:hAnsi="Palatino Linotype"/>
          <w:b/>
          <w:bCs/>
          <w:sz w:val="22"/>
          <w:szCs w:val="22"/>
        </w:rPr>
        <w:t xml:space="preserve">Sujeto Obligado </w:t>
      </w:r>
      <w:r w:rsidR="00C6540C" w:rsidRPr="00A618CE">
        <w:rPr>
          <w:rFonts w:ascii="Palatino Linotype" w:hAnsi="Palatino Linotype"/>
          <w:sz w:val="22"/>
          <w:szCs w:val="22"/>
        </w:rPr>
        <w:t>notificó a la persona solicitante de información, la prórroga para atender su solicitud de información, medularmente en los siguientes términos:</w:t>
      </w:r>
    </w:p>
    <w:p w14:paraId="2D54C087" w14:textId="77777777" w:rsidR="00C6540C" w:rsidRPr="00A618CE" w:rsidRDefault="00C6540C" w:rsidP="00C6540C">
      <w:pPr>
        <w:pStyle w:val="NormalWeb"/>
        <w:spacing w:before="240" w:after="240"/>
        <w:ind w:left="720" w:right="900"/>
        <w:jc w:val="right"/>
        <w:rPr>
          <w:rFonts w:ascii="Palatino Linotype" w:hAnsi="Palatino Linotype"/>
          <w:i/>
          <w:iCs/>
          <w:color w:val="000000"/>
          <w:sz w:val="22"/>
          <w:szCs w:val="22"/>
        </w:rPr>
      </w:pPr>
      <w:r w:rsidRPr="00A618CE">
        <w:rPr>
          <w:rFonts w:ascii="Palatino Linotype" w:hAnsi="Palatino Linotype"/>
          <w:i/>
          <w:iCs/>
          <w:color w:val="000000"/>
          <w:sz w:val="22"/>
          <w:szCs w:val="22"/>
        </w:rPr>
        <w:t>“Folio de la solicitud: 00441/IEEM/IP/2025</w:t>
      </w:r>
    </w:p>
    <w:p w14:paraId="276ACA18" w14:textId="77777777" w:rsidR="00C6540C" w:rsidRPr="00A618CE" w:rsidRDefault="00C6540C" w:rsidP="00C6540C">
      <w:pPr>
        <w:pStyle w:val="NormalWeb"/>
        <w:spacing w:before="240" w:after="240"/>
        <w:ind w:left="720" w:right="900"/>
        <w:jc w:val="both"/>
        <w:rPr>
          <w:rFonts w:ascii="Palatino Linotype" w:hAnsi="Palatino Linotype"/>
          <w:i/>
          <w:iCs/>
          <w:color w:val="000000"/>
          <w:sz w:val="22"/>
          <w:szCs w:val="22"/>
        </w:rPr>
      </w:pPr>
      <w:r w:rsidRPr="00A618CE">
        <w:rPr>
          <w:rFonts w:ascii="Palatino Linotype" w:hAnsi="Palatino Linotype"/>
          <w:i/>
          <w:iCs/>
          <w:color w:val="000000"/>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6D7C665" w14:textId="77777777" w:rsidR="00C6540C" w:rsidRPr="00A618CE" w:rsidRDefault="00C6540C" w:rsidP="00C6540C">
      <w:pPr>
        <w:pStyle w:val="NormalWeb"/>
        <w:spacing w:before="240" w:after="240"/>
        <w:ind w:left="720" w:right="900"/>
        <w:jc w:val="both"/>
        <w:rPr>
          <w:rFonts w:ascii="Palatino Linotype" w:hAnsi="Palatino Linotype"/>
          <w:i/>
          <w:iCs/>
          <w:color w:val="000000"/>
          <w:sz w:val="22"/>
          <w:szCs w:val="22"/>
        </w:rPr>
      </w:pPr>
      <w:r w:rsidRPr="00A618CE">
        <w:rPr>
          <w:rFonts w:ascii="Palatino Linotype" w:hAnsi="Palatino Linotype"/>
          <w:i/>
          <w:iCs/>
          <w:color w:val="000000"/>
          <w:sz w:val="22"/>
          <w:szCs w:val="22"/>
        </w:rPr>
        <w:t>Con fundamento en lo establecido en el artículo 163, segundo párrafo de la Ley de Transparencia y Acceso a la Información Pública del Estado de México y Municipios, se autoriza la ampliación de plazo para otorgar respuesta a la solicitud de información, de conformidad con el acuerdo aprobado por el Comité de Transparencia que se adjunta.</w:t>
      </w:r>
    </w:p>
    <w:p w14:paraId="5EE2FC10" w14:textId="77777777" w:rsidR="00C6540C" w:rsidRPr="00A618CE" w:rsidRDefault="00C6540C" w:rsidP="00C6540C">
      <w:pPr>
        <w:pStyle w:val="NormalWeb"/>
        <w:spacing w:before="240" w:after="240"/>
        <w:ind w:left="720" w:right="900"/>
        <w:jc w:val="both"/>
        <w:rPr>
          <w:rFonts w:ascii="Palatino Linotype" w:hAnsi="Palatino Linotype"/>
          <w:i/>
          <w:iCs/>
          <w:color w:val="000000"/>
          <w:sz w:val="22"/>
          <w:szCs w:val="22"/>
        </w:rPr>
      </w:pPr>
      <w:r w:rsidRPr="00A618CE">
        <w:rPr>
          <w:rFonts w:ascii="Palatino Linotype" w:hAnsi="Palatino Linotype"/>
          <w:i/>
          <w:iCs/>
          <w:color w:val="000000"/>
          <w:sz w:val="22"/>
          <w:szCs w:val="22"/>
        </w:rPr>
        <w:t>MAESTRA LILIBETH ÁLVAREZ RODRÍGUEZ</w:t>
      </w:r>
    </w:p>
    <w:p w14:paraId="2741780B" w14:textId="47F75C13" w:rsidR="00C6540C" w:rsidRPr="00A618CE" w:rsidRDefault="00C6540C" w:rsidP="00C6540C">
      <w:pPr>
        <w:pStyle w:val="NormalWeb"/>
        <w:spacing w:before="240" w:beforeAutospacing="0" w:after="240" w:afterAutospacing="0"/>
        <w:ind w:left="720" w:right="900"/>
        <w:jc w:val="both"/>
      </w:pPr>
      <w:r w:rsidRPr="00A618CE">
        <w:rPr>
          <w:rFonts w:ascii="Palatino Linotype" w:hAnsi="Palatino Linotype"/>
          <w:i/>
          <w:iCs/>
          <w:color w:val="000000"/>
          <w:sz w:val="22"/>
          <w:szCs w:val="22"/>
        </w:rPr>
        <w:t>Responsable de la Unidad de Transparencia</w:t>
      </w:r>
      <w:r w:rsidRPr="00A618CE">
        <w:rPr>
          <w:rFonts w:ascii="Palatino Linotype" w:hAnsi="Palatino Linotype"/>
          <w:color w:val="000000"/>
          <w:sz w:val="22"/>
          <w:szCs w:val="22"/>
        </w:rPr>
        <w:t>.”</w:t>
      </w:r>
    </w:p>
    <w:p w14:paraId="201F397D" w14:textId="119E3793" w:rsidR="00C6540C" w:rsidRPr="00A618CE" w:rsidRDefault="00C6540C" w:rsidP="00C6540C">
      <w:pPr>
        <w:pStyle w:val="NormalWeb"/>
        <w:spacing w:before="240" w:beforeAutospacing="0" w:after="240" w:afterAutospacing="0" w:line="360" w:lineRule="auto"/>
        <w:jc w:val="both"/>
      </w:pPr>
      <w:r w:rsidRPr="00A618CE">
        <w:rPr>
          <w:rFonts w:ascii="Palatino Linotype" w:hAnsi="Palatino Linotype"/>
          <w:color w:val="000000"/>
          <w:sz w:val="22"/>
          <w:szCs w:val="22"/>
        </w:rPr>
        <w:t xml:space="preserve">Es de precisar que del análisis a esta ampliación de plazo, se tiene que </w:t>
      </w:r>
      <w:r w:rsidRPr="00A618CE">
        <w:rPr>
          <w:rFonts w:ascii="Palatino Linotype" w:hAnsi="Palatino Linotype"/>
          <w:b/>
          <w:bCs/>
          <w:color w:val="000000"/>
          <w:sz w:val="22"/>
          <w:szCs w:val="22"/>
        </w:rPr>
        <w:t xml:space="preserve">si </w:t>
      </w:r>
      <w:r w:rsidRPr="00A618CE">
        <w:rPr>
          <w:rFonts w:ascii="Palatino Linotype" w:hAnsi="Palatino Linotype"/>
          <w:color w:val="000000"/>
          <w:sz w:val="22"/>
          <w:szCs w:val="22"/>
        </w:rPr>
        <w:t>se efectuó dentro de los parámetros establecidos por el segundo párrafo del artículo 163 de la Ley de Transparencia Local, toda vez que si se adjuntó el acuerdo del Comité de Transparencia por el que se aprueba la prórroga para atender la presente solicitud de información.</w:t>
      </w:r>
    </w:p>
    <w:p w14:paraId="73BAFFEF" w14:textId="77777777" w:rsidR="00E820A2" w:rsidRPr="00A618CE" w:rsidRDefault="00E820A2" w:rsidP="00E820A2">
      <w:p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p>
    <w:p w14:paraId="45870D42" w14:textId="641D8F53" w:rsidR="005B68DD" w:rsidRPr="00A618CE" w:rsidRDefault="00A57AF2">
      <w:pPr>
        <w:numPr>
          <w:ilvl w:val="0"/>
          <w:numId w:val="6"/>
        </w:numPr>
        <w:pBdr>
          <w:top w:val="nil"/>
          <w:left w:val="nil"/>
          <w:bottom w:val="nil"/>
          <w:right w:val="nil"/>
          <w:between w:val="nil"/>
        </w:pBdr>
        <w:spacing w:line="360" w:lineRule="auto"/>
        <w:ind w:left="0" w:firstLine="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Respuesta. </w:t>
      </w:r>
      <w:r w:rsidRPr="00A618CE">
        <w:rPr>
          <w:rFonts w:ascii="Palatino Linotype" w:eastAsia="Palatino Linotype" w:hAnsi="Palatino Linotype" w:cs="Palatino Linotype"/>
          <w:sz w:val="22"/>
          <w:szCs w:val="22"/>
        </w:rPr>
        <w:t xml:space="preserve">Con fecha </w:t>
      </w:r>
      <w:r w:rsidR="00B27686" w:rsidRPr="00A618CE">
        <w:rPr>
          <w:rFonts w:ascii="Palatino Linotype" w:eastAsia="Palatino Linotype" w:hAnsi="Palatino Linotype" w:cs="Palatino Linotype"/>
          <w:b/>
          <w:sz w:val="22"/>
          <w:szCs w:val="22"/>
        </w:rPr>
        <w:t>dieciséis</w:t>
      </w:r>
      <w:r w:rsidR="00B60790" w:rsidRPr="00A618CE">
        <w:rPr>
          <w:rFonts w:ascii="Palatino Linotype" w:eastAsia="Palatino Linotype" w:hAnsi="Palatino Linotype" w:cs="Palatino Linotype"/>
          <w:b/>
          <w:sz w:val="22"/>
          <w:szCs w:val="22"/>
        </w:rPr>
        <w:t xml:space="preserve"> de </w:t>
      </w:r>
      <w:r w:rsidR="00B27686" w:rsidRPr="00A618CE">
        <w:rPr>
          <w:rFonts w:ascii="Palatino Linotype" w:eastAsia="Palatino Linotype" w:hAnsi="Palatino Linotype" w:cs="Palatino Linotype"/>
          <w:b/>
          <w:sz w:val="22"/>
          <w:szCs w:val="22"/>
        </w:rPr>
        <w:t>mayo</w:t>
      </w:r>
      <w:r w:rsidRPr="00A618CE">
        <w:rPr>
          <w:rFonts w:ascii="Palatino Linotype" w:eastAsia="Palatino Linotype" w:hAnsi="Palatino Linotype" w:cs="Palatino Linotype"/>
          <w:b/>
          <w:sz w:val="22"/>
          <w:szCs w:val="22"/>
        </w:rPr>
        <w:t xml:space="preserve"> de dos mil veinticinco</w:t>
      </w:r>
      <w:r w:rsidRPr="00A618CE">
        <w:rPr>
          <w:rFonts w:ascii="Palatino Linotype" w:eastAsia="Palatino Linotype" w:hAnsi="Palatino Linotype" w:cs="Palatino Linotype"/>
          <w:sz w:val="22"/>
          <w:szCs w:val="22"/>
        </w:rPr>
        <w:t xml:space="preserve">, el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 xml:space="preserve"> envió su respuesta a la solicitud de acceso a la información a través del SAIMEX, la cual versa como sigue: </w:t>
      </w:r>
    </w:p>
    <w:p w14:paraId="69147504" w14:textId="77777777" w:rsidR="005B68DD" w:rsidRPr="00A618CE" w:rsidRDefault="005B68DD">
      <w:pPr>
        <w:tabs>
          <w:tab w:val="left" w:pos="7371"/>
        </w:tabs>
        <w:spacing w:line="360" w:lineRule="auto"/>
        <w:ind w:right="616"/>
        <w:jc w:val="both"/>
        <w:rPr>
          <w:rFonts w:ascii="Palatino Linotype" w:eastAsia="Palatino Linotype" w:hAnsi="Palatino Linotype" w:cs="Palatino Linotype"/>
          <w:i/>
          <w:sz w:val="22"/>
          <w:szCs w:val="22"/>
        </w:rPr>
      </w:pPr>
      <w:bookmarkStart w:id="0" w:name="_heading=h.3znysh7" w:colFirst="0" w:colLast="0"/>
      <w:bookmarkEnd w:id="0"/>
    </w:p>
    <w:p w14:paraId="6CF21119" w14:textId="32420FC6" w:rsidR="00B27686" w:rsidRPr="00A618CE" w:rsidRDefault="00B60790" w:rsidP="00B27686">
      <w:pPr>
        <w:tabs>
          <w:tab w:val="left" w:pos="7371"/>
        </w:tabs>
        <w:spacing w:line="276" w:lineRule="auto"/>
        <w:ind w:left="567" w:right="616"/>
        <w:jc w:val="right"/>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r w:rsidR="00B27686" w:rsidRPr="00A618CE">
        <w:rPr>
          <w:rFonts w:ascii="Palatino Linotype" w:eastAsia="Palatino Linotype" w:hAnsi="Palatino Linotype" w:cs="Palatino Linotype"/>
          <w:i/>
          <w:sz w:val="22"/>
          <w:szCs w:val="22"/>
        </w:rPr>
        <w:t>Folio de la solicitud: 00441/IEEM/IP/2025</w:t>
      </w:r>
    </w:p>
    <w:p w14:paraId="3523310D" w14:textId="77777777" w:rsidR="00B27686" w:rsidRPr="00A618CE" w:rsidRDefault="00B27686" w:rsidP="00B27686">
      <w:pPr>
        <w:tabs>
          <w:tab w:val="left" w:pos="7371"/>
        </w:tabs>
        <w:spacing w:line="276" w:lineRule="auto"/>
        <w:ind w:left="567" w:right="616"/>
        <w:jc w:val="right"/>
        <w:rPr>
          <w:rFonts w:ascii="Palatino Linotype" w:eastAsia="Palatino Linotype" w:hAnsi="Palatino Linotype" w:cs="Palatino Linotype"/>
          <w:i/>
          <w:sz w:val="22"/>
          <w:szCs w:val="22"/>
        </w:rPr>
      </w:pPr>
    </w:p>
    <w:p w14:paraId="1D86DD73" w14:textId="77777777" w:rsidR="00B27686" w:rsidRPr="00A618CE" w:rsidRDefault="00B27686" w:rsidP="00B27686">
      <w:pPr>
        <w:tabs>
          <w:tab w:val="left" w:pos="7371"/>
        </w:tabs>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1AD9C9B" w14:textId="77777777" w:rsidR="00B27686" w:rsidRPr="00A618CE" w:rsidRDefault="00B27686" w:rsidP="00B27686">
      <w:pPr>
        <w:tabs>
          <w:tab w:val="left" w:pos="7371"/>
        </w:tabs>
        <w:spacing w:line="276" w:lineRule="auto"/>
        <w:ind w:left="567" w:right="616"/>
        <w:jc w:val="both"/>
        <w:rPr>
          <w:rFonts w:ascii="Palatino Linotype" w:eastAsia="Palatino Linotype" w:hAnsi="Palatino Linotype" w:cs="Palatino Linotype"/>
          <w:i/>
          <w:sz w:val="22"/>
          <w:szCs w:val="22"/>
        </w:rPr>
      </w:pPr>
    </w:p>
    <w:p w14:paraId="59EA57DF" w14:textId="77777777" w:rsidR="00B27686" w:rsidRPr="00A618CE" w:rsidRDefault="00B27686" w:rsidP="00B27686">
      <w:pPr>
        <w:tabs>
          <w:tab w:val="left" w:pos="7371"/>
        </w:tabs>
        <w:spacing w:line="276" w:lineRule="auto"/>
        <w:ind w:left="567" w:right="616"/>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Se adjunta respuesta a su solicitud de información.</w:t>
      </w:r>
    </w:p>
    <w:p w14:paraId="18E846B2" w14:textId="77777777" w:rsidR="00B27686" w:rsidRPr="00A618CE" w:rsidRDefault="00B27686" w:rsidP="00B27686">
      <w:pPr>
        <w:tabs>
          <w:tab w:val="left" w:pos="7371"/>
        </w:tabs>
        <w:spacing w:line="276" w:lineRule="auto"/>
        <w:ind w:left="567" w:right="616"/>
        <w:rPr>
          <w:rFonts w:ascii="Palatino Linotype" w:eastAsia="Palatino Linotype" w:hAnsi="Palatino Linotype" w:cs="Palatino Linotype"/>
          <w:i/>
          <w:sz w:val="22"/>
          <w:szCs w:val="22"/>
        </w:rPr>
      </w:pPr>
    </w:p>
    <w:p w14:paraId="0E39F0B7" w14:textId="77777777" w:rsidR="00B27686" w:rsidRPr="00A618CE" w:rsidRDefault="00B27686" w:rsidP="00B27686">
      <w:pPr>
        <w:tabs>
          <w:tab w:val="left" w:pos="7371"/>
        </w:tabs>
        <w:spacing w:line="276" w:lineRule="auto"/>
        <w:ind w:left="567" w:right="616"/>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ATENTAMENTE</w:t>
      </w:r>
    </w:p>
    <w:p w14:paraId="56F33698" w14:textId="178CEBA5" w:rsidR="005B68DD" w:rsidRPr="00A618CE" w:rsidRDefault="00B27686" w:rsidP="00B27686">
      <w:pPr>
        <w:tabs>
          <w:tab w:val="left" w:pos="7371"/>
        </w:tabs>
        <w:spacing w:line="276" w:lineRule="auto"/>
        <w:ind w:left="567" w:right="616"/>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MAESTRA LILIBETH ÁLVAREZ RODRÍGUEZ</w:t>
      </w:r>
      <w:r w:rsidR="00B60790" w:rsidRPr="00A618CE">
        <w:rPr>
          <w:rFonts w:ascii="Palatino Linotype" w:eastAsia="Palatino Linotype" w:hAnsi="Palatino Linotype" w:cs="Palatino Linotype"/>
          <w:i/>
          <w:sz w:val="22"/>
          <w:szCs w:val="22"/>
        </w:rPr>
        <w:t>”</w:t>
      </w:r>
    </w:p>
    <w:p w14:paraId="43CC08F2" w14:textId="77777777" w:rsidR="001B1B82" w:rsidRPr="00A618CE" w:rsidRDefault="001B1B82"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2F360A3" w14:textId="131300A2" w:rsidR="00B60790" w:rsidRPr="00A618CE" w:rsidRDefault="00B60790"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bookmarkStart w:id="1" w:name="_Hlk203486826"/>
      <w:r w:rsidRPr="00A618CE">
        <w:rPr>
          <w:rFonts w:ascii="Palatino Linotype" w:eastAsia="Palatino Linotype" w:hAnsi="Palatino Linotype" w:cs="Palatino Linotype"/>
          <w:sz w:val="22"/>
          <w:szCs w:val="22"/>
        </w:rPr>
        <w:t xml:space="preserve">El Sujeto Obligado adjuntó a su respuesta los siguientes archivos electrónicos: </w:t>
      </w:r>
    </w:p>
    <w:p w14:paraId="52680236" w14:textId="77777777" w:rsidR="00630CDA" w:rsidRPr="00A618CE" w:rsidRDefault="00630CDA"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32E0EA55" w14:textId="53931926" w:rsidR="00857F21" w:rsidRPr="00A618CE" w:rsidRDefault="0079291C" w:rsidP="00B60790">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i/>
          <w:sz w:val="22"/>
          <w:szCs w:val="22"/>
        </w:rPr>
        <w:t>IEEM-DA-2990-2025.docx VF.docx y IEEM-DA-2990-</w:t>
      </w:r>
      <w:proofErr w:type="gramStart"/>
      <w:r w:rsidRPr="00A618CE">
        <w:rPr>
          <w:rFonts w:ascii="Palatino Linotype" w:eastAsia="Palatino Linotype" w:hAnsi="Palatino Linotype" w:cs="Palatino Linotype"/>
          <w:b/>
          <w:i/>
          <w:sz w:val="22"/>
          <w:szCs w:val="22"/>
        </w:rPr>
        <w:t>2025..</w:t>
      </w:r>
      <w:proofErr w:type="gramEnd"/>
      <w:r w:rsidRPr="00A618CE">
        <w:rPr>
          <w:rFonts w:ascii="Palatino Linotype" w:eastAsia="Palatino Linotype" w:hAnsi="Palatino Linotype" w:cs="Palatino Linotype"/>
          <w:b/>
          <w:i/>
          <w:sz w:val="22"/>
          <w:szCs w:val="22"/>
        </w:rPr>
        <w:t>pdf</w:t>
      </w:r>
      <w:r w:rsidR="00B60790" w:rsidRPr="00A618CE">
        <w:rPr>
          <w:rFonts w:ascii="Palatino Linotype" w:eastAsia="Palatino Linotype" w:hAnsi="Palatino Linotype" w:cs="Palatino Linotype"/>
          <w:b/>
          <w:i/>
          <w:sz w:val="22"/>
          <w:szCs w:val="22"/>
        </w:rPr>
        <w:t>.</w:t>
      </w:r>
      <w:r w:rsidRPr="00A618CE">
        <w:rPr>
          <w:rFonts w:ascii="Palatino Linotype" w:eastAsia="Palatino Linotype" w:hAnsi="Palatino Linotype" w:cs="Palatino Linotype"/>
          <w:b/>
          <w:i/>
          <w:sz w:val="22"/>
          <w:szCs w:val="22"/>
        </w:rPr>
        <w:t xml:space="preserve"> </w:t>
      </w:r>
      <w:r w:rsidR="00B60790" w:rsidRPr="00A618CE">
        <w:rPr>
          <w:rFonts w:ascii="Palatino Linotype" w:eastAsia="Palatino Linotype" w:hAnsi="Palatino Linotype" w:cs="Palatino Linotype"/>
          <w:sz w:val="22"/>
          <w:szCs w:val="22"/>
        </w:rPr>
        <w:t>Mismos que contienen el oficio número IEEM/DA/2</w:t>
      </w:r>
      <w:r w:rsidR="006F42C2" w:rsidRPr="00A618CE">
        <w:rPr>
          <w:rFonts w:ascii="Palatino Linotype" w:eastAsia="Palatino Linotype" w:hAnsi="Palatino Linotype" w:cs="Palatino Linotype"/>
          <w:sz w:val="22"/>
          <w:szCs w:val="22"/>
        </w:rPr>
        <w:t>990</w:t>
      </w:r>
      <w:r w:rsidR="00B60790" w:rsidRPr="00A618CE">
        <w:rPr>
          <w:rFonts w:ascii="Palatino Linotype" w:eastAsia="Palatino Linotype" w:hAnsi="Palatino Linotype" w:cs="Palatino Linotype"/>
          <w:sz w:val="22"/>
          <w:szCs w:val="22"/>
        </w:rPr>
        <w:t>/2025, de fecha</w:t>
      </w:r>
      <w:r w:rsidR="006F42C2" w:rsidRPr="00A618CE">
        <w:rPr>
          <w:rFonts w:ascii="Palatino Linotype" w:eastAsia="Palatino Linotype" w:hAnsi="Palatino Linotype" w:cs="Palatino Linotype"/>
          <w:sz w:val="22"/>
          <w:szCs w:val="22"/>
        </w:rPr>
        <w:t xml:space="preserve"> trece mayo </w:t>
      </w:r>
      <w:r w:rsidR="00B60790" w:rsidRPr="00A618CE">
        <w:rPr>
          <w:rFonts w:ascii="Palatino Linotype" w:eastAsia="Palatino Linotype" w:hAnsi="Palatino Linotype" w:cs="Palatino Linotype"/>
          <w:sz w:val="22"/>
          <w:szCs w:val="22"/>
        </w:rPr>
        <w:t>de dos mil veinticinco, signado por  el Director de Administración, mediante el cual señaló que como resultado de la búsqueda razonable, exhaustiva y minuciosa en los archivos de</w:t>
      </w:r>
      <w:r w:rsidR="006F42C2" w:rsidRPr="00A618CE">
        <w:rPr>
          <w:rFonts w:ascii="Palatino Linotype" w:eastAsia="Palatino Linotype" w:hAnsi="Palatino Linotype" w:cs="Palatino Linotype"/>
          <w:sz w:val="22"/>
          <w:szCs w:val="22"/>
        </w:rPr>
        <w:t xml:space="preserve"> la Subdirección de Recursos Humanos y Servicios Generales</w:t>
      </w:r>
      <w:r w:rsidR="00B60790" w:rsidRPr="00A618CE">
        <w:rPr>
          <w:rFonts w:ascii="Palatino Linotype" w:eastAsia="Palatino Linotype" w:hAnsi="Palatino Linotype" w:cs="Palatino Linotype"/>
          <w:sz w:val="22"/>
          <w:szCs w:val="22"/>
        </w:rPr>
        <w:t>, adscrita a dicha Dirección, a través de</w:t>
      </w:r>
      <w:r w:rsidR="006F42C2" w:rsidRPr="00A618CE">
        <w:rPr>
          <w:rFonts w:ascii="Palatino Linotype" w:eastAsia="Palatino Linotype" w:hAnsi="Palatino Linotype" w:cs="Palatino Linotype"/>
          <w:sz w:val="22"/>
          <w:szCs w:val="22"/>
        </w:rPr>
        <w:t xml:space="preserve"> la tarjeta </w:t>
      </w:r>
      <w:proofErr w:type="spellStart"/>
      <w:r w:rsidR="006F42C2" w:rsidRPr="00A618CE">
        <w:rPr>
          <w:rFonts w:ascii="Palatino Linotype" w:eastAsia="Palatino Linotype" w:hAnsi="Palatino Linotype" w:cs="Palatino Linotype"/>
          <w:sz w:val="22"/>
          <w:szCs w:val="22"/>
        </w:rPr>
        <w:t>SRHySGT</w:t>
      </w:r>
      <w:proofErr w:type="spellEnd"/>
      <w:r w:rsidR="006F42C2" w:rsidRPr="00A618CE">
        <w:rPr>
          <w:rFonts w:ascii="Palatino Linotype" w:eastAsia="Palatino Linotype" w:hAnsi="Palatino Linotype" w:cs="Palatino Linotype"/>
          <w:sz w:val="22"/>
          <w:szCs w:val="22"/>
        </w:rPr>
        <w:t>/102/225</w:t>
      </w:r>
      <w:r w:rsidR="00B60790" w:rsidRPr="00A618CE">
        <w:rPr>
          <w:rFonts w:ascii="Palatino Linotype" w:eastAsia="Palatino Linotype" w:hAnsi="Palatino Linotype" w:cs="Palatino Linotype"/>
          <w:sz w:val="22"/>
          <w:szCs w:val="22"/>
        </w:rPr>
        <w:t xml:space="preserve">, el Titular de la Subdirección </w:t>
      </w:r>
      <w:r w:rsidR="006F42C2" w:rsidRPr="00A618CE">
        <w:rPr>
          <w:rFonts w:ascii="Palatino Linotype" w:eastAsia="Palatino Linotype" w:hAnsi="Palatino Linotype" w:cs="Palatino Linotype"/>
          <w:sz w:val="22"/>
          <w:szCs w:val="22"/>
        </w:rPr>
        <w:t>remitió archivos relativos a la Plantilla de Personal Eventual para los Órganos Desconcentrados y</w:t>
      </w:r>
      <w:r w:rsidR="00857F21" w:rsidRPr="00A618CE">
        <w:rPr>
          <w:rFonts w:ascii="Palatino Linotype" w:eastAsia="Palatino Linotype" w:hAnsi="Palatino Linotype" w:cs="Palatino Linotype"/>
          <w:sz w:val="22"/>
          <w:szCs w:val="22"/>
        </w:rPr>
        <w:t xml:space="preserve"> la Plantilla de Personal para el Órgano Central, aprobadas mediante acuerdos IEEM/JG/09/2025 y IEEM/JG/10/2025, documentales que se envían a través del SAIMEX</w:t>
      </w:r>
      <w:r w:rsidR="00D33654" w:rsidRPr="00A618CE">
        <w:rPr>
          <w:rFonts w:ascii="Palatino Linotype" w:eastAsia="Palatino Linotype" w:hAnsi="Palatino Linotype" w:cs="Palatino Linotype"/>
          <w:sz w:val="22"/>
          <w:szCs w:val="22"/>
        </w:rPr>
        <w:t>.</w:t>
      </w:r>
    </w:p>
    <w:p w14:paraId="0F9D3572" w14:textId="77777777" w:rsidR="00C14834" w:rsidRPr="00A618CE" w:rsidRDefault="00C14834" w:rsidP="00B60790">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0BC37716" w14:textId="64BC4807" w:rsidR="004F3CE0" w:rsidRPr="00A618CE" w:rsidRDefault="00857F21"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Asimismo se informó que se realizó la contratación de carácter civil, bajo el régimen de prestadores de servicios por honorarios asimilados a salarios, a:</w:t>
      </w:r>
    </w:p>
    <w:p w14:paraId="5419EB4D" w14:textId="77777777" w:rsidR="004F3CE0" w:rsidRPr="00A618CE" w:rsidRDefault="004F3CE0"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56CF1AFE" w14:textId="77777777" w:rsidR="00857F21" w:rsidRPr="00A618CE" w:rsidRDefault="00857F21"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w:t>
      </w:r>
      <w:r w:rsidRPr="00A618CE">
        <w:rPr>
          <w:rFonts w:ascii="Palatino Linotype" w:eastAsia="Palatino Linotype" w:hAnsi="Palatino Linotype" w:cs="Palatino Linotype"/>
          <w:sz w:val="22"/>
          <w:szCs w:val="22"/>
        </w:rPr>
        <w:tab/>
        <w:t>391 Supervisores/as Electorales Locales (SEL).</w:t>
      </w:r>
    </w:p>
    <w:p w14:paraId="624B62DB" w14:textId="77777777" w:rsidR="00857F21" w:rsidRPr="00A618CE" w:rsidRDefault="00857F21"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w:t>
      </w:r>
      <w:r w:rsidRPr="00A618CE">
        <w:rPr>
          <w:rFonts w:ascii="Palatino Linotype" w:eastAsia="Palatino Linotype" w:hAnsi="Palatino Linotype" w:cs="Palatino Linotype"/>
          <w:sz w:val="22"/>
          <w:szCs w:val="22"/>
        </w:rPr>
        <w:tab/>
        <w:t>2,328 Capacitadores/as Asistentes Electorales Locales (CAEL).</w:t>
      </w:r>
    </w:p>
    <w:p w14:paraId="24EF1C23" w14:textId="1D180FBD" w:rsidR="00B46227" w:rsidRPr="00A618CE" w:rsidRDefault="00857F21"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w:t>
      </w:r>
      <w:r w:rsidRPr="00A618CE">
        <w:rPr>
          <w:rFonts w:ascii="Palatino Linotype" w:eastAsia="Palatino Linotype" w:hAnsi="Palatino Linotype" w:cs="Palatino Linotype"/>
          <w:sz w:val="22"/>
          <w:szCs w:val="22"/>
        </w:rPr>
        <w:tab/>
        <w:t xml:space="preserve">216 Consejeros de Órganos Desconcentrados. </w:t>
      </w:r>
    </w:p>
    <w:p w14:paraId="5B6F1686" w14:textId="4FBFF031" w:rsidR="00B46227" w:rsidRPr="00A618CE" w:rsidRDefault="00857F21"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Información que se advierte en el listado de personas designadas como SEL y CAEL y de la designación directa de Consejerías de los 18 Órganos Desconcentrados, documentales que se envían a través del SAIMEX</w:t>
      </w:r>
      <w:r w:rsidR="00B46227" w:rsidRPr="00A618CE">
        <w:rPr>
          <w:rFonts w:ascii="Palatino Linotype" w:eastAsia="Palatino Linotype" w:hAnsi="Palatino Linotype" w:cs="Palatino Linotype"/>
          <w:sz w:val="22"/>
          <w:szCs w:val="22"/>
        </w:rPr>
        <w:t>.</w:t>
      </w:r>
    </w:p>
    <w:p w14:paraId="67F95AEC" w14:textId="77777777" w:rsidR="00E820A2" w:rsidRPr="00A618CE" w:rsidRDefault="00E820A2" w:rsidP="00857F21">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120D1AF" w14:textId="0417235D" w:rsidR="00B46227" w:rsidRPr="00A618CE" w:rsidRDefault="00857F21"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Asimismo, </w:t>
      </w:r>
      <w:r w:rsidR="00B46227" w:rsidRPr="00A618CE">
        <w:rPr>
          <w:rFonts w:ascii="Palatino Linotype" w:eastAsia="Palatino Linotype" w:hAnsi="Palatino Linotype" w:cs="Palatino Linotype"/>
          <w:sz w:val="22"/>
          <w:szCs w:val="22"/>
        </w:rPr>
        <w:t xml:space="preserve">se precisó que, </w:t>
      </w:r>
      <w:r w:rsidRPr="00A618CE">
        <w:rPr>
          <w:rFonts w:ascii="Palatino Linotype" w:eastAsia="Palatino Linotype" w:hAnsi="Palatino Linotype" w:cs="Palatino Linotype"/>
          <w:sz w:val="22"/>
          <w:szCs w:val="22"/>
        </w:rPr>
        <w:t xml:space="preserve">hasta el momento se tiene una proyección de contratación de carácter civil, bajo el régimen de prestadores de servicios por honorarios asimilados a salarios de 1,420 </w:t>
      </w:r>
      <w:r w:rsidRPr="00A618CE">
        <w:rPr>
          <w:rFonts w:ascii="Palatino Linotype" w:eastAsia="Palatino Linotype" w:hAnsi="Palatino Linotype" w:cs="Palatino Linotype"/>
          <w:sz w:val="22"/>
          <w:szCs w:val="22"/>
        </w:rPr>
        <w:lastRenderedPageBreak/>
        <w:t>personas que realizarán actividades de apoyo durante la Jornada Electoral, cifra que puede variar de acuerdo a las necesidades que susciten en cada Órgano Desconcentrado.</w:t>
      </w:r>
    </w:p>
    <w:p w14:paraId="51CEF8CD" w14:textId="77777777" w:rsidR="00B46227" w:rsidRPr="00A618CE" w:rsidRDefault="00B46227"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4A2EE9FB" w14:textId="14DC4CB5" w:rsidR="00B60790" w:rsidRPr="00A618CE" w:rsidRDefault="00990F7B"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2"/>
          <w:szCs w:val="22"/>
        </w:rPr>
      </w:pPr>
      <w:hyperlink r:id="rId9" w:tgtFrame="_blank" w:history="1">
        <w:r w:rsidR="00B46227" w:rsidRPr="00A618CE">
          <w:rPr>
            <w:rStyle w:val="Hipervnculo"/>
            <w:rFonts w:ascii="Palatino Linotype" w:eastAsia="Palatino Linotype" w:hAnsi="Palatino Linotype" w:cs="Palatino Linotype"/>
            <w:b/>
            <w:bCs/>
            <w:i/>
            <w:iCs/>
            <w:color w:val="000000" w:themeColor="text1"/>
            <w:sz w:val="22"/>
            <w:szCs w:val="22"/>
            <w:u w:val="none"/>
          </w:rPr>
          <w:t>SEGUNDA ETAPA PLANTILLA PERSONAL EVENTUAL OC.pdf</w:t>
        </w:r>
      </w:hyperlink>
      <w:r w:rsidR="00B46227" w:rsidRPr="00A618CE">
        <w:rPr>
          <w:rFonts w:ascii="Palatino Linotype" w:eastAsia="Palatino Linotype" w:hAnsi="Palatino Linotype" w:cs="Palatino Linotype"/>
          <w:i/>
          <w:iCs/>
          <w:color w:val="000000" w:themeColor="text1"/>
          <w:sz w:val="22"/>
          <w:szCs w:val="22"/>
        </w:rPr>
        <w:t>:</w:t>
      </w:r>
      <w:r w:rsidR="00B46227" w:rsidRPr="00A618CE">
        <w:rPr>
          <w:rFonts w:ascii="Palatino Linotype" w:eastAsia="Palatino Linotype" w:hAnsi="Palatino Linotype" w:cs="Palatino Linotype"/>
          <w:color w:val="000000" w:themeColor="text1"/>
          <w:sz w:val="22"/>
          <w:szCs w:val="22"/>
        </w:rPr>
        <w:t xml:space="preserve"> Documento que contiene la </w:t>
      </w:r>
      <w:r w:rsidR="00D33654" w:rsidRPr="00A618CE">
        <w:rPr>
          <w:rFonts w:ascii="Palatino Linotype" w:eastAsia="Palatino Linotype" w:hAnsi="Palatino Linotype" w:cs="Palatino Linotype"/>
          <w:color w:val="000000" w:themeColor="text1"/>
          <w:sz w:val="22"/>
          <w:szCs w:val="22"/>
        </w:rPr>
        <w:t>“</w:t>
      </w:r>
      <w:r w:rsidR="00B46227" w:rsidRPr="00A618CE">
        <w:rPr>
          <w:rFonts w:ascii="Palatino Linotype" w:eastAsia="Palatino Linotype" w:hAnsi="Palatino Linotype" w:cs="Palatino Linotype"/>
          <w:color w:val="000000" w:themeColor="text1"/>
          <w:sz w:val="22"/>
          <w:szCs w:val="22"/>
        </w:rPr>
        <w:t>Plantilla de personal Eventual del Órgano Central 2025</w:t>
      </w:r>
      <w:r w:rsidR="00D33654" w:rsidRPr="00A618CE">
        <w:rPr>
          <w:rFonts w:ascii="Palatino Linotype" w:eastAsia="Palatino Linotype" w:hAnsi="Palatino Linotype" w:cs="Palatino Linotype"/>
          <w:color w:val="000000" w:themeColor="text1"/>
          <w:sz w:val="22"/>
          <w:szCs w:val="22"/>
        </w:rPr>
        <w:t>”</w:t>
      </w:r>
      <w:r w:rsidR="00B46227" w:rsidRPr="00A618CE">
        <w:rPr>
          <w:rFonts w:ascii="Palatino Linotype" w:eastAsia="Palatino Linotype" w:hAnsi="Palatino Linotype" w:cs="Palatino Linotype"/>
          <w:color w:val="000000" w:themeColor="text1"/>
          <w:sz w:val="22"/>
          <w:szCs w:val="22"/>
        </w:rPr>
        <w:t xml:space="preserve">, </w:t>
      </w:r>
      <w:r w:rsidR="00D33654" w:rsidRPr="00A618CE">
        <w:rPr>
          <w:rFonts w:ascii="Palatino Linotype" w:eastAsia="Palatino Linotype" w:hAnsi="Palatino Linotype" w:cs="Palatino Linotype"/>
          <w:color w:val="000000" w:themeColor="text1"/>
          <w:sz w:val="22"/>
          <w:szCs w:val="22"/>
        </w:rPr>
        <w:t xml:space="preserve">constante de trece hojas, donde se advierte el puesto, nivel y rango, plazas y periodo por área. </w:t>
      </w:r>
    </w:p>
    <w:p w14:paraId="10E360D9" w14:textId="77777777" w:rsidR="00D33654" w:rsidRPr="00A618CE" w:rsidRDefault="00D33654"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2"/>
          <w:szCs w:val="22"/>
        </w:rPr>
      </w:pPr>
    </w:p>
    <w:p w14:paraId="44F2140A" w14:textId="1ECA394A" w:rsidR="00DC0C79" w:rsidRPr="00A618CE" w:rsidRDefault="00990F7B"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2"/>
          <w:szCs w:val="22"/>
        </w:rPr>
      </w:pPr>
      <w:hyperlink r:id="rId10" w:tgtFrame="_blank" w:history="1">
        <w:r w:rsidR="00D33654" w:rsidRPr="00A618CE">
          <w:rPr>
            <w:rStyle w:val="Hipervnculo"/>
            <w:rFonts w:ascii="Palatino Linotype" w:eastAsia="Palatino Linotype" w:hAnsi="Palatino Linotype" w:cs="Palatino Linotype"/>
            <w:b/>
            <w:bCs/>
            <w:i/>
            <w:iCs/>
            <w:color w:val="000000" w:themeColor="text1"/>
            <w:sz w:val="22"/>
            <w:szCs w:val="22"/>
            <w:u w:val="none"/>
          </w:rPr>
          <w:t>Listado-designacion-15042025.pdf</w:t>
        </w:r>
      </w:hyperlink>
      <w:r w:rsidR="00D33654" w:rsidRPr="00A618CE">
        <w:rPr>
          <w:rFonts w:ascii="Palatino Linotype" w:eastAsia="Palatino Linotype" w:hAnsi="Palatino Linotype" w:cs="Palatino Linotype"/>
          <w:b/>
          <w:bCs/>
          <w:i/>
          <w:iCs/>
          <w:color w:val="000000" w:themeColor="text1"/>
          <w:sz w:val="22"/>
          <w:szCs w:val="22"/>
        </w:rPr>
        <w:t xml:space="preserve">: </w:t>
      </w:r>
      <w:r w:rsidR="00D33654" w:rsidRPr="00A618CE">
        <w:rPr>
          <w:rFonts w:ascii="Palatino Linotype" w:eastAsia="Palatino Linotype" w:hAnsi="Palatino Linotype" w:cs="Palatino Linotype"/>
          <w:color w:val="000000" w:themeColor="text1"/>
          <w:sz w:val="22"/>
          <w:szCs w:val="22"/>
        </w:rPr>
        <w:t xml:space="preserve">Documento que contiene el “Listado de Personas Designadas como SEL o CAEL” para el Proceso Electoral Judicial Extraordinario 2025 del Estado de México, constante de </w:t>
      </w:r>
      <w:r w:rsidR="00DC0C79" w:rsidRPr="00A618CE">
        <w:rPr>
          <w:rFonts w:ascii="Palatino Linotype" w:eastAsia="Palatino Linotype" w:hAnsi="Palatino Linotype" w:cs="Palatino Linotype"/>
          <w:color w:val="000000" w:themeColor="text1"/>
          <w:sz w:val="22"/>
          <w:szCs w:val="22"/>
        </w:rPr>
        <w:t>ciento cuarenta y cuatro</w:t>
      </w:r>
      <w:r w:rsidR="00D33654" w:rsidRPr="00A618CE">
        <w:rPr>
          <w:rFonts w:ascii="Palatino Linotype" w:eastAsia="Palatino Linotype" w:hAnsi="Palatino Linotype" w:cs="Palatino Linotype"/>
          <w:color w:val="000000" w:themeColor="text1"/>
          <w:sz w:val="22"/>
          <w:szCs w:val="22"/>
        </w:rPr>
        <w:t xml:space="preserve"> hojas, donde se advierte el Municipio, Folio, Nombre y Cargo que se Designa. </w:t>
      </w:r>
    </w:p>
    <w:p w14:paraId="7B461634" w14:textId="77777777" w:rsidR="00DC0C79" w:rsidRPr="00A618CE" w:rsidRDefault="00DC0C79"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2"/>
          <w:szCs w:val="22"/>
        </w:rPr>
      </w:pPr>
    </w:p>
    <w:p w14:paraId="458D564A" w14:textId="524E7AD4" w:rsidR="00D33654" w:rsidRPr="00A618CE" w:rsidRDefault="00990F7B"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2"/>
          <w:szCs w:val="22"/>
        </w:rPr>
      </w:pPr>
      <w:hyperlink r:id="rId11" w:tgtFrame="_blank" w:history="1">
        <w:r w:rsidR="00D33654" w:rsidRPr="00A618CE">
          <w:rPr>
            <w:rStyle w:val="Hipervnculo"/>
            <w:rFonts w:ascii="Palatino Linotype" w:eastAsia="Palatino Linotype" w:hAnsi="Palatino Linotype" w:cs="Palatino Linotype"/>
            <w:b/>
            <w:bCs/>
            <w:i/>
            <w:iCs/>
            <w:color w:val="000000" w:themeColor="text1"/>
            <w:sz w:val="22"/>
            <w:szCs w:val="22"/>
            <w:u w:val="none"/>
          </w:rPr>
          <w:t>DESIGNACION-CONSEJERIAS.pdf</w:t>
        </w:r>
      </w:hyperlink>
      <w:r w:rsidR="00D33654" w:rsidRPr="00A618CE">
        <w:rPr>
          <w:rFonts w:ascii="Palatino Linotype" w:eastAsia="Palatino Linotype" w:hAnsi="Palatino Linotype" w:cs="Palatino Linotype"/>
          <w:b/>
          <w:bCs/>
          <w:i/>
          <w:iCs/>
          <w:color w:val="000000" w:themeColor="text1"/>
          <w:sz w:val="22"/>
          <w:szCs w:val="22"/>
        </w:rPr>
        <w:t xml:space="preserve">: </w:t>
      </w:r>
      <w:r w:rsidR="00DC0C79" w:rsidRPr="00A618CE">
        <w:rPr>
          <w:rFonts w:ascii="Palatino Linotype" w:eastAsia="Palatino Linotype" w:hAnsi="Palatino Linotype" w:cs="Palatino Linotype"/>
          <w:color w:val="000000" w:themeColor="text1"/>
          <w:sz w:val="22"/>
          <w:szCs w:val="22"/>
        </w:rPr>
        <w:t>Documento que contiene la “Designación Directa de Consejerías en los Órganos Desconcentrados para el Proceso Electoral Judicial Extraordinario 2025 del Estado de México” constante de dieciocho hojas, y donde se advierte el Distrito Judicial, N</w:t>
      </w:r>
      <w:r w:rsidR="00C14834" w:rsidRPr="00A618CE">
        <w:rPr>
          <w:rFonts w:ascii="Palatino Linotype" w:eastAsia="Palatino Linotype" w:hAnsi="Palatino Linotype" w:cs="Palatino Linotype"/>
          <w:color w:val="000000" w:themeColor="text1"/>
          <w:sz w:val="22"/>
          <w:szCs w:val="22"/>
        </w:rPr>
        <w:t xml:space="preserve">úmero </w:t>
      </w:r>
      <w:r w:rsidR="00DC0C79" w:rsidRPr="00A618CE">
        <w:rPr>
          <w:rFonts w:ascii="Palatino Linotype" w:eastAsia="Palatino Linotype" w:hAnsi="Palatino Linotype" w:cs="Palatino Linotype"/>
          <w:color w:val="000000" w:themeColor="text1"/>
          <w:sz w:val="22"/>
          <w:szCs w:val="22"/>
        </w:rPr>
        <w:t>C</w:t>
      </w:r>
      <w:r w:rsidR="00C14834" w:rsidRPr="00A618CE">
        <w:rPr>
          <w:rFonts w:ascii="Palatino Linotype" w:eastAsia="Palatino Linotype" w:hAnsi="Palatino Linotype" w:cs="Palatino Linotype"/>
          <w:color w:val="000000" w:themeColor="text1"/>
          <w:sz w:val="22"/>
          <w:szCs w:val="22"/>
        </w:rPr>
        <w:t>onsecutivo</w:t>
      </w:r>
      <w:r w:rsidR="00DC0C79" w:rsidRPr="00A618CE">
        <w:rPr>
          <w:rFonts w:ascii="Palatino Linotype" w:eastAsia="Palatino Linotype" w:hAnsi="Palatino Linotype" w:cs="Palatino Linotype"/>
          <w:color w:val="000000" w:themeColor="text1"/>
          <w:sz w:val="22"/>
          <w:szCs w:val="22"/>
        </w:rPr>
        <w:t xml:space="preserve">, Folio, Primer Apellido, Segundo Apellido, Nombre, Sexo, y Consejería. </w:t>
      </w:r>
    </w:p>
    <w:p w14:paraId="0273B5B5" w14:textId="77777777" w:rsidR="00D33654" w:rsidRPr="00A618CE" w:rsidRDefault="00D33654"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color w:val="000000" w:themeColor="text1"/>
          <w:sz w:val="22"/>
          <w:szCs w:val="22"/>
        </w:rPr>
      </w:pPr>
    </w:p>
    <w:p w14:paraId="33246997" w14:textId="3122B1AE" w:rsidR="00C14834" w:rsidRPr="00A618CE" w:rsidRDefault="00DC0C79"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bCs/>
          <w:i/>
          <w:iCs/>
          <w:sz w:val="22"/>
          <w:szCs w:val="22"/>
        </w:rPr>
        <w:t xml:space="preserve">PLANTILLA OD 2025.pdf: </w:t>
      </w:r>
      <w:r w:rsidRPr="00A618CE">
        <w:rPr>
          <w:rFonts w:ascii="Palatino Linotype" w:eastAsia="Palatino Linotype" w:hAnsi="Palatino Linotype" w:cs="Palatino Linotype"/>
          <w:sz w:val="22"/>
          <w:szCs w:val="22"/>
        </w:rPr>
        <w:t>Documento que contiene la “Plantilla de Personal Eventual de Órganos Desconcentrados 2025</w:t>
      </w:r>
      <w:r w:rsidR="00C01A59" w:rsidRPr="00A618CE">
        <w:rPr>
          <w:rFonts w:ascii="Palatino Linotype" w:eastAsia="Palatino Linotype" w:hAnsi="Palatino Linotype" w:cs="Palatino Linotype"/>
          <w:sz w:val="22"/>
          <w:szCs w:val="22"/>
        </w:rPr>
        <w:t>”</w:t>
      </w:r>
      <w:r w:rsidRPr="00A618CE">
        <w:rPr>
          <w:rFonts w:ascii="Palatino Linotype" w:eastAsia="Palatino Linotype" w:hAnsi="Palatino Linotype" w:cs="Palatino Linotype"/>
          <w:sz w:val="22"/>
          <w:szCs w:val="22"/>
        </w:rPr>
        <w:t xml:space="preserve">, constante de una hoja, donde se advierte el Puesto, Nivel y Rango, Plazas, Periodo. </w:t>
      </w:r>
    </w:p>
    <w:p w14:paraId="2B19F34F" w14:textId="77777777" w:rsidR="00C14834" w:rsidRPr="00A618CE" w:rsidRDefault="00C14834"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79636E16" w14:textId="74CEC6D1" w:rsidR="00B60790" w:rsidRPr="00A618CE" w:rsidRDefault="00990F7B" w:rsidP="00DC0C79">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hyperlink r:id="rId12" w:tgtFrame="_blank" w:history="1">
        <w:r w:rsidR="00B46227" w:rsidRPr="00A618CE">
          <w:rPr>
            <w:rStyle w:val="Hipervnculo"/>
            <w:rFonts w:ascii="Palatino Linotype" w:eastAsia="Palatino Linotype" w:hAnsi="Palatino Linotype" w:cs="Palatino Linotype"/>
            <w:b/>
            <w:bCs/>
            <w:i/>
            <w:color w:val="000000" w:themeColor="text1"/>
            <w:sz w:val="22"/>
            <w:szCs w:val="22"/>
            <w:u w:val="none"/>
          </w:rPr>
          <w:t>OFICIO RESPUESTA 00441-2025 UT.pdf</w:t>
        </w:r>
      </w:hyperlink>
      <w:r w:rsidR="00630CDA" w:rsidRPr="00A618CE">
        <w:rPr>
          <w:rFonts w:ascii="Palatino Linotype" w:eastAsia="Palatino Linotype" w:hAnsi="Palatino Linotype" w:cs="Palatino Linotype"/>
          <w:b/>
          <w:i/>
          <w:sz w:val="22"/>
          <w:szCs w:val="22"/>
        </w:rPr>
        <w:t xml:space="preserve">. </w:t>
      </w:r>
      <w:r w:rsidR="00630CDA" w:rsidRPr="00A618CE">
        <w:rPr>
          <w:rFonts w:ascii="Palatino Linotype" w:eastAsia="Palatino Linotype" w:hAnsi="Palatino Linotype" w:cs="Palatino Linotype"/>
          <w:sz w:val="22"/>
          <w:szCs w:val="22"/>
        </w:rPr>
        <w:t>Oficio número IEEM/</w:t>
      </w:r>
      <w:r w:rsidR="00B46227" w:rsidRPr="00A618CE">
        <w:rPr>
          <w:rFonts w:ascii="Palatino Linotype" w:eastAsia="Palatino Linotype" w:hAnsi="Palatino Linotype" w:cs="Palatino Linotype"/>
          <w:sz w:val="22"/>
          <w:szCs w:val="22"/>
        </w:rPr>
        <w:t xml:space="preserve">UT/1383/2025 </w:t>
      </w:r>
      <w:r w:rsidR="00630CDA" w:rsidRPr="00A618CE">
        <w:rPr>
          <w:rFonts w:ascii="Palatino Linotype" w:eastAsia="Palatino Linotype" w:hAnsi="Palatino Linotype" w:cs="Palatino Linotype"/>
          <w:sz w:val="22"/>
          <w:szCs w:val="22"/>
        </w:rPr>
        <w:t xml:space="preserve">signado por la Titular de la Unidad de Transparencia, a través del cual refiere remitir el oficio emitido por el Servidor Público Habilitado de la Dirección de Administración.  </w:t>
      </w:r>
    </w:p>
    <w:bookmarkEnd w:id="1"/>
    <w:p w14:paraId="2F019A64" w14:textId="77777777" w:rsidR="00B60790" w:rsidRPr="00A618CE" w:rsidRDefault="00B60790" w:rsidP="001B1B82">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620EE706" w14:textId="4A150D5D" w:rsidR="005B68DD" w:rsidRPr="00A618CE" w:rsidRDefault="00A57AF2" w:rsidP="00857F21">
      <w:pPr>
        <w:numPr>
          <w:ilvl w:val="0"/>
          <w:numId w:val="6"/>
        </w:numPr>
        <w:pBdr>
          <w:top w:val="nil"/>
          <w:left w:val="nil"/>
          <w:bottom w:val="nil"/>
          <w:right w:val="nil"/>
          <w:between w:val="nil"/>
        </w:pBdr>
        <w:tabs>
          <w:tab w:val="left" w:pos="426"/>
        </w:tabs>
        <w:spacing w:line="360" w:lineRule="auto"/>
        <w:ind w:left="0" w:right="49" w:firstLine="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Interposición del recurso de revisión. </w:t>
      </w:r>
      <w:r w:rsidRPr="00A618CE">
        <w:rPr>
          <w:rFonts w:ascii="Palatino Linotype" w:eastAsia="Palatino Linotype" w:hAnsi="Palatino Linotype" w:cs="Palatino Linotype"/>
          <w:sz w:val="22"/>
          <w:szCs w:val="22"/>
        </w:rPr>
        <w:t xml:space="preserve">Inconforme con la respuesta del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 la persona</w:t>
      </w:r>
      <w:r w:rsidRPr="00A618CE">
        <w:rPr>
          <w:rFonts w:ascii="Palatino Linotype" w:eastAsia="Palatino Linotype" w:hAnsi="Palatino Linotype" w:cs="Palatino Linotype"/>
          <w:b/>
          <w:sz w:val="22"/>
          <w:szCs w:val="22"/>
        </w:rPr>
        <w:t xml:space="preserve"> RECURRENTE</w:t>
      </w:r>
      <w:r w:rsidRPr="00A618CE">
        <w:rPr>
          <w:rFonts w:ascii="Palatino Linotype" w:eastAsia="Palatino Linotype" w:hAnsi="Palatino Linotype" w:cs="Palatino Linotype"/>
          <w:sz w:val="22"/>
          <w:szCs w:val="22"/>
        </w:rPr>
        <w:t xml:space="preserve"> interpuso recurso de revisión a través del Sistema de </w:t>
      </w:r>
      <w:r w:rsidRPr="00A618CE">
        <w:rPr>
          <w:rFonts w:ascii="Palatino Linotype" w:eastAsia="Palatino Linotype" w:hAnsi="Palatino Linotype" w:cs="Palatino Linotype"/>
          <w:sz w:val="22"/>
          <w:szCs w:val="22"/>
        </w:rPr>
        <w:lastRenderedPageBreak/>
        <w:t xml:space="preserve">Acceso a la Información Mexiquense en fecha </w:t>
      </w:r>
      <w:r w:rsidR="00857F21" w:rsidRPr="00A618CE">
        <w:rPr>
          <w:rFonts w:ascii="Palatino Linotype" w:eastAsia="Palatino Linotype" w:hAnsi="Palatino Linotype" w:cs="Palatino Linotype"/>
          <w:b/>
          <w:bCs/>
          <w:sz w:val="22"/>
          <w:szCs w:val="22"/>
        </w:rPr>
        <w:t xml:space="preserve">diecinueve de mayo de dos mil veinticinco </w:t>
      </w:r>
      <w:r w:rsidRPr="00A618CE">
        <w:rPr>
          <w:rFonts w:ascii="Palatino Linotype" w:eastAsia="Palatino Linotype" w:hAnsi="Palatino Linotype" w:cs="Palatino Linotype"/>
          <w:sz w:val="22"/>
          <w:szCs w:val="22"/>
        </w:rPr>
        <w:t>a través del cual expresó lo siguiente:</w:t>
      </w:r>
    </w:p>
    <w:p w14:paraId="70C1BE0C" w14:textId="77777777" w:rsidR="005B68DD" w:rsidRPr="00A618CE" w:rsidRDefault="005B68DD">
      <w:pPr>
        <w:pBdr>
          <w:top w:val="nil"/>
          <w:left w:val="nil"/>
          <w:bottom w:val="nil"/>
          <w:right w:val="nil"/>
          <w:between w:val="nil"/>
        </w:pBdr>
        <w:tabs>
          <w:tab w:val="left" w:pos="426"/>
        </w:tabs>
        <w:spacing w:line="360" w:lineRule="auto"/>
        <w:ind w:right="693"/>
        <w:jc w:val="both"/>
        <w:rPr>
          <w:rFonts w:ascii="Palatino Linotype" w:eastAsia="Palatino Linotype" w:hAnsi="Palatino Linotype" w:cs="Palatino Linotype"/>
          <w:sz w:val="22"/>
          <w:szCs w:val="22"/>
        </w:rPr>
      </w:pPr>
    </w:p>
    <w:p w14:paraId="53A4CFA3" w14:textId="1A866F9E" w:rsidR="005B68DD" w:rsidRPr="00A618CE" w:rsidRDefault="00A57AF2">
      <w:pPr>
        <w:spacing w:line="276" w:lineRule="auto"/>
        <w:ind w:left="567" w:right="693"/>
        <w:rPr>
          <w:rFonts w:ascii="Palatino Linotype" w:eastAsia="Palatino Linotype" w:hAnsi="Palatino Linotype" w:cs="Palatino Linotype"/>
          <w:i/>
          <w:sz w:val="22"/>
          <w:szCs w:val="22"/>
        </w:rPr>
      </w:pPr>
      <w:r w:rsidRPr="00A618CE">
        <w:rPr>
          <w:rFonts w:ascii="Palatino Linotype" w:eastAsia="Palatino Linotype" w:hAnsi="Palatino Linotype" w:cs="Palatino Linotype"/>
          <w:b/>
          <w:sz w:val="22"/>
          <w:szCs w:val="22"/>
        </w:rPr>
        <w:t xml:space="preserve">Acto impugnado. </w:t>
      </w:r>
      <w:r w:rsidRPr="00A618CE">
        <w:rPr>
          <w:rFonts w:ascii="Palatino Linotype" w:eastAsia="Palatino Linotype" w:hAnsi="Palatino Linotype" w:cs="Palatino Linotype"/>
          <w:i/>
          <w:sz w:val="22"/>
          <w:szCs w:val="22"/>
        </w:rPr>
        <w:t>“</w:t>
      </w:r>
      <w:r w:rsidR="00857F21" w:rsidRPr="00A618CE">
        <w:rPr>
          <w:rFonts w:ascii="Palatino Linotype" w:eastAsia="Palatino Linotype" w:hAnsi="Palatino Linotype" w:cs="Palatino Linotype"/>
          <w:i/>
          <w:sz w:val="22"/>
          <w:szCs w:val="22"/>
        </w:rPr>
        <w:t>Se entrega la información incompleta</w:t>
      </w:r>
      <w:r w:rsidR="001B1B82" w:rsidRPr="00A618CE">
        <w:rPr>
          <w:rFonts w:ascii="Palatino Linotype" w:eastAsia="Palatino Linotype" w:hAnsi="Palatino Linotype" w:cs="Palatino Linotype"/>
          <w:i/>
          <w:sz w:val="22"/>
          <w:szCs w:val="22"/>
        </w:rPr>
        <w:t>.</w:t>
      </w:r>
      <w:r w:rsidRPr="00A618CE">
        <w:rPr>
          <w:rFonts w:ascii="Palatino Linotype" w:eastAsia="Palatino Linotype" w:hAnsi="Palatino Linotype" w:cs="Palatino Linotype"/>
          <w:i/>
          <w:sz w:val="22"/>
          <w:szCs w:val="22"/>
        </w:rPr>
        <w:t xml:space="preserve">” </w:t>
      </w:r>
    </w:p>
    <w:p w14:paraId="74BE9506" w14:textId="77777777" w:rsidR="005B68DD" w:rsidRPr="00A618CE" w:rsidRDefault="005B68DD">
      <w:pPr>
        <w:spacing w:line="276" w:lineRule="auto"/>
        <w:ind w:left="567" w:right="693"/>
        <w:rPr>
          <w:sz w:val="22"/>
          <w:szCs w:val="22"/>
        </w:rPr>
      </w:pPr>
    </w:p>
    <w:p w14:paraId="4E680E33" w14:textId="52774250" w:rsidR="005B68DD" w:rsidRPr="00A618CE" w:rsidRDefault="00A57AF2">
      <w:pPr>
        <w:pBdr>
          <w:top w:val="nil"/>
          <w:left w:val="nil"/>
          <w:bottom w:val="nil"/>
          <w:right w:val="nil"/>
          <w:between w:val="nil"/>
        </w:pBdr>
        <w:spacing w:line="276" w:lineRule="auto"/>
        <w:ind w:left="567" w:right="693"/>
        <w:jc w:val="both"/>
        <w:rPr>
          <w:rFonts w:ascii="Palatino Linotype" w:eastAsia="Palatino Linotype" w:hAnsi="Palatino Linotype" w:cs="Palatino Linotype"/>
          <w:b/>
          <w:i/>
          <w:sz w:val="22"/>
          <w:szCs w:val="22"/>
          <w:u w:val="single"/>
        </w:rPr>
      </w:pPr>
      <w:r w:rsidRPr="00A618CE">
        <w:rPr>
          <w:rFonts w:ascii="Palatino Linotype" w:eastAsia="Palatino Linotype" w:hAnsi="Palatino Linotype" w:cs="Palatino Linotype"/>
          <w:b/>
          <w:sz w:val="22"/>
          <w:szCs w:val="22"/>
        </w:rPr>
        <w:t xml:space="preserve">Motivos de inconformidad. </w:t>
      </w:r>
      <w:r w:rsidR="00857F21" w:rsidRPr="00A618CE">
        <w:rPr>
          <w:rFonts w:ascii="Palatino Linotype" w:eastAsia="Palatino Linotype" w:hAnsi="Palatino Linotype" w:cs="Palatino Linotype"/>
          <w:bCs/>
          <w:i/>
          <w:sz w:val="22"/>
          <w:szCs w:val="22"/>
        </w:rPr>
        <w:t>“Debido a que la Presidenta del IEEM durante la sesión solemne del Proceso Electoral Judicial Extraordinario 2025 mencionó que, cerca de 7,000 personas de manera temporal van a colaborar en esta elección, se solicitaron las documentales de esas cerca 7,000 plazas. En el siguiente link aparece lo señalado por la Presidenta del IEEM en la sesión solemne https://www.youtube.com/watch?v=dM1787poeo8&amp;t=3199s Como la Dirección de Administración no entrega lo solicitado y</w:t>
      </w:r>
      <w:r w:rsidR="00857F21" w:rsidRPr="00A618CE">
        <w:rPr>
          <w:rFonts w:ascii="Palatino Linotype" w:eastAsia="Palatino Linotype" w:hAnsi="Palatino Linotype" w:cs="Palatino Linotype"/>
          <w:b/>
          <w:bCs/>
          <w:i/>
          <w:sz w:val="22"/>
          <w:szCs w:val="22"/>
          <w:u w:val="single"/>
        </w:rPr>
        <w:t xml:space="preserve"> no obra el oficio con el que se le haya turnado esta solicitud a la Presidenta del IEEM, se debe ordenar una nueva búsqueda, tal vez, Amalia Pulido Gómez, Presidenta del IEEM posea otros datos diferentes a los que tiene la Dirección de Administración</w:t>
      </w:r>
      <w:r w:rsidRPr="00A618CE">
        <w:rPr>
          <w:rFonts w:ascii="Palatino Linotype" w:eastAsia="Palatino Linotype" w:hAnsi="Palatino Linotype" w:cs="Palatino Linotype"/>
          <w:b/>
          <w:i/>
          <w:sz w:val="22"/>
          <w:szCs w:val="22"/>
          <w:u w:val="single"/>
        </w:rPr>
        <w:t xml:space="preserve">”. </w:t>
      </w:r>
    </w:p>
    <w:p w14:paraId="08F5A0A9" w14:textId="77777777" w:rsidR="005B68DD" w:rsidRPr="00A618CE" w:rsidRDefault="005B68D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5221169C" w14:textId="494A04BC" w:rsidR="005B68DD" w:rsidRPr="00A618CE"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Turno. </w:t>
      </w:r>
      <w:r w:rsidRPr="00A618CE">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el recurso de revisión número </w:t>
      </w:r>
      <w:r w:rsidR="00630CDA" w:rsidRPr="00A618CE">
        <w:rPr>
          <w:rFonts w:ascii="Palatino Linotype" w:eastAsia="Palatino Linotype" w:hAnsi="Palatino Linotype" w:cs="Palatino Linotype"/>
          <w:b/>
          <w:sz w:val="22"/>
          <w:szCs w:val="22"/>
        </w:rPr>
        <w:t>0</w:t>
      </w:r>
      <w:r w:rsidR="005B1F71" w:rsidRPr="00A618CE">
        <w:rPr>
          <w:rFonts w:ascii="Palatino Linotype" w:eastAsia="Palatino Linotype" w:hAnsi="Palatino Linotype" w:cs="Palatino Linotype"/>
          <w:b/>
          <w:sz w:val="22"/>
          <w:szCs w:val="22"/>
        </w:rPr>
        <w:t>5604</w:t>
      </w:r>
      <w:r w:rsidRPr="00A618CE">
        <w:rPr>
          <w:rFonts w:ascii="Palatino Linotype" w:eastAsia="Palatino Linotype" w:hAnsi="Palatino Linotype" w:cs="Palatino Linotype"/>
          <w:b/>
          <w:sz w:val="22"/>
          <w:szCs w:val="22"/>
        </w:rPr>
        <w:t>/INFOEM/IP/RR/2025</w:t>
      </w:r>
      <w:r w:rsidRPr="00A618CE">
        <w:rPr>
          <w:rFonts w:ascii="Palatino Linotype" w:eastAsia="Palatino Linotype" w:hAnsi="Palatino Linotype" w:cs="Palatino Linotype"/>
          <w:sz w:val="22"/>
          <w:szCs w:val="22"/>
        </w:rPr>
        <w:t xml:space="preserve">, se turnó por el sistema electrónico del Instituto de Transparencia, Acceso a la Información Pública y Protección de Datos Personales del Estado de México y Municipios, a la Comisionada </w:t>
      </w:r>
      <w:r w:rsidRPr="00A618CE">
        <w:rPr>
          <w:rFonts w:ascii="Palatino Linotype" w:eastAsia="Palatino Linotype" w:hAnsi="Palatino Linotype" w:cs="Palatino Linotype"/>
          <w:b/>
          <w:sz w:val="22"/>
          <w:szCs w:val="22"/>
        </w:rPr>
        <w:t>Guadalupe Ramírez Peña</w:t>
      </w:r>
      <w:r w:rsidRPr="00A618CE">
        <w:rPr>
          <w:rFonts w:ascii="Palatino Linotype" w:eastAsia="Palatino Linotype" w:hAnsi="Palatino Linotype" w:cs="Palatino Linotype"/>
          <w:sz w:val="22"/>
          <w:szCs w:val="22"/>
        </w:rPr>
        <w:t>, para su análisis, estudio, elaboración del proyecto y presentación ante el Pleno de este Instituto.</w:t>
      </w:r>
    </w:p>
    <w:p w14:paraId="5A6D46BF" w14:textId="77777777" w:rsidR="005B68DD" w:rsidRPr="00A618CE"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D3FF2B1" w14:textId="0DF6198C" w:rsidR="005B68DD" w:rsidRPr="00A618CE"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bookmarkStart w:id="2" w:name="_heading=h.gjdgxs" w:colFirst="0" w:colLast="0"/>
      <w:bookmarkEnd w:id="2"/>
      <w:r w:rsidRPr="00A618CE">
        <w:rPr>
          <w:rFonts w:ascii="Palatino Linotype" w:eastAsia="Palatino Linotype" w:hAnsi="Palatino Linotype" w:cs="Palatino Linotype"/>
          <w:b/>
          <w:sz w:val="22"/>
          <w:szCs w:val="22"/>
        </w:rPr>
        <w:t xml:space="preserve">Admisión del recurso de revisión: </w:t>
      </w:r>
      <w:r w:rsidRPr="00A618CE">
        <w:rPr>
          <w:rFonts w:ascii="Palatino Linotype" w:eastAsia="Palatino Linotype" w:hAnsi="Palatino Linotype" w:cs="Palatino Linotype"/>
          <w:sz w:val="22"/>
          <w:szCs w:val="22"/>
        </w:rPr>
        <w:t xml:space="preserve">En fecha </w:t>
      </w:r>
      <w:r w:rsidR="0093708B" w:rsidRPr="00A618CE">
        <w:rPr>
          <w:rFonts w:ascii="Palatino Linotype" w:eastAsia="Palatino Linotype" w:hAnsi="Palatino Linotype" w:cs="Palatino Linotype"/>
          <w:b/>
          <w:sz w:val="22"/>
          <w:szCs w:val="22"/>
        </w:rPr>
        <w:t xml:space="preserve">veintidós </w:t>
      </w:r>
      <w:r w:rsidR="00630CDA" w:rsidRPr="00A618CE">
        <w:rPr>
          <w:rFonts w:ascii="Palatino Linotype" w:eastAsia="Palatino Linotype" w:hAnsi="Palatino Linotype" w:cs="Palatino Linotype"/>
          <w:b/>
          <w:sz w:val="22"/>
          <w:szCs w:val="22"/>
        </w:rPr>
        <w:t>de mayo</w:t>
      </w:r>
      <w:r w:rsidRPr="00A618CE">
        <w:rPr>
          <w:rFonts w:ascii="Palatino Linotype" w:eastAsia="Palatino Linotype" w:hAnsi="Palatino Linotype" w:cs="Palatino Linotype"/>
          <w:b/>
          <w:sz w:val="22"/>
          <w:szCs w:val="22"/>
        </w:rPr>
        <w:t xml:space="preserve"> de dos mil veinticinco</w:t>
      </w:r>
      <w:r w:rsidRPr="00A618CE">
        <w:rPr>
          <w:rFonts w:ascii="Palatino Linotype" w:eastAsia="Palatino Linotype" w:hAnsi="Palatino Linotype" w:cs="Palatino Linotype"/>
          <w:sz w:val="22"/>
          <w:szCs w:val="22"/>
        </w:rPr>
        <w:t xml:space="preserve">, la Comisionada Ponente admitió a trámite el recurso de revisión que ahora se resuelve, dando un plazo máximo de siete días hábiles para que las partes manifestaran lo que a su derecho resultara conveniente, ofrecieran pruebas, formularan alegatos y el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 xml:space="preserve"> presentara su informe justificado.</w:t>
      </w:r>
    </w:p>
    <w:p w14:paraId="094E39F5" w14:textId="77777777" w:rsidR="005B68DD" w:rsidRPr="00A618CE"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191234B0" w14:textId="1F333883" w:rsidR="005B68DD" w:rsidRPr="00A618CE" w:rsidRDefault="00A57AF2">
      <w:pPr>
        <w:numPr>
          <w:ilvl w:val="0"/>
          <w:numId w:val="6"/>
        </w:numPr>
        <w:pBdr>
          <w:top w:val="nil"/>
          <w:left w:val="nil"/>
          <w:bottom w:val="nil"/>
          <w:right w:val="nil"/>
          <w:between w:val="nil"/>
        </w:pBdr>
        <w:tabs>
          <w:tab w:val="left" w:pos="284"/>
        </w:tabs>
        <w:spacing w:line="360" w:lineRule="auto"/>
        <w:ind w:left="0" w:firstLine="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Manifestaciones</w:t>
      </w:r>
      <w:r w:rsidRPr="00A618CE">
        <w:rPr>
          <w:rFonts w:ascii="Palatino Linotype" w:eastAsia="Palatino Linotype" w:hAnsi="Palatino Linotype" w:cs="Palatino Linotype"/>
          <w:sz w:val="22"/>
          <w:szCs w:val="22"/>
        </w:rPr>
        <w:t xml:space="preserve">. En fecha </w:t>
      </w:r>
      <w:r w:rsidR="0093708B" w:rsidRPr="00A618CE">
        <w:rPr>
          <w:rFonts w:ascii="Palatino Linotype" w:eastAsia="Palatino Linotype" w:hAnsi="Palatino Linotype" w:cs="Palatino Linotype"/>
          <w:b/>
          <w:bCs/>
          <w:sz w:val="22"/>
          <w:szCs w:val="22"/>
        </w:rPr>
        <w:t>veintinueve de mayo de dos mil veinticinco</w:t>
      </w:r>
      <w:r w:rsidRPr="00A618CE">
        <w:rPr>
          <w:rFonts w:ascii="Palatino Linotype" w:eastAsia="Palatino Linotype" w:hAnsi="Palatino Linotype" w:cs="Palatino Linotype"/>
          <w:sz w:val="22"/>
          <w:szCs w:val="22"/>
        </w:rPr>
        <w:t xml:space="preserve">, el Sujeto Obligado rindió su informe justificado al tenor de lo siguiente: </w:t>
      </w:r>
    </w:p>
    <w:p w14:paraId="6A7BFEC1" w14:textId="77777777" w:rsidR="005B68DD" w:rsidRPr="00A618CE"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57DD9A62" w14:textId="062B370C" w:rsidR="005B68DD" w:rsidRPr="00A618CE" w:rsidRDefault="00990F7B" w:rsidP="00CC164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hyperlink r:id="rId13" w:history="1">
        <w:r w:rsidR="00C14834" w:rsidRPr="00A618CE">
          <w:rPr>
            <w:rStyle w:val="Hipervnculo"/>
            <w:rFonts w:ascii="Palatino Linotype" w:eastAsia="Palatino Linotype" w:hAnsi="Palatino Linotype" w:cs="Palatino Linotype"/>
            <w:b/>
            <w:bCs/>
            <w:color w:val="000000" w:themeColor="text1"/>
            <w:sz w:val="22"/>
            <w:szCs w:val="22"/>
            <w:u w:val="none"/>
          </w:rPr>
          <w:t>INFORME JUSTIFICADO RR 5604-2025 UT.pdf</w:t>
        </w:r>
      </w:hyperlink>
      <w:r w:rsidR="00C14834" w:rsidRPr="00A618CE">
        <w:rPr>
          <w:rFonts w:ascii="Palatino Linotype" w:eastAsia="Palatino Linotype" w:hAnsi="Palatino Linotype" w:cs="Palatino Linotype"/>
          <w:b/>
          <w:bCs/>
          <w:color w:val="000000" w:themeColor="text1"/>
          <w:sz w:val="22"/>
          <w:szCs w:val="22"/>
        </w:rPr>
        <w:t xml:space="preserve"> </w:t>
      </w:r>
      <w:proofErr w:type="spellStart"/>
      <w:r w:rsidR="00C14834" w:rsidRPr="00A618CE">
        <w:rPr>
          <w:rFonts w:ascii="Palatino Linotype" w:eastAsia="Palatino Linotype" w:hAnsi="Palatino Linotype" w:cs="Palatino Linotype"/>
          <w:b/>
          <w:bCs/>
          <w:color w:val="000000" w:themeColor="text1"/>
          <w:sz w:val="22"/>
          <w:szCs w:val="22"/>
        </w:rPr>
        <w:t>y</w:t>
      </w:r>
      <w:proofErr w:type="spellEnd"/>
      <w:r w:rsidR="00C14834" w:rsidRPr="00A618CE">
        <w:rPr>
          <w:rFonts w:ascii="Palatino Linotype" w:eastAsia="Palatino Linotype" w:hAnsi="Palatino Linotype" w:cs="Palatino Linotype"/>
          <w:b/>
          <w:bCs/>
          <w:color w:val="000000" w:themeColor="text1"/>
          <w:sz w:val="22"/>
          <w:szCs w:val="22"/>
        </w:rPr>
        <w:t xml:space="preserve"> INFORME JUSTIFICADO RR 5604-2025 UT.docx: </w:t>
      </w:r>
      <w:r w:rsidR="00630CDA" w:rsidRPr="00A618CE">
        <w:rPr>
          <w:rFonts w:ascii="Palatino Linotype" w:eastAsia="Palatino Linotype" w:hAnsi="Palatino Linotype" w:cs="Palatino Linotype"/>
          <w:sz w:val="22"/>
          <w:szCs w:val="22"/>
        </w:rPr>
        <w:t>Escrito</w:t>
      </w:r>
      <w:r w:rsidR="00C14834" w:rsidRPr="00A618CE">
        <w:rPr>
          <w:rFonts w:ascii="Palatino Linotype" w:eastAsia="Palatino Linotype" w:hAnsi="Palatino Linotype" w:cs="Palatino Linotype"/>
          <w:sz w:val="22"/>
          <w:szCs w:val="22"/>
        </w:rPr>
        <w:t>s</w:t>
      </w:r>
      <w:r w:rsidR="001B1B82" w:rsidRPr="00A618CE">
        <w:rPr>
          <w:rFonts w:ascii="Palatino Linotype" w:eastAsia="Palatino Linotype" w:hAnsi="Palatino Linotype" w:cs="Palatino Linotype"/>
          <w:sz w:val="22"/>
          <w:szCs w:val="22"/>
        </w:rPr>
        <w:t>, signado</w:t>
      </w:r>
      <w:r w:rsidR="00C14834" w:rsidRPr="00A618CE">
        <w:rPr>
          <w:rFonts w:ascii="Palatino Linotype" w:eastAsia="Palatino Linotype" w:hAnsi="Palatino Linotype" w:cs="Palatino Linotype"/>
          <w:sz w:val="22"/>
          <w:szCs w:val="22"/>
        </w:rPr>
        <w:t>s</w:t>
      </w:r>
      <w:r w:rsidR="001B1B82" w:rsidRPr="00A618CE">
        <w:rPr>
          <w:rFonts w:ascii="Palatino Linotype" w:eastAsia="Palatino Linotype" w:hAnsi="Palatino Linotype" w:cs="Palatino Linotype"/>
          <w:sz w:val="22"/>
          <w:szCs w:val="22"/>
        </w:rPr>
        <w:t xml:space="preserve"> por </w:t>
      </w:r>
      <w:r w:rsidR="00CC164D" w:rsidRPr="00A618CE">
        <w:rPr>
          <w:rFonts w:ascii="Palatino Linotype" w:eastAsia="Palatino Linotype" w:hAnsi="Palatino Linotype" w:cs="Palatino Linotype"/>
          <w:sz w:val="22"/>
          <w:szCs w:val="22"/>
        </w:rPr>
        <w:t>la</w:t>
      </w:r>
      <w:r w:rsidR="001B1B82" w:rsidRPr="00A618CE">
        <w:rPr>
          <w:rFonts w:ascii="Palatino Linotype" w:eastAsia="Palatino Linotype" w:hAnsi="Palatino Linotype" w:cs="Palatino Linotype"/>
          <w:sz w:val="22"/>
          <w:szCs w:val="22"/>
        </w:rPr>
        <w:t xml:space="preserve"> Titular de la Unidad de Transparencia</w:t>
      </w:r>
      <w:r w:rsidR="00334BF8" w:rsidRPr="00A618CE">
        <w:rPr>
          <w:rFonts w:ascii="Palatino Linotype" w:eastAsia="Palatino Linotype" w:hAnsi="Palatino Linotype" w:cs="Palatino Linotype"/>
          <w:sz w:val="22"/>
          <w:szCs w:val="22"/>
        </w:rPr>
        <w:t xml:space="preserve"> mediante </w:t>
      </w:r>
      <w:r w:rsidR="00CC164D" w:rsidRPr="00A618CE">
        <w:rPr>
          <w:rFonts w:ascii="Palatino Linotype" w:eastAsia="Palatino Linotype" w:hAnsi="Palatino Linotype" w:cs="Palatino Linotype"/>
          <w:sz w:val="22"/>
          <w:szCs w:val="22"/>
        </w:rPr>
        <w:t>los</w:t>
      </w:r>
      <w:r w:rsidR="00334BF8" w:rsidRPr="00A618CE">
        <w:rPr>
          <w:rFonts w:ascii="Palatino Linotype" w:eastAsia="Palatino Linotype" w:hAnsi="Palatino Linotype" w:cs="Palatino Linotype"/>
          <w:sz w:val="22"/>
          <w:szCs w:val="22"/>
        </w:rPr>
        <w:t xml:space="preserve"> cual</w:t>
      </w:r>
      <w:r w:rsidR="00CC164D" w:rsidRPr="00A618CE">
        <w:rPr>
          <w:rFonts w:ascii="Palatino Linotype" w:eastAsia="Palatino Linotype" w:hAnsi="Palatino Linotype" w:cs="Palatino Linotype"/>
          <w:sz w:val="22"/>
          <w:szCs w:val="22"/>
        </w:rPr>
        <w:t>es</w:t>
      </w:r>
      <w:r w:rsidR="00334BF8" w:rsidRPr="00A618CE">
        <w:rPr>
          <w:rFonts w:ascii="Palatino Linotype" w:eastAsia="Palatino Linotype" w:hAnsi="Palatino Linotype" w:cs="Palatino Linotype"/>
          <w:sz w:val="22"/>
          <w:szCs w:val="22"/>
        </w:rPr>
        <w:t xml:space="preserve">, además de referir los antecedentes del recurso de revisión, refiere que el servidor público habilitado ratifica su respuesta inicial. </w:t>
      </w:r>
    </w:p>
    <w:p w14:paraId="5FA3BD85" w14:textId="77777777" w:rsidR="00CC164D" w:rsidRPr="00A618CE" w:rsidRDefault="00CC164D" w:rsidP="00CC164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2AEADB33" w14:textId="1039663D" w:rsidR="00825478" w:rsidRPr="00A618CE" w:rsidRDefault="00E820A2">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sz w:val="22"/>
          <w:szCs w:val="22"/>
        </w:rPr>
        <w:t>Documentos que se hicieron</w:t>
      </w:r>
      <w:r w:rsidR="00A57AF2" w:rsidRPr="00A618CE">
        <w:rPr>
          <w:rFonts w:ascii="Palatino Linotype" w:eastAsia="Palatino Linotype" w:hAnsi="Palatino Linotype" w:cs="Palatino Linotype"/>
          <w:sz w:val="22"/>
          <w:szCs w:val="22"/>
        </w:rPr>
        <w:t xml:space="preserve"> del conocimiento del Particular </w:t>
      </w:r>
      <w:r w:rsidR="00A57AF2" w:rsidRPr="00A618CE">
        <w:rPr>
          <w:rFonts w:ascii="Palatino Linotype" w:eastAsia="Palatino Linotype" w:hAnsi="Palatino Linotype" w:cs="Palatino Linotype"/>
          <w:color w:val="000000" w:themeColor="text1"/>
          <w:sz w:val="22"/>
          <w:szCs w:val="22"/>
        </w:rPr>
        <w:t xml:space="preserve">el </w:t>
      </w:r>
      <w:r w:rsidRPr="00A618CE">
        <w:rPr>
          <w:rFonts w:ascii="Palatino Linotype" w:eastAsia="Palatino Linotype" w:hAnsi="Palatino Linotype" w:cs="Palatino Linotype"/>
          <w:b/>
          <w:color w:val="000000" w:themeColor="text1"/>
          <w:sz w:val="22"/>
          <w:szCs w:val="22"/>
        </w:rPr>
        <w:t>dieciséis</w:t>
      </w:r>
      <w:r w:rsidR="00334BF8" w:rsidRPr="00A618CE">
        <w:rPr>
          <w:rFonts w:ascii="Palatino Linotype" w:eastAsia="Palatino Linotype" w:hAnsi="Palatino Linotype" w:cs="Palatino Linotype"/>
          <w:b/>
          <w:color w:val="000000" w:themeColor="text1"/>
          <w:sz w:val="22"/>
          <w:szCs w:val="22"/>
        </w:rPr>
        <w:t xml:space="preserve"> de julio</w:t>
      </w:r>
      <w:r w:rsidR="00A57AF2" w:rsidRPr="00A618CE">
        <w:rPr>
          <w:rFonts w:ascii="Palatino Linotype" w:eastAsia="Palatino Linotype" w:hAnsi="Palatino Linotype" w:cs="Palatino Linotype"/>
          <w:b/>
          <w:color w:val="000000" w:themeColor="text1"/>
          <w:sz w:val="22"/>
          <w:szCs w:val="22"/>
        </w:rPr>
        <w:t xml:space="preserve"> </w:t>
      </w:r>
      <w:r w:rsidR="00A57AF2" w:rsidRPr="00A618CE">
        <w:rPr>
          <w:rFonts w:ascii="Palatino Linotype" w:eastAsia="Palatino Linotype" w:hAnsi="Palatino Linotype" w:cs="Palatino Linotype"/>
          <w:b/>
          <w:sz w:val="22"/>
          <w:szCs w:val="22"/>
        </w:rPr>
        <w:t>de dos mil veinticinco.</w:t>
      </w:r>
    </w:p>
    <w:p w14:paraId="64F3455E" w14:textId="77777777" w:rsidR="00825478" w:rsidRPr="00A618CE" w:rsidRDefault="008254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p>
    <w:p w14:paraId="6B78948A" w14:textId="7CCD2437" w:rsidR="005B68DD" w:rsidRPr="00A618CE" w:rsidRDefault="00825478">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sz w:val="22"/>
          <w:szCs w:val="22"/>
        </w:rPr>
        <w:t>La parte Recurrente fue omisa en rendir manifestaciones.</w:t>
      </w:r>
      <w:r w:rsidR="00A57AF2" w:rsidRPr="00A618CE">
        <w:rPr>
          <w:rFonts w:ascii="Palatino Linotype" w:eastAsia="Palatino Linotype" w:hAnsi="Palatino Linotype" w:cs="Palatino Linotype"/>
          <w:b/>
          <w:sz w:val="22"/>
          <w:szCs w:val="22"/>
        </w:rPr>
        <w:t xml:space="preserve"> </w:t>
      </w:r>
    </w:p>
    <w:p w14:paraId="0BE76467" w14:textId="77777777" w:rsidR="005B68DD" w:rsidRPr="00A618CE" w:rsidRDefault="005B68DD">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b/>
        </w:rPr>
      </w:pPr>
    </w:p>
    <w:p w14:paraId="4703770B" w14:textId="4D597720" w:rsidR="005B68DD" w:rsidRPr="00A618CE"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Ampliación de plazo. </w:t>
      </w:r>
      <w:r w:rsidR="009713B0" w:rsidRPr="00A618CE">
        <w:rPr>
          <w:rFonts w:ascii="Palatino Linotype" w:eastAsia="Palatino Linotype" w:hAnsi="Palatino Linotype" w:cs="Palatino Linotype"/>
          <w:color w:val="000000" w:themeColor="text1"/>
          <w:sz w:val="22"/>
          <w:szCs w:val="22"/>
        </w:rPr>
        <w:t xml:space="preserve">El </w:t>
      </w:r>
      <w:r w:rsidR="00E820A2" w:rsidRPr="00A618CE">
        <w:rPr>
          <w:rFonts w:ascii="Palatino Linotype" w:eastAsia="Palatino Linotype" w:hAnsi="Palatino Linotype" w:cs="Palatino Linotype"/>
          <w:b/>
          <w:color w:val="000000" w:themeColor="text1"/>
          <w:sz w:val="22"/>
          <w:szCs w:val="22"/>
        </w:rPr>
        <w:t>dieci</w:t>
      </w:r>
      <w:r w:rsidR="00E24A4E" w:rsidRPr="00A618CE">
        <w:rPr>
          <w:rFonts w:ascii="Palatino Linotype" w:eastAsia="Palatino Linotype" w:hAnsi="Palatino Linotype" w:cs="Palatino Linotype"/>
          <w:b/>
          <w:color w:val="000000" w:themeColor="text1"/>
          <w:sz w:val="22"/>
          <w:szCs w:val="22"/>
        </w:rPr>
        <w:t xml:space="preserve">siete </w:t>
      </w:r>
      <w:r w:rsidR="00334BF8" w:rsidRPr="00A618CE">
        <w:rPr>
          <w:rFonts w:ascii="Palatino Linotype" w:eastAsia="Palatino Linotype" w:hAnsi="Palatino Linotype" w:cs="Palatino Linotype"/>
          <w:b/>
          <w:color w:val="000000" w:themeColor="text1"/>
          <w:sz w:val="22"/>
          <w:szCs w:val="22"/>
        </w:rPr>
        <w:t>de julio</w:t>
      </w:r>
      <w:r w:rsidR="009713B0" w:rsidRPr="00A618CE">
        <w:rPr>
          <w:rFonts w:ascii="Palatino Linotype" w:eastAsia="Palatino Linotype" w:hAnsi="Palatino Linotype" w:cs="Palatino Linotype"/>
          <w:color w:val="000000" w:themeColor="text1"/>
          <w:sz w:val="22"/>
          <w:szCs w:val="22"/>
        </w:rPr>
        <w:t xml:space="preserve"> </w:t>
      </w:r>
      <w:r w:rsidRPr="00A618CE">
        <w:rPr>
          <w:rFonts w:ascii="Palatino Linotype" w:eastAsia="Palatino Linotype" w:hAnsi="Palatino Linotype" w:cs="Palatino Linotype"/>
          <w:b/>
          <w:color w:val="000000" w:themeColor="text1"/>
          <w:sz w:val="22"/>
          <w:szCs w:val="22"/>
        </w:rPr>
        <w:t xml:space="preserve">de </w:t>
      </w:r>
      <w:r w:rsidRPr="00A618CE">
        <w:rPr>
          <w:rFonts w:ascii="Palatino Linotype" w:eastAsia="Palatino Linotype" w:hAnsi="Palatino Linotype" w:cs="Palatino Linotype"/>
          <w:b/>
          <w:sz w:val="22"/>
          <w:szCs w:val="22"/>
        </w:rPr>
        <w:t>dos mil veinticinco</w:t>
      </w:r>
      <w:r w:rsidRPr="00A618CE">
        <w:rPr>
          <w:rFonts w:ascii="Palatino Linotype" w:eastAsia="Palatino Linotype" w:hAnsi="Palatino Linotype" w:cs="Palatino Linotype"/>
          <w:sz w:val="22"/>
          <w:szCs w:val="22"/>
        </w:rPr>
        <w:t>, se notificó a las partes el Acuerdo de Ampliación de Plazo para resolver el medio de impugnación que nos ocupa, en términos de lo dispuesto por el artículo 181, párrafo tercero de la Ley de Transparencia y Acceso a la Información Pública del Estado de México y Municipios.</w:t>
      </w:r>
    </w:p>
    <w:p w14:paraId="6AFAC09A"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30BBCB75"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2F79168E" w14:textId="77777777" w:rsidR="005B68DD" w:rsidRPr="00A618CE" w:rsidRDefault="00A57AF2">
      <w:pPr>
        <w:spacing w:line="360" w:lineRule="auto"/>
        <w:ind w:left="360"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 </w:t>
      </w:r>
    </w:p>
    <w:p w14:paraId="53631143"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A9A22B7"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2632851F"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7B29CA67"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0D46D0F3"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70CAB3BF"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2B5E8C71"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53E8DCF"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2BD33855" w14:textId="77777777" w:rsidR="005B68DD" w:rsidRPr="00A618CE"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a)    Complejidad del asunto:</w:t>
      </w:r>
      <w:r w:rsidRPr="00A618CE">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w:t>
      </w:r>
    </w:p>
    <w:p w14:paraId="6124F190" w14:textId="77777777" w:rsidR="005B68DD" w:rsidRPr="00A618CE" w:rsidRDefault="00A57AF2">
      <w:pPr>
        <w:tabs>
          <w:tab w:val="left" w:pos="709"/>
        </w:tabs>
        <w:spacing w:line="360" w:lineRule="auto"/>
        <w:ind w:left="360" w:right="56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b)   Actividad Procesal del interesado</w:t>
      </w:r>
      <w:r w:rsidRPr="00A618CE">
        <w:rPr>
          <w:rFonts w:ascii="Palatino Linotype" w:eastAsia="Palatino Linotype" w:hAnsi="Palatino Linotype" w:cs="Palatino Linotype"/>
          <w:sz w:val="22"/>
          <w:szCs w:val="22"/>
        </w:rPr>
        <w:t>: Acciones u omisiones del interesado.</w:t>
      </w:r>
    </w:p>
    <w:p w14:paraId="61541599" w14:textId="77777777" w:rsidR="005B68DD" w:rsidRPr="00A618CE"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c)  Conducta de la Autoridad:</w:t>
      </w:r>
      <w:r w:rsidRPr="00A618CE">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71CD8B2F" w14:textId="77777777" w:rsidR="005B68DD" w:rsidRPr="00A618CE" w:rsidRDefault="00A57AF2">
      <w:pPr>
        <w:tabs>
          <w:tab w:val="left" w:pos="851"/>
        </w:tabs>
        <w:spacing w:line="360" w:lineRule="auto"/>
        <w:ind w:left="360" w:right="56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d) La afectación generada en la situación jurídica de la persona involucrada en el proceso:</w:t>
      </w:r>
      <w:r w:rsidRPr="00A618CE">
        <w:rPr>
          <w:rFonts w:ascii="Palatino Linotype" w:eastAsia="Palatino Linotype" w:hAnsi="Palatino Linotype" w:cs="Palatino Linotype"/>
          <w:sz w:val="22"/>
          <w:szCs w:val="22"/>
        </w:rPr>
        <w:t xml:space="preserve"> Violación a sus derechos humanos.</w:t>
      </w:r>
    </w:p>
    <w:p w14:paraId="75618CE5"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3A673317" w14:textId="77777777" w:rsidR="005B68DD" w:rsidRPr="00A618CE" w:rsidRDefault="00A57AF2">
      <w:pPr>
        <w:spacing w:line="360" w:lineRule="auto"/>
        <w:ind w:left="360"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241FC39D" w14:textId="77777777" w:rsidR="005B68DD" w:rsidRPr="00A618CE" w:rsidRDefault="00A57AF2">
      <w:pPr>
        <w:spacing w:line="360" w:lineRule="auto"/>
        <w:ind w:left="360"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 </w:t>
      </w:r>
    </w:p>
    <w:p w14:paraId="71A011BC" w14:textId="77777777" w:rsidR="005B68DD" w:rsidRPr="00A618CE" w:rsidRDefault="00A57AF2">
      <w:pPr>
        <w:spacing w:line="360" w:lineRule="auto"/>
        <w:ind w:left="360"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lastRenderedPageBreak/>
        <w:t>Argumento que encuentra sustento en la jurisprudencia P./J. 32/92 emitida por el Pleno de la Suprema Corte de Justicia de la Nación de rubro “</w:t>
      </w:r>
      <w:r w:rsidRPr="00A618CE">
        <w:rPr>
          <w:rFonts w:ascii="Palatino Linotype" w:eastAsia="Palatino Linotype" w:hAnsi="Palatino Linotype" w:cs="Palatino Linotype"/>
          <w:b/>
          <w:sz w:val="22"/>
          <w:szCs w:val="22"/>
        </w:rPr>
        <w:t>TÉRMINOS PROCESALES. PARA DETERMINAR SI UN FUNCIONARIO JUDICIAL ACTUÓ INDEBIDAMENTE POR NO RESPETARLOS SE DEBE ATENDER AL PRESUPUESTO QUE CONSIDERÓ EL LEGISLADOR AL FIJARLOS Y LAS CARACTERÍSTICAS DEL CASO.”</w:t>
      </w:r>
      <w:r w:rsidRPr="00A618CE">
        <w:rPr>
          <w:rFonts w:ascii="Palatino Linotype" w:eastAsia="Palatino Linotype" w:hAnsi="Palatino Linotype" w:cs="Palatino Linotype"/>
          <w:sz w:val="22"/>
          <w:szCs w:val="22"/>
        </w:rPr>
        <w:t>, visible en la Gaceta del Seminario Judicial de la Federación con el registro digital 205635.</w:t>
      </w:r>
    </w:p>
    <w:p w14:paraId="24D53FE0" w14:textId="77777777" w:rsidR="005B68DD" w:rsidRPr="00A618CE" w:rsidRDefault="00A57AF2">
      <w:pPr>
        <w:spacing w:line="360" w:lineRule="auto"/>
        <w:ind w:left="360"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 </w:t>
      </w:r>
    </w:p>
    <w:p w14:paraId="2400417A" w14:textId="77777777" w:rsidR="005B68DD" w:rsidRPr="00A618CE" w:rsidRDefault="00A57AF2">
      <w:pPr>
        <w:spacing w:line="360" w:lineRule="auto"/>
        <w:ind w:left="360"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8DCBBA3"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07173FA6"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21F17835" w14:textId="77777777" w:rsidR="005B68DD" w:rsidRPr="00A618CE" w:rsidRDefault="005B68DD">
      <w:pPr>
        <w:spacing w:line="360" w:lineRule="auto"/>
        <w:ind w:left="360" w:right="49"/>
        <w:jc w:val="both"/>
        <w:rPr>
          <w:rFonts w:ascii="Palatino Linotype" w:eastAsia="Palatino Linotype" w:hAnsi="Palatino Linotype" w:cs="Palatino Linotype"/>
          <w:sz w:val="22"/>
          <w:szCs w:val="22"/>
        </w:rPr>
      </w:pPr>
    </w:p>
    <w:p w14:paraId="479D45DF" w14:textId="77777777" w:rsidR="005B68DD" w:rsidRPr="00A618CE" w:rsidRDefault="00A57AF2">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 “PLAZO RAZONABLE PARA RESOLVER. DIMENSIÓN Y EFECTOS DE ESTE CONCEPTO CUANDO SE ADUCE EXCESIVA CARGA DE TRABAJO.”</w:t>
      </w:r>
      <w:r w:rsidRPr="00A618CE">
        <w:rPr>
          <w:rFonts w:ascii="Palatino Linotype" w:eastAsia="Palatino Linotype" w:hAnsi="Palatino Linotype" w:cs="Palatino Linotype"/>
          <w:sz w:val="22"/>
          <w:szCs w:val="22"/>
        </w:rPr>
        <w:t xml:space="preserve"> consultable en el Seminario Judicial de la Federación y su gaceta, con el registro digital 2002351.</w:t>
      </w:r>
    </w:p>
    <w:p w14:paraId="778E53D3" w14:textId="77777777" w:rsidR="005B68DD" w:rsidRPr="00A618CE" w:rsidRDefault="005B68DD">
      <w:pPr>
        <w:pBdr>
          <w:top w:val="nil"/>
          <w:left w:val="nil"/>
          <w:bottom w:val="nil"/>
          <w:right w:val="nil"/>
          <w:between w:val="nil"/>
        </w:pBdr>
        <w:spacing w:line="360" w:lineRule="auto"/>
        <w:ind w:left="720" w:right="560"/>
        <w:jc w:val="both"/>
        <w:rPr>
          <w:rFonts w:ascii="Palatino Linotype" w:eastAsia="Palatino Linotype" w:hAnsi="Palatino Linotype" w:cs="Palatino Linotype"/>
          <w:sz w:val="22"/>
          <w:szCs w:val="22"/>
        </w:rPr>
      </w:pPr>
    </w:p>
    <w:p w14:paraId="2A32C15C" w14:textId="77777777" w:rsidR="005B68DD" w:rsidRPr="00A618CE" w:rsidRDefault="00A57AF2">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“PLAZO RAZONABLE PARA RESOLVER. CONCEPTO Y ELEMENTOS QUE LO INTEGRAN A LA LUZ DEL DERECHO INTERNACIONAL DE LOS </w:t>
      </w:r>
      <w:r w:rsidRPr="00A618CE">
        <w:rPr>
          <w:rFonts w:ascii="Palatino Linotype" w:eastAsia="Palatino Linotype" w:hAnsi="Palatino Linotype" w:cs="Palatino Linotype"/>
          <w:b/>
          <w:sz w:val="22"/>
          <w:szCs w:val="22"/>
        </w:rPr>
        <w:lastRenderedPageBreak/>
        <w:t>DERECHOS HUMANOS.”,</w:t>
      </w:r>
      <w:r w:rsidRPr="00A618CE">
        <w:rPr>
          <w:rFonts w:ascii="Palatino Linotype" w:eastAsia="Palatino Linotype" w:hAnsi="Palatino Linotype" w:cs="Palatino Linotype"/>
          <w:sz w:val="22"/>
          <w:szCs w:val="22"/>
        </w:rPr>
        <w:t xml:space="preserve"> visible en el Seminario Judicial de la Federación y su gaceta, con el registro digital 2002350.</w:t>
      </w:r>
    </w:p>
    <w:p w14:paraId="7830BC10" w14:textId="77777777" w:rsidR="005B68DD" w:rsidRPr="00A618CE" w:rsidRDefault="005B68DD">
      <w:pPr>
        <w:pBdr>
          <w:top w:val="nil"/>
          <w:left w:val="nil"/>
          <w:bottom w:val="nil"/>
          <w:right w:val="nil"/>
          <w:between w:val="nil"/>
        </w:pBdr>
        <w:spacing w:line="360" w:lineRule="auto"/>
        <w:ind w:left="720" w:right="560"/>
        <w:rPr>
          <w:rFonts w:ascii="Palatino Linotype" w:eastAsia="Palatino Linotype" w:hAnsi="Palatino Linotype" w:cs="Palatino Linotype"/>
          <w:sz w:val="22"/>
          <w:szCs w:val="22"/>
        </w:rPr>
      </w:pPr>
    </w:p>
    <w:p w14:paraId="00ABA342" w14:textId="77777777" w:rsidR="005B68DD" w:rsidRPr="00A618CE" w:rsidRDefault="00A57AF2">
      <w:pPr>
        <w:pBdr>
          <w:top w:val="nil"/>
          <w:left w:val="nil"/>
          <w:bottom w:val="nil"/>
          <w:right w:val="nil"/>
          <w:between w:val="nil"/>
        </w:pBdr>
        <w:spacing w:line="360" w:lineRule="auto"/>
        <w:ind w:right="49"/>
        <w:jc w:val="both"/>
        <w:rPr>
          <w:rFonts w:ascii="Palatino Linotype" w:eastAsia="Palatino Linotype" w:hAnsi="Palatino Linotype" w:cs="Palatino Linotype"/>
          <w:sz w:val="18"/>
          <w:szCs w:val="18"/>
        </w:rPr>
      </w:pPr>
      <w:r w:rsidRPr="00A618CE">
        <w:rPr>
          <w:rFonts w:ascii="Palatino Linotype" w:eastAsia="Palatino Linotype" w:hAnsi="Palatino Linotype" w:cs="Palatino Linotype"/>
        </w:rPr>
        <w:t>Por ello, este organismo garante comprometido con la tutela de los derechos humanos confiados señala que este exceso del plazo legal para resolver el presente asunto resulta de carácter excepcional.</w:t>
      </w:r>
      <w:r w:rsidRPr="00A618CE">
        <w:rPr>
          <w:rFonts w:ascii="Palatino Linotype" w:eastAsia="Palatino Linotype" w:hAnsi="Palatino Linotype" w:cs="Palatino Linotype"/>
          <w:sz w:val="18"/>
          <w:szCs w:val="18"/>
        </w:rPr>
        <w:t xml:space="preserve"> </w:t>
      </w:r>
    </w:p>
    <w:p w14:paraId="53A2CEC0" w14:textId="77777777" w:rsidR="005B68DD" w:rsidRPr="00A618CE"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27E2894C" w14:textId="70641312" w:rsidR="005B68DD" w:rsidRPr="00A618CE" w:rsidRDefault="00A57AF2">
      <w:pPr>
        <w:numPr>
          <w:ilvl w:val="0"/>
          <w:numId w:val="6"/>
        </w:numPr>
        <w:pBdr>
          <w:top w:val="nil"/>
          <w:left w:val="nil"/>
          <w:bottom w:val="nil"/>
          <w:right w:val="nil"/>
          <w:between w:val="nil"/>
        </w:pBdr>
        <w:tabs>
          <w:tab w:val="left" w:pos="426"/>
        </w:tabs>
        <w:spacing w:line="360" w:lineRule="auto"/>
        <w:ind w:left="0" w:firstLine="0"/>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Cierre de instrucción. </w:t>
      </w:r>
      <w:r w:rsidRPr="00A618CE">
        <w:rPr>
          <w:rFonts w:ascii="Palatino Linotype" w:eastAsia="Palatino Linotype" w:hAnsi="Palatino Linotype" w:cs="Palatino Linotype"/>
          <w:sz w:val="22"/>
          <w:szCs w:val="22"/>
        </w:rPr>
        <w:t xml:space="preserve">El </w:t>
      </w:r>
      <w:r w:rsidR="00E820A2" w:rsidRPr="00A618CE">
        <w:rPr>
          <w:rFonts w:ascii="Palatino Linotype" w:eastAsia="Palatino Linotype" w:hAnsi="Palatino Linotype" w:cs="Palatino Linotype"/>
          <w:b/>
          <w:color w:val="000000" w:themeColor="text1"/>
          <w:sz w:val="22"/>
          <w:szCs w:val="22"/>
        </w:rPr>
        <w:t>c</w:t>
      </w:r>
      <w:r w:rsidR="00181BDF" w:rsidRPr="00A618CE">
        <w:rPr>
          <w:rFonts w:ascii="Palatino Linotype" w:eastAsia="Palatino Linotype" w:hAnsi="Palatino Linotype" w:cs="Palatino Linotype"/>
          <w:b/>
          <w:color w:val="000000" w:themeColor="text1"/>
          <w:sz w:val="22"/>
          <w:szCs w:val="22"/>
        </w:rPr>
        <w:t>inc</w:t>
      </w:r>
      <w:r w:rsidR="00E820A2" w:rsidRPr="00A618CE">
        <w:rPr>
          <w:rFonts w:ascii="Palatino Linotype" w:eastAsia="Palatino Linotype" w:hAnsi="Palatino Linotype" w:cs="Palatino Linotype"/>
          <w:b/>
          <w:color w:val="000000" w:themeColor="text1"/>
          <w:sz w:val="22"/>
          <w:szCs w:val="22"/>
        </w:rPr>
        <w:t>o de agosto</w:t>
      </w:r>
      <w:r w:rsidRPr="00A618CE">
        <w:rPr>
          <w:rFonts w:ascii="Palatino Linotype" w:eastAsia="Palatino Linotype" w:hAnsi="Palatino Linotype" w:cs="Palatino Linotype"/>
          <w:b/>
          <w:color w:val="000000" w:themeColor="text1"/>
          <w:sz w:val="22"/>
          <w:szCs w:val="22"/>
        </w:rPr>
        <w:t xml:space="preserve"> de dos mil veinticinco</w:t>
      </w:r>
      <w:r w:rsidRPr="00A618CE">
        <w:rPr>
          <w:rFonts w:ascii="Palatino Linotype" w:eastAsia="Palatino Linotype" w:hAnsi="Palatino Linotype" w:cs="Palatino Linotype"/>
          <w:color w:val="000000" w:themeColor="text1"/>
          <w:sz w:val="22"/>
          <w:szCs w:val="22"/>
        </w:rPr>
        <w:t xml:space="preserve">, </w:t>
      </w:r>
      <w:r w:rsidRPr="00A618CE">
        <w:rPr>
          <w:rFonts w:ascii="Palatino Linotype" w:eastAsia="Palatino Linotype" w:hAnsi="Palatino Linotype" w:cs="Palatino Linotype"/>
          <w:sz w:val="22"/>
          <w:szCs w:val="22"/>
        </w:rPr>
        <w:t>la Comisionada Ponente determinó el cierre de instrucción en términos de la fracción VI del artículo 185 de la Ley de Transparencia y Acceso a la Información Pública del Estado de México y Municipios.</w:t>
      </w:r>
    </w:p>
    <w:p w14:paraId="38B9FCFB" w14:textId="77777777" w:rsidR="005B68DD" w:rsidRPr="00A618CE" w:rsidRDefault="005B68DD">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sz w:val="22"/>
          <w:szCs w:val="22"/>
        </w:rPr>
      </w:pPr>
    </w:p>
    <w:p w14:paraId="522AF0E4"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332F29A6"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335D994D" w14:textId="77777777" w:rsidR="005B68DD" w:rsidRPr="00A618CE" w:rsidRDefault="00A57AF2">
      <w:pPr>
        <w:numPr>
          <w:ilvl w:val="0"/>
          <w:numId w:val="4"/>
        </w:numPr>
        <w:pBdr>
          <w:top w:val="nil"/>
          <w:left w:val="nil"/>
          <w:bottom w:val="nil"/>
          <w:right w:val="nil"/>
          <w:between w:val="nil"/>
        </w:pBdr>
        <w:spacing w:line="360" w:lineRule="auto"/>
        <w:ind w:left="-142" w:firstLine="0"/>
        <w:jc w:val="center"/>
        <w:rPr>
          <w:rFonts w:ascii="Palatino Linotype" w:eastAsia="Palatino Linotype" w:hAnsi="Palatino Linotype" w:cs="Palatino Linotype"/>
          <w:b/>
          <w:sz w:val="22"/>
          <w:szCs w:val="22"/>
        </w:rPr>
      </w:pPr>
      <w:bookmarkStart w:id="3" w:name="_heading=h.30j0zll" w:colFirst="0" w:colLast="0"/>
      <w:bookmarkEnd w:id="3"/>
      <w:r w:rsidRPr="00A618CE">
        <w:rPr>
          <w:rFonts w:ascii="Palatino Linotype" w:eastAsia="Palatino Linotype" w:hAnsi="Palatino Linotype" w:cs="Palatino Linotype"/>
          <w:b/>
          <w:sz w:val="22"/>
          <w:szCs w:val="22"/>
        </w:rPr>
        <w:t>C O N S I D E R A N D O:</w:t>
      </w:r>
    </w:p>
    <w:p w14:paraId="28CEEA34" w14:textId="77777777" w:rsidR="005B68DD" w:rsidRPr="00A618CE" w:rsidRDefault="005B68DD">
      <w:pPr>
        <w:pBdr>
          <w:top w:val="nil"/>
          <w:left w:val="nil"/>
          <w:bottom w:val="nil"/>
          <w:right w:val="nil"/>
          <w:between w:val="nil"/>
        </w:pBdr>
        <w:spacing w:line="360" w:lineRule="auto"/>
        <w:ind w:left="-142"/>
        <w:jc w:val="center"/>
        <w:rPr>
          <w:rFonts w:ascii="Palatino Linotype" w:eastAsia="Palatino Linotype" w:hAnsi="Palatino Linotype" w:cs="Palatino Linotype"/>
          <w:b/>
          <w:sz w:val="22"/>
          <w:szCs w:val="22"/>
        </w:rPr>
      </w:pPr>
    </w:p>
    <w:p w14:paraId="128FDF20" w14:textId="554D3FCC" w:rsidR="008A4FDF"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Primero. Competencia. </w:t>
      </w:r>
      <w:r w:rsidR="008A4FDF" w:rsidRPr="00A618CE">
        <w:rPr>
          <w:rFonts w:ascii="Palatino Linotype" w:eastAsia="Palatino Linotype" w:hAnsi="Palatino Linotype" w:cs="Palatino Linotype"/>
          <w:sz w:val="22"/>
          <w:szCs w:val="22"/>
        </w:rPr>
        <w:t xml:space="preserve">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w:t>
      </w:r>
      <w:r w:rsidR="00334BF8" w:rsidRPr="00A618CE">
        <w:rPr>
          <w:rFonts w:ascii="Palatino Linotype" w:eastAsia="Palatino Linotype" w:hAnsi="Palatino Linotype" w:cs="Palatino Linotype"/>
          <w:sz w:val="22"/>
          <w:szCs w:val="22"/>
        </w:rPr>
        <w:t>5 párrafos trigésimo noveno, cuadragésimo y cuadragésimo primero, fracciones IV y V de la Constitución Política del Estado Libre y Soberano de México</w:t>
      </w:r>
      <w:r w:rsidR="008A4FDF" w:rsidRPr="00A618CE">
        <w:rPr>
          <w:rFonts w:ascii="Palatino Linotype" w:eastAsia="Palatino Linotype" w:hAnsi="Palatino Linotype" w:cs="Palatino Linotype"/>
          <w:sz w:val="22"/>
          <w:szCs w:val="22"/>
        </w:rPr>
        <w:t>;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6194CF81" w14:textId="77777777" w:rsidR="005B68DD" w:rsidRPr="00A618CE" w:rsidRDefault="005B68DD">
      <w:pPr>
        <w:spacing w:line="360" w:lineRule="auto"/>
        <w:jc w:val="both"/>
        <w:rPr>
          <w:rFonts w:ascii="Palatino Linotype" w:eastAsia="Palatino Linotype" w:hAnsi="Palatino Linotype" w:cs="Palatino Linotype"/>
          <w:b/>
          <w:sz w:val="22"/>
          <w:szCs w:val="22"/>
        </w:rPr>
      </w:pPr>
    </w:p>
    <w:p w14:paraId="24E98020"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lastRenderedPageBreak/>
        <w:t>Segundo. Oportunidad y Procedibilidad del Recurso de Revisión</w:t>
      </w:r>
      <w:r w:rsidRPr="00A618CE">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2CE5138F"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6B2C16CF" w14:textId="362DC5BA"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ya que el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 xml:space="preserve"> proporcionó su respuesta a la solicitud de información el </w:t>
      </w:r>
      <w:r w:rsidR="00692BCF" w:rsidRPr="00A618CE">
        <w:rPr>
          <w:rFonts w:ascii="Palatino Linotype" w:eastAsia="Palatino Linotype" w:hAnsi="Palatino Linotype" w:cs="Palatino Linotype"/>
          <w:b/>
          <w:bCs/>
          <w:sz w:val="22"/>
          <w:szCs w:val="22"/>
        </w:rPr>
        <w:t>dieciséis de mayo de dos mil veinticinco</w:t>
      </w:r>
      <w:r w:rsidRPr="00A618CE">
        <w:rPr>
          <w:rFonts w:ascii="Palatino Linotype" w:eastAsia="Palatino Linotype" w:hAnsi="Palatino Linotype" w:cs="Palatino Linotype"/>
          <w:sz w:val="22"/>
          <w:szCs w:val="22"/>
        </w:rPr>
        <w:t xml:space="preserve">, y la persona </w:t>
      </w:r>
      <w:r w:rsidRPr="00A618CE">
        <w:rPr>
          <w:rFonts w:ascii="Palatino Linotype" w:eastAsia="Palatino Linotype" w:hAnsi="Palatino Linotype" w:cs="Palatino Linotype"/>
          <w:b/>
          <w:sz w:val="22"/>
          <w:szCs w:val="22"/>
        </w:rPr>
        <w:t>RECURRENTE</w:t>
      </w:r>
      <w:r w:rsidRPr="00A618CE">
        <w:rPr>
          <w:rFonts w:ascii="Palatino Linotype" w:eastAsia="Palatino Linotype" w:hAnsi="Palatino Linotype" w:cs="Palatino Linotype"/>
          <w:sz w:val="22"/>
          <w:szCs w:val="22"/>
        </w:rPr>
        <w:t xml:space="preserve"> presentó su recurso de revisión el</w:t>
      </w:r>
      <w:r w:rsidR="00692BCF" w:rsidRPr="00A618CE">
        <w:rPr>
          <w:rFonts w:ascii="Palatino Linotype" w:eastAsia="Palatino Linotype" w:hAnsi="Palatino Linotype" w:cs="Palatino Linotype"/>
          <w:sz w:val="22"/>
          <w:szCs w:val="22"/>
        </w:rPr>
        <w:t xml:space="preserve"> </w:t>
      </w:r>
      <w:r w:rsidR="00692BCF" w:rsidRPr="00A618CE">
        <w:rPr>
          <w:rFonts w:ascii="Palatino Linotype" w:eastAsia="Palatino Linotype" w:hAnsi="Palatino Linotype" w:cs="Palatino Linotype"/>
          <w:b/>
          <w:bCs/>
          <w:sz w:val="22"/>
          <w:szCs w:val="22"/>
        </w:rPr>
        <w:t>diecinueve de mayo de dos mil veinticinco</w:t>
      </w:r>
      <w:r w:rsidR="00794420" w:rsidRPr="00A618CE">
        <w:rPr>
          <w:rFonts w:ascii="Palatino Linotype" w:eastAsia="Palatino Linotype" w:hAnsi="Palatino Linotype" w:cs="Palatino Linotype"/>
          <w:sz w:val="22"/>
          <w:szCs w:val="22"/>
        </w:rPr>
        <w:t xml:space="preserve">, por lo que, se tuvo por registrado </w:t>
      </w:r>
      <w:r w:rsidR="00334BF8" w:rsidRPr="00A618CE">
        <w:rPr>
          <w:rFonts w:ascii="Palatino Linotype" w:eastAsia="Palatino Linotype" w:hAnsi="Palatino Linotype" w:cs="Palatino Linotype"/>
          <w:sz w:val="22"/>
          <w:szCs w:val="22"/>
        </w:rPr>
        <w:t xml:space="preserve">al día siguiente hábil </w:t>
      </w:r>
      <w:r w:rsidR="00AC7749" w:rsidRPr="00A618CE">
        <w:rPr>
          <w:rFonts w:ascii="Palatino Linotype" w:eastAsia="Palatino Linotype" w:hAnsi="Palatino Linotype" w:cs="Palatino Linotype"/>
          <w:sz w:val="22"/>
          <w:szCs w:val="22"/>
        </w:rPr>
        <w:t xml:space="preserve">en que se tuvo conocimiento de la respuesta. </w:t>
      </w:r>
    </w:p>
    <w:p w14:paraId="1573F671" w14:textId="77777777" w:rsidR="005B68DD" w:rsidRPr="00A618CE" w:rsidRDefault="005B68DD">
      <w:pPr>
        <w:spacing w:line="276" w:lineRule="auto"/>
        <w:ind w:right="843"/>
        <w:jc w:val="both"/>
        <w:rPr>
          <w:rFonts w:ascii="Palatino Linotype" w:eastAsia="Palatino Linotype" w:hAnsi="Palatino Linotype" w:cs="Palatino Linotype"/>
          <w:i/>
          <w:sz w:val="22"/>
          <w:szCs w:val="22"/>
        </w:rPr>
      </w:pPr>
    </w:p>
    <w:p w14:paraId="1CC20E9E"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Al mismo tiempo, tras la revisión del formato de interposición del recurso, se concluye en la acreditación plena de todos y cada uno de los elementos formales exigidos por el artículo 180 de la Ley de Transparencia y Acceso a la Información Pública del Estado de México y Municipios, toda vez que fue ingresado a través del SAIMEX.</w:t>
      </w:r>
    </w:p>
    <w:p w14:paraId="5BB77466"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27F96551" w14:textId="63B8EED2"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Es de suma importancia mencionar que, si bien, la parte </w:t>
      </w:r>
      <w:r w:rsidR="000760B7" w:rsidRPr="00A618CE">
        <w:rPr>
          <w:rFonts w:ascii="Palatino Linotype" w:eastAsia="Palatino Linotype" w:hAnsi="Palatino Linotype" w:cs="Palatino Linotype"/>
          <w:sz w:val="22"/>
          <w:szCs w:val="22"/>
        </w:rPr>
        <w:t xml:space="preserve">no </w:t>
      </w:r>
      <w:r w:rsidRPr="00A618CE">
        <w:rPr>
          <w:rFonts w:ascii="Palatino Linotype" w:eastAsia="Palatino Linotype" w:hAnsi="Palatino Linotype" w:cs="Palatino Linotype"/>
          <w:sz w:val="22"/>
          <w:szCs w:val="22"/>
        </w:rPr>
        <w:t xml:space="preserve">proporcionó </w:t>
      </w:r>
      <w:r w:rsidR="000760B7" w:rsidRPr="00A618CE">
        <w:rPr>
          <w:rFonts w:ascii="Palatino Linotype" w:eastAsia="Palatino Linotype" w:hAnsi="Palatino Linotype" w:cs="Palatino Linotype"/>
          <w:b/>
          <w:sz w:val="22"/>
          <w:szCs w:val="22"/>
        </w:rPr>
        <w:t xml:space="preserve">nombre </w:t>
      </w:r>
      <w:r w:rsidRPr="00A618CE">
        <w:rPr>
          <w:rFonts w:ascii="Palatino Linotype" w:eastAsia="Palatino Linotype" w:hAnsi="Palatino Linotype" w:cs="Palatino Linotype"/>
          <w:sz w:val="22"/>
          <w:szCs w:val="22"/>
        </w:rPr>
        <w:t>para ser identificado como se advierte en el detalle de seguimiento del Sistema de Acceso a la Información Mexiquense,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25B09C5C"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036B374A" w14:textId="77777777" w:rsidR="005B68DD" w:rsidRPr="00A618CE" w:rsidRDefault="00A57AF2">
      <w:pPr>
        <w:ind w:left="567" w:right="843"/>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"Las solicitudes anónimas, con nombre incompleto o seudónimo serán procedentes para su trámite por parte del sujeto obligado ante quien se presente. No podrá requerirse información adicional con motivo del nombre proporcionado por el solicitante."</w:t>
      </w:r>
    </w:p>
    <w:p w14:paraId="4334B865"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1096D132" w14:textId="77777777" w:rsidR="000760B7" w:rsidRPr="00A618CE" w:rsidRDefault="000760B7" w:rsidP="000760B7">
      <w:pPr>
        <w:pStyle w:val="NormalWeb"/>
        <w:spacing w:before="0" w:beforeAutospacing="0" w:after="0" w:afterAutospacing="0" w:line="360" w:lineRule="auto"/>
        <w:ind w:right="-147"/>
        <w:jc w:val="both"/>
        <w:rPr>
          <w:sz w:val="22"/>
          <w:szCs w:val="22"/>
        </w:rPr>
      </w:pPr>
      <w:r w:rsidRPr="00A618CE">
        <w:rPr>
          <w:rFonts w:ascii="Palatino Linotype" w:hAnsi="Palatino Linotype"/>
          <w:color w:val="000000"/>
          <w:sz w:val="22"/>
          <w:szCs w:val="22"/>
        </w:rPr>
        <w:t xml:space="preserve">Finalmente, resulta procedente la interposición del recurso, según lo aducido por </w:t>
      </w:r>
      <w:r w:rsidRPr="00A618CE">
        <w:rPr>
          <w:rFonts w:ascii="Palatino Linotype" w:hAnsi="Palatino Linotype"/>
          <w:b/>
          <w:bCs/>
          <w:color w:val="000000"/>
          <w:sz w:val="22"/>
          <w:szCs w:val="22"/>
        </w:rPr>
        <w:t>LA PARTE RECURRENTE</w:t>
      </w:r>
      <w:r w:rsidRPr="00A618CE">
        <w:rPr>
          <w:rFonts w:ascii="Palatino Linotype" w:hAnsi="Palatino Linotype"/>
          <w:color w:val="000000"/>
          <w:sz w:val="22"/>
          <w:szCs w:val="22"/>
        </w:rPr>
        <w:t xml:space="preserve"> en sus razones o motivos de inconformidad, de acuerdo al artículo 179, fracción V </w:t>
      </w:r>
      <w:r w:rsidRPr="00A618CE">
        <w:rPr>
          <w:rFonts w:ascii="Palatino Linotype" w:hAnsi="Palatino Linotype"/>
          <w:color w:val="000000"/>
          <w:sz w:val="22"/>
          <w:szCs w:val="22"/>
        </w:rPr>
        <w:lastRenderedPageBreak/>
        <w:t>de la Ley de Transparencia y Acceso a la Información Pública del Estado de México y Municipios; que a la letra dice:</w:t>
      </w:r>
    </w:p>
    <w:p w14:paraId="04E4210B" w14:textId="77777777" w:rsidR="000760B7" w:rsidRPr="00A618CE" w:rsidRDefault="000760B7" w:rsidP="000760B7"/>
    <w:p w14:paraId="3ED4471D" w14:textId="77777777" w:rsidR="000760B7" w:rsidRPr="00A618CE" w:rsidRDefault="000760B7" w:rsidP="000760B7">
      <w:pPr>
        <w:pStyle w:val="NormalWeb"/>
        <w:spacing w:before="0" w:beforeAutospacing="0" w:after="0" w:afterAutospacing="0"/>
        <w:ind w:left="992" w:right="1043"/>
        <w:jc w:val="both"/>
      </w:pPr>
      <w:r w:rsidRPr="00A618CE">
        <w:rPr>
          <w:rFonts w:ascii="Palatino Linotype" w:hAnsi="Palatino Linotype"/>
          <w:b/>
          <w:bCs/>
          <w:i/>
          <w:iCs/>
          <w:color w:val="000000"/>
          <w:sz w:val="22"/>
          <w:szCs w:val="22"/>
        </w:rPr>
        <w:t>“Artículo 179</w:t>
      </w:r>
      <w:r w:rsidRPr="00A618CE">
        <w:rPr>
          <w:rFonts w:ascii="Palatino Linotype" w:hAnsi="Palatino Linotype"/>
          <w:i/>
          <w:iCs/>
          <w:color w:val="000000"/>
          <w:sz w:val="22"/>
          <w:szCs w:val="22"/>
        </w:rPr>
        <w:t xml:space="preserve">. </w:t>
      </w:r>
      <w:r w:rsidRPr="00A618CE">
        <w:rPr>
          <w:rFonts w:ascii="Palatino Linotype" w:hAnsi="Palatino Linotype"/>
          <w:b/>
          <w:bCs/>
          <w:i/>
          <w:iCs/>
          <w:color w:val="000000"/>
          <w:sz w:val="22"/>
          <w:szCs w:val="22"/>
        </w:rPr>
        <w:t>El recurso de revisión</w:t>
      </w:r>
      <w:r w:rsidRPr="00A618CE">
        <w:rPr>
          <w:rFonts w:ascii="Palatino Linotype" w:hAnsi="Palatino Linotype"/>
          <w:i/>
          <w:iCs/>
          <w:color w:val="000000"/>
          <w:sz w:val="22"/>
          <w:szCs w:val="22"/>
        </w:rPr>
        <w:t xml:space="preserve"> es un medio de protección que la Ley otorga a los particulares, para hacer valer su derecho de acceso a la información pública</w:t>
      </w:r>
      <w:r w:rsidRPr="00A618CE">
        <w:rPr>
          <w:rFonts w:ascii="Palatino Linotype" w:hAnsi="Palatino Linotype"/>
          <w:b/>
          <w:bCs/>
          <w:i/>
          <w:iCs/>
          <w:color w:val="000000"/>
          <w:sz w:val="22"/>
          <w:szCs w:val="22"/>
        </w:rPr>
        <w:t>, y procederá en contra de las siguientes causas</w:t>
      </w:r>
      <w:r w:rsidRPr="00A618CE">
        <w:rPr>
          <w:rFonts w:ascii="Palatino Linotype" w:hAnsi="Palatino Linotype"/>
          <w:i/>
          <w:iCs/>
          <w:color w:val="000000"/>
          <w:sz w:val="22"/>
          <w:szCs w:val="22"/>
        </w:rPr>
        <w:t>:</w:t>
      </w:r>
    </w:p>
    <w:p w14:paraId="70B8EC23" w14:textId="77777777" w:rsidR="000760B7" w:rsidRPr="00A618CE" w:rsidRDefault="000760B7" w:rsidP="000760B7">
      <w:pPr>
        <w:pStyle w:val="NormalWeb"/>
        <w:spacing w:before="0" w:beforeAutospacing="0" w:after="0" w:afterAutospacing="0"/>
        <w:ind w:left="992" w:right="1043"/>
        <w:jc w:val="both"/>
      </w:pPr>
      <w:r w:rsidRPr="00A618CE">
        <w:rPr>
          <w:rFonts w:ascii="Palatino Linotype" w:hAnsi="Palatino Linotype"/>
          <w:i/>
          <w:iCs/>
          <w:color w:val="000000"/>
          <w:sz w:val="22"/>
          <w:szCs w:val="22"/>
        </w:rPr>
        <w:t>(…)</w:t>
      </w:r>
    </w:p>
    <w:p w14:paraId="0147FB4C" w14:textId="77777777" w:rsidR="000760B7" w:rsidRPr="00A618CE" w:rsidRDefault="000760B7" w:rsidP="000760B7">
      <w:pPr>
        <w:pStyle w:val="NormalWeb"/>
        <w:spacing w:before="0" w:beforeAutospacing="0" w:after="0" w:afterAutospacing="0"/>
        <w:ind w:left="992" w:right="1043"/>
        <w:jc w:val="both"/>
      </w:pPr>
      <w:r w:rsidRPr="00A618CE">
        <w:rPr>
          <w:rFonts w:ascii="Palatino Linotype" w:hAnsi="Palatino Linotype"/>
          <w:i/>
          <w:iCs/>
          <w:color w:val="000000"/>
          <w:sz w:val="22"/>
          <w:szCs w:val="22"/>
        </w:rPr>
        <w:t>V. La entrega de información incompleta;”</w:t>
      </w:r>
    </w:p>
    <w:p w14:paraId="41803A66" w14:textId="77777777" w:rsidR="000760B7" w:rsidRPr="00A618CE" w:rsidRDefault="000760B7">
      <w:pPr>
        <w:spacing w:line="360" w:lineRule="auto"/>
        <w:jc w:val="both"/>
        <w:rPr>
          <w:rFonts w:ascii="Palatino Linotype" w:eastAsia="Palatino Linotype" w:hAnsi="Palatino Linotype" w:cs="Palatino Linotype"/>
          <w:b/>
          <w:sz w:val="22"/>
          <w:szCs w:val="22"/>
        </w:rPr>
      </w:pPr>
    </w:p>
    <w:p w14:paraId="02F53843" w14:textId="783B1292"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Tercero. Materia de Revisión</w:t>
      </w:r>
      <w:r w:rsidRPr="00A618CE">
        <w:rPr>
          <w:rFonts w:ascii="Palatino Linotype" w:eastAsia="Palatino Linotype" w:hAnsi="Palatino Linotype" w:cs="Palatino Linotype"/>
          <w:sz w:val="22"/>
          <w:szCs w:val="22"/>
        </w:rPr>
        <w:t>: De las constancias que integran el expediente electrónico se advierte que el tema sobre el que este Instituto se pronunciará será en determinar si se actualiza la fracción V</w:t>
      </w:r>
      <w:r w:rsidR="000760B7" w:rsidRPr="00A618CE">
        <w:rPr>
          <w:rFonts w:ascii="Palatino Linotype" w:eastAsia="Palatino Linotype" w:hAnsi="Palatino Linotype" w:cs="Palatino Linotype"/>
          <w:sz w:val="22"/>
          <w:szCs w:val="22"/>
        </w:rPr>
        <w:t xml:space="preserve"> </w:t>
      </w:r>
      <w:r w:rsidRPr="00A618CE">
        <w:rPr>
          <w:rFonts w:ascii="Palatino Linotype" w:eastAsia="Palatino Linotype" w:hAnsi="Palatino Linotype" w:cs="Palatino Linotype"/>
          <w:sz w:val="22"/>
          <w:szCs w:val="22"/>
        </w:rPr>
        <w:t xml:space="preserve">del artículo 179 de la Ley de Transparencia y Acceso a la Información Pública del Estado de México y Municipios.  </w:t>
      </w:r>
    </w:p>
    <w:p w14:paraId="147C245B"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798B6B82"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Cuarto. Estudio de fondo del asunto. </w:t>
      </w:r>
      <w:r w:rsidRPr="00A618CE">
        <w:rPr>
          <w:rFonts w:ascii="Palatino Linotype" w:eastAsia="Palatino Linotype" w:hAnsi="Palatino Linotype" w:cs="Palatino Linotype"/>
          <w:sz w:val="22"/>
          <w:szCs w:val="22"/>
        </w:rPr>
        <w:t>Es conveniente analizar si la respuesta del Sujeto Obligado</w:t>
      </w:r>
      <w:r w:rsidRPr="00A618CE">
        <w:rPr>
          <w:rFonts w:ascii="Palatino Linotype" w:eastAsia="Palatino Linotype" w:hAnsi="Palatino Linotype" w:cs="Palatino Linotype"/>
          <w:b/>
          <w:sz w:val="22"/>
          <w:szCs w:val="22"/>
        </w:rPr>
        <w:t xml:space="preserve"> </w:t>
      </w:r>
      <w:r w:rsidRPr="00A618CE">
        <w:rPr>
          <w:rFonts w:ascii="Palatino Linotype" w:eastAsia="Palatino Linotype" w:hAnsi="Palatino Linotype" w:cs="Palatino Linotype"/>
          <w:sz w:val="22"/>
          <w:szCs w:val="22"/>
        </w:rPr>
        <w:t>cumple con los requisitos y procedimientos del derecho de acceso a la información pública, en atención a que en la Ley de Transparencia y Acceso a la Información Pública del Estado de México y Municipios en su artículo 4, que dice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74A850C3"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782F3076" w14:textId="77777777" w:rsidR="005B68DD" w:rsidRPr="00A618CE"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r w:rsidRPr="00A618CE">
        <w:rPr>
          <w:rFonts w:ascii="Palatino Linotype" w:eastAsia="Palatino Linotype" w:hAnsi="Palatino Linotype" w:cs="Palatino Linotype"/>
          <w:b/>
          <w:i/>
          <w:sz w:val="22"/>
          <w:szCs w:val="22"/>
        </w:rPr>
        <w:t>Artículo 4</w:t>
      </w:r>
      <w:r w:rsidRPr="00A618CE">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45632729" w14:textId="77777777" w:rsidR="005B68DD" w:rsidRPr="00A618CE"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A618CE">
        <w:rPr>
          <w:rFonts w:ascii="Palatino Linotype" w:eastAsia="Palatino Linotype" w:hAnsi="Palatino Linotype" w:cs="Palatino Linotype"/>
          <w:i/>
          <w:sz w:val="22"/>
          <w:szCs w:val="22"/>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w:t>
      </w:r>
      <w:r w:rsidRPr="00A618CE">
        <w:rPr>
          <w:rFonts w:ascii="Palatino Linotype" w:eastAsia="Palatino Linotype" w:hAnsi="Palatino Linotype" w:cs="Palatino Linotype"/>
          <w:i/>
          <w:sz w:val="22"/>
          <w:szCs w:val="22"/>
        </w:rPr>
        <w:lastRenderedPageBreak/>
        <w:t>Información Pública del Estado de México y Municipios 29 como reservada temporalmente por razones de interés público, en los términos de las causas legítimas y estrictamente necesarias previstas por esta Ley.</w:t>
      </w:r>
    </w:p>
    <w:p w14:paraId="07E23953" w14:textId="77777777" w:rsidR="005B68DD" w:rsidRPr="00A618CE" w:rsidRDefault="00A57AF2">
      <w:pPr>
        <w:tabs>
          <w:tab w:val="left" w:pos="851"/>
        </w:tabs>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A618CE">
        <w:rPr>
          <w:rFonts w:ascii="Palatino Linotype" w:eastAsia="Palatino Linotype" w:hAnsi="Palatino Linotype" w:cs="Palatino Linotype"/>
          <w:i/>
          <w:sz w:val="22"/>
          <w:szCs w:val="22"/>
        </w:rPr>
        <w:t>.”</w:t>
      </w:r>
    </w:p>
    <w:p w14:paraId="0CBDC813"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67B126BD"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12281673" w14:textId="77777777" w:rsidR="005B68DD" w:rsidRPr="00A618CE" w:rsidRDefault="005B68DD">
      <w:pPr>
        <w:spacing w:line="360" w:lineRule="auto"/>
        <w:ind w:right="616"/>
        <w:jc w:val="both"/>
        <w:rPr>
          <w:rFonts w:ascii="Palatino Linotype" w:eastAsia="Palatino Linotype" w:hAnsi="Palatino Linotype" w:cs="Palatino Linotype"/>
          <w:sz w:val="22"/>
          <w:szCs w:val="22"/>
        </w:rPr>
      </w:pPr>
    </w:p>
    <w:p w14:paraId="26F201EF" w14:textId="77777777" w:rsidR="005B68DD" w:rsidRPr="00A618CE" w:rsidRDefault="00A57AF2">
      <w:pPr>
        <w:tabs>
          <w:tab w:val="left" w:pos="6804"/>
        </w:tabs>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r w:rsidRPr="00A618CE">
        <w:rPr>
          <w:rFonts w:ascii="Palatino Linotype" w:eastAsia="Palatino Linotype" w:hAnsi="Palatino Linotype" w:cs="Palatino Linotype"/>
          <w:b/>
          <w:i/>
          <w:sz w:val="22"/>
          <w:szCs w:val="22"/>
        </w:rPr>
        <w:t>Artículo 12.-</w:t>
      </w:r>
      <w:r w:rsidRPr="00A618CE">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D410498" w14:textId="77777777" w:rsidR="005B68DD" w:rsidRPr="00A618CE" w:rsidRDefault="00A57AF2">
      <w:pPr>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A618CE">
        <w:rPr>
          <w:rFonts w:ascii="Palatino Linotype" w:eastAsia="Palatino Linotype" w:hAnsi="Palatino Linotype" w:cs="Palatino Linotype"/>
          <w:i/>
          <w:sz w:val="22"/>
          <w:szCs w:val="22"/>
        </w:rPr>
        <w:t xml:space="preserve">. </w:t>
      </w:r>
      <w:r w:rsidRPr="00A618CE">
        <w:rPr>
          <w:rFonts w:ascii="Palatino Linotype" w:eastAsia="Palatino Linotype" w:hAnsi="Palatino Linotype" w:cs="Palatino Linotype"/>
          <w:b/>
          <w:i/>
          <w:sz w:val="22"/>
          <w:szCs w:val="22"/>
        </w:rPr>
        <w:t>La obligación de proporcionar información no comprende el procesamiento de la misma, ni el presentarla conforme al interés del solicitante; no estarán obligados a generarla, resumirla, efectuar cálculos o practicar investigaciones</w:t>
      </w:r>
      <w:r w:rsidRPr="00A618CE">
        <w:rPr>
          <w:rFonts w:ascii="Palatino Linotype" w:eastAsia="Palatino Linotype" w:hAnsi="Palatino Linotype" w:cs="Palatino Linotype"/>
          <w:i/>
          <w:sz w:val="22"/>
          <w:szCs w:val="22"/>
        </w:rPr>
        <w:t xml:space="preserve">.” </w:t>
      </w:r>
    </w:p>
    <w:p w14:paraId="3259FBBC" w14:textId="77777777" w:rsidR="005B68DD" w:rsidRPr="00A618CE" w:rsidRDefault="005B68DD">
      <w:pPr>
        <w:spacing w:line="360" w:lineRule="auto"/>
        <w:ind w:right="-93"/>
        <w:jc w:val="both"/>
        <w:rPr>
          <w:rFonts w:ascii="Palatino Linotype" w:eastAsia="Palatino Linotype" w:hAnsi="Palatino Linotype" w:cs="Palatino Linotype"/>
          <w:sz w:val="22"/>
          <w:szCs w:val="22"/>
        </w:rPr>
      </w:pPr>
    </w:p>
    <w:p w14:paraId="411B1DD5" w14:textId="77777777" w:rsidR="005B68DD" w:rsidRPr="00A618CE" w:rsidRDefault="00A57AF2">
      <w:pPr>
        <w:spacing w:line="360" w:lineRule="auto"/>
        <w:ind w:right="-93"/>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concretarán a proporcionar la información solicitada que tengan en su poder en el estado que se encuentran, sin necesidad de concretarse al interés o términos específicos del solicitante.</w:t>
      </w:r>
    </w:p>
    <w:p w14:paraId="4854599B" w14:textId="77777777" w:rsidR="005B68DD" w:rsidRPr="00A618CE" w:rsidRDefault="005B68DD">
      <w:pPr>
        <w:spacing w:line="360" w:lineRule="auto"/>
        <w:ind w:right="-93"/>
        <w:jc w:val="both"/>
        <w:rPr>
          <w:rFonts w:ascii="Palatino Linotype" w:eastAsia="Palatino Linotype" w:hAnsi="Palatino Linotype" w:cs="Palatino Linotype"/>
          <w:sz w:val="22"/>
          <w:szCs w:val="22"/>
        </w:rPr>
      </w:pPr>
    </w:p>
    <w:p w14:paraId="66FE785B" w14:textId="36F5EB56" w:rsidR="005B68DD" w:rsidRPr="00A618CE" w:rsidRDefault="00A57AF2">
      <w:pPr>
        <w:spacing w:line="360" w:lineRule="auto"/>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sz w:val="22"/>
          <w:szCs w:val="22"/>
        </w:rPr>
        <w:lastRenderedPageBreak/>
        <w:t xml:space="preserve">Sirve de apoyo a lo anterior, el criterio </w:t>
      </w:r>
      <w:r w:rsidR="000760B7" w:rsidRPr="00A618CE">
        <w:rPr>
          <w:rFonts w:ascii="Palatino Linotype" w:eastAsia="Palatino Linotype" w:hAnsi="Palatino Linotype" w:cs="Palatino Linotype"/>
          <w:sz w:val="22"/>
          <w:szCs w:val="22"/>
        </w:rPr>
        <w:t xml:space="preserve">orientador </w:t>
      </w:r>
      <w:r w:rsidRPr="00A618CE">
        <w:rPr>
          <w:rFonts w:ascii="Palatino Linotype" w:eastAsia="Palatino Linotype" w:hAnsi="Palatino Linotype" w:cs="Palatino Linotype"/>
          <w:sz w:val="22"/>
          <w:szCs w:val="22"/>
        </w:rPr>
        <w:t xml:space="preserve">03-17, expuesto por el </w:t>
      </w:r>
      <w:r w:rsidR="000760B7" w:rsidRPr="00A618CE">
        <w:rPr>
          <w:rFonts w:ascii="Palatino Linotype" w:eastAsia="Palatino Linotype" w:hAnsi="Palatino Linotype" w:cs="Palatino Linotype"/>
          <w:sz w:val="22"/>
          <w:szCs w:val="22"/>
        </w:rPr>
        <w:t xml:space="preserve">entonces </w:t>
      </w:r>
      <w:r w:rsidRPr="00A618CE">
        <w:rPr>
          <w:rFonts w:ascii="Palatino Linotype" w:eastAsia="Palatino Linotype" w:hAnsi="Palatino Linotype" w:cs="Palatino Linotype"/>
          <w:sz w:val="22"/>
          <w:szCs w:val="22"/>
        </w:rPr>
        <w:t>Instituto Nacional de Transparencia, Acceso a la Información y Protección de Datos Personales, que dice:</w:t>
      </w:r>
      <w:r w:rsidRPr="00A618CE">
        <w:rPr>
          <w:rFonts w:ascii="Palatino Linotype" w:eastAsia="Palatino Linotype" w:hAnsi="Palatino Linotype" w:cs="Palatino Linotype"/>
          <w:b/>
          <w:sz w:val="22"/>
          <w:szCs w:val="22"/>
        </w:rPr>
        <w:t xml:space="preserve"> </w:t>
      </w:r>
    </w:p>
    <w:p w14:paraId="4B5C2E39" w14:textId="77777777" w:rsidR="005B68DD" w:rsidRPr="00A618CE" w:rsidRDefault="005B68DD">
      <w:pPr>
        <w:spacing w:line="276" w:lineRule="auto"/>
        <w:ind w:right="850"/>
        <w:jc w:val="both"/>
        <w:rPr>
          <w:rFonts w:ascii="Palatino Linotype" w:eastAsia="Palatino Linotype" w:hAnsi="Palatino Linotype" w:cs="Palatino Linotype"/>
          <w:sz w:val="22"/>
          <w:szCs w:val="22"/>
        </w:rPr>
      </w:pPr>
    </w:p>
    <w:p w14:paraId="2A662184" w14:textId="77777777" w:rsidR="005B68DD" w:rsidRPr="00A618CE" w:rsidRDefault="00A57AF2">
      <w:pPr>
        <w:spacing w:line="276" w:lineRule="auto"/>
        <w:ind w:left="567" w:right="616"/>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r w:rsidRPr="00A618CE">
        <w:rPr>
          <w:rFonts w:ascii="Palatino Linotype" w:eastAsia="Palatino Linotype" w:hAnsi="Palatino Linotype" w:cs="Palatino Linotype"/>
          <w:b/>
          <w:i/>
          <w:sz w:val="22"/>
          <w:szCs w:val="22"/>
        </w:rPr>
        <w:t>No existe obligación de elaborar documentos ad hoc para atender las solicitudes de acceso a la información.</w:t>
      </w:r>
      <w:r w:rsidRPr="00A618CE">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 </w:t>
      </w:r>
    </w:p>
    <w:p w14:paraId="2B209281" w14:textId="77777777" w:rsidR="005B68DD" w:rsidRPr="00A618CE" w:rsidRDefault="005B68DD">
      <w:pPr>
        <w:spacing w:line="276" w:lineRule="auto"/>
        <w:ind w:right="616"/>
        <w:jc w:val="both"/>
        <w:rPr>
          <w:rFonts w:ascii="Palatino Linotype" w:eastAsia="Palatino Linotype" w:hAnsi="Palatino Linotype" w:cs="Palatino Linotype"/>
          <w:i/>
          <w:sz w:val="22"/>
          <w:szCs w:val="22"/>
        </w:rPr>
      </w:pPr>
    </w:p>
    <w:p w14:paraId="1BA138A1"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3064332"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724C8C4F"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7DAFA6E9" w14:textId="77777777" w:rsidR="005B68DD" w:rsidRPr="00A618CE" w:rsidRDefault="005B68DD">
      <w:pPr>
        <w:spacing w:line="360" w:lineRule="auto"/>
        <w:ind w:right="49"/>
        <w:jc w:val="both"/>
        <w:rPr>
          <w:rFonts w:ascii="Palatino Linotype" w:eastAsia="Palatino Linotype" w:hAnsi="Palatino Linotype" w:cs="Palatino Linotype"/>
          <w:sz w:val="22"/>
          <w:szCs w:val="22"/>
        </w:rPr>
      </w:pPr>
    </w:p>
    <w:p w14:paraId="56A32E5B"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w:t>
      </w:r>
      <w:r w:rsidRPr="00A618CE">
        <w:rPr>
          <w:rFonts w:ascii="Palatino Linotype" w:eastAsia="Palatino Linotype" w:hAnsi="Palatino Linotype" w:cs="Palatino Linotype"/>
          <w:sz w:val="22"/>
          <w:szCs w:val="22"/>
        </w:rPr>
        <w:lastRenderedPageBreak/>
        <w:t xml:space="preserve">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4D3640AF"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355C5B6E" w14:textId="77777777" w:rsidR="005B68DD" w:rsidRPr="00A618CE" w:rsidRDefault="00A57AF2">
      <w:pPr>
        <w:spacing w:line="276" w:lineRule="auto"/>
        <w:ind w:left="567" w:right="899"/>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r w:rsidRPr="00A618CE">
        <w:rPr>
          <w:rFonts w:ascii="Palatino Linotype" w:eastAsia="Palatino Linotype" w:hAnsi="Palatino Linotype" w:cs="Palatino Linotype"/>
          <w:b/>
          <w:i/>
          <w:sz w:val="22"/>
          <w:szCs w:val="22"/>
        </w:rPr>
        <w:t xml:space="preserve">Artículo 3. </w:t>
      </w:r>
      <w:r w:rsidRPr="00A618CE">
        <w:rPr>
          <w:rFonts w:ascii="Palatino Linotype" w:eastAsia="Palatino Linotype" w:hAnsi="Palatino Linotype" w:cs="Palatino Linotype"/>
          <w:i/>
          <w:sz w:val="22"/>
          <w:szCs w:val="22"/>
        </w:rPr>
        <w:t>Para los efectos de la presente Ley se entenderá por:</w:t>
      </w:r>
    </w:p>
    <w:p w14:paraId="332C6D58" w14:textId="77777777" w:rsidR="005B68DD" w:rsidRPr="00A618CE" w:rsidRDefault="00A57AF2">
      <w:pPr>
        <w:spacing w:line="276" w:lineRule="auto"/>
        <w:ind w:left="567" w:right="899"/>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w:t>
      </w:r>
    </w:p>
    <w:p w14:paraId="4A6B8F67" w14:textId="77777777" w:rsidR="005B68DD" w:rsidRPr="00A618CE" w:rsidRDefault="00A57AF2">
      <w:pPr>
        <w:spacing w:line="276" w:lineRule="auto"/>
        <w:ind w:left="567" w:right="899"/>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b/>
          <w:i/>
          <w:sz w:val="22"/>
          <w:szCs w:val="22"/>
        </w:rPr>
        <w:t>XI. Documento:</w:t>
      </w:r>
      <w:r w:rsidRPr="00A618CE">
        <w:rPr>
          <w:rFonts w:ascii="Palatino Linotype" w:eastAsia="Palatino Linotype" w:hAnsi="Palatino Linotype" w:cs="Palatino Linotype"/>
          <w:i/>
          <w:sz w:val="22"/>
          <w:szCs w:val="22"/>
        </w:rPr>
        <w:t xml:space="preserve"> Los expedientes, reportes, estudios, actas</w:t>
      </w:r>
      <w:r w:rsidRPr="00A618CE">
        <w:rPr>
          <w:rFonts w:ascii="Palatino Linotype" w:eastAsia="Palatino Linotype" w:hAnsi="Palatino Linotype" w:cs="Palatino Linotype"/>
          <w:b/>
          <w:i/>
          <w:sz w:val="22"/>
          <w:szCs w:val="22"/>
        </w:rPr>
        <w:t>,</w:t>
      </w:r>
      <w:r w:rsidRPr="00A618CE">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1B69325E" w14:textId="77777777" w:rsidR="005B68DD" w:rsidRPr="00A618CE" w:rsidRDefault="005B68DD">
      <w:pPr>
        <w:spacing w:line="360" w:lineRule="auto"/>
        <w:ind w:right="899"/>
        <w:jc w:val="both"/>
        <w:rPr>
          <w:rFonts w:ascii="Palatino Linotype" w:eastAsia="Palatino Linotype" w:hAnsi="Palatino Linotype" w:cs="Palatino Linotype"/>
          <w:sz w:val="22"/>
          <w:szCs w:val="22"/>
        </w:rPr>
      </w:pPr>
    </w:p>
    <w:p w14:paraId="2DBE12B9"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6FE0FD20" w14:textId="77777777" w:rsidR="005B68DD" w:rsidRPr="00A618CE" w:rsidRDefault="005B68DD">
      <w:pPr>
        <w:spacing w:line="360" w:lineRule="auto"/>
        <w:ind w:right="899"/>
        <w:jc w:val="both"/>
        <w:rPr>
          <w:rFonts w:ascii="Palatino Linotype" w:eastAsia="Palatino Linotype" w:hAnsi="Palatino Linotype" w:cs="Palatino Linotype"/>
          <w:sz w:val="22"/>
          <w:szCs w:val="22"/>
        </w:rPr>
      </w:pPr>
    </w:p>
    <w:p w14:paraId="255B9E20" w14:textId="77777777" w:rsidR="005B68DD" w:rsidRPr="00A618CE" w:rsidRDefault="00A57AF2">
      <w:pPr>
        <w:spacing w:line="276" w:lineRule="auto"/>
        <w:ind w:left="567" w:right="899"/>
        <w:jc w:val="both"/>
        <w:rPr>
          <w:rFonts w:ascii="Palatino Linotype" w:eastAsia="Palatino Linotype" w:hAnsi="Palatino Linotype" w:cs="Palatino Linotype"/>
          <w:b/>
          <w:i/>
          <w:sz w:val="22"/>
          <w:szCs w:val="22"/>
        </w:rPr>
      </w:pPr>
      <w:r w:rsidRPr="00A618CE">
        <w:rPr>
          <w:rFonts w:ascii="Palatino Linotype" w:eastAsia="Palatino Linotype" w:hAnsi="Palatino Linotype" w:cs="Palatino Linotype"/>
          <w:b/>
          <w:sz w:val="22"/>
          <w:szCs w:val="22"/>
        </w:rPr>
        <w:t>“</w:t>
      </w:r>
      <w:r w:rsidRPr="00A618CE">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A618CE">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46CE01E0" w14:textId="77777777" w:rsidR="005B68DD" w:rsidRPr="00A618CE" w:rsidRDefault="00A57AF2">
      <w:pPr>
        <w:spacing w:line="276" w:lineRule="auto"/>
        <w:ind w:left="567" w:right="899"/>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t>En consecuencia el acceso a la información se refiere a que se cumplan cualquiera de los siguientes tres supuestos:</w:t>
      </w:r>
    </w:p>
    <w:p w14:paraId="682AB674" w14:textId="77777777" w:rsidR="005B68DD" w:rsidRPr="00A618CE" w:rsidRDefault="00A57AF2">
      <w:pPr>
        <w:spacing w:line="276" w:lineRule="auto"/>
        <w:ind w:left="567" w:right="899"/>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i/>
          <w:sz w:val="22"/>
          <w:szCs w:val="22"/>
        </w:rPr>
        <w:lastRenderedPageBreak/>
        <w:t>1) Que se trate de información registrada en cualquier soporte documental, que en ejercicio de las atribuciones conferidas, sea generada por los Sujetos Obligados;</w:t>
      </w:r>
    </w:p>
    <w:p w14:paraId="49A6764D" w14:textId="77777777" w:rsidR="005B68DD" w:rsidRPr="00A618CE" w:rsidRDefault="00A57AF2">
      <w:pPr>
        <w:spacing w:line="276" w:lineRule="auto"/>
        <w:ind w:left="567" w:right="899"/>
        <w:jc w:val="both"/>
        <w:rPr>
          <w:rFonts w:ascii="Palatino Linotype" w:eastAsia="Palatino Linotype" w:hAnsi="Palatino Linotype" w:cs="Palatino Linotype"/>
          <w:b/>
          <w:i/>
          <w:sz w:val="22"/>
          <w:szCs w:val="22"/>
        </w:rPr>
      </w:pPr>
      <w:r w:rsidRPr="00A618CE">
        <w:rPr>
          <w:rFonts w:ascii="Palatino Linotype" w:eastAsia="Palatino Linotype" w:hAnsi="Palatino Linotype" w:cs="Palatino Linotype"/>
          <w:b/>
          <w:i/>
          <w:sz w:val="22"/>
          <w:szCs w:val="22"/>
        </w:rPr>
        <w:t>2) Que se trate de información registrada en cualquier soporte documental, que en ejercicio de las atribuciones conferidas, sea administrada por los Sujetos Obligados, y</w:t>
      </w:r>
    </w:p>
    <w:p w14:paraId="121552F9" w14:textId="77777777" w:rsidR="005B68DD" w:rsidRPr="00A618CE" w:rsidRDefault="00A57AF2">
      <w:pPr>
        <w:spacing w:line="276" w:lineRule="auto"/>
        <w:ind w:left="567" w:right="899"/>
        <w:jc w:val="both"/>
        <w:rPr>
          <w:rFonts w:ascii="Palatino Linotype" w:eastAsia="Palatino Linotype" w:hAnsi="Palatino Linotype" w:cs="Palatino Linotype"/>
          <w:b/>
          <w:i/>
          <w:sz w:val="22"/>
          <w:szCs w:val="22"/>
        </w:rPr>
      </w:pPr>
      <w:r w:rsidRPr="00A618CE">
        <w:rPr>
          <w:rFonts w:ascii="Palatino Linotype" w:eastAsia="Palatino Linotype" w:hAnsi="Palatino Linotype" w:cs="Palatino Linotype"/>
          <w:b/>
          <w:i/>
          <w:sz w:val="22"/>
          <w:szCs w:val="22"/>
        </w:rPr>
        <w:t xml:space="preserve">3) Que se trate de información registrada en cualquier soporte documental, que en ejercicio de las atribuciones conferidas, se encuentre en posesión de los Sujetos Obligados.” </w:t>
      </w:r>
    </w:p>
    <w:p w14:paraId="571CDC9E" w14:textId="77777777" w:rsidR="005B68DD" w:rsidRPr="00A618CE" w:rsidRDefault="005B68DD">
      <w:pPr>
        <w:spacing w:line="360" w:lineRule="auto"/>
        <w:ind w:left="567"/>
        <w:jc w:val="both"/>
        <w:rPr>
          <w:rFonts w:ascii="Palatino Linotype" w:eastAsia="Palatino Linotype" w:hAnsi="Palatino Linotype" w:cs="Palatino Linotype"/>
          <w:sz w:val="22"/>
          <w:szCs w:val="22"/>
        </w:rPr>
      </w:pPr>
    </w:p>
    <w:p w14:paraId="24208E10" w14:textId="77777777" w:rsidR="000760B7" w:rsidRPr="00A618CE" w:rsidRDefault="000760B7" w:rsidP="000760B7">
      <w:pPr>
        <w:pStyle w:val="NormalWeb"/>
        <w:spacing w:before="0" w:beforeAutospacing="0" w:after="0" w:afterAutospacing="0" w:line="360" w:lineRule="auto"/>
        <w:ind w:right="49"/>
        <w:jc w:val="both"/>
      </w:pPr>
      <w:r w:rsidRPr="00A618CE">
        <w:rPr>
          <w:rFonts w:ascii="Palatino Linotype" w:hAnsi="Palatino Linotype"/>
          <w:color w:val="000000"/>
          <w:sz w:val="22"/>
          <w:szCs w:val="22"/>
        </w:rPr>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así como de interés público, es decir, aquella que resulta relevante o beneficiosa para la sociedad y no simplemente de interés individual y cuya divulgación resulta útil para que el público comprenda las actividades que llevan a cabo los Sujetos Obligados.</w:t>
      </w:r>
    </w:p>
    <w:p w14:paraId="0FF6BECD" w14:textId="77777777" w:rsidR="000760B7" w:rsidRPr="00A618CE" w:rsidRDefault="000760B7" w:rsidP="000760B7">
      <w:pPr>
        <w:spacing w:line="360" w:lineRule="auto"/>
      </w:pPr>
    </w:p>
    <w:p w14:paraId="4B4171DE" w14:textId="0602AB9E" w:rsidR="00E87488" w:rsidRPr="00A618CE" w:rsidRDefault="000760B7" w:rsidP="000760B7">
      <w:pPr>
        <w:pStyle w:val="NormalWeb"/>
        <w:spacing w:before="0" w:beforeAutospacing="0" w:after="0" w:afterAutospacing="0" w:line="360" w:lineRule="auto"/>
        <w:jc w:val="both"/>
        <w:rPr>
          <w:rFonts w:ascii="Palatino Linotype" w:hAnsi="Palatino Linotype"/>
          <w:color w:val="000000"/>
          <w:sz w:val="22"/>
          <w:szCs w:val="22"/>
        </w:rPr>
      </w:pPr>
      <w:r w:rsidRPr="00A618CE">
        <w:rPr>
          <w:rFonts w:ascii="Palatino Linotype" w:hAnsi="Palatino Linotype"/>
          <w:color w:val="000000"/>
          <w:sz w:val="22"/>
          <w:szCs w:val="22"/>
        </w:rPr>
        <w:t xml:space="preserve">Ahora bien, es de recordar que la parte Recurrente solicitó la siguiente información, respecto </w:t>
      </w:r>
      <w:r w:rsidR="00E87488" w:rsidRPr="00A618CE">
        <w:rPr>
          <w:rFonts w:ascii="Palatino Linotype" w:hAnsi="Palatino Linotype"/>
          <w:color w:val="000000"/>
          <w:sz w:val="22"/>
          <w:szCs w:val="22"/>
        </w:rPr>
        <w:t xml:space="preserve">de las personas </w:t>
      </w:r>
      <w:r w:rsidR="00ED7BE5" w:rsidRPr="00A618CE">
        <w:rPr>
          <w:rFonts w:ascii="Palatino Linotype" w:hAnsi="Palatino Linotype"/>
          <w:color w:val="000000"/>
          <w:sz w:val="22"/>
          <w:szCs w:val="22"/>
        </w:rPr>
        <w:t xml:space="preserve">que van a colaborar de manera temporal durante el Proceso Electoral Judicial Extraordinario 2025: </w:t>
      </w:r>
    </w:p>
    <w:p w14:paraId="04200490" w14:textId="77777777" w:rsidR="000760B7" w:rsidRPr="00A618CE" w:rsidRDefault="000760B7" w:rsidP="000760B7">
      <w:pPr>
        <w:pStyle w:val="NormalWeb"/>
        <w:spacing w:before="0" w:beforeAutospacing="0" w:after="0" w:afterAutospacing="0" w:line="360" w:lineRule="auto"/>
        <w:jc w:val="both"/>
        <w:rPr>
          <w:rFonts w:ascii="Palatino Linotype" w:eastAsia="Palatino Linotype" w:hAnsi="Palatino Linotype" w:cs="Palatino Linotype"/>
          <w:sz w:val="22"/>
          <w:szCs w:val="22"/>
        </w:rPr>
      </w:pPr>
    </w:p>
    <w:p w14:paraId="7968CAD5" w14:textId="128DAAF5" w:rsidR="000760B7" w:rsidRPr="00A618CE" w:rsidRDefault="000760B7" w:rsidP="000760B7">
      <w:pPr>
        <w:pStyle w:val="NormalWeb"/>
        <w:numPr>
          <w:ilvl w:val="0"/>
          <w:numId w:val="2"/>
        </w:numPr>
        <w:spacing w:before="0" w:beforeAutospacing="0" w:after="0" w:afterAutospacing="0" w:line="360" w:lineRule="auto"/>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t xml:space="preserve"> </w:t>
      </w:r>
      <w:r w:rsidR="00ED7BE5" w:rsidRPr="00A618CE">
        <w:rPr>
          <w:rFonts w:ascii="Palatino Linotype" w:eastAsia="Palatino Linotype" w:hAnsi="Palatino Linotype" w:cs="Palatino Linotype"/>
          <w:b/>
          <w:sz w:val="22"/>
          <w:szCs w:val="22"/>
        </w:rPr>
        <w:t xml:space="preserve"> Documentales con las cerca de 7,000 plazas.</w:t>
      </w:r>
    </w:p>
    <w:p w14:paraId="7487D42F" w14:textId="77777777" w:rsidR="000760B7" w:rsidRPr="00A618CE" w:rsidRDefault="000760B7" w:rsidP="000760B7">
      <w:pPr>
        <w:pStyle w:val="NormalWeb"/>
        <w:spacing w:before="0" w:beforeAutospacing="0" w:after="0" w:afterAutospacing="0" w:line="360" w:lineRule="auto"/>
        <w:jc w:val="both"/>
        <w:rPr>
          <w:rFonts w:ascii="Palatino Linotype" w:hAnsi="Palatino Linotype"/>
          <w:color w:val="000000"/>
          <w:sz w:val="22"/>
          <w:szCs w:val="22"/>
        </w:rPr>
      </w:pPr>
    </w:p>
    <w:p w14:paraId="718479BD" w14:textId="1F5D9342" w:rsidR="00DD081D" w:rsidRPr="00A618CE" w:rsidRDefault="00AC7749" w:rsidP="00DD081D">
      <w:pPr>
        <w:spacing w:line="360" w:lineRule="auto"/>
        <w:contextualSpacing/>
        <w:jc w:val="both"/>
        <w:rPr>
          <w:rFonts w:ascii="Palatino Linotype" w:hAnsi="Palatino Linotype" w:cs="Arial"/>
          <w:bCs/>
          <w:iCs/>
          <w:sz w:val="22"/>
          <w:szCs w:val="22"/>
          <w:lang w:val="es-CO"/>
        </w:rPr>
      </w:pPr>
      <w:r w:rsidRPr="00A618CE">
        <w:rPr>
          <w:rFonts w:ascii="Palatino Linotype" w:eastAsia="Palatino Linotype" w:hAnsi="Palatino Linotype" w:cs="Palatino Linotype"/>
          <w:sz w:val="22"/>
          <w:szCs w:val="22"/>
        </w:rPr>
        <w:t xml:space="preserve">En respuesta, el Sujeto Obligado a través de la Dirección </w:t>
      </w:r>
      <w:r w:rsidR="000760B7" w:rsidRPr="00A618CE">
        <w:rPr>
          <w:rFonts w:ascii="Palatino Linotype" w:eastAsia="Palatino Linotype" w:hAnsi="Palatino Linotype" w:cs="Palatino Linotype"/>
          <w:sz w:val="22"/>
          <w:szCs w:val="22"/>
        </w:rPr>
        <w:t>de Administración</w:t>
      </w:r>
      <w:r w:rsidRPr="00A618CE">
        <w:rPr>
          <w:rFonts w:ascii="Palatino Linotype" w:eastAsia="Palatino Linotype" w:hAnsi="Palatino Linotype" w:cs="Palatino Linotype"/>
          <w:sz w:val="22"/>
          <w:szCs w:val="22"/>
        </w:rPr>
        <w:t xml:space="preserve"> </w:t>
      </w:r>
      <w:r w:rsidR="00825478" w:rsidRPr="00A618CE">
        <w:rPr>
          <w:rFonts w:ascii="Palatino Linotype" w:eastAsia="Palatino Linotype" w:hAnsi="Palatino Linotype" w:cs="Palatino Linotype"/>
          <w:sz w:val="22"/>
          <w:szCs w:val="22"/>
        </w:rPr>
        <w:t>informó que</w:t>
      </w:r>
      <w:r w:rsidR="00DD081D" w:rsidRPr="00A618CE">
        <w:rPr>
          <w:rFonts w:ascii="Palatino Linotype" w:hAnsi="Palatino Linotype" w:cs="Arial"/>
          <w:bCs/>
          <w:iCs/>
          <w:sz w:val="22"/>
          <w:szCs w:val="22"/>
          <w:lang w:val="es-CO"/>
        </w:rPr>
        <w:t xml:space="preserve">, se realizó la contratación de carácter civil, bajo el régimen de prestadores de servicios por honorarios asimilados a salarios, a 391 Supervisores/as Electorales Locales (SEL), 2,328 Capacitadores/as Asistentes Electorales Locales (CAEL) y 216 Consejeros de Órganos Desconcentrados, información que se advierte en el listado de personas designadas como SEL y CAEL y de la designación directa de Consejerías de los 18 Órganos Desconcentrados en las documentales entregadas en respuesta a la solicitud de información primigenia, asimismo precisó que , hasta el </w:t>
      </w:r>
      <w:r w:rsidR="00DD081D" w:rsidRPr="00A618CE">
        <w:rPr>
          <w:rFonts w:ascii="Palatino Linotype" w:hAnsi="Palatino Linotype" w:cs="Arial"/>
          <w:bCs/>
          <w:iCs/>
          <w:sz w:val="22"/>
          <w:szCs w:val="22"/>
          <w:lang w:val="es-CO"/>
        </w:rPr>
        <w:lastRenderedPageBreak/>
        <w:t>momento, se tiene una proyección de contratación de carácter civil, bajo el régimen de prestadores de servicios por honorarios asimilados a salarios de 1,420 personas que realizarán actividades de apoyo durante la Jornada Electoral (la cual se llevará a cabo el día primero de junio de dos mil veinticinco), cifra que puede variar de acuerdo a las necesidades que susciten en cada Órgano Desconcentrado.</w:t>
      </w:r>
    </w:p>
    <w:p w14:paraId="023F39C8" w14:textId="77777777" w:rsidR="00DD081D" w:rsidRPr="00A618CE" w:rsidRDefault="00DD081D" w:rsidP="00DD081D">
      <w:pPr>
        <w:contextualSpacing/>
        <w:jc w:val="both"/>
        <w:rPr>
          <w:rFonts w:ascii="Arial" w:hAnsi="Arial" w:cs="Arial"/>
          <w:bCs/>
          <w:iCs/>
          <w:lang w:val="es-CO"/>
        </w:rPr>
      </w:pPr>
    </w:p>
    <w:p w14:paraId="2D30801E" w14:textId="37483884" w:rsidR="000760B7" w:rsidRPr="00A618CE" w:rsidRDefault="00DD081D" w:rsidP="000760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sz w:val="22"/>
          <w:szCs w:val="22"/>
        </w:rPr>
        <w:t>De igual forma señaló que como</w:t>
      </w:r>
      <w:r w:rsidR="000760B7" w:rsidRPr="00A618CE">
        <w:rPr>
          <w:rFonts w:ascii="Palatino Linotype" w:eastAsia="Palatino Linotype" w:hAnsi="Palatino Linotype" w:cs="Palatino Linotype"/>
          <w:sz w:val="22"/>
          <w:szCs w:val="22"/>
        </w:rPr>
        <w:t xml:space="preserve"> resultado de la búsqueda razonable, exhaustiva y minuciosa en los archivos de los departamentos que conforman la Subdirección de Recursos </w:t>
      </w:r>
      <w:r w:rsidR="00B27722" w:rsidRPr="00A618CE">
        <w:rPr>
          <w:rFonts w:ascii="Palatino Linotype" w:eastAsia="Palatino Linotype" w:hAnsi="Palatino Linotype" w:cs="Palatino Linotype"/>
          <w:sz w:val="22"/>
          <w:szCs w:val="22"/>
        </w:rPr>
        <w:t>Humanos</w:t>
      </w:r>
      <w:r w:rsidR="00320E12" w:rsidRPr="00A618CE">
        <w:rPr>
          <w:rFonts w:ascii="Palatino Linotype" w:eastAsia="Palatino Linotype" w:hAnsi="Palatino Linotype" w:cs="Palatino Linotype"/>
          <w:sz w:val="22"/>
          <w:szCs w:val="22"/>
        </w:rPr>
        <w:t xml:space="preserve"> y Servicios Generales</w:t>
      </w:r>
      <w:r w:rsidR="000760B7" w:rsidRPr="00A618CE">
        <w:rPr>
          <w:rFonts w:ascii="Palatino Linotype" w:eastAsia="Palatino Linotype" w:hAnsi="Palatino Linotype" w:cs="Palatino Linotype"/>
          <w:sz w:val="22"/>
          <w:szCs w:val="22"/>
        </w:rPr>
        <w:t>, a través d</w:t>
      </w:r>
      <w:r w:rsidR="00B27722" w:rsidRPr="00A618CE">
        <w:rPr>
          <w:rFonts w:ascii="Palatino Linotype" w:eastAsia="Palatino Linotype" w:hAnsi="Palatino Linotype" w:cs="Palatino Linotype"/>
          <w:sz w:val="22"/>
          <w:szCs w:val="22"/>
        </w:rPr>
        <w:t xml:space="preserve">e la tarjeta número </w:t>
      </w:r>
      <w:proofErr w:type="spellStart"/>
      <w:r w:rsidR="00B27722" w:rsidRPr="00A618CE">
        <w:rPr>
          <w:rFonts w:ascii="Palatino Linotype" w:eastAsia="Palatino Linotype" w:hAnsi="Palatino Linotype" w:cs="Palatino Linotype"/>
          <w:sz w:val="22"/>
          <w:szCs w:val="22"/>
        </w:rPr>
        <w:t>SRHySGT</w:t>
      </w:r>
      <w:proofErr w:type="spellEnd"/>
      <w:r w:rsidR="00B27722" w:rsidRPr="00A618CE">
        <w:rPr>
          <w:rFonts w:ascii="Palatino Linotype" w:eastAsia="Palatino Linotype" w:hAnsi="Palatino Linotype" w:cs="Palatino Linotype"/>
          <w:sz w:val="22"/>
          <w:szCs w:val="22"/>
        </w:rPr>
        <w:t>/102/2025</w:t>
      </w:r>
      <w:r w:rsidR="000760B7" w:rsidRPr="00A618CE">
        <w:rPr>
          <w:rFonts w:ascii="Palatino Linotype" w:eastAsia="Palatino Linotype" w:hAnsi="Palatino Linotype" w:cs="Palatino Linotype"/>
          <w:sz w:val="22"/>
          <w:szCs w:val="22"/>
        </w:rPr>
        <w:t xml:space="preserve">, el Titular </w:t>
      </w:r>
      <w:r w:rsidR="00B27722" w:rsidRPr="00A618CE">
        <w:rPr>
          <w:rFonts w:ascii="Palatino Linotype" w:eastAsia="Palatino Linotype" w:hAnsi="Palatino Linotype" w:cs="Palatino Linotype"/>
          <w:sz w:val="22"/>
          <w:szCs w:val="22"/>
        </w:rPr>
        <w:t>remiti</w:t>
      </w:r>
      <w:r w:rsidR="00C66CEA" w:rsidRPr="00A618CE">
        <w:rPr>
          <w:rFonts w:ascii="Palatino Linotype" w:eastAsia="Palatino Linotype" w:hAnsi="Palatino Linotype" w:cs="Palatino Linotype"/>
          <w:sz w:val="22"/>
          <w:szCs w:val="22"/>
        </w:rPr>
        <w:t>ó diversos documentos</w:t>
      </w:r>
      <w:r w:rsidR="004E4B99" w:rsidRPr="00A618CE">
        <w:rPr>
          <w:rFonts w:ascii="Palatino Linotype" w:eastAsia="Palatino Linotype" w:hAnsi="Palatino Linotype" w:cs="Palatino Linotype"/>
          <w:sz w:val="22"/>
          <w:szCs w:val="22"/>
        </w:rPr>
        <w:t xml:space="preserve"> en los que </w:t>
      </w:r>
      <w:r w:rsidR="00C01A59" w:rsidRPr="00A618CE">
        <w:rPr>
          <w:rFonts w:ascii="Palatino Linotype" w:eastAsia="Palatino Linotype" w:hAnsi="Palatino Linotype" w:cs="Palatino Linotype"/>
          <w:sz w:val="22"/>
          <w:szCs w:val="22"/>
        </w:rPr>
        <w:t>es posible advertir</w:t>
      </w:r>
      <w:r w:rsidR="000760B7" w:rsidRPr="00A618CE">
        <w:rPr>
          <w:rFonts w:ascii="Palatino Linotype" w:eastAsia="Palatino Linotype" w:hAnsi="Palatino Linotype" w:cs="Palatino Linotype"/>
          <w:sz w:val="22"/>
          <w:szCs w:val="22"/>
        </w:rPr>
        <w:t xml:space="preserve">: </w:t>
      </w:r>
    </w:p>
    <w:p w14:paraId="6B2378C4" w14:textId="77777777" w:rsidR="000760B7" w:rsidRPr="00A618CE" w:rsidRDefault="000760B7" w:rsidP="000760B7">
      <w:p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sz w:val="22"/>
          <w:szCs w:val="22"/>
        </w:rPr>
      </w:pPr>
    </w:p>
    <w:p w14:paraId="179B97E8" w14:textId="143F02AC" w:rsidR="00C01A59" w:rsidRPr="00A618CE" w:rsidRDefault="00C01A59" w:rsidP="00C01A59">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A618CE">
        <w:rPr>
          <w:rFonts w:ascii="Palatino Linotype" w:eastAsia="Palatino Linotype" w:hAnsi="Palatino Linotype" w:cs="Palatino Linotype"/>
        </w:rPr>
        <w:t>La “Plantilla de personal Eventual del Órgano Central 2025”</w:t>
      </w:r>
    </w:p>
    <w:p w14:paraId="17FA0030" w14:textId="4CBCCF1D" w:rsidR="00C01A59" w:rsidRPr="00A618CE" w:rsidRDefault="001C5BA8" w:rsidP="00C01A59">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A618CE">
        <w:rPr>
          <w:rFonts w:ascii="Palatino Linotype" w:eastAsia="Palatino Linotype" w:hAnsi="Palatino Linotype" w:cs="Palatino Linotype"/>
        </w:rPr>
        <w:t xml:space="preserve">El </w:t>
      </w:r>
      <w:r w:rsidR="00C01A59" w:rsidRPr="00A618CE">
        <w:rPr>
          <w:rFonts w:ascii="Palatino Linotype" w:eastAsia="Palatino Linotype" w:hAnsi="Palatino Linotype" w:cs="Palatino Linotype"/>
        </w:rPr>
        <w:t>“Listado de Personas Designadas como SEL o CAEL”</w:t>
      </w:r>
    </w:p>
    <w:p w14:paraId="20CD173B" w14:textId="5AC63E4B" w:rsidR="00C01A59" w:rsidRPr="00A618CE" w:rsidRDefault="001C5BA8" w:rsidP="00C01A59">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A618CE">
        <w:rPr>
          <w:rFonts w:ascii="Palatino Linotype" w:eastAsia="Palatino Linotype" w:hAnsi="Palatino Linotype" w:cs="Palatino Linotype"/>
        </w:rPr>
        <w:t xml:space="preserve">La </w:t>
      </w:r>
      <w:r w:rsidR="00C01A59" w:rsidRPr="00A618CE">
        <w:rPr>
          <w:rFonts w:ascii="Palatino Linotype" w:eastAsia="Palatino Linotype" w:hAnsi="Palatino Linotype" w:cs="Palatino Linotype"/>
        </w:rPr>
        <w:t>“Designación Directa de Consejerías en los Órganos Desconcentrados para el Proceso Electoral Judicial Extraordinario 2025 del Estado de México”</w:t>
      </w:r>
    </w:p>
    <w:p w14:paraId="1D9F1B76" w14:textId="10E883C7" w:rsidR="000760B7" w:rsidRPr="00A618CE" w:rsidRDefault="001C5BA8" w:rsidP="001C5BA8">
      <w:pPr>
        <w:pStyle w:val="Prrafodelista"/>
        <w:numPr>
          <w:ilvl w:val="0"/>
          <w:numId w:val="2"/>
        </w:numPr>
        <w:pBdr>
          <w:top w:val="nil"/>
          <w:left w:val="nil"/>
          <w:bottom w:val="nil"/>
          <w:right w:val="nil"/>
          <w:between w:val="nil"/>
        </w:pBdr>
        <w:tabs>
          <w:tab w:val="left" w:pos="426"/>
        </w:tabs>
        <w:spacing w:line="360" w:lineRule="auto"/>
        <w:ind w:right="49"/>
        <w:jc w:val="both"/>
        <w:rPr>
          <w:rFonts w:ascii="Palatino Linotype" w:eastAsia="Palatino Linotype" w:hAnsi="Palatino Linotype" w:cs="Palatino Linotype"/>
        </w:rPr>
      </w:pPr>
      <w:r w:rsidRPr="00A618CE">
        <w:rPr>
          <w:rFonts w:ascii="Palatino Linotype" w:eastAsia="Palatino Linotype" w:hAnsi="Palatino Linotype" w:cs="Palatino Linotype"/>
        </w:rPr>
        <w:t xml:space="preserve">La </w:t>
      </w:r>
      <w:r w:rsidR="00C01A59" w:rsidRPr="00A618CE">
        <w:rPr>
          <w:rFonts w:ascii="Palatino Linotype" w:eastAsia="Palatino Linotype" w:hAnsi="Palatino Linotype" w:cs="Palatino Linotype"/>
        </w:rPr>
        <w:t>“Plantilla de Personal Eventual de Órganos Desconcentrados 2025</w:t>
      </w:r>
    </w:p>
    <w:p w14:paraId="6D611F2D" w14:textId="7EEF544E" w:rsidR="008B796C" w:rsidRPr="00A618CE" w:rsidRDefault="00253CC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Derivado de ello, la parte Recurrent</w:t>
      </w:r>
      <w:r w:rsidR="001C70A2" w:rsidRPr="00A618CE">
        <w:rPr>
          <w:rFonts w:ascii="Palatino Linotype" w:eastAsia="Palatino Linotype" w:hAnsi="Palatino Linotype" w:cs="Palatino Linotype"/>
          <w:sz w:val="22"/>
          <w:szCs w:val="22"/>
        </w:rPr>
        <w:t xml:space="preserve">e se inconformó, arguyendo que </w:t>
      </w:r>
      <w:r w:rsidR="008B796C" w:rsidRPr="00A618CE">
        <w:rPr>
          <w:rFonts w:ascii="Palatino Linotype" w:eastAsia="Palatino Linotype" w:hAnsi="Palatino Linotype" w:cs="Palatino Linotype"/>
          <w:sz w:val="22"/>
          <w:szCs w:val="22"/>
        </w:rPr>
        <w:t xml:space="preserve">la respuesta que fue proporcionada </w:t>
      </w:r>
      <w:r w:rsidR="000760B7" w:rsidRPr="00A618CE">
        <w:rPr>
          <w:rFonts w:ascii="Palatino Linotype" w:eastAsia="Palatino Linotype" w:hAnsi="Palatino Linotype" w:cs="Palatino Linotype"/>
          <w:sz w:val="22"/>
          <w:szCs w:val="22"/>
        </w:rPr>
        <w:t>de manera incompleta</w:t>
      </w:r>
      <w:r w:rsidR="00B27722" w:rsidRPr="00A618CE">
        <w:rPr>
          <w:rFonts w:ascii="Palatino Linotype" w:eastAsia="Palatino Linotype" w:hAnsi="Palatino Linotype" w:cs="Palatino Linotype"/>
          <w:sz w:val="22"/>
          <w:szCs w:val="22"/>
        </w:rPr>
        <w:t xml:space="preserve"> </w:t>
      </w:r>
      <w:r w:rsidR="000760B7" w:rsidRPr="00A618CE">
        <w:rPr>
          <w:rFonts w:ascii="Palatino Linotype" w:eastAsia="Palatino Linotype" w:hAnsi="Palatino Linotype" w:cs="Palatino Linotype"/>
          <w:sz w:val="22"/>
          <w:szCs w:val="22"/>
        </w:rPr>
        <w:t xml:space="preserve">ya que </w:t>
      </w:r>
      <w:r w:rsidR="000760B7" w:rsidRPr="00A618CE">
        <w:rPr>
          <w:rFonts w:ascii="Palatino Linotype" w:eastAsia="Palatino Linotype" w:hAnsi="Palatino Linotype" w:cs="Palatino Linotype"/>
          <w:b/>
          <w:sz w:val="22"/>
          <w:szCs w:val="22"/>
        </w:rPr>
        <w:t>se omite</w:t>
      </w:r>
      <w:r w:rsidR="00497B56" w:rsidRPr="00A618CE">
        <w:rPr>
          <w:rFonts w:ascii="Palatino Linotype" w:eastAsia="Palatino Linotype" w:hAnsi="Palatino Linotype" w:cs="Palatino Linotype"/>
          <w:b/>
          <w:sz w:val="22"/>
          <w:szCs w:val="22"/>
        </w:rPr>
        <w:t xml:space="preserve"> turnar la solicitud de información a la Presidencia del Consejo General del Instituto Electoral del Estado de México. </w:t>
      </w:r>
    </w:p>
    <w:p w14:paraId="35DED0C1" w14:textId="77777777" w:rsidR="008B796C" w:rsidRPr="00A618CE" w:rsidRDefault="008B796C">
      <w:pPr>
        <w:spacing w:line="360" w:lineRule="auto"/>
        <w:jc w:val="both"/>
        <w:rPr>
          <w:rFonts w:ascii="Palatino Linotype" w:eastAsia="Palatino Linotype" w:hAnsi="Palatino Linotype" w:cs="Palatino Linotype"/>
          <w:sz w:val="22"/>
          <w:szCs w:val="22"/>
        </w:rPr>
      </w:pPr>
    </w:p>
    <w:p w14:paraId="42BB42AB" w14:textId="009AFA9A" w:rsidR="00581E00" w:rsidRPr="00A618CE" w:rsidRDefault="008B796C" w:rsidP="00E04B76">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Es así que mediante informe justificado, el Sujeto Obligado</w:t>
      </w:r>
      <w:r w:rsidR="000760B7" w:rsidRPr="00A618CE">
        <w:rPr>
          <w:rFonts w:ascii="Palatino Linotype" w:eastAsia="Palatino Linotype" w:hAnsi="Palatino Linotype" w:cs="Palatino Linotype"/>
          <w:sz w:val="22"/>
          <w:szCs w:val="22"/>
        </w:rPr>
        <w:t xml:space="preserve"> ratificó su respuesta inicial, precisando </w:t>
      </w:r>
      <w:r w:rsidR="00C6540C" w:rsidRPr="00A618CE">
        <w:rPr>
          <w:rFonts w:ascii="Palatino Linotype" w:eastAsia="Palatino Linotype" w:hAnsi="Palatino Linotype" w:cs="Palatino Linotype"/>
          <w:sz w:val="22"/>
          <w:szCs w:val="22"/>
        </w:rPr>
        <w:t xml:space="preserve">que de las documentales remitidas por el servidor público habilitado competente, se informó lo siguiente: </w:t>
      </w:r>
      <w:r w:rsidR="00581E00" w:rsidRPr="00A618CE">
        <w:rPr>
          <w:rFonts w:ascii="Palatino Linotype" w:eastAsia="Palatino Linotype" w:hAnsi="Palatino Linotype" w:cs="Palatino Linotype"/>
          <w:sz w:val="22"/>
          <w:szCs w:val="22"/>
        </w:rPr>
        <w:t xml:space="preserve"> </w:t>
      </w:r>
    </w:p>
    <w:p w14:paraId="3F3B745A" w14:textId="77777777" w:rsidR="00581E00" w:rsidRPr="00A618CE" w:rsidRDefault="00581E00" w:rsidP="00E04B76">
      <w:pPr>
        <w:spacing w:line="360" w:lineRule="auto"/>
        <w:jc w:val="both"/>
        <w:rPr>
          <w:rFonts w:ascii="Palatino Linotype" w:eastAsia="Palatino Linotype" w:hAnsi="Palatino Linotype" w:cs="Palatino Linotype"/>
          <w:sz w:val="22"/>
          <w:szCs w:val="22"/>
        </w:rPr>
      </w:pPr>
    </w:p>
    <w:p w14:paraId="7BB8BC43" w14:textId="436D9A79" w:rsidR="00EE1B43" w:rsidRPr="00A618CE" w:rsidRDefault="00581E00" w:rsidP="00EE1B43">
      <w:pPr>
        <w:spacing w:line="360" w:lineRule="auto"/>
        <w:jc w:val="center"/>
        <w:rPr>
          <w:rFonts w:ascii="Palatino Linotype" w:eastAsia="Palatino Linotype" w:hAnsi="Palatino Linotype" w:cs="Palatino Linotype"/>
          <w:sz w:val="22"/>
          <w:szCs w:val="22"/>
        </w:rPr>
      </w:pPr>
      <w:r w:rsidRPr="00A618CE">
        <w:rPr>
          <w:rFonts w:ascii="Palatino Linotype" w:eastAsia="Palatino Linotype" w:hAnsi="Palatino Linotype" w:cs="Palatino Linotype"/>
          <w:noProof/>
          <w:sz w:val="22"/>
          <w:szCs w:val="22"/>
          <w:lang w:val="es-MX"/>
        </w:rPr>
        <w:lastRenderedPageBreak/>
        <w:drawing>
          <wp:inline distT="0" distB="0" distL="0" distR="0" wp14:anchorId="44ECEE7B" wp14:editId="369E7224">
            <wp:extent cx="5270500" cy="2025766"/>
            <wp:effectExtent l="0" t="0" r="6350" b="0"/>
            <wp:docPr id="7196429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64294" name=""/>
                    <pic:cNvPicPr/>
                  </pic:nvPicPr>
                  <pic:blipFill>
                    <a:blip r:embed="rId14"/>
                    <a:stretch>
                      <a:fillRect/>
                    </a:stretch>
                  </pic:blipFill>
                  <pic:spPr>
                    <a:xfrm>
                      <a:off x="0" y="0"/>
                      <a:ext cx="5279986" cy="2029412"/>
                    </a:xfrm>
                    <a:prstGeom prst="rect">
                      <a:avLst/>
                    </a:prstGeom>
                  </pic:spPr>
                </pic:pic>
              </a:graphicData>
            </a:graphic>
          </wp:inline>
        </w:drawing>
      </w:r>
    </w:p>
    <w:p w14:paraId="103E3D6A" w14:textId="48D7EC68" w:rsidR="0021414E" w:rsidRPr="00A618CE" w:rsidRDefault="00C6540C" w:rsidP="00EE1B43">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En este sentido</w:t>
      </w:r>
      <w:r w:rsidR="00EE1B43" w:rsidRPr="00A618CE">
        <w:rPr>
          <w:rFonts w:ascii="Palatino Linotype" w:eastAsia="Palatino Linotype" w:hAnsi="Palatino Linotype" w:cs="Palatino Linotype"/>
          <w:bCs/>
          <w:sz w:val="22"/>
          <w:szCs w:val="22"/>
        </w:rPr>
        <w:t>, y toda vez que este Órgano Garante de acceso a la información pública tiene la facultad y responsabilidad de verificar la procedencia y legalidad de la información que los sujetos obligados entregan en cumplimiento de las solicitudes de información pública es oportuno precisar que, de las constancias que obran en el Sistema de Acceso a la Información Mexiquense (SAIMEX), se advierte que el área que emitió la respuesta al requerimiento del particular es, en efecto, la unidad administrativa competente conforme al diseño orgánico del Instituto Electoral del Estado de México.</w:t>
      </w:r>
      <w:r w:rsidR="00B01E7D" w:rsidRPr="00A618CE">
        <w:rPr>
          <w:rFonts w:ascii="Palatino Linotype" w:eastAsia="Palatino Linotype" w:hAnsi="Palatino Linotype" w:cs="Palatino Linotype"/>
          <w:bCs/>
          <w:sz w:val="22"/>
          <w:szCs w:val="22"/>
        </w:rPr>
        <w:t xml:space="preserve"> </w:t>
      </w:r>
      <w:r w:rsidR="00EE1B43" w:rsidRPr="00A618CE">
        <w:rPr>
          <w:rFonts w:ascii="Palatino Linotype" w:eastAsia="Palatino Linotype" w:hAnsi="Palatino Linotype" w:cs="Palatino Linotype"/>
          <w:bCs/>
          <w:sz w:val="22"/>
          <w:szCs w:val="22"/>
        </w:rPr>
        <w:t>Tal competencia se encuentra  prevista el Manual de Organización, en el cual se detallan las atribuciones específicas de dicha unidad, relativas a</w:t>
      </w:r>
      <w:r w:rsidR="0021414E" w:rsidRPr="00A618CE">
        <w:rPr>
          <w:rFonts w:ascii="Palatino Linotype" w:eastAsia="Palatino Linotype" w:hAnsi="Palatino Linotype" w:cs="Palatino Linotype"/>
          <w:bCs/>
          <w:sz w:val="22"/>
          <w:szCs w:val="22"/>
        </w:rPr>
        <w:t xml:space="preserve"> la organización y administración de los recursos humanos, financieros y materiales</w:t>
      </w:r>
      <w:r w:rsidR="00EE1B43" w:rsidRPr="00A618CE">
        <w:rPr>
          <w:rFonts w:ascii="Palatino Linotype" w:eastAsia="Palatino Linotype" w:hAnsi="Palatino Linotype" w:cs="Palatino Linotype"/>
          <w:bCs/>
          <w:sz w:val="22"/>
          <w:szCs w:val="22"/>
        </w:rPr>
        <w:t xml:space="preserve">, como a continuación se observa: </w:t>
      </w:r>
    </w:p>
    <w:p w14:paraId="28FDE041" w14:textId="0AD7A7D0" w:rsidR="0021414E" w:rsidRPr="00A618CE" w:rsidRDefault="0021414E" w:rsidP="00737DB9">
      <w:pPr>
        <w:pStyle w:val="NormalWeb"/>
        <w:spacing w:before="0" w:beforeAutospacing="0"/>
        <w:ind w:left="567" w:right="1004"/>
        <w:jc w:val="both"/>
        <w:rPr>
          <w:rFonts w:ascii="Palatino Linotype" w:eastAsia="Palatino Linotype" w:hAnsi="Palatino Linotype" w:cs="Palatino Linotype"/>
          <w:b/>
          <w:i/>
          <w:iCs/>
          <w:sz w:val="22"/>
          <w:szCs w:val="22"/>
        </w:rPr>
      </w:pPr>
      <w:r w:rsidRPr="00A618CE">
        <w:rPr>
          <w:rFonts w:ascii="Palatino Linotype" w:eastAsia="Palatino Linotype" w:hAnsi="Palatino Linotype" w:cs="Palatino Linotype"/>
          <w:b/>
          <w:i/>
          <w:iCs/>
          <w:sz w:val="22"/>
          <w:szCs w:val="22"/>
        </w:rPr>
        <w:t xml:space="preserve">“16.- Dirección de Administración. </w:t>
      </w:r>
    </w:p>
    <w:p w14:paraId="094D6EC4" w14:textId="0EBB76A3" w:rsidR="0021414E" w:rsidRPr="00A618CE" w:rsidRDefault="0021414E" w:rsidP="00737DB9">
      <w:pPr>
        <w:pStyle w:val="NormalWeb"/>
        <w:spacing w:before="0" w:beforeAutospacing="0"/>
        <w:ind w:left="567" w:right="1004"/>
        <w:jc w:val="both"/>
        <w:rPr>
          <w:rFonts w:ascii="Palatino Linotype" w:eastAsia="Palatino Linotype" w:hAnsi="Palatino Linotype" w:cs="Palatino Linotype"/>
          <w:b/>
          <w:i/>
          <w:iCs/>
          <w:sz w:val="22"/>
          <w:szCs w:val="22"/>
        </w:rPr>
      </w:pPr>
      <w:r w:rsidRPr="00A618CE">
        <w:rPr>
          <w:rFonts w:ascii="Palatino Linotype" w:eastAsia="Palatino Linotype" w:hAnsi="Palatino Linotype" w:cs="Palatino Linotype"/>
          <w:b/>
          <w:i/>
          <w:iCs/>
          <w:sz w:val="22"/>
          <w:szCs w:val="22"/>
        </w:rPr>
        <w:t xml:space="preserve">Objetivo: </w:t>
      </w:r>
    </w:p>
    <w:p w14:paraId="226462E4" w14:textId="0E4D96A1" w:rsidR="0021414E" w:rsidRPr="00A618CE" w:rsidRDefault="0021414E" w:rsidP="00737DB9">
      <w:pPr>
        <w:pStyle w:val="NormalWeb"/>
        <w:spacing w:before="0" w:beforeAutospacing="0"/>
        <w:ind w:left="567" w:right="1004"/>
        <w:jc w:val="both"/>
        <w:rPr>
          <w:rFonts w:ascii="Palatino Linotype" w:eastAsia="Palatino Linotype" w:hAnsi="Palatino Linotype" w:cs="Palatino Linotype"/>
          <w:bCs/>
          <w:i/>
          <w:iCs/>
          <w:sz w:val="22"/>
          <w:szCs w:val="22"/>
        </w:rPr>
      </w:pPr>
      <w:r w:rsidRPr="00A618CE">
        <w:rPr>
          <w:rFonts w:ascii="Palatino Linotype" w:eastAsia="Palatino Linotype" w:hAnsi="Palatino Linotype" w:cs="Palatino Linotype"/>
          <w:bCs/>
          <w:i/>
          <w:iCs/>
          <w:sz w:val="22"/>
          <w:szCs w:val="22"/>
        </w:rPr>
        <w:t>Organizar y dirigir la administración de los recursos humanos, financieros, materiales, así como la prestación de los servicios generales en el IEEM, optimizando el uso delos mismos y atendiendo las necesidades administrativas de los órganos que lo conforman.</w:t>
      </w:r>
    </w:p>
    <w:p w14:paraId="0FF95CDB" w14:textId="7DBA15CE" w:rsidR="0021414E" w:rsidRPr="00A618CE" w:rsidRDefault="0021414E" w:rsidP="00737DB9">
      <w:pPr>
        <w:pStyle w:val="NormalWeb"/>
        <w:spacing w:before="0" w:beforeAutospacing="0"/>
        <w:ind w:left="567" w:right="1004"/>
        <w:jc w:val="both"/>
        <w:rPr>
          <w:rFonts w:ascii="Palatino Linotype" w:eastAsia="Palatino Linotype" w:hAnsi="Palatino Linotype" w:cs="Palatino Linotype"/>
          <w:b/>
          <w:i/>
          <w:iCs/>
          <w:sz w:val="22"/>
          <w:szCs w:val="22"/>
        </w:rPr>
      </w:pPr>
      <w:r w:rsidRPr="00A618CE">
        <w:rPr>
          <w:rFonts w:ascii="Palatino Linotype" w:eastAsia="Palatino Linotype" w:hAnsi="Palatino Linotype" w:cs="Palatino Linotype"/>
          <w:b/>
          <w:i/>
          <w:iCs/>
          <w:sz w:val="22"/>
          <w:szCs w:val="22"/>
        </w:rPr>
        <w:t xml:space="preserve">Funciones: </w:t>
      </w:r>
    </w:p>
    <w:p w14:paraId="406ED47C" w14:textId="63DED305" w:rsidR="0021414E" w:rsidRPr="00A618CE" w:rsidRDefault="0021414E" w:rsidP="00737DB9">
      <w:pPr>
        <w:pStyle w:val="NormalWeb"/>
        <w:spacing w:before="0" w:beforeAutospacing="0"/>
        <w:ind w:left="567" w:right="1004"/>
        <w:jc w:val="both"/>
        <w:rPr>
          <w:rFonts w:ascii="Palatino Linotype" w:hAnsi="Palatino Linotype"/>
          <w:b/>
          <w:bCs/>
          <w:i/>
          <w:iCs/>
          <w:sz w:val="22"/>
          <w:szCs w:val="22"/>
        </w:rPr>
      </w:pPr>
      <w:r w:rsidRPr="00A618CE">
        <w:rPr>
          <w:rFonts w:ascii="Palatino Linotype" w:hAnsi="Palatino Linotype"/>
          <w:b/>
          <w:bCs/>
          <w:i/>
          <w:iCs/>
          <w:sz w:val="22"/>
          <w:szCs w:val="22"/>
        </w:rPr>
        <w:t>-Aplicar las políticas, normas y procedimientos para la administración de los recursos humanos, financieros, materiales y servicios.</w:t>
      </w:r>
    </w:p>
    <w:p w14:paraId="47BD3272" w14:textId="77777777" w:rsidR="0021414E" w:rsidRPr="00A618CE" w:rsidRDefault="0021414E" w:rsidP="00737DB9">
      <w:pPr>
        <w:pStyle w:val="NormalWeb"/>
        <w:spacing w:before="0" w:beforeAutospacing="0"/>
        <w:ind w:left="567" w:right="1004"/>
        <w:jc w:val="both"/>
        <w:rPr>
          <w:rFonts w:ascii="Palatino Linotype" w:hAnsi="Palatino Linotype"/>
          <w:b/>
          <w:bCs/>
          <w:i/>
          <w:iCs/>
          <w:sz w:val="22"/>
          <w:szCs w:val="22"/>
        </w:rPr>
      </w:pPr>
      <w:r w:rsidRPr="00A618CE">
        <w:rPr>
          <w:rFonts w:ascii="Palatino Linotype" w:hAnsi="Palatino Linotype"/>
          <w:b/>
          <w:bCs/>
          <w:i/>
          <w:iCs/>
          <w:sz w:val="22"/>
          <w:szCs w:val="22"/>
        </w:rPr>
        <w:lastRenderedPageBreak/>
        <w:t>-Planear, organizar, dirigir y controlar los recursos humanos, financieros, materiales y servicios cumpliendo con las normas, políticas y procedimientos que garanticen y aseguren su mejor aplicación, uso y canalización.</w:t>
      </w:r>
    </w:p>
    <w:p w14:paraId="37EFAFB4" w14:textId="33F95D3A" w:rsidR="0021414E" w:rsidRPr="00A618CE" w:rsidRDefault="0021414E" w:rsidP="00737DB9">
      <w:pPr>
        <w:pStyle w:val="NormalWeb"/>
        <w:spacing w:before="0" w:beforeAutospacing="0"/>
        <w:ind w:left="567" w:right="1004"/>
        <w:jc w:val="both"/>
        <w:rPr>
          <w:rFonts w:ascii="Palatino Linotype" w:hAnsi="Palatino Linotype"/>
          <w:i/>
          <w:iCs/>
          <w:sz w:val="22"/>
          <w:szCs w:val="22"/>
        </w:rPr>
      </w:pPr>
      <w:r w:rsidRPr="00A618CE">
        <w:rPr>
          <w:rFonts w:ascii="Palatino Linotype" w:hAnsi="Palatino Linotype"/>
          <w:i/>
          <w:iCs/>
          <w:sz w:val="22"/>
          <w:szCs w:val="22"/>
        </w:rPr>
        <w:t xml:space="preserve">-Conducir la política de administración de salarios. </w:t>
      </w:r>
      <w:r w:rsidRPr="00A618CE">
        <w:rPr>
          <w:rFonts w:ascii="Palatino Linotype" w:hAnsi="Palatino Linotype"/>
          <w:i/>
          <w:iCs/>
          <w:sz w:val="22"/>
          <w:szCs w:val="22"/>
        </w:rPr>
        <w:sym w:font="Symbol" w:char="F02D"/>
      </w:r>
      <w:r w:rsidRPr="00A618CE">
        <w:rPr>
          <w:rFonts w:ascii="Palatino Linotype" w:hAnsi="Palatino Linotype"/>
          <w:i/>
          <w:iCs/>
          <w:sz w:val="22"/>
          <w:szCs w:val="22"/>
        </w:rPr>
        <w:t xml:space="preserve"> </w:t>
      </w:r>
    </w:p>
    <w:p w14:paraId="5BA9E4B7" w14:textId="77777777" w:rsidR="0021414E" w:rsidRPr="00A618CE" w:rsidRDefault="0021414E" w:rsidP="00737DB9">
      <w:pPr>
        <w:pStyle w:val="NormalWeb"/>
        <w:spacing w:before="0" w:beforeAutospacing="0"/>
        <w:ind w:left="567" w:right="1004"/>
        <w:jc w:val="both"/>
        <w:rPr>
          <w:rFonts w:ascii="Palatino Linotype" w:hAnsi="Palatino Linotype"/>
          <w:i/>
          <w:iCs/>
          <w:sz w:val="22"/>
          <w:szCs w:val="22"/>
        </w:rPr>
      </w:pPr>
      <w:r w:rsidRPr="00A618CE">
        <w:rPr>
          <w:rFonts w:ascii="Palatino Linotype" w:hAnsi="Palatino Linotype"/>
          <w:i/>
          <w:iCs/>
          <w:sz w:val="22"/>
          <w:szCs w:val="22"/>
        </w:rPr>
        <w:t xml:space="preserve">-Dirigir la actualización del tabulador de sueldos y la plantilla de personal del IEEM. </w:t>
      </w:r>
    </w:p>
    <w:p w14:paraId="2E6D13EF" w14:textId="1FB821BD" w:rsidR="0021414E" w:rsidRPr="00A618CE" w:rsidRDefault="0021414E" w:rsidP="00737DB9">
      <w:pPr>
        <w:pStyle w:val="NormalWeb"/>
        <w:spacing w:before="0" w:beforeAutospacing="0"/>
        <w:ind w:left="567" w:right="1004"/>
        <w:jc w:val="both"/>
        <w:rPr>
          <w:rFonts w:ascii="Palatino Linotype" w:hAnsi="Palatino Linotype"/>
          <w:i/>
          <w:iCs/>
          <w:sz w:val="22"/>
          <w:szCs w:val="22"/>
        </w:rPr>
      </w:pPr>
      <w:r w:rsidRPr="00A618CE">
        <w:rPr>
          <w:rFonts w:ascii="Palatino Linotype" w:hAnsi="Palatino Linotype"/>
          <w:i/>
          <w:iCs/>
          <w:sz w:val="22"/>
          <w:szCs w:val="22"/>
        </w:rPr>
        <w:t>-Dirigir y coordinar la elaboración del anteproyecto anual de presupuesto del IEEM.</w:t>
      </w:r>
    </w:p>
    <w:p w14:paraId="51E19F7E" w14:textId="60A17E09" w:rsidR="0021414E" w:rsidRPr="00A618CE" w:rsidRDefault="0021414E" w:rsidP="00737DB9">
      <w:pPr>
        <w:pStyle w:val="NormalWeb"/>
        <w:spacing w:before="0" w:beforeAutospacing="0"/>
        <w:ind w:left="567" w:right="1004"/>
        <w:jc w:val="both"/>
        <w:rPr>
          <w:rFonts w:ascii="Palatino Linotype" w:hAnsi="Palatino Linotype"/>
          <w:b/>
          <w:bCs/>
          <w:i/>
          <w:iCs/>
          <w:sz w:val="22"/>
          <w:szCs w:val="22"/>
        </w:rPr>
      </w:pPr>
      <w:r w:rsidRPr="00A618CE">
        <w:rPr>
          <w:rFonts w:ascii="Palatino Linotype" w:hAnsi="Palatino Linotype"/>
          <w:i/>
          <w:iCs/>
          <w:sz w:val="22"/>
          <w:szCs w:val="22"/>
        </w:rPr>
        <w:t xml:space="preserve"> </w:t>
      </w:r>
      <w:r w:rsidRPr="00A618CE">
        <w:rPr>
          <w:rFonts w:ascii="Palatino Linotype" w:hAnsi="Palatino Linotype"/>
          <w:b/>
          <w:bCs/>
          <w:i/>
          <w:iCs/>
          <w:sz w:val="22"/>
          <w:szCs w:val="22"/>
        </w:rPr>
        <w:t>-Dirigir y coordinar la elaboración del proyecto de Manual de Organización y el Catálogo de cargos y puestos del IEEM, y someterlo para su aprobación a la Junta General, con excepción de los puestos relacionados con el SPEN.</w:t>
      </w:r>
    </w:p>
    <w:p w14:paraId="28862970" w14:textId="72DB13CD" w:rsidR="0021414E" w:rsidRPr="00A618CE" w:rsidRDefault="0021414E" w:rsidP="00737DB9">
      <w:pPr>
        <w:pStyle w:val="NormalWeb"/>
        <w:spacing w:before="0" w:beforeAutospacing="0"/>
        <w:ind w:left="567" w:right="579"/>
        <w:jc w:val="both"/>
        <w:rPr>
          <w:rFonts w:ascii="Palatino Linotype" w:hAnsi="Palatino Linotype"/>
          <w:sz w:val="22"/>
          <w:szCs w:val="22"/>
        </w:rPr>
      </w:pPr>
      <w:r w:rsidRPr="00A618CE">
        <w:rPr>
          <w:rFonts w:ascii="Palatino Linotype" w:hAnsi="Palatino Linotype"/>
          <w:sz w:val="22"/>
          <w:szCs w:val="22"/>
        </w:rPr>
        <w:t xml:space="preserve">(…)” </w:t>
      </w:r>
    </w:p>
    <w:p w14:paraId="63C5EC99" w14:textId="4AA10A19" w:rsidR="00EE1B43" w:rsidRPr="00A618CE" w:rsidRDefault="0021414E" w:rsidP="00737DB9">
      <w:pPr>
        <w:pStyle w:val="NormalWeb"/>
        <w:spacing w:before="0" w:beforeAutospacing="0"/>
        <w:ind w:left="567" w:right="579"/>
        <w:jc w:val="both"/>
        <w:rPr>
          <w:rFonts w:ascii="Palatino Linotype" w:eastAsia="Palatino Linotype" w:hAnsi="Palatino Linotype" w:cs="Palatino Linotype"/>
          <w:bCs/>
          <w:sz w:val="22"/>
          <w:szCs w:val="22"/>
        </w:rPr>
      </w:pPr>
      <w:r w:rsidRPr="00A618CE">
        <w:rPr>
          <w:rFonts w:ascii="Palatino Linotype" w:hAnsi="Palatino Linotype"/>
          <w:sz w:val="22"/>
          <w:szCs w:val="22"/>
        </w:rPr>
        <w:t xml:space="preserve">(Énfasis añadido) </w:t>
      </w:r>
    </w:p>
    <w:p w14:paraId="0426CB25" w14:textId="4072A7F1" w:rsidR="008D1256" w:rsidRPr="00A618CE" w:rsidRDefault="008D1256" w:rsidP="008D1256">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 xml:space="preserve">Como puede observarse, dicha unidad tiene dentro de sus funciones la administración de  recursos humanos, lo cual le confiere atribuciones estratégicas para la gestión operativa y documental de diversos procesos internos del Instituto Electoral. Esta facultad, plasmada en el Manual de Organización en cita, implica que la unidad participa activamente en la elaboración, resguardo y procesamiento de información relacionada con contrataciones, movimientos de personal, asignación de responsabilidades, estructura orgánica, y cumplimiento de funciones </w:t>
      </w:r>
      <w:r w:rsidR="00B01E7D" w:rsidRPr="00A618CE">
        <w:rPr>
          <w:rFonts w:ascii="Palatino Linotype" w:eastAsia="Palatino Linotype" w:hAnsi="Palatino Linotype" w:cs="Palatino Linotype"/>
          <w:bCs/>
          <w:sz w:val="22"/>
          <w:szCs w:val="22"/>
        </w:rPr>
        <w:t xml:space="preserve">orgánicas </w:t>
      </w:r>
      <w:r w:rsidRPr="00A618CE">
        <w:rPr>
          <w:rFonts w:ascii="Palatino Linotype" w:eastAsia="Palatino Linotype" w:hAnsi="Palatino Linotype" w:cs="Palatino Linotype"/>
          <w:bCs/>
          <w:sz w:val="22"/>
          <w:szCs w:val="22"/>
        </w:rPr>
        <w:t>institucionales.</w:t>
      </w:r>
    </w:p>
    <w:p w14:paraId="6271C1DF" w14:textId="5B852E6F" w:rsidR="008D1256" w:rsidRPr="00A618CE" w:rsidRDefault="008D1256" w:rsidP="008D1256">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En consecuencia es preciso verificar que, cuando una solicitud de acceso a la información se refiere a aspectos vinculados con contratación o movimiento personal, nombramientos, estructuras laborales o actividades específicas desarrolladas por servidoras y servidores públicos, esta Dirección</w:t>
      </w:r>
      <w:r w:rsidR="00B01E7D" w:rsidRPr="00A618CE">
        <w:rPr>
          <w:rFonts w:ascii="Palatino Linotype" w:eastAsia="Palatino Linotype" w:hAnsi="Palatino Linotype" w:cs="Palatino Linotype"/>
          <w:bCs/>
          <w:sz w:val="22"/>
          <w:szCs w:val="22"/>
        </w:rPr>
        <w:t xml:space="preserve">, la de Administración </w:t>
      </w:r>
      <w:r w:rsidRPr="00A618CE">
        <w:rPr>
          <w:rFonts w:ascii="Palatino Linotype" w:eastAsia="Palatino Linotype" w:hAnsi="Palatino Linotype" w:cs="Palatino Linotype"/>
          <w:bCs/>
          <w:sz w:val="22"/>
          <w:szCs w:val="22"/>
        </w:rPr>
        <w:t xml:space="preserve">se configura como la fuente idónea para generar, custodiar y proporcionar la información </w:t>
      </w:r>
      <w:r w:rsidR="00831447" w:rsidRPr="00A618CE">
        <w:rPr>
          <w:rFonts w:ascii="Palatino Linotype" w:eastAsia="Palatino Linotype" w:hAnsi="Palatino Linotype" w:cs="Palatino Linotype"/>
          <w:bCs/>
          <w:sz w:val="22"/>
          <w:szCs w:val="22"/>
        </w:rPr>
        <w:t xml:space="preserve">solicitada. </w:t>
      </w:r>
      <w:r w:rsidRPr="00A618CE">
        <w:rPr>
          <w:rFonts w:ascii="Palatino Linotype" w:eastAsia="Palatino Linotype" w:hAnsi="Palatino Linotype" w:cs="Palatino Linotype"/>
          <w:bCs/>
          <w:sz w:val="22"/>
          <w:szCs w:val="22"/>
        </w:rPr>
        <w:t xml:space="preserve"> </w:t>
      </w:r>
    </w:p>
    <w:p w14:paraId="2F9A7787" w14:textId="16226463" w:rsidR="00DF2014" w:rsidRPr="00A618CE" w:rsidRDefault="00DF2014" w:rsidP="00DF2014">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 xml:space="preserve">En ese desarrollo, y si bien el particular manifiesta inconformidad respecto del trámite seguido por el Sujeto Obligado para atender su solicitud de acceso a la información pública, del análisis de las constancias que obran en el expediente  radicado en el sistema se advierte que el Sujeto </w:t>
      </w:r>
      <w:r w:rsidRPr="00A618CE">
        <w:rPr>
          <w:rFonts w:ascii="Palatino Linotype" w:eastAsia="Palatino Linotype" w:hAnsi="Palatino Linotype" w:cs="Palatino Linotype"/>
          <w:bCs/>
          <w:sz w:val="22"/>
          <w:szCs w:val="22"/>
        </w:rPr>
        <w:lastRenderedPageBreak/>
        <w:t xml:space="preserve">Obligado actuó conforme al marco legal aplicable, particularmente  en lo previsto en el diverso artículo 162 de la Ley de Transparencia y Acceso a la Información Pública del Estado de México y Municipios, mismo que señala que: </w:t>
      </w:r>
    </w:p>
    <w:p w14:paraId="059D3006" w14:textId="77C9B122" w:rsidR="00DF2014" w:rsidRPr="00A618CE" w:rsidRDefault="00DF2014" w:rsidP="00DF2014">
      <w:pPr>
        <w:pStyle w:val="NormalWeb"/>
        <w:spacing w:line="360" w:lineRule="auto"/>
        <w:ind w:left="567" w:right="863"/>
        <w:jc w:val="both"/>
        <w:rPr>
          <w:rFonts w:ascii="Palatino Linotype" w:eastAsia="Palatino Linotype" w:hAnsi="Palatino Linotype" w:cs="Palatino Linotype"/>
          <w:bCs/>
          <w:i/>
          <w:iCs/>
          <w:sz w:val="22"/>
          <w:szCs w:val="22"/>
        </w:rPr>
      </w:pPr>
      <w:r w:rsidRPr="00A618CE">
        <w:rPr>
          <w:rFonts w:ascii="Palatino Linotype" w:hAnsi="Palatino Linotype"/>
          <w:b/>
          <w:bCs/>
          <w:i/>
          <w:iCs/>
          <w:sz w:val="22"/>
          <w:szCs w:val="22"/>
        </w:rPr>
        <w:t>“Artículo 162.</w:t>
      </w:r>
      <w:r w:rsidRPr="00A618CE">
        <w:rPr>
          <w:rFonts w:ascii="Palatino Linotype" w:hAnsi="Palatino Linotype"/>
          <w:i/>
          <w:iCs/>
          <w:sz w:val="22"/>
          <w:szCs w:val="22"/>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53E83BE0" w14:textId="211ACBCE" w:rsidR="00DF2014" w:rsidRPr="00A618CE" w:rsidRDefault="00B01E7D" w:rsidP="00DF2014">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En ese contexto</w:t>
      </w:r>
      <w:r w:rsidR="00DF2014" w:rsidRPr="00A618CE">
        <w:rPr>
          <w:rFonts w:ascii="Palatino Linotype" w:eastAsia="Palatino Linotype" w:hAnsi="Palatino Linotype" w:cs="Palatino Linotype"/>
          <w:bCs/>
          <w:sz w:val="22"/>
          <w:szCs w:val="22"/>
        </w:rPr>
        <w:t xml:space="preserve">, es posible advertir que los sujetos obligados deben turnar correctamente las solicitudes de información a las unidades administrativas que, por sus atribuciones y funciones, tengan la capacidad de generar, poseer o administrar la información requerida. Por lo que, es preciso </w:t>
      </w:r>
      <w:r w:rsidRPr="00A618CE">
        <w:rPr>
          <w:rFonts w:ascii="Palatino Linotype" w:eastAsia="Palatino Linotype" w:hAnsi="Palatino Linotype" w:cs="Palatino Linotype"/>
          <w:bCs/>
          <w:sz w:val="22"/>
          <w:szCs w:val="22"/>
        </w:rPr>
        <w:t>señalar</w:t>
      </w:r>
      <w:r w:rsidR="00DF2014" w:rsidRPr="00A618CE">
        <w:rPr>
          <w:rFonts w:ascii="Palatino Linotype" w:eastAsia="Palatino Linotype" w:hAnsi="Palatino Linotype" w:cs="Palatino Linotype"/>
          <w:bCs/>
          <w:sz w:val="22"/>
          <w:szCs w:val="22"/>
        </w:rPr>
        <w:t xml:space="preserve"> que, en cumplimiento de esta disposición, el Sujeto Obligado realizó las gestiones necesarias para que el área competente atendiera los requerimientos, lo cual se encuentra debidamente documentado en el Sistema de Acceso a la Información Mexiquense (SAIMEX), en razón de lo siguiente: </w:t>
      </w:r>
    </w:p>
    <w:p w14:paraId="0F4DE54F" w14:textId="67CF08D3" w:rsidR="00DF2014" w:rsidRPr="00A618CE" w:rsidRDefault="00DF2014" w:rsidP="00DF2014">
      <w:pPr>
        <w:pStyle w:val="NormalWeb"/>
        <w:spacing w:line="360" w:lineRule="auto"/>
        <w:ind w:right="49"/>
        <w:jc w:val="center"/>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noProof/>
          <w:sz w:val="22"/>
          <w:szCs w:val="22"/>
        </w:rPr>
        <w:lastRenderedPageBreak/>
        <w:drawing>
          <wp:inline distT="0" distB="0" distL="0" distR="0" wp14:anchorId="30E52BCE" wp14:editId="512BCD7A">
            <wp:extent cx="4489450" cy="5539889"/>
            <wp:effectExtent l="0" t="0" r="6350" b="3810"/>
            <wp:docPr id="35620860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208607" name=""/>
                    <pic:cNvPicPr/>
                  </pic:nvPicPr>
                  <pic:blipFill rotWithShape="1">
                    <a:blip r:embed="rId15"/>
                    <a:srcRect l="3570" t="7800" r="10889" b="6074"/>
                    <a:stretch>
                      <a:fillRect/>
                    </a:stretch>
                  </pic:blipFill>
                  <pic:spPr bwMode="auto">
                    <a:xfrm>
                      <a:off x="0" y="0"/>
                      <a:ext cx="4493357" cy="5544710"/>
                    </a:xfrm>
                    <a:prstGeom prst="rect">
                      <a:avLst/>
                    </a:prstGeom>
                    <a:ln>
                      <a:noFill/>
                    </a:ln>
                    <a:extLst>
                      <a:ext uri="{53640926-AAD7-44D8-BBD7-CCE9431645EC}">
                        <a14:shadowObscured xmlns:a14="http://schemas.microsoft.com/office/drawing/2010/main"/>
                      </a:ext>
                    </a:extLst>
                  </pic:spPr>
                </pic:pic>
              </a:graphicData>
            </a:graphic>
          </wp:inline>
        </w:drawing>
      </w:r>
    </w:p>
    <w:p w14:paraId="3A62AE83" w14:textId="337F6028" w:rsidR="00DF2014" w:rsidRPr="00A618CE" w:rsidRDefault="00DF2014" w:rsidP="00DF2014">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Por tanto, si bien</w:t>
      </w:r>
      <w:r w:rsidR="00B01E7D" w:rsidRPr="00A618CE">
        <w:rPr>
          <w:rFonts w:ascii="Palatino Linotype" w:eastAsia="Palatino Linotype" w:hAnsi="Palatino Linotype" w:cs="Palatino Linotype"/>
          <w:bCs/>
          <w:sz w:val="22"/>
          <w:szCs w:val="22"/>
        </w:rPr>
        <w:t xml:space="preserve">, </w:t>
      </w:r>
      <w:r w:rsidRPr="00A618CE">
        <w:rPr>
          <w:rFonts w:ascii="Palatino Linotype" w:eastAsia="Palatino Linotype" w:hAnsi="Palatino Linotype" w:cs="Palatino Linotype"/>
          <w:bCs/>
          <w:sz w:val="22"/>
          <w:szCs w:val="22"/>
        </w:rPr>
        <w:t xml:space="preserve"> el recurrente </w:t>
      </w:r>
      <w:r w:rsidR="00B01E7D" w:rsidRPr="00A618CE">
        <w:rPr>
          <w:rFonts w:ascii="Palatino Linotype" w:eastAsia="Palatino Linotype" w:hAnsi="Palatino Linotype" w:cs="Palatino Linotype"/>
          <w:bCs/>
          <w:sz w:val="22"/>
          <w:szCs w:val="22"/>
        </w:rPr>
        <w:t xml:space="preserve">en ejercicio de su facultad de </w:t>
      </w:r>
      <w:r w:rsidR="00737DB9" w:rsidRPr="00A618CE">
        <w:rPr>
          <w:rFonts w:ascii="Palatino Linotype" w:eastAsia="Palatino Linotype" w:hAnsi="Palatino Linotype" w:cs="Palatino Linotype"/>
          <w:bCs/>
          <w:sz w:val="22"/>
          <w:szCs w:val="22"/>
        </w:rPr>
        <w:t xml:space="preserve">impugnación </w:t>
      </w:r>
      <w:r w:rsidRPr="00A618CE">
        <w:rPr>
          <w:rFonts w:ascii="Palatino Linotype" w:eastAsia="Palatino Linotype" w:hAnsi="Palatino Linotype" w:cs="Palatino Linotype"/>
          <w:bCs/>
          <w:sz w:val="22"/>
          <w:szCs w:val="22"/>
        </w:rPr>
        <w:t xml:space="preserve">cuestiona el trámite de la solicitud, </w:t>
      </w:r>
      <w:r w:rsidR="00CE039E" w:rsidRPr="00A618CE">
        <w:rPr>
          <w:rFonts w:ascii="Palatino Linotype" w:eastAsia="Palatino Linotype" w:hAnsi="Palatino Linotype" w:cs="Palatino Linotype"/>
          <w:bCs/>
          <w:sz w:val="22"/>
          <w:szCs w:val="22"/>
        </w:rPr>
        <w:t>las constancias muestran</w:t>
      </w:r>
      <w:r w:rsidRPr="00A618CE">
        <w:rPr>
          <w:rFonts w:ascii="Palatino Linotype" w:eastAsia="Palatino Linotype" w:hAnsi="Palatino Linotype" w:cs="Palatino Linotype"/>
          <w:bCs/>
          <w:sz w:val="22"/>
          <w:szCs w:val="22"/>
        </w:rPr>
        <w:t xml:space="preserve"> que este fue conducido conforme</w:t>
      </w:r>
      <w:r w:rsidR="00ED3DAE" w:rsidRPr="00A618CE">
        <w:rPr>
          <w:rFonts w:ascii="Palatino Linotype" w:eastAsia="Palatino Linotype" w:hAnsi="Palatino Linotype" w:cs="Palatino Linotype"/>
          <w:bCs/>
          <w:sz w:val="22"/>
          <w:szCs w:val="22"/>
        </w:rPr>
        <w:t xml:space="preserve"> a lo previsto por la normatividad de la </w:t>
      </w:r>
      <w:r w:rsidR="00C6540C" w:rsidRPr="00A618CE">
        <w:rPr>
          <w:rFonts w:ascii="Palatino Linotype" w:eastAsia="Palatino Linotype" w:hAnsi="Palatino Linotype" w:cs="Palatino Linotype"/>
          <w:bCs/>
          <w:sz w:val="22"/>
          <w:szCs w:val="22"/>
        </w:rPr>
        <w:t>materia,</w:t>
      </w:r>
      <w:r w:rsidRPr="00A618CE">
        <w:rPr>
          <w:rFonts w:ascii="Palatino Linotype" w:eastAsia="Palatino Linotype" w:hAnsi="Palatino Linotype" w:cs="Palatino Linotype"/>
          <w:bCs/>
          <w:sz w:val="22"/>
          <w:szCs w:val="22"/>
        </w:rPr>
        <w:t xml:space="preserve"> turnando oportunamente la solicitud a la unidad que, según el Manual de Organización</w:t>
      </w:r>
      <w:r w:rsidR="00ED3DAE" w:rsidRPr="00A618CE">
        <w:rPr>
          <w:rFonts w:ascii="Palatino Linotype" w:eastAsia="Palatino Linotype" w:hAnsi="Palatino Linotype" w:cs="Palatino Linotype"/>
          <w:bCs/>
          <w:sz w:val="22"/>
          <w:szCs w:val="22"/>
        </w:rPr>
        <w:t xml:space="preserve"> del Sujeto Obligado</w:t>
      </w:r>
      <w:r w:rsidRPr="00A618CE">
        <w:rPr>
          <w:rFonts w:ascii="Palatino Linotype" w:eastAsia="Palatino Linotype" w:hAnsi="Palatino Linotype" w:cs="Palatino Linotype"/>
          <w:bCs/>
          <w:sz w:val="22"/>
          <w:szCs w:val="22"/>
        </w:rPr>
        <w:t>, tiene atribuciones expresas para atender los requerimientos planteados.</w:t>
      </w:r>
    </w:p>
    <w:p w14:paraId="76CDB4DF" w14:textId="77777777" w:rsidR="00DF2014" w:rsidRPr="00A618CE" w:rsidRDefault="00DF2014" w:rsidP="00DF2014">
      <w:pPr>
        <w:pStyle w:val="NormalWeb"/>
        <w:spacing w:line="360" w:lineRule="auto"/>
        <w:ind w:right="49"/>
        <w:jc w:val="both"/>
        <w:rPr>
          <w:rFonts w:ascii="Palatino Linotype" w:eastAsia="Palatino Linotype" w:hAnsi="Palatino Linotype" w:cs="Palatino Linotype"/>
          <w:bCs/>
          <w:sz w:val="22"/>
          <w:szCs w:val="22"/>
        </w:rPr>
      </w:pPr>
    </w:p>
    <w:p w14:paraId="5EB2D3B1" w14:textId="34E45053" w:rsidR="008D1256" w:rsidRPr="00A618CE" w:rsidRDefault="00DF2014" w:rsidP="00EE1B43">
      <w:pPr>
        <w:pStyle w:val="NormalWeb"/>
        <w:spacing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lastRenderedPageBreak/>
        <w:t>En este sentido,</w:t>
      </w:r>
      <w:r w:rsidR="00B01E7D" w:rsidRPr="00A618CE">
        <w:rPr>
          <w:rFonts w:ascii="Palatino Linotype" w:eastAsia="Palatino Linotype" w:hAnsi="Palatino Linotype" w:cs="Palatino Linotype"/>
          <w:bCs/>
          <w:sz w:val="22"/>
          <w:szCs w:val="22"/>
        </w:rPr>
        <w:t xml:space="preserve"> se advierte que la</w:t>
      </w:r>
      <w:r w:rsidRPr="00A618CE">
        <w:rPr>
          <w:rFonts w:ascii="Palatino Linotype" w:eastAsia="Palatino Linotype" w:hAnsi="Palatino Linotype" w:cs="Palatino Linotype"/>
          <w:bCs/>
          <w:sz w:val="22"/>
          <w:szCs w:val="22"/>
        </w:rPr>
        <w:t xml:space="preserve"> inconformidad del solicitante no encuentra sustento objetivo en el procedimiento seguido, ya que no se advierte una omisión, canalización errónea o negligencia por parte del Sujeto Obligado</w:t>
      </w:r>
      <w:r w:rsidR="00ED3DAE" w:rsidRPr="00A618CE">
        <w:rPr>
          <w:rFonts w:ascii="Palatino Linotype" w:eastAsia="Palatino Linotype" w:hAnsi="Palatino Linotype" w:cs="Palatino Linotype"/>
          <w:bCs/>
          <w:sz w:val="22"/>
          <w:szCs w:val="22"/>
        </w:rPr>
        <w:t>. Por el c</w:t>
      </w:r>
      <w:r w:rsidRPr="00A618CE">
        <w:rPr>
          <w:rFonts w:ascii="Palatino Linotype" w:eastAsia="Palatino Linotype" w:hAnsi="Palatino Linotype" w:cs="Palatino Linotype"/>
          <w:bCs/>
          <w:sz w:val="22"/>
          <w:szCs w:val="22"/>
        </w:rPr>
        <w:t xml:space="preserve">ontrario, se </w:t>
      </w:r>
      <w:r w:rsidR="00ED3DAE" w:rsidRPr="00A618CE">
        <w:rPr>
          <w:rFonts w:ascii="Palatino Linotype" w:eastAsia="Palatino Linotype" w:hAnsi="Palatino Linotype" w:cs="Palatino Linotype"/>
          <w:bCs/>
          <w:sz w:val="22"/>
          <w:szCs w:val="22"/>
        </w:rPr>
        <w:t>consideró</w:t>
      </w:r>
      <w:r w:rsidRPr="00A618CE">
        <w:rPr>
          <w:rFonts w:ascii="Palatino Linotype" w:eastAsia="Palatino Linotype" w:hAnsi="Palatino Linotype" w:cs="Palatino Linotype"/>
          <w:bCs/>
          <w:sz w:val="22"/>
          <w:szCs w:val="22"/>
        </w:rPr>
        <w:t xml:space="preserve"> el  marco institucional previsto para la atención de </w:t>
      </w:r>
      <w:r w:rsidR="00ED3DAE" w:rsidRPr="00A618CE">
        <w:rPr>
          <w:rFonts w:ascii="Palatino Linotype" w:eastAsia="Palatino Linotype" w:hAnsi="Palatino Linotype" w:cs="Palatino Linotype"/>
          <w:bCs/>
          <w:sz w:val="22"/>
          <w:szCs w:val="22"/>
        </w:rPr>
        <w:t xml:space="preserve">la </w:t>
      </w:r>
      <w:r w:rsidRPr="00A618CE">
        <w:rPr>
          <w:rFonts w:ascii="Palatino Linotype" w:eastAsia="Palatino Linotype" w:hAnsi="Palatino Linotype" w:cs="Palatino Linotype"/>
          <w:bCs/>
          <w:sz w:val="22"/>
          <w:szCs w:val="22"/>
        </w:rPr>
        <w:t>solicitud de información, dando respuesta conforme a la competencia material y funcional del área involucrada.</w:t>
      </w:r>
    </w:p>
    <w:p w14:paraId="5D7AE06F" w14:textId="22C6F146" w:rsidR="00DF2014" w:rsidRPr="00A618CE" w:rsidRDefault="00EE1B43" w:rsidP="00DF2014">
      <w:pPr>
        <w:pStyle w:val="NormalWeb"/>
        <w:spacing w:before="0" w:beforeAutospacing="0" w:after="0" w:afterAutospacing="0" w:line="360" w:lineRule="auto"/>
        <w:ind w:right="49"/>
        <w:jc w:val="both"/>
        <w:rPr>
          <w:rFonts w:ascii="Palatino Linotype" w:eastAsia="Palatino Linotype" w:hAnsi="Palatino Linotype" w:cs="Palatino Linotype"/>
          <w:bCs/>
          <w:sz w:val="22"/>
          <w:szCs w:val="22"/>
        </w:rPr>
      </w:pPr>
      <w:r w:rsidRPr="00A618CE">
        <w:rPr>
          <w:rFonts w:ascii="Palatino Linotype" w:eastAsia="Palatino Linotype" w:hAnsi="Palatino Linotype" w:cs="Palatino Linotype"/>
          <w:bCs/>
          <w:sz w:val="22"/>
          <w:szCs w:val="22"/>
        </w:rPr>
        <w:t>Asimismo, no se advierte en el expediente evidencia que acredite que otras áreas del Instituto tuvieran competencias concurrentes sobre la información solicitada, ni que la naturaleza del requerimiento exigiera un turno adicional fuera de lo previsto por el procedimiento interno</w:t>
      </w:r>
      <w:r w:rsidR="00B01E7D" w:rsidRPr="00A618CE">
        <w:rPr>
          <w:rFonts w:ascii="Palatino Linotype" w:eastAsia="Palatino Linotype" w:hAnsi="Palatino Linotype" w:cs="Palatino Linotype"/>
          <w:bCs/>
          <w:sz w:val="22"/>
          <w:szCs w:val="22"/>
        </w:rPr>
        <w:t xml:space="preserve"> ya que si bien quien informó la contratación del personal eventual a través la Sesió</w:t>
      </w:r>
      <w:r w:rsidR="002A0608" w:rsidRPr="00A618CE">
        <w:rPr>
          <w:rFonts w:ascii="Palatino Linotype" w:eastAsia="Palatino Linotype" w:hAnsi="Palatino Linotype" w:cs="Palatino Linotype"/>
          <w:bCs/>
          <w:sz w:val="22"/>
          <w:szCs w:val="22"/>
        </w:rPr>
        <w:t xml:space="preserve">n Solemne del Consejo referida por el particular fue la Presidenta del Consejo General del Instituto Electoral, lo cierto </w:t>
      </w:r>
      <w:r w:rsidR="00CE039E" w:rsidRPr="00A618CE">
        <w:rPr>
          <w:rFonts w:ascii="Palatino Linotype" w:eastAsia="Palatino Linotype" w:hAnsi="Palatino Linotype" w:cs="Palatino Linotype"/>
          <w:bCs/>
          <w:sz w:val="22"/>
          <w:szCs w:val="22"/>
        </w:rPr>
        <w:t xml:space="preserve">es que </w:t>
      </w:r>
      <w:r w:rsidR="002A0608" w:rsidRPr="00A618CE">
        <w:rPr>
          <w:rFonts w:ascii="Palatino Linotype" w:eastAsia="Palatino Linotype" w:hAnsi="Palatino Linotype" w:cs="Palatino Linotype"/>
          <w:bCs/>
          <w:sz w:val="22"/>
          <w:szCs w:val="22"/>
        </w:rPr>
        <w:t>dicha atribución corresponde inherentemente a la Dirección Administración</w:t>
      </w:r>
      <w:r w:rsidRPr="00A618CE">
        <w:rPr>
          <w:rFonts w:ascii="Palatino Linotype" w:eastAsia="Palatino Linotype" w:hAnsi="Palatino Linotype" w:cs="Palatino Linotype"/>
          <w:bCs/>
          <w:sz w:val="22"/>
          <w:szCs w:val="22"/>
        </w:rPr>
        <w:t>. Por tanto, resulta jurídicamente válid</w:t>
      </w:r>
      <w:r w:rsidR="00DF2014" w:rsidRPr="00A618CE">
        <w:rPr>
          <w:rFonts w:ascii="Palatino Linotype" w:eastAsia="Palatino Linotype" w:hAnsi="Palatino Linotype" w:cs="Palatino Linotype"/>
          <w:bCs/>
          <w:sz w:val="22"/>
          <w:szCs w:val="22"/>
        </w:rPr>
        <w:t xml:space="preserve">o el turno </w:t>
      </w:r>
      <w:r w:rsidRPr="00A618CE">
        <w:rPr>
          <w:rFonts w:ascii="Palatino Linotype" w:eastAsia="Palatino Linotype" w:hAnsi="Palatino Linotype" w:cs="Palatino Linotype"/>
          <w:bCs/>
          <w:sz w:val="22"/>
          <w:szCs w:val="22"/>
        </w:rPr>
        <w:t>efectuad</w:t>
      </w:r>
      <w:r w:rsidR="00DF2014" w:rsidRPr="00A618CE">
        <w:rPr>
          <w:rFonts w:ascii="Palatino Linotype" w:eastAsia="Palatino Linotype" w:hAnsi="Palatino Linotype" w:cs="Palatino Linotype"/>
          <w:bCs/>
          <w:sz w:val="22"/>
          <w:szCs w:val="22"/>
        </w:rPr>
        <w:t>o así como la respuesta</w:t>
      </w:r>
      <w:r w:rsidRPr="00A618CE">
        <w:rPr>
          <w:rFonts w:ascii="Palatino Linotype" w:eastAsia="Palatino Linotype" w:hAnsi="Palatino Linotype" w:cs="Palatino Linotype"/>
          <w:bCs/>
          <w:sz w:val="22"/>
          <w:szCs w:val="22"/>
        </w:rPr>
        <w:t xml:space="preserve"> emitida, en la medida en que se satisface el criterio de competencia material exigido por la normativa en</w:t>
      </w:r>
      <w:r w:rsidR="00DF2014" w:rsidRPr="00A618CE">
        <w:rPr>
          <w:rFonts w:ascii="Palatino Linotype" w:eastAsia="Palatino Linotype" w:hAnsi="Palatino Linotype" w:cs="Palatino Linotype"/>
          <w:bCs/>
          <w:sz w:val="22"/>
          <w:szCs w:val="22"/>
        </w:rPr>
        <w:t xml:space="preserve"> materia de Transparencia del Estado</w:t>
      </w:r>
      <w:r w:rsidR="00CE039E" w:rsidRPr="00A618CE">
        <w:rPr>
          <w:rFonts w:ascii="Palatino Linotype" w:eastAsia="Palatino Linotype" w:hAnsi="Palatino Linotype" w:cs="Palatino Linotype"/>
          <w:bCs/>
          <w:sz w:val="22"/>
          <w:szCs w:val="22"/>
        </w:rPr>
        <w:t xml:space="preserve">, en esa razón se considera procedente confirmar la respuesta del Sujeto Obligado. </w:t>
      </w:r>
    </w:p>
    <w:p w14:paraId="4B88B7DE" w14:textId="77777777" w:rsidR="002A0608" w:rsidRPr="00A618CE" w:rsidRDefault="002A0608" w:rsidP="00DF2014">
      <w:pPr>
        <w:pStyle w:val="NormalWeb"/>
        <w:spacing w:before="0" w:beforeAutospacing="0" w:after="0" w:afterAutospacing="0" w:line="360" w:lineRule="auto"/>
        <w:ind w:right="49"/>
        <w:jc w:val="both"/>
        <w:rPr>
          <w:rFonts w:ascii="Palatino Linotype" w:eastAsia="Palatino Linotype" w:hAnsi="Palatino Linotype" w:cs="Palatino Linotype"/>
          <w:bCs/>
          <w:sz w:val="22"/>
          <w:szCs w:val="22"/>
        </w:rPr>
      </w:pPr>
    </w:p>
    <w:p w14:paraId="764B0E36" w14:textId="7A06FCE4" w:rsidR="005B68DD" w:rsidRPr="00A618CE" w:rsidRDefault="002A0608">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En razón de lo precisado</w:t>
      </w:r>
      <w:r w:rsidR="00A57AF2" w:rsidRPr="00A618CE">
        <w:rPr>
          <w:rFonts w:ascii="Palatino Linotype" w:eastAsia="Palatino Linotype" w:hAnsi="Palatino Linotype" w:cs="Palatino Linotype"/>
          <w:sz w:val="22"/>
          <w:szCs w:val="22"/>
        </w:rPr>
        <w:t xml:space="preserve">, </w:t>
      </w:r>
      <w:r w:rsidR="00ED3DAE" w:rsidRPr="00A618CE">
        <w:rPr>
          <w:rFonts w:ascii="Palatino Linotype" w:eastAsia="Palatino Linotype" w:hAnsi="Palatino Linotype" w:cs="Palatino Linotype"/>
          <w:sz w:val="22"/>
          <w:szCs w:val="22"/>
        </w:rPr>
        <w:t xml:space="preserve">y </w:t>
      </w:r>
      <w:r w:rsidR="00A57AF2" w:rsidRPr="00A618CE">
        <w:rPr>
          <w:rFonts w:ascii="Palatino Linotype" w:eastAsia="Palatino Linotype" w:hAnsi="Palatino Linotype" w:cs="Palatino Linotype"/>
          <w:sz w:val="22"/>
          <w:szCs w:val="22"/>
        </w:rPr>
        <w:t xml:space="preserve">de conformidad con el </w:t>
      </w:r>
      <w:r w:rsidR="00581E00" w:rsidRPr="00A618CE">
        <w:rPr>
          <w:rFonts w:ascii="Palatino Linotype" w:eastAsia="Palatino Linotype" w:hAnsi="Palatino Linotype" w:cs="Palatino Linotype"/>
          <w:sz w:val="22"/>
          <w:szCs w:val="22"/>
        </w:rPr>
        <w:t xml:space="preserve">ya referido </w:t>
      </w:r>
      <w:r w:rsidR="00A57AF2" w:rsidRPr="00A618CE">
        <w:rPr>
          <w:rFonts w:ascii="Palatino Linotype" w:eastAsia="Palatino Linotype" w:hAnsi="Palatino Linotype" w:cs="Palatino Linotype"/>
          <w:sz w:val="22"/>
          <w:szCs w:val="22"/>
        </w:rPr>
        <w:t xml:space="preserve">artículo 12 de la Ley de Transparencia y Acceso a la Información Pública del Estado de México y Municipios, los sujetos obligados sólo deberán proporcionar la información que obre en sus archivos, en el estado en que esta se encuentre, asimismo, se precisa que conforme a lo establecido en el Criterio </w:t>
      </w:r>
      <w:r w:rsidR="004D303A" w:rsidRPr="00A618CE">
        <w:rPr>
          <w:rFonts w:ascii="Palatino Linotype" w:eastAsia="Palatino Linotype" w:hAnsi="Palatino Linotype" w:cs="Palatino Linotype"/>
          <w:sz w:val="22"/>
          <w:szCs w:val="22"/>
        </w:rPr>
        <w:t xml:space="preserve">orientador </w:t>
      </w:r>
      <w:r w:rsidR="00A57AF2" w:rsidRPr="00A618CE">
        <w:rPr>
          <w:rFonts w:ascii="Palatino Linotype" w:eastAsia="Palatino Linotype" w:hAnsi="Palatino Linotype" w:cs="Palatino Linotype"/>
          <w:sz w:val="22"/>
          <w:szCs w:val="22"/>
        </w:rPr>
        <w:t>31/10 emitido por el entonces Instituto Nacional de Transparencia, Acceso a la Información Pública y Protección de Datos Personales INAI (anteriormente IFAI) que se procede a citar a continuación:</w:t>
      </w:r>
    </w:p>
    <w:p w14:paraId="386D208F" w14:textId="77777777" w:rsidR="005B68DD" w:rsidRPr="00A618CE" w:rsidRDefault="005B68DD">
      <w:pPr>
        <w:spacing w:line="360" w:lineRule="auto"/>
        <w:ind w:right="49"/>
        <w:jc w:val="both"/>
        <w:rPr>
          <w:rFonts w:ascii="Palatino Linotype" w:eastAsia="Palatino Linotype" w:hAnsi="Palatino Linotype" w:cs="Palatino Linotype"/>
          <w:sz w:val="22"/>
          <w:szCs w:val="22"/>
        </w:rPr>
      </w:pPr>
    </w:p>
    <w:p w14:paraId="4D86DA00" w14:textId="77777777" w:rsidR="005B68DD" w:rsidRPr="00A618CE" w:rsidRDefault="00A57AF2">
      <w:pPr>
        <w:tabs>
          <w:tab w:val="left" w:pos="8222"/>
        </w:tabs>
        <w:ind w:left="567" w:right="567"/>
        <w:jc w:val="both"/>
        <w:rPr>
          <w:rFonts w:ascii="Palatino Linotype" w:eastAsia="Palatino Linotype" w:hAnsi="Palatino Linotype" w:cs="Palatino Linotype"/>
          <w:i/>
          <w:sz w:val="22"/>
          <w:szCs w:val="22"/>
        </w:rPr>
      </w:pPr>
      <w:r w:rsidRPr="00A618CE">
        <w:rPr>
          <w:rFonts w:ascii="Palatino Linotype" w:eastAsia="Palatino Linotype" w:hAnsi="Palatino Linotype" w:cs="Palatino Linotype"/>
          <w:b/>
          <w:i/>
          <w:sz w:val="22"/>
          <w:szCs w:val="22"/>
        </w:rPr>
        <w:t>“El Instituto Federal de Acceso a la Información y Protección de Datos no cuenta con facultades para pronunciarse respecto de la veracidad de los documentos proporcionados por los sujetos obligados.</w:t>
      </w:r>
      <w:r w:rsidRPr="00A618CE">
        <w:rPr>
          <w:rFonts w:ascii="Palatino Linotype" w:eastAsia="Palatino Linotype" w:hAnsi="Palatino Linotype" w:cs="Palatino Linotype"/>
          <w:i/>
          <w:sz w:val="22"/>
          <w:szCs w:val="22"/>
        </w:rPr>
        <w:t xml:space="preserve"> El Instituto Federal de Acceso a la Información y Protección de Datos es un órgano de la Administración Pública Federal con autonomía </w:t>
      </w:r>
      <w:r w:rsidRPr="00A618CE">
        <w:rPr>
          <w:rFonts w:ascii="Palatino Linotype" w:eastAsia="Palatino Linotype" w:hAnsi="Palatino Linotype" w:cs="Palatino Linotype"/>
          <w:i/>
          <w:sz w:val="22"/>
          <w:szCs w:val="22"/>
        </w:rPr>
        <w:lastRenderedPageBreak/>
        <w:t>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p>
    <w:p w14:paraId="496619DA" w14:textId="77777777" w:rsidR="005B68DD" w:rsidRPr="00A618CE" w:rsidRDefault="005B68DD">
      <w:pPr>
        <w:spacing w:line="360" w:lineRule="auto"/>
        <w:ind w:right="49"/>
        <w:jc w:val="both"/>
        <w:rPr>
          <w:rFonts w:ascii="Palatino Linotype" w:eastAsia="Palatino Linotype" w:hAnsi="Palatino Linotype" w:cs="Palatino Linotype"/>
          <w:sz w:val="22"/>
          <w:szCs w:val="22"/>
        </w:rPr>
      </w:pPr>
    </w:p>
    <w:p w14:paraId="6CFA9097"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Por lo que, este Organismo Garante carece de facultades para dudar de la veracidad de la información que el Sujeto Obligado puso a disposición de la parte Recurrente</w:t>
      </w:r>
    </w:p>
    <w:p w14:paraId="1EEE5B54" w14:textId="77777777" w:rsidR="00444B85" w:rsidRPr="00A618CE" w:rsidRDefault="00444B85" w:rsidP="00444B85">
      <w:pPr>
        <w:spacing w:line="360" w:lineRule="auto"/>
        <w:contextualSpacing/>
        <w:jc w:val="both"/>
        <w:rPr>
          <w:rFonts w:ascii="Palatino Linotype" w:hAnsi="Palatino Linotype"/>
          <w:color w:val="000000"/>
          <w:sz w:val="22"/>
          <w:szCs w:val="22"/>
        </w:rPr>
      </w:pPr>
    </w:p>
    <w:p w14:paraId="5D158DD0" w14:textId="77777777" w:rsidR="00444B85" w:rsidRPr="00A618CE" w:rsidRDefault="00444B85" w:rsidP="00444B85">
      <w:pPr>
        <w:spacing w:line="360" w:lineRule="auto"/>
        <w:contextualSpacing/>
        <w:jc w:val="both"/>
        <w:rPr>
          <w:rFonts w:ascii="Palatino Linotype" w:hAnsi="Palatino Linotype" w:cs="Arial"/>
          <w:bCs/>
          <w:iCs/>
          <w:sz w:val="22"/>
          <w:szCs w:val="22"/>
          <w:lang w:val="es-CO"/>
        </w:rPr>
      </w:pPr>
      <w:r w:rsidRPr="00A618CE">
        <w:rPr>
          <w:rFonts w:ascii="Palatino Linotype" w:hAnsi="Palatino Linotype"/>
          <w:color w:val="000000"/>
          <w:sz w:val="22"/>
          <w:szCs w:val="22"/>
        </w:rPr>
        <w:t xml:space="preserve">Por otra parte, este Organismo Garante no quiere dejar de mencionar que de las Declaraciones de la presidenta referidas por el particular, se advierte que también se refirió un número estimado, lo que se refuerza con el argumento del habilitado competente proporcionado a lo largo de las constancias que conforman el expediente electrónico, respecto a que </w:t>
      </w:r>
      <w:r w:rsidRPr="00A618CE">
        <w:rPr>
          <w:rFonts w:ascii="Palatino Linotype" w:hAnsi="Palatino Linotype" w:cs="Arial"/>
          <w:bCs/>
          <w:iCs/>
          <w:sz w:val="22"/>
          <w:szCs w:val="22"/>
          <w:lang w:val="es-CO"/>
        </w:rPr>
        <w:t>cifra que puede variar de acuerdo a las necesidades que susciten en cada Órgano Desconcentrado.</w:t>
      </w:r>
    </w:p>
    <w:p w14:paraId="714DF8A9" w14:textId="77777777" w:rsidR="00444B85" w:rsidRPr="00A618CE" w:rsidRDefault="00444B85">
      <w:pPr>
        <w:spacing w:line="360" w:lineRule="auto"/>
        <w:jc w:val="both"/>
        <w:rPr>
          <w:rFonts w:ascii="Palatino Linotype" w:eastAsia="Palatino Linotype" w:hAnsi="Palatino Linotype" w:cs="Palatino Linotype"/>
        </w:rPr>
      </w:pPr>
    </w:p>
    <w:p w14:paraId="3D5F04B8" w14:textId="5BCA4570"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sz w:val="22"/>
          <w:szCs w:val="22"/>
        </w:rPr>
        <w:t xml:space="preserve">Es así como, en mérito de lo expuesto en líneas anteriores, resultan infundadas las razones o motivos de inconformidad hechos valer por la parte </w:t>
      </w:r>
      <w:r w:rsidRPr="00A618CE">
        <w:rPr>
          <w:rFonts w:ascii="Palatino Linotype" w:eastAsia="Palatino Linotype" w:hAnsi="Palatino Linotype" w:cs="Palatino Linotype"/>
          <w:b/>
          <w:sz w:val="22"/>
          <w:szCs w:val="22"/>
        </w:rPr>
        <w:t>RECURRENTE</w:t>
      </w:r>
      <w:r w:rsidRPr="00A618CE">
        <w:rPr>
          <w:rFonts w:ascii="Palatino Linotype" w:eastAsia="Palatino Linotype" w:hAnsi="Palatino Linotype" w:cs="Palatino Linotype"/>
          <w:sz w:val="22"/>
          <w:szCs w:val="22"/>
        </w:rPr>
        <w:t xml:space="preserve"> dentro del recurso de revisión </w:t>
      </w:r>
      <w:r w:rsidR="002A0608" w:rsidRPr="00A618CE">
        <w:rPr>
          <w:rFonts w:ascii="Palatino Linotype" w:eastAsia="Palatino Linotype" w:hAnsi="Palatino Linotype" w:cs="Palatino Linotype"/>
          <w:b/>
          <w:sz w:val="22"/>
          <w:szCs w:val="22"/>
        </w:rPr>
        <w:t>05604</w:t>
      </w:r>
      <w:r w:rsidRPr="00A618CE">
        <w:rPr>
          <w:rFonts w:ascii="Palatino Linotype" w:eastAsia="Palatino Linotype" w:hAnsi="Palatino Linotype" w:cs="Palatino Linotype"/>
          <w:b/>
          <w:sz w:val="22"/>
          <w:szCs w:val="22"/>
        </w:rPr>
        <w:t>/INFOEM/IP/RR/2025</w:t>
      </w:r>
      <w:r w:rsidRPr="00A618CE">
        <w:rPr>
          <w:rFonts w:ascii="Palatino Linotype" w:eastAsia="Palatino Linotype" w:hAnsi="Palatino Linotype" w:cs="Palatino Linotype"/>
          <w:sz w:val="22"/>
          <w:szCs w:val="22"/>
        </w:rPr>
        <w:t xml:space="preserve">; por ello, y con fundamento en la fracción II del numeral 186 de la Ley de Transparencia y Acceso a la Información Pública del Estado de México y Municipios se </w:t>
      </w:r>
      <w:r w:rsidRPr="00A618CE">
        <w:rPr>
          <w:rFonts w:ascii="Palatino Linotype" w:eastAsia="Palatino Linotype" w:hAnsi="Palatino Linotype" w:cs="Palatino Linotype"/>
          <w:b/>
          <w:sz w:val="22"/>
          <w:szCs w:val="22"/>
        </w:rPr>
        <w:t xml:space="preserve">CONFIRMA </w:t>
      </w:r>
      <w:r w:rsidRPr="00A618CE">
        <w:rPr>
          <w:rFonts w:ascii="Palatino Linotype" w:eastAsia="Palatino Linotype" w:hAnsi="Palatino Linotype" w:cs="Palatino Linotype"/>
          <w:sz w:val="22"/>
          <w:szCs w:val="22"/>
        </w:rPr>
        <w:t xml:space="preserve">la respuesta del </w:t>
      </w:r>
      <w:r w:rsidRPr="00A618CE">
        <w:rPr>
          <w:rFonts w:ascii="Palatino Linotype" w:eastAsia="Palatino Linotype" w:hAnsi="Palatino Linotype" w:cs="Palatino Linotype"/>
          <w:b/>
          <w:sz w:val="22"/>
          <w:szCs w:val="22"/>
        </w:rPr>
        <w:t xml:space="preserve">SUJETO OBLIGADO </w:t>
      </w:r>
      <w:r w:rsidRPr="00A618CE">
        <w:rPr>
          <w:rFonts w:ascii="Palatino Linotype" w:eastAsia="Palatino Linotype" w:hAnsi="Palatino Linotype" w:cs="Palatino Linotype"/>
          <w:sz w:val="22"/>
          <w:szCs w:val="22"/>
        </w:rPr>
        <w:t xml:space="preserve">a la solicitud de información </w:t>
      </w:r>
      <w:r w:rsidR="004D303A" w:rsidRPr="00A618CE">
        <w:rPr>
          <w:rFonts w:ascii="Palatino Linotype" w:eastAsia="Palatino Linotype" w:hAnsi="Palatino Linotype" w:cs="Palatino Linotype"/>
          <w:b/>
          <w:sz w:val="22"/>
          <w:szCs w:val="22"/>
        </w:rPr>
        <w:t>00</w:t>
      </w:r>
      <w:r w:rsidR="002A0608" w:rsidRPr="00A618CE">
        <w:rPr>
          <w:rFonts w:ascii="Palatino Linotype" w:eastAsia="Palatino Linotype" w:hAnsi="Palatino Linotype" w:cs="Palatino Linotype"/>
          <w:b/>
          <w:sz w:val="22"/>
          <w:szCs w:val="22"/>
        </w:rPr>
        <w:t>441</w:t>
      </w:r>
      <w:r w:rsidR="004D303A" w:rsidRPr="00A618CE">
        <w:rPr>
          <w:rFonts w:ascii="Palatino Linotype" w:eastAsia="Palatino Linotype" w:hAnsi="Palatino Linotype" w:cs="Palatino Linotype"/>
          <w:b/>
          <w:sz w:val="22"/>
          <w:szCs w:val="22"/>
        </w:rPr>
        <w:t>/IEEM/IP/2025</w:t>
      </w:r>
      <w:r w:rsidRPr="00A618CE">
        <w:rPr>
          <w:rFonts w:ascii="Palatino Linotype" w:eastAsia="Palatino Linotype" w:hAnsi="Palatino Linotype" w:cs="Palatino Linotype"/>
          <w:b/>
          <w:sz w:val="22"/>
          <w:szCs w:val="22"/>
        </w:rPr>
        <w:t>.</w:t>
      </w:r>
      <w:r w:rsidRPr="00A618CE">
        <w:rPr>
          <w:rFonts w:ascii="Palatino Linotype" w:eastAsia="Palatino Linotype" w:hAnsi="Palatino Linotype" w:cs="Palatino Linotype"/>
          <w:sz w:val="22"/>
          <w:szCs w:val="22"/>
        </w:rPr>
        <w:t xml:space="preserve">  </w:t>
      </w:r>
    </w:p>
    <w:p w14:paraId="0144CC3B" w14:textId="77777777" w:rsidR="005B68DD" w:rsidRPr="00A618CE" w:rsidRDefault="00A57AF2">
      <w:pPr>
        <w:spacing w:line="360" w:lineRule="auto"/>
        <w:ind w:right="49"/>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rPr>
        <w:t xml:space="preserve"> </w:t>
      </w:r>
    </w:p>
    <w:p w14:paraId="475BAE8D" w14:textId="77777777" w:rsidR="005B68DD" w:rsidRPr="00A618CE" w:rsidRDefault="00A57AF2">
      <w:pPr>
        <w:numPr>
          <w:ilvl w:val="0"/>
          <w:numId w:val="5"/>
        </w:numPr>
        <w:spacing w:line="360" w:lineRule="auto"/>
        <w:ind w:left="-142" w:firstLine="0"/>
        <w:jc w:val="center"/>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t>R E S U E L V E</w:t>
      </w:r>
    </w:p>
    <w:p w14:paraId="23443D21" w14:textId="77777777" w:rsidR="005B68DD" w:rsidRPr="00A618CE" w:rsidRDefault="005B68DD">
      <w:pPr>
        <w:spacing w:line="360" w:lineRule="auto"/>
        <w:ind w:left="-142"/>
        <w:rPr>
          <w:rFonts w:ascii="Palatino Linotype" w:eastAsia="Palatino Linotype" w:hAnsi="Palatino Linotype" w:cs="Palatino Linotype"/>
          <w:b/>
          <w:sz w:val="22"/>
          <w:szCs w:val="22"/>
        </w:rPr>
      </w:pPr>
    </w:p>
    <w:p w14:paraId="0BE9DB21" w14:textId="394277E4" w:rsidR="005B68DD" w:rsidRPr="00A618CE" w:rsidRDefault="00A57AF2">
      <w:pPr>
        <w:spacing w:line="360" w:lineRule="auto"/>
        <w:jc w:val="both"/>
        <w:rPr>
          <w:rFonts w:ascii="Palatino Linotype" w:eastAsia="Palatino Linotype" w:hAnsi="Palatino Linotype" w:cs="Palatino Linotype"/>
          <w:b/>
          <w:sz w:val="22"/>
          <w:szCs w:val="22"/>
        </w:rPr>
      </w:pPr>
      <w:r w:rsidRPr="00A618CE">
        <w:rPr>
          <w:rFonts w:ascii="Palatino Linotype" w:eastAsia="Palatino Linotype" w:hAnsi="Palatino Linotype" w:cs="Palatino Linotype"/>
          <w:b/>
          <w:sz w:val="22"/>
          <w:szCs w:val="22"/>
        </w:rPr>
        <w:t xml:space="preserve">Primero. </w:t>
      </w:r>
      <w:r w:rsidRPr="00A618CE">
        <w:rPr>
          <w:rFonts w:ascii="Palatino Linotype" w:eastAsia="Palatino Linotype" w:hAnsi="Palatino Linotype" w:cs="Palatino Linotype"/>
          <w:sz w:val="22"/>
          <w:szCs w:val="22"/>
        </w:rPr>
        <w:t xml:space="preserve">Resultan </w:t>
      </w:r>
      <w:r w:rsidRPr="00A618CE">
        <w:rPr>
          <w:rFonts w:ascii="Palatino Linotype" w:eastAsia="Palatino Linotype" w:hAnsi="Palatino Linotype" w:cs="Palatino Linotype"/>
          <w:b/>
          <w:sz w:val="22"/>
          <w:szCs w:val="22"/>
        </w:rPr>
        <w:t>INFUNDADOS</w:t>
      </w:r>
      <w:r w:rsidRPr="00A618CE">
        <w:rPr>
          <w:rFonts w:ascii="Palatino Linotype" w:eastAsia="Palatino Linotype" w:hAnsi="Palatino Linotype" w:cs="Palatino Linotype"/>
          <w:sz w:val="22"/>
          <w:szCs w:val="22"/>
        </w:rPr>
        <w:t xml:space="preserve"> los motivos de inconformidad hechos valer por la parte </w:t>
      </w:r>
      <w:r w:rsidRPr="00A618CE">
        <w:rPr>
          <w:rFonts w:ascii="Palatino Linotype" w:eastAsia="Palatino Linotype" w:hAnsi="Palatino Linotype" w:cs="Palatino Linotype"/>
          <w:b/>
          <w:sz w:val="22"/>
          <w:szCs w:val="22"/>
        </w:rPr>
        <w:t>RECURRENTE</w:t>
      </w:r>
      <w:r w:rsidRPr="00A618CE">
        <w:rPr>
          <w:rFonts w:ascii="Palatino Linotype" w:eastAsia="Palatino Linotype" w:hAnsi="Palatino Linotype" w:cs="Palatino Linotype"/>
          <w:sz w:val="22"/>
          <w:szCs w:val="22"/>
        </w:rPr>
        <w:t xml:space="preserve"> en el Recurso de Revisión </w:t>
      </w:r>
      <w:r w:rsidR="004D303A" w:rsidRPr="00A618CE">
        <w:rPr>
          <w:rFonts w:ascii="Palatino Linotype" w:eastAsia="Palatino Linotype" w:hAnsi="Palatino Linotype" w:cs="Palatino Linotype"/>
          <w:b/>
          <w:sz w:val="22"/>
          <w:szCs w:val="22"/>
        </w:rPr>
        <w:t>0</w:t>
      </w:r>
      <w:r w:rsidR="002A0608" w:rsidRPr="00A618CE">
        <w:rPr>
          <w:rFonts w:ascii="Palatino Linotype" w:eastAsia="Palatino Linotype" w:hAnsi="Palatino Linotype" w:cs="Palatino Linotype"/>
          <w:b/>
          <w:sz w:val="22"/>
          <w:szCs w:val="22"/>
        </w:rPr>
        <w:t>5604</w:t>
      </w:r>
      <w:r w:rsidRPr="00A618CE">
        <w:rPr>
          <w:rFonts w:ascii="Palatino Linotype" w:eastAsia="Palatino Linotype" w:hAnsi="Palatino Linotype" w:cs="Palatino Linotype"/>
          <w:b/>
          <w:sz w:val="22"/>
          <w:szCs w:val="22"/>
        </w:rPr>
        <w:t xml:space="preserve">/INFOEM/IP/RR/2025 </w:t>
      </w:r>
      <w:r w:rsidRPr="00A618CE">
        <w:rPr>
          <w:rFonts w:ascii="Palatino Linotype" w:eastAsia="Palatino Linotype" w:hAnsi="Palatino Linotype" w:cs="Palatino Linotype"/>
          <w:sz w:val="22"/>
          <w:szCs w:val="22"/>
        </w:rPr>
        <w:t xml:space="preserve">por lo que, en términos </w:t>
      </w:r>
      <w:r w:rsidRPr="00A618CE">
        <w:rPr>
          <w:rFonts w:ascii="Palatino Linotype" w:eastAsia="Palatino Linotype" w:hAnsi="Palatino Linotype" w:cs="Palatino Linotype"/>
          <w:sz w:val="22"/>
          <w:szCs w:val="22"/>
        </w:rPr>
        <w:lastRenderedPageBreak/>
        <w:t>del</w:t>
      </w:r>
      <w:r w:rsidRPr="00A618CE">
        <w:rPr>
          <w:rFonts w:ascii="Palatino Linotype" w:eastAsia="Palatino Linotype" w:hAnsi="Palatino Linotype" w:cs="Palatino Linotype"/>
          <w:b/>
          <w:sz w:val="22"/>
          <w:szCs w:val="22"/>
        </w:rPr>
        <w:t xml:space="preserve"> Considerando Cuarto </w:t>
      </w:r>
      <w:r w:rsidRPr="00A618CE">
        <w:rPr>
          <w:rFonts w:ascii="Palatino Linotype" w:eastAsia="Palatino Linotype" w:hAnsi="Palatino Linotype" w:cs="Palatino Linotype"/>
          <w:sz w:val="22"/>
          <w:szCs w:val="22"/>
        </w:rPr>
        <w:t xml:space="preserve">de esta resolución, se </w:t>
      </w:r>
      <w:r w:rsidRPr="00A618CE">
        <w:rPr>
          <w:rFonts w:ascii="Palatino Linotype" w:eastAsia="Palatino Linotype" w:hAnsi="Palatino Linotype" w:cs="Palatino Linotype"/>
          <w:b/>
          <w:sz w:val="22"/>
          <w:szCs w:val="22"/>
        </w:rPr>
        <w:t xml:space="preserve">CONFIRMA </w:t>
      </w:r>
      <w:r w:rsidRPr="00A618CE">
        <w:rPr>
          <w:rFonts w:ascii="Palatino Linotype" w:eastAsia="Palatino Linotype" w:hAnsi="Palatino Linotype" w:cs="Palatino Linotype"/>
          <w:sz w:val="22"/>
          <w:szCs w:val="22"/>
        </w:rPr>
        <w:t xml:space="preserve">la respuesta emitida por el </w:t>
      </w:r>
      <w:r w:rsidRPr="00A618CE">
        <w:rPr>
          <w:rFonts w:ascii="Palatino Linotype" w:eastAsia="Palatino Linotype" w:hAnsi="Palatino Linotype" w:cs="Palatino Linotype"/>
          <w:b/>
          <w:sz w:val="22"/>
          <w:szCs w:val="22"/>
        </w:rPr>
        <w:t>SUJETO OBLIGADO</w:t>
      </w:r>
      <w:r w:rsidRPr="00A618CE">
        <w:rPr>
          <w:rFonts w:ascii="Palatino Linotype" w:eastAsia="Palatino Linotype" w:hAnsi="Palatino Linotype" w:cs="Palatino Linotype"/>
          <w:sz w:val="22"/>
          <w:szCs w:val="22"/>
        </w:rPr>
        <w:t>.</w:t>
      </w:r>
    </w:p>
    <w:p w14:paraId="2588470C"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781A6AD4"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Segundo. Notifíquese vía Sistema de Acceso a la Información Mexiquense (SAIMEX)</w:t>
      </w:r>
      <w:r w:rsidRPr="00A618CE">
        <w:rPr>
          <w:rFonts w:ascii="Palatino Linotype" w:eastAsia="Palatino Linotype" w:hAnsi="Palatino Linotype" w:cs="Palatino Linotype"/>
          <w:sz w:val="22"/>
          <w:szCs w:val="22"/>
        </w:rPr>
        <w:t>, al Titular de la Unidad de Transparencia del Sujeto Obligado, para su conocimiento.</w:t>
      </w:r>
    </w:p>
    <w:p w14:paraId="28812E32"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7ED5EC48" w14:textId="77777777" w:rsidR="005B68DD" w:rsidRPr="00A618CE" w:rsidRDefault="00A57AF2">
      <w:pPr>
        <w:spacing w:line="360" w:lineRule="auto"/>
        <w:jc w:val="both"/>
        <w:rPr>
          <w:rFonts w:ascii="Palatino Linotype" w:eastAsia="Palatino Linotype" w:hAnsi="Palatino Linotype" w:cs="Palatino Linotype"/>
          <w:sz w:val="22"/>
          <w:szCs w:val="22"/>
        </w:rPr>
      </w:pPr>
      <w:r w:rsidRPr="00A618CE">
        <w:rPr>
          <w:rFonts w:ascii="Palatino Linotype" w:eastAsia="Palatino Linotype" w:hAnsi="Palatino Linotype" w:cs="Palatino Linotype"/>
          <w:b/>
          <w:sz w:val="22"/>
          <w:szCs w:val="22"/>
        </w:rPr>
        <w:t xml:space="preserve">Tercero. Notifíquese vía Sistema de Acceso a la Información Mexiquense (SAIMEX) </w:t>
      </w:r>
      <w:r w:rsidRPr="00A618CE">
        <w:rPr>
          <w:rFonts w:ascii="Palatino Linotype" w:eastAsia="Palatino Linotype" w:hAnsi="Palatino Linotype" w:cs="Palatino Linotype"/>
          <w:sz w:val="22"/>
          <w:szCs w:val="22"/>
        </w:rPr>
        <w:t>la presente resolución a la parte recurrente, así como, que de conformidad con lo establecido en el artículo 196 de la Ley de Transparencia y Acceso a la Información Pública del Estado de México y Municipios, podrá impugnarla vía Juicio de Amparo en los términos de las leyes aplicables.</w:t>
      </w:r>
    </w:p>
    <w:p w14:paraId="6FD6883B" w14:textId="77777777" w:rsidR="005B68DD" w:rsidRPr="00A618CE" w:rsidRDefault="005B68DD">
      <w:pPr>
        <w:spacing w:line="360" w:lineRule="auto"/>
        <w:jc w:val="both"/>
        <w:rPr>
          <w:rFonts w:ascii="Palatino Linotype" w:eastAsia="Palatino Linotype" w:hAnsi="Palatino Linotype" w:cs="Palatino Linotype"/>
          <w:sz w:val="22"/>
          <w:szCs w:val="22"/>
        </w:rPr>
      </w:pPr>
    </w:p>
    <w:p w14:paraId="143525DD" w14:textId="4029E662" w:rsidR="005B68DD" w:rsidRPr="00DE1CCA" w:rsidRDefault="00A57AF2">
      <w:pPr>
        <w:spacing w:line="360" w:lineRule="auto"/>
        <w:jc w:val="both"/>
        <w:rPr>
          <w:rFonts w:ascii="Palatino Linotype" w:eastAsia="Palatino Linotype" w:hAnsi="Palatino Linotype" w:cs="Palatino Linotype"/>
          <w:sz w:val="22"/>
          <w:szCs w:val="22"/>
        </w:rPr>
        <w:sectPr w:rsidR="005B68DD" w:rsidRPr="00DE1CCA">
          <w:headerReference w:type="default" r:id="rId16"/>
          <w:footerReference w:type="default" r:id="rId17"/>
          <w:headerReference w:type="first" r:id="rId18"/>
          <w:footerReference w:type="first" r:id="rId19"/>
          <w:pgSz w:w="11920" w:h="16840"/>
          <w:pgMar w:top="1599" w:right="1134" w:bottom="278" w:left="1418" w:header="720" w:footer="720" w:gutter="0"/>
          <w:pgNumType w:start="1"/>
          <w:cols w:space="720"/>
        </w:sectPr>
      </w:pPr>
      <w:r w:rsidRPr="00A618CE">
        <w:rPr>
          <w:rFonts w:ascii="Palatino Linotype" w:eastAsia="Palatino Linotype" w:hAnsi="Palatino Linotype" w:cs="Palatino Linotype"/>
          <w:sz w:val="22"/>
          <w:szCs w:val="22"/>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w:t>
      </w:r>
      <w:r w:rsidR="004D303A" w:rsidRPr="00A618CE">
        <w:rPr>
          <w:rFonts w:ascii="Palatino Linotype" w:eastAsia="Palatino Linotype" w:hAnsi="Palatino Linotype" w:cs="Palatino Linotype"/>
          <w:sz w:val="22"/>
          <w:szCs w:val="22"/>
        </w:rPr>
        <w:t xml:space="preserve"> SÉPTIMA </w:t>
      </w:r>
      <w:r w:rsidRPr="00A618CE">
        <w:rPr>
          <w:rFonts w:ascii="Palatino Linotype" w:eastAsia="Palatino Linotype" w:hAnsi="Palatino Linotype" w:cs="Palatino Linotype"/>
          <w:sz w:val="22"/>
          <w:szCs w:val="22"/>
        </w:rPr>
        <w:t xml:space="preserve">SESIÓN ORDINARIA CELEBRADA </w:t>
      </w:r>
      <w:r w:rsidR="004D303A" w:rsidRPr="00A618CE">
        <w:rPr>
          <w:rFonts w:ascii="Palatino Linotype" w:eastAsia="Palatino Linotype" w:hAnsi="Palatino Linotype" w:cs="Palatino Linotype"/>
          <w:sz w:val="22"/>
          <w:szCs w:val="22"/>
        </w:rPr>
        <w:t xml:space="preserve">EL SEIS DE AGOSTO </w:t>
      </w:r>
      <w:r w:rsidRPr="00A618CE">
        <w:rPr>
          <w:rFonts w:ascii="Palatino Linotype" w:eastAsia="Palatino Linotype" w:hAnsi="Palatino Linotype" w:cs="Palatino Linotype"/>
          <w:sz w:val="22"/>
          <w:szCs w:val="22"/>
        </w:rPr>
        <w:t>DE DOS MIL VEINTICINCO, ANTE EL SECRETARIO TÉCNICO DEL PLENO ALEXIS TAPIA RAMÍREZ.</w:t>
      </w:r>
    </w:p>
    <w:p w14:paraId="55FA4E73" w14:textId="77777777" w:rsidR="005B68DD" w:rsidRPr="00DE1CCA" w:rsidRDefault="005B68DD">
      <w:pPr>
        <w:spacing w:line="360" w:lineRule="auto"/>
        <w:jc w:val="both"/>
        <w:rPr>
          <w:rFonts w:ascii="Palatino Linotype" w:eastAsia="Palatino Linotype" w:hAnsi="Palatino Linotype" w:cs="Palatino Linotype"/>
          <w:sz w:val="22"/>
          <w:szCs w:val="22"/>
        </w:rPr>
      </w:pPr>
    </w:p>
    <w:sectPr w:rsidR="005B68DD" w:rsidRPr="00DE1CCA">
      <w:headerReference w:type="even" r:id="rId20"/>
      <w:headerReference w:type="default" r:id="rId21"/>
      <w:footerReference w:type="even" r:id="rId22"/>
      <w:footerReference w:type="default" r:id="rId23"/>
      <w:headerReference w:type="first" r:id="rId24"/>
      <w:footerReference w:type="first" r:id="rId25"/>
      <w:pgSz w:w="11920" w:h="16840"/>
      <w:pgMar w:top="2041" w:right="1701" w:bottom="1701" w:left="1701" w:header="709" w:footer="70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12B08" w14:textId="77777777" w:rsidR="00323921" w:rsidRDefault="00323921">
      <w:r>
        <w:separator/>
      </w:r>
    </w:p>
  </w:endnote>
  <w:endnote w:type="continuationSeparator" w:id="0">
    <w:p w14:paraId="25FBD87C" w14:textId="77777777" w:rsidR="00323921" w:rsidRDefault="003239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E0CDE8" w14:textId="77777777" w:rsidR="00334BF8" w:rsidRDefault="00334BF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separate"/>
    </w:r>
    <w:r w:rsidR="00A618CE">
      <w:rPr>
        <w:rFonts w:ascii="Calibri" w:eastAsia="Calibri" w:hAnsi="Calibri" w:cs="Calibri"/>
        <w:b/>
        <w:noProof/>
        <w:color w:val="000000"/>
      </w:rPr>
      <w:t>21</w: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618CE">
      <w:rPr>
        <w:rFonts w:ascii="Calibri" w:eastAsia="Calibri" w:hAnsi="Calibri" w:cs="Calibri"/>
        <w:b/>
        <w:noProof/>
        <w:color w:val="000000"/>
      </w:rPr>
      <w:t>24</w:t>
    </w:r>
    <w:r>
      <w:rPr>
        <w:rFonts w:ascii="Calibri" w:eastAsia="Calibri" w:hAnsi="Calibri" w:cs="Calibri"/>
        <w:b/>
        <w:color w:val="000000"/>
      </w:rPr>
      <w:fldChar w:fldCharType="end"/>
    </w:r>
  </w:p>
  <w:p w14:paraId="5B482296"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315C1" w14:textId="77777777" w:rsidR="00334BF8" w:rsidRDefault="00334BF8">
    <w:pPr>
      <w:pBdr>
        <w:top w:val="nil"/>
        <w:left w:val="nil"/>
        <w:bottom w:val="nil"/>
        <w:right w:val="nil"/>
        <w:between w:val="nil"/>
      </w:pBdr>
      <w:tabs>
        <w:tab w:val="center" w:pos="4252"/>
        <w:tab w:val="right" w:pos="8504"/>
      </w:tabs>
      <w:jc w:val="right"/>
      <w:rPr>
        <w:rFonts w:ascii="Calibri" w:eastAsia="Calibri" w:hAnsi="Calibri" w:cs="Calibri"/>
        <w:color w:val="000000"/>
      </w:rPr>
    </w:pPr>
    <w:r>
      <w:rPr>
        <w:rFonts w:ascii="Calibri" w:eastAsia="Calibri" w:hAnsi="Calibri" w:cs="Calibri"/>
        <w:color w:val="000000"/>
      </w:rPr>
      <w:t xml:space="preserve">Página </w:t>
    </w:r>
    <w:r>
      <w:rPr>
        <w:rFonts w:ascii="Calibri" w:eastAsia="Calibri" w:hAnsi="Calibri" w:cs="Calibri"/>
        <w:b/>
        <w:color w:val="000000"/>
      </w:rPr>
      <w:fldChar w:fldCharType="begin"/>
    </w:r>
    <w:r>
      <w:rPr>
        <w:rFonts w:ascii="Calibri" w:eastAsia="Calibri" w:hAnsi="Calibri" w:cs="Calibri"/>
        <w:b/>
        <w:color w:val="000000"/>
      </w:rPr>
      <w:instrText>PAGE</w:instrText>
    </w:r>
    <w:r>
      <w:rPr>
        <w:rFonts w:ascii="Calibri" w:eastAsia="Calibri" w:hAnsi="Calibri" w:cs="Calibri"/>
        <w:b/>
        <w:color w:val="000000"/>
      </w:rPr>
      <w:fldChar w:fldCharType="end"/>
    </w:r>
    <w:r>
      <w:rPr>
        <w:rFonts w:ascii="Calibri" w:eastAsia="Calibri" w:hAnsi="Calibri" w:cs="Calibri"/>
        <w:color w:val="000000"/>
      </w:rPr>
      <w:t xml:space="preserve"> de </w:t>
    </w:r>
    <w:r>
      <w:rPr>
        <w:rFonts w:ascii="Calibri" w:eastAsia="Calibri" w:hAnsi="Calibri" w:cs="Calibri"/>
        <w:b/>
        <w:color w:val="000000"/>
      </w:rPr>
      <w:fldChar w:fldCharType="begin"/>
    </w:r>
    <w:r>
      <w:rPr>
        <w:rFonts w:ascii="Calibri" w:eastAsia="Calibri" w:hAnsi="Calibri" w:cs="Calibri"/>
        <w:b/>
        <w:color w:val="000000"/>
      </w:rPr>
      <w:instrText>NUMPAGES</w:instrText>
    </w:r>
    <w:r>
      <w:rPr>
        <w:rFonts w:ascii="Calibri" w:eastAsia="Calibri" w:hAnsi="Calibri" w:cs="Calibri"/>
        <w:b/>
        <w:color w:val="000000"/>
      </w:rPr>
      <w:fldChar w:fldCharType="separate"/>
    </w:r>
    <w:r w:rsidR="00A618CE">
      <w:rPr>
        <w:rFonts w:ascii="Calibri" w:eastAsia="Calibri" w:hAnsi="Calibri" w:cs="Calibri"/>
        <w:b/>
        <w:noProof/>
        <w:color w:val="000000"/>
      </w:rPr>
      <w:t>24</w:t>
    </w:r>
    <w:r>
      <w:rPr>
        <w:rFonts w:ascii="Calibri" w:eastAsia="Calibri" w:hAnsi="Calibri" w:cs="Calibri"/>
        <w:b/>
        <w:color w:val="000000"/>
      </w:rPr>
      <w:fldChar w:fldCharType="end"/>
    </w:r>
  </w:p>
  <w:p w14:paraId="68166E71"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B4578"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FE1C2"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26CAF"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10A4E8" w14:textId="77777777" w:rsidR="00323921" w:rsidRDefault="00323921">
      <w:r>
        <w:separator/>
      </w:r>
    </w:p>
  </w:footnote>
  <w:footnote w:type="continuationSeparator" w:id="0">
    <w:p w14:paraId="4304D4DA" w14:textId="77777777" w:rsidR="00323921" w:rsidRDefault="003239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AC028" w14:textId="480E409D" w:rsidR="00334BF8" w:rsidRDefault="00334BF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8240" behindDoc="1" locked="0" layoutInCell="1" hidden="0" allowOverlap="1" wp14:anchorId="0A0F7D05" wp14:editId="6BDEFFE2">
          <wp:simplePos x="0" y="0"/>
          <wp:positionH relativeFrom="column">
            <wp:posOffset>-870324</wp:posOffset>
          </wp:positionH>
          <wp:positionV relativeFrom="paragraph">
            <wp:posOffset>-411592</wp:posOffset>
          </wp:positionV>
          <wp:extent cx="7809876" cy="10165823"/>
          <wp:effectExtent l="0" t="0" r="0" b="0"/>
          <wp:wrapNone/>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14:sizeRelH relativeFrom="margin">
            <wp14:pctWidth>0</wp14:pctWidth>
          </wp14:sizeRelH>
          <wp14:sizeRelV relativeFrom="margin">
            <wp14:pctHeight>0</wp14:pctHeight>
          </wp14:sizeRelV>
        </wp:anchor>
      </w:drawing>
    </w:r>
  </w:p>
  <w:tbl>
    <w:tblPr>
      <w:tblStyle w:val="a3"/>
      <w:tblW w:w="5670" w:type="dxa"/>
      <w:tblInd w:w="3826" w:type="dxa"/>
      <w:tblLayout w:type="fixed"/>
      <w:tblLook w:val="0400" w:firstRow="0" w:lastRow="0" w:firstColumn="0" w:lastColumn="0" w:noHBand="0" w:noVBand="1"/>
    </w:tblPr>
    <w:tblGrid>
      <w:gridCol w:w="2551"/>
      <w:gridCol w:w="3119"/>
    </w:tblGrid>
    <w:tr w:rsidR="00334BF8" w14:paraId="2BEC6C2B" w14:textId="77777777">
      <w:tc>
        <w:tcPr>
          <w:tcW w:w="2551" w:type="dxa"/>
          <w:vAlign w:val="center"/>
        </w:tcPr>
        <w:p w14:paraId="2D6A790D"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68B2BC3D" w14:textId="5164EF2F"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w:t>
          </w:r>
          <w:r w:rsidR="0013107C">
            <w:rPr>
              <w:rFonts w:ascii="Palatino Linotype" w:eastAsia="Palatino Linotype" w:hAnsi="Palatino Linotype" w:cs="Palatino Linotype"/>
              <w:b/>
              <w:sz w:val="22"/>
              <w:szCs w:val="22"/>
            </w:rPr>
            <w:t>5604</w:t>
          </w:r>
          <w:r>
            <w:rPr>
              <w:rFonts w:ascii="Palatino Linotype" w:eastAsia="Palatino Linotype" w:hAnsi="Palatino Linotype" w:cs="Palatino Linotype"/>
              <w:b/>
              <w:sz w:val="22"/>
              <w:szCs w:val="22"/>
            </w:rPr>
            <w:t xml:space="preserve">/INFOEM/IP/RR/2025 </w:t>
          </w:r>
        </w:p>
      </w:tc>
    </w:tr>
    <w:tr w:rsidR="00334BF8" w14:paraId="1C8258F6" w14:textId="77777777">
      <w:trPr>
        <w:trHeight w:val="228"/>
      </w:trPr>
      <w:tc>
        <w:tcPr>
          <w:tcW w:w="2551" w:type="dxa"/>
          <w:vAlign w:val="center"/>
        </w:tcPr>
        <w:p w14:paraId="14E6B14F" w14:textId="712CD7C6" w:rsidR="00E820A2" w:rsidRDefault="00E820A2">
          <w:pPr>
            <w:rPr>
              <w:rFonts w:ascii="Palatino Linotype" w:eastAsia="Palatino Linotype" w:hAnsi="Palatino Linotype" w:cs="Palatino Linotype"/>
              <w:b/>
              <w:sz w:val="22"/>
              <w:szCs w:val="22"/>
            </w:rPr>
          </w:pPr>
          <w:r w:rsidRPr="009713B0">
            <w:rPr>
              <w:rFonts w:ascii="Palatino Linotype" w:eastAsia="Palatino Linotype" w:hAnsi="Palatino Linotype" w:cs="Palatino Linotype"/>
              <w:b/>
              <w:sz w:val="22"/>
              <w:szCs w:val="22"/>
            </w:rPr>
            <w:t>Recurrente:</w:t>
          </w:r>
        </w:p>
        <w:p w14:paraId="68694504" w14:textId="2627BAAC"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119" w:type="dxa"/>
          <w:vAlign w:val="center"/>
        </w:tcPr>
        <w:p w14:paraId="68C4C325" w14:textId="77777777" w:rsidR="00E820A2" w:rsidRDefault="00E820A2">
          <w:pPr>
            <w:tabs>
              <w:tab w:val="left" w:pos="1263"/>
            </w:tabs>
            <w:ind w:right="309"/>
            <w:jc w:val="both"/>
            <w:rPr>
              <w:rFonts w:ascii="Palatino Linotype" w:eastAsia="Palatino Linotype" w:hAnsi="Palatino Linotype" w:cs="Palatino Linotype"/>
              <w:b/>
              <w:sz w:val="22"/>
              <w:szCs w:val="22"/>
            </w:rPr>
          </w:pPr>
        </w:p>
        <w:p w14:paraId="29898A10" w14:textId="5911A12C" w:rsidR="00334BF8" w:rsidRDefault="00E820A2">
          <w:pPr>
            <w:tabs>
              <w:tab w:val="left" w:pos="1263"/>
            </w:tabs>
            <w:ind w:right="309"/>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Instituto Electoral del Estado de México</w:t>
          </w:r>
        </w:p>
      </w:tc>
    </w:tr>
    <w:tr w:rsidR="00334BF8" w14:paraId="13144458" w14:textId="77777777">
      <w:trPr>
        <w:trHeight w:val="228"/>
      </w:trPr>
      <w:tc>
        <w:tcPr>
          <w:tcW w:w="2551" w:type="dxa"/>
          <w:vAlign w:val="center"/>
        </w:tcPr>
        <w:p w14:paraId="4F9BA457" w14:textId="333F0D1C" w:rsidR="00334BF8" w:rsidRPr="009713B0" w:rsidRDefault="00334BF8">
          <w:pPr>
            <w:rPr>
              <w:rFonts w:ascii="Palatino Linotype" w:eastAsia="Palatino Linotype" w:hAnsi="Palatino Linotype" w:cs="Palatino Linotype"/>
              <w:b/>
              <w:sz w:val="22"/>
              <w:szCs w:val="22"/>
            </w:rPr>
          </w:pPr>
        </w:p>
      </w:tc>
      <w:tc>
        <w:tcPr>
          <w:tcW w:w="3119" w:type="dxa"/>
          <w:vAlign w:val="center"/>
        </w:tcPr>
        <w:p w14:paraId="20FC88AE" w14:textId="617E1DB9" w:rsidR="00334BF8" w:rsidRDefault="00334BF8">
          <w:pPr>
            <w:ind w:right="27"/>
            <w:jc w:val="both"/>
            <w:rPr>
              <w:rFonts w:ascii="Palatino Linotype" w:eastAsia="Palatino Linotype" w:hAnsi="Palatino Linotype" w:cs="Palatino Linotype"/>
              <w:b/>
              <w:sz w:val="22"/>
              <w:szCs w:val="22"/>
            </w:rPr>
          </w:pPr>
        </w:p>
      </w:tc>
    </w:tr>
    <w:tr w:rsidR="00334BF8" w14:paraId="6E422FA2" w14:textId="77777777">
      <w:tc>
        <w:tcPr>
          <w:tcW w:w="2551" w:type="dxa"/>
          <w:vAlign w:val="center"/>
        </w:tcPr>
        <w:p w14:paraId="0B8EA23D"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79F2AF76" w14:textId="77777777" w:rsidR="00334BF8" w:rsidRDefault="00334BF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C2A5E19"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EC7A7" w14:textId="77777777" w:rsidR="00334BF8" w:rsidRDefault="00334BF8">
    <w:pPr>
      <w:pBdr>
        <w:top w:val="nil"/>
        <w:left w:val="nil"/>
        <w:bottom w:val="nil"/>
        <w:right w:val="nil"/>
        <w:between w:val="nil"/>
      </w:pBdr>
      <w:tabs>
        <w:tab w:val="center" w:pos="4252"/>
        <w:tab w:val="right" w:pos="8504"/>
      </w:tabs>
      <w:jc w:val="both"/>
      <w:rPr>
        <w:rFonts w:ascii="Calibri" w:eastAsia="Calibri" w:hAnsi="Calibri" w:cs="Calibri"/>
        <w:color w:val="000000"/>
      </w:rPr>
    </w:pPr>
    <w:r>
      <w:rPr>
        <w:noProof/>
        <w:lang w:val="es-MX"/>
      </w:rPr>
      <w:drawing>
        <wp:anchor distT="0" distB="0" distL="0" distR="0" simplePos="0" relativeHeight="251659264" behindDoc="1" locked="0" layoutInCell="1" hidden="0" allowOverlap="1" wp14:anchorId="087BC408" wp14:editId="0F1C1969">
          <wp:simplePos x="0" y="0"/>
          <wp:positionH relativeFrom="column">
            <wp:posOffset>-692783</wp:posOffset>
          </wp:positionH>
          <wp:positionV relativeFrom="paragraph">
            <wp:posOffset>-198752</wp:posOffset>
          </wp:positionV>
          <wp:extent cx="7809876" cy="10165823"/>
          <wp:effectExtent l="0" t="0" r="0" b="0"/>
          <wp:wrapNone/>
          <wp:docPr id="1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4"/>
      <w:tblW w:w="5670" w:type="dxa"/>
      <w:tblInd w:w="3826" w:type="dxa"/>
      <w:tblLayout w:type="fixed"/>
      <w:tblLook w:val="0400" w:firstRow="0" w:lastRow="0" w:firstColumn="0" w:lastColumn="0" w:noHBand="0" w:noVBand="1"/>
    </w:tblPr>
    <w:tblGrid>
      <w:gridCol w:w="2551"/>
      <w:gridCol w:w="3119"/>
    </w:tblGrid>
    <w:tr w:rsidR="00334BF8" w14:paraId="007557E5" w14:textId="77777777">
      <w:tc>
        <w:tcPr>
          <w:tcW w:w="2551" w:type="dxa"/>
          <w:vAlign w:val="center"/>
        </w:tcPr>
        <w:p w14:paraId="209E4163"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119" w:type="dxa"/>
          <w:vAlign w:val="center"/>
        </w:tcPr>
        <w:p w14:paraId="723F4635" w14:textId="77777777"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05044/INFOEM/IP/RR/2023 </w:t>
          </w:r>
        </w:p>
      </w:tc>
    </w:tr>
    <w:tr w:rsidR="00334BF8" w14:paraId="43EBBBB0" w14:textId="77777777">
      <w:tc>
        <w:tcPr>
          <w:tcW w:w="2551" w:type="dxa"/>
          <w:vAlign w:val="center"/>
        </w:tcPr>
        <w:p w14:paraId="30B98A64" w14:textId="77777777" w:rsidR="00334BF8" w:rsidRDefault="00334BF8">
          <w:pPr>
            <w:ind w:left="35" w:hanging="35"/>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119" w:type="dxa"/>
          <w:vAlign w:val="center"/>
        </w:tcPr>
        <w:p w14:paraId="58FED985" w14:textId="77777777"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ROGELIO ALMAZAN ACOSTA </w:t>
          </w:r>
        </w:p>
      </w:tc>
    </w:tr>
    <w:tr w:rsidR="00334BF8" w14:paraId="2797AF53" w14:textId="77777777">
      <w:trPr>
        <w:trHeight w:val="228"/>
      </w:trPr>
      <w:tc>
        <w:tcPr>
          <w:tcW w:w="2551" w:type="dxa"/>
          <w:vAlign w:val="center"/>
        </w:tcPr>
        <w:p w14:paraId="458C348A"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p w14:paraId="2EC877A9" w14:textId="77777777" w:rsidR="00334BF8" w:rsidRDefault="00334BF8">
          <w:pPr>
            <w:rPr>
              <w:rFonts w:ascii="Palatino Linotype" w:eastAsia="Palatino Linotype" w:hAnsi="Palatino Linotype" w:cs="Palatino Linotype"/>
              <w:b/>
              <w:sz w:val="22"/>
              <w:szCs w:val="22"/>
            </w:rPr>
          </w:pPr>
        </w:p>
      </w:tc>
      <w:tc>
        <w:tcPr>
          <w:tcW w:w="3119" w:type="dxa"/>
          <w:vAlign w:val="center"/>
        </w:tcPr>
        <w:p w14:paraId="5BA36CF4" w14:textId="77777777" w:rsidR="00334BF8" w:rsidRDefault="00334BF8">
          <w:pPr>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 xml:space="preserve">Ayuntamiento de Cuautitlán Izcalli </w:t>
          </w:r>
        </w:p>
      </w:tc>
    </w:tr>
    <w:tr w:rsidR="00334BF8" w14:paraId="16C18BEF" w14:textId="77777777">
      <w:tc>
        <w:tcPr>
          <w:tcW w:w="2551" w:type="dxa"/>
          <w:vAlign w:val="center"/>
        </w:tcPr>
        <w:p w14:paraId="012DBF19" w14:textId="77777777" w:rsidR="00334BF8" w:rsidRDefault="00334BF8">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119" w:type="dxa"/>
          <w:vAlign w:val="center"/>
        </w:tcPr>
        <w:p w14:paraId="5308E18C" w14:textId="77777777" w:rsidR="00334BF8" w:rsidRDefault="00334BF8">
          <w:pPr>
            <w:ind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1A220720" w14:textId="77777777" w:rsidR="00334BF8" w:rsidRDefault="00334BF8">
    <w:pPr>
      <w:pBdr>
        <w:top w:val="nil"/>
        <w:left w:val="nil"/>
        <w:bottom w:val="nil"/>
        <w:right w:val="nil"/>
        <w:between w:val="nil"/>
      </w:pBdr>
      <w:tabs>
        <w:tab w:val="center" w:pos="4252"/>
        <w:tab w:val="right" w:pos="8504"/>
        <w:tab w:val="left" w:pos="6210"/>
      </w:tabs>
      <w:rPr>
        <w:rFonts w:ascii="Calibri" w:eastAsia="Calibri" w:hAnsi="Calibri" w:cs="Calibri"/>
        <w:color w:val="000000"/>
      </w:rPr>
    </w:pPr>
    <w:r>
      <w:rPr>
        <w:rFonts w:ascii="Calibri" w:eastAsia="Calibri" w:hAnsi="Calibri" w:cs="Calibri"/>
        <w:color w:val="00000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AE385"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5EA8CC"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2FFCD" w14:textId="77777777" w:rsidR="00334BF8" w:rsidRDefault="00334BF8">
    <w:pPr>
      <w:pBdr>
        <w:top w:val="nil"/>
        <w:left w:val="nil"/>
        <w:bottom w:val="nil"/>
        <w:right w:val="nil"/>
        <w:between w:val="nil"/>
      </w:pBdr>
      <w:tabs>
        <w:tab w:val="center" w:pos="4252"/>
        <w:tab w:val="right" w:pos="8504"/>
      </w:tabs>
      <w:jc w:val="both"/>
      <w:rPr>
        <w:rFonts w:ascii="Calibri" w:eastAsia="Calibri" w:hAnsi="Calibri" w:cs="Calibri"/>
        <w:color w:val="000000"/>
      </w:rPr>
    </w:pPr>
  </w:p>
  <w:p w14:paraId="259C5768" w14:textId="77777777" w:rsidR="00334BF8" w:rsidRDefault="00334BF8">
    <w:pPr>
      <w:pBdr>
        <w:top w:val="nil"/>
        <w:left w:val="nil"/>
        <w:bottom w:val="nil"/>
        <w:right w:val="nil"/>
        <w:between w:val="nil"/>
      </w:pBdr>
      <w:tabs>
        <w:tab w:val="center" w:pos="4252"/>
        <w:tab w:val="right" w:pos="8504"/>
      </w:tabs>
      <w:rPr>
        <w:rFonts w:ascii="Calibri" w:eastAsia="Calibri" w:hAnsi="Calibri" w:cs="Calibri"/>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E74327"/>
    <w:multiLevelType w:val="multilevel"/>
    <w:tmpl w:val="094ADCF0"/>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00A2E26"/>
    <w:multiLevelType w:val="multilevel"/>
    <w:tmpl w:val="4DA8B6E0"/>
    <w:lvl w:ilvl="0">
      <w:numFmt w:val="bullet"/>
      <w:lvlText w:val="•"/>
      <w:lvlJc w:val="left"/>
      <w:pPr>
        <w:ind w:left="1080" w:hanging="72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C94297E"/>
    <w:multiLevelType w:val="multilevel"/>
    <w:tmpl w:val="0F2085B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49D10F8C"/>
    <w:multiLevelType w:val="multilevel"/>
    <w:tmpl w:val="45A6470A"/>
    <w:lvl w:ilvl="0">
      <w:start w:val="5"/>
      <w:numFmt w:val="bullet"/>
      <w:lvlText w:val="-"/>
      <w:lvlJc w:val="left"/>
      <w:pPr>
        <w:ind w:left="720" w:hanging="360"/>
      </w:pPr>
      <w:rPr>
        <w:rFonts w:ascii="Palatino Linotype" w:eastAsia="Palatino Linotype" w:hAnsi="Palatino Linotype" w:cs="Palatino Linotype"/>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BFE108B"/>
    <w:multiLevelType w:val="multilevel"/>
    <w:tmpl w:val="9A94C2B8"/>
    <w:lvl w:ilvl="0">
      <w:start w:val="1"/>
      <w:numFmt w:val="upperRoman"/>
      <w:lvlText w:val="%1."/>
      <w:lvlJc w:val="right"/>
      <w:pPr>
        <w:ind w:left="1077" w:hanging="360"/>
      </w:pPr>
    </w:lvl>
    <w:lvl w:ilvl="1">
      <w:start w:val="1"/>
      <w:numFmt w:val="decimal"/>
      <w:lvlText w:val="%2."/>
      <w:lvlJc w:val="left"/>
      <w:pPr>
        <w:ind w:left="1797" w:hanging="360"/>
      </w:pPr>
    </w:lvl>
    <w:lvl w:ilvl="2">
      <w:start w:val="1"/>
      <w:numFmt w:val="lowerRoman"/>
      <w:lvlText w:val="%3."/>
      <w:lvlJc w:val="right"/>
      <w:pPr>
        <w:ind w:left="2517" w:hanging="180"/>
      </w:pPr>
    </w:lvl>
    <w:lvl w:ilvl="3">
      <w:start w:val="1"/>
      <w:numFmt w:val="decimal"/>
      <w:lvlText w:val="%4."/>
      <w:lvlJc w:val="left"/>
      <w:pPr>
        <w:ind w:left="3237" w:hanging="360"/>
      </w:pPr>
    </w:lvl>
    <w:lvl w:ilvl="4">
      <w:start w:val="1"/>
      <w:numFmt w:val="lowerLetter"/>
      <w:lvlText w:val="%5."/>
      <w:lvlJc w:val="left"/>
      <w:pPr>
        <w:ind w:left="3957" w:hanging="360"/>
      </w:pPr>
    </w:lvl>
    <w:lvl w:ilvl="5">
      <w:start w:val="1"/>
      <w:numFmt w:val="lowerRoman"/>
      <w:lvlText w:val="%6."/>
      <w:lvlJc w:val="right"/>
      <w:pPr>
        <w:ind w:left="4677" w:hanging="180"/>
      </w:pPr>
    </w:lvl>
    <w:lvl w:ilvl="6">
      <w:start w:val="1"/>
      <w:numFmt w:val="decimal"/>
      <w:lvlText w:val="%7."/>
      <w:lvlJc w:val="left"/>
      <w:pPr>
        <w:ind w:left="5397" w:hanging="360"/>
      </w:pPr>
    </w:lvl>
    <w:lvl w:ilvl="7">
      <w:start w:val="1"/>
      <w:numFmt w:val="lowerLetter"/>
      <w:lvlText w:val="%8."/>
      <w:lvlJc w:val="left"/>
      <w:pPr>
        <w:ind w:left="6117" w:hanging="360"/>
      </w:pPr>
    </w:lvl>
    <w:lvl w:ilvl="8">
      <w:start w:val="1"/>
      <w:numFmt w:val="lowerRoman"/>
      <w:lvlText w:val="%9."/>
      <w:lvlJc w:val="right"/>
      <w:pPr>
        <w:ind w:left="6837" w:hanging="180"/>
      </w:pPr>
    </w:lvl>
  </w:abstractNum>
  <w:abstractNum w:abstractNumId="5" w15:restartNumberingAfterBreak="0">
    <w:nsid w:val="576A409F"/>
    <w:multiLevelType w:val="hybridMultilevel"/>
    <w:tmpl w:val="9290038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8BC7F5E"/>
    <w:multiLevelType w:val="multilevel"/>
    <w:tmpl w:val="1CB6DAC6"/>
    <w:lvl w:ilvl="0">
      <w:start w:val="1"/>
      <w:numFmt w:val="decimal"/>
      <w:lvlText w:val="%1."/>
      <w:lvlJc w:val="left"/>
      <w:pPr>
        <w:ind w:left="720" w:hanging="360"/>
      </w:pPr>
      <w:rPr>
        <w:b/>
      </w:r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8DD"/>
    <w:rsid w:val="000760B7"/>
    <w:rsid w:val="000B03BB"/>
    <w:rsid w:val="000F1A82"/>
    <w:rsid w:val="00100E92"/>
    <w:rsid w:val="00102929"/>
    <w:rsid w:val="0013107C"/>
    <w:rsid w:val="00181BDF"/>
    <w:rsid w:val="001B1B82"/>
    <w:rsid w:val="001C5BA8"/>
    <w:rsid w:val="001C70A2"/>
    <w:rsid w:val="0021414E"/>
    <w:rsid w:val="00250DF9"/>
    <w:rsid w:val="00253CC2"/>
    <w:rsid w:val="002A0608"/>
    <w:rsid w:val="002A59DB"/>
    <w:rsid w:val="002F3E4A"/>
    <w:rsid w:val="003179D4"/>
    <w:rsid w:val="00320E12"/>
    <w:rsid w:val="00323921"/>
    <w:rsid w:val="00334BF8"/>
    <w:rsid w:val="003B785F"/>
    <w:rsid w:val="003C6F9D"/>
    <w:rsid w:val="003D7CB3"/>
    <w:rsid w:val="00404076"/>
    <w:rsid w:val="00444B85"/>
    <w:rsid w:val="00471517"/>
    <w:rsid w:val="00497B56"/>
    <w:rsid w:val="004B67BF"/>
    <w:rsid w:val="004D2C07"/>
    <w:rsid w:val="004D303A"/>
    <w:rsid w:val="004D740E"/>
    <w:rsid w:val="004E4B99"/>
    <w:rsid w:val="004F3CE0"/>
    <w:rsid w:val="0050796D"/>
    <w:rsid w:val="005349F0"/>
    <w:rsid w:val="00566796"/>
    <w:rsid w:val="00581E00"/>
    <w:rsid w:val="005B1F71"/>
    <w:rsid w:val="005B66A6"/>
    <w:rsid w:val="005B68DD"/>
    <w:rsid w:val="005E0F26"/>
    <w:rsid w:val="006169BF"/>
    <w:rsid w:val="00622561"/>
    <w:rsid w:val="00630CDA"/>
    <w:rsid w:val="00632E4F"/>
    <w:rsid w:val="00643F3E"/>
    <w:rsid w:val="00692BCF"/>
    <w:rsid w:val="006F42C2"/>
    <w:rsid w:val="00700C88"/>
    <w:rsid w:val="00707CA3"/>
    <w:rsid w:val="00714A90"/>
    <w:rsid w:val="00734424"/>
    <w:rsid w:val="00737DB9"/>
    <w:rsid w:val="0079291C"/>
    <w:rsid w:val="00794420"/>
    <w:rsid w:val="00825478"/>
    <w:rsid w:val="00831447"/>
    <w:rsid w:val="00857F21"/>
    <w:rsid w:val="008A4FDF"/>
    <w:rsid w:val="008B3711"/>
    <w:rsid w:val="008B796C"/>
    <w:rsid w:val="008D1256"/>
    <w:rsid w:val="008D1766"/>
    <w:rsid w:val="00924DAC"/>
    <w:rsid w:val="00925643"/>
    <w:rsid w:val="009355CC"/>
    <w:rsid w:val="0093708B"/>
    <w:rsid w:val="009713B0"/>
    <w:rsid w:val="00972404"/>
    <w:rsid w:val="00990F7B"/>
    <w:rsid w:val="00996C39"/>
    <w:rsid w:val="009A1059"/>
    <w:rsid w:val="009D27DC"/>
    <w:rsid w:val="00A57AF2"/>
    <w:rsid w:val="00A618CE"/>
    <w:rsid w:val="00A835F9"/>
    <w:rsid w:val="00AC3F69"/>
    <w:rsid w:val="00AC7749"/>
    <w:rsid w:val="00AE1EDE"/>
    <w:rsid w:val="00B01E7D"/>
    <w:rsid w:val="00B27686"/>
    <w:rsid w:val="00B27722"/>
    <w:rsid w:val="00B46227"/>
    <w:rsid w:val="00B60790"/>
    <w:rsid w:val="00C01A59"/>
    <w:rsid w:val="00C14834"/>
    <w:rsid w:val="00C45235"/>
    <w:rsid w:val="00C6540C"/>
    <w:rsid w:val="00C66CEA"/>
    <w:rsid w:val="00CC164D"/>
    <w:rsid w:val="00CC7B1A"/>
    <w:rsid w:val="00CD28A2"/>
    <w:rsid w:val="00CE039E"/>
    <w:rsid w:val="00CF0A17"/>
    <w:rsid w:val="00D11290"/>
    <w:rsid w:val="00D33654"/>
    <w:rsid w:val="00DA7D0A"/>
    <w:rsid w:val="00DC0C79"/>
    <w:rsid w:val="00DC1B50"/>
    <w:rsid w:val="00DD081D"/>
    <w:rsid w:val="00DE1CCA"/>
    <w:rsid w:val="00DF2014"/>
    <w:rsid w:val="00E04B76"/>
    <w:rsid w:val="00E24A4E"/>
    <w:rsid w:val="00E820A2"/>
    <w:rsid w:val="00E87488"/>
    <w:rsid w:val="00ED3DAE"/>
    <w:rsid w:val="00ED7BE5"/>
    <w:rsid w:val="00EE1B43"/>
    <w:rsid w:val="00F15896"/>
    <w:rsid w:val="00F61B38"/>
    <w:rsid w:val="00FF643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9E31DA5"/>
  <w15:docId w15:val="{B02748CA-FE98-4351-959C-9F24E68D0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ES"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outlineLvl w:val="2"/>
    </w:pPr>
    <w:rPr>
      <w:b/>
      <w:sz w:val="27"/>
      <w:szCs w:val="27"/>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A972A9"/>
    <w:pPr>
      <w:tabs>
        <w:tab w:val="center" w:pos="4419"/>
        <w:tab w:val="right" w:pos="8838"/>
      </w:tabs>
    </w:pPr>
  </w:style>
  <w:style w:type="character" w:customStyle="1" w:styleId="EncabezadoCar">
    <w:name w:val="Encabezado Car"/>
    <w:basedOn w:val="Fuentedeprrafopredeter"/>
    <w:link w:val="Encabezado"/>
    <w:uiPriority w:val="99"/>
    <w:rsid w:val="00A972A9"/>
  </w:style>
  <w:style w:type="paragraph" w:styleId="Piedepgina">
    <w:name w:val="footer"/>
    <w:basedOn w:val="Normal"/>
    <w:link w:val="PiedepginaCar"/>
    <w:uiPriority w:val="99"/>
    <w:unhideWhenUsed/>
    <w:rsid w:val="00A972A9"/>
    <w:pPr>
      <w:tabs>
        <w:tab w:val="center" w:pos="4419"/>
        <w:tab w:val="right" w:pos="8838"/>
      </w:tabs>
    </w:pPr>
  </w:style>
  <w:style w:type="character" w:customStyle="1" w:styleId="PiedepginaCar">
    <w:name w:val="Pie de página Car"/>
    <w:basedOn w:val="Fuentedeprrafopredeter"/>
    <w:link w:val="Piedepgina"/>
    <w:uiPriority w:val="99"/>
    <w:rsid w:val="00A972A9"/>
  </w:style>
  <w:style w:type="paragraph" w:styleId="Sinespaciado">
    <w:name w:val="No Spacing"/>
    <w:aliases w:val="Francesa,INAI"/>
    <w:link w:val="SinespaciadoCar"/>
    <w:uiPriority w:val="1"/>
    <w:qFormat/>
    <w:rsid w:val="00D73018"/>
    <w:rPr>
      <w:lang w:eastAsia="es-ES"/>
    </w:rPr>
  </w:style>
  <w:style w:type="character" w:customStyle="1" w:styleId="SinespaciadoCar">
    <w:name w:val="Sin espaciado Car"/>
    <w:aliases w:val="Francesa Car,INAI Car"/>
    <w:link w:val="Sinespaciado"/>
    <w:uiPriority w:val="1"/>
    <w:locked/>
    <w:rsid w:val="00D73018"/>
    <w:rPr>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75FA3"/>
    <w:pPr>
      <w:spacing w:after="160" w:line="259" w:lineRule="auto"/>
      <w:ind w:left="720"/>
      <w:contextualSpacing/>
    </w:pPr>
    <w:rPr>
      <w:rFonts w:ascii="Calibri" w:eastAsia="Calibri" w:hAnsi="Calibri" w:cs="Calibri"/>
      <w:sz w:val="22"/>
      <w:szCs w:val="22"/>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75FA3"/>
    <w:rPr>
      <w:rFonts w:ascii="Calibri" w:eastAsia="Calibri" w:hAnsi="Calibri" w:cs="Calibri"/>
      <w:sz w:val="22"/>
      <w:szCs w:val="22"/>
      <w:lang w:val="es-MX"/>
    </w:rPr>
  </w:style>
  <w:style w:type="table" w:styleId="Tablaconcuadrcula">
    <w:name w:val="Table Grid"/>
    <w:basedOn w:val="Tablanormal"/>
    <w:uiPriority w:val="39"/>
    <w:rsid w:val="008777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15" w:type="dxa"/>
        <w:right w:w="115" w:type="dxa"/>
      </w:tblCellMar>
    </w:tblPr>
  </w:style>
  <w:style w:type="table" w:customStyle="1" w:styleId="a4">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825478"/>
    <w:pPr>
      <w:spacing w:before="100" w:beforeAutospacing="1" w:after="100" w:afterAutospacing="1"/>
    </w:pPr>
    <w:rPr>
      <w:lang w:val="es-MX"/>
    </w:rPr>
  </w:style>
  <w:style w:type="character" w:styleId="Hipervnculo">
    <w:name w:val="Hyperlink"/>
    <w:basedOn w:val="Fuentedeprrafopredeter"/>
    <w:uiPriority w:val="99"/>
    <w:unhideWhenUsed/>
    <w:rsid w:val="00B27686"/>
    <w:rPr>
      <w:color w:val="0000FF" w:themeColor="hyperlink"/>
      <w:u w:val="single"/>
    </w:rPr>
  </w:style>
  <w:style w:type="character" w:customStyle="1" w:styleId="Mencinsinresolver1">
    <w:name w:val="Mención sin resolver1"/>
    <w:basedOn w:val="Fuentedeprrafopredeter"/>
    <w:uiPriority w:val="99"/>
    <w:semiHidden/>
    <w:unhideWhenUsed/>
    <w:rsid w:val="00B27686"/>
    <w:rPr>
      <w:color w:val="605E5C"/>
      <w:shd w:val="clear" w:color="auto" w:fill="E1DFDD"/>
    </w:rPr>
  </w:style>
  <w:style w:type="character" w:styleId="Textoennegrita">
    <w:name w:val="Strong"/>
    <w:basedOn w:val="Fuentedeprrafopredeter"/>
    <w:uiPriority w:val="22"/>
    <w:qFormat/>
    <w:rsid w:val="00EE1B43"/>
    <w:rPr>
      <w:b/>
      <w:bCs/>
    </w:rPr>
  </w:style>
  <w:style w:type="character" w:styleId="Refdecomentario">
    <w:name w:val="annotation reference"/>
    <w:basedOn w:val="Fuentedeprrafopredeter"/>
    <w:uiPriority w:val="99"/>
    <w:semiHidden/>
    <w:unhideWhenUsed/>
    <w:rsid w:val="0021414E"/>
    <w:rPr>
      <w:sz w:val="16"/>
      <w:szCs w:val="16"/>
    </w:rPr>
  </w:style>
  <w:style w:type="paragraph" w:styleId="Textocomentario">
    <w:name w:val="annotation text"/>
    <w:basedOn w:val="Normal"/>
    <w:link w:val="TextocomentarioCar"/>
    <w:uiPriority w:val="99"/>
    <w:semiHidden/>
    <w:unhideWhenUsed/>
    <w:rsid w:val="0021414E"/>
    <w:rPr>
      <w:sz w:val="20"/>
      <w:szCs w:val="20"/>
    </w:rPr>
  </w:style>
  <w:style w:type="character" w:customStyle="1" w:styleId="TextocomentarioCar">
    <w:name w:val="Texto comentario Car"/>
    <w:basedOn w:val="Fuentedeprrafopredeter"/>
    <w:link w:val="Textocomentario"/>
    <w:uiPriority w:val="99"/>
    <w:semiHidden/>
    <w:rsid w:val="0021414E"/>
    <w:rPr>
      <w:sz w:val="20"/>
      <w:szCs w:val="20"/>
    </w:rPr>
  </w:style>
  <w:style w:type="paragraph" w:styleId="Asuntodelcomentario">
    <w:name w:val="annotation subject"/>
    <w:basedOn w:val="Textocomentario"/>
    <w:next w:val="Textocomentario"/>
    <w:link w:val="AsuntodelcomentarioCar"/>
    <w:uiPriority w:val="99"/>
    <w:semiHidden/>
    <w:unhideWhenUsed/>
    <w:rsid w:val="0021414E"/>
    <w:rPr>
      <w:b/>
      <w:bCs/>
    </w:rPr>
  </w:style>
  <w:style w:type="character" w:customStyle="1" w:styleId="AsuntodelcomentarioCar">
    <w:name w:val="Asunto del comentario Car"/>
    <w:basedOn w:val="TextocomentarioCar"/>
    <w:link w:val="Asuntodelcomentario"/>
    <w:uiPriority w:val="99"/>
    <w:semiHidden/>
    <w:rsid w:val="0021414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49729">
      <w:bodyDiv w:val="1"/>
      <w:marLeft w:val="0"/>
      <w:marRight w:val="0"/>
      <w:marTop w:val="0"/>
      <w:marBottom w:val="0"/>
      <w:divBdr>
        <w:top w:val="none" w:sz="0" w:space="0" w:color="auto"/>
        <w:left w:val="none" w:sz="0" w:space="0" w:color="auto"/>
        <w:bottom w:val="none" w:sz="0" w:space="0" w:color="auto"/>
        <w:right w:val="none" w:sz="0" w:space="0" w:color="auto"/>
      </w:divBdr>
    </w:div>
    <w:div w:id="71780667">
      <w:bodyDiv w:val="1"/>
      <w:marLeft w:val="0"/>
      <w:marRight w:val="0"/>
      <w:marTop w:val="0"/>
      <w:marBottom w:val="0"/>
      <w:divBdr>
        <w:top w:val="none" w:sz="0" w:space="0" w:color="auto"/>
        <w:left w:val="none" w:sz="0" w:space="0" w:color="auto"/>
        <w:bottom w:val="none" w:sz="0" w:space="0" w:color="auto"/>
        <w:right w:val="none" w:sz="0" w:space="0" w:color="auto"/>
      </w:divBdr>
    </w:div>
    <w:div w:id="78599036">
      <w:bodyDiv w:val="1"/>
      <w:marLeft w:val="0"/>
      <w:marRight w:val="0"/>
      <w:marTop w:val="0"/>
      <w:marBottom w:val="0"/>
      <w:divBdr>
        <w:top w:val="none" w:sz="0" w:space="0" w:color="auto"/>
        <w:left w:val="none" w:sz="0" w:space="0" w:color="auto"/>
        <w:bottom w:val="none" w:sz="0" w:space="0" w:color="auto"/>
        <w:right w:val="none" w:sz="0" w:space="0" w:color="auto"/>
      </w:divBdr>
    </w:div>
    <w:div w:id="214239110">
      <w:bodyDiv w:val="1"/>
      <w:marLeft w:val="0"/>
      <w:marRight w:val="0"/>
      <w:marTop w:val="0"/>
      <w:marBottom w:val="0"/>
      <w:divBdr>
        <w:top w:val="none" w:sz="0" w:space="0" w:color="auto"/>
        <w:left w:val="none" w:sz="0" w:space="0" w:color="auto"/>
        <w:bottom w:val="none" w:sz="0" w:space="0" w:color="auto"/>
        <w:right w:val="none" w:sz="0" w:space="0" w:color="auto"/>
      </w:divBdr>
    </w:div>
    <w:div w:id="231473683">
      <w:bodyDiv w:val="1"/>
      <w:marLeft w:val="0"/>
      <w:marRight w:val="0"/>
      <w:marTop w:val="0"/>
      <w:marBottom w:val="0"/>
      <w:divBdr>
        <w:top w:val="none" w:sz="0" w:space="0" w:color="auto"/>
        <w:left w:val="none" w:sz="0" w:space="0" w:color="auto"/>
        <w:bottom w:val="none" w:sz="0" w:space="0" w:color="auto"/>
        <w:right w:val="none" w:sz="0" w:space="0" w:color="auto"/>
      </w:divBdr>
    </w:div>
    <w:div w:id="389428338">
      <w:bodyDiv w:val="1"/>
      <w:marLeft w:val="0"/>
      <w:marRight w:val="0"/>
      <w:marTop w:val="0"/>
      <w:marBottom w:val="0"/>
      <w:divBdr>
        <w:top w:val="none" w:sz="0" w:space="0" w:color="auto"/>
        <w:left w:val="none" w:sz="0" w:space="0" w:color="auto"/>
        <w:bottom w:val="none" w:sz="0" w:space="0" w:color="auto"/>
        <w:right w:val="none" w:sz="0" w:space="0" w:color="auto"/>
      </w:divBdr>
    </w:div>
    <w:div w:id="437796930">
      <w:bodyDiv w:val="1"/>
      <w:marLeft w:val="0"/>
      <w:marRight w:val="0"/>
      <w:marTop w:val="0"/>
      <w:marBottom w:val="0"/>
      <w:divBdr>
        <w:top w:val="none" w:sz="0" w:space="0" w:color="auto"/>
        <w:left w:val="none" w:sz="0" w:space="0" w:color="auto"/>
        <w:bottom w:val="none" w:sz="0" w:space="0" w:color="auto"/>
        <w:right w:val="none" w:sz="0" w:space="0" w:color="auto"/>
      </w:divBdr>
    </w:div>
    <w:div w:id="454719992">
      <w:bodyDiv w:val="1"/>
      <w:marLeft w:val="0"/>
      <w:marRight w:val="0"/>
      <w:marTop w:val="0"/>
      <w:marBottom w:val="0"/>
      <w:divBdr>
        <w:top w:val="none" w:sz="0" w:space="0" w:color="auto"/>
        <w:left w:val="none" w:sz="0" w:space="0" w:color="auto"/>
        <w:bottom w:val="none" w:sz="0" w:space="0" w:color="auto"/>
        <w:right w:val="none" w:sz="0" w:space="0" w:color="auto"/>
      </w:divBdr>
    </w:div>
    <w:div w:id="760881840">
      <w:bodyDiv w:val="1"/>
      <w:marLeft w:val="0"/>
      <w:marRight w:val="0"/>
      <w:marTop w:val="0"/>
      <w:marBottom w:val="0"/>
      <w:divBdr>
        <w:top w:val="none" w:sz="0" w:space="0" w:color="auto"/>
        <w:left w:val="none" w:sz="0" w:space="0" w:color="auto"/>
        <w:bottom w:val="none" w:sz="0" w:space="0" w:color="auto"/>
        <w:right w:val="none" w:sz="0" w:space="0" w:color="auto"/>
      </w:divBdr>
    </w:div>
    <w:div w:id="838499883">
      <w:bodyDiv w:val="1"/>
      <w:marLeft w:val="0"/>
      <w:marRight w:val="0"/>
      <w:marTop w:val="0"/>
      <w:marBottom w:val="0"/>
      <w:divBdr>
        <w:top w:val="none" w:sz="0" w:space="0" w:color="auto"/>
        <w:left w:val="none" w:sz="0" w:space="0" w:color="auto"/>
        <w:bottom w:val="none" w:sz="0" w:space="0" w:color="auto"/>
        <w:right w:val="none" w:sz="0" w:space="0" w:color="auto"/>
      </w:divBdr>
    </w:div>
    <w:div w:id="847987901">
      <w:bodyDiv w:val="1"/>
      <w:marLeft w:val="0"/>
      <w:marRight w:val="0"/>
      <w:marTop w:val="0"/>
      <w:marBottom w:val="0"/>
      <w:divBdr>
        <w:top w:val="none" w:sz="0" w:space="0" w:color="auto"/>
        <w:left w:val="none" w:sz="0" w:space="0" w:color="auto"/>
        <w:bottom w:val="none" w:sz="0" w:space="0" w:color="auto"/>
        <w:right w:val="none" w:sz="0" w:space="0" w:color="auto"/>
      </w:divBdr>
    </w:div>
    <w:div w:id="953514096">
      <w:bodyDiv w:val="1"/>
      <w:marLeft w:val="0"/>
      <w:marRight w:val="0"/>
      <w:marTop w:val="0"/>
      <w:marBottom w:val="0"/>
      <w:divBdr>
        <w:top w:val="none" w:sz="0" w:space="0" w:color="auto"/>
        <w:left w:val="none" w:sz="0" w:space="0" w:color="auto"/>
        <w:bottom w:val="none" w:sz="0" w:space="0" w:color="auto"/>
        <w:right w:val="none" w:sz="0" w:space="0" w:color="auto"/>
      </w:divBdr>
    </w:div>
    <w:div w:id="1020670181">
      <w:bodyDiv w:val="1"/>
      <w:marLeft w:val="0"/>
      <w:marRight w:val="0"/>
      <w:marTop w:val="0"/>
      <w:marBottom w:val="0"/>
      <w:divBdr>
        <w:top w:val="none" w:sz="0" w:space="0" w:color="auto"/>
        <w:left w:val="none" w:sz="0" w:space="0" w:color="auto"/>
        <w:bottom w:val="none" w:sz="0" w:space="0" w:color="auto"/>
        <w:right w:val="none" w:sz="0" w:space="0" w:color="auto"/>
      </w:divBdr>
    </w:div>
    <w:div w:id="1035696808">
      <w:bodyDiv w:val="1"/>
      <w:marLeft w:val="0"/>
      <w:marRight w:val="0"/>
      <w:marTop w:val="0"/>
      <w:marBottom w:val="0"/>
      <w:divBdr>
        <w:top w:val="none" w:sz="0" w:space="0" w:color="auto"/>
        <w:left w:val="none" w:sz="0" w:space="0" w:color="auto"/>
        <w:bottom w:val="none" w:sz="0" w:space="0" w:color="auto"/>
        <w:right w:val="none" w:sz="0" w:space="0" w:color="auto"/>
      </w:divBdr>
    </w:div>
    <w:div w:id="1068453972">
      <w:bodyDiv w:val="1"/>
      <w:marLeft w:val="0"/>
      <w:marRight w:val="0"/>
      <w:marTop w:val="0"/>
      <w:marBottom w:val="0"/>
      <w:divBdr>
        <w:top w:val="none" w:sz="0" w:space="0" w:color="auto"/>
        <w:left w:val="none" w:sz="0" w:space="0" w:color="auto"/>
        <w:bottom w:val="none" w:sz="0" w:space="0" w:color="auto"/>
        <w:right w:val="none" w:sz="0" w:space="0" w:color="auto"/>
      </w:divBdr>
    </w:div>
    <w:div w:id="1161504601">
      <w:bodyDiv w:val="1"/>
      <w:marLeft w:val="0"/>
      <w:marRight w:val="0"/>
      <w:marTop w:val="0"/>
      <w:marBottom w:val="0"/>
      <w:divBdr>
        <w:top w:val="none" w:sz="0" w:space="0" w:color="auto"/>
        <w:left w:val="none" w:sz="0" w:space="0" w:color="auto"/>
        <w:bottom w:val="none" w:sz="0" w:space="0" w:color="auto"/>
        <w:right w:val="none" w:sz="0" w:space="0" w:color="auto"/>
      </w:divBdr>
    </w:div>
    <w:div w:id="1209873665">
      <w:bodyDiv w:val="1"/>
      <w:marLeft w:val="0"/>
      <w:marRight w:val="0"/>
      <w:marTop w:val="0"/>
      <w:marBottom w:val="0"/>
      <w:divBdr>
        <w:top w:val="none" w:sz="0" w:space="0" w:color="auto"/>
        <w:left w:val="none" w:sz="0" w:space="0" w:color="auto"/>
        <w:bottom w:val="none" w:sz="0" w:space="0" w:color="auto"/>
        <w:right w:val="none" w:sz="0" w:space="0" w:color="auto"/>
      </w:divBdr>
    </w:div>
    <w:div w:id="1264611812">
      <w:bodyDiv w:val="1"/>
      <w:marLeft w:val="0"/>
      <w:marRight w:val="0"/>
      <w:marTop w:val="0"/>
      <w:marBottom w:val="0"/>
      <w:divBdr>
        <w:top w:val="none" w:sz="0" w:space="0" w:color="auto"/>
        <w:left w:val="none" w:sz="0" w:space="0" w:color="auto"/>
        <w:bottom w:val="none" w:sz="0" w:space="0" w:color="auto"/>
        <w:right w:val="none" w:sz="0" w:space="0" w:color="auto"/>
      </w:divBdr>
    </w:div>
    <w:div w:id="1329552048">
      <w:bodyDiv w:val="1"/>
      <w:marLeft w:val="0"/>
      <w:marRight w:val="0"/>
      <w:marTop w:val="0"/>
      <w:marBottom w:val="0"/>
      <w:divBdr>
        <w:top w:val="none" w:sz="0" w:space="0" w:color="auto"/>
        <w:left w:val="none" w:sz="0" w:space="0" w:color="auto"/>
        <w:bottom w:val="none" w:sz="0" w:space="0" w:color="auto"/>
        <w:right w:val="none" w:sz="0" w:space="0" w:color="auto"/>
      </w:divBdr>
    </w:div>
    <w:div w:id="1425803378">
      <w:bodyDiv w:val="1"/>
      <w:marLeft w:val="0"/>
      <w:marRight w:val="0"/>
      <w:marTop w:val="0"/>
      <w:marBottom w:val="0"/>
      <w:divBdr>
        <w:top w:val="none" w:sz="0" w:space="0" w:color="auto"/>
        <w:left w:val="none" w:sz="0" w:space="0" w:color="auto"/>
        <w:bottom w:val="none" w:sz="0" w:space="0" w:color="auto"/>
        <w:right w:val="none" w:sz="0" w:space="0" w:color="auto"/>
      </w:divBdr>
    </w:div>
    <w:div w:id="1752045575">
      <w:bodyDiv w:val="1"/>
      <w:marLeft w:val="0"/>
      <w:marRight w:val="0"/>
      <w:marTop w:val="0"/>
      <w:marBottom w:val="0"/>
      <w:divBdr>
        <w:top w:val="none" w:sz="0" w:space="0" w:color="auto"/>
        <w:left w:val="none" w:sz="0" w:space="0" w:color="auto"/>
        <w:bottom w:val="none" w:sz="0" w:space="0" w:color="auto"/>
        <w:right w:val="none" w:sz="0" w:space="0" w:color="auto"/>
      </w:divBdr>
    </w:div>
    <w:div w:id="20079791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aimex.org.mx/saimex/solicitud/downloadAttach/2460045.page" TargetMode="External"/><Relationship Id="rId18" Type="http://schemas.openxmlformats.org/officeDocument/2006/relationships/header" Target="head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hyperlink" Target="https://saimex.org.mx/saimex/solicitud/downloadAttach/2445587.page" TargetMode="External"/><Relationship Id="rId17" Type="http://schemas.openxmlformats.org/officeDocument/2006/relationships/footer" Target="footer1.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saimex.org.mx/saimex/solicitud/downloadAttach/2440753.page" TargetMode="Externa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2.png"/><Relationship Id="rId23" Type="http://schemas.openxmlformats.org/officeDocument/2006/relationships/footer" Target="footer4.xml"/><Relationship Id="rId10" Type="http://schemas.openxmlformats.org/officeDocument/2006/relationships/hyperlink" Target="https://saimex.org.mx/saimex/solicitud/downloadAttach/2440752.page" TargetMode="External"/><Relationship Id="rId19" Type="http://schemas.openxmlformats.org/officeDocument/2006/relationships/footer" Target="footer2.xml"/><Relationship Id="rId4" Type="http://schemas.openxmlformats.org/officeDocument/2006/relationships/styles" Target="styles.xml"/><Relationship Id="rId9" Type="http://schemas.openxmlformats.org/officeDocument/2006/relationships/hyperlink" Target="https://saimex.org.mx/saimex/solicitud/downloadAttach/2440751.page" TargetMode="External"/><Relationship Id="rId14" Type="http://schemas.openxmlformats.org/officeDocument/2006/relationships/image" Target="media/image1.png"/><Relationship Id="rId22" Type="http://schemas.openxmlformats.org/officeDocument/2006/relationships/footer" Target="footer3.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juNqfo0JWWRSViHtOvUyclRCzNw==">CgMxLjAyCWguM3pueXNoNzIIaC5namRneHMyCWguMzBqMHpsbDIOaC51ZHZpOXQ3ZnVmcWc4AHIhMTNZYmtnUEs2VUZTOTdFYmhtZDBBN0dmWE5MTTdIREZP</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29F9E9-7051-48A5-A17F-6412493E5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6257</Words>
  <Characters>34416</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Maricela Villagómez Martínez</cp:lastModifiedBy>
  <cp:revision>2</cp:revision>
  <cp:lastPrinted>2025-08-08T20:25:00Z</cp:lastPrinted>
  <dcterms:created xsi:type="dcterms:W3CDTF">2025-09-03T18:05:00Z</dcterms:created>
  <dcterms:modified xsi:type="dcterms:W3CDTF">2025-09-03T18:05:00Z</dcterms:modified>
</cp:coreProperties>
</file>