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veinte de agosto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05539/INFOEM/IP/RR/2025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color w:val="000000"/>
          <w:rtl w:val="0"/>
        </w:rPr>
        <w:t xml:space="preserve">XXXXXXX XXXXXXXXX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00367/NAUCALPA/IP/2025 </w:t>
      </w:r>
      <w:r w:rsidDel="00000000" w:rsidR="00000000" w:rsidRPr="00000000">
        <w:rPr>
          <w:rFonts w:ascii="Palatino Linotype" w:cs="Palatino Linotype" w:eastAsia="Palatino Linotype" w:hAnsi="Palatino Linotype"/>
          <w:rtl w:val="0"/>
        </w:rPr>
        <w:t xml:space="preserve">proporcionada por parte del </w:t>
      </w:r>
      <w:r w:rsidDel="00000000" w:rsidR="00000000" w:rsidRPr="00000000">
        <w:rPr>
          <w:rFonts w:ascii="Palatino Linotype" w:cs="Palatino Linotype" w:eastAsia="Palatino Linotype" w:hAnsi="Palatino Linotype"/>
          <w:b w:val="1"/>
          <w:rtl w:val="0"/>
        </w:rPr>
        <w:t xml:space="preserve">Ayuntamiento de Naucalpan de Juárez</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nueve de abril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tabs>
          <w:tab w:val="left" w:leader="none" w:pos="8222"/>
        </w:tabs>
        <w:spacing w:after="0" w:lineRule="auto"/>
        <w:ind w:left="851" w:right="843"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“La información que se requiere es relativa a la Dirección de Desarrollo Urbano del Municipio de Naucalpan de Juárez Se me informe cuántas licencias de usos de suelo, licencias de construcción, constancias de alineamiento y número oficial y cuantas cédulas informativas de zonificación se han expedido durante el año 2025, hasta la fecha que se conteste la presente, cuántas se han negado y cuántas están pendientes de contestar o expedir . Cuántas quejas se han presentado y cuantas se han contestado de forma positiva, cuantas negativas y cuántas pendientes de contestar . c</w:t>
      </w:r>
      <w:r w:rsidDel="00000000" w:rsidR="00000000" w:rsidRPr="00000000">
        <w:rPr>
          <w:rFonts w:ascii="Palatino Linotype" w:cs="Palatino Linotype" w:eastAsia="Palatino Linotype" w:hAnsi="Palatino Linotype"/>
          <w:b w:val="1"/>
          <w:i w:val="1"/>
          <w:rtl w:val="0"/>
        </w:rPr>
        <w:t xml:space="preserve">uántas obras han suspendido en Lomas de Tecamachalco,</w:t>
      </w:r>
      <w:r w:rsidDel="00000000" w:rsidR="00000000" w:rsidRPr="00000000">
        <w:rPr>
          <w:rFonts w:ascii="Palatino Linotype" w:cs="Palatino Linotype" w:eastAsia="Palatino Linotype" w:hAnsi="Palatino Linotype"/>
          <w:i w:val="1"/>
          <w:rtl w:val="0"/>
        </w:rPr>
        <w:t xml:space="preserve"> cuántas terminaciones de obras se han expedido. </w:t>
      </w:r>
      <w:r w:rsidDel="00000000" w:rsidR="00000000" w:rsidRPr="00000000">
        <w:rPr>
          <w:rFonts w:ascii="Palatino Linotype" w:cs="Palatino Linotype" w:eastAsia="Palatino Linotype" w:hAnsi="Palatino Linotype"/>
          <w:b w:val="1"/>
          <w:i w:val="1"/>
          <w:rtl w:val="0"/>
        </w:rPr>
        <w:t xml:space="preserve">Cuánto se ha recaudado en la Dirección de Desarrollo Urbano por cada uno de los tramites y servicios que brinda la Dependencia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nueve de mayo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 la solicitud de información, al tenor de lo siguiente: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DANIEL TABOADA ELIAS ENCARGADO DE LA COORDINACIÓN DE LA UNIDAD DE TRANSPARENCIA PRESENTE: Con fundamento en lo dispuesto en los artículos 6 Apartado A, fracción I de la Constitución Política de los Estados Unidos Mexicanos; 5 de la constitución Política del Estado Libre y Soberano de México; 87 fracción tercera y 96 bis fracciones I, II, III y IV de la Ley Orgánica Municipal; 41, fracción VII y 76 del Bando Municipal de Naucalpan de Juárez; 8.1, 8.2 y 8.3 fracción II del Libro Octavo del Reglamento Orgánico de la Administración Pública Municipal de Naucalpan de Juárez, México; me permito informarle lo siguiente: por medio de la presente aprovecho para enviarle un cordial saludo, así mismo y en seguimiento a la solicitud con numero de folio 00367/NAUCALPA/IP/2025 Recepcionada a traves del portal SAIMEX, por lo anterior </w:t>
      </w:r>
      <w:r w:rsidDel="00000000" w:rsidR="00000000" w:rsidRPr="00000000">
        <w:rPr>
          <w:rFonts w:ascii="Palatino Linotype" w:cs="Palatino Linotype" w:eastAsia="Palatino Linotype" w:hAnsi="Palatino Linotype"/>
          <w:b w:val="1"/>
          <w:i w:val="1"/>
          <w:rtl w:val="0"/>
        </w:rPr>
        <w:t xml:space="preserve">le informo que no se han iniciado o suspendido obras en Lomas de Tecamachalco.</w:t>
      </w:r>
      <w:r w:rsidDel="00000000" w:rsidR="00000000" w:rsidRPr="00000000">
        <w:rPr>
          <w:rFonts w:ascii="Palatino Linotype" w:cs="Palatino Linotype" w:eastAsia="Palatino Linotype" w:hAnsi="Palatino Linotype"/>
          <w:i w:val="1"/>
          <w:rtl w:val="0"/>
        </w:rPr>
        <w:t xml:space="preserve"> Sin mas por el momento quedo a sus ordenes para cualquier duda o aclaración. Estimado solicitante. Me permito </w:t>
      </w:r>
      <w:r w:rsidDel="00000000" w:rsidR="00000000" w:rsidRPr="00000000">
        <w:rPr>
          <w:rFonts w:ascii="Palatino Linotype" w:cs="Palatino Linotype" w:eastAsia="Palatino Linotype" w:hAnsi="Palatino Linotype"/>
          <w:b w:val="1"/>
          <w:i w:val="1"/>
          <w:rtl w:val="0"/>
        </w:rPr>
        <w:t xml:space="preserve">informar a usted que por medio del oficio número DDU/SJ/0598/2025 de fecha 02 de mayo de 2025, se da respuesta a su solicitud de información</w:t>
      </w:r>
      <w:r w:rsidDel="00000000" w:rsidR="00000000" w:rsidRPr="00000000">
        <w:rPr>
          <w:rFonts w:ascii="Palatino Linotype" w:cs="Palatino Linotype" w:eastAsia="Palatino Linotype" w:hAnsi="Palatino Linotype"/>
          <w:i w:val="1"/>
          <w:rtl w:val="0"/>
        </w:rPr>
        <w:t xml:space="preserve">. Para tal efecto se adjunta dicho oficio. Saludos Reciba un cordial saludo ING. MARCIA ERANDY VALERIA PÉREZ MIRELES </w:t>
      </w:r>
      <w:r w:rsidDel="00000000" w:rsidR="00000000" w:rsidRPr="00000000">
        <w:rPr>
          <w:rFonts w:ascii="Palatino Linotype" w:cs="Palatino Linotype" w:eastAsia="Palatino Linotype" w:hAnsi="Palatino Linotype"/>
          <w:b w:val="1"/>
          <w:i w:val="1"/>
          <w:rtl w:val="0"/>
        </w:rPr>
        <w:t xml:space="preserve">DIRECCION DE OBRAS PÚBLICAS</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Daniel Taboada Elías.”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el archivo electrónico denominado </w:t>
      </w:r>
      <w:r w:rsidDel="00000000" w:rsidR="00000000" w:rsidRPr="00000000">
        <w:rPr>
          <w:rFonts w:ascii="Palatino Linotype" w:cs="Palatino Linotype" w:eastAsia="Palatino Linotype" w:hAnsi="Palatino Linotype"/>
          <w:b w:val="1"/>
          <w:i w:val="1"/>
          <w:rtl w:val="0"/>
        </w:rPr>
        <w:t xml:space="preserve">“ST_00367_06052025.pdf”</w:t>
      </w:r>
      <w:r w:rsidDel="00000000" w:rsidR="00000000" w:rsidRPr="00000000">
        <w:rPr>
          <w:rFonts w:ascii="Palatino Linotype" w:cs="Palatino Linotype" w:eastAsia="Palatino Linotype" w:hAnsi="Palatino Linotype"/>
          <w:rtl w:val="0"/>
        </w:rPr>
        <w:t xml:space="preserve">, el cual contiene el oficio número DDU/SJ/0598/2025 de fecha dos de mayo de dos mil veinticinco, signado por el Subdirector Jurídico adscrito a la Dirección de Desarrollo Urbano, en el que informó: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Pr>
        <w:drawing>
          <wp:inline distB="0" distT="0" distL="0" distR="0">
            <wp:extent cx="4527994" cy="3013563"/>
            <wp:effectExtent b="0" l="0" r="0" t="0"/>
            <wp:docPr id="4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527994" cy="30135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Referente al apartado de su solicitud que refiere: "</w:t>
      </w:r>
      <w:r w:rsidDel="00000000" w:rsidR="00000000" w:rsidRPr="00000000">
        <w:rPr>
          <w:rFonts w:ascii="Palatino Linotype" w:cs="Palatino Linotype" w:eastAsia="Palatino Linotype" w:hAnsi="Palatino Linotype"/>
          <w:b w:val="1"/>
          <w:i w:val="1"/>
          <w:rtl w:val="0"/>
        </w:rPr>
        <w:t xml:space="preserve">Cuántas quejas se han presentado y cuántas se han contestado de forma positiva, cuantas negativas y cuantas pendientes por contestar</w:t>
      </w:r>
      <w:r w:rsidDel="00000000" w:rsidR="00000000" w:rsidRPr="00000000">
        <w:rPr>
          <w:rFonts w:ascii="Palatino Linotype" w:cs="Palatino Linotype" w:eastAsia="Palatino Linotype" w:hAnsi="Palatino Linotype"/>
          <w:i w:val="1"/>
          <w:rtl w:val="0"/>
        </w:rPr>
        <w:t xml:space="preserve">", se informa que NO se tiene antecedente de alguna queja.</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De conformidad con las atribuciones conferidas a esta Dirección a mi cargo, establecidas en el artículo 10.2 del Reglamento Orgánico de la Administración Pública Municipal de Naucalpan de Juárez, Estado de México, y respecto al apartado de su solicitud que refiere: "</w:t>
      </w:r>
      <w:r w:rsidDel="00000000" w:rsidR="00000000" w:rsidRPr="00000000">
        <w:rPr>
          <w:rFonts w:ascii="Palatino Linotype" w:cs="Palatino Linotype" w:eastAsia="Palatino Linotype" w:hAnsi="Palatino Linotype"/>
          <w:b w:val="1"/>
          <w:i w:val="1"/>
          <w:rtl w:val="0"/>
        </w:rPr>
        <w:t xml:space="preserve">Cuánto se ha recaudado en la Dirección de Desarrollo Urbano por cada uno de los trámites y servicios que brinda la Dependencia</w:t>
      </w:r>
      <w:r w:rsidDel="00000000" w:rsidR="00000000" w:rsidRPr="00000000">
        <w:rPr>
          <w:rFonts w:ascii="Palatino Linotype" w:cs="Palatino Linotype" w:eastAsia="Palatino Linotype" w:hAnsi="Palatino Linotype"/>
          <w:i w:val="1"/>
          <w:rtl w:val="0"/>
        </w:rPr>
        <w:t xml:space="preserve">", me permito hacer de su conocimiento que, de acuerdo a las facultades y atribuciones, la información que requiere la genera y administra el área de Tesorería del Ayuntamiento de Naucalpan de Juárez..”</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quince de mayo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el que expresó lo siguiente:</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“La contestación de C. DANIEL TABOADA ELIAS, ENCARGADO DE LA COORDINACIÓN DE LA UNIDAD DE TRANSPARENCIA del Municipio de Naucalpan donde anexa el oficio DDU/SJ/0598/2025 de fecha 02 de mayo de 2025.”.</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“Primeramente existe una contradicción entre el oficio que anexa y la contestación que suscribe, ya que </w:t>
      </w:r>
      <w:r w:rsidDel="00000000" w:rsidR="00000000" w:rsidRPr="00000000">
        <w:rPr>
          <w:rFonts w:ascii="Palatino Linotype" w:cs="Palatino Linotype" w:eastAsia="Palatino Linotype" w:hAnsi="Palatino Linotype"/>
          <w:b w:val="1"/>
          <w:i w:val="1"/>
          <w:rtl w:val="0"/>
        </w:rPr>
        <w:t xml:space="preserve">en el oficio anexo mencionan que se suspendieron dos obras en Lomas de Tecamachalco y en su contestación informa que no se han iniciado o suspendido obras en</w:t>
      </w:r>
      <w:r w:rsidDel="00000000" w:rsidR="00000000" w:rsidRPr="00000000">
        <w:rPr>
          <w:rFonts w:ascii="Palatino Linotype" w:cs="Palatino Linotype" w:eastAsia="Palatino Linotype" w:hAnsi="Palatino Linotype"/>
          <w:i w:val="1"/>
          <w:rtl w:val="0"/>
        </w:rPr>
        <w:t xml:space="preserve"> Lomas de Tecamachalco., por lo que </w:t>
      </w:r>
      <w:r w:rsidDel="00000000" w:rsidR="00000000" w:rsidRPr="00000000">
        <w:rPr>
          <w:rFonts w:ascii="Palatino Linotype" w:cs="Palatino Linotype" w:eastAsia="Palatino Linotype" w:hAnsi="Palatino Linotype"/>
          <w:b w:val="1"/>
          <w:i w:val="1"/>
          <w:rtl w:val="0"/>
        </w:rPr>
        <w:t xml:space="preserve">solicito aclare su contradicción</w:t>
      </w:r>
      <w:r w:rsidDel="00000000" w:rsidR="00000000" w:rsidRPr="00000000">
        <w:rPr>
          <w:rFonts w:ascii="Palatino Linotype" w:cs="Palatino Linotype" w:eastAsia="Palatino Linotype" w:hAnsi="Palatino Linotype"/>
          <w:i w:val="1"/>
          <w:rtl w:val="0"/>
        </w:rPr>
        <w:t xml:space="preserve">. por otro lado </w:t>
      </w:r>
      <w:r w:rsidDel="00000000" w:rsidR="00000000" w:rsidRPr="00000000">
        <w:rPr>
          <w:rFonts w:ascii="Palatino Linotype" w:cs="Palatino Linotype" w:eastAsia="Palatino Linotype" w:hAnsi="Palatino Linotype"/>
          <w:b w:val="1"/>
          <w:i w:val="1"/>
          <w:rtl w:val="0"/>
        </w:rPr>
        <w:t xml:space="preserve">No contesta Cuánto se ha recaudado en la Dirección de Desarrollo Urbano por cada uno de los trámites que brinda la dependencia</w:t>
      </w:r>
      <w:r w:rsidDel="00000000" w:rsidR="00000000" w:rsidRPr="00000000">
        <w:rPr>
          <w:rFonts w:ascii="Palatino Linotype" w:cs="Palatino Linotype" w:eastAsia="Palatino Linotype" w:hAnsi="Palatino Linotype"/>
          <w:i w:val="1"/>
          <w:rtl w:val="0"/>
        </w:rPr>
        <w:t xml:space="preserve">, ya que la Dirección de Desarrollo Urbano señala que no es es competente y refiere que es facultad de otra área del Municipio de Naucalpan de Juárez, es decir, que una área del Municipio de Naucalpan, es competente para informar al respecto.”.</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05539/INFOEM/IP/RR/2025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veinte de mayo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veintiocho de mayo de dos mil veinticinco, rindió su informe justificado, a través del archivo electrónico denominado “</w:t>
      </w:r>
      <w:r w:rsidDel="00000000" w:rsidR="00000000" w:rsidRPr="00000000">
        <w:rPr>
          <w:rFonts w:ascii="Palatino Linotype" w:cs="Palatino Linotype" w:eastAsia="Palatino Linotype" w:hAnsi="Palatino Linotype"/>
          <w:b w:val="1"/>
          <w:i w:val="1"/>
          <w:rtl w:val="0"/>
        </w:rPr>
        <w:t xml:space="preserve">05539-INFOEM-IP-RR-2025.pdf</w:t>
      </w:r>
      <w:r w:rsidDel="00000000" w:rsidR="00000000" w:rsidRPr="00000000">
        <w:rPr>
          <w:rFonts w:ascii="Palatino Linotype" w:cs="Palatino Linotype" w:eastAsia="Palatino Linotype" w:hAnsi="Palatino Linotype"/>
          <w:rtl w:val="0"/>
        </w:rPr>
        <w:t xml:space="preserve">”, el cual contiene el oficio número DDU/2244/2025 de fecha veintiséis de mayo de dos mil veinticinco, signado por la Directora de Desarrollo Urbano, en el que ratifico la respuesta otorgada mediante oficio número DDU/SJ/0598/2025 en los siguientes términos: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"Al respecto, con fundamento en lo establecido en los artículos 1, 3 fracción XXXIX, 4 segundo párrafo, 12 segundo párrafo, y 59 fracciones I, II y III de la Ley de Transparencia y Acceso a la Información Pública del Estado de México y Municipios, y derivado de una búsqueda exhaustiva y razonada en los archivos de la Dirección de Desarrollo Urbano, se hace de su conocimiento que se localizó los siguiente: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843" w:firstLine="0"/>
        <w:jc w:val="center"/>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inline distB="0" distT="0" distL="0" distR="0">
            <wp:extent cx="4530692" cy="2394658"/>
            <wp:effectExtent b="0" l="0" r="0" t="0"/>
            <wp:docPr id="4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530692" cy="239465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Referente al apartado de su solicitud que refiere: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"Cuántas quejas se han presentado y cuántas se han contestado de forma positiva, cuantas negativas y cuantas pendientes por contestar"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informa que NO se tiene antecedente de alguna queja.</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conformidad con las atribuciones conferidas a esta Dirección a mi cargo, establecidas en el artículo 10.2 del Reglamento Orgánico de la Administración Pública Municipal de Naucalpan de Juárez, Estado de México, y respecto al apartado de su solicitud que refiere: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Cuánto se ha recaudado en la Dirección de Desarrollo Urbano por cada uno de los trámites y servicios que brinda la Dependencia"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 permito hacer de su conocimiento que, de acuerdo a las facultades y atribuciones, la información que requiere la genera y administra el área de Tesorería del Ayuntamiento de Naucalpan de Juárez.”</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este Instituto determinó ponerla a la vista de la parte</w:t>
      </w:r>
      <w:r w:rsidDel="00000000" w:rsidR="00000000" w:rsidRPr="00000000">
        <w:rPr>
          <w:rFonts w:ascii="Palatino Linotype" w:cs="Palatino Linotype" w:eastAsia="Palatino Linotype" w:hAnsi="Palatino Linotype"/>
          <w:b w:val="1"/>
          <w:rtl w:val="0"/>
        </w:rPr>
        <w:t xml:space="preserve"> Recurrente </w:t>
      </w:r>
      <w:r w:rsidDel="00000000" w:rsidR="00000000" w:rsidRPr="00000000">
        <w:rPr>
          <w:rFonts w:ascii="Palatino Linotype" w:cs="Palatino Linotype" w:eastAsia="Palatino Linotype" w:hAnsi="Palatino Linotype"/>
          <w:rtl w:val="0"/>
        </w:rPr>
        <w:t xml:space="preserve">el informe justificado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mediante acuerdo emitido por la Comisionada Ponente el día </w:t>
      </w:r>
      <w:r w:rsidDel="00000000" w:rsidR="00000000" w:rsidRPr="00000000">
        <w:rPr>
          <w:rFonts w:ascii="Palatino Linotype" w:cs="Palatino Linotype" w:eastAsia="Palatino Linotype" w:hAnsi="Palatino Linotype"/>
          <w:b w:val="1"/>
          <w:rtl w:val="0"/>
        </w:rPr>
        <w:t xml:space="preserve">doce de agosto de dos mil veinticinco</w:t>
      </w:r>
      <w:r w:rsidDel="00000000" w:rsidR="00000000" w:rsidRPr="00000000">
        <w:rPr>
          <w:rFonts w:ascii="Palatino Linotype" w:cs="Palatino Linotype" w:eastAsia="Palatino Linotype" w:hAnsi="Palatino Linotype"/>
          <w:rtl w:val="0"/>
        </w:rPr>
        <w:t xml:space="preserve">, con la finalidad de que manifestará lo que a su derecho le asistiera. </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after="240" w:before="24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doce de agosto de dos mil veinticinco</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4">
      <w:pPr>
        <w:tabs>
          <w:tab w:val="left" w:leader="none" w:pos="709"/>
        </w:tabs>
        <w:spacing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5">
      <w:pPr>
        <w:tabs>
          <w:tab w:val="left" w:leader="none" w:pos="709"/>
        </w:tabs>
        <w:spacing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6">
      <w:pPr>
        <w:tabs>
          <w:tab w:val="left" w:leader="none" w:pos="851"/>
        </w:tabs>
        <w:spacing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7">
      <w:pPr>
        <w:tabs>
          <w:tab w:val="left" w:leader="none" w:pos="851"/>
        </w:tabs>
        <w:spacing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8">
      <w:pPr>
        <w:tabs>
          <w:tab w:val="left" w:leader="none" w:pos="851"/>
        </w:tabs>
        <w:spacing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C">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D">
      <w:pPr>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rtl w:val="0"/>
        </w:rPr>
        <w:t xml:space="preserve"> consultable en el Seminario Judicial de la Federación y su gaceta, con el registro digital 2002351.</w:t>
      </w:r>
    </w:p>
    <w:p w:rsidR="00000000" w:rsidDel="00000000" w:rsidP="00000000" w:rsidRDefault="00000000" w:rsidRPr="00000000" w14:paraId="0000003E">
      <w:pPr>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rtl w:val="0"/>
        </w:rPr>
        <w:t xml:space="preserve"> visible en el Seminario Judicial de la Federación y su gaceta, con el registro digital 2002350</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diecinueve de agosto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nueve de mayo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quince de mayo de dos mil veinticinco</w:t>
      </w:r>
      <w:r w:rsidDel="00000000" w:rsidR="00000000" w:rsidRPr="00000000">
        <w:rPr>
          <w:rFonts w:ascii="Palatino Linotype" w:cs="Palatino Linotype" w:eastAsia="Palatino Linotype" w:hAnsi="Palatino Linotype"/>
          <w:rtl w:val="0"/>
        </w:rPr>
        <w:t xml:space="preserve">, esto es al cuarto día hábil en que se tuvo conocimiento de la respuesta.</w:t>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 la hipótesis de procedencia prevista en el artículo 179, fracción V de la Ley de la materia, que a la letra dice:</w:t>
      </w:r>
    </w:p>
    <w:p w:rsidR="00000000" w:rsidDel="00000000" w:rsidP="00000000" w:rsidRDefault="00000000" w:rsidRPr="00000000" w14:paraId="0000004F">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w:t>
        <w:br w:type="textWrapping"/>
        <w:t xml:space="preserve">…”</w:t>
      </w:r>
    </w:p>
    <w:p w:rsidR="00000000" w:rsidDel="00000000" w:rsidP="00000000" w:rsidRDefault="00000000" w:rsidRPr="00000000" w14:paraId="00000053">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 del artículo 179 de la Ley en la materia. </w:t>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7">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5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C">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5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5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w:t>
      </w:r>
    </w:p>
    <w:p w:rsidR="00000000" w:rsidDel="00000000" w:rsidP="00000000" w:rsidRDefault="00000000" w:rsidRPr="00000000" w14:paraId="0000006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6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VII. La inobservancia a las disposiciones en materia de acceso a la información pública será sancionada en los términos que dispongan las leyes. [...]</w:t>
      </w:r>
    </w:p>
    <w:p w:rsidR="00000000" w:rsidDel="00000000" w:rsidP="00000000" w:rsidRDefault="00000000" w:rsidRPr="00000000" w14:paraId="00000066">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6C">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rsidR="00000000" w:rsidDel="00000000" w:rsidP="00000000" w:rsidRDefault="00000000" w:rsidRPr="00000000" w14:paraId="0000007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7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76">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7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8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8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8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8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8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el Recurrente, relativos a la negativa de entrega de la información, lo que actualiza la causal de procedencia prevista en la fracción I del artículo 179 de la Ley de Transparencia y Acceso a la Información Pública del Estado de México y Municipios.</w:t>
      </w:r>
    </w:p>
    <w:p w:rsidR="00000000" w:rsidDel="00000000" w:rsidP="00000000" w:rsidRDefault="00000000" w:rsidRPr="00000000" w14:paraId="0000008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 principio resulta recordar que la pretensión del ahora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 obtener la siguiente información, del primero de enero al nueve de abril de dos mil veinticinco: </w:t>
      </w:r>
    </w:p>
    <w:p w:rsidR="00000000" w:rsidDel="00000000" w:rsidP="00000000" w:rsidRDefault="00000000" w:rsidRPr="00000000" w14:paraId="0000008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Cuántas licencias de usos de suelo, licencias de construcción, constancias de alineamiento y número oficial </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Cuántas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cédulas informativas de zonificación se han expedido </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Cuántas se han negado, </w:t>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Cuántas están pendientes de contestar o expedir. </w:t>
      </w:r>
    </w:p>
    <w:p w:rsidR="00000000" w:rsidDel="00000000" w:rsidP="00000000" w:rsidRDefault="00000000" w:rsidRPr="00000000" w14:paraId="000000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Cuántas quejas se han presentado, </w:t>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Cuántas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han contestado de forma positiva, cuantas negativas y cuántas pendientes de contestar. </w:t>
      </w:r>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uántas obras han suspendido en Lomas de Tecamachalco, </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rtl w:val="0"/>
        </w:rPr>
        <w:t xml:space="preserve">Cuántas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terminaciones de obras se han expedido. </w:t>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Cuánto se ha recaudado en la Dirección de Desarrollo Urbano por cada uno de los trámites y servicios que brinda la Dependencia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1287"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Dirección de Desarrollo Económico, señaló que no se han iniciado o suspendido obras en Lomas de Tecamachalco.</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Subdirector Jurídico adscrito a la Dirección de Desarrollo Urbano informó el número de licencias de usos de suelo, licencias de construcción, constancias de alineamiento y número oficial, cédulas informativas de zonificación se han expedido, el número de las que se han negado, las pendientes de contestar o expedir y el número de obras suspendidas en Lomas de Tecamachalco, y el número de constancias de termino de obra.</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after="0"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w:t>
      </w:r>
      <w:r w:rsidDel="00000000" w:rsidR="00000000" w:rsidRPr="00000000">
        <w:rPr>
          <w:rFonts w:ascii="Palatino Linotype" w:cs="Palatino Linotype" w:eastAsia="Palatino Linotype" w:hAnsi="Palatino Linotype"/>
          <w:i w:val="1"/>
          <w:rtl w:val="0"/>
        </w:rPr>
        <w:t xml:space="preserve">“Cuántas quejas se han presentado, cuantas se han contestado de forma positiva, cuantas negativas y cuántas pendientes de contestar”</w:t>
      </w:r>
      <w:r w:rsidDel="00000000" w:rsidR="00000000" w:rsidRPr="00000000">
        <w:rPr>
          <w:rFonts w:ascii="Palatino Linotype" w:cs="Palatino Linotype" w:eastAsia="Palatino Linotype" w:hAnsi="Palatino Linotype"/>
          <w:rtl w:val="0"/>
        </w:rPr>
        <w:t xml:space="preserve">, informó que no se tiene antecedente de alguna queja.</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referente a </w:t>
      </w:r>
      <w:r w:rsidDel="00000000" w:rsidR="00000000" w:rsidRPr="00000000">
        <w:rPr>
          <w:rFonts w:ascii="Palatino Linotype" w:cs="Palatino Linotype" w:eastAsia="Palatino Linotype" w:hAnsi="Palatino Linotype"/>
          <w:i w:val="1"/>
          <w:rtl w:val="0"/>
        </w:rPr>
        <w:t xml:space="preserve">“Cuánto se ha recaudado en la Dirección de Desarrollo Urbano por cada uno de los trámites y servicios que brinda la Dependencia”</w:t>
      </w:r>
      <w:r w:rsidDel="00000000" w:rsidR="00000000" w:rsidRPr="00000000">
        <w:rPr>
          <w:rFonts w:ascii="Palatino Linotype" w:cs="Palatino Linotype" w:eastAsia="Palatino Linotype" w:hAnsi="Palatino Linotype"/>
          <w:rtl w:val="0"/>
        </w:rPr>
        <w:t xml:space="preserve">, hizo del conocimiento que, de acuerdo a sus facultades y atribuciones, la información que requiere la genera y administra el área de Tesorería. </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medularmente por la información incompleta, refiriendo que existe una contradicción entre el oficio que se anexó y la contestación de la Directora de Desarrollo Urbano, al señalar que no se han iniciado o suspendido obras en Lomas de Tecamachalco, aunado a que no se contesta cuánto se ha recaudado en la Dirección de Desarrollo Urbano por cada uno de los trámites que brinda. </w:t>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a través de la Dirección de Desarrollo Urbano, en el que medularmente ratificó su respuesta inicial. </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expuestas las posturas de las partes, primeramente, es importante señalar que los motivos de inconformidad aducidos en el recurso de revisión, no versan sobre la totalidad de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de manera expresa arguyendo que </w:t>
      </w:r>
      <w:r w:rsidDel="00000000" w:rsidR="00000000" w:rsidRPr="00000000">
        <w:rPr>
          <w:rFonts w:ascii="Palatino Linotype" w:cs="Palatino Linotype" w:eastAsia="Palatino Linotype" w:hAnsi="Palatino Linotype"/>
          <w:b w:val="1"/>
          <w:i w:val="1"/>
          <w:u w:val="single"/>
          <w:rtl w:val="0"/>
        </w:rPr>
        <w:t xml:space="preserve">existe una contradicción entre el oficio que anexa y la contestación que suscribe, ya que en el oficio anexo mencionan que se suspendieron dos obras en Lomas de Tecamachalco y en su contestación informa que no se han iniciado o suspendido obras en Lomas de Tecamachalco., por lo que solicitó aclare su contradicción. por otro lado No contesta Cuánto se ha recaudado en la Dirección de Desarrollo Urbano por cada uno de los trámites que brinda la dependencia</w:t>
      </w:r>
      <w:r w:rsidDel="00000000" w:rsidR="00000000" w:rsidRPr="00000000">
        <w:rPr>
          <w:rFonts w:ascii="Palatino Linotype" w:cs="Palatino Linotype" w:eastAsia="Palatino Linotype" w:hAnsi="Palatino Linotype"/>
          <w:b w:val="1"/>
          <w:u w:val="single"/>
          <w:rtl w:val="0"/>
        </w:rPr>
        <w:t xml:space="preserve">;</w:t>
      </w:r>
      <w:r w:rsidDel="00000000" w:rsidR="00000000" w:rsidRPr="00000000">
        <w:rPr>
          <w:rFonts w:ascii="Palatino Linotype" w:cs="Palatino Linotype" w:eastAsia="Palatino Linotype" w:hAnsi="Palatino Linotype"/>
          <w:rtl w:val="0"/>
        </w:rPr>
        <w:t xml:space="preserve"> por lo que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satisface la solicitud presentada.</w:t>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A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A8">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se insiste, ante la falta de impugnación eficaz, la respuesta entregada debe declararse consentida por la persona solicitante.</w:t>
      </w:r>
    </w:p>
    <w:p w:rsidR="00000000" w:rsidDel="00000000" w:rsidP="00000000" w:rsidRDefault="00000000" w:rsidRPr="00000000" w14:paraId="000000A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01/20 emitido por el entonces Instituto Nacional de Transparencia, Acceso a la Información, y Protección de Datos Personales, INAI, que lleva por rubro y texto los siguientes: </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AD">
      <w:pPr>
        <w:tabs>
          <w:tab w:val="left" w:leader="none" w:pos="851"/>
          <w:tab w:val="left" w:leader="none" w:pos="1276"/>
          <w:tab w:val="left" w:leader="none" w:pos="8222"/>
        </w:tabs>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mallCaps w:val="1"/>
          <w:rtl w:val="0"/>
        </w:rPr>
        <w:t xml:space="preserve">“</w:t>
      </w:r>
      <w:r w:rsidDel="00000000" w:rsidR="00000000" w:rsidRPr="00000000">
        <w:rPr>
          <w:rFonts w:ascii="Palatino Linotype" w:cs="Palatino Linotype" w:eastAsia="Palatino Linotype" w:hAnsi="Palatino Linotype"/>
          <w:b w:val="1"/>
          <w:i w:val="1"/>
          <w:smallCaps w:val="1"/>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la información de la que resulta procedente pronunciarse es respecto de las obras suspendidas en Lomas de Tecamachalco y el monto recaudado en la Dirección de Desarrollo Urbano por cada uno de los trámites y servicios que brinda. </w:t>
      </w:r>
    </w:p>
    <w:p w:rsidR="00000000" w:rsidDel="00000000" w:rsidP="00000000" w:rsidRDefault="00000000" w:rsidRPr="00000000" w14:paraId="000000A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Determinado lo anterior, se procede al análisis pormenorizado de los puntos combatidos, para efecto de determinar si es pertinente su entrega:</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Cuántas obras han suspendido en Lomas de Tecamachalco</w:t>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Referente a este punto, resulta importante señalar que el artículo 18.6, fracción II del Código Administrativo del Estado de México, dispone que son atribuciones de los Municipios, expedir licencias, permisos y constancias en materia de construcción, de conformidad con lo dispuesto por este Libro Décimo, las Normas Técnicas, los planes municipales de desarrollo urbano y demás normatividad aplicable; así como vigilar que las construcciones en proceso, terminadas o en demolición, se ajusten a las disposiciones previstas, a los planes municipales de desarrollo urbano, entre otras. </w:t>
      </w:r>
      <w:r w:rsidDel="00000000" w:rsidR="00000000" w:rsidRPr="00000000">
        <w:rPr>
          <w:rtl w:val="0"/>
        </w:rPr>
      </w:r>
    </w:p>
    <w:p w:rsidR="00000000" w:rsidDel="00000000" w:rsidP="00000000" w:rsidRDefault="00000000" w:rsidRPr="00000000" w14:paraId="000000B2">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Libro Décimo Octavo del Código en referencia,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p>
    <w:p w:rsidR="00000000" w:rsidDel="00000000" w:rsidP="00000000" w:rsidRDefault="00000000" w:rsidRPr="00000000" w14:paraId="000000B4">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after="0" w:line="24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18.3.- Toda construcción se sujetará a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B6">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 A las disposiciones de este Libro, del Libro Quinto del Código y su Reglamento, a las Normas Técnicas y a las demás disposiciones jurídicas aplicables; </w:t>
      </w:r>
      <w:r w:rsidDel="00000000" w:rsidR="00000000" w:rsidRPr="00000000">
        <w:rPr>
          <w:rtl w:val="0"/>
        </w:rPr>
      </w:r>
    </w:p>
    <w:p w:rsidR="00000000" w:rsidDel="00000000" w:rsidP="00000000" w:rsidRDefault="00000000" w:rsidRPr="00000000" w14:paraId="000000B7">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II. Requerirán para su ejecución de la correspondiente licencia de construcción, salvo los casos de excepción que se establecen en este Libro; </w:t>
      </w:r>
      <w:r w:rsidDel="00000000" w:rsidR="00000000" w:rsidRPr="00000000">
        <w:rPr>
          <w:rtl w:val="0"/>
        </w:rPr>
      </w:r>
    </w:p>
    <w:p w:rsidR="00000000" w:rsidDel="00000000" w:rsidP="00000000" w:rsidRDefault="00000000" w:rsidRPr="00000000" w14:paraId="000000B8">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III. Requerirán de la respectiva constancia de terminación de obra; </w:t>
      </w:r>
      <w:r w:rsidDel="00000000" w:rsidR="00000000" w:rsidRPr="00000000">
        <w:rPr>
          <w:rtl w:val="0"/>
        </w:rPr>
      </w:r>
    </w:p>
    <w:p w:rsidR="00000000" w:rsidDel="00000000" w:rsidP="00000000" w:rsidRDefault="00000000" w:rsidRPr="00000000" w14:paraId="000000B9">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IV. Observarán la normatividad de uso y aprovechamiento del suelo contenida en los planes de desarrollo urbano correspondientes; </w:t>
      </w:r>
      <w:r w:rsidDel="00000000" w:rsidR="00000000" w:rsidRPr="00000000">
        <w:rPr>
          <w:rtl w:val="0"/>
        </w:rPr>
      </w:r>
    </w:p>
    <w:p w:rsidR="00000000" w:rsidDel="00000000" w:rsidP="00000000" w:rsidRDefault="00000000" w:rsidRPr="00000000" w14:paraId="000000BA">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 Contarán con los cajones de estacionamiento que establezca el plan municipal de desarrollo urbano correspondiente, atendiendo lo que al respecto determine la normatividad aplicable; </w:t>
      </w:r>
      <w:r w:rsidDel="00000000" w:rsidR="00000000" w:rsidRPr="00000000">
        <w:rPr>
          <w:rtl w:val="0"/>
        </w:rPr>
      </w:r>
    </w:p>
    <w:p w:rsidR="00000000" w:rsidDel="00000000" w:rsidP="00000000" w:rsidRDefault="00000000" w:rsidRPr="00000000" w14:paraId="000000BB">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VI. Garantizarán su iluminación, ventilación y asoleamiento, la mitigación de efectos negativos que puedan causar a las construcciones vecinas; </w:t>
      </w:r>
      <w:r w:rsidDel="00000000" w:rsidR="00000000" w:rsidRPr="00000000">
        <w:rPr>
          <w:rtl w:val="0"/>
        </w:rPr>
      </w:r>
    </w:p>
    <w:p w:rsidR="00000000" w:rsidDel="00000000" w:rsidP="00000000" w:rsidRDefault="00000000" w:rsidRPr="00000000" w14:paraId="000000BC">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VII. Cumplirán los requisitos de seguridad estructural que les permitan satisfacer los fines para los cuales fueron proyectadas; </w:t>
      </w:r>
      <w:r w:rsidDel="00000000" w:rsidR="00000000" w:rsidRPr="00000000">
        <w:rPr>
          <w:rtl w:val="0"/>
        </w:rPr>
      </w:r>
    </w:p>
    <w:p w:rsidR="00000000" w:rsidDel="00000000" w:rsidP="00000000" w:rsidRDefault="00000000" w:rsidRPr="00000000" w14:paraId="000000BD">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VIII. Estarán provistas de los servicios básicos de agua potable, desalojo de aguas residuales y energía eléctrica; </w:t>
      </w:r>
      <w:r w:rsidDel="00000000" w:rsidR="00000000" w:rsidRPr="00000000">
        <w:rPr>
          <w:rtl w:val="0"/>
        </w:rPr>
      </w:r>
    </w:p>
    <w:p w:rsidR="00000000" w:rsidDel="00000000" w:rsidP="00000000" w:rsidRDefault="00000000" w:rsidRPr="00000000" w14:paraId="000000BE">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IX. Dispondrán de espacios y muebles sanitarios de bajo consumo de agua, en número suficiente para los usuarios y de conformidad a las normas oficiales mexicanas; </w:t>
      </w:r>
      <w:r w:rsidDel="00000000" w:rsidR="00000000" w:rsidRPr="00000000">
        <w:rPr>
          <w:rtl w:val="0"/>
        </w:rPr>
      </w:r>
    </w:p>
    <w:p w:rsidR="00000000" w:rsidDel="00000000" w:rsidP="00000000" w:rsidRDefault="00000000" w:rsidRPr="00000000" w14:paraId="000000BF">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X. Cumplirán con las previsiones correspondientes a protección civil, ingeniería sanitaria y personas con discapacidad; </w:t>
      </w:r>
      <w:r w:rsidDel="00000000" w:rsidR="00000000" w:rsidRPr="00000000">
        <w:rPr>
          <w:rtl w:val="0"/>
        </w:rPr>
      </w:r>
    </w:p>
    <w:p w:rsidR="00000000" w:rsidDel="00000000" w:rsidP="00000000" w:rsidRDefault="00000000" w:rsidRPr="00000000" w14:paraId="000000C0">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r w:rsidDel="00000000" w:rsidR="00000000" w:rsidRPr="00000000">
        <w:rPr>
          <w:rtl w:val="0"/>
        </w:rPr>
      </w:r>
    </w:p>
    <w:p w:rsidR="00000000" w:rsidDel="00000000" w:rsidP="00000000" w:rsidRDefault="00000000" w:rsidRPr="00000000" w14:paraId="000000C1">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XII. Las dedicadas a servicios de radiotelecomunicación o similares y anuncios publicitarios que requieran elementos estructurales, fomentarán su integración al contexto y se ajustarán a las disposiciones aplicables; y </w:t>
      </w:r>
      <w:r w:rsidDel="00000000" w:rsidR="00000000" w:rsidRPr="00000000">
        <w:rPr>
          <w:rtl w:val="0"/>
        </w:rPr>
      </w:r>
    </w:p>
    <w:p w:rsidR="00000000" w:rsidDel="00000000" w:rsidP="00000000" w:rsidRDefault="00000000" w:rsidRPr="00000000" w14:paraId="000000C2">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XIII. Procurarán la utilización de tecnologías a efecto de lograr un aprovechamiento sustentable de los recursos naturales y el cuidado de la biosfera.”</w:t>
      </w:r>
      <w:r w:rsidDel="00000000" w:rsidR="00000000" w:rsidRPr="00000000">
        <w:rPr>
          <w:rtl w:val="0"/>
        </w:rPr>
      </w:r>
    </w:p>
    <w:p w:rsidR="00000000" w:rsidDel="00000000" w:rsidP="00000000" w:rsidRDefault="00000000" w:rsidRPr="00000000" w14:paraId="000000C3">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términos generales conviene precisar que una licencia de construcción tiene por objeto sujetar a las edificaciones que se realicen en territorio municipal a la normatividad contenida en los Planes de Desarrollo Urbano correspondientes, el Reglamento y demás ordenamientos legales aplicables, misma que sólo surte efectos respecto del inmueble a que la misma refiera, para efectos de obra nueva, ampliación de obra existente, modificación de la obra existente, modificación del proyecto de una obra autorizada, relación de una obra existente, demolición, excavación, relleno, construcción de bardas, construcción e instalación de antenas para radiocomunicaciones, construcción e instalación de anuncios publicitarios que requieran de elementos estructurales, cambio de la construcción a régimen de condominio, ocupación temporal de la vía pública, obras de conexión de agua potable, drenaje y sus obras realizadas por particulares, como así lo señala el artículo 18.20 del Código Administrativo del Estado de México, que señala:</w:t>
      </w:r>
    </w:p>
    <w:p w:rsidR="00000000" w:rsidDel="00000000" w:rsidP="00000000" w:rsidRDefault="00000000" w:rsidRPr="00000000" w14:paraId="000000C5">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18.20.-</w:t>
      </w:r>
      <w:r w:rsidDel="00000000" w:rsidR="00000000" w:rsidRPr="00000000">
        <w:rPr>
          <w:rFonts w:ascii="Palatino Linotype" w:cs="Palatino Linotype" w:eastAsia="Palatino Linotype" w:hAnsi="Palatino Linotype"/>
          <w:i w:val="1"/>
          <w:rtl w:val="0"/>
        </w:rPr>
        <w:t xml:space="preserve"> La licencia de construcción tiene por objeto autorizar: </w:t>
      </w:r>
      <w:r w:rsidDel="00000000" w:rsidR="00000000" w:rsidRPr="00000000">
        <w:rPr>
          <w:rtl w:val="0"/>
        </w:rPr>
      </w:r>
    </w:p>
    <w:p w:rsidR="00000000" w:rsidDel="00000000" w:rsidP="00000000" w:rsidRDefault="00000000" w:rsidRPr="00000000" w14:paraId="000000C7">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 Obra nueva; </w:t>
      </w:r>
      <w:r w:rsidDel="00000000" w:rsidR="00000000" w:rsidRPr="00000000">
        <w:rPr>
          <w:rtl w:val="0"/>
        </w:rPr>
      </w:r>
    </w:p>
    <w:p w:rsidR="00000000" w:rsidDel="00000000" w:rsidP="00000000" w:rsidRDefault="00000000" w:rsidRPr="00000000" w14:paraId="000000C8">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II. Ampliación, modificación o reparación que afecte elementos estructurales de la obra existente; </w:t>
      </w:r>
      <w:r w:rsidDel="00000000" w:rsidR="00000000" w:rsidRPr="00000000">
        <w:rPr>
          <w:rtl w:val="0"/>
        </w:rPr>
      </w:r>
    </w:p>
    <w:p w:rsidR="00000000" w:rsidDel="00000000" w:rsidP="00000000" w:rsidRDefault="00000000" w:rsidRPr="00000000" w14:paraId="000000C9">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III. Demolición parcial o total;</w:t>
      </w:r>
      <w:r w:rsidDel="00000000" w:rsidR="00000000" w:rsidRPr="00000000">
        <w:rPr>
          <w:rtl w:val="0"/>
        </w:rPr>
      </w:r>
    </w:p>
    <w:p w:rsidR="00000000" w:rsidDel="00000000" w:rsidP="00000000" w:rsidRDefault="00000000" w:rsidRPr="00000000" w14:paraId="000000CA">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IV. Excavación o relleno; </w:t>
      </w:r>
      <w:r w:rsidDel="00000000" w:rsidR="00000000" w:rsidRPr="00000000">
        <w:rPr>
          <w:rtl w:val="0"/>
        </w:rPr>
      </w:r>
    </w:p>
    <w:p w:rsidR="00000000" w:rsidDel="00000000" w:rsidP="00000000" w:rsidRDefault="00000000" w:rsidRPr="00000000" w14:paraId="000000CB">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 Construcción de bardas; </w:t>
      </w:r>
      <w:r w:rsidDel="00000000" w:rsidR="00000000" w:rsidRPr="00000000">
        <w:rPr>
          <w:rtl w:val="0"/>
        </w:rPr>
      </w:r>
    </w:p>
    <w:p w:rsidR="00000000" w:rsidDel="00000000" w:rsidP="00000000" w:rsidRDefault="00000000" w:rsidRPr="00000000" w14:paraId="000000CC">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VI. Obras de conexión a las redes de agua potable y drenaje; </w:t>
      </w:r>
      <w:r w:rsidDel="00000000" w:rsidR="00000000" w:rsidRPr="00000000">
        <w:rPr>
          <w:rtl w:val="0"/>
        </w:rPr>
      </w:r>
    </w:p>
    <w:p w:rsidR="00000000" w:rsidDel="00000000" w:rsidP="00000000" w:rsidRDefault="00000000" w:rsidRPr="00000000" w14:paraId="000000CD">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VII. Modificación del proyecto de una obra autorizada; </w:t>
      </w:r>
      <w:r w:rsidDel="00000000" w:rsidR="00000000" w:rsidRPr="00000000">
        <w:rPr>
          <w:rtl w:val="0"/>
        </w:rPr>
      </w:r>
    </w:p>
    <w:p w:rsidR="00000000" w:rsidDel="00000000" w:rsidP="00000000" w:rsidRDefault="00000000" w:rsidRPr="00000000" w14:paraId="000000CE">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VIII. Construcción e instalación de estaciones repetidoras y antenas para radiotelecomunicaciones; </w:t>
      </w:r>
      <w:r w:rsidDel="00000000" w:rsidR="00000000" w:rsidRPr="00000000">
        <w:rPr>
          <w:rtl w:val="0"/>
        </w:rPr>
      </w:r>
    </w:p>
    <w:p w:rsidR="00000000" w:rsidDel="00000000" w:rsidP="00000000" w:rsidRDefault="00000000" w:rsidRPr="00000000" w14:paraId="000000CF">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IX. Anuncios publicitarios que requieran de elementos estructurales; y </w:t>
      </w:r>
      <w:r w:rsidDel="00000000" w:rsidR="00000000" w:rsidRPr="00000000">
        <w:rPr>
          <w:rtl w:val="0"/>
        </w:rPr>
      </w:r>
    </w:p>
    <w:p w:rsidR="00000000" w:rsidDel="00000000" w:rsidP="00000000" w:rsidRDefault="00000000" w:rsidRPr="00000000" w14:paraId="000000D0">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X. Instalaciones o modificaciones de ascensores para personas, montacargas, escaleras mecánicas o cualquier otro mecanismo de transporte electromecánico. </w:t>
      </w:r>
      <w:r w:rsidDel="00000000" w:rsidR="00000000" w:rsidRPr="00000000">
        <w:rPr>
          <w:rtl w:val="0"/>
        </w:rPr>
      </w:r>
    </w:p>
    <w:p w:rsidR="00000000" w:rsidDel="00000000" w:rsidP="00000000" w:rsidRDefault="00000000" w:rsidRPr="00000000" w14:paraId="000000D1">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La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r w:rsidDel="00000000" w:rsidR="00000000" w:rsidRPr="00000000">
        <w:rPr>
          <w:rtl w:val="0"/>
        </w:rPr>
      </w:r>
    </w:p>
    <w:p w:rsidR="00000000" w:rsidDel="00000000" w:rsidP="00000000" w:rsidRDefault="00000000" w:rsidRPr="00000000" w14:paraId="000000D2">
      <w:pPr>
        <w:spacing w:after="0" w:line="24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w:t>
      </w:r>
      <w:r w:rsidDel="00000000" w:rsidR="00000000" w:rsidRPr="00000000">
        <w:rPr>
          <w:rtl w:val="0"/>
        </w:rPr>
      </w:r>
    </w:p>
    <w:p w:rsidR="00000000" w:rsidDel="00000000" w:rsidP="00000000" w:rsidRDefault="00000000" w:rsidRPr="00000000" w14:paraId="000000D3">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Quedan exceptuadas de obtener la licencia de construcción a que se refiere el presente artículo, las obras que se ejecuten en bienes inmuebles que sean propiedad o posesión del Gobierno del Estado de México y destinados a la prestación de servicios públicos.</w:t>
      </w:r>
    </w:p>
    <w:p w:rsidR="00000000" w:rsidDel="00000000" w:rsidP="00000000" w:rsidRDefault="00000000" w:rsidRPr="00000000" w14:paraId="000000D4">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5">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18.68.-</w:t>
      </w:r>
      <w:r w:rsidDel="00000000" w:rsidR="00000000" w:rsidRPr="00000000">
        <w:rPr>
          <w:rFonts w:ascii="Palatino Linotype" w:cs="Palatino Linotype" w:eastAsia="Palatino Linotype" w:hAnsi="Palatino Linotype"/>
          <w:i w:val="1"/>
          <w:rtl w:val="0"/>
        </w:rPr>
        <w:t xml:space="preserve"> Las visitas de verificación tendrán por objeto comprobar que en las construcciones terminadas o en proceso se observe el cumplimiento de las disposiciones jurídicas de este Libro, las Normas Técnicas, los proyectos autorizados a través de las licencias y permisos de construcción y demás normatividad aplicable. Las visitas de verificación se realizarán de conformidad con lo establecido en el Código de Procedimientos Administrativos del Estado de México.</w:t>
      </w:r>
    </w:p>
    <w:p w:rsidR="00000000" w:rsidDel="00000000" w:rsidP="00000000" w:rsidRDefault="00000000" w:rsidRPr="00000000" w14:paraId="000000D6">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7">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18.71.</w:t>
      </w:r>
      <w:r w:rsidDel="00000000" w:rsidR="00000000" w:rsidRPr="00000000">
        <w:rPr>
          <w:rFonts w:ascii="Palatino Linotype" w:cs="Palatino Linotype" w:eastAsia="Palatino Linotype" w:hAnsi="Palatino Linotype"/>
          <w:i w:val="1"/>
          <w:rtl w:val="0"/>
        </w:rPr>
        <w:t xml:space="preserve"> El incumplimiento o infracción a las disposiciones del presente Libro, de las Normas Técnicas, de los planes de desarrollo urbano, de las licencias de construcción y de los alineamientos oficiales y demás normatividad aplicable, será sancionada por las autoridades municipales o estatales, según corresponda, conforme al procedimiento establecido en el Código de Procedimientos Administrativos del Estado de México.</w:t>
      </w:r>
    </w:p>
    <w:p w:rsidR="00000000" w:rsidDel="00000000" w:rsidP="00000000" w:rsidRDefault="00000000" w:rsidRPr="00000000" w14:paraId="000000D8">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9">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infracciones se sancionarán con:</w:t>
      </w:r>
    </w:p>
    <w:p w:rsidR="00000000" w:rsidDel="00000000" w:rsidP="00000000" w:rsidRDefault="00000000" w:rsidRPr="00000000" w14:paraId="000000DA">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Clausura provisional o definitiva, parcial o total de funcionamiento;</w:t>
      </w:r>
    </w:p>
    <w:p w:rsidR="00000000" w:rsidDel="00000000" w:rsidP="00000000" w:rsidRDefault="00000000" w:rsidRPr="00000000" w14:paraId="000000DB">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Demolición, parcial o total de construcciones;</w:t>
      </w:r>
    </w:p>
    <w:p w:rsidR="00000000" w:rsidDel="00000000" w:rsidP="00000000" w:rsidRDefault="00000000" w:rsidRPr="00000000" w14:paraId="000000DC">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Retiro de materiales, instalaciones o equipos;</w:t>
      </w:r>
    </w:p>
    <w:p w:rsidR="00000000" w:rsidDel="00000000" w:rsidP="00000000" w:rsidRDefault="00000000" w:rsidRPr="00000000" w14:paraId="000000DD">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Revocación de la licencia otorgada;</w:t>
      </w:r>
    </w:p>
    <w:p w:rsidR="00000000" w:rsidDel="00000000" w:rsidP="00000000" w:rsidRDefault="00000000" w:rsidRPr="00000000" w14:paraId="000000DE">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Multa, atendiendo a la gravedad de la infracción;</w:t>
      </w:r>
    </w:p>
    <w:p w:rsidR="00000000" w:rsidDel="00000000" w:rsidP="00000000" w:rsidRDefault="00000000" w:rsidRPr="00000000" w14:paraId="000000DF">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Amonestación por escrito al Director Responsable de Obra y/o al Corresponsable de Obra.</w:t>
      </w:r>
    </w:p>
    <w:p w:rsidR="00000000" w:rsidDel="00000000" w:rsidP="00000000" w:rsidRDefault="00000000" w:rsidRPr="00000000" w14:paraId="000000E0">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Suspensión temporal por dos años de la autorización como Director Responsable de Obra y/o como Corresponsable de Obra.</w:t>
      </w:r>
    </w:p>
    <w:p w:rsidR="00000000" w:rsidDel="00000000" w:rsidP="00000000" w:rsidRDefault="00000000" w:rsidRPr="00000000" w14:paraId="000000E1">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Cancelación de la autorización corno Director Responsable de Obra y/o como Corresponsable de Obra.</w:t>
      </w:r>
    </w:p>
    <w:p w:rsidR="00000000" w:rsidDel="00000000" w:rsidP="00000000" w:rsidRDefault="00000000" w:rsidRPr="00000000" w14:paraId="000000E2">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Impedimento para obtener licencias de construcción en el Estado de México.” </w:t>
      </w:r>
    </w:p>
    <w:p w:rsidR="00000000" w:rsidDel="00000000" w:rsidP="00000000" w:rsidRDefault="00000000" w:rsidRPr="00000000" w14:paraId="000000E3">
      <w:pPr>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 lo referente a las licencias de construcción, las visitas de verificación tienen por objeto comprobar que en las construcciones terminadas o en proceso se observe el cumplimiento de las disposiciones jurídicas a través de las licencias y permisos de construcción, siendo que el incumplimiento o infracción a las licencias de construcción, se sancionarán bajo diferentes modalidades, como es la clausura provisional o definitiva, parcial o total de funcionamiento.</w:t>
      </w:r>
    </w:p>
    <w:p w:rsidR="00000000" w:rsidDel="00000000" w:rsidP="00000000" w:rsidRDefault="00000000" w:rsidRPr="00000000" w14:paraId="000000E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Establecida dicha circunstancia es importante traer a colación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turnó la solicitud de información, a la Dirección de Desarrollo Urbano;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a efecto de determinar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siguió el procedimiento antes descrito, es necesario referir que el Director de Desarrollo Urbano cuenta con atribuciones para aplicar y vigilar el cumplimiento de las disposiciones legales en materia de ordenamiento territorial de los asentamientos humanos, del desarrollo urbano y vivienda, analizando con ello las cédulas informativas de zonificación, licencias de uso de suelo y licencias de construcción, de conformidad con el artículo 96 sexies de la Ley Orgánica Municipal del Estado de México, que a la letra dice:  </w:t>
      </w:r>
    </w:p>
    <w:p w:rsidR="00000000" w:rsidDel="00000000" w:rsidP="00000000" w:rsidRDefault="00000000" w:rsidRPr="00000000" w14:paraId="000000EB">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C">
      <w:pPr>
        <w:spacing w:after="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96.</w:t>
      </w:r>
      <w:r w:rsidDel="00000000" w:rsidR="00000000" w:rsidRPr="00000000">
        <w:rPr>
          <w:rFonts w:ascii="Palatino Linotype" w:cs="Palatino Linotype" w:eastAsia="Palatino Linotype" w:hAnsi="Palatino Linotype"/>
          <w:i w:val="1"/>
          <w:rtl w:val="0"/>
        </w:rPr>
        <w:t xml:space="preserve"> Sexies. El Director de Desarrollo Urbano o el Titular de la Unidad Administrativa equivalente, tiene las atribuciones siguientes:</w:t>
      </w:r>
    </w:p>
    <w:p w:rsidR="00000000" w:rsidDel="00000000" w:rsidP="00000000" w:rsidRDefault="00000000" w:rsidRPr="00000000" w14:paraId="000000ED">
      <w:pPr>
        <w:spacing w:after="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E">
      <w:pPr>
        <w:spacing w:after="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Aplicar y vigilar el cumplimiento de las disposiciones legales en materia de ordenamiento territorial de los asentamientos humanos, del desarrollo urbano y vivienda;</w:t>
        <w:br w:type="textWrapping"/>
        <w:t xml:space="preserve">(…)</w:t>
      </w:r>
    </w:p>
    <w:p w:rsidR="00000000" w:rsidDel="00000000" w:rsidP="00000000" w:rsidRDefault="00000000" w:rsidRPr="00000000" w14:paraId="000000EF">
      <w:pPr>
        <w:spacing w:after="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Analizar las cédulas informativas de zonificación, licencias de uso de suelo y licencias de construcción;”</w:t>
      </w:r>
    </w:p>
    <w:p w:rsidR="00000000" w:rsidDel="00000000" w:rsidP="00000000" w:rsidRDefault="00000000" w:rsidRPr="00000000" w14:paraId="000000F0">
      <w:pPr>
        <w:spacing w:after="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F1">
      <w:pPr>
        <w:spacing w:after="0" w:lineRule="auto"/>
        <w:ind w:left="851" w:right="90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el Reglamento Orgánico de la Administración Pública Municipal de Naucalpan de Juárez, establece en su artículo 10.2 fracciones XVI, XXXI y XXXII, que la Dirección de Desarrollo Urbano tiene como atribución expedir las constancias de Suspensión Voluntaria y de terminación de Obra parcial o total, que tenga sustento en la Licencia de Uso de Suelo, autorizaciones, dictámenes u opiniones correspondientes; así como participar en su caso de la suspensión o clausura de la obra, cuando existan circunstancias que así lo justifiquen, derivadas de las visitas de verificación y/o inspección; fundamento que inserta para mayor claridad:</w:t>
      </w:r>
    </w:p>
    <w:p w:rsidR="00000000" w:rsidDel="00000000" w:rsidP="00000000" w:rsidRDefault="00000000" w:rsidRPr="00000000" w14:paraId="000000F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10.2.-</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Dirección de Desarrollo Urbano, </w:t>
      </w:r>
      <w:r w:rsidDel="00000000" w:rsidR="00000000" w:rsidRPr="00000000">
        <w:rPr>
          <w:rFonts w:ascii="Palatino Linotype" w:cs="Palatino Linotype" w:eastAsia="Palatino Linotype" w:hAnsi="Palatino Linotype"/>
          <w:i w:val="1"/>
          <w:rtl w:val="0"/>
        </w:rPr>
        <w:t xml:space="preserve">estará a cargo de una persona Titular que se denominará Directora o Director de Administración; quien además de las facultades señaladas en el artículo 1.16 del presente Reglamento, </w:t>
      </w:r>
      <w:r w:rsidDel="00000000" w:rsidR="00000000" w:rsidRPr="00000000">
        <w:rPr>
          <w:rFonts w:ascii="Palatino Linotype" w:cs="Palatino Linotype" w:eastAsia="Palatino Linotype" w:hAnsi="Palatino Linotype"/>
          <w:b w:val="1"/>
          <w:i w:val="1"/>
          <w:rtl w:val="0"/>
        </w:rPr>
        <w:t xml:space="preserve">tendrá las siguientes:</w:t>
      </w:r>
      <w:r w:rsidDel="00000000" w:rsidR="00000000" w:rsidRPr="00000000">
        <w:rPr>
          <w:rFonts w:ascii="Palatino Linotype" w:cs="Palatino Linotype" w:eastAsia="Palatino Linotype" w:hAnsi="Palatino Linotype"/>
          <w:i w:val="1"/>
          <w:rtl w:val="0"/>
        </w:rPr>
        <w:br w:type="textWrapping"/>
        <w:t xml:space="preserve">…</w:t>
      </w:r>
    </w:p>
    <w:p w:rsidR="00000000" w:rsidDel="00000000" w:rsidP="00000000" w:rsidRDefault="00000000" w:rsidRPr="00000000" w14:paraId="000000F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XVI. Expedir la autorización de Cambio de Uso de Suelo, de Densidad e Intensidad y Altura de edificaciones, la Licencia de Uso de Suelo, la Licencia de Uso de Suelo que requiera de Evaluación de Impacto Estatal</w:t>
      </w:r>
      <w:r w:rsidDel="00000000" w:rsidR="00000000" w:rsidRPr="00000000">
        <w:rPr>
          <w:rFonts w:ascii="Palatino Linotype" w:cs="Palatino Linotype" w:eastAsia="Palatino Linotype" w:hAnsi="Palatino Linotype"/>
          <w:i w:val="1"/>
          <w:rtl w:val="0"/>
        </w:rPr>
        <w:t xml:space="preserve">, previamente expedido por la Secretaría de Desarrollo Urbano e Infraestructura, la </w:t>
      </w:r>
      <w:r w:rsidDel="00000000" w:rsidR="00000000" w:rsidRPr="00000000">
        <w:rPr>
          <w:rFonts w:ascii="Palatino Linotype" w:cs="Palatino Linotype" w:eastAsia="Palatino Linotype" w:hAnsi="Palatino Linotype"/>
          <w:b w:val="1"/>
          <w:i w:val="1"/>
          <w:rtl w:val="0"/>
        </w:rPr>
        <w:t xml:space="preserve">Licencia de Construcción, Constancias de Suspensión Voluntaria y de terminación de Obra parcial o total</w:t>
      </w:r>
      <w:r w:rsidDel="00000000" w:rsidR="00000000" w:rsidRPr="00000000">
        <w:rPr>
          <w:rFonts w:ascii="Palatino Linotype" w:cs="Palatino Linotype" w:eastAsia="Palatino Linotype" w:hAnsi="Palatino Linotype"/>
          <w:i w:val="1"/>
          <w:rtl w:val="0"/>
        </w:rPr>
        <w:t xml:space="preserve">, que tenga sustento en la Licencia de Uso de Suelo, autorizaciones, dictámenes u opiniones correspondientes. </w:t>
      </w:r>
    </w:p>
    <w:p w:rsidR="00000000" w:rsidDel="00000000" w:rsidP="00000000" w:rsidRDefault="00000000" w:rsidRPr="00000000" w14:paraId="000000F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0F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XXXI. Participar en la expedición de las Constancias de Suspensión Voluntaria y de Terminación de Obra parcial o total, previo la obtención de la Evolución de Impacto Estatal, en aquellos casos que así se requiera;</w:t>
      </w:r>
    </w:p>
    <w:p w:rsidR="00000000" w:rsidDel="00000000" w:rsidP="00000000" w:rsidRDefault="00000000" w:rsidRPr="00000000" w14:paraId="000000F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XXXII. Participar en su caso de la suspensión o clausura de la obra, cuando existan circunstancias que así lo justifiquen, derivadas de las visitas de verificación y/o inspección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virtud de lo anterior se tiene que, en el presente punto,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dio cabal cumplimiento con el requisito de turnar la solicitud de información al área competente que puede poseer, generar y/o administrar la información requerida.</w:t>
      </w:r>
    </w:p>
    <w:p w:rsidR="00000000" w:rsidDel="00000000" w:rsidP="00000000" w:rsidRDefault="00000000" w:rsidRPr="00000000" w14:paraId="000000F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resulta importante recordar que si bien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respuesta informó que no se han iniciado o suspendido obras en Lomas de Tecamachalco, también lo es que del cuadro de análisis remitido por el Subdirector Jurídico adscrito a la Dirección de Desarrollo Urbano refiere que son dos obras suspendidas; lo cual toma sentido con el pronunciamiento realizado por la Directora de Desarrollo Urbano en informe justificado, en el que confirmó que fueron dos obras suspendidas en Lomas de Tecamachalco, por lo que el punto de análisis se tiene por colmado, toda vez que al haberse pronunciado el Servidor Público Habilitado con facultades, competencias y funciones para atender la solicitud de información, éste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0F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0FE">
      <w:pPr>
        <w:spacing w:after="0" w:lineRule="auto"/>
        <w:ind w:left="851" w:right="843" w:firstLine="0"/>
        <w:jc w:val="both"/>
        <w:rPr>
          <w:rFonts w:ascii="Palatino Linotype" w:cs="Palatino Linotype" w:eastAsia="Palatino Linotype" w:hAnsi="Palatino Linotype"/>
          <w:i w:val="1"/>
        </w:rPr>
      </w:pPr>
      <w:bookmarkStart w:colFirst="0" w:colLast="0" w:name="_heading=h.2et92p0" w:id="1"/>
      <w:bookmarkEnd w:id="1"/>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Cuánto se ha recaudado en la Dirección de Desarrollo Urbano por cada uno de los trámites y servicios que brinda la Dependencia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1">
      <w:pPr>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este punto de análisis, en lo que compete a nuestra materia, el permitir el acceso a los ingresos de los Sujetos Obligados, es una obligación común de transparencia, lo anterior de conformidad con la fracción XLVII del artículo 92 de la Ley de Transparencia y Acceso a la Información Pública del Estado de México y Municipios, que se transcribe a continuación:</w:t>
      </w:r>
    </w:p>
    <w:p w:rsidR="00000000" w:rsidDel="00000000" w:rsidP="00000000" w:rsidRDefault="00000000" w:rsidRPr="00000000" w14:paraId="00000103">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4">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05">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6">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XLVII. Los ingresos recibidos por cualquier concepto señalando el nombre de los responsables de recibirlos, administrarlos y ejercerlos, indicando el destino de cada uno de ellos; </w:t>
      </w:r>
    </w:p>
    <w:p w:rsidR="00000000" w:rsidDel="00000000" w:rsidP="00000000" w:rsidRDefault="00000000" w:rsidRPr="00000000" w14:paraId="00000107">
      <w:pPr>
        <w:spacing w:after="0" w:line="24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8">
      <w:pPr>
        <w:spacing w:after="0" w:line="36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menester traer a colación que el Ayuntamiento de Naucalpan de Juárez de acuerdo con su organigrama cuenta con una Tesorería Municipal que a su vez de esta dependerán diversas unidades administrativas como: Secretaría Técnica; Subtesorería de Ingreso, Subtesorería de Egresos y Coordinación Administrativa. </w:t>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logra advertir que el Ayuntamiento de Naucalpan de Juárez cuenta con atribuciones, facultades y competencias relacionadas con la recaudación y supervisión de los ingresos que se generen en el Municipio, así como, revisar, coordinar, controlar y optimizar la recaudación de los diferentes impuestos, derechos, productos y aprovechamientos a cargo de los contribuyentes, de acuerdo a lo establecido por el Código Financiero y la Ley de Ingresos de los Municipios del Estado de México vigente; y finalmente en materia de derechos, recaudar, registrar y controlar aquellos que se derivan por servicios de desarrollo urbano y obras públicas, siempre y cuando se cuente con previa autorización y liquidación de los montos por parte de la Dependencia correspondiente, ello de conformidad con los artículos 4.6 fracciones I, VI y 4.8 fracción IV del Reglamento Orgánico de la Administración Pública Municipal de Naucalpan de Juárez. </w:t>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la búsqueda realizada en el Catálogo de Trámites y Servicios que obra en la página oficial del Ayuntamiento de Naucalpan de Juárez (consultada en </w:t>
      </w:r>
      <w:r w:rsidDel="00000000" w:rsidR="00000000" w:rsidRPr="00000000">
        <w:rPr>
          <w:rFonts w:ascii="Palatino Linotype" w:cs="Palatino Linotype" w:eastAsia="Palatino Linotype" w:hAnsi="Palatino Linotype"/>
          <w:u w:val="single"/>
          <w:rtl w:val="0"/>
        </w:rPr>
        <w:t xml:space="preserve">https://naucalpan.gob.mx/tramites-y-servicios-remtys/</w:t>
      </w:r>
      <w:r w:rsidDel="00000000" w:rsidR="00000000" w:rsidRPr="00000000">
        <w:rPr>
          <w:rFonts w:ascii="Palatino Linotype" w:cs="Palatino Linotype" w:eastAsia="Palatino Linotype" w:hAnsi="Palatino Linotype"/>
          <w:rtl w:val="0"/>
        </w:rPr>
        <w:t xml:space="preserve">), se encontraron diversas Cédulas de Registro del Trámite o Servicio cuya Unidad Administrativa responsable es la Dirección de Desarrollo Urbano, a través de los cuales se advierte que el monto de cada uno de los trámites y servicios deberá ser pagado en la Ventanilla de la Tesorería Municipal ubicada en la Dirección de Desarrollo Económico o bien en la Tesorería Municipal de Naucalpan de Juárez, tal como se advierte a manera de ejemplo en las siguientes imágenes ilustrativas:  </w:t>
      </w:r>
    </w:p>
    <w:p w:rsidR="00000000" w:rsidDel="00000000" w:rsidP="00000000" w:rsidRDefault="00000000" w:rsidRPr="00000000" w14:paraId="0000010D">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42280" cy="3633346"/>
            <wp:effectExtent b="0" l="0" r="0" t="0"/>
            <wp:docPr id="4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342280" cy="363334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1685344</wp:posOffset>
                </wp:positionH>
                <wp:positionV relativeFrom="paragraph">
                  <wp:posOffset>3350950</wp:posOffset>
                </wp:positionV>
                <wp:extent cx="3858205" cy="266700"/>
                <wp:effectExtent b="0" l="0" r="0" t="0"/>
                <wp:wrapNone/>
                <wp:docPr id="37" name=""/>
                <a:graphic>
                  <a:graphicData uri="http://schemas.microsoft.com/office/word/2010/wordprocessingShape">
                    <wps:wsp>
                      <wps:cNvSpPr/>
                      <wps:cNvPr id="4" name="Shape 4"/>
                      <wps:spPr>
                        <a:xfrm>
                          <a:off x="3426423" y="3656175"/>
                          <a:ext cx="3839155" cy="24765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1685344</wp:posOffset>
                </wp:positionH>
                <wp:positionV relativeFrom="paragraph">
                  <wp:posOffset>3350950</wp:posOffset>
                </wp:positionV>
                <wp:extent cx="3858205" cy="266700"/>
                <wp:effectExtent b="0" l="0" r="0" t="0"/>
                <wp:wrapNone/>
                <wp:docPr id="3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3858205" cy="266700"/>
                        </a:xfrm>
                        <a:prstGeom prst="rect"/>
                        <a:ln/>
                      </pic:spPr>
                    </pic:pic>
                  </a:graphicData>
                </a:graphic>
              </wp:anchor>
            </w:drawing>
          </mc:Fallback>
        </mc:AlternateContent>
      </w:r>
    </w:p>
    <w:p w:rsidR="00000000" w:rsidDel="00000000" w:rsidP="00000000" w:rsidRDefault="00000000" w:rsidRPr="00000000" w14:paraId="0000010E">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81230" cy="3560346"/>
            <wp:effectExtent b="0" l="0" r="0" t="0"/>
            <wp:docPr id="4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381230" cy="3560346"/>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50712" cy="1762924"/>
            <wp:effectExtent b="0" l="0" r="0" t="0"/>
            <wp:docPr id="4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550712" cy="1762924"/>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2655570"/>
            <wp:effectExtent b="0" l="0" r="0" t="0"/>
            <wp:docPr id="46" name="image7.png"/>
            <a:graphic>
              <a:graphicData uri="http://schemas.openxmlformats.org/drawingml/2006/picture">
                <pic:pic>
                  <pic:nvPicPr>
                    <pic:cNvPr id="0" name="image7.png"/>
                    <pic:cNvPicPr preferRelativeResize="0"/>
                  </pic:nvPicPr>
                  <pic:blipFill>
                    <a:blip r:embed="rId13"/>
                    <a:srcRect b="0" l="0" r="0" t="7313"/>
                    <a:stretch>
                      <a:fillRect/>
                    </a:stretch>
                  </pic:blipFill>
                  <pic:spPr>
                    <a:xfrm>
                      <a:off x="0" y="0"/>
                      <a:ext cx="5756275" cy="26555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24766</wp:posOffset>
                </wp:positionH>
                <wp:positionV relativeFrom="paragraph">
                  <wp:posOffset>619760</wp:posOffset>
                </wp:positionV>
                <wp:extent cx="5715000" cy="1000125"/>
                <wp:effectExtent b="0" l="0" r="0" t="0"/>
                <wp:wrapNone/>
                <wp:docPr id="36" name=""/>
                <a:graphic>
                  <a:graphicData uri="http://schemas.microsoft.com/office/word/2010/wordprocessingShape">
                    <wps:wsp>
                      <wps:cNvSpPr/>
                      <wps:cNvPr id="3" name="Shape 3"/>
                      <wps:spPr>
                        <a:xfrm>
                          <a:off x="2498025" y="3289463"/>
                          <a:ext cx="5695950" cy="98107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24766</wp:posOffset>
                </wp:positionH>
                <wp:positionV relativeFrom="paragraph">
                  <wp:posOffset>619760</wp:posOffset>
                </wp:positionV>
                <wp:extent cx="5715000" cy="1000125"/>
                <wp:effectExtent b="0" l="0" r="0" t="0"/>
                <wp:wrapNone/>
                <wp:docPr id="36"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715000" cy="1000125"/>
                        </a:xfrm>
                        <a:prstGeom prst="rect"/>
                        <a:ln/>
                      </pic:spPr>
                    </pic:pic>
                  </a:graphicData>
                </a:graphic>
              </wp:anchor>
            </w:drawing>
          </mc:Fallback>
        </mc:AlternateContent>
      </w:r>
    </w:p>
    <w:p w:rsidR="00000000" w:rsidDel="00000000" w:rsidP="00000000" w:rsidRDefault="00000000" w:rsidRPr="00000000" w14:paraId="00000113">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1849120"/>
            <wp:effectExtent b="0" l="0" r="0" t="0"/>
            <wp:docPr id="4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56275" cy="18491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62866</wp:posOffset>
                </wp:positionH>
                <wp:positionV relativeFrom="paragraph">
                  <wp:posOffset>29845</wp:posOffset>
                </wp:positionV>
                <wp:extent cx="3286125" cy="495300"/>
                <wp:effectExtent b="0" l="0" r="0" t="0"/>
                <wp:wrapNone/>
                <wp:docPr id="35" name=""/>
                <a:graphic>
                  <a:graphicData uri="http://schemas.microsoft.com/office/word/2010/wordprocessingShape">
                    <wps:wsp>
                      <wps:cNvSpPr/>
                      <wps:cNvPr id="2" name="Shape 2"/>
                      <wps:spPr>
                        <a:xfrm>
                          <a:off x="3712463" y="3541875"/>
                          <a:ext cx="3267075" cy="47625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62866</wp:posOffset>
                </wp:positionH>
                <wp:positionV relativeFrom="paragraph">
                  <wp:posOffset>29845</wp:posOffset>
                </wp:positionV>
                <wp:extent cx="3286125" cy="495300"/>
                <wp:effectExtent b="0" l="0" r="0" t="0"/>
                <wp:wrapNone/>
                <wp:docPr id="35"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3286125" cy="495300"/>
                        </a:xfrm>
                        <a:prstGeom prst="rect"/>
                        <a:ln/>
                      </pic:spPr>
                    </pic:pic>
                  </a:graphicData>
                </a:graphic>
              </wp:anchor>
            </w:drawing>
          </mc:Fallback>
        </mc:AlternateContent>
      </w:r>
    </w:p>
    <w:p w:rsidR="00000000" w:rsidDel="00000000" w:rsidP="00000000" w:rsidRDefault="00000000" w:rsidRPr="00000000" w14:paraId="0000011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anteriormente expuesto,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facultades, atribuciones y competencias, para generar, administrar y poseer la información requerida, debido a que se constituye por unidades administrativas cuyas funciones se relacionan con la información solicitada, a saber, la Tesorería Municipal. </w:t>
      </w:r>
    </w:p>
    <w:p w:rsidR="00000000" w:rsidDel="00000000" w:rsidP="00000000" w:rsidRDefault="00000000" w:rsidRPr="00000000" w14:paraId="0000011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00000" w:rsidDel="00000000" w:rsidP="00000000" w:rsidRDefault="00000000" w:rsidRPr="00000000" w14:paraId="00000119">
      <w:pPr>
        <w:spacing w:after="0"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“REGISTRO CONTABLE </w:t>
      </w:r>
    </w:p>
    <w:p w:rsidR="00000000" w:rsidDel="00000000" w:rsidP="00000000" w:rsidRDefault="00000000" w:rsidRPr="00000000" w14:paraId="0000011A">
      <w:pPr>
        <w:spacing w:after="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Asiento que se realiza en los libros de contabilidad de las actividades relacionadas con el ingreso y egresos de un ente económico.” (Sic)</w:t>
      </w:r>
    </w:p>
    <w:p w:rsidR="00000000" w:rsidDel="00000000" w:rsidP="00000000" w:rsidRDefault="00000000" w:rsidRPr="00000000" w14:paraId="0000011B">
      <w:pPr>
        <w:spacing w:after="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C">
      <w:pPr>
        <w:spacing w:after="0"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“REGISTRO PRESUPUESTARIO</w:t>
      </w:r>
    </w:p>
    <w:p w:rsidR="00000000" w:rsidDel="00000000" w:rsidP="00000000" w:rsidRDefault="00000000" w:rsidRPr="00000000" w14:paraId="0000011D">
      <w:pPr>
        <w:spacing w:after="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Asiento contable de las erogaciones realizadas por las dependencias y entidades con relación a la asignación, modificación y ejercicio de los recursos presupuestarios que se les hayan autorizado.” (Sic)</w:t>
      </w:r>
    </w:p>
    <w:p w:rsidR="00000000" w:rsidDel="00000000" w:rsidP="00000000" w:rsidRDefault="00000000" w:rsidRPr="00000000" w14:paraId="000001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11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es preciso referir una definición de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la cual, primeramente, no está definida en el Código Financiero del Estado de México y Municipios; no obstante, los ya mencionados Glosarios la definen como: </w:t>
      </w:r>
    </w:p>
    <w:p w:rsidR="00000000" w:rsidDel="00000000" w:rsidP="00000000" w:rsidRDefault="00000000" w:rsidRPr="00000000" w14:paraId="00000120">
      <w:pPr>
        <w:spacing w:after="0"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PÓLIZA CONTABLE</w:t>
      </w:r>
    </w:p>
    <w:p w:rsidR="00000000" w:rsidDel="00000000" w:rsidP="00000000" w:rsidRDefault="00000000" w:rsidRPr="00000000" w14:paraId="00000121">
      <w:pPr>
        <w:spacing w:after="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Documento en el cual se asientan en forma individual todas y cada una de las operaciones desarrolladas por una institución, así como la información necesaria para la identificación de dichas operaciones.” (sic)</w:t>
      </w:r>
    </w:p>
    <w:p w:rsidR="00000000" w:rsidDel="00000000" w:rsidP="00000000" w:rsidRDefault="00000000" w:rsidRPr="00000000" w14:paraId="0000012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advierte que la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constituye un registro contable y presupuestal con el que cuentan los Municipios para el registro de sus operaciones relacionadas </w:t>
      </w:r>
      <w:r w:rsidDel="00000000" w:rsidR="00000000" w:rsidRPr="00000000">
        <w:rPr>
          <w:rFonts w:ascii="Palatino Linotype" w:cs="Palatino Linotype" w:eastAsia="Palatino Linotype" w:hAnsi="Palatino Linotype"/>
          <w:b w:val="1"/>
          <w:u w:val="single"/>
          <w:rtl w:val="0"/>
        </w:rPr>
        <w:t xml:space="preserve">con sus ingresos</w:t>
      </w:r>
      <w:r w:rsidDel="00000000" w:rsidR="00000000" w:rsidRPr="00000000">
        <w:rPr>
          <w:rFonts w:ascii="Palatino Linotype" w:cs="Palatino Linotype" w:eastAsia="Palatino Linotype" w:hAnsi="Palatino Linotype"/>
          <w:u w:val="single"/>
          <w:rtl w:val="0"/>
        </w:rPr>
        <w:t xml:space="preserve"> y egresos</w:t>
      </w:r>
      <w:r w:rsidDel="00000000" w:rsidR="00000000" w:rsidRPr="00000000">
        <w:rPr>
          <w:rFonts w:ascii="Palatino Linotype" w:cs="Palatino Linotype" w:eastAsia="Palatino Linotype" w:hAnsi="Palatino Linotype"/>
          <w:rtl w:val="0"/>
        </w:rPr>
        <w:t xml:space="preserve"> y se anexan los documentos o comprobantes que justifiquen las anotaciones y cantidades en ellas registradas, lo que permite la identificación plena de dichas operaciones.</w:t>
      </w:r>
    </w:p>
    <w:p w:rsidR="00000000" w:rsidDel="00000000" w:rsidP="00000000" w:rsidRDefault="00000000" w:rsidRPr="00000000" w14:paraId="0000012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existen diversos tipos de pólizas contables de acuerdo a las operaciones realizadas, dentro de las cuales, encontramos las </w:t>
      </w:r>
      <w:r w:rsidDel="00000000" w:rsidR="00000000" w:rsidRPr="00000000">
        <w:rPr>
          <w:rFonts w:ascii="Palatino Linotype" w:cs="Palatino Linotype" w:eastAsia="Palatino Linotype" w:hAnsi="Palatino Linotype"/>
          <w:i w:val="1"/>
          <w:rtl w:val="0"/>
        </w:rPr>
        <w:t xml:space="preserve">pólizas de egresos e ingresos</w:t>
      </w:r>
      <w:r w:rsidDel="00000000" w:rsidR="00000000" w:rsidRPr="00000000">
        <w:rPr>
          <w:rFonts w:ascii="Palatino Linotype" w:cs="Palatino Linotype" w:eastAsia="Palatino Linotype" w:hAnsi="Palatino Linotype"/>
          <w:rtl w:val="0"/>
        </w:rPr>
        <w:t xml:space="preserve">, las primeras son aquellas en las cuales se anotan diariamente las operaciones que representan gastos, es decir, salidas de dinero para el Sujeto Obligado, las que además, deben encontrarse acompañadas de las documentales que sirven de soporte de dicho movimiento, y </w:t>
      </w:r>
      <w:r w:rsidDel="00000000" w:rsidR="00000000" w:rsidRPr="00000000">
        <w:rPr>
          <w:rFonts w:ascii="Palatino Linotype" w:cs="Palatino Linotype" w:eastAsia="Palatino Linotype" w:hAnsi="Palatino Linotype"/>
          <w:b w:val="1"/>
          <w:rtl w:val="0"/>
        </w:rPr>
        <w:t xml:space="preserve">las segundas,</w:t>
      </w:r>
      <w:r w:rsidDel="00000000" w:rsidR="00000000" w:rsidRPr="00000000">
        <w:rPr>
          <w:rFonts w:ascii="Palatino Linotype" w:cs="Palatino Linotype" w:eastAsia="Palatino Linotype" w:hAnsi="Palatino Linotype"/>
          <w:b w:val="1"/>
          <w:u w:val="single"/>
          <w:rtl w:val="0"/>
        </w:rPr>
        <w:t xml:space="preserve"> registran todas la entradas de dinero independientemente de la modalidad</w:t>
      </w:r>
      <w:r w:rsidDel="00000000" w:rsidR="00000000" w:rsidRPr="00000000">
        <w:rPr>
          <w:rFonts w:ascii="Palatino Linotype" w:cs="Palatino Linotype" w:eastAsia="Palatino Linotype" w:hAnsi="Palatino Linotype"/>
          <w:b w:val="1"/>
          <w:rtl w:val="0"/>
        </w:rPr>
        <w:t xml:space="preserve">, ya sea en efectivo, transferencia, cheque o pagaré.</w:t>
      </w:r>
      <w:r w:rsidDel="00000000" w:rsidR="00000000" w:rsidRPr="00000000">
        <w:rPr>
          <w:rtl w:val="0"/>
        </w:rPr>
      </w:r>
    </w:p>
    <w:p w:rsidR="00000000" w:rsidDel="00000000" w:rsidP="00000000" w:rsidRDefault="00000000" w:rsidRPr="00000000" w14:paraId="00000126">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como ya ha sido mencionado en la normatividad antes citada, </w:t>
      </w:r>
      <w:r w:rsidDel="00000000" w:rsidR="00000000" w:rsidRPr="00000000">
        <w:rPr>
          <w:rFonts w:ascii="Palatino Linotype" w:cs="Palatino Linotype" w:eastAsia="Palatino Linotype" w:hAnsi="Palatino Linotype"/>
          <w:b w:val="1"/>
          <w:rtl w:val="0"/>
        </w:rPr>
        <w:t xml:space="preserve">todo registro contable y presupuestal deberá estar soportado con los documentos comprobatorios originales,</w:t>
      </w:r>
      <w:r w:rsidDel="00000000" w:rsidR="00000000" w:rsidRPr="00000000">
        <w:rPr>
          <w:rFonts w:ascii="Palatino Linotype" w:cs="Palatino Linotype" w:eastAsia="Palatino Linotype" w:hAnsi="Palatino Linotype"/>
          <w:rtl w:val="0"/>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000000" w:rsidDel="00000000" w:rsidP="00000000" w:rsidRDefault="00000000" w:rsidRPr="00000000" w14:paraId="000001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puede advertir que, los documentos que puede contener lo recaudado en la Dirección de Desarrollo Urbano por cada uno de los trámites y servicios que brinda la Dependencia, de manera enunciativa más no limitativa, son las Pólizas de Ingresos. </w:t>
      </w:r>
    </w:p>
    <w:p w:rsidR="00000000" w:rsidDel="00000000" w:rsidP="00000000" w:rsidRDefault="00000000" w:rsidRPr="00000000" w14:paraId="00000128">
      <w:pPr>
        <w:widowControl w:val="0"/>
        <w:tabs>
          <w:tab w:val="left" w:leader="none" w:pos="1701"/>
          <w:tab w:val="left" w:leader="none" w:pos="1843"/>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los Lineamientos para la integración y entrega del Informe Trimestral Municipal para el ejercicio fiscal 2025, emitidos por el Órgano Superior de Fiscalización del Estado de México, OSFEM, establecen los criterios, formatos y documentación necesaria para presentar los informes trimestrales por parte de los entes fiscalizables, debiendo integrar la información en cuatro Módulos, los cuales se dividen en submódulos, de los que destaca, en relación con el análisis que nos ocupa, el submódulo relativo a “Pólizas”, del Módulo 1:</w:t>
      </w:r>
    </w:p>
    <w:p w:rsidR="00000000" w:rsidDel="00000000" w:rsidP="00000000" w:rsidRDefault="00000000" w:rsidRPr="00000000" w14:paraId="00000129">
      <w:pPr>
        <w:widowControl w:val="0"/>
        <w:tabs>
          <w:tab w:val="left" w:leader="none" w:pos="1701"/>
          <w:tab w:val="left" w:leader="none" w:pos="1843"/>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3100" cy="1285875"/>
            <wp:effectExtent b="3175" l="3175" r="3175" t="3175"/>
            <wp:docPr id="4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753100" cy="128587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en la imagen anterior, el submódulo “Pólizas”, se integra, entre otras, por las pólizas de ingresos con los respectivos documentos comprobatorios, cuya periodicidad de elaboración es de manera mensual; información que se debe grabar en tres discos compactos, cada uno con un mes del trimestre.</w:t>
      </w:r>
    </w:p>
    <w:p w:rsidR="00000000" w:rsidDel="00000000" w:rsidP="00000000" w:rsidRDefault="00000000" w:rsidRPr="00000000" w14:paraId="0000012B">
      <w:pPr>
        <w:widowControl w:val="0"/>
        <w:tabs>
          <w:tab w:val="left" w:leader="none" w:pos="1701"/>
          <w:tab w:val="left" w:leader="none" w:pos="1843"/>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atendiendo los requerimientos de la persona solicitante, se considera que es el documento que de manera enunciativa más no limitativa, puede colman el punto de análisis. </w:t>
      </w:r>
    </w:p>
    <w:p w:rsidR="00000000" w:rsidDel="00000000" w:rsidP="00000000" w:rsidRDefault="00000000" w:rsidRPr="00000000" w14:paraId="0000012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y en lo que respecta al agravio hecho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relativo a la falta de entrega del monto recaudado por cada uno de los trámites que brinda la Dirección de Desarrollo Urbano, es menester señalar que para la atención de las solicitudes de acceso a la información, debe privilegiarse el </w:t>
      </w:r>
      <w:r w:rsidDel="00000000" w:rsidR="00000000" w:rsidRPr="00000000">
        <w:rPr>
          <w:rFonts w:ascii="Palatino Linotype" w:cs="Palatino Linotype" w:eastAsia="Palatino Linotype" w:hAnsi="Palatino Linotype"/>
          <w:b w:val="1"/>
          <w:rtl w:val="0"/>
        </w:rPr>
        <w:t xml:space="preserve">principio de máxima publicidad</w:t>
      </w:r>
      <w:r w:rsidDel="00000000" w:rsidR="00000000" w:rsidRPr="00000000">
        <w:rPr>
          <w:rFonts w:ascii="Palatino Linotype" w:cs="Palatino Linotype" w:eastAsia="Palatino Linotype" w:hAnsi="Palatino Linotype"/>
          <w:rtl w:val="0"/>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000000" w:rsidDel="00000000" w:rsidP="00000000" w:rsidRDefault="00000000" w:rsidRPr="00000000" w14:paraId="0000012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de tal manera que, la Unidad de Transparencia debió de haber seguido un determinado procedimiento para atender la solicitud que ahora nos ocupa, entre este, </w:t>
      </w:r>
      <w:r w:rsidDel="00000000" w:rsidR="00000000" w:rsidRPr="00000000">
        <w:rPr>
          <w:rFonts w:ascii="Palatino Linotype" w:cs="Palatino Linotype" w:eastAsia="Palatino Linotype" w:hAnsi="Palatino Linotype"/>
          <w:b w:val="1"/>
          <w:u w:val="single"/>
          <w:rtl w:val="0"/>
        </w:rPr>
        <w:t xml:space="preserve">haber turnado la solicitud de información a todas las áreas competentes que pueden contar con la información o deban tenerla de acuerdo con sus facultades, funciones y atribuciones, para que realicen una búsqueda exhaustiva y razonable de la documentación solicitada</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tl w:val="0"/>
        </w:rPr>
      </w:r>
    </w:p>
    <w:p w:rsidR="00000000" w:rsidDel="00000000" w:rsidP="00000000" w:rsidRDefault="00000000" w:rsidRPr="00000000" w14:paraId="0000012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forma que, en el presente caso se advierte que, la solicitud de información no fue atendida por la unidad administrativa que por sus competencias, facultades y atribuciones pueden poseer o administrar la información solicitada, de manera enunciativa más no limitativa, la Tesorería Municipal, es decir, no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haya realizado una búsqueda exhaustiva y razonable de la información requerida en el presente punto de análisis, situación por la que resulta necesario ordenar la búsqueda de la información solicitada.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y debido 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siguió el procedimiento de búsqueda exhaustiva y razonable de la información, se colige que los agravios hechos valer por la parte Recurrente son parcialmente fundados y, por ende, este Organismo Garante determina </w:t>
      </w:r>
      <w:r w:rsidDel="00000000" w:rsidR="00000000" w:rsidRPr="00000000">
        <w:rPr>
          <w:rFonts w:ascii="Palatino Linotype" w:cs="Palatino Linotype" w:eastAsia="Palatino Linotype" w:hAnsi="Palatino Linotype"/>
          <w:b w:val="1"/>
          <w:rtl w:val="0"/>
        </w:rPr>
        <w:t xml:space="preserve">Modificar </w:t>
      </w:r>
      <w:r w:rsidDel="00000000" w:rsidR="00000000" w:rsidRPr="00000000">
        <w:rPr>
          <w:rFonts w:ascii="Palatino Linotype" w:cs="Palatino Linotype" w:eastAsia="Palatino Linotype" w:hAnsi="Palatino Linotype"/>
          <w:rtl w:val="0"/>
        </w:rPr>
        <w:t xml:space="preserve">la respuesta del Sujeto Obligado y;</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ordenar, previa búsqueda exhaustiva y razonable, de ser el caso, en versión pública</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del documento donde conste el monto total recaudado por el pago de tramites y servicios que brinda la Dirección de Desarrollo Urbano, del primero de enero al nueve de abril de dos mil veinticinco. </w:t>
      </w:r>
    </w:p>
    <w:p w:rsidR="00000000" w:rsidDel="00000000" w:rsidP="00000000" w:rsidRDefault="00000000" w:rsidRPr="00000000" w14:paraId="0000013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3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37">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3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3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3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3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3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4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41">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42">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43">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4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4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4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4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4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4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4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4B">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4D">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4F">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5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5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6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6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6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6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64">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6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6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6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6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6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6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6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6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70">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7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parcialmente fundadas las razones o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05539/INFOEM/IP/RR/2025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00367/NAUCALPA/IP/2025</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74">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7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7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7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05539/INFOEM/IP/RR/2025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7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B">
      <w:pPr>
        <w:spacing w:after="0" w:line="360" w:lineRule="auto"/>
        <w:ind w:right="49"/>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haga entrega previa búsqueda exhaustiva y razonable, vía Sistema de Acceso a la Información Mexiquense, de ser el caso, en versión pública, de la siguiente información:</w:t>
      </w:r>
    </w:p>
    <w:p w:rsidR="00000000" w:rsidDel="00000000" w:rsidP="00000000" w:rsidRDefault="00000000" w:rsidRPr="00000000" w14:paraId="0000017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numPr>
          <w:ilvl w:val="0"/>
          <w:numId w:val="1"/>
        </w:num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documento que dé cuenta del monto total recaudado por el pago de trámites y servicios que brinda la Dirección de Desarrollo Urbano, del primero de enero al nueve de abril de dos mil veinticinco. </w:t>
      </w:r>
    </w:p>
    <w:p w:rsidR="00000000" w:rsidDel="00000000" w:rsidP="00000000" w:rsidRDefault="00000000" w:rsidRPr="00000000" w14:paraId="0000017E">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F">
      <w:pPr>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rtl w:val="0"/>
        </w:rPr>
        <w:t xml:space="preserve">Recurrent</w:t>
      </w:r>
      <w:r w:rsidDel="00000000" w:rsidR="00000000" w:rsidRPr="00000000">
        <w:rPr>
          <w:rFonts w:ascii="Palatino Linotype" w:cs="Palatino Linotype" w:eastAsia="Palatino Linotype" w:hAnsi="Palatino Linotype"/>
          <w:i w:val="1"/>
          <w:rtl w:val="0"/>
        </w:rPr>
        <w:t xml:space="preserve">e, mismo que igualmente hará de su conocimiento.</w:t>
      </w:r>
    </w:p>
    <w:p w:rsidR="00000000" w:rsidDel="00000000" w:rsidP="00000000" w:rsidRDefault="00000000" w:rsidRPr="00000000" w14:paraId="0000018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8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8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5">
      <w:pPr>
        <w:spacing w:after="0" w:line="360" w:lineRule="auto"/>
        <w:ind w:right="49"/>
        <w:jc w:val="both"/>
        <w:rPr>
          <w:rFonts w:ascii="Palatino Linotype" w:cs="Palatino Linotype" w:eastAsia="Palatino Linotype" w:hAnsi="Palatino Linotype"/>
        </w:rPr>
      </w:pPr>
      <w:bookmarkStart w:colFirst="0" w:colLast="0" w:name="_heading=h.gjdgxs" w:id="3"/>
      <w:bookmarkEnd w:id="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(AUSENCIA JUSTIFICADA), MARÍA DEL ROSARIO MEJÍA AYALA, SHARON CRISTINA MORALES MARTÍNEZ, LUIS GUSTAVO PARRA NORIEGA Y GUADALUPE RAMÍREZ PEÑA; EN LA VIGÉSIMA NOVENA SESIÓN ORDINARIA CELEBRADA EL VEINTE DE AGOSTO DE DOS MIL VEINTICINCO, ANTE EL SECRETARIO TÉCNICO DEL PLENO ALEXIS TAPIA RAMÍREZ. </w:t>
      </w:r>
    </w:p>
    <w:p w:rsidR="00000000" w:rsidDel="00000000" w:rsidP="00000000" w:rsidRDefault="00000000" w:rsidRPr="00000000" w14:paraId="0000018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-717548</wp:posOffset>
          </wp:positionH>
          <wp:positionV relativeFrom="paragraph">
            <wp:posOffset>-250188</wp:posOffset>
          </wp:positionV>
          <wp:extent cx="7809876" cy="10165823"/>
          <wp:effectExtent b="0" l="0" r="0" t="0"/>
          <wp:wrapNone/>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05539/INFOEM/IP/RR/2025</w:t>
          </w:r>
        </w:p>
      </w:tc>
    </w:tr>
    <w:tr>
      <w:trPr>
        <w:cantSplit w:val="0"/>
        <w:trHeight w:val="217" w:hRule="atLeast"/>
        <w:tblHeader w:val="0"/>
      </w:trPr>
      <w:tc>
        <w:tcPr>
          <w:vAlign w:val="center"/>
        </w:tcPr>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Naucalpan de Juárez</w:t>
          </w:r>
        </w:p>
      </w:tc>
    </w:tr>
    <w:tr>
      <w:trPr>
        <w:cantSplit w:val="0"/>
        <w:tblHeader w:val="0"/>
      </w:trPr>
      <w:tc>
        <w:tcPr>
          <w:vAlign w:val="center"/>
        </w:tcPr>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-725803</wp:posOffset>
          </wp:positionH>
          <wp:positionV relativeFrom="paragraph">
            <wp:posOffset>-29841</wp:posOffset>
          </wp:positionV>
          <wp:extent cx="7809865" cy="10165715"/>
          <wp:effectExtent b="0" l="0" r="0" t="0"/>
          <wp:wrapNone/>
          <wp:docPr id="3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05539/INFOEM/IP/RR/2025</w:t>
          </w:r>
        </w:p>
      </w:tc>
    </w:tr>
    <w:tr>
      <w:trPr>
        <w:cantSplit w:val="0"/>
        <w:tblHeader w:val="0"/>
      </w:trPr>
      <w:tc>
        <w:tcPr>
          <w:vAlign w:val="center"/>
        </w:tcPr>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XXXXXXX XXXXXXXXX </w:t>
          </w:r>
        </w:p>
      </w:tc>
    </w:tr>
    <w:tr>
      <w:trPr>
        <w:cantSplit w:val="0"/>
        <w:trHeight w:val="152" w:hRule="atLeast"/>
        <w:tblHeader w:val="0"/>
      </w:trPr>
      <w:tc>
        <w:tcPr>
          <w:vAlign w:val="center"/>
        </w:tcPr>
        <w:p w:rsidR="00000000" w:rsidDel="00000000" w:rsidP="00000000" w:rsidRDefault="00000000" w:rsidRPr="00000000" w14:paraId="000001A4">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A5">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Naucalpan de Juárez</w:t>
          </w:r>
        </w:p>
      </w:tc>
    </w:tr>
    <w:tr>
      <w:trPr>
        <w:cantSplit w:val="0"/>
        <w:tblHeader w:val="0"/>
      </w:trPr>
      <w:tc>
        <w:tcPr>
          <w:vAlign w:val="center"/>
        </w:tcPr>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15.0" w:type="dxa"/>
        <w:bottom w:w="15.0" w:type="dxa"/>
        <w:right w:w="115.0" w:type="dxa"/>
      </w:tblCellMar>
    </w:tblPr>
  </w:style>
  <w:style w:type="table" w:styleId="a1" w:customStyle="1">
    <w:basedOn w:val="TableNormal"/>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8D175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175B"/>
  </w:style>
  <w:style w:type="paragraph" w:styleId="Piedepgina">
    <w:name w:val="footer"/>
    <w:basedOn w:val="Normal"/>
    <w:link w:val="PiedepginaCar"/>
    <w:uiPriority w:val="99"/>
    <w:unhideWhenUsed w:val="1"/>
    <w:rsid w:val="008D175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A52E0"/>
    <w:pPr>
      <w:ind w:left="720"/>
      <w:contextualSpacing w:val="1"/>
    </w:pPr>
  </w:style>
  <w:style w:type="character" w:styleId="Hipervnculo">
    <w:name w:val="Hyperlink"/>
    <w:basedOn w:val="Fuentedeprrafopredeter"/>
    <w:uiPriority w:val="99"/>
    <w:unhideWhenUsed w:val="1"/>
    <w:rsid w:val="009D3057"/>
    <w:rPr>
      <w:color w:val="0000ff" w:themeColor="hyperlink"/>
      <w:u w:val="single"/>
    </w:rPr>
  </w:style>
  <w:style w:type="character" w:styleId="Mencinsinresolver1" w:customStyle="1">
    <w:name w:val="Mención sin resolver1"/>
    <w:basedOn w:val="Fuentedeprrafopredeter"/>
    <w:uiPriority w:val="99"/>
    <w:semiHidden w:val="1"/>
    <w:unhideWhenUsed w:val="1"/>
    <w:rsid w:val="009D3057"/>
    <w:rPr>
      <w:color w:val="605e5c"/>
      <w:shd w:color="auto" w:fill="e1dfdd" w:val="clear"/>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2441FA"/>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2.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s+BLzl9FFYb+0ri0Tnm7yvAaQ==">CgMxLjAyCWguMzBqMHpsbDIJaC4yZXQ5MnAwMgloLjFmb2I5dGUyCGguZ2pkZ3hzOAByITFkU25zWkRtamtpM2Q2cTFYUElHbHFjT1dpVXI0eGZBTA==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2025-09-04T22:27:00Z</dcterms:created>
  <dc:creator>USUARIO</dc:creator>
</cp:coreProperties>
</file>