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1B8" w:rsidRPr="0024200F" w:rsidRDefault="00B101B8" w:rsidP="00B101B8">
      <w:pPr>
        <w:spacing w:line="360" w:lineRule="auto"/>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sidR="00176574">
        <w:rPr>
          <w:rFonts w:ascii="Palatino Linotype" w:hAnsi="Palatino Linotype"/>
        </w:rPr>
        <w:t>veintiséis</w:t>
      </w:r>
      <w:r>
        <w:rPr>
          <w:rFonts w:ascii="Palatino Linotype" w:hAnsi="Palatino Linotype"/>
        </w:rPr>
        <w:t xml:space="preserve"> de marzo de dos mil veinticinco.</w:t>
      </w:r>
    </w:p>
    <w:p w:rsidR="00B101B8" w:rsidRPr="0024200F" w:rsidRDefault="00B101B8" w:rsidP="00B101B8">
      <w:pPr>
        <w:spacing w:line="360" w:lineRule="auto"/>
        <w:jc w:val="both"/>
        <w:rPr>
          <w:rFonts w:ascii="Palatino Linotype" w:hAnsi="Palatino Linotype"/>
        </w:rPr>
      </w:pPr>
    </w:p>
    <w:p w:rsidR="00B101B8" w:rsidRPr="00BF0355" w:rsidRDefault="00B101B8" w:rsidP="00B101B8">
      <w:pPr>
        <w:tabs>
          <w:tab w:val="left" w:pos="1701"/>
        </w:tabs>
        <w:spacing w:line="360" w:lineRule="auto"/>
        <w:jc w:val="both"/>
        <w:rPr>
          <w:rFonts w:ascii="Palatino Linotype" w:eastAsiaTheme="minorHAnsi" w:hAnsi="Palatino Linotype" w:cs="Arial"/>
          <w:b/>
          <w:lang w:val="es-MX" w:eastAsia="en-US"/>
        </w:rPr>
      </w:pPr>
      <w:r w:rsidRPr="007F0C84">
        <w:rPr>
          <w:rFonts w:ascii="Palatino Linotype" w:hAnsi="Palatino Linotype"/>
          <w:b/>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bookmarkStart w:id="0" w:name="_GoBack"/>
      <w:r>
        <w:rPr>
          <w:rFonts w:ascii="Palatino Linotype" w:hAnsi="Palatino Linotype"/>
          <w:b/>
        </w:rPr>
        <w:t>01855/INFOEM/IP/RR/2025</w:t>
      </w:r>
      <w:bookmarkEnd w:id="0"/>
      <w:r>
        <w:rPr>
          <w:rFonts w:ascii="Palatino Linotype" w:hAnsi="Palatino Linotype"/>
          <w:b/>
        </w:rPr>
        <w:t xml:space="preserve">, </w:t>
      </w:r>
      <w:r w:rsidRPr="00BF0355">
        <w:rPr>
          <w:rFonts w:ascii="Palatino Linotype" w:eastAsiaTheme="minorHAnsi" w:hAnsi="Palatino Linotype" w:cs="Arial"/>
          <w:lang w:val="es-MX" w:eastAsia="en-US"/>
        </w:rPr>
        <w:t xml:space="preserve">interpuesto por </w:t>
      </w:r>
      <w:r>
        <w:rPr>
          <w:rFonts w:ascii="Palatino Linotype" w:eastAsiaTheme="minorHAnsi" w:hAnsi="Palatino Linotype" w:cs="Arial"/>
          <w:lang w:val="es-MX" w:eastAsia="en-US"/>
        </w:rPr>
        <w:t>“</w:t>
      </w:r>
      <w:r w:rsidR="0029535B">
        <w:rPr>
          <w:rFonts w:ascii="Palatino Linotype" w:hAnsi="Palatino Linotype"/>
          <w:b/>
        </w:rPr>
        <w:t>XXXXXXX</w:t>
      </w:r>
      <w:r>
        <w:rPr>
          <w:rFonts w:ascii="Palatino Linotype" w:hAnsi="Palatino Linotype"/>
        </w:rPr>
        <w:t>”</w:t>
      </w:r>
      <w:r w:rsidRPr="00BF0355">
        <w:rPr>
          <w:rFonts w:ascii="Palatino Linotype" w:eastAsiaTheme="minorHAnsi" w:hAnsi="Palatino Linotype" w:cs="Arial"/>
          <w:lang w:val="es-MX" w:eastAsia="en-US"/>
        </w:rPr>
        <w:t xml:space="preserve">, en lo sucesivo </w:t>
      </w:r>
      <w:r>
        <w:rPr>
          <w:rFonts w:ascii="Palatino Linotype" w:eastAsiaTheme="minorHAnsi" w:hAnsi="Palatino Linotype" w:cs="Arial"/>
          <w:b/>
          <w:lang w:val="es-MX" w:eastAsia="en-US"/>
        </w:rPr>
        <w:t xml:space="preserve">la parte </w:t>
      </w:r>
      <w:r w:rsidRPr="00BF0355">
        <w:rPr>
          <w:rFonts w:ascii="Palatino Linotype" w:eastAsiaTheme="minorHAnsi" w:hAnsi="Palatino Linotype" w:cs="Arial"/>
          <w:b/>
          <w:lang w:val="es-MX" w:eastAsia="en-US"/>
        </w:rPr>
        <w:t>Recurrente</w:t>
      </w:r>
      <w:r w:rsidRPr="00BF0355">
        <w:rPr>
          <w:rFonts w:ascii="Palatino Linotype" w:eastAsiaTheme="minorHAnsi" w:hAnsi="Palatino Linotype" w:cs="Arial"/>
          <w:lang w:val="es-MX" w:eastAsia="en-US"/>
        </w:rPr>
        <w:t xml:space="preserve">, en contra de la respuesta </w:t>
      </w:r>
      <w:r>
        <w:rPr>
          <w:rFonts w:ascii="Palatino Linotype" w:eastAsiaTheme="minorHAnsi" w:hAnsi="Palatino Linotype" w:cs="Arial"/>
          <w:lang w:val="es-MX" w:eastAsia="en-US"/>
        </w:rPr>
        <w:t>del</w:t>
      </w:r>
      <w:r w:rsidRPr="00BF0355">
        <w:rPr>
          <w:rFonts w:ascii="Palatino Linotype" w:eastAsiaTheme="minorHAnsi" w:hAnsi="Palatino Linotype" w:cs="Arial"/>
          <w:lang w:val="es-MX" w:eastAsia="en-US"/>
        </w:rPr>
        <w:t xml:space="preserve"> </w:t>
      </w:r>
      <w:r w:rsidRPr="00B101B8">
        <w:rPr>
          <w:rFonts w:ascii="Palatino Linotype" w:hAnsi="Palatino Linotype"/>
          <w:b/>
        </w:rPr>
        <w:t>Ayuntamiento de la Paz</w:t>
      </w:r>
      <w:r w:rsidRPr="00BF0355">
        <w:rPr>
          <w:rFonts w:ascii="Palatino Linotype" w:eastAsiaTheme="minorHAnsi" w:hAnsi="Palatino Linotype" w:cs="Arial"/>
          <w:b/>
          <w:lang w:val="es-MX" w:eastAsia="en-US"/>
        </w:rPr>
        <w:t xml:space="preserve">, </w:t>
      </w:r>
      <w:r w:rsidRPr="00BF0355">
        <w:rPr>
          <w:rFonts w:ascii="Palatino Linotype" w:eastAsiaTheme="minorHAnsi" w:hAnsi="Palatino Linotype" w:cs="Arial"/>
          <w:lang w:val="es-MX" w:eastAsia="en-US"/>
        </w:rPr>
        <w:t>en lo subsecuente</w:t>
      </w:r>
      <w:r w:rsidRPr="00BF0355">
        <w:rPr>
          <w:rFonts w:ascii="Palatino Linotype" w:eastAsiaTheme="minorHAnsi" w:hAnsi="Palatino Linotype" w:cs="Arial"/>
          <w:b/>
          <w:lang w:val="es-MX" w:eastAsia="en-US"/>
        </w:rPr>
        <w:t xml:space="preserve"> el Sujeto Obligado, </w:t>
      </w:r>
      <w:r w:rsidRPr="00BF0355">
        <w:rPr>
          <w:rFonts w:ascii="Palatino Linotype" w:eastAsiaTheme="minorHAnsi" w:hAnsi="Palatino Linotype" w:cs="Arial"/>
          <w:lang w:val="es-MX" w:eastAsia="en-US"/>
        </w:rPr>
        <w:t>se procede a dictar la presente resolución.</w:t>
      </w:r>
    </w:p>
    <w:p w:rsidR="00B101B8" w:rsidRPr="002478BC" w:rsidRDefault="00B101B8" w:rsidP="00B101B8">
      <w:pPr>
        <w:spacing w:line="360" w:lineRule="auto"/>
        <w:jc w:val="both"/>
        <w:rPr>
          <w:rFonts w:ascii="Palatino Linotype" w:hAnsi="Palatino Linotype"/>
          <w:b/>
          <w:bCs/>
          <w:spacing w:val="60"/>
          <w:lang w:val="es-ES_tradnl"/>
        </w:rPr>
      </w:pPr>
    </w:p>
    <w:p w:rsidR="00B101B8" w:rsidRPr="0024200F" w:rsidRDefault="00B101B8" w:rsidP="00B101B8">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rsidR="00B101B8" w:rsidRPr="0024200F" w:rsidRDefault="00B101B8" w:rsidP="00B101B8">
      <w:pPr>
        <w:spacing w:line="360" w:lineRule="auto"/>
        <w:jc w:val="center"/>
        <w:rPr>
          <w:rFonts w:ascii="Palatino Linotype" w:hAnsi="Palatino Linotype"/>
          <w:b/>
          <w:bCs/>
          <w:spacing w:val="60"/>
          <w:lang w:val="es-ES_tradnl"/>
        </w:rPr>
      </w:pPr>
    </w:p>
    <w:p w:rsidR="00B101B8" w:rsidRDefault="00B101B8" w:rsidP="00B101B8">
      <w:pPr>
        <w:spacing w:line="360" w:lineRule="auto"/>
        <w:jc w:val="both"/>
        <w:rPr>
          <w:rFonts w:ascii="Palatino Linotype" w:hAnsi="Palatino Linotype"/>
          <w:b/>
          <w:sz w:val="28"/>
          <w:szCs w:val="28"/>
        </w:rPr>
      </w:pPr>
      <w:r w:rsidRPr="0024200F">
        <w:rPr>
          <w:rFonts w:ascii="Palatino Linotype" w:hAnsi="Palatino Linotype"/>
          <w:b/>
          <w:sz w:val="28"/>
          <w:szCs w:val="28"/>
        </w:rPr>
        <w:t xml:space="preserve">PRIMERO. </w:t>
      </w:r>
      <w:r w:rsidRPr="004A5A38">
        <w:rPr>
          <w:rFonts w:ascii="Palatino Linotype" w:hAnsi="Palatino Linotype"/>
          <w:b/>
          <w:sz w:val="28"/>
          <w:szCs w:val="28"/>
        </w:rPr>
        <w:t>De la Solicitud de Información</w:t>
      </w:r>
      <w:r w:rsidRPr="002C3EC8">
        <w:rPr>
          <w:rFonts w:ascii="Palatino Linotype" w:hAnsi="Palatino Linotype"/>
          <w:b/>
          <w:sz w:val="28"/>
          <w:szCs w:val="28"/>
        </w:rPr>
        <w:t>.</w:t>
      </w:r>
    </w:p>
    <w:p w:rsidR="00B101B8" w:rsidRPr="0024200F" w:rsidRDefault="00B101B8" w:rsidP="00B101B8">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w:t>
      </w:r>
      <w:r>
        <w:rPr>
          <w:rFonts w:ascii="Palatino Linotype" w:hAnsi="Palatino Linotype"/>
          <w:b/>
        </w:rPr>
        <w:t>once de febrero</w:t>
      </w:r>
      <w:r w:rsidRPr="00F22EC7">
        <w:rPr>
          <w:rFonts w:ascii="Palatino Linotype" w:hAnsi="Palatino Linotype"/>
          <w:b/>
        </w:rPr>
        <w:t xml:space="preserve"> de dos mil veinticinco</w:t>
      </w:r>
      <w:r w:rsidRPr="0024200F">
        <w:rPr>
          <w:rFonts w:ascii="Palatino Linotype" w:hAnsi="Palatino Linotype"/>
        </w:rPr>
        <w:t>, el</w:t>
      </w:r>
      <w:r w:rsidRPr="0024200F">
        <w:rPr>
          <w:rFonts w:ascii="Palatino Linotype" w:hAnsi="Palatino Linotype"/>
          <w:b/>
        </w:rPr>
        <w:t xml:space="preserve"> </w:t>
      </w:r>
      <w:r w:rsidRPr="00EB0CBC">
        <w:rPr>
          <w:rFonts w:ascii="Palatino Linotype" w:hAnsi="Palatino Linotype"/>
          <w:b/>
        </w:rPr>
        <w:t>Recurrente</w:t>
      </w:r>
      <w:r w:rsidRPr="0024200F">
        <w:rPr>
          <w:rFonts w:ascii="Palatino Linotype" w:hAnsi="Palatino Linotype"/>
        </w:rPr>
        <w:t xml:space="preserve"> presentó a través </w:t>
      </w:r>
      <w:r>
        <w:rPr>
          <w:rFonts w:ascii="Palatino Linotype" w:hAnsi="Palatino Linotype"/>
        </w:rPr>
        <w:t xml:space="preserve">del </w:t>
      </w:r>
      <w:r w:rsidRPr="0024200F">
        <w:rPr>
          <w:rFonts w:ascii="Palatino Linotype" w:hAnsi="Palatino Linotype"/>
        </w:rPr>
        <w:t>Sistema de Acceso a la Información Mexiquense</w:t>
      </w:r>
      <w:r>
        <w:rPr>
          <w:rFonts w:ascii="Palatino Linotype" w:hAnsi="Palatino Linotype"/>
        </w:rPr>
        <w:t xml:space="preserve"> (</w:t>
      </w:r>
      <w:r w:rsidRPr="0024200F">
        <w:rPr>
          <w:rFonts w:ascii="Palatino Linotype" w:hAnsi="Palatino Linotype"/>
          <w:b/>
        </w:rPr>
        <w:t>SAIMEX</w:t>
      </w:r>
      <w:r>
        <w:rPr>
          <w:rFonts w:ascii="Palatino Linotype" w:hAnsi="Palatino Linotype"/>
          <w:b/>
        </w:rPr>
        <w:t>)</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a la que se le</w:t>
      </w:r>
      <w:r>
        <w:rPr>
          <w:rFonts w:ascii="Palatino Linotype" w:hAnsi="Palatino Linotype"/>
        </w:rPr>
        <w:t>s</w:t>
      </w:r>
      <w:r w:rsidRPr="0024200F">
        <w:rPr>
          <w:rFonts w:ascii="Palatino Linotype" w:hAnsi="Palatino Linotype"/>
        </w:rPr>
        <w:t xml:space="preserve"> asignó el número de expediente </w:t>
      </w:r>
      <w:r>
        <w:rPr>
          <w:rFonts w:ascii="Palatino Linotype" w:hAnsi="Palatino Linotype"/>
          <w:b/>
          <w:bCs/>
        </w:rPr>
        <w:t xml:space="preserve">00104/LAPAZ/IP/2025, </w:t>
      </w:r>
      <w:r w:rsidRPr="0024200F">
        <w:rPr>
          <w:rFonts w:ascii="Palatino Linotype" w:hAnsi="Palatino Linotype"/>
        </w:rPr>
        <w:t>mediante la cual solicitó, lo siguiente:</w:t>
      </w:r>
    </w:p>
    <w:p w:rsidR="00B101B8" w:rsidRDefault="00B101B8" w:rsidP="00B101B8">
      <w:pPr>
        <w:spacing w:line="360" w:lineRule="auto"/>
        <w:jc w:val="both"/>
        <w:rPr>
          <w:rFonts w:ascii="Palatino Linotype" w:hAnsi="Palatino Linotype" w:cs="Arial"/>
        </w:rPr>
      </w:pPr>
    </w:p>
    <w:p w:rsidR="00B101B8" w:rsidRPr="008B31F6" w:rsidRDefault="00B101B8" w:rsidP="00B101B8">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Pr="00B101B8">
        <w:rPr>
          <w:rFonts w:ascii="Palatino Linotype" w:hAnsi="Palatino Linotype"/>
          <w:bCs/>
          <w:i/>
          <w:sz w:val="22"/>
        </w:rPr>
        <w:t>Acta de Cabildo de la administración 2021-2024 del Ayuntamiento La Paz</w:t>
      </w:r>
      <w:r>
        <w:rPr>
          <w:rFonts w:ascii="Palatino Linotype" w:hAnsi="Palatino Linotype"/>
          <w:bCs/>
          <w:i/>
          <w:sz w:val="22"/>
        </w:rPr>
        <w:t xml:space="preserve">” </w:t>
      </w:r>
      <w:r w:rsidRPr="008B31F6">
        <w:rPr>
          <w:rFonts w:ascii="Palatino Linotype" w:hAnsi="Palatino Linotype"/>
          <w:bCs/>
          <w:i/>
          <w:sz w:val="22"/>
        </w:rPr>
        <w:t>(Sic)</w:t>
      </w:r>
    </w:p>
    <w:p w:rsidR="00B101B8" w:rsidRPr="00B02F4C" w:rsidRDefault="00B101B8" w:rsidP="00B101B8">
      <w:pPr>
        <w:spacing w:line="360" w:lineRule="auto"/>
        <w:ind w:left="567" w:right="616"/>
        <w:jc w:val="both"/>
        <w:rPr>
          <w:rFonts w:ascii="Palatino Linotype" w:hAnsi="Palatino Linotype"/>
          <w:bCs/>
        </w:rPr>
      </w:pPr>
    </w:p>
    <w:p w:rsidR="00B101B8" w:rsidRDefault="00B101B8" w:rsidP="00B101B8">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a través del SAIMEX</w:t>
      </w:r>
      <w:r>
        <w:rPr>
          <w:rFonts w:ascii="Palatino Linotype" w:hAnsi="Palatino Linotype"/>
          <w:b/>
          <w:i/>
          <w:szCs w:val="28"/>
          <w:lang w:val="es-MX"/>
        </w:rPr>
        <w:t xml:space="preserve">   </w:t>
      </w:r>
    </w:p>
    <w:p w:rsidR="00B101B8" w:rsidRDefault="00B101B8" w:rsidP="00B101B8">
      <w:pPr>
        <w:spacing w:line="360" w:lineRule="auto"/>
        <w:jc w:val="both"/>
        <w:rPr>
          <w:rFonts w:ascii="Palatino Linotype" w:hAnsi="Palatino Linotype"/>
          <w:b/>
          <w:sz w:val="28"/>
          <w:szCs w:val="28"/>
          <w:lang w:val="es-MX"/>
        </w:rPr>
      </w:pPr>
    </w:p>
    <w:p w:rsidR="00B101B8" w:rsidRDefault="00B101B8" w:rsidP="00B101B8">
      <w:pPr>
        <w:spacing w:line="360" w:lineRule="auto"/>
        <w:jc w:val="both"/>
        <w:rPr>
          <w:rFonts w:ascii="Palatino Linotype" w:hAnsi="Palatino Linotype" w:cs="Arial"/>
          <w:b/>
          <w:sz w:val="28"/>
          <w:szCs w:val="20"/>
        </w:rPr>
      </w:pPr>
      <w:r>
        <w:rPr>
          <w:rFonts w:ascii="Palatino Linotype" w:hAnsi="Palatino Linotype"/>
          <w:b/>
          <w:sz w:val="28"/>
          <w:szCs w:val="28"/>
          <w:lang w:val="es-MX"/>
        </w:rPr>
        <w:t xml:space="preserve">SEGUNDO. </w:t>
      </w:r>
      <w:r w:rsidRPr="002C3EC8">
        <w:rPr>
          <w:rFonts w:ascii="Palatino Linotype" w:hAnsi="Palatino Linotype" w:cs="Arial"/>
          <w:b/>
          <w:sz w:val="28"/>
          <w:szCs w:val="20"/>
        </w:rPr>
        <w:t>De la respuesta del Sujeto Obligado.</w:t>
      </w:r>
    </w:p>
    <w:p w:rsidR="00B101B8" w:rsidRDefault="00B101B8" w:rsidP="00B101B8">
      <w:pPr>
        <w:spacing w:line="360" w:lineRule="auto"/>
        <w:jc w:val="both"/>
        <w:rPr>
          <w:rFonts w:ascii="Palatino Linotype" w:hAnsi="Palatino Linotype"/>
        </w:rPr>
      </w:pPr>
      <w:r w:rsidRPr="00F1796C">
        <w:rPr>
          <w:rFonts w:ascii="Palatino Linotype" w:hAnsi="Palatino Linotype"/>
        </w:rPr>
        <w:lastRenderedPageBreak/>
        <w:t>Como se advierte de las constancias del e</w:t>
      </w:r>
      <w:r>
        <w:rPr>
          <w:rFonts w:ascii="Palatino Linotype" w:hAnsi="Palatino Linotype"/>
        </w:rPr>
        <w:t xml:space="preserve">xpediente electrónico, en fecha </w:t>
      </w:r>
      <w:r>
        <w:rPr>
          <w:rFonts w:ascii="Palatino Linotype" w:hAnsi="Palatino Linotype"/>
          <w:b/>
        </w:rPr>
        <w:t>veinte de febrero</w:t>
      </w:r>
      <w:r w:rsidRPr="00F22EC7">
        <w:rPr>
          <w:rFonts w:ascii="Palatino Linotype" w:hAnsi="Palatino Linotype"/>
          <w:b/>
        </w:rPr>
        <w:t xml:space="preserve"> de dos mil veinticinco</w:t>
      </w:r>
      <w:r w:rsidRPr="00F1796C">
        <w:rPr>
          <w:rFonts w:ascii="Palatino Linotype" w:hAnsi="Palatino Linotype"/>
        </w:rPr>
        <w:t xml:space="preserve">, el </w:t>
      </w:r>
      <w:r w:rsidRPr="00F1796C">
        <w:rPr>
          <w:rFonts w:ascii="Palatino Linotype" w:hAnsi="Palatino Linotype"/>
          <w:b/>
        </w:rPr>
        <w:t>Sujeto Obligado</w:t>
      </w:r>
      <w:r w:rsidRPr="00F1796C">
        <w:rPr>
          <w:rFonts w:ascii="Palatino Linotype" w:hAnsi="Palatino Linotype"/>
        </w:rPr>
        <w:t xml:space="preserve"> hizo entrega al </w:t>
      </w:r>
      <w:r w:rsidRPr="00F1796C">
        <w:rPr>
          <w:rFonts w:ascii="Palatino Linotype" w:hAnsi="Palatino Linotype"/>
          <w:b/>
        </w:rPr>
        <w:t>Recurrente</w:t>
      </w:r>
      <w:r w:rsidRPr="00F1796C">
        <w:rPr>
          <w:rFonts w:ascii="Palatino Linotype" w:hAnsi="Palatino Linotype"/>
        </w:rPr>
        <w:t xml:space="preserve"> de la respuesta emitida a la solicitud de información, en los términos siguientes:</w:t>
      </w:r>
    </w:p>
    <w:p w:rsidR="00B101B8" w:rsidRDefault="00B101B8" w:rsidP="00B101B8">
      <w:pPr>
        <w:spacing w:line="360" w:lineRule="auto"/>
        <w:jc w:val="both"/>
        <w:rPr>
          <w:rFonts w:ascii="Palatino Linotype" w:hAnsi="Palatino Linotype"/>
        </w:rPr>
      </w:pPr>
    </w:p>
    <w:p w:rsidR="00B101B8" w:rsidRPr="00157DDD" w:rsidRDefault="00B101B8" w:rsidP="00B101B8">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Pr="00B101B8">
        <w:rPr>
          <w:rFonts w:ascii="Palatino Linotype" w:hAnsi="Palatino Linotype"/>
          <w:bCs/>
          <w:i/>
          <w:sz w:val="22"/>
        </w:rPr>
        <w:t xml:space="preserve">Se anexa archivo adjunto. Por último, no se omite mencionar que de conformidad con dispuesto en los Artículos 142, 143, 144 y 145 de la Ley General de Transparencia y Acceso a la Información Pública, así como 176, 177,178 de la Ley de Transparencia y Acceso a la Información </w:t>
      </w:r>
      <w:proofErr w:type="spellStart"/>
      <w:r w:rsidRPr="00B101B8">
        <w:rPr>
          <w:rFonts w:ascii="Palatino Linotype" w:hAnsi="Palatino Linotype"/>
          <w:bCs/>
          <w:i/>
          <w:sz w:val="22"/>
        </w:rPr>
        <w:t>Publica</w:t>
      </w:r>
      <w:proofErr w:type="spellEnd"/>
      <w:r w:rsidRPr="00B101B8">
        <w:rPr>
          <w:rFonts w:ascii="Palatino Linotype" w:hAnsi="Palatino Linotype"/>
          <w:bCs/>
          <w:i/>
          <w:sz w:val="22"/>
        </w:rPr>
        <w:t xml:space="preserve"> del Estado de México y Municipios, usted podrá interponer el recurso de revisión ante el Instituto de Acceso a la Información </w:t>
      </w:r>
      <w:proofErr w:type="spellStart"/>
      <w:r w:rsidRPr="00B101B8">
        <w:rPr>
          <w:rFonts w:ascii="Palatino Linotype" w:hAnsi="Palatino Linotype"/>
          <w:bCs/>
          <w:i/>
          <w:sz w:val="22"/>
        </w:rPr>
        <w:t>Publica</w:t>
      </w:r>
      <w:proofErr w:type="spellEnd"/>
      <w:r w:rsidRPr="00B101B8">
        <w:rPr>
          <w:rFonts w:ascii="Palatino Linotype" w:hAnsi="Palatino Linotype"/>
          <w:bCs/>
          <w:i/>
          <w:sz w:val="22"/>
        </w:rPr>
        <w:t xml:space="preserve"> y Protección de Datos Personales del Estado de México y Municipios dentro de los 15 días hábiles siguientes a la fecha de notificación de la respuesta. Sin otro particular, reciba un cordial saludo.</w:t>
      </w:r>
      <w:r>
        <w:rPr>
          <w:rFonts w:ascii="Palatino Linotype" w:hAnsi="Palatino Linotype"/>
          <w:bCs/>
          <w:i/>
          <w:sz w:val="22"/>
        </w:rPr>
        <w:t>”</w:t>
      </w:r>
    </w:p>
    <w:p w:rsidR="00B101B8" w:rsidRDefault="00B101B8" w:rsidP="00B101B8">
      <w:pPr>
        <w:spacing w:line="360" w:lineRule="auto"/>
        <w:jc w:val="both"/>
        <w:rPr>
          <w:rFonts w:ascii="Palatino Linotype" w:hAnsi="Palatino Linotype" w:cs="Arial"/>
        </w:rPr>
      </w:pPr>
    </w:p>
    <w:p w:rsidR="00B101B8" w:rsidRDefault="00B101B8" w:rsidP="00B101B8">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los archivos electrónicos denominados “</w:t>
      </w:r>
      <w:r w:rsidRPr="00B101B8">
        <w:rPr>
          <w:rFonts w:ascii="Palatino Linotype" w:hAnsi="Palatino Linotype" w:cs="Arial"/>
          <w:b/>
          <w:i/>
        </w:rPr>
        <w:t>00104.pdf</w:t>
      </w:r>
      <w:r>
        <w:rPr>
          <w:rFonts w:ascii="Palatino Linotype" w:hAnsi="Palatino Linotype" w:cs="Arial"/>
          <w:b/>
          <w:i/>
        </w:rPr>
        <w:t>” y “</w:t>
      </w:r>
      <w:r w:rsidRPr="00B101B8">
        <w:rPr>
          <w:rFonts w:ascii="Palatino Linotype" w:hAnsi="Palatino Linotype" w:cs="Arial"/>
          <w:b/>
          <w:i/>
        </w:rPr>
        <w:t>SOLICITUD DE RESPUESTA 00104.pdf</w:t>
      </w:r>
      <w:r>
        <w:rPr>
          <w:rFonts w:ascii="Palatino Linotype" w:hAnsi="Palatino Linotype" w:cs="Arial"/>
          <w:b/>
          <w:i/>
        </w:rPr>
        <w:t xml:space="preserve">”, </w:t>
      </w:r>
      <w:r>
        <w:rPr>
          <w:rFonts w:ascii="Palatino Linotype" w:hAnsi="Palatino Linotype" w:cs="Arial"/>
        </w:rPr>
        <w:t xml:space="preserve">mismos que no se reproducen por ser del conocimiento de las partes, sin embargo, serán materia de estudio en el considerando respectivo. </w:t>
      </w:r>
    </w:p>
    <w:p w:rsidR="00B101B8" w:rsidRDefault="00B101B8" w:rsidP="00B101B8">
      <w:pPr>
        <w:spacing w:line="360" w:lineRule="auto"/>
        <w:ind w:right="616"/>
        <w:jc w:val="both"/>
        <w:rPr>
          <w:rFonts w:ascii="Palatino Linotype" w:hAnsi="Palatino Linotype"/>
          <w:bCs/>
        </w:rPr>
      </w:pPr>
    </w:p>
    <w:p w:rsidR="00B101B8" w:rsidRDefault="00B101B8" w:rsidP="00B101B8">
      <w:pPr>
        <w:spacing w:line="360" w:lineRule="auto"/>
        <w:ind w:right="51"/>
        <w:jc w:val="both"/>
        <w:rPr>
          <w:rFonts w:ascii="Palatino Linotype" w:hAnsi="Palatino Linotype"/>
          <w:b/>
          <w:sz w:val="28"/>
        </w:rPr>
      </w:pPr>
      <w:r>
        <w:rPr>
          <w:rFonts w:ascii="Palatino Linotype" w:hAnsi="Palatino Linotype" w:cs="Arial"/>
          <w:b/>
          <w:sz w:val="28"/>
          <w:szCs w:val="28"/>
        </w:rPr>
        <w:t>TERCERO</w:t>
      </w:r>
      <w:r w:rsidRPr="0024200F">
        <w:rPr>
          <w:rFonts w:ascii="Palatino Linotype" w:hAnsi="Palatino Linotype" w:cs="Arial"/>
          <w:b/>
          <w:sz w:val="28"/>
          <w:szCs w:val="22"/>
          <w:lang w:val="es-MX"/>
        </w:rPr>
        <w:t>.</w:t>
      </w:r>
      <w:r w:rsidRPr="0024200F">
        <w:rPr>
          <w:rFonts w:ascii="Palatino Linotype" w:hAnsi="Palatino Linotype" w:cs="Arial"/>
          <w:b/>
          <w:szCs w:val="22"/>
          <w:lang w:val="es-MX"/>
        </w:rPr>
        <w:t xml:space="preserve"> </w:t>
      </w:r>
      <w:r w:rsidRPr="002C3EC8">
        <w:rPr>
          <w:rFonts w:ascii="Palatino Linotype" w:hAnsi="Palatino Linotype"/>
          <w:b/>
          <w:sz w:val="28"/>
        </w:rPr>
        <w:t>Del recurso de revisión.</w:t>
      </w:r>
    </w:p>
    <w:p w:rsidR="00B101B8" w:rsidRDefault="00B101B8" w:rsidP="00B101B8">
      <w:pPr>
        <w:spacing w:line="360" w:lineRule="auto"/>
        <w:ind w:right="51"/>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 respuesta</w:t>
      </w:r>
      <w:r>
        <w:rPr>
          <w:rFonts w:ascii="Palatino Linotype" w:hAnsi="Palatino Linotype" w:cs="Arial"/>
        </w:rPr>
        <w:t xml:space="preserve"> emitida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día</w:t>
      </w:r>
      <w:r>
        <w:rPr>
          <w:rFonts w:ascii="Palatino Linotype" w:hAnsi="Palatino Linotype"/>
        </w:rPr>
        <w:t xml:space="preserve"> </w:t>
      </w:r>
      <w:r>
        <w:rPr>
          <w:rFonts w:ascii="Palatino Linotype" w:hAnsi="Palatino Linotype"/>
          <w:b/>
        </w:rPr>
        <w:t>veintidós</w:t>
      </w:r>
      <w:r w:rsidRPr="00F22EC7">
        <w:rPr>
          <w:rFonts w:ascii="Palatino Linotype" w:hAnsi="Palatino Linotype"/>
          <w:b/>
        </w:rPr>
        <w:t xml:space="preserve"> de febrero de dos mil veinticinco</w:t>
      </w:r>
      <w:r>
        <w:rPr>
          <w:rFonts w:ascii="Palatino Linotype" w:hAnsi="Palatino Linotype" w:cs="Arial"/>
        </w:rPr>
        <w:t>, la parte</w:t>
      </w:r>
      <w:r w:rsidRPr="0024200F">
        <w:rPr>
          <w:rFonts w:ascii="Palatino Linotype" w:hAnsi="Palatino Linotype" w:cs="Arial"/>
          <w:b/>
          <w:color w:val="000000"/>
        </w:rPr>
        <w:t xml:space="preserve"> </w:t>
      </w:r>
      <w:r w:rsidRPr="00EB0CBC">
        <w:rPr>
          <w:rFonts w:ascii="Palatino Linotype" w:hAnsi="Palatino Linotype" w:cs="Arial"/>
          <w:b/>
          <w:color w:val="000000"/>
        </w:rPr>
        <w:t>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w:t>
      </w:r>
      <w:r>
        <w:rPr>
          <w:rFonts w:ascii="Palatino Linotype" w:hAnsi="Palatino Linotype" w:cs="Arial"/>
        </w:rPr>
        <w:t xml:space="preserve"> 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Pr>
          <w:rFonts w:ascii="Palatino Linotype" w:eastAsia="Arial Unicode MS" w:hAnsi="Palatino Linotype" w:cs="Arial"/>
          <w:b/>
        </w:rPr>
        <w:t>01855/INFOEM/IP/RR/2025</w:t>
      </w:r>
      <w:r>
        <w:rPr>
          <w:rFonts w:ascii="Palatino Linotype" w:hAnsi="Palatino Linotype"/>
          <w:b/>
        </w:rPr>
        <w:t xml:space="preserve">,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omo:</w:t>
      </w:r>
    </w:p>
    <w:p w:rsidR="00B101B8" w:rsidRDefault="00B101B8" w:rsidP="00B101B8">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A</w:t>
      </w:r>
      <w:r w:rsidRPr="00CA3287">
        <w:rPr>
          <w:rFonts w:ascii="Palatino Linotype" w:hAnsi="Palatino Linotype" w:cs="Arial"/>
          <w:b/>
        </w:rPr>
        <w:t>cto impugnado</w:t>
      </w:r>
      <w:r>
        <w:rPr>
          <w:rFonts w:ascii="Palatino Linotype" w:hAnsi="Palatino Linotype" w:cs="Arial"/>
        </w:rPr>
        <w:t>:</w:t>
      </w:r>
    </w:p>
    <w:p w:rsidR="00B101B8" w:rsidRDefault="00B101B8" w:rsidP="00B101B8">
      <w:pPr>
        <w:pStyle w:val="INFOEM"/>
        <w:spacing w:line="240" w:lineRule="auto"/>
      </w:pPr>
      <w:r>
        <w:t>“</w:t>
      </w:r>
      <w:r w:rsidRPr="00B101B8">
        <w:t>RECURSO DE REVISION POR FALTA DE INFORMACION</w:t>
      </w:r>
      <w:r>
        <w:t>” (Sic)</w:t>
      </w:r>
    </w:p>
    <w:p w:rsidR="00B101B8" w:rsidRPr="00CA3287" w:rsidRDefault="00B101B8" w:rsidP="00B101B8">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M</w:t>
      </w:r>
      <w:r w:rsidRPr="00CA3287">
        <w:rPr>
          <w:rFonts w:ascii="Palatino Linotype" w:hAnsi="Palatino Linotype" w:cs="Arial"/>
          <w:b/>
        </w:rPr>
        <w:t>otivos o razones de inconformidad</w:t>
      </w:r>
      <w:r>
        <w:rPr>
          <w:rFonts w:ascii="Palatino Linotype" w:hAnsi="Palatino Linotype" w:cs="Arial"/>
        </w:rPr>
        <w:t>:</w:t>
      </w:r>
    </w:p>
    <w:p w:rsidR="00B101B8" w:rsidRDefault="00B101B8" w:rsidP="00B101B8">
      <w:pPr>
        <w:pStyle w:val="INFOEM"/>
        <w:spacing w:line="240" w:lineRule="auto"/>
        <w:ind w:left="780"/>
      </w:pPr>
      <w:r>
        <w:t>“</w:t>
      </w:r>
      <w:r w:rsidRPr="00B101B8">
        <w:t>NO DIO INFORMACION DE LO REQUERIDO</w:t>
      </w:r>
      <w:r>
        <w:t>” (Sic)</w:t>
      </w:r>
    </w:p>
    <w:p w:rsidR="00B101B8" w:rsidRDefault="00B101B8" w:rsidP="00B101B8">
      <w:pPr>
        <w:spacing w:before="240" w:line="360" w:lineRule="auto"/>
        <w:jc w:val="both"/>
        <w:rPr>
          <w:rFonts w:ascii="Palatino Linotype" w:hAnsi="Palatino Linotype" w:cs="Arial"/>
          <w:b/>
          <w:sz w:val="28"/>
          <w:szCs w:val="22"/>
          <w:lang w:val="es-MX"/>
        </w:rPr>
      </w:pPr>
    </w:p>
    <w:p w:rsidR="00B101B8" w:rsidRPr="002C3EC8" w:rsidRDefault="00B101B8" w:rsidP="00B101B8">
      <w:pPr>
        <w:spacing w:before="240" w:line="360" w:lineRule="auto"/>
        <w:jc w:val="both"/>
        <w:rPr>
          <w:rFonts w:ascii="Palatino Linotype" w:hAnsi="Palatino Linotype" w:cs="Arial"/>
          <w:b/>
        </w:rPr>
      </w:pPr>
      <w:r>
        <w:rPr>
          <w:rFonts w:ascii="Palatino Linotype" w:hAnsi="Palatino Linotype" w:cs="Arial"/>
          <w:b/>
          <w:sz w:val="28"/>
          <w:szCs w:val="22"/>
          <w:lang w:val="es-MX"/>
        </w:rPr>
        <w:t>CUARTO</w:t>
      </w:r>
      <w:r w:rsidRPr="0024200F">
        <w:rPr>
          <w:rFonts w:ascii="Palatino Linotype" w:hAnsi="Palatino Linotype" w:cs="Arial"/>
          <w:b/>
          <w:lang w:val="es-ES_tradnl"/>
        </w:rPr>
        <w:t>.</w:t>
      </w:r>
      <w:r w:rsidRPr="0024200F">
        <w:rPr>
          <w:rFonts w:ascii="Palatino Linotype" w:hAnsi="Palatino Linotype" w:cs="Arial"/>
          <w:b/>
          <w:szCs w:val="22"/>
          <w:lang w:val="es-MX"/>
        </w:rPr>
        <w:t xml:space="preserve"> </w:t>
      </w:r>
      <w:r w:rsidRPr="002C3EC8">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2C3EC8">
        <w:rPr>
          <w:rFonts w:ascii="Palatino Linotype" w:hAnsi="Palatino Linotype" w:cs="Arial"/>
          <w:b/>
          <w:sz w:val="28"/>
          <w:szCs w:val="28"/>
        </w:rPr>
        <w:t>del recurso de revisión.</w:t>
      </w:r>
    </w:p>
    <w:p w:rsidR="00B101B8" w:rsidRPr="002C3EC8" w:rsidRDefault="00B101B8" w:rsidP="00B101B8">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sidRPr="002C3EC8">
        <w:rPr>
          <w:rFonts w:ascii="Palatino Linotype" w:hAnsi="Palatino Linotype"/>
        </w:rPr>
        <w:t xml:space="preserve"> en fecha </w:t>
      </w:r>
      <w:r>
        <w:rPr>
          <w:rFonts w:ascii="Palatino Linotype" w:hAnsi="Palatino Linotype"/>
          <w:b/>
        </w:rPr>
        <w:t>veinticinco de febrero de dos mil veinticinco</w:t>
      </w:r>
      <w:r w:rsidRPr="002C3EC8">
        <w:rPr>
          <w:rFonts w:ascii="Palatino Linotype" w:hAnsi="Palatino Linotype"/>
        </w:rPr>
        <w:t xml:space="preserve">, determinándose en ellos, un plazo de siete días para que las partes manifestaran lo que a su derecho </w:t>
      </w:r>
      <w:proofErr w:type="spellStart"/>
      <w:r w:rsidR="0054703F">
        <w:rPr>
          <w:rFonts w:ascii="Palatino Linotype" w:hAnsi="Palatino Linotype"/>
        </w:rPr>
        <w:t>cccc</w:t>
      </w:r>
      <w:r w:rsidRPr="002C3EC8">
        <w:rPr>
          <w:rFonts w:ascii="Palatino Linotype" w:hAnsi="Palatino Linotype"/>
        </w:rPr>
        <w:t>orresponda</w:t>
      </w:r>
      <w:proofErr w:type="spellEnd"/>
      <w:r w:rsidRPr="002C3EC8">
        <w:rPr>
          <w:rFonts w:ascii="Palatino Linotype" w:hAnsi="Palatino Linotype"/>
        </w:rPr>
        <w:t xml:space="preserve"> en términos del numeral ya citado.</w:t>
      </w:r>
    </w:p>
    <w:p w:rsidR="00B101B8" w:rsidRDefault="00B101B8" w:rsidP="00B101B8">
      <w:pPr>
        <w:spacing w:line="360" w:lineRule="auto"/>
        <w:ind w:right="49"/>
        <w:jc w:val="both"/>
        <w:rPr>
          <w:rFonts w:ascii="Palatino Linotype" w:hAnsi="Palatino Linotype" w:cs="Arial"/>
          <w:lang w:val="es-ES_tradnl"/>
        </w:rPr>
      </w:pPr>
    </w:p>
    <w:p w:rsidR="00B101B8" w:rsidRPr="002C5D52" w:rsidRDefault="00B101B8" w:rsidP="00B101B8">
      <w:pPr>
        <w:spacing w:line="360" w:lineRule="auto"/>
        <w:ind w:right="49"/>
        <w:jc w:val="both"/>
        <w:rPr>
          <w:rFonts w:ascii="Palatino Linotype" w:eastAsia="Calibri" w:hAnsi="Palatino Linotype" w:cs="Arial"/>
          <w:lang w:val="es-MX" w:eastAsia="en-US"/>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rsidR="00B101B8" w:rsidRPr="00590166" w:rsidRDefault="00B101B8" w:rsidP="00B101B8">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sidR="0054703F">
        <w:rPr>
          <w:rFonts w:ascii="Palatino Linotype" w:hAnsi="Palatino Linotype" w:cs="Arial"/>
        </w:rPr>
        <w:t>veint</w:t>
      </w:r>
      <w:r>
        <w:rPr>
          <w:rFonts w:ascii="Palatino Linotype" w:hAnsi="Palatino Linotype" w:cs="Arial"/>
        </w:rPr>
        <w:t>isiete de febrero de dos mil veinticinco</w:t>
      </w:r>
      <w:r w:rsidRPr="00D32665">
        <w:rPr>
          <w:rFonts w:ascii="Palatino Linotype" w:hAnsi="Palatino Linotype" w:cs="Arial"/>
        </w:rPr>
        <w:t xml:space="preserve">, por medio </w:t>
      </w:r>
      <w:r w:rsidR="0054703F" w:rsidRPr="00D32665">
        <w:rPr>
          <w:rFonts w:ascii="Palatino Linotype" w:hAnsi="Palatino Linotype" w:cs="Arial"/>
        </w:rPr>
        <w:t>de</w:t>
      </w:r>
      <w:r w:rsidR="0054703F">
        <w:rPr>
          <w:rFonts w:ascii="Palatino Linotype" w:hAnsi="Palatino Linotype" w:cs="Arial"/>
        </w:rPr>
        <w:t>l</w:t>
      </w:r>
      <w:r w:rsidR="0054703F" w:rsidRPr="00D32665">
        <w:rPr>
          <w:rFonts w:ascii="Palatino Linotype" w:hAnsi="Palatino Linotype" w:cs="Arial"/>
        </w:rPr>
        <w:t xml:space="preserve"> archivo</w:t>
      </w:r>
      <w:r w:rsidR="0054703F">
        <w:rPr>
          <w:rFonts w:ascii="Palatino Linotype" w:hAnsi="Palatino Linotype" w:cs="Arial"/>
        </w:rPr>
        <w:t xml:space="preserve"> electrónico </w:t>
      </w:r>
      <w:r w:rsidR="0054703F" w:rsidRPr="0054703F">
        <w:rPr>
          <w:rFonts w:ascii="Palatino Linotype" w:hAnsi="Palatino Linotype" w:cs="Arial"/>
          <w:b/>
        </w:rPr>
        <w:t>“00104 (1).</w:t>
      </w:r>
      <w:proofErr w:type="spellStart"/>
      <w:r w:rsidR="0054703F" w:rsidRPr="0054703F">
        <w:rPr>
          <w:rFonts w:ascii="Palatino Linotype" w:hAnsi="Palatino Linotype" w:cs="Arial"/>
          <w:b/>
        </w:rPr>
        <w:t>pdf</w:t>
      </w:r>
      <w:proofErr w:type="spellEnd"/>
      <w:r w:rsidR="0054703F">
        <w:rPr>
          <w:rFonts w:ascii="Palatino Linotype" w:hAnsi="Palatino Linotype" w:cs="Arial"/>
        </w:rPr>
        <w:t>”</w:t>
      </w:r>
      <w:r w:rsidRPr="00D32665">
        <w:rPr>
          <w:rFonts w:ascii="Palatino Linotype" w:hAnsi="Palatino Linotype" w:cs="Arial"/>
        </w:rPr>
        <w:t xml:space="preserve">, </w:t>
      </w:r>
      <w:r>
        <w:rPr>
          <w:rFonts w:ascii="Palatino Linotype" w:hAnsi="Palatino Linotype" w:cs="Arial"/>
        </w:rPr>
        <w:t>mismo que fue</w:t>
      </w:r>
      <w:r w:rsidR="0054703F">
        <w:rPr>
          <w:rFonts w:ascii="Palatino Linotype" w:hAnsi="Palatino Linotype" w:cs="Arial"/>
        </w:rPr>
        <w:t xml:space="preserve"> puesto</w:t>
      </w:r>
      <w:r w:rsidRPr="00D32665">
        <w:rPr>
          <w:rFonts w:ascii="Palatino Linotype" w:hAnsi="Palatino Linotype" w:cs="Arial"/>
        </w:rPr>
        <w:t xml:space="preserve"> a la vista </w:t>
      </w:r>
      <w:r>
        <w:rPr>
          <w:rFonts w:ascii="Palatino Linotype" w:hAnsi="Palatino Linotype" w:cs="Arial"/>
        </w:rPr>
        <w:t xml:space="preserve">del Recurrente </w:t>
      </w:r>
      <w:r w:rsidRPr="00D32665">
        <w:rPr>
          <w:rFonts w:ascii="Palatino Linotype" w:hAnsi="Palatino Linotype" w:cs="Arial"/>
        </w:rPr>
        <w:t xml:space="preserve">en fecha </w:t>
      </w:r>
      <w:r w:rsidR="0054703F">
        <w:rPr>
          <w:rFonts w:ascii="Palatino Linotype" w:hAnsi="Palatino Linotype" w:cs="Arial"/>
        </w:rPr>
        <w:t>diez de marzo</w:t>
      </w:r>
      <w:r>
        <w:rPr>
          <w:rFonts w:ascii="Palatino Linotype" w:hAnsi="Palatino Linotype" w:cs="Arial"/>
        </w:rPr>
        <w:t xml:space="preserve"> de dos mil veinticinco</w:t>
      </w:r>
      <w:r w:rsidRPr="00D32665">
        <w:rPr>
          <w:rFonts w:ascii="Palatino Linotype" w:hAnsi="Palatino Linotype" w:cs="Arial"/>
          <w:b/>
          <w:i/>
        </w:rPr>
        <w:t>.</w:t>
      </w:r>
    </w:p>
    <w:p w:rsidR="00B101B8" w:rsidRPr="00D32665" w:rsidRDefault="00B101B8" w:rsidP="00B101B8">
      <w:pPr>
        <w:spacing w:line="360" w:lineRule="auto"/>
        <w:jc w:val="both"/>
        <w:rPr>
          <w:rFonts w:ascii="Palatino Linotype" w:hAnsi="Palatino Linotype"/>
        </w:rPr>
      </w:pPr>
    </w:p>
    <w:p w:rsidR="00B101B8" w:rsidRPr="00D32665" w:rsidRDefault="00B101B8" w:rsidP="00B101B8">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rsidR="00B101B8" w:rsidRDefault="00B101B8" w:rsidP="00B101B8">
      <w:pPr>
        <w:spacing w:line="360" w:lineRule="auto"/>
        <w:jc w:val="both"/>
        <w:rPr>
          <w:rFonts w:ascii="Palatino Linotype" w:eastAsia="Calibri" w:hAnsi="Palatino Linotype" w:cs="Arial"/>
          <w:b/>
          <w:sz w:val="28"/>
          <w:szCs w:val="28"/>
          <w:lang w:val="es-MX" w:eastAsia="en-US"/>
        </w:rPr>
      </w:pPr>
    </w:p>
    <w:p w:rsidR="00B101B8" w:rsidRDefault="00B101B8" w:rsidP="00B101B8">
      <w:pPr>
        <w:spacing w:line="360" w:lineRule="auto"/>
        <w:jc w:val="both"/>
        <w:rPr>
          <w:rFonts w:ascii="Palatino Linotype" w:hAnsi="Palatino Linotype" w:cs="Arial"/>
          <w:b/>
          <w:sz w:val="28"/>
          <w:szCs w:val="28"/>
        </w:rPr>
      </w:pPr>
      <w:r>
        <w:rPr>
          <w:rFonts w:ascii="Palatino Linotype" w:eastAsia="Calibri" w:hAnsi="Palatino Linotype" w:cs="Arial"/>
          <w:b/>
          <w:sz w:val="28"/>
          <w:szCs w:val="28"/>
          <w:lang w:val="es-MX" w:eastAsia="en-US"/>
        </w:rPr>
        <w:t>SEXTO</w:t>
      </w:r>
      <w:r w:rsidRPr="00E3454E">
        <w:rPr>
          <w:rFonts w:ascii="Palatino Linotype" w:eastAsia="Calibri" w:hAnsi="Palatino Linotype" w:cs="Arial"/>
          <w:b/>
          <w:sz w:val="28"/>
          <w:szCs w:val="28"/>
          <w:lang w:val="es-MX" w:eastAsia="en-US"/>
        </w:rPr>
        <w:t xml:space="preserve">. </w:t>
      </w:r>
      <w:r w:rsidRPr="002C3EC8">
        <w:rPr>
          <w:rFonts w:ascii="Palatino Linotype" w:hAnsi="Palatino Linotype" w:cs="Arial"/>
          <w:b/>
          <w:sz w:val="28"/>
          <w:szCs w:val="28"/>
        </w:rPr>
        <w:t>Del Cierre de Instrucción.</w:t>
      </w:r>
    </w:p>
    <w:p w:rsidR="00B101B8" w:rsidRDefault="00B101B8" w:rsidP="00B101B8">
      <w:pPr>
        <w:spacing w:line="360" w:lineRule="auto"/>
        <w:jc w:val="both"/>
        <w:rPr>
          <w:rFonts w:ascii="Palatino Linotype" w:eastAsia="Calibri" w:hAnsi="Palatino Linotype" w:cs="Arial"/>
          <w:lang w:val="es-MX" w:eastAsia="en-US"/>
        </w:rPr>
      </w:pPr>
      <w:r w:rsidRPr="00E3454E">
        <w:rPr>
          <w:rFonts w:ascii="Palatino Linotype" w:eastAsia="Calibri" w:hAnsi="Palatino Linotype" w:cs="Arial"/>
          <w:lang w:val="es-MX" w:eastAsia="en-US"/>
        </w:rPr>
        <w:lastRenderedPageBreak/>
        <w:t xml:space="preserve">Por lo que una vez transcurrido el periodo otorgado a las partes de siete días hábiles para realizar sus manifestaciones en el acuerdo de admisión, y no habiendo prueba pendiente por desahogar, ni documentos que integrar al expediente electrónico, se decretó el </w:t>
      </w:r>
      <w:r w:rsidRPr="002C5D52">
        <w:rPr>
          <w:rFonts w:ascii="Palatino Linotype" w:eastAsia="Calibri" w:hAnsi="Palatino Linotype" w:cs="Arial"/>
          <w:b/>
          <w:lang w:val="es-MX" w:eastAsia="en-US"/>
        </w:rPr>
        <w:t>cierre de instrucción</w:t>
      </w:r>
      <w:r w:rsidRPr="00E3454E">
        <w:rPr>
          <w:rFonts w:ascii="Palatino Linotype" w:eastAsia="Calibri" w:hAnsi="Palatino Linotype" w:cs="Arial"/>
          <w:lang w:val="es-MX" w:eastAsia="en-US"/>
        </w:rPr>
        <w:t xml:space="preserve"> en fecha </w:t>
      </w:r>
      <w:r w:rsidR="00176574">
        <w:rPr>
          <w:rFonts w:ascii="Palatino Linotype" w:eastAsia="Calibri" w:hAnsi="Palatino Linotype" w:cs="Arial"/>
          <w:b/>
          <w:lang w:val="es-MX" w:eastAsia="en-US"/>
        </w:rPr>
        <w:t>diecinueve</w:t>
      </w:r>
      <w:r w:rsidR="0054703F">
        <w:rPr>
          <w:rFonts w:ascii="Palatino Linotype" w:eastAsia="Calibri" w:hAnsi="Palatino Linotype" w:cs="Arial"/>
          <w:b/>
          <w:lang w:val="es-MX" w:eastAsia="en-US"/>
        </w:rPr>
        <w:t xml:space="preserve"> de marzo</w:t>
      </w:r>
      <w:r>
        <w:rPr>
          <w:rFonts w:ascii="Palatino Linotype" w:eastAsia="Calibri" w:hAnsi="Palatino Linotype" w:cs="Arial"/>
          <w:b/>
          <w:lang w:val="es-MX" w:eastAsia="en-US"/>
        </w:rPr>
        <w:t xml:space="preserve"> de dos mil veinticinco</w:t>
      </w:r>
      <w:r w:rsidRPr="00E3454E">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rsidR="00B101B8" w:rsidRDefault="00B101B8" w:rsidP="00B101B8">
      <w:pPr>
        <w:spacing w:line="360" w:lineRule="auto"/>
        <w:jc w:val="both"/>
        <w:rPr>
          <w:rFonts w:ascii="Palatino Linotype" w:eastAsia="Calibri" w:hAnsi="Palatino Linotype" w:cs="Arial"/>
          <w:lang w:val="es-MX" w:eastAsia="en-US"/>
        </w:rPr>
      </w:pPr>
    </w:p>
    <w:p w:rsidR="00B101B8" w:rsidRPr="00E3454E" w:rsidRDefault="00B101B8" w:rsidP="00B101B8">
      <w:pPr>
        <w:spacing w:line="360" w:lineRule="auto"/>
        <w:jc w:val="both"/>
        <w:rPr>
          <w:rFonts w:ascii="Palatino Linotype" w:eastAsia="Calibri" w:hAnsi="Palatino Linotype" w:cs="Arial"/>
          <w:lang w:val="es-MX" w:eastAsia="en-US"/>
        </w:rPr>
      </w:pPr>
    </w:p>
    <w:p w:rsidR="00B101B8" w:rsidRPr="0024200F" w:rsidRDefault="00B101B8" w:rsidP="00B101B8">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B101B8" w:rsidRPr="00825F67" w:rsidRDefault="00B101B8" w:rsidP="00B101B8">
      <w:pPr>
        <w:spacing w:line="360" w:lineRule="auto"/>
        <w:ind w:right="49"/>
        <w:jc w:val="both"/>
        <w:rPr>
          <w:rFonts w:ascii="Palatino Linotype" w:hAnsi="Palatino Linotype"/>
          <w:szCs w:val="28"/>
        </w:rPr>
      </w:pPr>
    </w:p>
    <w:p w:rsidR="00B101B8" w:rsidRPr="00FB3150" w:rsidRDefault="00B101B8" w:rsidP="00B101B8">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rsidR="00B101B8" w:rsidRPr="007C6AB6" w:rsidRDefault="00B101B8" w:rsidP="00B101B8">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B101B8" w:rsidRPr="002C3EC8" w:rsidRDefault="00B101B8" w:rsidP="00B101B8">
      <w:pPr>
        <w:spacing w:before="240" w:line="360" w:lineRule="auto"/>
        <w:jc w:val="both"/>
        <w:rPr>
          <w:rFonts w:ascii="Palatino Linotype" w:eastAsia="Calibri" w:hAnsi="Palatino Linotype"/>
          <w:b/>
          <w:color w:val="000000" w:themeColor="text1"/>
        </w:rPr>
      </w:pPr>
    </w:p>
    <w:p w:rsidR="00B101B8" w:rsidRPr="002C3EC8" w:rsidRDefault="00B101B8" w:rsidP="00B101B8">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lastRenderedPageBreak/>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B101B8" w:rsidRDefault="00B101B8" w:rsidP="00B101B8">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B101B8" w:rsidRPr="00FF46DA" w:rsidRDefault="00B101B8" w:rsidP="00B101B8">
      <w:pPr>
        <w:pStyle w:val="Prrafodelista"/>
        <w:autoSpaceDE w:val="0"/>
        <w:autoSpaceDN w:val="0"/>
        <w:adjustRightInd w:val="0"/>
        <w:spacing w:before="240" w:after="160" w:line="360" w:lineRule="auto"/>
        <w:ind w:left="0"/>
        <w:jc w:val="both"/>
        <w:rPr>
          <w:rFonts w:ascii="Palatino Linotype" w:hAnsi="Palatino Linotype" w:cs="Arial"/>
        </w:rPr>
      </w:pPr>
    </w:p>
    <w:p w:rsidR="00B101B8" w:rsidRPr="002C3EC8" w:rsidRDefault="00B101B8" w:rsidP="00B101B8">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B101B8" w:rsidRPr="002C3EC8" w:rsidRDefault="00B101B8" w:rsidP="00B101B8">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B101B8" w:rsidRPr="002C3EC8" w:rsidRDefault="00B101B8" w:rsidP="00B101B8">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w:t>
      </w:r>
      <w:r w:rsidRPr="002C3EC8">
        <w:rPr>
          <w:rFonts w:ascii="Palatino Linotype" w:hAnsi="Palatino Linotype" w:cs="Arial"/>
        </w:rPr>
        <w:lastRenderedPageBreak/>
        <w:t>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B101B8" w:rsidRDefault="00B101B8" w:rsidP="00B101B8">
      <w:pPr>
        <w:tabs>
          <w:tab w:val="left" w:pos="709"/>
        </w:tabs>
        <w:spacing w:before="240" w:line="360" w:lineRule="auto"/>
        <w:ind w:right="51"/>
        <w:jc w:val="both"/>
        <w:rPr>
          <w:rFonts w:ascii="Palatino Linotype" w:hAnsi="Palatino Linotype"/>
          <w:b/>
          <w:sz w:val="28"/>
          <w:szCs w:val="28"/>
        </w:rPr>
      </w:pPr>
    </w:p>
    <w:p w:rsidR="00B101B8" w:rsidRPr="002C3EC8" w:rsidRDefault="00B101B8" w:rsidP="00B101B8">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B101B8" w:rsidRPr="007379EE" w:rsidRDefault="00B101B8" w:rsidP="00B101B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w:t>
      </w:r>
      <w:r w:rsidRPr="007379EE">
        <w:rPr>
          <w:rFonts w:ascii="Palatino Linotype" w:eastAsia="Palatino Linotype" w:hAnsi="Palatino Linotype" w:cs="Palatino Linotype"/>
          <w:color w:val="000000"/>
        </w:rPr>
        <w:lastRenderedPageBreak/>
        <w:t>que el Estado Mexicano sea parte, en concordancia con el párrafo tercero del artículo 1 de la Constitución Federal y el diverso 8 de la Ley de Transparencia local.</w:t>
      </w:r>
    </w:p>
    <w:p w:rsidR="00B101B8" w:rsidRDefault="00B101B8" w:rsidP="00B101B8">
      <w:pPr>
        <w:autoSpaceDE w:val="0"/>
        <w:autoSpaceDN w:val="0"/>
        <w:adjustRightInd w:val="0"/>
        <w:ind w:right="567"/>
        <w:rPr>
          <w:rFonts w:ascii="Palatino Linotype" w:eastAsia="Calibri" w:hAnsi="Palatino Linotype" w:cs="Arial"/>
        </w:rPr>
      </w:pPr>
    </w:p>
    <w:p w:rsidR="00B101B8" w:rsidRDefault="00B101B8" w:rsidP="00B101B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rsidR="00B101B8" w:rsidRDefault="00B101B8" w:rsidP="00B101B8">
      <w:pPr>
        <w:pStyle w:val="Citas"/>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rsidR="00B101B8" w:rsidRPr="00DD5172" w:rsidRDefault="00B101B8" w:rsidP="00B101B8">
      <w:pPr>
        <w:pStyle w:val="Citas"/>
        <w:numPr>
          <w:ilvl w:val="0"/>
          <w:numId w:val="2"/>
        </w:numPr>
        <w:spacing w:line="240" w:lineRule="auto"/>
        <w:rPr>
          <w:b/>
        </w:rPr>
      </w:pPr>
      <w:r w:rsidRPr="00DD5172">
        <w:rPr>
          <w:b/>
        </w:rPr>
        <w:t xml:space="preserve">La negativa a la información solicitada; </w:t>
      </w:r>
    </w:p>
    <w:p w:rsidR="00B101B8" w:rsidRDefault="00B101B8" w:rsidP="00B101B8">
      <w:pPr>
        <w:pStyle w:val="Citas"/>
        <w:numPr>
          <w:ilvl w:val="0"/>
          <w:numId w:val="2"/>
        </w:numPr>
        <w:spacing w:line="240" w:lineRule="auto"/>
      </w:pPr>
      <w:r w:rsidRPr="002E7A81">
        <w:t xml:space="preserve">La clasificación de la información; </w:t>
      </w:r>
    </w:p>
    <w:p w:rsidR="00B101B8" w:rsidRDefault="00B101B8" w:rsidP="00B101B8">
      <w:pPr>
        <w:pStyle w:val="Citas"/>
        <w:numPr>
          <w:ilvl w:val="0"/>
          <w:numId w:val="2"/>
        </w:numPr>
        <w:spacing w:line="240" w:lineRule="auto"/>
      </w:pPr>
      <w:r w:rsidRPr="002E7A81">
        <w:t xml:space="preserve">La declaración de inexistencia de la información; </w:t>
      </w:r>
    </w:p>
    <w:p w:rsidR="00B101B8" w:rsidRDefault="00B101B8" w:rsidP="00B101B8">
      <w:pPr>
        <w:pStyle w:val="Citas"/>
        <w:numPr>
          <w:ilvl w:val="0"/>
          <w:numId w:val="2"/>
        </w:numPr>
        <w:spacing w:line="240" w:lineRule="auto"/>
      </w:pPr>
      <w:r w:rsidRPr="002E7A81">
        <w:t xml:space="preserve">La declaración de incompetencia por el sujeto obligado; </w:t>
      </w:r>
    </w:p>
    <w:p w:rsidR="00B101B8" w:rsidRPr="002D2BB5" w:rsidRDefault="00B101B8" w:rsidP="00B101B8">
      <w:pPr>
        <w:pStyle w:val="Citas"/>
        <w:numPr>
          <w:ilvl w:val="0"/>
          <w:numId w:val="2"/>
        </w:numPr>
        <w:spacing w:line="240" w:lineRule="auto"/>
      </w:pPr>
      <w:r w:rsidRPr="002D2BB5">
        <w:t xml:space="preserve">La entrega de información incompleta; </w:t>
      </w:r>
    </w:p>
    <w:p w:rsidR="00B101B8" w:rsidRDefault="00B101B8" w:rsidP="00B101B8">
      <w:pPr>
        <w:pStyle w:val="Citas"/>
        <w:numPr>
          <w:ilvl w:val="0"/>
          <w:numId w:val="2"/>
        </w:numPr>
        <w:spacing w:line="240" w:lineRule="auto"/>
      </w:pPr>
      <w:r w:rsidRPr="002E7A81">
        <w:t xml:space="preserve">La entrega de información que no corresponda con lo solicitado; </w:t>
      </w:r>
    </w:p>
    <w:p w:rsidR="00B101B8" w:rsidRDefault="00B101B8" w:rsidP="00B101B8">
      <w:pPr>
        <w:pStyle w:val="Citas"/>
        <w:numPr>
          <w:ilvl w:val="0"/>
          <w:numId w:val="2"/>
        </w:numPr>
        <w:spacing w:line="240" w:lineRule="auto"/>
      </w:pPr>
      <w:r w:rsidRPr="002E7A81">
        <w:t xml:space="preserve">La falta de respuesta a una solicitud de acceso a la información; </w:t>
      </w:r>
    </w:p>
    <w:p w:rsidR="00B101B8" w:rsidRDefault="00B101B8" w:rsidP="00B101B8">
      <w:pPr>
        <w:pStyle w:val="Citas"/>
        <w:numPr>
          <w:ilvl w:val="0"/>
          <w:numId w:val="2"/>
        </w:numPr>
        <w:spacing w:line="240" w:lineRule="auto"/>
      </w:pPr>
      <w:r w:rsidRPr="002E7A81">
        <w:t xml:space="preserve">La notificación, entrega o puesta a disposición de información en una modalidad o formato distinto al solicitado; </w:t>
      </w:r>
    </w:p>
    <w:p w:rsidR="00B101B8" w:rsidRDefault="00B101B8" w:rsidP="00B101B8">
      <w:pPr>
        <w:pStyle w:val="Citas"/>
        <w:numPr>
          <w:ilvl w:val="0"/>
          <w:numId w:val="2"/>
        </w:numPr>
        <w:spacing w:line="240" w:lineRule="auto"/>
      </w:pPr>
      <w:r w:rsidRPr="002E7A81">
        <w:t xml:space="preserve">La entrega o puesta a disposición de información en un formato incomprensible y/o no accesible para el solicitante; </w:t>
      </w:r>
    </w:p>
    <w:p w:rsidR="00B101B8" w:rsidRDefault="00B101B8" w:rsidP="00B101B8">
      <w:pPr>
        <w:pStyle w:val="Citas"/>
        <w:numPr>
          <w:ilvl w:val="0"/>
          <w:numId w:val="2"/>
        </w:numPr>
        <w:spacing w:line="240" w:lineRule="auto"/>
      </w:pPr>
      <w:r w:rsidRPr="002E7A81">
        <w:t xml:space="preserve">Los costos o tiempos de entrega de la información; </w:t>
      </w:r>
    </w:p>
    <w:p w:rsidR="00B101B8" w:rsidRDefault="00B101B8" w:rsidP="00B101B8">
      <w:pPr>
        <w:pStyle w:val="Citas"/>
        <w:numPr>
          <w:ilvl w:val="0"/>
          <w:numId w:val="2"/>
        </w:numPr>
        <w:spacing w:line="240" w:lineRule="auto"/>
      </w:pPr>
      <w:r w:rsidRPr="002E7A81">
        <w:t xml:space="preserve">La falta de trámite a una solicitud; </w:t>
      </w:r>
    </w:p>
    <w:p w:rsidR="00B101B8" w:rsidRDefault="00B101B8" w:rsidP="00B101B8">
      <w:pPr>
        <w:pStyle w:val="Citas"/>
        <w:numPr>
          <w:ilvl w:val="0"/>
          <w:numId w:val="2"/>
        </w:numPr>
        <w:spacing w:line="240" w:lineRule="auto"/>
      </w:pPr>
      <w:r w:rsidRPr="002E7A81">
        <w:t xml:space="preserve">La negativa a permitir la consulta directa de la información; </w:t>
      </w:r>
    </w:p>
    <w:p w:rsidR="00B101B8" w:rsidRDefault="00B101B8" w:rsidP="00B101B8">
      <w:pPr>
        <w:pStyle w:val="Citas"/>
        <w:numPr>
          <w:ilvl w:val="0"/>
          <w:numId w:val="2"/>
        </w:numPr>
        <w:spacing w:line="240" w:lineRule="auto"/>
      </w:pPr>
      <w:r w:rsidRPr="002E7A81">
        <w:t xml:space="preserve">La falta, deficiencia o insuficiencia de la fundamentación y/o motivación en la respuesta; y </w:t>
      </w:r>
    </w:p>
    <w:p w:rsidR="00B101B8" w:rsidRDefault="00B101B8" w:rsidP="00B101B8">
      <w:pPr>
        <w:pStyle w:val="Citas"/>
        <w:numPr>
          <w:ilvl w:val="0"/>
          <w:numId w:val="2"/>
        </w:numPr>
        <w:spacing w:line="240" w:lineRule="auto"/>
      </w:pPr>
      <w:r w:rsidRPr="002E7A81">
        <w:lastRenderedPageBreak/>
        <w:t xml:space="preserve">La orientación a un trámite específico. </w:t>
      </w:r>
    </w:p>
    <w:p w:rsidR="00B101B8" w:rsidRPr="007379EE" w:rsidRDefault="00B101B8" w:rsidP="00B101B8">
      <w:pPr>
        <w:pStyle w:val="Citas"/>
        <w:spacing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B101B8" w:rsidRDefault="00B101B8" w:rsidP="00B101B8">
      <w:pPr>
        <w:autoSpaceDE w:val="0"/>
        <w:autoSpaceDN w:val="0"/>
        <w:adjustRightInd w:val="0"/>
        <w:ind w:right="567"/>
        <w:rPr>
          <w:rFonts w:ascii="Palatino Linotype" w:eastAsia="Calibri" w:hAnsi="Palatino Linotype" w:cs="Arial"/>
        </w:rPr>
      </w:pPr>
    </w:p>
    <w:p w:rsidR="00B101B8" w:rsidRDefault="00B101B8" w:rsidP="00B101B8">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rsidR="00B101B8" w:rsidRPr="0054703F" w:rsidRDefault="0054703F" w:rsidP="0054703F">
      <w:pPr>
        <w:pStyle w:val="Prrafodelista"/>
        <w:numPr>
          <w:ilvl w:val="0"/>
          <w:numId w:val="7"/>
        </w:numPr>
        <w:tabs>
          <w:tab w:val="left" w:pos="1828"/>
        </w:tabs>
        <w:spacing w:line="360" w:lineRule="auto"/>
        <w:jc w:val="both"/>
        <w:rPr>
          <w:rFonts w:ascii="Palatino Linotype" w:hAnsi="Palatino Linotype" w:cs="Tahoma"/>
          <w:bCs/>
        </w:rPr>
      </w:pPr>
      <w:r>
        <w:rPr>
          <w:rFonts w:ascii="Palatino Linotype" w:hAnsi="Palatino Linotype" w:cs="Tahoma"/>
          <w:bCs/>
        </w:rPr>
        <w:t>A</w:t>
      </w:r>
      <w:r w:rsidRPr="0054703F">
        <w:rPr>
          <w:rFonts w:ascii="Palatino Linotype" w:hAnsi="Palatino Linotype" w:cs="Tahoma"/>
          <w:bCs/>
        </w:rPr>
        <w:t>cta de Cabildo de la administración 2021-2024 del Ayuntamiento La Paz</w:t>
      </w:r>
    </w:p>
    <w:p w:rsidR="00B101B8" w:rsidRPr="001106D5" w:rsidRDefault="00B101B8" w:rsidP="00B101B8">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Pr>
          <w:rFonts w:ascii="Palatino Linotype" w:hAnsi="Palatino Linotype" w:cs="Arial"/>
          <w:b/>
        </w:rPr>
        <w:t xml:space="preserve">00104/LAPAZ/IP/2025, </w:t>
      </w:r>
      <w:r>
        <w:rPr>
          <w:rFonts w:ascii="Palatino Linotype" w:hAnsi="Palatino Linotype" w:cs="Arial"/>
        </w:rPr>
        <w:t>a través del archivo electrónico</w:t>
      </w:r>
      <w:r w:rsidRPr="001106D5">
        <w:rPr>
          <w:rFonts w:ascii="Palatino Linotype" w:hAnsi="Palatino Linotype" w:cs="Arial"/>
          <w:b/>
        </w:rPr>
        <w:t>:</w:t>
      </w:r>
    </w:p>
    <w:p w:rsidR="00FC0B08" w:rsidRPr="00FC0B08" w:rsidRDefault="0054703F" w:rsidP="0054703F">
      <w:pPr>
        <w:pStyle w:val="Sinespaciado"/>
        <w:numPr>
          <w:ilvl w:val="0"/>
          <w:numId w:val="5"/>
        </w:numPr>
        <w:spacing w:before="240" w:line="360" w:lineRule="auto"/>
        <w:jc w:val="both"/>
        <w:rPr>
          <w:rFonts w:ascii="Palatino Linotype" w:hAnsi="Palatino Linotype" w:cs="Arial"/>
          <w:b/>
          <w:i/>
          <w:sz w:val="24"/>
        </w:rPr>
      </w:pPr>
      <w:r w:rsidRPr="0054703F">
        <w:rPr>
          <w:rFonts w:ascii="Palatino Linotype" w:hAnsi="Palatino Linotype" w:cs="Arial"/>
          <w:b/>
          <w:i/>
          <w:sz w:val="24"/>
        </w:rPr>
        <w:t>00104.pdf</w:t>
      </w:r>
      <w:r w:rsidR="00B101B8" w:rsidRPr="00E2427C">
        <w:rPr>
          <w:rFonts w:ascii="Palatino Linotype" w:hAnsi="Palatino Linotype" w:cs="Arial"/>
          <w:b/>
          <w:i/>
          <w:sz w:val="24"/>
        </w:rPr>
        <w:t xml:space="preserve">: </w:t>
      </w:r>
      <w:r w:rsidR="00FC0B08">
        <w:rPr>
          <w:rFonts w:ascii="Palatino Linotype" w:hAnsi="Palatino Linotype" w:cs="Arial"/>
          <w:sz w:val="24"/>
        </w:rPr>
        <w:t xml:space="preserve">constante de dos fojas, en formato </w:t>
      </w:r>
      <w:proofErr w:type="spellStart"/>
      <w:r w:rsidR="00FC0B08">
        <w:rPr>
          <w:rFonts w:ascii="Palatino Linotype" w:hAnsi="Palatino Linotype" w:cs="Arial"/>
          <w:sz w:val="24"/>
        </w:rPr>
        <w:t>pdf</w:t>
      </w:r>
      <w:proofErr w:type="spellEnd"/>
      <w:r w:rsidR="00FC0B08">
        <w:rPr>
          <w:rFonts w:ascii="Palatino Linotype" w:hAnsi="Palatino Linotype" w:cs="Arial"/>
          <w:sz w:val="24"/>
        </w:rPr>
        <w:t>, contiene:</w:t>
      </w:r>
    </w:p>
    <w:p w:rsidR="0054703F" w:rsidRPr="00FC0B08" w:rsidRDefault="00FC0B08" w:rsidP="00FC0B08">
      <w:pPr>
        <w:pStyle w:val="Sinespaciado"/>
        <w:numPr>
          <w:ilvl w:val="0"/>
          <w:numId w:val="8"/>
        </w:numPr>
        <w:spacing w:before="240" w:line="360" w:lineRule="auto"/>
        <w:jc w:val="both"/>
        <w:rPr>
          <w:rFonts w:ascii="Palatino Linotype" w:hAnsi="Palatino Linotype" w:cs="Arial"/>
          <w:b/>
          <w:i/>
          <w:sz w:val="24"/>
        </w:rPr>
      </w:pPr>
      <w:r>
        <w:rPr>
          <w:rFonts w:ascii="Palatino Linotype" w:hAnsi="Palatino Linotype" w:cs="Arial"/>
          <w:sz w:val="24"/>
        </w:rPr>
        <w:t xml:space="preserve">Oficio número </w:t>
      </w:r>
      <w:r w:rsidRPr="00FC0B08">
        <w:rPr>
          <w:rFonts w:ascii="Palatino Linotype" w:hAnsi="Palatino Linotype" w:cs="Arial"/>
          <w:sz w:val="24"/>
          <w:lang w:val="es-ES"/>
        </w:rPr>
        <w:t>LAPAZ/PM/SHA/AHM/2025/0042</w:t>
      </w:r>
      <w:r>
        <w:rPr>
          <w:rFonts w:ascii="Palatino Linotype" w:hAnsi="Palatino Linotype" w:cs="Arial"/>
          <w:sz w:val="24"/>
          <w:lang w:val="es-ES"/>
        </w:rPr>
        <w:t>, de fecha doce de febrero de dos mil veinticinco, firmado por la Jefatura de Archivo Histórico Municipal, en el que refiere lo siguiente:</w:t>
      </w:r>
    </w:p>
    <w:p w:rsidR="00FC0B08" w:rsidRDefault="00FC0B08" w:rsidP="00FC0B08">
      <w:pPr>
        <w:pStyle w:val="Citas"/>
      </w:pPr>
      <w:r>
        <w:t>“…</w:t>
      </w:r>
    </w:p>
    <w:p w:rsidR="00FC0B08" w:rsidRDefault="00FC0B08" w:rsidP="00FC0B08">
      <w:pPr>
        <w:pStyle w:val="Citas"/>
        <w:rPr>
          <w:lang w:val="es-ES"/>
        </w:rPr>
      </w:pPr>
      <w:r w:rsidRPr="00FC0B08">
        <w:rPr>
          <w:lang w:val="es-ES"/>
        </w:rPr>
        <w:t>Se hace la observación que el Archivo Histórico Municipal tiene en resguardo las actas de cabildo de 1918 hasta algunas actas dispersas pertenecientes al año 2005, toda vez que Secretaría del Ayuntamiento tiene en su custodia los libros de cabildo recientes.</w:t>
      </w:r>
    </w:p>
    <w:p w:rsidR="00FC0B08" w:rsidRDefault="00FC0B08" w:rsidP="00FC0B08">
      <w:pPr>
        <w:pStyle w:val="Citas"/>
      </w:pPr>
      <w:r>
        <w:rPr>
          <w:lang w:val="es-ES"/>
        </w:rPr>
        <w:t>…” (Sic)</w:t>
      </w:r>
    </w:p>
    <w:p w:rsidR="00FC0B08" w:rsidRPr="00FC0B08" w:rsidRDefault="00FC0B08" w:rsidP="00FC0B08">
      <w:pPr>
        <w:pStyle w:val="Sinespaciado"/>
        <w:numPr>
          <w:ilvl w:val="0"/>
          <w:numId w:val="8"/>
        </w:numPr>
        <w:spacing w:before="240" w:line="360" w:lineRule="auto"/>
        <w:jc w:val="both"/>
        <w:rPr>
          <w:rFonts w:ascii="Palatino Linotype" w:hAnsi="Palatino Linotype" w:cs="Arial"/>
          <w:b/>
          <w:i/>
          <w:sz w:val="24"/>
        </w:rPr>
      </w:pPr>
      <w:r>
        <w:rPr>
          <w:rFonts w:ascii="Palatino Linotype" w:hAnsi="Palatino Linotype" w:cs="Arial"/>
          <w:sz w:val="24"/>
        </w:rPr>
        <w:lastRenderedPageBreak/>
        <w:t xml:space="preserve">Oficio número </w:t>
      </w:r>
      <w:r>
        <w:rPr>
          <w:rFonts w:ascii="Palatino Linotype" w:hAnsi="Palatino Linotype" w:cs="Arial"/>
          <w:sz w:val="24"/>
          <w:lang w:val="es-ES"/>
        </w:rPr>
        <w:t>LAPAZ/PM/SHA/2025/0235, de fecha diecinueve de febrero de dos mil veinticinco, firmado por el Secretario de Ayuntamiento, en el que refiere lo siguiente:</w:t>
      </w:r>
    </w:p>
    <w:p w:rsidR="00FC0B08" w:rsidRDefault="00FC0B08" w:rsidP="00FC0B08">
      <w:pPr>
        <w:pStyle w:val="Citas"/>
        <w:rPr>
          <w:lang w:val="es-ES"/>
        </w:rPr>
      </w:pPr>
      <w:r>
        <w:rPr>
          <w:lang w:val="es-ES"/>
        </w:rPr>
        <w:t>“…</w:t>
      </w:r>
    </w:p>
    <w:p w:rsidR="00FC0B08" w:rsidRDefault="00FC0B08" w:rsidP="00FC0B08">
      <w:pPr>
        <w:pStyle w:val="Citas"/>
        <w:rPr>
          <w:lang w:val="es-ES"/>
        </w:rPr>
      </w:pPr>
      <w:r w:rsidRPr="00FC0B08">
        <w:rPr>
          <w:lang w:val="es-ES"/>
        </w:rPr>
        <w:t xml:space="preserve">De lo anterior, le informo que, con fundamento en el Artículo 12 de la Ley de Transparencia y Acceso a la Información Pública del Estado de México y Municipios, el cual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tal motivo de lo solicitado, le informo que respecto al "Acta de Cabildo de la Administración 2021-2024 del Ayuntamiento La Paz", </w:t>
      </w:r>
      <w:r w:rsidRPr="00FC0B08">
        <w:rPr>
          <w:b/>
          <w:u w:val="single"/>
          <w:lang w:val="es-ES"/>
        </w:rPr>
        <w:t xml:space="preserve">no existe periodo constitucional en el que refiera lo solicitado; </w:t>
      </w:r>
      <w:r w:rsidRPr="00FC0B08">
        <w:rPr>
          <w:lang w:val="es-ES"/>
        </w:rPr>
        <w:t>es por ello que después de una búsqueda exhaustiva dentro de esta Secretaría no se localizó lo solicitado, por lo que nos es complicado proporcionarle la información requerida, puesto que existe una discrepancia en su solicitud.</w:t>
      </w:r>
    </w:p>
    <w:p w:rsidR="00FC0B08" w:rsidRDefault="00FC0B08" w:rsidP="00FC0B08">
      <w:pPr>
        <w:pStyle w:val="Citas"/>
      </w:pPr>
      <w:r>
        <w:rPr>
          <w:lang w:val="es-ES"/>
        </w:rPr>
        <w:t>…” (Sic)</w:t>
      </w:r>
    </w:p>
    <w:p w:rsidR="00B101B8" w:rsidRDefault="0054703F" w:rsidP="00FC0B08">
      <w:pPr>
        <w:pStyle w:val="Sinespaciado"/>
        <w:numPr>
          <w:ilvl w:val="0"/>
          <w:numId w:val="5"/>
        </w:numPr>
        <w:spacing w:before="240" w:line="360" w:lineRule="auto"/>
        <w:jc w:val="both"/>
      </w:pPr>
      <w:r w:rsidRPr="0054703F">
        <w:rPr>
          <w:rFonts w:ascii="Palatino Linotype" w:hAnsi="Palatino Linotype" w:cs="Arial"/>
          <w:b/>
          <w:i/>
          <w:sz w:val="24"/>
        </w:rPr>
        <w:t>SOLICITUD DE RESPUESTA 00104.pdf</w:t>
      </w:r>
      <w:r>
        <w:rPr>
          <w:rFonts w:ascii="Palatino Linotype" w:hAnsi="Palatino Linotype" w:cs="Arial"/>
          <w:sz w:val="24"/>
        </w:rPr>
        <w:t xml:space="preserve">: </w:t>
      </w:r>
      <w:r w:rsidR="00B101B8" w:rsidRPr="00E2427C">
        <w:rPr>
          <w:rFonts w:ascii="Palatino Linotype" w:hAnsi="Palatino Linotype" w:cs="Arial"/>
          <w:sz w:val="24"/>
        </w:rPr>
        <w:t xml:space="preserve">constante de </w:t>
      </w:r>
      <w:r w:rsidR="00B101B8">
        <w:rPr>
          <w:rFonts w:ascii="Palatino Linotype" w:hAnsi="Palatino Linotype" w:cs="Arial"/>
          <w:sz w:val="24"/>
        </w:rPr>
        <w:t>una foja</w:t>
      </w:r>
      <w:r w:rsidR="00B101B8" w:rsidRPr="00E2427C">
        <w:rPr>
          <w:rFonts w:ascii="Palatino Linotype" w:hAnsi="Palatino Linotype" w:cs="Arial"/>
          <w:sz w:val="24"/>
        </w:rPr>
        <w:t xml:space="preserve">, en formato </w:t>
      </w:r>
      <w:proofErr w:type="spellStart"/>
      <w:r w:rsidR="00B101B8" w:rsidRPr="00E2427C">
        <w:rPr>
          <w:rFonts w:ascii="Palatino Linotype" w:hAnsi="Palatino Linotype" w:cs="Arial"/>
          <w:sz w:val="24"/>
        </w:rPr>
        <w:t>pdf</w:t>
      </w:r>
      <w:proofErr w:type="spellEnd"/>
      <w:r w:rsidR="00B101B8" w:rsidRPr="00E2427C">
        <w:rPr>
          <w:rFonts w:ascii="Palatino Linotype" w:hAnsi="Palatino Linotype" w:cs="Arial"/>
          <w:sz w:val="24"/>
        </w:rPr>
        <w:t xml:space="preserve">, contiene </w:t>
      </w:r>
      <w:r w:rsidR="00FC0B08">
        <w:rPr>
          <w:rFonts w:ascii="Palatino Linotype" w:hAnsi="Palatino Linotype" w:cs="Arial"/>
          <w:sz w:val="24"/>
        </w:rPr>
        <w:t>la respuesta de la Titular de la Unidad de Transparencia.</w:t>
      </w:r>
    </w:p>
    <w:p w:rsidR="006B300C" w:rsidRDefault="006B300C" w:rsidP="00B101B8">
      <w:pPr>
        <w:spacing w:before="240" w:line="360" w:lineRule="auto"/>
        <w:jc w:val="both"/>
        <w:rPr>
          <w:rFonts w:ascii="Palatino Linotype" w:hAnsi="Palatino Linotype" w:cs="Arial"/>
          <w:bCs/>
        </w:rPr>
      </w:pPr>
    </w:p>
    <w:p w:rsidR="00B101B8" w:rsidRDefault="00B101B8" w:rsidP="00B101B8">
      <w:pPr>
        <w:spacing w:before="240" w:line="360" w:lineRule="auto"/>
        <w:jc w:val="both"/>
        <w:rPr>
          <w:rFonts w:ascii="Palatino Linotype" w:hAnsi="Palatino Linotype"/>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xml:space="preserve">, interpuso el presente recurso de revisión, señalando sustancialmente como sus razones </w:t>
      </w:r>
      <w:r w:rsidRPr="00124BFD">
        <w:rPr>
          <w:rFonts w:ascii="Palatino Linotype" w:hAnsi="Palatino Linotype" w:cs="Arial"/>
          <w:bCs/>
        </w:rPr>
        <w:lastRenderedPageBreak/>
        <w:t>o motivos de inconformidad, lo siguiente:</w:t>
      </w:r>
      <w:r w:rsidRPr="00124BFD" w:rsidDel="00107C3B">
        <w:rPr>
          <w:rFonts w:ascii="Palatino Linotype" w:hAnsi="Palatino Linotype"/>
          <w:b/>
          <w:i/>
        </w:rPr>
        <w:t xml:space="preserve"> </w:t>
      </w:r>
      <w:r w:rsidRPr="002D2BB5">
        <w:rPr>
          <w:rFonts w:ascii="Palatino Linotype" w:hAnsi="Palatino Linotype"/>
          <w:i/>
        </w:rPr>
        <w:t>“</w:t>
      </w:r>
      <w:r w:rsidR="006B300C" w:rsidRPr="006B300C">
        <w:rPr>
          <w:rFonts w:ascii="Palatino Linotype" w:hAnsi="Palatino Linotype"/>
          <w:i/>
        </w:rPr>
        <w:t>NO DIO INFORMACION DE LO REQUERIDO</w:t>
      </w:r>
      <w:r w:rsidRPr="002D2BB5">
        <w:rPr>
          <w:rFonts w:ascii="Palatino Linotype" w:hAnsi="Palatino Linotype"/>
          <w:i/>
        </w:rPr>
        <w:t>” (Sic)</w:t>
      </w:r>
    </w:p>
    <w:p w:rsidR="00B101B8" w:rsidRPr="00E16922" w:rsidRDefault="00B101B8" w:rsidP="00B101B8">
      <w:pPr>
        <w:spacing w:line="360" w:lineRule="auto"/>
        <w:jc w:val="both"/>
        <w:rPr>
          <w:rFonts w:ascii="Palatino Linotype" w:hAnsi="Palatino Linotype"/>
        </w:rPr>
      </w:pPr>
    </w:p>
    <w:p w:rsidR="00B101B8" w:rsidRDefault="00B101B8" w:rsidP="00B101B8">
      <w:pPr>
        <w:autoSpaceDE w:val="0"/>
        <w:autoSpaceDN w:val="0"/>
        <w:adjustRightInd w:val="0"/>
        <w:spacing w:line="360" w:lineRule="auto"/>
        <w:jc w:val="both"/>
        <w:rPr>
          <w:rFonts w:ascii="Palatino Linotype" w:eastAsia="Calibri" w:hAnsi="Palatino Linotype" w:cs="Calibri"/>
          <w:lang w:val="es-ES_tradnl" w:eastAsia="es-MX"/>
        </w:rPr>
      </w:pPr>
      <w:r w:rsidRPr="00590166">
        <w:rPr>
          <w:rFonts w:ascii="Palatino Linotype" w:eastAsia="Calibri" w:hAnsi="Palatino Linotype" w:cs="Calibri"/>
          <w:lang w:val="es-ES_tradnl" w:eastAsia="es-MX"/>
        </w:rPr>
        <w:t>De las constancias que obran en el expediente electrónico del SAIMEX, se advierte que el Sujeto Obligado rindió su informe justificado por medio del archivo electrónico</w:t>
      </w:r>
      <w:r w:rsidR="006B300C">
        <w:rPr>
          <w:rFonts w:ascii="Palatino Linotype" w:eastAsia="Calibri" w:hAnsi="Palatino Linotype" w:cs="Calibri"/>
          <w:lang w:val="es-ES_tradnl" w:eastAsia="es-MX"/>
        </w:rPr>
        <w:t xml:space="preserve"> denominado “</w:t>
      </w:r>
      <w:r w:rsidR="006B300C" w:rsidRPr="006B300C">
        <w:rPr>
          <w:rFonts w:ascii="Palatino Linotype" w:eastAsia="Calibri" w:hAnsi="Palatino Linotype" w:cs="Calibri"/>
          <w:b/>
          <w:i/>
          <w:lang w:val="es-ES_tradnl" w:eastAsia="es-MX"/>
        </w:rPr>
        <w:t>00104 (1).</w:t>
      </w:r>
      <w:proofErr w:type="spellStart"/>
      <w:r w:rsidR="006B300C" w:rsidRPr="006B300C">
        <w:rPr>
          <w:rFonts w:ascii="Palatino Linotype" w:eastAsia="Calibri" w:hAnsi="Palatino Linotype" w:cs="Calibri"/>
          <w:b/>
          <w:i/>
          <w:lang w:val="es-ES_tradnl" w:eastAsia="es-MX"/>
        </w:rPr>
        <w:t>pdf</w:t>
      </w:r>
      <w:proofErr w:type="spellEnd"/>
      <w:r w:rsidR="006B300C">
        <w:rPr>
          <w:rFonts w:ascii="Palatino Linotype" w:eastAsia="Calibri" w:hAnsi="Palatino Linotype" w:cs="Calibri"/>
          <w:lang w:val="es-ES_tradnl" w:eastAsia="es-MX"/>
        </w:rPr>
        <w:t>”, en el que sustancialmente ratifica su respuesta.</w:t>
      </w:r>
    </w:p>
    <w:p w:rsidR="00B101B8" w:rsidRDefault="00B101B8" w:rsidP="00B101B8">
      <w:pPr>
        <w:spacing w:line="360" w:lineRule="auto"/>
        <w:ind w:right="214"/>
        <w:jc w:val="both"/>
        <w:rPr>
          <w:rFonts w:ascii="Palatino Linotype" w:hAnsi="Palatino Linotype"/>
        </w:rPr>
      </w:pPr>
    </w:p>
    <w:p w:rsidR="00B101B8" w:rsidRDefault="00B101B8" w:rsidP="00B101B8">
      <w:pPr>
        <w:spacing w:line="360" w:lineRule="auto"/>
        <w:ind w:right="214"/>
        <w:jc w:val="both"/>
        <w:rPr>
          <w:rFonts w:ascii="Palatino Linotype" w:hAnsi="Palatino Linotype"/>
        </w:rPr>
      </w:pPr>
      <w:r>
        <w:rPr>
          <w:rFonts w:ascii="Palatino Linotype" w:hAnsi="Palatino Linotype"/>
        </w:rPr>
        <w:t xml:space="preserve">En ese orden de ideas, la Ley Orgánica Municipal del Estado de México </w:t>
      </w:r>
      <w:r w:rsidR="006B300C">
        <w:rPr>
          <w:rFonts w:ascii="Palatino Linotype" w:hAnsi="Palatino Linotype"/>
        </w:rPr>
        <w:t>prevé las sesiones de cabildo del Ayuntamiento</w:t>
      </w:r>
      <w:r>
        <w:rPr>
          <w:rFonts w:ascii="Palatino Linotype" w:hAnsi="Palatino Linotype"/>
        </w:rPr>
        <w:t>, así como el 91,</w:t>
      </w:r>
      <w:r w:rsidRPr="00112C93">
        <w:rPr>
          <w:rFonts w:ascii="Palatino Linotype" w:hAnsi="Palatino Linotype"/>
        </w:rPr>
        <w:t xml:space="preserve"> </w:t>
      </w:r>
      <w:r>
        <w:rPr>
          <w:rFonts w:ascii="Palatino Linotype" w:hAnsi="Palatino Linotype"/>
        </w:rPr>
        <w:t>establece las facultades y competencias de la Secretaría del Ayuntamiento, tal como se cita:</w:t>
      </w:r>
    </w:p>
    <w:p w:rsidR="00B101B8" w:rsidRPr="00D938D9" w:rsidRDefault="00B101B8" w:rsidP="00B101B8">
      <w:pPr>
        <w:pStyle w:val="Citas"/>
      </w:pPr>
      <w:r w:rsidRPr="00D938D9">
        <w:t xml:space="preserve">Artículo 28.- </w:t>
      </w:r>
      <w:r w:rsidRPr="006B300C">
        <w:rPr>
          <w:b/>
        </w:rPr>
        <w:t xml:space="preserve">Los ayuntamientos sesionarán cuando menos una vez cada ocho días en sesión ordinaria </w:t>
      </w:r>
      <w:r w:rsidRPr="00D938D9">
        <w:t xml:space="preserve">o cuantas veces sea necesario en asuntos de urgente resolución por medio de sesiones extraordinarias, a petición de la mayoría de sus miembros y podrán declararse en sesión permanente cuando la importancia del asunto lo requiera. </w:t>
      </w:r>
    </w:p>
    <w:p w:rsidR="00B101B8" w:rsidRPr="00D938D9" w:rsidRDefault="00B101B8" w:rsidP="00B101B8">
      <w:pPr>
        <w:pStyle w:val="Citas"/>
      </w:pPr>
      <w:r w:rsidRPr="00D938D9">
        <w:t>Las sesiones de los ayuntamientos serán públicas y deberán transmitirse en vivo a través de su página oficial de internet, plataformas, redes sociales, radio o televisión de acceso gratuito, debiendo garantizar la identificación de los miembros del cabildo mencionando su nombre y cargo, así como sus intervenciones y el sentido de su voto.</w:t>
      </w:r>
    </w:p>
    <w:p w:rsidR="00B101B8" w:rsidRPr="006B300C" w:rsidRDefault="00B101B8" w:rsidP="00B101B8">
      <w:pPr>
        <w:pStyle w:val="Citas"/>
        <w:rPr>
          <w:b/>
          <w:u w:val="single"/>
          <w:lang w:val="es-ES"/>
        </w:rPr>
      </w:pPr>
      <w:r w:rsidRPr="006B300C">
        <w:rPr>
          <w:b/>
          <w:lang w:val="es-ES"/>
        </w:rPr>
        <w:t>Artículo 30. Las sesiones del ayuntamiento serán presididas por el presidente municipal</w:t>
      </w:r>
      <w:r w:rsidRPr="00D938D9">
        <w:rPr>
          <w:lang w:val="es-ES"/>
        </w:rPr>
        <w:t xml:space="preserve"> o por quien lo sustituya legalmente; </w:t>
      </w:r>
      <w:r w:rsidRPr="006B300C">
        <w:rPr>
          <w:b/>
          <w:u w:val="single"/>
          <w:lang w:val="es-ES"/>
        </w:rPr>
        <w:t>constarán en un libro que deberá contener las actas en las cuales deberán asentarse los extractos de los acuerdos y asuntos tratados y el resultado de la votación.</w:t>
      </w:r>
    </w:p>
    <w:p w:rsidR="00B101B8" w:rsidRPr="00D938D9" w:rsidRDefault="00B101B8" w:rsidP="00B101B8">
      <w:pPr>
        <w:pStyle w:val="Citas"/>
        <w:rPr>
          <w:lang w:val="es-ES"/>
        </w:rPr>
      </w:pPr>
    </w:p>
    <w:p w:rsidR="00B101B8" w:rsidRDefault="00B101B8" w:rsidP="00B101B8">
      <w:pPr>
        <w:pStyle w:val="Citas"/>
        <w:rPr>
          <w:lang w:val="es-ES"/>
        </w:rPr>
      </w:pPr>
      <w:r w:rsidRPr="001C7BE2">
        <w:rPr>
          <w:b/>
          <w:u w:val="single"/>
          <w:lang w:val="es-ES"/>
        </w:rPr>
        <w:lastRenderedPageBreak/>
        <w:t>Artículo 91.- La Secretaría del Ayuntamiento</w:t>
      </w:r>
      <w:r w:rsidRPr="001C7BE2">
        <w:rPr>
          <w:lang w:val="es-ES"/>
        </w:rPr>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rsidR="00B101B8" w:rsidRPr="00DD3CE7" w:rsidRDefault="00B101B8" w:rsidP="00B101B8">
      <w:pPr>
        <w:pStyle w:val="Citas"/>
        <w:numPr>
          <w:ilvl w:val="0"/>
          <w:numId w:val="6"/>
        </w:numPr>
        <w:ind w:left="1276" w:hanging="437"/>
        <w:rPr>
          <w:b/>
          <w:u w:val="single"/>
          <w:lang w:val="es-ES"/>
        </w:rPr>
      </w:pPr>
      <w:r w:rsidRPr="00DD3CE7">
        <w:rPr>
          <w:b/>
          <w:u w:val="single"/>
          <w:lang w:val="es-ES"/>
        </w:rPr>
        <w:t xml:space="preserve">Asistir a las sesiones del ayuntamiento y levantar las actas correspondientes; </w:t>
      </w:r>
    </w:p>
    <w:p w:rsidR="00B101B8" w:rsidRPr="001C7BE2" w:rsidRDefault="00B101B8" w:rsidP="00B101B8">
      <w:pPr>
        <w:pStyle w:val="Citas"/>
        <w:numPr>
          <w:ilvl w:val="0"/>
          <w:numId w:val="6"/>
        </w:numPr>
        <w:ind w:left="1276" w:hanging="437"/>
      </w:pPr>
      <w:r w:rsidRPr="001C7BE2">
        <w:rPr>
          <w:lang w:val="es-ES"/>
        </w:rPr>
        <w:t xml:space="preserve">Emitir los citatorios para la celebración de las sesiones de cabildo, convocadas legalmente; </w:t>
      </w:r>
    </w:p>
    <w:p w:rsidR="00B101B8" w:rsidRPr="00DD3CE7" w:rsidRDefault="00B101B8" w:rsidP="00B101B8">
      <w:pPr>
        <w:pStyle w:val="Citas"/>
        <w:numPr>
          <w:ilvl w:val="0"/>
          <w:numId w:val="6"/>
        </w:numPr>
        <w:ind w:left="1276" w:hanging="437"/>
        <w:rPr>
          <w:b/>
        </w:rPr>
      </w:pPr>
      <w:r w:rsidRPr="00DD3CE7">
        <w:rPr>
          <w:b/>
          <w:lang w:val="es-ES"/>
        </w:rPr>
        <w:t xml:space="preserve">Dar cuenta en la primera sesión de cada mes, del número y contenido de los expedientes pasados a comisión, con mención de los que hayan sido resueltos y de los pendientes; </w:t>
      </w:r>
    </w:p>
    <w:p w:rsidR="00B101B8" w:rsidRPr="00DD3CE7" w:rsidRDefault="00B101B8" w:rsidP="00B101B8">
      <w:pPr>
        <w:pStyle w:val="Citas"/>
        <w:numPr>
          <w:ilvl w:val="0"/>
          <w:numId w:val="6"/>
        </w:numPr>
        <w:ind w:left="1276" w:hanging="437"/>
        <w:rPr>
          <w:b/>
          <w:u w:val="single"/>
        </w:rPr>
      </w:pPr>
      <w:r w:rsidRPr="00DD3CE7">
        <w:rPr>
          <w:b/>
          <w:u w:val="single"/>
          <w:lang w:val="es-ES"/>
        </w:rPr>
        <w:t xml:space="preserve">Llevar y conservar los libros de actas de cabildo, obteniendo las firmas de los asistentes a las sesiones; </w:t>
      </w:r>
    </w:p>
    <w:p w:rsidR="00B101B8" w:rsidRPr="001C7BE2" w:rsidRDefault="00B101B8" w:rsidP="00B101B8">
      <w:pPr>
        <w:pStyle w:val="Citas"/>
        <w:numPr>
          <w:ilvl w:val="0"/>
          <w:numId w:val="6"/>
        </w:numPr>
        <w:ind w:left="1276" w:hanging="437"/>
      </w:pPr>
      <w:r w:rsidRPr="001C7BE2">
        <w:rPr>
          <w:lang w:val="es-ES"/>
        </w:rPr>
        <w:t xml:space="preserve">Validar con su firma, los documentos oficiales emanados del ayuntamiento o de cualquiera de sus miembros; </w:t>
      </w:r>
    </w:p>
    <w:p w:rsidR="00B101B8" w:rsidRPr="001C7BE2" w:rsidRDefault="00B101B8" w:rsidP="00B101B8">
      <w:pPr>
        <w:pStyle w:val="Citas"/>
        <w:numPr>
          <w:ilvl w:val="0"/>
          <w:numId w:val="6"/>
        </w:numPr>
        <w:ind w:left="1276" w:hanging="437"/>
      </w:pPr>
      <w:r w:rsidRPr="001C7BE2">
        <w:rPr>
          <w:lang w:val="es-ES"/>
        </w:rPr>
        <w:t xml:space="preserve">Tener a su cargo el archivo general del ayuntamiento; </w:t>
      </w:r>
    </w:p>
    <w:p w:rsidR="00B101B8" w:rsidRPr="001C7BE2" w:rsidRDefault="00B101B8" w:rsidP="00B101B8">
      <w:pPr>
        <w:pStyle w:val="Citas"/>
        <w:numPr>
          <w:ilvl w:val="0"/>
          <w:numId w:val="6"/>
        </w:numPr>
        <w:ind w:left="1276" w:hanging="437"/>
      </w:pPr>
      <w:r w:rsidRPr="001C7BE2">
        <w:rPr>
          <w:lang w:val="es-ES"/>
        </w:rPr>
        <w:t xml:space="preserve">Controlar y distribuir la correspondencia oficial del ayuntamiento, dando cuenta diaria al presidente municipal para acordar su trámite; </w:t>
      </w:r>
    </w:p>
    <w:p w:rsidR="00B101B8" w:rsidRPr="001C7BE2" w:rsidRDefault="00B101B8" w:rsidP="00B101B8">
      <w:pPr>
        <w:pStyle w:val="Citas"/>
        <w:numPr>
          <w:ilvl w:val="0"/>
          <w:numId w:val="6"/>
        </w:numPr>
        <w:ind w:left="1276" w:hanging="437"/>
      </w:pPr>
      <w:r w:rsidRPr="001C7BE2">
        <w:rPr>
          <w:lang w:val="es-ES"/>
        </w:rPr>
        <w:t xml:space="preserve">Publicar los reglamentos, circulares y demás disposiciones municipales de observancia general; </w:t>
      </w:r>
    </w:p>
    <w:p w:rsidR="00B101B8" w:rsidRPr="001C7BE2" w:rsidRDefault="00B101B8" w:rsidP="00B101B8">
      <w:pPr>
        <w:pStyle w:val="Citas"/>
        <w:numPr>
          <w:ilvl w:val="0"/>
          <w:numId w:val="6"/>
        </w:numPr>
        <w:ind w:left="1276" w:hanging="437"/>
      </w:pPr>
      <w:r w:rsidRPr="001C7BE2">
        <w:rPr>
          <w:lang w:val="es-ES"/>
        </w:rPr>
        <w:lastRenderedPageBreak/>
        <w:t xml:space="preserve">Compilar leyes, decretos, reglamentos, periódicos oficiales del estado, circulares y órdenes relativas a los distintos sectores de la administración pública municipal; </w:t>
      </w:r>
    </w:p>
    <w:p w:rsidR="00B101B8" w:rsidRPr="001C7BE2" w:rsidRDefault="00B101B8" w:rsidP="00B101B8">
      <w:pPr>
        <w:pStyle w:val="Citas"/>
        <w:numPr>
          <w:ilvl w:val="0"/>
          <w:numId w:val="6"/>
        </w:numPr>
        <w:ind w:left="1276" w:hanging="437"/>
      </w:pPr>
      <w:r w:rsidRPr="001C7BE2">
        <w:rPr>
          <w:lang w:val="es-ES"/>
        </w:rPr>
        <w:t xml:space="preserve">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rsidR="00B101B8" w:rsidRPr="00DD3CE7" w:rsidRDefault="00B101B8" w:rsidP="00B101B8">
      <w:pPr>
        <w:pStyle w:val="Citas"/>
        <w:numPr>
          <w:ilvl w:val="0"/>
          <w:numId w:val="6"/>
        </w:numPr>
        <w:ind w:left="1276" w:hanging="437"/>
      </w:pPr>
      <w:r w:rsidRPr="001C7BE2">
        <w:rPr>
          <w:lang w:val="es-ES"/>
        </w:rPr>
        <w:t xml:space="preserve">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w:t>
      </w:r>
    </w:p>
    <w:p w:rsidR="00B101B8" w:rsidRPr="001C7BE2" w:rsidRDefault="00B101B8" w:rsidP="00B101B8">
      <w:pPr>
        <w:pStyle w:val="Citas"/>
        <w:ind w:left="1276"/>
      </w:pPr>
      <w:r w:rsidRPr="001C7BE2">
        <w:rPr>
          <w:lang w:val="es-ES"/>
        </w:rPr>
        <w:t xml:space="preserve">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 </w:t>
      </w:r>
    </w:p>
    <w:p w:rsidR="00B101B8" w:rsidRPr="001C7BE2" w:rsidRDefault="00B101B8" w:rsidP="00B101B8">
      <w:pPr>
        <w:pStyle w:val="Citas"/>
        <w:numPr>
          <w:ilvl w:val="0"/>
          <w:numId w:val="6"/>
        </w:numPr>
        <w:ind w:left="1276" w:hanging="437"/>
      </w:pPr>
      <w:r w:rsidRPr="001C7BE2">
        <w:rPr>
          <w:lang w:val="es-ES"/>
        </w:rPr>
        <w:t>Integrar un sistema de información que contenga datos de los aspectos socio-económicos básicos del municipio;</w:t>
      </w:r>
    </w:p>
    <w:p w:rsidR="00B101B8" w:rsidRPr="001C7BE2" w:rsidRDefault="00B101B8" w:rsidP="00B101B8">
      <w:pPr>
        <w:pStyle w:val="Citas"/>
        <w:numPr>
          <w:ilvl w:val="0"/>
          <w:numId w:val="6"/>
        </w:numPr>
        <w:ind w:left="1276" w:hanging="437"/>
      </w:pPr>
      <w:r w:rsidRPr="001C7BE2">
        <w:rPr>
          <w:lang w:val="es-ES"/>
        </w:rPr>
        <w:t xml:space="preserve">Ser responsable de la publicación de la Gaceta Municipal, así como de las publicaciones en los estrados de los Ayuntamientos; y </w:t>
      </w:r>
    </w:p>
    <w:p w:rsidR="00B101B8" w:rsidRPr="00D938D9" w:rsidRDefault="00B101B8" w:rsidP="00B101B8">
      <w:pPr>
        <w:pStyle w:val="Citas"/>
        <w:numPr>
          <w:ilvl w:val="0"/>
          <w:numId w:val="6"/>
        </w:numPr>
        <w:ind w:left="1276" w:hanging="437"/>
      </w:pPr>
      <w:r w:rsidRPr="001C7BE2">
        <w:rPr>
          <w:lang w:val="es-ES"/>
        </w:rPr>
        <w:t>Las demás que le confieran esta Ley y disposiciones aplicables.</w:t>
      </w:r>
    </w:p>
    <w:p w:rsidR="00B101B8" w:rsidRDefault="00B101B8" w:rsidP="00B101B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B101B8" w:rsidRPr="00177253" w:rsidRDefault="00B101B8" w:rsidP="00B101B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CD225B">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 del Sujeto Obligado colma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rsidR="00B101B8" w:rsidRDefault="00B101B8" w:rsidP="00B101B8">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4201"/>
        <w:gridCol w:w="1829"/>
      </w:tblGrid>
      <w:tr w:rsidR="00B101B8" w:rsidTr="00FC0B08">
        <w:trPr>
          <w:trHeight w:val="828"/>
        </w:trPr>
        <w:tc>
          <w:tcPr>
            <w:tcW w:w="3014" w:type="dxa"/>
            <w:shd w:val="clear" w:color="auto" w:fill="E7E6E6" w:themeFill="background2"/>
          </w:tcPr>
          <w:p w:rsidR="00B101B8" w:rsidRPr="00B94808" w:rsidRDefault="00B101B8" w:rsidP="00FC0B08">
            <w:pPr>
              <w:spacing w:line="360" w:lineRule="auto"/>
              <w:jc w:val="center"/>
              <w:rPr>
                <w:rFonts w:ascii="Palatino Linotype" w:hAnsi="Palatino Linotype"/>
                <w:b/>
                <w:i/>
                <w:color w:val="000000"/>
              </w:rPr>
            </w:pPr>
            <w:r w:rsidRPr="00B94808">
              <w:rPr>
                <w:rFonts w:ascii="Palatino Linotype" w:hAnsi="Palatino Linotype"/>
                <w:b/>
                <w:i/>
                <w:color w:val="000000"/>
              </w:rPr>
              <w:t>Requerimientos</w:t>
            </w:r>
          </w:p>
        </w:tc>
        <w:tc>
          <w:tcPr>
            <w:tcW w:w="4201" w:type="dxa"/>
            <w:shd w:val="clear" w:color="auto" w:fill="E7E6E6" w:themeFill="background2"/>
          </w:tcPr>
          <w:p w:rsidR="00B101B8" w:rsidRPr="00B94808" w:rsidRDefault="00B101B8" w:rsidP="00FC0B08">
            <w:pPr>
              <w:spacing w:line="360" w:lineRule="auto"/>
              <w:jc w:val="center"/>
              <w:rPr>
                <w:rFonts w:ascii="Palatino Linotype" w:hAnsi="Palatino Linotype"/>
                <w:b/>
                <w:i/>
                <w:color w:val="000000"/>
              </w:rPr>
            </w:pPr>
            <w:r w:rsidRPr="00B94808">
              <w:rPr>
                <w:rFonts w:ascii="Palatino Linotype" w:hAnsi="Palatino Linotype"/>
                <w:b/>
                <w:i/>
                <w:color w:val="000000"/>
              </w:rPr>
              <w:t>Respuesta</w:t>
            </w:r>
          </w:p>
        </w:tc>
        <w:tc>
          <w:tcPr>
            <w:tcW w:w="1829" w:type="dxa"/>
            <w:shd w:val="clear" w:color="auto" w:fill="E7E6E6" w:themeFill="background2"/>
          </w:tcPr>
          <w:p w:rsidR="00B101B8" w:rsidRPr="00B94808" w:rsidRDefault="00B101B8" w:rsidP="00FC0B08">
            <w:pPr>
              <w:spacing w:line="360" w:lineRule="auto"/>
              <w:jc w:val="center"/>
              <w:rPr>
                <w:rFonts w:ascii="Palatino Linotype" w:hAnsi="Palatino Linotype"/>
                <w:b/>
                <w:i/>
                <w:color w:val="000000"/>
              </w:rPr>
            </w:pPr>
            <w:r w:rsidRPr="00B94808">
              <w:rPr>
                <w:rFonts w:ascii="Palatino Linotype" w:hAnsi="Palatino Linotype"/>
                <w:b/>
                <w:i/>
                <w:color w:val="000000"/>
              </w:rPr>
              <w:t>Colma</w:t>
            </w:r>
          </w:p>
        </w:tc>
      </w:tr>
      <w:tr w:rsidR="00B101B8" w:rsidRPr="00C73DD1" w:rsidTr="00FC0B08">
        <w:trPr>
          <w:trHeight w:val="1044"/>
        </w:trPr>
        <w:tc>
          <w:tcPr>
            <w:tcW w:w="3014" w:type="dxa"/>
          </w:tcPr>
          <w:p w:rsidR="00B101B8" w:rsidRPr="007C6F50" w:rsidRDefault="007C6F50" w:rsidP="00FC0B08">
            <w:pPr>
              <w:jc w:val="both"/>
              <w:rPr>
                <w:rFonts w:ascii="Palatino Linotype" w:hAnsi="Palatino Linotype" w:cs="Tahoma"/>
                <w:sz w:val="22"/>
                <w:szCs w:val="22"/>
              </w:rPr>
            </w:pPr>
            <w:r w:rsidRPr="007C6F50">
              <w:rPr>
                <w:rFonts w:ascii="Palatino Linotype" w:hAnsi="Palatino Linotype" w:cs="Tahoma"/>
                <w:bCs/>
                <w:sz w:val="22"/>
                <w:szCs w:val="22"/>
              </w:rPr>
              <w:t>Acta de Cabildo de la administración 2021-2024.</w:t>
            </w:r>
          </w:p>
        </w:tc>
        <w:tc>
          <w:tcPr>
            <w:tcW w:w="4201" w:type="dxa"/>
          </w:tcPr>
          <w:p w:rsidR="00B101B8" w:rsidRPr="007C6F50" w:rsidRDefault="007C6F50" w:rsidP="007C6F50">
            <w:pPr>
              <w:pStyle w:val="INFOEM"/>
              <w:spacing w:before="0"/>
              <w:ind w:left="0" w:right="0"/>
              <w:rPr>
                <w:i w:val="0"/>
                <w:szCs w:val="22"/>
                <w:lang w:val="es-ES"/>
              </w:rPr>
            </w:pPr>
            <w:r w:rsidRPr="007C6F50">
              <w:rPr>
                <w:i w:val="0"/>
                <w:szCs w:val="22"/>
                <w:lang w:val="es-ES"/>
              </w:rPr>
              <w:t>El Secretario de Ayuntamiento refiere que no existe el periodo constitucional que requiere el solicitante.</w:t>
            </w:r>
          </w:p>
        </w:tc>
        <w:tc>
          <w:tcPr>
            <w:tcW w:w="1829" w:type="dxa"/>
          </w:tcPr>
          <w:p w:rsidR="00B101B8" w:rsidRDefault="00B101B8" w:rsidP="00FC0B08">
            <w:pPr>
              <w:jc w:val="center"/>
              <w:rPr>
                <w:rFonts w:ascii="Palatino Linotype" w:hAnsi="Palatino Linotype"/>
                <w:b/>
                <w:i/>
                <w:color w:val="000000"/>
              </w:rPr>
            </w:pPr>
            <w:r>
              <w:rPr>
                <w:rFonts w:ascii="Palatino Linotype" w:hAnsi="Palatino Linotype"/>
                <w:b/>
                <w:i/>
                <w:color w:val="000000"/>
              </w:rPr>
              <w:t>No</w:t>
            </w:r>
          </w:p>
          <w:p w:rsidR="00B101B8" w:rsidRPr="00923A83" w:rsidRDefault="00B101B8" w:rsidP="00FC0B08">
            <w:pPr>
              <w:jc w:val="center"/>
              <w:rPr>
                <w:rFonts w:ascii="Palatino Linotype" w:hAnsi="Palatino Linotype"/>
                <w:i/>
                <w:color w:val="000000"/>
              </w:rPr>
            </w:pPr>
          </w:p>
        </w:tc>
      </w:tr>
    </w:tbl>
    <w:p w:rsidR="00B101B8" w:rsidRDefault="00B101B8" w:rsidP="00B101B8">
      <w:pPr>
        <w:spacing w:line="360" w:lineRule="auto"/>
        <w:jc w:val="both"/>
        <w:rPr>
          <w:rFonts w:ascii="Palatino Linotype" w:hAnsi="Palatino Linotype" w:cs="Arial"/>
        </w:rPr>
      </w:pPr>
    </w:p>
    <w:p w:rsidR="00B101B8" w:rsidRPr="00F4796C" w:rsidRDefault="00B101B8" w:rsidP="00B101B8">
      <w:pPr>
        <w:autoSpaceDE w:val="0"/>
        <w:autoSpaceDN w:val="0"/>
        <w:adjustRightInd w:val="0"/>
        <w:spacing w:before="240" w:after="160" w:line="360" w:lineRule="auto"/>
        <w:jc w:val="both"/>
        <w:rPr>
          <w:rFonts w:ascii="Palatino Linotype" w:hAnsi="Palatino Linotype" w:cs="Arial"/>
        </w:rPr>
      </w:pPr>
      <w:r>
        <w:rPr>
          <w:rFonts w:ascii="Palatino Linotype" w:hAnsi="Palatino Linotype" w:cs="Arial"/>
        </w:rPr>
        <w:t>El</w:t>
      </w:r>
      <w:r w:rsidRPr="00F4796C">
        <w:rPr>
          <w:rFonts w:ascii="Palatino Linotype" w:hAnsi="Palatino Linotype" w:cs="Arial"/>
        </w:rPr>
        <w:t xml:space="preserve"> derecho de acceso a la información pública estriba en la prerrogativa de carácter constitucional que reconoce la potestad de los ciudadanos para solicitar soportes documentales generados, poseídos o administrados por los </w:t>
      </w:r>
      <w:r w:rsidRPr="00F4796C">
        <w:rPr>
          <w:rFonts w:ascii="Palatino Linotype" w:hAnsi="Palatino Linotype" w:cs="Arial"/>
          <w:b/>
          <w:bCs/>
        </w:rPr>
        <w:t xml:space="preserve">Sujetos Obligados. </w:t>
      </w:r>
    </w:p>
    <w:p w:rsidR="00B101B8" w:rsidRDefault="00B101B8" w:rsidP="00B101B8">
      <w:pPr>
        <w:spacing w:line="360" w:lineRule="auto"/>
        <w:jc w:val="both"/>
        <w:rPr>
          <w:rFonts w:ascii="Palatino Linotype" w:hAnsi="Palatino Linotype" w:cs="Arial"/>
        </w:rPr>
      </w:pPr>
    </w:p>
    <w:p w:rsidR="00B101B8" w:rsidRPr="009E63DA" w:rsidRDefault="00B101B8" w:rsidP="00B101B8">
      <w:pPr>
        <w:spacing w:line="360" w:lineRule="auto"/>
        <w:jc w:val="both"/>
        <w:rPr>
          <w:rFonts w:ascii="Palatino Linotype" w:hAnsi="Palatino Linotype" w:cs="Arial"/>
        </w:rPr>
      </w:pPr>
      <w:r w:rsidRPr="009E63DA">
        <w:rPr>
          <w:rFonts w:ascii="Palatino Linotype" w:hAnsi="Palatino Linotype" w:cs="Arial"/>
        </w:rPr>
        <w:t xml:space="preserve">Ahora bien,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rsidR="00B101B8" w:rsidRPr="009E63DA" w:rsidRDefault="00B101B8" w:rsidP="00B101B8">
      <w:pPr>
        <w:ind w:left="567" w:right="567"/>
        <w:jc w:val="both"/>
        <w:rPr>
          <w:rFonts w:ascii="Palatino Linotype" w:hAnsi="Palatino Linotype"/>
        </w:rPr>
      </w:pPr>
    </w:p>
    <w:p w:rsidR="00B101B8" w:rsidRPr="009E63DA" w:rsidRDefault="00B101B8" w:rsidP="00B101B8">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B101B8" w:rsidRPr="009E63DA" w:rsidRDefault="00B101B8" w:rsidP="00B101B8">
      <w:pPr>
        <w:ind w:left="851" w:right="851"/>
        <w:jc w:val="both"/>
        <w:rPr>
          <w:rFonts w:ascii="Palatino Linotype" w:hAnsi="Palatino Linotype"/>
          <w:i/>
        </w:rPr>
      </w:pPr>
      <w:r w:rsidRPr="009E63DA">
        <w:rPr>
          <w:rFonts w:ascii="Palatino Linotype" w:hAnsi="Palatino Linotype"/>
          <w:i/>
        </w:rPr>
        <w:t>…</w:t>
      </w:r>
    </w:p>
    <w:p w:rsidR="00B101B8" w:rsidRPr="009E63DA" w:rsidRDefault="00B101B8" w:rsidP="00B101B8">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 xml:space="preserve">cualquier otro registro que documente el ejercicio de las facultades, </w:t>
      </w:r>
      <w:r w:rsidRPr="009E63DA">
        <w:rPr>
          <w:rFonts w:ascii="Palatino Linotype" w:hAnsi="Palatino Linotype"/>
          <w:b/>
          <w:i/>
          <w:u w:val="single"/>
        </w:rPr>
        <w:lastRenderedPageBreak/>
        <w:t>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B101B8" w:rsidRPr="009E63DA" w:rsidRDefault="00B101B8" w:rsidP="00B101B8">
      <w:pPr>
        <w:ind w:left="851" w:right="851"/>
        <w:jc w:val="both"/>
        <w:rPr>
          <w:rFonts w:ascii="Palatino Linotype" w:hAnsi="Palatino Linotype"/>
          <w:i/>
        </w:rPr>
      </w:pPr>
    </w:p>
    <w:p w:rsidR="00B101B8" w:rsidRPr="009E63DA" w:rsidRDefault="00B101B8" w:rsidP="00B101B8">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B101B8" w:rsidRPr="009E63DA" w:rsidRDefault="00B101B8" w:rsidP="00B101B8">
      <w:pPr>
        <w:ind w:left="851" w:right="851"/>
        <w:jc w:val="both"/>
        <w:rPr>
          <w:rFonts w:ascii="Palatino Linotype" w:hAnsi="Palatino Linotype"/>
          <w:bCs/>
          <w:i/>
        </w:rPr>
      </w:pPr>
    </w:p>
    <w:p w:rsidR="00B101B8" w:rsidRPr="009E63DA" w:rsidRDefault="00B101B8" w:rsidP="00B101B8">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B101B8" w:rsidRPr="009E63DA" w:rsidRDefault="00B101B8" w:rsidP="00B101B8">
      <w:pPr>
        <w:ind w:left="851" w:right="851"/>
        <w:jc w:val="both"/>
        <w:rPr>
          <w:rFonts w:ascii="Palatino Linotype" w:hAnsi="Palatino Linotype"/>
          <w:bCs/>
          <w:i/>
        </w:rPr>
      </w:pPr>
    </w:p>
    <w:p w:rsidR="00B101B8" w:rsidRPr="009E63DA" w:rsidRDefault="00B101B8" w:rsidP="00B101B8">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B101B8" w:rsidRPr="009E63DA" w:rsidRDefault="00B101B8" w:rsidP="00B101B8">
      <w:pPr>
        <w:ind w:left="851" w:right="851"/>
        <w:jc w:val="both"/>
        <w:rPr>
          <w:rFonts w:ascii="Palatino Linotype" w:hAnsi="Palatino Linotype"/>
          <w:i/>
        </w:rPr>
      </w:pPr>
    </w:p>
    <w:p w:rsidR="00B101B8" w:rsidRPr="009E63DA" w:rsidRDefault="00B101B8" w:rsidP="00B101B8">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B101B8" w:rsidRPr="009E63DA" w:rsidRDefault="00B101B8" w:rsidP="00B101B8">
      <w:pPr>
        <w:ind w:left="851" w:right="851"/>
        <w:jc w:val="both"/>
        <w:rPr>
          <w:rFonts w:ascii="Palatino Linotype" w:hAnsi="Palatino Linotype"/>
          <w:i/>
        </w:rPr>
      </w:pPr>
    </w:p>
    <w:p w:rsidR="00B101B8" w:rsidRPr="009E63DA" w:rsidRDefault="00B101B8" w:rsidP="00B101B8">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B101B8" w:rsidRPr="009E63DA" w:rsidRDefault="00B101B8" w:rsidP="00B101B8">
      <w:pPr>
        <w:jc w:val="both"/>
        <w:rPr>
          <w:rFonts w:ascii="Palatino Linotype" w:hAnsi="Palatino Linotype"/>
        </w:rPr>
      </w:pPr>
    </w:p>
    <w:p w:rsidR="00B101B8" w:rsidRDefault="00B101B8" w:rsidP="00B101B8">
      <w:pPr>
        <w:spacing w:line="360" w:lineRule="auto"/>
        <w:jc w:val="both"/>
        <w:rPr>
          <w:rFonts w:ascii="Palatino Linotype" w:eastAsia="Calibri" w:hAnsi="Palatino Linotype" w:cs="Arial"/>
          <w:color w:val="000000"/>
          <w:lang w:val="es-ES_tradnl" w:eastAsia="es-MX"/>
        </w:rPr>
      </w:pPr>
    </w:p>
    <w:p w:rsidR="00B101B8" w:rsidRDefault="00B101B8" w:rsidP="00B101B8">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lastRenderedPageBreak/>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un documento </w:t>
      </w:r>
      <w:r w:rsidRPr="009E63DA">
        <w:rPr>
          <w:rFonts w:ascii="Palatino Linotype" w:eastAsia="Calibri" w:hAnsi="Palatino Linotype" w:cs="Arial"/>
          <w:i/>
          <w:color w:val="000000"/>
          <w:lang w:val="es-ES_tradnl" w:eastAsia="es-MX"/>
        </w:rPr>
        <w:t>ad hoc</w:t>
      </w:r>
      <w:r w:rsidRPr="009E63DA">
        <w:rPr>
          <w:rFonts w:ascii="Palatino Linotype" w:eastAsia="Calibri" w:hAnsi="Palatino Linotype" w:cs="Arial"/>
          <w:color w:val="000000"/>
          <w:lang w:val="es-ES_tradnl" w:eastAsia="es-MX"/>
        </w:rPr>
        <w:t xml:space="preserve">, para satisfacer el derecho de acceso a la información </w:t>
      </w:r>
      <w:r w:rsidRPr="00DE65DA">
        <w:rPr>
          <w:rFonts w:ascii="Palatino Linotype" w:eastAsia="Calibri" w:hAnsi="Palatino Linotype" w:cs="Arial"/>
          <w:color w:val="000000"/>
          <w:lang w:val="es-ES_tradnl" w:eastAsia="es-MX"/>
        </w:rPr>
        <w:t>pública.</w:t>
      </w:r>
    </w:p>
    <w:p w:rsidR="00B101B8" w:rsidRPr="00DC0E0E" w:rsidRDefault="00B101B8" w:rsidP="00B101B8">
      <w:pPr>
        <w:pStyle w:val="Citas"/>
        <w:tabs>
          <w:tab w:val="left" w:pos="7470"/>
        </w:tabs>
        <w:ind w:left="0" w:right="72"/>
        <w:rPr>
          <w:bCs/>
          <w:i w:val="0"/>
          <w:sz w:val="24"/>
          <w:szCs w:val="24"/>
        </w:rPr>
      </w:pPr>
      <w:r w:rsidRPr="00DC0E0E">
        <w:rPr>
          <w:rFonts w:eastAsia="Calibri"/>
          <w:i w:val="0"/>
          <w:sz w:val="24"/>
          <w:szCs w:val="24"/>
        </w:rPr>
        <w:t xml:space="preserve">Por lo anterior, debe </w:t>
      </w:r>
      <w:r w:rsidRPr="00DC0E0E">
        <w:rPr>
          <w:bCs/>
          <w:i w:val="0"/>
          <w:sz w:val="24"/>
          <w:szCs w:val="24"/>
        </w:rPr>
        <w:t>arribarse a las siguientes consideraciones:</w:t>
      </w:r>
    </w:p>
    <w:p w:rsidR="00B101B8" w:rsidRPr="00DC0E0E" w:rsidRDefault="00B101B8" w:rsidP="00B101B8">
      <w:pPr>
        <w:pStyle w:val="Sinespaciado"/>
        <w:numPr>
          <w:ilvl w:val="0"/>
          <w:numId w:val="4"/>
        </w:numPr>
        <w:spacing w:line="360" w:lineRule="auto"/>
        <w:jc w:val="both"/>
        <w:rPr>
          <w:rFonts w:ascii="Palatino Linotype" w:hAnsi="Palatino Linotype"/>
          <w:sz w:val="24"/>
          <w:szCs w:val="24"/>
        </w:rPr>
      </w:pPr>
      <w:r w:rsidRPr="00DC0E0E">
        <w:rPr>
          <w:rFonts w:ascii="Palatino Linotype" w:hAnsi="Palatino Linotype"/>
          <w:sz w:val="24"/>
          <w:szCs w:val="24"/>
        </w:rPr>
        <w:t xml:space="preserve">El derecho de acceso a la información versa esencialmente en acceder a información registrada en cualquier soporte documental que en ejercicio de las atribuciones conferidas sea generada, poseída o administrada por los </w:t>
      </w:r>
      <w:r w:rsidRPr="00DC0E0E">
        <w:rPr>
          <w:rFonts w:ascii="Palatino Linotype" w:hAnsi="Palatino Linotype"/>
          <w:b/>
          <w:bCs/>
          <w:sz w:val="24"/>
          <w:szCs w:val="24"/>
        </w:rPr>
        <w:t xml:space="preserve">Sujetos Obligados. </w:t>
      </w:r>
    </w:p>
    <w:p w:rsidR="00B101B8" w:rsidRPr="00DC0E0E" w:rsidRDefault="00B101B8" w:rsidP="00B101B8">
      <w:pPr>
        <w:pStyle w:val="Sinespaciado"/>
        <w:numPr>
          <w:ilvl w:val="0"/>
          <w:numId w:val="4"/>
        </w:numPr>
        <w:spacing w:line="360" w:lineRule="auto"/>
        <w:jc w:val="both"/>
        <w:rPr>
          <w:rFonts w:ascii="Palatino Linotype" w:hAnsi="Palatino Linotype"/>
          <w:sz w:val="24"/>
          <w:szCs w:val="24"/>
        </w:rPr>
      </w:pPr>
      <w:r w:rsidRPr="00DC0E0E">
        <w:rPr>
          <w:rFonts w:ascii="Palatino Linotype" w:hAnsi="Palatino Linotype"/>
          <w:sz w:val="24"/>
          <w:szCs w:val="24"/>
        </w:rPr>
        <w:t>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w:t>
      </w:r>
      <w:r w:rsidR="007C6F50">
        <w:rPr>
          <w:rFonts w:ascii="Palatino Linotype" w:hAnsi="Palatino Linotype"/>
          <w:sz w:val="24"/>
          <w:szCs w:val="24"/>
        </w:rPr>
        <w:t>.</w:t>
      </w:r>
    </w:p>
    <w:p w:rsidR="00B101B8" w:rsidRPr="00DD5172" w:rsidRDefault="00B101B8" w:rsidP="00B101B8">
      <w:pPr>
        <w:numPr>
          <w:ilvl w:val="0"/>
          <w:numId w:val="4"/>
        </w:numPr>
        <w:spacing w:line="360" w:lineRule="auto"/>
        <w:ind w:right="-28"/>
        <w:contextualSpacing/>
        <w:jc w:val="both"/>
        <w:rPr>
          <w:rFonts w:ascii="Palatino Linotype" w:eastAsia="Calibri" w:hAnsi="Palatino Linotype" w:cs="Tahoma"/>
          <w:color w:val="000000"/>
        </w:rPr>
      </w:pPr>
      <w:r w:rsidRPr="00DD5172">
        <w:rPr>
          <w:rFonts w:ascii="Palatino Linotype" w:eastAsia="Calibri" w:hAnsi="Palatino Linotype" w:cs="Tahoma"/>
          <w:color w:val="000000"/>
        </w:rPr>
        <w:t>El Cabildo sesionará cuando menos, una vez cada ocho días, las sesiones serán públicas y deberán transmitirse por Internet;</w:t>
      </w:r>
    </w:p>
    <w:p w:rsidR="00B101B8" w:rsidRPr="00DD5172" w:rsidRDefault="00B101B8" w:rsidP="00B101B8">
      <w:pPr>
        <w:numPr>
          <w:ilvl w:val="0"/>
          <w:numId w:val="4"/>
        </w:numPr>
        <w:spacing w:line="360" w:lineRule="auto"/>
        <w:ind w:right="-28"/>
        <w:contextualSpacing/>
        <w:jc w:val="both"/>
        <w:rPr>
          <w:rFonts w:ascii="Palatino Linotype" w:eastAsia="Calibri" w:hAnsi="Palatino Linotype" w:cs="Tahoma"/>
          <w:color w:val="000000"/>
        </w:rPr>
      </w:pPr>
      <w:r w:rsidRPr="00DD5172">
        <w:rPr>
          <w:rFonts w:ascii="Palatino Linotype" w:eastAsia="Calibri" w:hAnsi="Palatino Linotype" w:cs="Tahoma"/>
          <w:color w:val="000000"/>
        </w:rPr>
        <w:t>Las sesiones del Cabildo, constarán en un libro que deberá contener</w:t>
      </w:r>
      <w:r w:rsidRPr="00DD5172">
        <w:rPr>
          <w:rFonts w:ascii="Palatino Linotype" w:eastAsia="Calibri" w:hAnsi="Palatino Linotype" w:cs="Tahoma"/>
          <w:b/>
          <w:bCs/>
          <w:color w:val="000000"/>
        </w:rPr>
        <w:t xml:space="preserve"> las actas de las cuales deberán asentarse los extractos de los acuerdos, los asuntos tratados y resultados de la votación;</w:t>
      </w:r>
      <w:r w:rsidRPr="00DD5172">
        <w:rPr>
          <w:rFonts w:ascii="Palatino Linotype" w:eastAsia="Calibri" w:hAnsi="Palatino Linotype" w:cs="Tahoma"/>
          <w:color w:val="000000"/>
        </w:rPr>
        <w:t xml:space="preserve"> </w:t>
      </w:r>
    </w:p>
    <w:p w:rsidR="00B101B8" w:rsidRPr="00DD5172" w:rsidRDefault="00B101B8" w:rsidP="00B101B8">
      <w:pPr>
        <w:numPr>
          <w:ilvl w:val="0"/>
          <w:numId w:val="4"/>
        </w:numPr>
        <w:spacing w:line="360" w:lineRule="auto"/>
        <w:ind w:right="-28"/>
        <w:contextualSpacing/>
        <w:jc w:val="both"/>
        <w:rPr>
          <w:rFonts w:ascii="Palatino Linotype" w:eastAsia="Calibri" w:hAnsi="Palatino Linotype" w:cs="Tahoma"/>
          <w:color w:val="000000"/>
        </w:rPr>
      </w:pPr>
      <w:r w:rsidRPr="00DD5172">
        <w:rPr>
          <w:rFonts w:ascii="Palatino Linotype" w:eastAsia="Calibri" w:hAnsi="Palatino Linotype" w:cs="Tahoma"/>
          <w:color w:val="000000"/>
        </w:rPr>
        <w:t xml:space="preserve">Todos los acuerdos de las sesiones y el resultado de la votación, serán difundidos, cada mes en la Gaceta Municipal y en los estrados de la Secretaría del Ayuntamiento, y </w:t>
      </w:r>
    </w:p>
    <w:p w:rsidR="00B101B8" w:rsidRDefault="00B101B8" w:rsidP="00B101B8">
      <w:pPr>
        <w:numPr>
          <w:ilvl w:val="0"/>
          <w:numId w:val="4"/>
        </w:numPr>
        <w:spacing w:line="360" w:lineRule="auto"/>
        <w:ind w:right="-28"/>
        <w:contextualSpacing/>
        <w:jc w:val="both"/>
        <w:rPr>
          <w:rFonts w:ascii="Palatino Linotype" w:eastAsia="Calibri" w:hAnsi="Palatino Linotype" w:cs="Tahoma"/>
          <w:color w:val="000000"/>
        </w:rPr>
      </w:pPr>
      <w:r w:rsidRPr="00DD5172">
        <w:rPr>
          <w:rFonts w:ascii="Palatino Linotype" w:eastAsia="Calibri" w:hAnsi="Palatino Linotype" w:cs="Tahoma"/>
          <w:color w:val="000000"/>
        </w:rPr>
        <w:lastRenderedPageBreak/>
        <w:t xml:space="preserve">Para cada sesión se deberá contar con una versión estenográfica o </w:t>
      </w:r>
      <w:proofErr w:type="spellStart"/>
      <w:r w:rsidRPr="00DD5172">
        <w:rPr>
          <w:rFonts w:ascii="Palatino Linotype" w:eastAsia="Calibri" w:hAnsi="Palatino Linotype" w:cs="Tahoma"/>
          <w:color w:val="000000"/>
        </w:rPr>
        <w:t>videograbada</w:t>
      </w:r>
      <w:proofErr w:type="spellEnd"/>
      <w:r w:rsidRPr="00DD5172">
        <w:rPr>
          <w:rFonts w:ascii="Palatino Linotype" w:eastAsia="Calibri" w:hAnsi="Palatino Linotype" w:cs="Tahoma"/>
          <w:color w:val="000000"/>
        </w:rPr>
        <w:t xml:space="preserve"> que permita hacer las aclaraciones pertinentes, la cual formara parte del acta correspondiente, las cuales deberán estar disponibles en internet o en las oficinas de la Secretaría del Ayuntamiento.</w:t>
      </w:r>
    </w:p>
    <w:p w:rsidR="00B101B8" w:rsidRPr="00DD5172" w:rsidRDefault="00B101B8" w:rsidP="00B101B8">
      <w:pPr>
        <w:numPr>
          <w:ilvl w:val="0"/>
          <w:numId w:val="4"/>
        </w:numPr>
        <w:spacing w:line="360" w:lineRule="auto"/>
        <w:ind w:right="-28"/>
        <w:contextualSpacing/>
        <w:jc w:val="both"/>
        <w:rPr>
          <w:rFonts w:ascii="Palatino Linotype" w:eastAsia="Calibri" w:hAnsi="Palatino Linotype" w:cs="Tahoma"/>
          <w:color w:val="000000"/>
        </w:rPr>
      </w:pPr>
      <w:r>
        <w:rPr>
          <w:rFonts w:ascii="Palatino Linotype" w:eastAsia="Calibri" w:hAnsi="Palatino Linotype" w:cs="Tahoma"/>
          <w:color w:val="000000"/>
        </w:rPr>
        <w:t xml:space="preserve">Conforme al </w:t>
      </w:r>
      <w:r w:rsidR="007C6F50">
        <w:rPr>
          <w:rFonts w:ascii="Palatino Linotype" w:eastAsia="Calibri" w:hAnsi="Palatino Linotype" w:cs="Tahoma"/>
          <w:color w:val="000000"/>
        </w:rPr>
        <w:t>artículo</w:t>
      </w:r>
      <w:r>
        <w:rPr>
          <w:rFonts w:ascii="Palatino Linotype" w:eastAsia="Calibri" w:hAnsi="Palatino Linotype" w:cs="Tahoma"/>
          <w:color w:val="000000"/>
        </w:rPr>
        <w:t xml:space="preserve"> </w:t>
      </w:r>
      <w:r w:rsidRPr="00DD5172">
        <w:rPr>
          <w:rFonts w:ascii="Palatino Linotype" w:eastAsia="Calibri" w:hAnsi="Palatino Linotype" w:cs="Tahoma"/>
          <w:bCs/>
          <w:iCs/>
          <w:color w:val="000000"/>
          <w:lang w:val="es-MX"/>
        </w:rPr>
        <w:t>91 de la Ley Orgánica M</w:t>
      </w:r>
      <w:r>
        <w:rPr>
          <w:rFonts w:ascii="Palatino Linotype" w:eastAsia="Calibri" w:hAnsi="Palatino Linotype" w:cs="Tahoma"/>
          <w:bCs/>
          <w:iCs/>
          <w:color w:val="000000"/>
          <w:lang w:val="es-MX"/>
        </w:rPr>
        <w:t xml:space="preserve">unicipal del Estado de México, </w:t>
      </w:r>
      <w:r w:rsidRPr="00DD5172">
        <w:rPr>
          <w:rFonts w:ascii="Palatino Linotype" w:eastAsia="Calibri" w:hAnsi="Palatino Linotype" w:cs="Tahoma"/>
          <w:bCs/>
          <w:iCs/>
          <w:color w:val="000000"/>
          <w:lang w:val="es-MX"/>
        </w:rPr>
        <w:t>precisa que</w:t>
      </w:r>
      <w:r>
        <w:rPr>
          <w:rFonts w:ascii="Palatino Linotype" w:eastAsia="Calibri" w:hAnsi="Palatino Linotype" w:cs="Tahoma"/>
          <w:bCs/>
          <w:iCs/>
          <w:color w:val="000000"/>
          <w:lang w:val="es-MX"/>
        </w:rPr>
        <w:t xml:space="preserve"> la </w:t>
      </w:r>
      <w:r w:rsidRPr="00DD5172">
        <w:rPr>
          <w:rFonts w:ascii="Palatino Linotype" w:hAnsi="Palatino Linotype" w:cs="Tahoma"/>
          <w:bCs/>
          <w:iCs/>
        </w:rPr>
        <w:t>Secretaría del Ayuntamiento</w:t>
      </w:r>
      <w:r w:rsidRPr="00DD5172">
        <w:rPr>
          <w:rFonts w:ascii="Palatino Linotype" w:eastAsia="Calibri" w:hAnsi="Palatino Linotype" w:cs="Tahoma"/>
          <w:bCs/>
          <w:iCs/>
          <w:color w:val="000000"/>
          <w:lang w:val="es-MX"/>
        </w:rPr>
        <w:t xml:space="preserve"> será la encargada de llevar y conservar los libros de Actas de Cabildo</w:t>
      </w:r>
      <w:r>
        <w:rPr>
          <w:rFonts w:ascii="Palatino Linotype" w:eastAsia="Calibri" w:hAnsi="Palatino Linotype" w:cs="Tahoma"/>
          <w:bCs/>
          <w:iCs/>
          <w:color w:val="000000"/>
          <w:lang w:val="es-MX"/>
        </w:rPr>
        <w:t>.</w:t>
      </w:r>
    </w:p>
    <w:p w:rsidR="00B101B8" w:rsidRPr="00DC0E0E" w:rsidRDefault="00B101B8" w:rsidP="00B101B8">
      <w:pPr>
        <w:spacing w:line="360" w:lineRule="auto"/>
        <w:jc w:val="both"/>
        <w:rPr>
          <w:rFonts w:ascii="Palatino Linotype" w:eastAsia="Calibri" w:hAnsi="Palatino Linotype" w:cs="Arial"/>
          <w:color w:val="000000"/>
          <w:lang w:val="es-ES_tradnl" w:eastAsia="es-MX"/>
        </w:rPr>
      </w:pPr>
    </w:p>
    <w:p w:rsidR="00B101B8" w:rsidRDefault="00B101B8" w:rsidP="00B101B8">
      <w:pPr>
        <w:tabs>
          <w:tab w:val="left" w:pos="2130"/>
        </w:tabs>
        <w:spacing w:line="360" w:lineRule="auto"/>
        <w:jc w:val="both"/>
        <w:rPr>
          <w:rFonts w:ascii="Palatino Linotype" w:eastAsia="Calibri" w:hAnsi="Palatino Linotype" w:cs="Tahoma"/>
          <w:bCs/>
        </w:rPr>
      </w:pPr>
    </w:p>
    <w:p w:rsidR="00B101B8" w:rsidRPr="007C7D03" w:rsidRDefault="00B101B8" w:rsidP="00B101B8">
      <w:pPr>
        <w:spacing w:line="360" w:lineRule="auto"/>
        <w:jc w:val="both"/>
        <w:rPr>
          <w:rFonts w:ascii="Palatino Linotype" w:hAnsi="Palatino Linotype" w:cs="Palatino Linotype"/>
          <w:b/>
          <w:i/>
          <w:color w:val="000000"/>
          <w:sz w:val="28"/>
        </w:rPr>
      </w:pPr>
      <w:r w:rsidRPr="007C7D03">
        <w:rPr>
          <w:rFonts w:ascii="Palatino Linotype" w:hAnsi="Palatino Linotype" w:cs="Palatino Linotype"/>
          <w:b/>
          <w:i/>
          <w:color w:val="000000"/>
          <w:sz w:val="28"/>
        </w:rPr>
        <w:t xml:space="preserve">De la Versión Pública </w:t>
      </w:r>
    </w:p>
    <w:p w:rsidR="00B101B8" w:rsidRPr="00F54FF7" w:rsidRDefault="00B101B8" w:rsidP="00B101B8">
      <w:pPr>
        <w:tabs>
          <w:tab w:val="left" w:pos="7938"/>
        </w:tabs>
        <w:spacing w:before="240" w:after="240" w:line="360" w:lineRule="auto"/>
        <w:jc w:val="both"/>
        <w:rPr>
          <w:rFonts w:ascii="Palatino Linotype" w:eastAsia="Arial Unicode MS" w:hAnsi="Palatino Linotype" w:cs="Arial"/>
          <w:lang w:val="es-ES_tradnl" w:eastAsia="es-MX"/>
        </w:rPr>
      </w:pPr>
      <w:r w:rsidRPr="00F54FF7">
        <w:rPr>
          <w:rFonts w:ascii="Palatino Linotype" w:eastAsia="Arial Unicode MS" w:hAnsi="Palatino Linotype" w:cs="Arial"/>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B101B8" w:rsidRPr="00F54FF7" w:rsidRDefault="00B101B8" w:rsidP="00B101B8">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“Artículo 3. Para los efectos de la presente Ley se entenderá por:</w:t>
      </w:r>
    </w:p>
    <w:p w:rsidR="00B101B8" w:rsidRPr="00F54FF7" w:rsidRDefault="00B101B8" w:rsidP="00B101B8">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B101B8" w:rsidRPr="00F54FF7" w:rsidRDefault="00B101B8" w:rsidP="00B101B8">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u w:val="single"/>
          <w:lang w:val="es-ES_tradnl" w:eastAsia="es-MX"/>
        </w:rPr>
        <w:lastRenderedPageBreak/>
        <w:t>IX. Datos personales:</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i/>
          <w:lang w:val="es-ES_tradnl" w:eastAsia="es-MX"/>
        </w:rPr>
        <w:t>La información concerniente a una persona, identificada o identificable según lo dispuesto por la Ley de Protección de Datos Personales del Estado de México;</w:t>
      </w:r>
    </w:p>
    <w:p w:rsidR="00B101B8" w:rsidRPr="00F54FF7" w:rsidRDefault="00B101B8" w:rsidP="00B101B8">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w:t>
      </w:r>
    </w:p>
    <w:p w:rsidR="00B101B8" w:rsidRPr="00F54FF7" w:rsidRDefault="00B101B8" w:rsidP="00B101B8">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u w:val="single"/>
          <w:lang w:val="es-ES_tradnl" w:eastAsia="es-MX"/>
        </w:rPr>
        <w:t>XLV. Versión pública:</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i/>
          <w:lang w:val="es-ES_tradnl" w:eastAsia="es-MX"/>
        </w:rPr>
        <w:t>Documento en el que se elimine, suprime o borra la información clasificada como reservada o confidencial para permitir su acceso.</w:t>
      </w:r>
    </w:p>
    <w:p w:rsidR="00B101B8" w:rsidRPr="00F54FF7" w:rsidRDefault="00B101B8" w:rsidP="00B101B8">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t xml:space="preserve">Artículo 122. </w:t>
      </w:r>
      <w:r w:rsidRPr="00F54FF7">
        <w:rPr>
          <w:rFonts w:ascii="Palatino Linotype" w:eastAsia="Calibri" w:hAnsi="Palatino Linotype" w:cs="Arial"/>
          <w:b/>
          <w:i/>
          <w:u w:val="single"/>
          <w:lang w:val="es-ES_tradnl" w:eastAsia="es-MX"/>
        </w:rPr>
        <w:t xml:space="preserve">La clasificación es el proceso mediante el cual el sujeto obligado determina que la información en su poder </w:t>
      </w:r>
      <w:proofErr w:type="spellStart"/>
      <w:r w:rsidRPr="00F54FF7">
        <w:rPr>
          <w:rFonts w:ascii="Palatino Linotype" w:eastAsia="Calibri" w:hAnsi="Palatino Linotype" w:cs="Arial"/>
          <w:b/>
          <w:i/>
          <w:u w:val="single"/>
          <w:lang w:val="es-ES_tradnl" w:eastAsia="es-MX"/>
        </w:rPr>
        <w:t>actualiza</w:t>
      </w:r>
      <w:proofErr w:type="spellEnd"/>
      <w:r w:rsidRPr="00F54FF7">
        <w:rPr>
          <w:rFonts w:ascii="Palatino Linotype" w:eastAsia="Calibri" w:hAnsi="Palatino Linotype" w:cs="Arial"/>
          <w:b/>
          <w:i/>
          <w:u w:val="single"/>
          <w:lang w:val="es-ES_tradnl" w:eastAsia="es-MX"/>
        </w:rPr>
        <w:t xml:space="preserve"> alguno de los supuestos de reserva o confidencialidad, de conformidad con lo dispuesto en el presente título.</w:t>
      </w:r>
    </w:p>
    <w:p w:rsidR="00B101B8" w:rsidRPr="00F54FF7" w:rsidRDefault="00B101B8" w:rsidP="00B101B8">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B101B8" w:rsidRPr="00F54FF7" w:rsidRDefault="00B101B8" w:rsidP="00B101B8">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Artículo 132. La clasificación de la información se llevará a cabo en el momento en que:</w:t>
      </w:r>
    </w:p>
    <w:p w:rsidR="00B101B8" w:rsidRPr="00F54FF7" w:rsidRDefault="00B101B8" w:rsidP="00B101B8">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B101B8" w:rsidRPr="00F54FF7" w:rsidRDefault="00B101B8" w:rsidP="00B101B8">
      <w:pPr>
        <w:spacing w:before="240" w:line="360" w:lineRule="auto"/>
        <w:ind w:left="851" w:right="851"/>
        <w:jc w:val="both"/>
        <w:rPr>
          <w:rFonts w:ascii="Palatino Linotype" w:eastAsia="Calibri" w:hAnsi="Palatino Linotype" w:cs="Arial"/>
          <w:b/>
          <w:i/>
          <w:u w:val="single"/>
          <w:lang w:val="es-ES_tradnl" w:eastAsia="es-MX"/>
        </w:rPr>
      </w:pPr>
      <w:r w:rsidRPr="00F54FF7">
        <w:rPr>
          <w:rFonts w:ascii="Palatino Linotype" w:eastAsia="Calibri" w:hAnsi="Palatino Linotype" w:cs="Arial"/>
          <w:b/>
          <w:i/>
          <w:u w:val="single"/>
          <w:lang w:val="es-ES_tradnl" w:eastAsia="es-MX"/>
        </w:rPr>
        <w:t>II. Se determine mediante resolución de autoridad competente; o</w:t>
      </w:r>
    </w:p>
    <w:p w:rsidR="00B101B8" w:rsidRPr="00F54FF7" w:rsidRDefault="00B101B8" w:rsidP="00B101B8">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w:t>
      </w:r>
    </w:p>
    <w:p w:rsidR="00B101B8" w:rsidRPr="00F54FF7" w:rsidRDefault="00B101B8" w:rsidP="00B101B8">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w:t>
      </w:r>
      <w:r w:rsidRPr="00F54FF7">
        <w:rPr>
          <w:rFonts w:ascii="Palatino Linotype" w:eastAsia="Calibri" w:hAnsi="Palatino Linotype" w:cs="Arial"/>
          <w:i/>
          <w:lang w:val="es-ES_tradnl" w:eastAsia="es-MX"/>
        </w:rPr>
        <w:lastRenderedPageBreak/>
        <w:t>su contenido</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b/>
          <w:i/>
          <w:u w:val="single"/>
          <w:lang w:val="es-ES_tradnl" w:eastAsia="es-MX"/>
        </w:rPr>
        <w:t xml:space="preserve">de manera genérica y fundando y motivando su clasificación.” </w:t>
      </w:r>
      <w:r w:rsidRPr="00F54FF7">
        <w:rPr>
          <w:rFonts w:ascii="Palatino Linotype" w:eastAsia="Calibri" w:hAnsi="Palatino Linotype" w:cs="Arial"/>
          <w:b/>
          <w:i/>
          <w:lang w:val="es-ES_tradnl" w:eastAsia="es-MX"/>
        </w:rPr>
        <w:t>[Sic]</w:t>
      </w:r>
    </w:p>
    <w:p w:rsidR="00B101B8" w:rsidRPr="00F54FF7" w:rsidRDefault="00B101B8" w:rsidP="00B101B8">
      <w:pPr>
        <w:spacing w:line="360" w:lineRule="auto"/>
        <w:ind w:right="51"/>
        <w:jc w:val="both"/>
        <w:rPr>
          <w:rFonts w:ascii="Palatino Linotype" w:eastAsia="Arial Unicode MS" w:hAnsi="Palatino Linotype" w:cs="Arial"/>
          <w:lang w:val="es-ES_tradnl" w:eastAsia="es-MX"/>
        </w:rPr>
      </w:pPr>
    </w:p>
    <w:p w:rsidR="00B101B8" w:rsidRDefault="00B101B8" w:rsidP="00B101B8">
      <w:pPr>
        <w:spacing w:line="360" w:lineRule="auto"/>
        <w:ind w:right="51"/>
        <w:jc w:val="both"/>
        <w:rPr>
          <w:rFonts w:ascii="Palatino Linotype" w:eastAsia="Arial Unicode MS" w:hAnsi="Palatino Linotype" w:cs="Arial"/>
          <w:lang w:val="es-ES_tradnl" w:eastAsia="es-MX"/>
        </w:rPr>
      </w:pPr>
      <w:r w:rsidRPr="00F54FF7">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F54FF7">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F54FF7">
        <w:rPr>
          <w:rFonts w:ascii="Palatino Linotype" w:eastAsia="Calibri" w:hAnsi="Palatino Linotype" w:cs="Arial"/>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rsidR="00B101B8" w:rsidRDefault="00B101B8" w:rsidP="00B101B8">
      <w:pPr>
        <w:spacing w:line="360" w:lineRule="auto"/>
        <w:jc w:val="both"/>
        <w:rPr>
          <w:rFonts w:ascii="Palatino Linotype" w:eastAsiaTheme="minorHAnsi" w:hAnsi="Palatino Linotype" w:cstheme="minorBidi"/>
          <w:lang w:val="es-MX" w:eastAsia="en-US"/>
        </w:rPr>
      </w:pPr>
    </w:p>
    <w:p w:rsidR="00B101B8" w:rsidRPr="009A71E1" w:rsidRDefault="00B101B8" w:rsidP="00B101B8">
      <w:pPr>
        <w:spacing w:line="360" w:lineRule="auto"/>
        <w:jc w:val="both"/>
        <w:rPr>
          <w:rFonts w:ascii="Palatino Linotype" w:eastAsiaTheme="minorHAnsi" w:hAnsi="Palatino Linotype" w:cstheme="minorBidi"/>
          <w:lang w:val="es-MX" w:eastAsia="en-US"/>
        </w:rPr>
      </w:pPr>
      <w:r w:rsidRPr="009A71E1">
        <w:rPr>
          <w:rFonts w:ascii="Palatino Linotype" w:eastAsiaTheme="minorHAnsi" w:hAnsi="Palatino Linotype" w:cstheme="minorBidi"/>
          <w:lang w:val="es-MX" w:eastAsia="en-US"/>
        </w:rPr>
        <w:t xml:space="preserve">En mérito de lo expuesto en líneas anteriores, al resultar fundados los motivos de inconformidad vertidos por </w:t>
      </w:r>
      <w:r>
        <w:rPr>
          <w:rFonts w:ascii="Palatino Linotype" w:eastAsiaTheme="minorHAnsi" w:hAnsi="Palatino Linotype" w:cstheme="minorBidi"/>
          <w:b/>
          <w:lang w:val="es-MX" w:eastAsia="en-US"/>
        </w:rPr>
        <w:t>el Recurrente</w:t>
      </w:r>
      <w:r w:rsidRPr="009A71E1">
        <w:rPr>
          <w:rFonts w:ascii="Palatino Linotype" w:eastAsiaTheme="minorHAnsi" w:hAnsi="Palatino Linotype" w:cstheme="minorBidi"/>
          <w:lang w:val="es-MX" w:eastAsia="en-US"/>
        </w:rPr>
        <w:t xml:space="preserve">, con fundamento en la </w:t>
      </w:r>
      <w:r>
        <w:rPr>
          <w:rFonts w:ascii="Palatino Linotype" w:eastAsiaTheme="minorHAnsi" w:hAnsi="Palatino Linotype" w:cstheme="minorBidi"/>
          <w:lang w:val="es-MX" w:eastAsia="en-US"/>
        </w:rPr>
        <w:t xml:space="preserve">primera </w:t>
      </w:r>
      <w:r w:rsidRPr="009A71E1">
        <w:rPr>
          <w:rFonts w:ascii="Palatino Linotype" w:eastAsiaTheme="minorHAnsi" w:hAnsi="Palatino Linotype" w:cstheme="minorBidi"/>
          <w:lang w:val="es-MX" w:eastAsia="en-US"/>
        </w:rPr>
        <w:t xml:space="preserve">hipótesis del artículo 186 fracción III de la Ley de Transparencia y Acceso a la Información Pública del Estado de México y Municipios, se </w:t>
      </w:r>
      <w:r>
        <w:rPr>
          <w:rFonts w:ascii="Palatino Linotype" w:eastAsiaTheme="minorHAnsi" w:hAnsi="Palatino Linotype" w:cstheme="minorBidi"/>
          <w:b/>
          <w:lang w:val="es-MX" w:eastAsia="en-US"/>
        </w:rPr>
        <w:t>REVOCA</w:t>
      </w:r>
      <w:r w:rsidRPr="009A71E1">
        <w:rPr>
          <w:rFonts w:ascii="Palatino Linotype" w:eastAsiaTheme="minorHAnsi" w:hAnsi="Palatino Linotype" w:cstheme="minorBidi"/>
          <w:b/>
          <w:lang w:val="es-MX" w:eastAsia="en-US"/>
        </w:rPr>
        <w:t xml:space="preserve"> </w:t>
      </w:r>
      <w:r w:rsidRPr="009A71E1">
        <w:rPr>
          <w:rFonts w:ascii="Palatino Linotype" w:eastAsiaTheme="minorHAnsi" w:hAnsi="Palatino Linotype" w:cstheme="minorBidi"/>
          <w:lang w:val="es-MX" w:eastAsia="en-US"/>
        </w:rPr>
        <w:t xml:space="preserve">la respuesta emitida a la solicitud de información </w:t>
      </w:r>
      <w:r>
        <w:rPr>
          <w:rFonts w:ascii="Palatino Linotype" w:hAnsi="Palatino Linotype"/>
          <w:b/>
          <w:bCs/>
        </w:rPr>
        <w:t>00104/LAPAZ/IP/2025</w:t>
      </w:r>
      <w:r w:rsidRPr="008C4CE2">
        <w:rPr>
          <w:rFonts w:ascii="Palatino Linotype" w:eastAsiaTheme="minorHAnsi" w:hAnsi="Palatino Linotype"/>
          <w:b/>
          <w:bCs/>
        </w:rPr>
        <w:t>,</w:t>
      </w:r>
      <w:r w:rsidRPr="009A71E1">
        <w:rPr>
          <w:rFonts w:ascii="Palatino Linotype" w:eastAsiaTheme="minorHAnsi" w:hAnsi="Palatino Linotype" w:cs="Arial"/>
          <w:lang w:val="es-MX" w:eastAsia="en-US"/>
        </w:rPr>
        <w:t xml:space="preserve"> </w:t>
      </w:r>
      <w:r w:rsidRPr="009A71E1">
        <w:rPr>
          <w:rFonts w:ascii="Palatino Linotype" w:eastAsiaTheme="minorHAnsi" w:hAnsi="Palatino Linotype" w:cstheme="minorBidi"/>
          <w:lang w:val="es-MX" w:eastAsia="en-US"/>
        </w:rPr>
        <w:t>que ha sido materia del presente fallo.</w:t>
      </w:r>
    </w:p>
    <w:p w:rsidR="00B101B8" w:rsidRPr="009A71E1" w:rsidRDefault="00B101B8" w:rsidP="00B101B8">
      <w:pPr>
        <w:spacing w:line="360" w:lineRule="auto"/>
        <w:jc w:val="both"/>
        <w:rPr>
          <w:rFonts w:ascii="Palatino Linotype" w:eastAsiaTheme="minorHAnsi" w:hAnsi="Palatino Linotype" w:cstheme="minorBidi"/>
          <w:lang w:val="es-MX" w:eastAsia="en-US"/>
        </w:rPr>
      </w:pPr>
    </w:p>
    <w:p w:rsidR="00B101B8" w:rsidRDefault="00B101B8" w:rsidP="00B101B8">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rsidR="00B101B8" w:rsidRDefault="00B101B8" w:rsidP="00B101B8">
      <w:pPr>
        <w:spacing w:line="360" w:lineRule="auto"/>
        <w:jc w:val="both"/>
        <w:rPr>
          <w:rFonts w:ascii="Palatino Linotype" w:hAnsi="Palatino Linotype"/>
          <w:lang w:val="es-MX"/>
        </w:rPr>
      </w:pPr>
    </w:p>
    <w:p w:rsidR="00B101B8" w:rsidRPr="009A71E1" w:rsidRDefault="00B101B8" w:rsidP="00B101B8">
      <w:pPr>
        <w:spacing w:line="360" w:lineRule="auto"/>
        <w:jc w:val="both"/>
        <w:rPr>
          <w:rFonts w:ascii="Palatino Linotype" w:hAnsi="Palatino Linotype"/>
          <w:lang w:val="es-MX"/>
        </w:rPr>
      </w:pPr>
    </w:p>
    <w:p w:rsidR="00B101B8" w:rsidRPr="009A71E1" w:rsidRDefault="00B101B8" w:rsidP="00B101B8">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rsidR="00B101B8" w:rsidRDefault="00B101B8" w:rsidP="00B101B8">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rsidR="00B101B8" w:rsidRPr="00165D42" w:rsidRDefault="00B101B8" w:rsidP="00B101B8">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Pr>
          <w:rFonts w:ascii="Palatino Linotype" w:hAnsi="Palatino Linotype" w:cs="Arial"/>
          <w:b/>
        </w:rPr>
        <w:t>REVO</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Pr>
          <w:rFonts w:ascii="Palatino Linotype" w:hAnsi="Palatino Linotype"/>
          <w:b/>
          <w:bCs/>
        </w:rPr>
        <w:t>00104/LAPAZ/IP/2025</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fundados</w:t>
      </w:r>
      <w:r w:rsidRPr="00165D42">
        <w:rPr>
          <w:rFonts w:ascii="Palatino Linotype" w:hAnsi="Palatino Linotype" w:cs="Arial"/>
          <w:b/>
        </w:rPr>
        <w:t xml:space="preserve">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rsidR="00B101B8" w:rsidRPr="00165D42" w:rsidRDefault="00B101B8" w:rsidP="00B101B8">
      <w:pPr>
        <w:spacing w:line="360" w:lineRule="auto"/>
        <w:jc w:val="both"/>
        <w:rPr>
          <w:rFonts w:ascii="Palatino Linotype" w:hAnsi="Palatino Linotype" w:cs="Arial"/>
        </w:rPr>
      </w:pPr>
    </w:p>
    <w:p w:rsidR="00B101B8" w:rsidRDefault="00B101B8" w:rsidP="00B101B8">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xml:space="preserve">, </w:t>
      </w:r>
      <w:r>
        <w:rPr>
          <w:rFonts w:ascii="Palatino Linotype" w:hAnsi="Palatino Linotype" w:cs="Tahoma"/>
        </w:rPr>
        <w:t xml:space="preserve">previa búsqueda exhaustiva y razonable, </w:t>
      </w:r>
      <w:r w:rsidRPr="00165D42">
        <w:rPr>
          <w:rFonts w:ascii="Palatino Linotype" w:hAnsi="Palatino Linotype" w:cs="Tahoma"/>
        </w:rPr>
        <w:t>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 xml:space="preserve">en versión pública de ser procedente, de </w:t>
      </w:r>
      <w:r w:rsidRPr="00165D42">
        <w:rPr>
          <w:rFonts w:ascii="Palatino Linotype" w:hAnsi="Palatino Linotype" w:cs="Tahoma"/>
        </w:rPr>
        <w:t>lo siguiente:</w:t>
      </w:r>
    </w:p>
    <w:p w:rsidR="00B101B8" w:rsidRPr="008735FA" w:rsidRDefault="00B101B8" w:rsidP="00B101B8">
      <w:pPr>
        <w:pStyle w:val="Prrafodelista"/>
        <w:tabs>
          <w:tab w:val="left" w:pos="1828"/>
        </w:tabs>
        <w:spacing w:line="360" w:lineRule="auto"/>
        <w:ind w:left="720"/>
        <w:jc w:val="both"/>
        <w:rPr>
          <w:rFonts w:ascii="Palatino Linotype" w:hAnsi="Palatino Linotype" w:cs="Tahoma"/>
          <w:bCs/>
        </w:rPr>
      </w:pPr>
    </w:p>
    <w:p w:rsidR="00B101B8" w:rsidRPr="001D1808" w:rsidRDefault="007C6F50" w:rsidP="00B101B8">
      <w:pPr>
        <w:pStyle w:val="INFOEM"/>
        <w:numPr>
          <w:ilvl w:val="0"/>
          <w:numId w:val="3"/>
        </w:numPr>
        <w:spacing w:before="0" w:after="0"/>
        <w:ind w:left="567" w:right="567"/>
        <w:rPr>
          <w:i w:val="0"/>
          <w:sz w:val="28"/>
          <w:szCs w:val="24"/>
        </w:rPr>
      </w:pPr>
      <w:r>
        <w:rPr>
          <w:rFonts w:cs="Tahoma"/>
          <w:bCs/>
          <w:i w:val="0"/>
          <w:sz w:val="24"/>
          <w:lang w:val="es-ES"/>
        </w:rPr>
        <w:t>Actas de Cabildo generadas del primero de enero de dos mil veintiuno al treinta y uno de diciembre de dos mil veinticuatro</w:t>
      </w:r>
      <w:r w:rsidR="00B101B8">
        <w:rPr>
          <w:rFonts w:cs="Tahoma"/>
          <w:bCs/>
          <w:i w:val="0"/>
          <w:sz w:val="24"/>
        </w:rPr>
        <w:t>.</w:t>
      </w:r>
    </w:p>
    <w:p w:rsidR="00B101B8" w:rsidRDefault="00B101B8" w:rsidP="00B101B8">
      <w:pPr>
        <w:pStyle w:val="Citas"/>
      </w:pPr>
      <w:r w:rsidRPr="00C960DD">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B101B8" w:rsidRPr="00DC5E29" w:rsidRDefault="00B101B8" w:rsidP="00B101B8">
      <w:pPr>
        <w:spacing w:line="360" w:lineRule="auto"/>
        <w:jc w:val="both"/>
        <w:rPr>
          <w:rFonts w:ascii="Palatino Linotype" w:hAnsi="Palatino Linotype" w:cs="Arial"/>
        </w:rPr>
      </w:pPr>
    </w:p>
    <w:p w:rsidR="00B101B8" w:rsidRPr="00DC5E29" w:rsidRDefault="00B101B8" w:rsidP="00B101B8">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w:t>
      </w:r>
      <w:r w:rsidRPr="00DC5E29">
        <w:rPr>
          <w:rFonts w:ascii="Palatino Linotype" w:hAnsi="Palatino Linotype" w:cs="Tahoma"/>
        </w:rPr>
        <w:lastRenderedPageBreak/>
        <w:t>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B101B8" w:rsidRPr="00DC5E29" w:rsidRDefault="00B101B8" w:rsidP="00B101B8">
      <w:pPr>
        <w:spacing w:line="360" w:lineRule="auto"/>
        <w:ind w:right="-595"/>
        <w:jc w:val="both"/>
        <w:rPr>
          <w:rFonts w:ascii="Palatino Linotype" w:hAnsi="Palatino Linotype" w:cs="Tahoma"/>
          <w:bCs/>
        </w:rPr>
      </w:pPr>
    </w:p>
    <w:p w:rsidR="00B101B8" w:rsidRDefault="00B101B8" w:rsidP="00B101B8">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rsidR="00B101B8" w:rsidRPr="00DC5E29" w:rsidRDefault="00B101B8" w:rsidP="00B101B8">
      <w:pPr>
        <w:autoSpaceDE w:val="0"/>
        <w:autoSpaceDN w:val="0"/>
        <w:adjustRightInd w:val="0"/>
        <w:spacing w:line="360" w:lineRule="auto"/>
        <w:jc w:val="both"/>
        <w:rPr>
          <w:rFonts w:ascii="Palatino Linotype" w:hAnsi="Palatino Linotype" w:cs="Arial"/>
        </w:rPr>
      </w:pPr>
    </w:p>
    <w:p w:rsidR="00B101B8" w:rsidRDefault="00B101B8" w:rsidP="00B101B8">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 xml:space="preserve">ormación Mexiquense </w:t>
      </w:r>
      <w:r w:rsidRPr="00E27DC5">
        <w:rPr>
          <w:rFonts w:ascii="Palatino Linotype" w:hAnsi="Palatino Linotype" w:cs="Arial"/>
          <w:b/>
        </w:rPr>
        <w:t>(SAIMEX)</w:t>
      </w:r>
      <w:r>
        <w:rPr>
          <w:rFonts w:ascii="Palatino Linotype" w:hAnsi="Palatino Linotype" w:cs="Arial"/>
        </w:rPr>
        <w:t>,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B101B8" w:rsidRDefault="00B101B8" w:rsidP="00B101B8">
      <w:pPr>
        <w:spacing w:line="360" w:lineRule="auto"/>
        <w:jc w:val="both"/>
        <w:rPr>
          <w:rFonts w:ascii="Palatino Linotype" w:hAnsi="Palatino Linotype" w:cs="Arial"/>
        </w:rPr>
      </w:pPr>
    </w:p>
    <w:p w:rsidR="00B101B8" w:rsidRPr="007C3942" w:rsidRDefault="00B101B8" w:rsidP="00B101B8">
      <w:pPr>
        <w:spacing w:line="360" w:lineRule="auto"/>
        <w:jc w:val="both"/>
        <w:rPr>
          <w:rFonts w:ascii="Palatino Linotype" w:hAnsi="Palatino Linotype" w:cs="Arial"/>
        </w:rPr>
      </w:pPr>
      <w:r w:rsidRPr="007C3942">
        <w:rPr>
          <w:rFonts w:ascii="Palatino Linotype" w:hAnsi="Palatino Linotype" w:cs="Arial"/>
        </w:rPr>
        <w:t xml:space="preserve">ASÍ LO RESUELVE, POR </w:t>
      </w:r>
      <w:r>
        <w:rPr>
          <w:rFonts w:ascii="Palatino Linotype" w:hAnsi="Palatino Linotype" w:cs="Arial"/>
        </w:rPr>
        <w:t xml:space="preserve">UNANIMIDAD </w:t>
      </w:r>
      <w:r w:rsidRPr="007C3942">
        <w:rPr>
          <w:rFonts w:ascii="Palatino Linotype" w:hAnsi="Palatino Linotype" w:cs="Arial"/>
        </w:rPr>
        <w:t>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w:t>
      </w:r>
      <w:r>
        <w:rPr>
          <w:rFonts w:ascii="Palatino Linotype" w:hAnsi="Palatino Linotype" w:cs="Arial"/>
        </w:rPr>
        <w:t xml:space="preserve">Y GUADALUPE RAMÍREZ PEÑA, EN LA </w:t>
      </w:r>
      <w:r w:rsidR="007C6F50">
        <w:rPr>
          <w:rFonts w:ascii="Palatino Linotype" w:hAnsi="Palatino Linotype" w:cs="Arial"/>
        </w:rPr>
        <w:t xml:space="preserve">DÉCIMA </w:t>
      </w:r>
      <w:r w:rsidR="00176574">
        <w:rPr>
          <w:rFonts w:ascii="Palatino Linotype" w:hAnsi="Palatino Linotype" w:cs="Arial"/>
        </w:rPr>
        <w:lastRenderedPageBreak/>
        <w:t xml:space="preserve">PRIMERA </w:t>
      </w:r>
      <w:r w:rsidRPr="007C3942">
        <w:rPr>
          <w:rFonts w:ascii="Palatino Linotype" w:hAnsi="Palatino Linotype" w:cs="Arial"/>
        </w:rPr>
        <w:t>SESIÓN ORDINARIA CELEBRADA</w:t>
      </w:r>
      <w:r>
        <w:rPr>
          <w:rFonts w:ascii="Palatino Linotype" w:hAnsi="Palatino Linotype" w:cs="Arial"/>
        </w:rPr>
        <w:t xml:space="preserve"> EL</w:t>
      </w:r>
      <w:r w:rsidRPr="007C3942">
        <w:rPr>
          <w:rFonts w:ascii="Palatino Linotype" w:hAnsi="Palatino Linotype" w:cs="Arial"/>
        </w:rPr>
        <w:t xml:space="preserve"> </w:t>
      </w:r>
      <w:r w:rsidR="00176574">
        <w:rPr>
          <w:rFonts w:ascii="Palatino Linotype" w:hAnsi="Palatino Linotype" w:cs="Arial"/>
        </w:rPr>
        <w:t>VEINTISÉIS</w:t>
      </w:r>
      <w:r>
        <w:rPr>
          <w:rFonts w:ascii="Palatino Linotype" w:hAnsi="Palatino Linotype" w:cs="Arial"/>
        </w:rPr>
        <w:t xml:space="preserve"> DE MARZO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sidR="001F1AA6">
        <w:rPr>
          <w:rFonts w:ascii="Palatino Linotype" w:hAnsi="Palatino Linotype" w:cs="Arial"/>
        </w:rPr>
        <w:t>---------------------</w:t>
      </w:r>
      <w:r w:rsidR="00176574">
        <w:rPr>
          <w:rFonts w:ascii="Palatino Linotype" w:hAnsi="Palatino Linotype" w:cs="Arial"/>
        </w:rPr>
        <w:t xml:space="preserve"> </w:t>
      </w:r>
    </w:p>
    <w:p w:rsidR="00B101B8" w:rsidRPr="00A151D0" w:rsidRDefault="00B101B8" w:rsidP="00B101B8">
      <w:pPr>
        <w:spacing w:line="360" w:lineRule="auto"/>
        <w:jc w:val="both"/>
        <w:rPr>
          <w:rFonts w:ascii="Palatino Linotype" w:hAnsi="Palatino Linotype" w:cs="Arial"/>
          <w:sz w:val="20"/>
        </w:rPr>
      </w:pPr>
      <w:r w:rsidRPr="00692461">
        <w:rPr>
          <w:rFonts w:ascii="Palatino Linotype" w:hAnsi="Palatino Linotype" w:cs="Arial"/>
        </w:rPr>
        <w:t>---------------------------------------------------------------------------------------------------------------------------------------------------------------------------------------------------------</w:t>
      </w:r>
      <w:r>
        <w:rPr>
          <w:rFonts w:ascii="Palatino Linotype" w:hAnsi="Palatino Linotype" w:cs="Arial"/>
        </w:rPr>
        <w:t>---------------------------</w:t>
      </w:r>
      <w:r w:rsidR="001F1AA6" w:rsidRPr="00692461">
        <w:rPr>
          <w:rFonts w:ascii="Palatino Linotype" w:hAnsi="Palatino Linotype" w:cs="Arial"/>
        </w:rPr>
        <w:t>----------------------------------------------------------------------------------------------------------------------------------------------------------------------------------------------------</w:t>
      </w:r>
      <w:r w:rsidR="001F1AA6">
        <w:rPr>
          <w:rFonts w:ascii="Palatino Linotype" w:hAnsi="Palatino Linotype" w:cs="Arial"/>
        </w:rPr>
        <w:t>--------------------------------</w:t>
      </w:r>
      <w:r w:rsidR="001F1AA6" w:rsidRPr="00692461">
        <w:rPr>
          <w:rFonts w:ascii="Palatino Linotype" w:hAnsi="Palatino Linotype" w:cs="Arial"/>
        </w:rPr>
        <w:t>------------------------------------------------------------------------------------------------------------------------------------------------------------------------------------------------------------------------------------------------------------------------------------------------------------------------------------------------------------------------------------------------------------------------------------------------------------------------------------------------------------------------------------------------------------------------------------------------------------------------------------------------------------------------------------------------------------------------------------------------------------------------------------------------------------------------------------------------------------------------------------------------------------------------------------------------------------------------------------------------------------------------------------------------------------------------------------------------------------------------------------------------------------------------------------------------------------------------------------------------------------------------------------------------------------------------------------------------------------------------------------------------------------------------------------------------------------------------------------------------------------------------------------------------------------------------------------------------------------------------------------------------------------------------------------------------------------------------------------------------------------------------------------------------------------------------------------------------------------------------------------------------------------------------------------------------------------------------------------------------------------------</w:t>
      </w:r>
    </w:p>
    <w:p w:rsidR="00B101B8" w:rsidRPr="00747E14" w:rsidRDefault="00B101B8" w:rsidP="00B101B8">
      <w:pPr>
        <w:pStyle w:val="Textoindependiente"/>
        <w:spacing w:after="0" w:line="360" w:lineRule="auto"/>
        <w:jc w:val="both"/>
        <w:rPr>
          <w:rFonts w:ascii="Palatino Linotype" w:eastAsiaTheme="minorEastAsia" w:hAnsi="Palatino Linotype"/>
          <w:color w:val="000000" w:themeColor="text1"/>
          <w:sz w:val="18"/>
          <w:szCs w:val="24"/>
          <w:lang w:val="es-ES_tradnl" w:eastAsia="es-ES"/>
        </w:rPr>
      </w:pPr>
      <w:r>
        <w:rPr>
          <w:rFonts w:ascii="Palatino Linotype" w:hAnsi="Palatino Linotype" w:cs="Arial"/>
          <w:sz w:val="14"/>
        </w:rPr>
        <w:t>JMV/CCR/</w:t>
      </w:r>
      <w:r w:rsidR="00BB63EA">
        <w:rPr>
          <w:rFonts w:ascii="Palatino Linotype" w:hAnsi="Palatino Linotype" w:cs="Arial"/>
          <w:sz w:val="14"/>
        </w:rPr>
        <w:t>LMST</w:t>
      </w:r>
    </w:p>
    <w:p w:rsidR="00176574" w:rsidRDefault="00176574" w:rsidP="00B101B8"/>
    <w:p w:rsidR="00176574" w:rsidRDefault="00176574" w:rsidP="00B101B8"/>
    <w:p w:rsidR="00176574" w:rsidRDefault="00176574" w:rsidP="00B101B8"/>
    <w:p w:rsidR="00176574" w:rsidRDefault="00176574" w:rsidP="00B101B8"/>
    <w:p w:rsidR="00176574" w:rsidRDefault="00176574" w:rsidP="00B101B8"/>
    <w:p w:rsidR="00176574" w:rsidRDefault="00176574" w:rsidP="00B101B8"/>
    <w:p w:rsidR="00176574" w:rsidRDefault="00176574" w:rsidP="00B101B8"/>
    <w:p w:rsidR="00176574" w:rsidRDefault="00176574" w:rsidP="00B101B8"/>
    <w:p w:rsidR="00176574" w:rsidRDefault="00176574" w:rsidP="00B101B8"/>
    <w:p w:rsidR="00176574" w:rsidRDefault="00176574" w:rsidP="00B101B8"/>
    <w:p w:rsidR="00176574" w:rsidRDefault="00176574" w:rsidP="00B101B8"/>
    <w:p w:rsidR="00176574" w:rsidRDefault="00176574" w:rsidP="00B101B8"/>
    <w:p w:rsidR="00176574" w:rsidRDefault="00176574" w:rsidP="00B101B8"/>
    <w:p w:rsidR="00176574" w:rsidRDefault="00176574" w:rsidP="00B101B8"/>
    <w:p w:rsidR="00B101B8" w:rsidRDefault="00B101B8" w:rsidP="00B101B8"/>
    <w:p w:rsidR="00B101B8" w:rsidRDefault="00B101B8" w:rsidP="00B101B8"/>
    <w:p w:rsidR="00B101B8" w:rsidRDefault="00B101B8" w:rsidP="00B101B8"/>
    <w:p w:rsidR="00B101B8" w:rsidRDefault="00B101B8" w:rsidP="00B101B8"/>
    <w:p w:rsidR="00B101B8" w:rsidRDefault="00B101B8" w:rsidP="00B101B8"/>
    <w:p w:rsidR="00B101B8" w:rsidRDefault="00B101B8" w:rsidP="00B101B8"/>
    <w:p w:rsidR="00B101B8" w:rsidRDefault="00B101B8" w:rsidP="00B101B8"/>
    <w:p w:rsidR="00B101B8" w:rsidRDefault="00B101B8" w:rsidP="00B101B8"/>
    <w:p w:rsidR="00B101B8" w:rsidRDefault="00B101B8" w:rsidP="00B101B8"/>
    <w:p w:rsidR="00B101B8" w:rsidRDefault="00B101B8" w:rsidP="00B101B8"/>
    <w:p w:rsidR="00B101B8" w:rsidRDefault="00B101B8" w:rsidP="00B101B8"/>
    <w:p w:rsidR="00B101B8" w:rsidRDefault="00B101B8" w:rsidP="00B101B8"/>
    <w:p w:rsidR="00EB2773" w:rsidRDefault="00EB2773"/>
    <w:sectPr w:rsidR="00EB2773" w:rsidSect="00FC0B08">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B08" w:rsidRDefault="00FC0B08" w:rsidP="00B101B8">
      <w:r>
        <w:separator/>
      </w:r>
    </w:p>
  </w:endnote>
  <w:endnote w:type="continuationSeparator" w:id="0">
    <w:p w:rsidR="00FC0B08" w:rsidRDefault="00FC0B08" w:rsidP="00B1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B08" w:rsidRPr="00A2780F" w:rsidRDefault="00FC0B08" w:rsidP="00FC0B08">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29535B">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29535B">
      <w:rPr>
        <w:rFonts w:ascii="Arial" w:hAnsi="Arial" w:cs="Arial"/>
        <w:b/>
        <w:bCs/>
        <w:noProof/>
        <w:sz w:val="20"/>
        <w:szCs w:val="20"/>
      </w:rPr>
      <w:t>22</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B08" w:rsidRPr="00070856" w:rsidRDefault="00FC0B08" w:rsidP="00FC0B08">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29535B">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29535B">
      <w:rPr>
        <w:rFonts w:ascii="Arial" w:hAnsi="Arial" w:cs="Arial"/>
        <w:b/>
        <w:bCs/>
        <w:noProof/>
        <w:sz w:val="20"/>
        <w:szCs w:val="20"/>
      </w:rPr>
      <w:t>22</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B08" w:rsidRDefault="00FC0B08" w:rsidP="00B101B8">
      <w:r>
        <w:separator/>
      </w:r>
    </w:p>
  </w:footnote>
  <w:footnote w:type="continuationSeparator" w:id="0">
    <w:p w:rsidR="00FC0B08" w:rsidRDefault="00FC0B08" w:rsidP="00B101B8">
      <w:r>
        <w:continuationSeparator/>
      </w:r>
    </w:p>
  </w:footnote>
  <w:footnote w:id="1">
    <w:p w:rsidR="00FC0B08" w:rsidRPr="005552A8" w:rsidRDefault="00FC0B08" w:rsidP="00B101B8">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FC0B08" w:rsidRPr="005552A8" w:rsidRDefault="00FC0B08" w:rsidP="00B101B8">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FC0B08" w:rsidRPr="008F2CCC" w:rsidTr="00FC0B08">
      <w:tc>
        <w:tcPr>
          <w:tcW w:w="3620" w:type="dxa"/>
          <w:shd w:val="clear" w:color="auto" w:fill="auto"/>
        </w:tcPr>
        <w:p w:rsidR="00FC0B08" w:rsidRPr="007E5FC4" w:rsidRDefault="00FC0B08" w:rsidP="00FC0B0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FC0B08" w:rsidRPr="00664658" w:rsidRDefault="00FC0B08" w:rsidP="00B101B8">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01855/INFOEM/IP/RR/2025</w:t>
          </w:r>
        </w:p>
      </w:tc>
    </w:tr>
    <w:tr w:rsidR="00FC0B08" w:rsidRPr="008F2CCC" w:rsidTr="00FC0B08">
      <w:tc>
        <w:tcPr>
          <w:tcW w:w="3620" w:type="dxa"/>
          <w:shd w:val="clear" w:color="auto" w:fill="auto"/>
        </w:tcPr>
        <w:p w:rsidR="00FC0B08" w:rsidRPr="007E5FC4" w:rsidRDefault="00FC0B08" w:rsidP="00FC0B0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FC0B08" w:rsidRPr="00664658" w:rsidRDefault="00FC0B08" w:rsidP="00FC0B08">
          <w:pPr>
            <w:spacing w:line="276" w:lineRule="auto"/>
            <w:jc w:val="right"/>
            <w:rPr>
              <w:rFonts w:ascii="Palatino Linotype" w:hAnsi="Palatino Linotype"/>
              <w:b/>
              <w:sz w:val="22"/>
              <w:szCs w:val="22"/>
              <w:lang w:val="es-ES_tradnl"/>
            </w:rPr>
          </w:pPr>
          <w:r w:rsidRPr="00B101B8">
            <w:rPr>
              <w:rFonts w:ascii="Palatino Linotype" w:hAnsi="Palatino Linotype"/>
              <w:b/>
              <w:sz w:val="22"/>
              <w:szCs w:val="22"/>
            </w:rPr>
            <w:t>Ayuntamiento de la Paz</w:t>
          </w:r>
        </w:p>
      </w:tc>
    </w:tr>
    <w:tr w:rsidR="00FC0B08" w:rsidRPr="008F2CCC" w:rsidTr="00FC0B08">
      <w:trPr>
        <w:trHeight w:val="228"/>
      </w:trPr>
      <w:tc>
        <w:tcPr>
          <w:tcW w:w="3620" w:type="dxa"/>
          <w:shd w:val="clear" w:color="auto" w:fill="auto"/>
        </w:tcPr>
        <w:p w:rsidR="00FC0B08" w:rsidRPr="007E5FC4" w:rsidRDefault="00FC0B08" w:rsidP="00FC0B0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FC0B08" w:rsidRPr="00664658" w:rsidRDefault="00FC0B08" w:rsidP="00FC0B08">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FC0B08" w:rsidRDefault="00FC0B08" w:rsidP="00FC0B08">
    <w:pPr>
      <w:pStyle w:val="Encabezado"/>
      <w:tabs>
        <w:tab w:val="clear" w:pos="4252"/>
        <w:tab w:val="clear" w:pos="8504"/>
        <w:tab w:val="left" w:pos="2326"/>
      </w:tabs>
      <w:rPr>
        <w:rFonts w:ascii="Palatino Linotype" w:hAnsi="Palatino Linotype"/>
        <w:sz w:val="20"/>
      </w:rPr>
    </w:pPr>
  </w:p>
  <w:p w:rsidR="00FC0B08" w:rsidRPr="001779E0" w:rsidRDefault="00FC0B08" w:rsidP="00FC0B08">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154EED2" wp14:editId="325A9E05">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FC0B08" w:rsidRPr="008F2CCC" w:rsidTr="00FC0B08">
      <w:tc>
        <w:tcPr>
          <w:tcW w:w="2977" w:type="dxa"/>
          <w:shd w:val="clear" w:color="auto" w:fill="auto"/>
        </w:tcPr>
        <w:p w:rsidR="00FC0B08" w:rsidRPr="007E5FC4" w:rsidRDefault="00FC0B08" w:rsidP="00FC0B0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FC0B08" w:rsidRPr="008F2CCC" w:rsidRDefault="00FC0B08" w:rsidP="00B101B8">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01855/INFOEM/IP/RR/2025</w:t>
          </w:r>
        </w:p>
      </w:tc>
    </w:tr>
    <w:tr w:rsidR="00FC0B08" w:rsidRPr="008F2CCC" w:rsidTr="00FC0B08">
      <w:tc>
        <w:tcPr>
          <w:tcW w:w="2977" w:type="dxa"/>
          <w:shd w:val="clear" w:color="auto" w:fill="auto"/>
          <w:vAlign w:val="center"/>
        </w:tcPr>
        <w:p w:rsidR="00FC0B08" w:rsidRPr="007E5FC4" w:rsidRDefault="00FC0B08" w:rsidP="00FC0B0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FC0B08" w:rsidRPr="008F2CCC" w:rsidRDefault="0029535B" w:rsidP="00FC0B08">
          <w:pPr>
            <w:spacing w:line="360" w:lineRule="auto"/>
            <w:jc w:val="right"/>
            <w:rPr>
              <w:rFonts w:ascii="Palatino Linotype" w:hAnsi="Palatino Linotype"/>
              <w:b/>
              <w:sz w:val="22"/>
              <w:szCs w:val="22"/>
              <w:lang w:val="es-ES_tradnl"/>
            </w:rPr>
          </w:pPr>
          <w:r>
            <w:rPr>
              <w:rFonts w:ascii="Palatino Linotype" w:hAnsi="Palatino Linotype"/>
              <w:b/>
              <w:bCs/>
              <w:sz w:val="22"/>
              <w:szCs w:val="22"/>
            </w:rPr>
            <w:t>XXXXXXXX</w:t>
          </w:r>
        </w:p>
      </w:tc>
    </w:tr>
    <w:tr w:rsidR="00FC0B08" w:rsidRPr="008F2CCC" w:rsidTr="00FC0B08">
      <w:trPr>
        <w:trHeight w:val="228"/>
      </w:trPr>
      <w:tc>
        <w:tcPr>
          <w:tcW w:w="2977" w:type="dxa"/>
          <w:shd w:val="clear" w:color="auto" w:fill="auto"/>
        </w:tcPr>
        <w:p w:rsidR="00FC0B08" w:rsidRPr="007E5FC4" w:rsidRDefault="00FC0B08" w:rsidP="00FC0B0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FC0B08" w:rsidRPr="00DC41C8" w:rsidRDefault="00FC0B08" w:rsidP="00FC0B08">
          <w:pPr>
            <w:spacing w:line="360" w:lineRule="auto"/>
            <w:jc w:val="right"/>
            <w:rPr>
              <w:rFonts w:ascii="Palatino Linotype" w:hAnsi="Palatino Linotype"/>
              <w:b/>
              <w:sz w:val="22"/>
              <w:szCs w:val="22"/>
            </w:rPr>
          </w:pPr>
          <w:r w:rsidRPr="00B101B8">
            <w:rPr>
              <w:rFonts w:ascii="Palatino Linotype" w:hAnsi="Palatino Linotype"/>
              <w:b/>
              <w:sz w:val="22"/>
              <w:szCs w:val="22"/>
            </w:rPr>
            <w:t>Ayuntamiento de la Paz</w:t>
          </w:r>
        </w:p>
      </w:tc>
    </w:tr>
    <w:tr w:rsidR="00FC0B08" w:rsidRPr="008F2CCC" w:rsidTr="00FC0B08">
      <w:tc>
        <w:tcPr>
          <w:tcW w:w="2977" w:type="dxa"/>
          <w:shd w:val="clear" w:color="auto" w:fill="auto"/>
        </w:tcPr>
        <w:p w:rsidR="00FC0B08" w:rsidRPr="007E5FC4" w:rsidRDefault="00FC0B08" w:rsidP="00FC0B0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FC0B08" w:rsidRPr="008F2CCC" w:rsidRDefault="00FC0B08" w:rsidP="00FC0B08">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FC0B08" w:rsidRPr="009F1AB6" w:rsidRDefault="00FC0B08">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596CF457" wp14:editId="43E6A0BC">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1FAF2AA8"/>
    <w:multiLevelType w:val="hybridMultilevel"/>
    <w:tmpl w:val="3B6E5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E74785"/>
    <w:multiLevelType w:val="hybridMultilevel"/>
    <w:tmpl w:val="D2BC12FE"/>
    <w:lvl w:ilvl="0" w:tplc="814EF11E">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62121746"/>
    <w:multiLevelType w:val="hybridMultilevel"/>
    <w:tmpl w:val="14740990"/>
    <w:lvl w:ilvl="0" w:tplc="6DAE4F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4D33B09"/>
    <w:multiLevelType w:val="hybridMultilevel"/>
    <w:tmpl w:val="6B54F130"/>
    <w:lvl w:ilvl="0" w:tplc="018E0ED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7"/>
  </w:num>
  <w:num w:numId="2">
    <w:abstractNumId w:val="0"/>
  </w:num>
  <w:num w:numId="3">
    <w:abstractNumId w:val="5"/>
  </w:num>
  <w:num w:numId="4">
    <w:abstractNumId w:val="3"/>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B8"/>
    <w:rsid w:val="00176574"/>
    <w:rsid w:val="001F1AA6"/>
    <w:rsid w:val="0029535B"/>
    <w:rsid w:val="0038431A"/>
    <w:rsid w:val="0054703F"/>
    <w:rsid w:val="006B300C"/>
    <w:rsid w:val="007C6F50"/>
    <w:rsid w:val="00B101B8"/>
    <w:rsid w:val="00BB63EA"/>
    <w:rsid w:val="00DE4E4B"/>
    <w:rsid w:val="00EB2773"/>
    <w:rsid w:val="00FC0B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962AF-D5D2-4F4A-A83C-8CC13A21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1B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01B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B101B8"/>
    <w:rPr>
      <w:rFonts w:eastAsiaTheme="minorEastAsia"/>
      <w:sz w:val="24"/>
      <w:szCs w:val="24"/>
      <w:lang w:val="es-ES_tradnl" w:eastAsia="es-ES"/>
    </w:rPr>
  </w:style>
  <w:style w:type="paragraph" w:styleId="Piedepgina">
    <w:name w:val="footer"/>
    <w:basedOn w:val="Normal"/>
    <w:link w:val="PiedepginaCar"/>
    <w:uiPriority w:val="99"/>
    <w:unhideWhenUsed/>
    <w:rsid w:val="00B101B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B101B8"/>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101B8"/>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101B8"/>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B101B8"/>
    <w:pPr>
      <w:spacing w:after="0" w:line="240" w:lineRule="auto"/>
    </w:pPr>
  </w:style>
  <w:style w:type="character" w:customStyle="1" w:styleId="SinespaciadoCar">
    <w:name w:val="Sin espaciado Car"/>
    <w:aliases w:val="Francesa Car,INAI Car"/>
    <w:link w:val="Sinespaciado"/>
    <w:uiPriority w:val="1"/>
    <w:locked/>
    <w:rsid w:val="00B101B8"/>
  </w:style>
  <w:style w:type="character" w:styleId="Hipervnculo">
    <w:name w:val="Hyperlink"/>
    <w:aliases w:val="Hipervínculo1,Hipervínculo11,Hipervínculo12,Hipervínculo13,Hipervínculo14,Hipervínculo15"/>
    <w:basedOn w:val="Fuentedeprrafopredeter"/>
    <w:uiPriority w:val="99"/>
    <w:unhideWhenUsed/>
    <w:rsid w:val="00B101B8"/>
    <w:rPr>
      <w:color w:val="0563C1" w:themeColor="hyperlink"/>
      <w:u w:val="single"/>
    </w:rPr>
  </w:style>
  <w:style w:type="paragraph" w:customStyle="1" w:styleId="INFOEM">
    <w:name w:val="INFOEM"/>
    <w:basedOn w:val="Normal"/>
    <w:qFormat/>
    <w:rsid w:val="00B101B8"/>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B101B8"/>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B101B8"/>
    <w:rPr>
      <w:vertAlign w:val="superscript"/>
    </w:rPr>
  </w:style>
  <w:style w:type="paragraph" w:customStyle="1" w:styleId="Citas">
    <w:name w:val="Citas"/>
    <w:basedOn w:val="Normal"/>
    <w:qFormat/>
    <w:rsid w:val="00B101B8"/>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independiente">
    <w:name w:val="Body Text"/>
    <w:basedOn w:val="Normal"/>
    <w:link w:val="TextoindependienteCar"/>
    <w:uiPriority w:val="1"/>
    <w:unhideWhenUsed/>
    <w:qFormat/>
    <w:rsid w:val="00B101B8"/>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101B8"/>
  </w:style>
  <w:style w:type="table" w:styleId="Tablaconcuadrcula">
    <w:name w:val="Table Grid"/>
    <w:basedOn w:val="Tablanormal"/>
    <w:uiPriority w:val="39"/>
    <w:rsid w:val="00B1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233710">
      <w:bodyDiv w:val="1"/>
      <w:marLeft w:val="0"/>
      <w:marRight w:val="0"/>
      <w:marTop w:val="0"/>
      <w:marBottom w:val="0"/>
      <w:divBdr>
        <w:top w:val="none" w:sz="0" w:space="0" w:color="auto"/>
        <w:left w:val="none" w:sz="0" w:space="0" w:color="auto"/>
        <w:bottom w:val="none" w:sz="0" w:space="0" w:color="auto"/>
        <w:right w:val="none" w:sz="0" w:space="0" w:color="auto"/>
      </w:divBdr>
      <w:divsChild>
        <w:div w:id="2068454183">
          <w:marLeft w:val="0"/>
          <w:marRight w:val="0"/>
          <w:marTop w:val="0"/>
          <w:marBottom w:val="0"/>
          <w:divBdr>
            <w:top w:val="none" w:sz="0" w:space="0" w:color="auto"/>
            <w:left w:val="none" w:sz="0" w:space="0" w:color="auto"/>
            <w:bottom w:val="none" w:sz="0" w:space="0" w:color="auto"/>
            <w:right w:val="none" w:sz="0" w:space="0" w:color="auto"/>
          </w:divBdr>
        </w:div>
        <w:div w:id="1191726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22</Pages>
  <Words>4740</Words>
  <Characters>26074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7</cp:revision>
  <dcterms:created xsi:type="dcterms:W3CDTF">2025-03-11T18:24:00Z</dcterms:created>
  <dcterms:modified xsi:type="dcterms:W3CDTF">2025-04-02T17:34:00Z</dcterms:modified>
</cp:coreProperties>
</file>