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DD5" w:rsidRPr="00F571ED" w:rsidRDefault="00DA3EFE" w:rsidP="0049477B">
      <w:pPr>
        <w:tabs>
          <w:tab w:val="left" w:pos="3465"/>
        </w:tabs>
        <w:spacing w:line="360" w:lineRule="auto"/>
        <w:jc w:val="both"/>
        <w:rPr>
          <w:rFonts w:ascii="Palatino Linotype" w:eastAsia="Palatino Linotype" w:hAnsi="Palatino Linotype" w:cs="Palatino Linotype"/>
          <w:b/>
          <w:color w:val="000000"/>
        </w:rPr>
      </w:pPr>
      <w:bookmarkStart w:id="0" w:name="_GoBack"/>
      <w:bookmarkEnd w:id="0"/>
      <w:r w:rsidRPr="00F571E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8717BF" w:rsidRPr="00F571ED">
        <w:rPr>
          <w:rFonts w:ascii="Palatino Linotype" w:eastAsia="Palatino Linotype" w:hAnsi="Palatino Linotype" w:cs="Palatino Linotype"/>
          <w:b/>
          <w:color w:val="000000" w:themeColor="text1"/>
        </w:rPr>
        <w:t>de fecha diez</w:t>
      </w:r>
      <w:r w:rsidR="00776890">
        <w:rPr>
          <w:rFonts w:ascii="Palatino Linotype" w:eastAsia="Palatino Linotype" w:hAnsi="Palatino Linotype" w:cs="Palatino Linotype"/>
          <w:b/>
          <w:color w:val="000000" w:themeColor="text1"/>
        </w:rPr>
        <w:t xml:space="preserve"> (10) </w:t>
      </w:r>
      <w:r w:rsidR="008717BF" w:rsidRPr="00F571ED">
        <w:rPr>
          <w:rFonts w:ascii="Palatino Linotype" w:eastAsia="Palatino Linotype" w:hAnsi="Palatino Linotype" w:cs="Palatino Linotype"/>
          <w:b/>
          <w:color w:val="000000" w:themeColor="text1"/>
        </w:rPr>
        <w:t xml:space="preserve"> de septiembre de dos mil veinticinco</w:t>
      </w:r>
      <w:r w:rsidRPr="00F571ED">
        <w:rPr>
          <w:rFonts w:ascii="Palatino Linotype" w:eastAsia="Palatino Linotype" w:hAnsi="Palatino Linotype" w:cs="Palatino Linotype"/>
          <w:b/>
          <w:color w:val="000000"/>
        </w:rPr>
        <w:t>.</w:t>
      </w:r>
    </w:p>
    <w:p w:rsidR="00B04DD5" w:rsidRPr="00F571ED" w:rsidRDefault="00B04DD5" w:rsidP="0049477B">
      <w:pPr>
        <w:tabs>
          <w:tab w:val="left" w:pos="3465"/>
        </w:tabs>
        <w:spacing w:line="360" w:lineRule="auto"/>
        <w:jc w:val="both"/>
        <w:rPr>
          <w:rFonts w:ascii="Palatino Linotype" w:eastAsia="Palatino Linotype" w:hAnsi="Palatino Linotype" w:cs="Palatino Linotype"/>
        </w:rPr>
      </w:pPr>
    </w:p>
    <w:p w:rsidR="00B04DD5" w:rsidRPr="00F571ED" w:rsidRDefault="00DA3EFE" w:rsidP="0049477B">
      <w:pPr>
        <w:spacing w:line="360" w:lineRule="auto"/>
        <w:jc w:val="both"/>
        <w:rPr>
          <w:rFonts w:ascii="Palatino Linotype" w:eastAsia="Palatino Linotype" w:hAnsi="Palatino Linotype" w:cs="Palatino Linotype"/>
        </w:rPr>
      </w:pPr>
      <w:r w:rsidRPr="00F571ED">
        <w:rPr>
          <w:rFonts w:ascii="Palatino Linotype" w:eastAsia="Palatino Linotype" w:hAnsi="Palatino Linotype" w:cs="Palatino Linotype"/>
          <w:b/>
        </w:rPr>
        <w:t>VISTO</w:t>
      </w:r>
      <w:r w:rsidRPr="00F571ED">
        <w:rPr>
          <w:rFonts w:ascii="Palatino Linotype" w:eastAsia="Palatino Linotype" w:hAnsi="Palatino Linotype" w:cs="Palatino Linotype"/>
        </w:rPr>
        <w:t xml:space="preserve"> el expediente electrónico formado con motivo del Recurso de Revisión </w:t>
      </w:r>
      <w:r w:rsidRPr="00F571ED">
        <w:rPr>
          <w:rFonts w:ascii="Palatino Linotype" w:eastAsia="Palatino Linotype" w:hAnsi="Palatino Linotype" w:cs="Palatino Linotype"/>
          <w:b/>
        </w:rPr>
        <w:t>03413/INFOEM/IP/RR/2025</w:t>
      </w:r>
      <w:r w:rsidRPr="00F571ED">
        <w:rPr>
          <w:rFonts w:ascii="Palatino Linotype" w:eastAsia="Palatino Linotype" w:hAnsi="Palatino Linotype" w:cs="Palatino Linotype"/>
        </w:rPr>
        <w:t>,</w:t>
      </w:r>
      <w:r w:rsidRPr="00F571ED">
        <w:rPr>
          <w:rFonts w:ascii="Palatino Linotype" w:eastAsia="Palatino Linotype" w:hAnsi="Palatino Linotype" w:cs="Palatino Linotype"/>
          <w:b/>
        </w:rPr>
        <w:t xml:space="preserve"> </w:t>
      </w:r>
      <w:r w:rsidRPr="00F571ED">
        <w:rPr>
          <w:rFonts w:ascii="Palatino Linotype" w:eastAsia="Palatino Linotype" w:hAnsi="Palatino Linotype" w:cs="Palatino Linotype"/>
        </w:rPr>
        <w:t xml:space="preserve">promovido por </w:t>
      </w:r>
      <w:r w:rsidRPr="00F571ED">
        <w:rPr>
          <w:rFonts w:ascii="Palatino Linotype" w:eastAsia="Palatino Linotype" w:hAnsi="Palatino Linotype" w:cs="Palatino Linotype"/>
          <w:b/>
        </w:rPr>
        <w:t>una persona que no proporcionó datos de identificación,</w:t>
      </w:r>
      <w:r w:rsidRPr="00F571ED">
        <w:rPr>
          <w:rFonts w:ascii="Palatino Linotype" w:eastAsia="Palatino Linotype" w:hAnsi="Palatino Linotype" w:cs="Palatino Linotype"/>
        </w:rPr>
        <w:t xml:space="preserve"> a quien en lo sucesivo se le identificará como </w:t>
      </w:r>
      <w:r w:rsidRPr="00F571ED">
        <w:rPr>
          <w:rFonts w:ascii="Palatino Linotype" w:eastAsia="Palatino Linotype" w:hAnsi="Palatino Linotype" w:cs="Palatino Linotype"/>
          <w:b/>
        </w:rPr>
        <w:t>EL RECURRENTE</w:t>
      </w:r>
      <w:r w:rsidRPr="00F571ED">
        <w:rPr>
          <w:rFonts w:ascii="Palatino Linotype" w:eastAsia="Palatino Linotype" w:hAnsi="Palatino Linotype" w:cs="Palatino Linotype"/>
        </w:rPr>
        <w:t xml:space="preserve">, en contra de la respuesta de la </w:t>
      </w:r>
      <w:r w:rsidRPr="00F571ED">
        <w:rPr>
          <w:rFonts w:ascii="Palatino Linotype" w:eastAsia="Palatino Linotype" w:hAnsi="Palatino Linotype" w:cs="Palatino Linotype"/>
          <w:b/>
        </w:rPr>
        <w:t xml:space="preserve">Secretaría de Movilidad, </w:t>
      </w:r>
      <w:r w:rsidRPr="00F571ED">
        <w:rPr>
          <w:rFonts w:ascii="Palatino Linotype" w:eastAsia="Palatino Linotype" w:hAnsi="Palatino Linotype" w:cs="Palatino Linotype"/>
        </w:rPr>
        <w:t xml:space="preserve">en </w:t>
      </w:r>
      <w:r w:rsidR="00776890">
        <w:rPr>
          <w:rFonts w:ascii="Palatino Linotype" w:eastAsia="Palatino Linotype" w:hAnsi="Palatino Linotype" w:cs="Palatino Linotype"/>
        </w:rPr>
        <w:t>adelante</w:t>
      </w:r>
      <w:r w:rsidRPr="00F571ED">
        <w:rPr>
          <w:rFonts w:ascii="Palatino Linotype" w:eastAsia="Palatino Linotype" w:hAnsi="Palatino Linotype" w:cs="Palatino Linotype"/>
        </w:rPr>
        <w:t xml:space="preserve"> el</w:t>
      </w:r>
      <w:r w:rsidRPr="00F571ED">
        <w:rPr>
          <w:rFonts w:ascii="Palatino Linotype" w:eastAsia="Palatino Linotype" w:hAnsi="Palatino Linotype" w:cs="Palatino Linotype"/>
          <w:b/>
        </w:rPr>
        <w:t xml:space="preserve"> SUJETO OBLIGADO</w:t>
      </w:r>
      <w:r w:rsidRPr="00F571ED">
        <w:rPr>
          <w:rFonts w:ascii="Palatino Linotype" w:eastAsia="Palatino Linotype" w:hAnsi="Palatino Linotype" w:cs="Palatino Linotype"/>
        </w:rPr>
        <w:t>, se procede a dictar la presente Resolución, con base en los siguientes:</w:t>
      </w:r>
    </w:p>
    <w:p w:rsidR="00B04DD5" w:rsidRPr="00F571ED" w:rsidRDefault="00B04DD5" w:rsidP="0049477B">
      <w:pPr>
        <w:spacing w:line="360" w:lineRule="auto"/>
        <w:jc w:val="both"/>
        <w:rPr>
          <w:rFonts w:ascii="Palatino Linotype" w:eastAsia="Palatino Linotype" w:hAnsi="Palatino Linotype" w:cs="Palatino Linotype"/>
        </w:rPr>
      </w:pPr>
    </w:p>
    <w:p w:rsidR="00B04DD5" w:rsidRPr="00F571ED" w:rsidRDefault="00DA3EFE" w:rsidP="0049477B">
      <w:pPr>
        <w:pStyle w:val="Ttulo1"/>
        <w:spacing w:before="0" w:line="360" w:lineRule="auto"/>
        <w:jc w:val="center"/>
        <w:rPr>
          <w:rFonts w:ascii="Palatino Linotype" w:eastAsia="Palatino Linotype" w:hAnsi="Palatino Linotype" w:cs="Palatino Linotype"/>
          <w:b/>
          <w:color w:val="000000"/>
          <w:sz w:val="24"/>
          <w:szCs w:val="24"/>
        </w:rPr>
      </w:pPr>
      <w:bookmarkStart w:id="1" w:name="_heading=h.9q58bigdy5p" w:colFirst="0" w:colLast="0"/>
      <w:bookmarkEnd w:id="1"/>
      <w:r w:rsidRPr="00F571ED">
        <w:rPr>
          <w:rFonts w:ascii="Palatino Linotype" w:eastAsia="Palatino Linotype" w:hAnsi="Palatino Linotype" w:cs="Palatino Linotype"/>
          <w:b/>
          <w:color w:val="000000"/>
          <w:sz w:val="24"/>
          <w:szCs w:val="24"/>
        </w:rPr>
        <w:t>A</w:t>
      </w:r>
      <w:r w:rsidR="00776890">
        <w:rPr>
          <w:rFonts w:ascii="Palatino Linotype" w:eastAsia="Palatino Linotype" w:hAnsi="Palatino Linotype" w:cs="Palatino Linotype"/>
          <w:b/>
          <w:color w:val="000000"/>
          <w:sz w:val="24"/>
          <w:szCs w:val="24"/>
        </w:rPr>
        <w:t xml:space="preserve"> </w:t>
      </w:r>
      <w:r w:rsidRPr="00F571ED">
        <w:rPr>
          <w:rFonts w:ascii="Palatino Linotype" w:eastAsia="Palatino Linotype" w:hAnsi="Palatino Linotype" w:cs="Palatino Linotype"/>
          <w:b/>
          <w:color w:val="000000"/>
          <w:sz w:val="24"/>
          <w:szCs w:val="24"/>
        </w:rPr>
        <w:t>N</w:t>
      </w:r>
      <w:r w:rsidR="00776890">
        <w:rPr>
          <w:rFonts w:ascii="Palatino Linotype" w:eastAsia="Palatino Linotype" w:hAnsi="Palatino Linotype" w:cs="Palatino Linotype"/>
          <w:b/>
          <w:color w:val="000000"/>
          <w:sz w:val="24"/>
          <w:szCs w:val="24"/>
        </w:rPr>
        <w:t xml:space="preserve"> </w:t>
      </w:r>
      <w:r w:rsidRPr="00F571ED">
        <w:rPr>
          <w:rFonts w:ascii="Palatino Linotype" w:eastAsia="Palatino Linotype" w:hAnsi="Palatino Linotype" w:cs="Palatino Linotype"/>
          <w:b/>
          <w:color w:val="000000"/>
          <w:sz w:val="24"/>
          <w:szCs w:val="24"/>
        </w:rPr>
        <w:t>T</w:t>
      </w:r>
      <w:r w:rsidR="00776890">
        <w:rPr>
          <w:rFonts w:ascii="Palatino Linotype" w:eastAsia="Palatino Linotype" w:hAnsi="Palatino Linotype" w:cs="Palatino Linotype"/>
          <w:b/>
          <w:color w:val="000000"/>
          <w:sz w:val="24"/>
          <w:szCs w:val="24"/>
        </w:rPr>
        <w:t xml:space="preserve"> </w:t>
      </w:r>
      <w:r w:rsidRPr="00F571ED">
        <w:rPr>
          <w:rFonts w:ascii="Palatino Linotype" w:eastAsia="Palatino Linotype" w:hAnsi="Palatino Linotype" w:cs="Palatino Linotype"/>
          <w:b/>
          <w:color w:val="000000"/>
          <w:sz w:val="24"/>
          <w:szCs w:val="24"/>
        </w:rPr>
        <w:t>E</w:t>
      </w:r>
      <w:r w:rsidR="00776890">
        <w:rPr>
          <w:rFonts w:ascii="Palatino Linotype" w:eastAsia="Palatino Linotype" w:hAnsi="Palatino Linotype" w:cs="Palatino Linotype"/>
          <w:b/>
          <w:color w:val="000000"/>
          <w:sz w:val="24"/>
          <w:szCs w:val="24"/>
        </w:rPr>
        <w:t xml:space="preserve"> </w:t>
      </w:r>
      <w:r w:rsidRPr="00F571ED">
        <w:rPr>
          <w:rFonts w:ascii="Palatino Linotype" w:eastAsia="Palatino Linotype" w:hAnsi="Palatino Linotype" w:cs="Palatino Linotype"/>
          <w:b/>
          <w:color w:val="000000"/>
          <w:sz w:val="24"/>
          <w:szCs w:val="24"/>
        </w:rPr>
        <w:t>C</w:t>
      </w:r>
      <w:r w:rsidR="00776890">
        <w:rPr>
          <w:rFonts w:ascii="Palatino Linotype" w:eastAsia="Palatino Linotype" w:hAnsi="Palatino Linotype" w:cs="Palatino Linotype"/>
          <w:b/>
          <w:color w:val="000000"/>
          <w:sz w:val="24"/>
          <w:szCs w:val="24"/>
        </w:rPr>
        <w:t xml:space="preserve"> </w:t>
      </w:r>
      <w:r w:rsidRPr="00F571ED">
        <w:rPr>
          <w:rFonts w:ascii="Palatino Linotype" w:eastAsia="Palatino Linotype" w:hAnsi="Palatino Linotype" w:cs="Palatino Linotype"/>
          <w:b/>
          <w:color w:val="000000"/>
          <w:sz w:val="24"/>
          <w:szCs w:val="24"/>
        </w:rPr>
        <w:t>E</w:t>
      </w:r>
      <w:r w:rsidR="00776890">
        <w:rPr>
          <w:rFonts w:ascii="Palatino Linotype" w:eastAsia="Palatino Linotype" w:hAnsi="Palatino Linotype" w:cs="Palatino Linotype"/>
          <w:b/>
          <w:color w:val="000000"/>
          <w:sz w:val="24"/>
          <w:szCs w:val="24"/>
        </w:rPr>
        <w:t xml:space="preserve"> </w:t>
      </w:r>
      <w:r w:rsidRPr="00F571ED">
        <w:rPr>
          <w:rFonts w:ascii="Palatino Linotype" w:eastAsia="Palatino Linotype" w:hAnsi="Palatino Linotype" w:cs="Palatino Linotype"/>
          <w:b/>
          <w:color w:val="000000"/>
          <w:sz w:val="24"/>
          <w:szCs w:val="24"/>
        </w:rPr>
        <w:t>D</w:t>
      </w:r>
      <w:r w:rsidR="00776890">
        <w:rPr>
          <w:rFonts w:ascii="Palatino Linotype" w:eastAsia="Palatino Linotype" w:hAnsi="Palatino Linotype" w:cs="Palatino Linotype"/>
          <w:b/>
          <w:color w:val="000000"/>
          <w:sz w:val="24"/>
          <w:szCs w:val="24"/>
        </w:rPr>
        <w:t xml:space="preserve"> </w:t>
      </w:r>
      <w:r w:rsidRPr="00F571ED">
        <w:rPr>
          <w:rFonts w:ascii="Palatino Linotype" w:eastAsia="Palatino Linotype" w:hAnsi="Palatino Linotype" w:cs="Palatino Linotype"/>
          <w:b/>
          <w:color w:val="000000"/>
          <w:sz w:val="24"/>
          <w:szCs w:val="24"/>
        </w:rPr>
        <w:t>E</w:t>
      </w:r>
      <w:r w:rsidR="00776890">
        <w:rPr>
          <w:rFonts w:ascii="Palatino Linotype" w:eastAsia="Palatino Linotype" w:hAnsi="Palatino Linotype" w:cs="Palatino Linotype"/>
          <w:b/>
          <w:color w:val="000000"/>
          <w:sz w:val="24"/>
          <w:szCs w:val="24"/>
        </w:rPr>
        <w:t xml:space="preserve"> </w:t>
      </w:r>
      <w:r w:rsidRPr="00F571ED">
        <w:rPr>
          <w:rFonts w:ascii="Palatino Linotype" w:eastAsia="Palatino Linotype" w:hAnsi="Palatino Linotype" w:cs="Palatino Linotype"/>
          <w:b/>
          <w:color w:val="000000"/>
          <w:sz w:val="24"/>
          <w:szCs w:val="24"/>
        </w:rPr>
        <w:t>N</w:t>
      </w:r>
      <w:r w:rsidR="00776890">
        <w:rPr>
          <w:rFonts w:ascii="Palatino Linotype" w:eastAsia="Palatino Linotype" w:hAnsi="Palatino Linotype" w:cs="Palatino Linotype"/>
          <w:b/>
          <w:color w:val="000000"/>
          <w:sz w:val="24"/>
          <w:szCs w:val="24"/>
        </w:rPr>
        <w:t xml:space="preserve"> </w:t>
      </w:r>
      <w:r w:rsidRPr="00F571ED">
        <w:rPr>
          <w:rFonts w:ascii="Palatino Linotype" w:eastAsia="Palatino Linotype" w:hAnsi="Palatino Linotype" w:cs="Palatino Linotype"/>
          <w:b/>
          <w:color w:val="000000"/>
          <w:sz w:val="24"/>
          <w:szCs w:val="24"/>
        </w:rPr>
        <w:t>T</w:t>
      </w:r>
      <w:r w:rsidR="00776890">
        <w:rPr>
          <w:rFonts w:ascii="Palatino Linotype" w:eastAsia="Palatino Linotype" w:hAnsi="Palatino Linotype" w:cs="Palatino Linotype"/>
          <w:b/>
          <w:color w:val="000000"/>
          <w:sz w:val="24"/>
          <w:szCs w:val="24"/>
        </w:rPr>
        <w:t xml:space="preserve"> </w:t>
      </w:r>
      <w:r w:rsidRPr="00F571ED">
        <w:rPr>
          <w:rFonts w:ascii="Palatino Linotype" w:eastAsia="Palatino Linotype" w:hAnsi="Palatino Linotype" w:cs="Palatino Linotype"/>
          <w:b/>
          <w:color w:val="000000"/>
          <w:sz w:val="24"/>
          <w:szCs w:val="24"/>
        </w:rPr>
        <w:t>E</w:t>
      </w:r>
      <w:r w:rsidR="00776890">
        <w:rPr>
          <w:rFonts w:ascii="Palatino Linotype" w:eastAsia="Palatino Linotype" w:hAnsi="Palatino Linotype" w:cs="Palatino Linotype"/>
          <w:b/>
          <w:color w:val="000000"/>
          <w:sz w:val="24"/>
          <w:szCs w:val="24"/>
        </w:rPr>
        <w:t xml:space="preserve"> </w:t>
      </w:r>
      <w:r w:rsidRPr="00F571ED">
        <w:rPr>
          <w:rFonts w:ascii="Palatino Linotype" w:eastAsia="Palatino Linotype" w:hAnsi="Palatino Linotype" w:cs="Palatino Linotype"/>
          <w:b/>
          <w:color w:val="000000"/>
          <w:sz w:val="24"/>
          <w:szCs w:val="24"/>
        </w:rPr>
        <w:t>S</w:t>
      </w:r>
    </w:p>
    <w:p w:rsidR="00B04DD5" w:rsidRPr="00F571ED" w:rsidRDefault="00B04DD5" w:rsidP="0049477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 xml:space="preserve">El día </w:t>
      </w:r>
      <w:r w:rsidRPr="00F571ED">
        <w:rPr>
          <w:rFonts w:ascii="Palatino Linotype" w:eastAsia="Palatino Linotype" w:hAnsi="Palatino Linotype" w:cs="Palatino Linotype"/>
          <w:b/>
          <w:color w:val="000000"/>
        </w:rPr>
        <w:t xml:space="preserve">veinticinco de febrero de dos mil veinticinco, </w:t>
      </w:r>
      <w:r w:rsidRPr="00F571ED">
        <w:rPr>
          <w:rFonts w:ascii="Palatino Linotype" w:eastAsia="Palatino Linotype" w:hAnsi="Palatino Linotype" w:cs="Palatino Linotype"/>
          <w:color w:val="000000"/>
        </w:rPr>
        <w:t xml:space="preserve">se presentó ante el </w:t>
      </w:r>
      <w:r w:rsidRPr="00F571ED">
        <w:rPr>
          <w:rFonts w:ascii="Palatino Linotype" w:eastAsia="Palatino Linotype" w:hAnsi="Palatino Linotype" w:cs="Palatino Linotype"/>
          <w:b/>
          <w:color w:val="000000"/>
        </w:rPr>
        <w:t>SUJETO OBLIGADO</w:t>
      </w:r>
      <w:r w:rsidRPr="00F571ED">
        <w:rPr>
          <w:rFonts w:ascii="Palatino Linotype" w:eastAsia="Palatino Linotype" w:hAnsi="Palatino Linotype" w:cs="Palatino Linotype"/>
          <w:color w:val="000000"/>
        </w:rPr>
        <w:t xml:space="preserve"> vía Sistema de Acceso a la Información Mexiquense (SAIMEX), la Solicitud de Información Pública registrada con el número</w:t>
      </w:r>
      <w:r w:rsidRPr="00F571ED">
        <w:rPr>
          <w:rFonts w:ascii="Palatino Linotype" w:eastAsia="Palatino Linotype" w:hAnsi="Palatino Linotype" w:cs="Palatino Linotype"/>
          <w:b/>
          <w:color w:val="000000"/>
        </w:rPr>
        <w:t xml:space="preserve"> 00153/SMOV/IP/2025; </w:t>
      </w:r>
      <w:r w:rsidR="00247BF4">
        <w:rPr>
          <w:rFonts w:ascii="Palatino Linotype" w:eastAsia="Palatino Linotype" w:hAnsi="Palatino Linotype" w:cs="Palatino Linotype"/>
          <w:color w:val="000000"/>
        </w:rPr>
        <w:t>en la que</w:t>
      </w:r>
      <w:r w:rsidRPr="00F571ED">
        <w:rPr>
          <w:rFonts w:ascii="Palatino Linotype" w:eastAsia="Palatino Linotype" w:hAnsi="Palatino Linotype" w:cs="Palatino Linotype"/>
          <w:color w:val="000000"/>
        </w:rPr>
        <w:t xml:space="preserve"> se solicitó la siguiente información:</w:t>
      </w:r>
    </w:p>
    <w:p w:rsidR="00B04DD5" w:rsidRPr="00F571ED" w:rsidRDefault="00B04DD5" w:rsidP="0049477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04DD5" w:rsidRPr="00F571ED" w:rsidRDefault="00DA3EFE" w:rsidP="0049477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F571ED">
        <w:rPr>
          <w:rFonts w:ascii="Palatino Linotype" w:eastAsia="Palatino Linotype" w:hAnsi="Palatino Linotype" w:cs="Palatino Linotype"/>
          <w:i/>
          <w:color w:val="000000"/>
        </w:rPr>
        <w:t>“Los ofcios y anexos firmados por la vocal del instituto del transporte de forma accesible y en pdf no en imagen y de los subdirectores y jefes de departamento del instituto de transporte del año 2023”</w:t>
      </w:r>
    </w:p>
    <w:p w:rsidR="00B04DD5" w:rsidRDefault="00B04DD5" w:rsidP="0049477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776890" w:rsidRPr="00F571ED" w:rsidRDefault="00776890" w:rsidP="0049477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B04DD5" w:rsidRPr="00F571ED" w:rsidRDefault="00DA3EFE" w:rsidP="0049477B">
      <w:pPr>
        <w:numPr>
          <w:ilvl w:val="0"/>
          <w:numId w:val="6"/>
        </w:numPr>
        <w:pBdr>
          <w:top w:val="nil"/>
          <w:left w:val="nil"/>
          <w:bottom w:val="nil"/>
          <w:right w:val="nil"/>
          <w:between w:val="nil"/>
        </w:pBdr>
        <w:spacing w:line="360" w:lineRule="auto"/>
        <w:ind w:left="0" w:hanging="283"/>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Modalidad de entrega de la información: Vía SAIMEX.</w:t>
      </w:r>
    </w:p>
    <w:p w:rsidR="00B04DD5" w:rsidRPr="00F571ED" w:rsidRDefault="00B04DD5" w:rsidP="0049477B">
      <w:pPr>
        <w:spacing w:line="360" w:lineRule="auto"/>
        <w:jc w:val="both"/>
        <w:rPr>
          <w:rFonts w:ascii="Palatino Linotype" w:eastAsia="Palatino Linotype" w:hAnsi="Palatino Linotype" w:cs="Palatino Linotype"/>
          <w:color w:val="000000"/>
        </w:rPr>
      </w:pP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F571ED">
        <w:rPr>
          <w:rFonts w:ascii="Palatino Linotype" w:eastAsia="Palatino Linotype" w:hAnsi="Palatino Linotype" w:cs="Palatino Linotype"/>
          <w:color w:val="000000"/>
        </w:rPr>
        <w:lastRenderedPageBreak/>
        <w:t xml:space="preserve">El </w:t>
      </w:r>
      <w:r w:rsidRPr="00F571ED">
        <w:rPr>
          <w:rFonts w:ascii="Palatino Linotype" w:eastAsia="Palatino Linotype" w:hAnsi="Palatino Linotype" w:cs="Palatino Linotype"/>
          <w:b/>
          <w:color w:val="000000"/>
        </w:rPr>
        <w:t>Sujeto</w:t>
      </w:r>
      <w:r w:rsidRPr="00F571ED">
        <w:rPr>
          <w:rFonts w:ascii="Palatino Linotype" w:eastAsia="Palatino Linotype" w:hAnsi="Palatino Linotype" w:cs="Palatino Linotype"/>
          <w:color w:val="000000"/>
        </w:rPr>
        <w:t xml:space="preserve"> </w:t>
      </w:r>
      <w:r w:rsidRPr="00F571ED">
        <w:rPr>
          <w:rFonts w:ascii="Palatino Linotype" w:eastAsia="Palatino Linotype" w:hAnsi="Palatino Linotype" w:cs="Palatino Linotype"/>
          <w:b/>
          <w:color w:val="000000"/>
        </w:rPr>
        <w:t>Obligado</w:t>
      </w:r>
      <w:r w:rsidRPr="00F571ED">
        <w:rPr>
          <w:rFonts w:ascii="Palatino Linotype" w:eastAsia="Palatino Linotype" w:hAnsi="Palatino Linotype" w:cs="Palatino Linotype"/>
          <w:color w:val="000000"/>
        </w:rPr>
        <w:t xml:space="preserve"> proporcionó respuesta mediante el archivo denominado </w:t>
      </w:r>
      <w:r w:rsidRPr="00F571ED">
        <w:rPr>
          <w:rFonts w:ascii="Palatino Linotype" w:eastAsia="Palatino Linotype" w:hAnsi="Palatino Linotype" w:cs="Palatino Linotype"/>
          <w:b/>
          <w:i/>
          <w:color w:val="000000"/>
        </w:rPr>
        <w:t>Respuesta 153.pdf</w:t>
      </w:r>
      <w:r w:rsidRPr="00F571ED">
        <w:rPr>
          <w:rFonts w:ascii="Palatino Linotype" w:eastAsia="Palatino Linotype" w:hAnsi="Palatino Linotype" w:cs="Palatino Linotype"/>
          <w:color w:val="000000"/>
        </w:rPr>
        <w:t xml:space="preserve">, a un oficio signado por el Subdirector de Normatividad y Capacitación del Instituto del Transporte del Estado de México, a través del cual informa que lo solicitado corresponde a un volumen de  dos mil </w:t>
      </w:r>
      <w:r w:rsidRPr="00F571ED">
        <w:rPr>
          <w:rFonts w:ascii="Palatino Linotype" w:eastAsia="Palatino Linotype" w:hAnsi="Palatino Linotype" w:cs="Palatino Linotype"/>
        </w:rPr>
        <w:t>ciento</w:t>
      </w:r>
      <w:r w:rsidRPr="00F571ED">
        <w:rPr>
          <w:rFonts w:ascii="Palatino Linotype" w:eastAsia="Palatino Linotype" w:hAnsi="Palatino Linotype" w:cs="Palatino Linotype"/>
          <w:color w:val="000000"/>
        </w:rPr>
        <w:t xml:space="preserve"> quince fojas, las cuales no se encuentran digitalizadas, motivo por el cual se realiza un cambio de modalidad a consulta directa, añadiendo que no se pueden entregar los documentos originales, por lo cual informa de los montos a pagar la obtención de copias simples o certificadas.</w:t>
      </w:r>
    </w:p>
    <w:p w:rsidR="00B04DD5" w:rsidRPr="00F571ED" w:rsidRDefault="00B04DD5" w:rsidP="0049477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 xml:space="preserve">Inconforme con la respuesta, el solicitante interpuso el Recurso de Revisión de mérito en fecha </w:t>
      </w:r>
      <w:r w:rsidRPr="00F571ED">
        <w:rPr>
          <w:rFonts w:ascii="Palatino Linotype" w:eastAsia="Palatino Linotype" w:hAnsi="Palatino Linotype" w:cs="Palatino Linotype"/>
          <w:b/>
          <w:color w:val="000000"/>
        </w:rPr>
        <w:t>veinticuatro de marzo dos mil veinticinco</w:t>
      </w:r>
      <w:r w:rsidRPr="00F571ED">
        <w:rPr>
          <w:rFonts w:ascii="Palatino Linotype" w:eastAsia="Palatino Linotype" w:hAnsi="Palatino Linotype" w:cs="Palatino Linotype"/>
          <w:color w:val="000000"/>
        </w:rPr>
        <w:t>, señalando como acto impugnado y razones o motivos de inconformidad, lo siguiente:</w:t>
      </w:r>
    </w:p>
    <w:p w:rsidR="00B04DD5" w:rsidRPr="00F571ED" w:rsidRDefault="00B04DD5" w:rsidP="0049477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B04DD5" w:rsidRPr="00776890" w:rsidRDefault="00DA3EFE" w:rsidP="00776890">
      <w:pPr>
        <w:pStyle w:val="Prrafodelista"/>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bookmarkStart w:id="2" w:name="_heading=h.ij59w8gvbrik" w:colFirst="0" w:colLast="0"/>
      <w:bookmarkEnd w:id="2"/>
      <w:r w:rsidRPr="00776890">
        <w:rPr>
          <w:rFonts w:ascii="Palatino Linotype" w:eastAsia="Palatino Linotype" w:hAnsi="Palatino Linotype" w:cs="Palatino Linotype"/>
          <w:b/>
          <w:color w:val="000000"/>
        </w:rPr>
        <w:t>ACTO IMPUGNADO:</w:t>
      </w:r>
    </w:p>
    <w:p w:rsidR="00B04DD5" w:rsidRPr="00F571ED" w:rsidRDefault="00DA3EFE" w:rsidP="0049477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F571ED">
        <w:rPr>
          <w:rFonts w:ascii="Palatino Linotype" w:eastAsia="Palatino Linotype" w:hAnsi="Palatino Linotype" w:cs="Palatino Linotype"/>
          <w:i/>
          <w:color w:val="000000"/>
        </w:rPr>
        <w:t>“No entrega la información argumentando que son más de 2000 Oficios y los deben procesar esa es una obligación del Sujeto Obligado”</w:t>
      </w:r>
    </w:p>
    <w:p w:rsidR="00B04DD5" w:rsidRPr="00F571ED" w:rsidRDefault="00B04DD5" w:rsidP="0049477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B04DD5" w:rsidRPr="00776890" w:rsidRDefault="00DA3EFE" w:rsidP="00776890">
      <w:pPr>
        <w:pStyle w:val="Prrafodelista"/>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776890">
        <w:rPr>
          <w:rFonts w:ascii="Palatino Linotype" w:eastAsia="Palatino Linotype" w:hAnsi="Palatino Linotype" w:cs="Palatino Linotype"/>
          <w:b/>
          <w:color w:val="000000"/>
        </w:rPr>
        <w:t>RAZONES O MOTIVOS DE LA INCONFORMIDAD</w:t>
      </w:r>
      <w:r w:rsidRPr="00776890">
        <w:rPr>
          <w:rFonts w:ascii="Palatino Linotype" w:eastAsia="Palatino Linotype" w:hAnsi="Palatino Linotype" w:cs="Palatino Linotype"/>
          <w:b/>
          <w:color w:val="000000"/>
        </w:rPr>
        <w:tab/>
      </w:r>
    </w:p>
    <w:p w:rsidR="00B04DD5" w:rsidRPr="00F571ED" w:rsidRDefault="00DA3EFE" w:rsidP="0049477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F571ED">
        <w:rPr>
          <w:rFonts w:ascii="Palatino Linotype" w:eastAsia="Palatino Linotype" w:hAnsi="Palatino Linotype" w:cs="Palatino Linotype"/>
          <w:i/>
          <w:color w:val="000000"/>
        </w:rPr>
        <w:t>“No esta Justificado su cobro ni cambio de modalidad son más de 2000 Oficios por lo que se exige se entreguen por este medio ojaláque el infoem haga valer mi derecho de acceso”</w:t>
      </w:r>
    </w:p>
    <w:p w:rsidR="00B04DD5" w:rsidRPr="00F571ED" w:rsidRDefault="00B04DD5" w:rsidP="0049477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F571ED">
        <w:rPr>
          <w:rFonts w:ascii="Palatino Linotype" w:eastAsia="Palatino Linotype" w:hAnsi="Palatino Linotype" w:cs="Palatino Linotype"/>
          <w:color w:val="000000"/>
        </w:rPr>
        <w:t xml:space="preserve">La Comisionada Ponente con fundamento en lo dispuesto por el artículo 185 fracción II de la ley de la materia, a través del acuerdo de admisión de fecha </w:t>
      </w:r>
      <w:r w:rsidRPr="00F571ED">
        <w:rPr>
          <w:rFonts w:ascii="Palatino Linotype" w:eastAsia="Palatino Linotype" w:hAnsi="Palatino Linotype" w:cs="Palatino Linotype"/>
          <w:b/>
          <w:color w:val="000000"/>
        </w:rPr>
        <w:t>veintiséis de marzo dos mil veinticinco</w:t>
      </w:r>
      <w:r w:rsidRPr="00F571ED">
        <w:rPr>
          <w:rFonts w:ascii="Palatino Linotype" w:eastAsia="Palatino Linotype" w:hAnsi="Palatino Linotype" w:cs="Palatino Linotype"/>
          <w:color w:val="000000"/>
        </w:rPr>
        <w:t xml:space="preserve">, puso a disposición de las partes el expediente electrónico vía </w:t>
      </w:r>
      <w:r w:rsidRPr="00F571ED">
        <w:rPr>
          <w:rFonts w:ascii="Palatino Linotype" w:eastAsia="Palatino Linotype" w:hAnsi="Palatino Linotype" w:cs="Palatino Linotype"/>
          <w:b/>
          <w:color w:val="000000"/>
        </w:rPr>
        <w:lastRenderedPageBreak/>
        <w:t xml:space="preserve">SAIMEX </w:t>
      </w:r>
      <w:r w:rsidRPr="00F571ED">
        <w:rPr>
          <w:rFonts w:ascii="Palatino Linotype" w:eastAsia="Palatino Linotype" w:hAnsi="Palatino Linotype" w:cs="Palatino Linotype"/>
          <w:color w:val="000000"/>
        </w:rPr>
        <w:t xml:space="preserve">a efecto de que en un plazo máximo de siete días manifestaran lo que a su derecho conviniera, ofrecieran pruebas y alegatos según corresponda a los casos concretos, y el </w:t>
      </w:r>
      <w:r w:rsidRPr="00F571ED">
        <w:rPr>
          <w:rFonts w:ascii="Palatino Linotype" w:eastAsia="Palatino Linotype" w:hAnsi="Palatino Linotype" w:cs="Palatino Linotype"/>
          <w:b/>
          <w:color w:val="000000"/>
        </w:rPr>
        <w:t>SUJETO OBLIGADO</w:t>
      </w:r>
      <w:r w:rsidRPr="00F571ED">
        <w:rPr>
          <w:rFonts w:ascii="Palatino Linotype" w:eastAsia="Palatino Linotype" w:hAnsi="Palatino Linotype" w:cs="Palatino Linotype"/>
          <w:color w:val="000000"/>
        </w:rPr>
        <w:t xml:space="preserve"> presentará el informe justificado procedente.</w:t>
      </w:r>
    </w:p>
    <w:p w:rsidR="00B04DD5" w:rsidRPr="00F571ED" w:rsidRDefault="00B04DD5" w:rsidP="0049477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 xml:space="preserve">El </w:t>
      </w:r>
      <w:r w:rsidRPr="00F571ED">
        <w:rPr>
          <w:rFonts w:ascii="Palatino Linotype" w:eastAsia="Palatino Linotype" w:hAnsi="Palatino Linotype" w:cs="Palatino Linotype"/>
          <w:b/>
          <w:color w:val="000000"/>
        </w:rPr>
        <w:t>SUJETO OBLIGADO</w:t>
      </w:r>
      <w:r w:rsidRPr="00F571ED">
        <w:rPr>
          <w:rFonts w:ascii="Palatino Linotype" w:eastAsia="Palatino Linotype" w:hAnsi="Palatino Linotype" w:cs="Palatino Linotype"/>
          <w:color w:val="000000"/>
        </w:rPr>
        <w:t xml:space="preserve"> los días </w:t>
      </w:r>
      <w:r w:rsidRPr="00F571ED">
        <w:rPr>
          <w:rFonts w:ascii="Palatino Linotype" w:eastAsia="Palatino Linotype" w:hAnsi="Palatino Linotype" w:cs="Palatino Linotype"/>
          <w:b/>
          <w:color w:val="000000"/>
        </w:rPr>
        <w:t>cuatro y ocho de abril de dos mil veinticinco</w:t>
      </w:r>
      <w:r w:rsidRPr="00F571ED">
        <w:rPr>
          <w:rFonts w:ascii="Palatino Linotype" w:eastAsia="Palatino Linotype" w:hAnsi="Palatino Linotype" w:cs="Palatino Linotype"/>
          <w:color w:val="000000"/>
        </w:rPr>
        <w:t>, rindió el informe justificado, ratificando su respuesta inicial, al tenor de los mismo argumentos ya descritos en el anterior Párrafo 2; asimismo remite de manera adicional el Acta de la Cuadragésima Primera Sesión Extraordinaria del año dos mil veinticinco, del Comité de Transparencia, en la que se confirma el cambio de modalidad reiterando los argumentos que se consideraron para la justificación a consulta directa.</w:t>
      </w:r>
    </w:p>
    <w:p w:rsidR="00B04DD5" w:rsidRPr="00F571ED" w:rsidRDefault="00B04DD5" w:rsidP="0049477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F571ED">
        <w:rPr>
          <w:rFonts w:ascii="Palatino Linotype" w:eastAsia="Palatino Linotype" w:hAnsi="Palatino Linotype" w:cs="Palatino Linotype"/>
          <w:color w:val="000000"/>
        </w:rPr>
        <w:t xml:space="preserve">Por su parte el ahora </w:t>
      </w:r>
      <w:r w:rsidRPr="00F571ED">
        <w:rPr>
          <w:rFonts w:ascii="Palatino Linotype" w:eastAsia="Palatino Linotype" w:hAnsi="Palatino Linotype" w:cs="Palatino Linotype"/>
          <w:b/>
          <w:color w:val="000000"/>
        </w:rPr>
        <w:t xml:space="preserve">RECURRENTE </w:t>
      </w:r>
      <w:r w:rsidRPr="00F571ED">
        <w:rPr>
          <w:rFonts w:ascii="Palatino Linotype" w:eastAsia="Palatino Linotype" w:hAnsi="Palatino Linotype" w:cs="Palatino Linotype"/>
          <w:color w:val="000000"/>
        </w:rPr>
        <w:t xml:space="preserve">fue omiso en realizar manifestaciones que a su derecho conviniera y asistiera. Seguidamente al no existir pendientes o diligencia por desahogar, mediante Acuerdo de día </w:t>
      </w:r>
      <w:r w:rsidRPr="00F571ED">
        <w:rPr>
          <w:rFonts w:ascii="Palatino Linotype" w:eastAsia="Palatino Linotype" w:hAnsi="Palatino Linotype" w:cs="Palatino Linotype"/>
          <w:b/>
          <w:color w:val="000000"/>
        </w:rPr>
        <w:t>uno de septiembre del año en curso</w:t>
      </w:r>
      <w:r w:rsidRPr="00F571ED">
        <w:rPr>
          <w:rFonts w:ascii="Palatino Linotype" w:eastAsia="Palatino Linotype" w:hAnsi="Palatino Linotype" w:cs="Palatino Linotype"/>
          <w:color w:val="000000"/>
        </w:rPr>
        <w:t>, se decretó el cierre de instrucción, seguidamente mediante acuerdo de misma fecha se amplió el término para resolver. 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B04DD5" w:rsidRPr="00F571ED" w:rsidRDefault="00B04DD5" w:rsidP="0049477B">
      <w:pPr>
        <w:pBdr>
          <w:top w:val="nil"/>
          <w:left w:val="nil"/>
          <w:bottom w:val="nil"/>
          <w:right w:val="nil"/>
          <w:between w:val="nil"/>
        </w:pBdr>
        <w:spacing w:line="360" w:lineRule="auto"/>
        <w:rPr>
          <w:rFonts w:ascii="Palatino Linotype" w:eastAsia="Palatino Linotype" w:hAnsi="Palatino Linotype" w:cs="Palatino Linotype"/>
          <w:b/>
          <w:color w:val="000000"/>
        </w:rPr>
      </w:pP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F571ED">
        <w:rPr>
          <w:rFonts w:ascii="Palatino Linotype" w:eastAsia="Palatino Linotype" w:hAnsi="Palatino Linotype" w:cs="Palatino Linotype"/>
          <w:color w:val="000000"/>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04DD5" w:rsidRPr="00F571ED" w:rsidRDefault="00B04DD5" w:rsidP="0049477B">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así las cosas se emite la presente Resolución al tenor de los siguientes:</w:t>
      </w:r>
    </w:p>
    <w:p w:rsidR="00B04DD5" w:rsidRPr="00F571ED" w:rsidRDefault="00B04DD5" w:rsidP="0049477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04DD5" w:rsidRPr="00F571ED" w:rsidRDefault="00DA3EFE" w:rsidP="0049477B">
      <w:pPr>
        <w:pStyle w:val="Ttulo1"/>
        <w:spacing w:before="0" w:line="360" w:lineRule="auto"/>
        <w:jc w:val="center"/>
        <w:rPr>
          <w:rFonts w:ascii="Palatino Linotype" w:eastAsia="Palatino Linotype" w:hAnsi="Palatino Linotype" w:cs="Palatino Linotype"/>
          <w:b/>
          <w:color w:val="000000"/>
          <w:sz w:val="24"/>
          <w:szCs w:val="24"/>
        </w:rPr>
      </w:pPr>
      <w:bookmarkStart w:id="3" w:name="_heading=h.39jr17ww616c" w:colFirst="0" w:colLast="0"/>
      <w:bookmarkEnd w:id="3"/>
      <w:r w:rsidRPr="00F571ED">
        <w:rPr>
          <w:rFonts w:ascii="Palatino Linotype" w:eastAsia="Palatino Linotype" w:hAnsi="Palatino Linotype" w:cs="Palatino Linotype"/>
          <w:b/>
          <w:color w:val="000000"/>
          <w:sz w:val="24"/>
          <w:szCs w:val="24"/>
        </w:rPr>
        <w:t>C O N S I D E R A N D O S</w:t>
      </w:r>
    </w:p>
    <w:p w:rsidR="00B04DD5" w:rsidRPr="00F571ED" w:rsidRDefault="00B04DD5" w:rsidP="0049477B">
      <w:pPr>
        <w:pStyle w:val="Ttulo2"/>
        <w:spacing w:before="0" w:line="360" w:lineRule="auto"/>
        <w:rPr>
          <w:rFonts w:ascii="Palatino Linotype" w:eastAsia="Palatino Linotype" w:hAnsi="Palatino Linotype" w:cs="Palatino Linotype"/>
          <w:b/>
          <w:color w:val="000000"/>
          <w:sz w:val="24"/>
          <w:szCs w:val="24"/>
        </w:rPr>
      </w:pPr>
      <w:bookmarkStart w:id="4" w:name="_heading=h.v09dx3agqde6" w:colFirst="0" w:colLast="0"/>
      <w:bookmarkEnd w:id="4"/>
    </w:p>
    <w:p w:rsidR="00B04DD5" w:rsidRPr="00F571ED" w:rsidRDefault="00DA3EFE" w:rsidP="0049477B">
      <w:pPr>
        <w:pStyle w:val="Ttulo2"/>
        <w:spacing w:before="0" w:line="360" w:lineRule="auto"/>
        <w:rPr>
          <w:rFonts w:ascii="Palatino Linotype" w:eastAsia="Palatino Linotype" w:hAnsi="Palatino Linotype" w:cs="Palatino Linotype"/>
          <w:b/>
          <w:color w:val="000000"/>
          <w:sz w:val="24"/>
          <w:szCs w:val="24"/>
        </w:rPr>
      </w:pPr>
      <w:r w:rsidRPr="00F571ED">
        <w:rPr>
          <w:rFonts w:ascii="Palatino Linotype" w:eastAsia="Palatino Linotype" w:hAnsi="Palatino Linotype" w:cs="Palatino Linotype"/>
          <w:b/>
          <w:color w:val="000000"/>
          <w:sz w:val="24"/>
          <w:szCs w:val="24"/>
        </w:rPr>
        <w:t>PRIMERO. De la competencia</w:t>
      </w:r>
    </w:p>
    <w:p w:rsidR="00B04DD5" w:rsidRPr="00F571ED" w:rsidRDefault="00DA3EFE" w:rsidP="0049477B">
      <w:pPr>
        <w:numPr>
          <w:ilvl w:val="0"/>
          <w:numId w:val="1"/>
        </w:numPr>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w:t>
      </w:r>
      <w:r w:rsidRPr="00F571ED">
        <w:rPr>
          <w:rFonts w:ascii="Palatino Linotype" w:eastAsia="Palatino Linotype" w:hAnsi="Palatino Linotype" w:cs="Palatino Linotype"/>
        </w:rPr>
        <w:t>el</w:t>
      </w:r>
      <w:r w:rsidRPr="00F571ED">
        <w:rPr>
          <w:rFonts w:ascii="Palatino Linotype" w:eastAsia="Palatino Linotype" w:hAnsi="Palatino Linotype" w:cs="Palatino Linotype"/>
          <w:color w:val="000000"/>
        </w:rPr>
        <w:t xml:space="preserve">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w:t>
      </w:r>
      <w:r w:rsidRPr="00F571ED">
        <w:rPr>
          <w:rFonts w:ascii="Palatino Linotype" w:eastAsia="Palatino Linotype" w:hAnsi="Palatino Linotype" w:cs="Palatino Linotype"/>
          <w:color w:val="000000"/>
        </w:rPr>
        <w:lastRenderedPageBreak/>
        <w:t>XXIII y 11 del Reglamento Interior del Instituto de Transparencia, Acceso a la Información Pública y Protección de Datos Personales del Estado de México y Municipios.</w:t>
      </w:r>
    </w:p>
    <w:p w:rsidR="00B04DD5" w:rsidRPr="00F571ED" w:rsidRDefault="00B04DD5" w:rsidP="0049477B">
      <w:pPr>
        <w:spacing w:line="360" w:lineRule="auto"/>
        <w:jc w:val="both"/>
        <w:rPr>
          <w:rFonts w:ascii="Palatino Linotype" w:eastAsia="Palatino Linotype" w:hAnsi="Palatino Linotype" w:cs="Palatino Linotype"/>
          <w:color w:val="000000"/>
        </w:rPr>
      </w:pPr>
    </w:p>
    <w:p w:rsidR="00B04DD5" w:rsidRPr="00F571ED" w:rsidRDefault="00DA3EFE" w:rsidP="0049477B">
      <w:pPr>
        <w:spacing w:line="360" w:lineRule="auto"/>
        <w:jc w:val="both"/>
        <w:rPr>
          <w:rFonts w:ascii="Palatino Linotype" w:eastAsia="Palatino Linotype" w:hAnsi="Palatino Linotype" w:cs="Palatino Linotype"/>
          <w:b/>
        </w:rPr>
      </w:pPr>
      <w:bookmarkStart w:id="5" w:name="_heading=h.eqtu92o8vsue" w:colFirst="0" w:colLast="0"/>
      <w:bookmarkEnd w:id="5"/>
      <w:r w:rsidRPr="00F571ED">
        <w:rPr>
          <w:rFonts w:ascii="Palatino Linotype" w:eastAsia="Palatino Linotype" w:hAnsi="Palatino Linotype" w:cs="Palatino Linotype"/>
          <w:color w:val="000000"/>
        </w:rPr>
        <w:t xml:space="preserve"> </w:t>
      </w:r>
      <w:r w:rsidRPr="00F571ED">
        <w:rPr>
          <w:rFonts w:ascii="Palatino Linotype" w:eastAsia="Palatino Linotype" w:hAnsi="Palatino Linotype" w:cs="Palatino Linotype"/>
          <w:b/>
        </w:rPr>
        <w:t>SEGUNDO. De la oportunidad y procedencia.</w:t>
      </w:r>
    </w:p>
    <w:p w:rsidR="00B04DD5" w:rsidRPr="00F571ED" w:rsidRDefault="00DA3EFE" w:rsidP="0049477B">
      <w:pPr>
        <w:numPr>
          <w:ilvl w:val="0"/>
          <w:numId w:val="1"/>
        </w:numPr>
        <w:spacing w:line="360" w:lineRule="auto"/>
        <w:ind w:left="0" w:firstLine="0"/>
        <w:jc w:val="both"/>
        <w:rPr>
          <w:rFonts w:ascii="Palatino Linotype" w:eastAsia="Palatino Linotype" w:hAnsi="Palatino Linotype" w:cs="Palatino Linotype"/>
        </w:rPr>
      </w:pPr>
      <w:r w:rsidRPr="00F571ED">
        <w:rPr>
          <w:rFonts w:ascii="Palatino Linotype" w:eastAsia="Palatino Linotype" w:hAnsi="Palatino Linotype" w:cs="Palatino Linotype"/>
        </w:rPr>
        <w:t xml:space="preserve">Este Órgano Garante considera que el medio de impugnación reúne los requisitos de procedencia </w:t>
      </w:r>
      <w:r w:rsidRPr="00F571ED">
        <w:rPr>
          <w:rFonts w:ascii="Palatino Linotype" w:eastAsia="Palatino Linotype" w:hAnsi="Palatino Linotype" w:cs="Palatino Linotype"/>
          <w:color w:val="000000"/>
        </w:rPr>
        <w:t xml:space="preserve">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Pr="00F571ED">
        <w:rPr>
          <w:rFonts w:ascii="Palatino Linotype" w:eastAsia="Palatino Linotype" w:hAnsi="Palatino Linotype" w:cs="Palatino Linotype"/>
          <w:b/>
          <w:color w:val="000000"/>
        </w:rPr>
        <w:t>LA RECURRENTE</w:t>
      </w:r>
      <w:r w:rsidRPr="00F571ED">
        <w:rPr>
          <w:rFonts w:ascii="Palatino Linotype" w:eastAsia="Palatino Linotype" w:hAnsi="Palatino Linotype" w:cs="Palatino Linotype"/>
          <w:color w:val="000000"/>
        </w:rPr>
        <w:t xml:space="preserve"> ante otra instancia.</w:t>
      </w:r>
    </w:p>
    <w:p w:rsidR="00B04DD5" w:rsidRPr="00F571ED" w:rsidRDefault="00B04DD5" w:rsidP="0049477B">
      <w:pPr>
        <w:spacing w:line="360" w:lineRule="auto"/>
        <w:jc w:val="both"/>
        <w:rPr>
          <w:rFonts w:ascii="Palatino Linotype" w:eastAsia="Palatino Linotype" w:hAnsi="Palatino Linotype" w:cs="Palatino Linotype"/>
        </w:rPr>
      </w:pPr>
    </w:p>
    <w:p w:rsidR="00B04DD5" w:rsidRPr="00F571ED" w:rsidRDefault="00DA3EFE" w:rsidP="0049477B">
      <w:pPr>
        <w:numPr>
          <w:ilvl w:val="0"/>
          <w:numId w:val="1"/>
        </w:numPr>
        <w:spacing w:line="360" w:lineRule="auto"/>
        <w:ind w:left="0" w:firstLine="0"/>
        <w:jc w:val="both"/>
        <w:rPr>
          <w:rFonts w:ascii="Palatino Linotype" w:eastAsia="Palatino Linotype" w:hAnsi="Palatino Linotype" w:cs="Palatino Linotype"/>
        </w:rPr>
      </w:pPr>
      <w:r w:rsidRPr="00F571ED">
        <w:rPr>
          <w:rFonts w:ascii="Palatino Linotype" w:eastAsia="Palatino Linotype" w:hAnsi="Palatino Linotype" w:cs="Palatino Linotype"/>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B04DD5" w:rsidRPr="00F571ED" w:rsidRDefault="00DA3EFE" w:rsidP="0049477B">
      <w:pPr>
        <w:spacing w:line="360" w:lineRule="auto"/>
        <w:jc w:val="both"/>
        <w:rPr>
          <w:rFonts w:ascii="Palatino Linotype" w:eastAsia="Palatino Linotype" w:hAnsi="Palatino Linotype" w:cs="Palatino Linotype"/>
          <w:i/>
        </w:rPr>
      </w:pPr>
      <w:r w:rsidRPr="00F571ED">
        <w:rPr>
          <w:rFonts w:ascii="Palatino Linotype" w:eastAsia="Palatino Linotype" w:hAnsi="Palatino Linotype" w:cs="Palatino Linotype"/>
          <w:i/>
        </w:rPr>
        <w:t>"</w:t>
      </w:r>
      <w:r w:rsidRPr="00F571ED">
        <w:rPr>
          <w:rFonts w:ascii="Palatino Linotype" w:eastAsia="Palatino Linotype" w:hAnsi="Palatino Linotype" w:cs="Palatino Linotype"/>
          <w:b/>
          <w:i/>
        </w:rPr>
        <w:t>Las solicitudes anónimas</w:t>
      </w:r>
      <w:r w:rsidRPr="00F571ED">
        <w:rPr>
          <w:rFonts w:ascii="Palatino Linotype" w:eastAsia="Palatino Linotype" w:hAnsi="Palatino Linotype" w:cs="Palatino Linotype"/>
          <w:i/>
        </w:rPr>
        <w:t xml:space="preserve">, con nombre incompleto o seudónimo </w:t>
      </w:r>
      <w:r w:rsidRPr="00F571ED">
        <w:rPr>
          <w:rFonts w:ascii="Palatino Linotype" w:eastAsia="Palatino Linotype" w:hAnsi="Palatino Linotype" w:cs="Palatino Linotype"/>
          <w:b/>
          <w:i/>
        </w:rPr>
        <w:t>serán procedentes para su trámite por parte del sujeto obligado ante quien se presente</w:t>
      </w:r>
      <w:r w:rsidRPr="00F571ED">
        <w:rPr>
          <w:rFonts w:ascii="Palatino Linotype" w:eastAsia="Palatino Linotype" w:hAnsi="Palatino Linotype" w:cs="Palatino Linotype"/>
          <w:i/>
        </w:rPr>
        <w:t>. No podrá requerirse información adicional con motivo del nombre proporcionado por el solicitante."</w:t>
      </w:r>
    </w:p>
    <w:p w:rsidR="00B04DD5" w:rsidRPr="00F571ED" w:rsidRDefault="00B04DD5" w:rsidP="0049477B">
      <w:pPr>
        <w:pBdr>
          <w:top w:val="nil"/>
          <w:left w:val="nil"/>
          <w:bottom w:val="nil"/>
          <w:right w:val="nil"/>
          <w:between w:val="nil"/>
        </w:pBdr>
        <w:spacing w:line="360" w:lineRule="auto"/>
        <w:rPr>
          <w:rFonts w:ascii="Palatino Linotype" w:eastAsia="Palatino Linotype" w:hAnsi="Palatino Linotype" w:cs="Palatino Linotype"/>
          <w:color w:val="000000"/>
        </w:rPr>
      </w:pPr>
    </w:p>
    <w:p w:rsidR="00B04DD5" w:rsidRPr="00F571ED" w:rsidRDefault="00DA3EFE" w:rsidP="0049477B">
      <w:pPr>
        <w:numPr>
          <w:ilvl w:val="0"/>
          <w:numId w:val="1"/>
        </w:numPr>
        <w:spacing w:line="360" w:lineRule="auto"/>
        <w:ind w:left="0" w:firstLine="0"/>
        <w:jc w:val="both"/>
        <w:rPr>
          <w:rFonts w:ascii="Palatino Linotype" w:eastAsia="Palatino Linotype" w:hAnsi="Palatino Linotype" w:cs="Palatino Linotype"/>
        </w:rPr>
      </w:pPr>
      <w:r w:rsidRPr="00F571ED">
        <w:rPr>
          <w:rFonts w:ascii="Palatino Linotype" w:eastAsia="Palatino Linotype" w:hAnsi="Palatino Linotype" w:cs="Palatino Linotype"/>
        </w:rPr>
        <w:lastRenderedPageBreak/>
        <w:t>Finalmente, el escrito contiene las formalidades previstas por el artículo 180 último párrafo de la citada Ley de la materia, por lo que es procedente que este Instituto conozca y resuelva el presente Recurso.</w:t>
      </w:r>
    </w:p>
    <w:p w:rsidR="00B04DD5" w:rsidRPr="00F571ED" w:rsidRDefault="00B04DD5" w:rsidP="0049477B">
      <w:pPr>
        <w:spacing w:line="360" w:lineRule="auto"/>
        <w:rPr>
          <w:rFonts w:ascii="Palatino Linotype" w:eastAsia="Palatino Linotype" w:hAnsi="Palatino Linotype" w:cs="Palatino Linotype"/>
        </w:rPr>
      </w:pPr>
    </w:p>
    <w:p w:rsidR="00B04DD5" w:rsidRPr="00F571ED" w:rsidRDefault="00DA3EFE" w:rsidP="0049477B">
      <w:pPr>
        <w:pStyle w:val="Ttulo2"/>
        <w:spacing w:before="0" w:line="360" w:lineRule="auto"/>
        <w:rPr>
          <w:rFonts w:ascii="Palatino Linotype" w:eastAsia="Palatino Linotype" w:hAnsi="Palatino Linotype" w:cs="Palatino Linotype"/>
          <w:b/>
          <w:color w:val="000000"/>
          <w:sz w:val="24"/>
          <w:szCs w:val="24"/>
        </w:rPr>
      </w:pPr>
      <w:bookmarkStart w:id="6" w:name="_heading=h.ug2oywrf54is" w:colFirst="0" w:colLast="0"/>
      <w:bookmarkEnd w:id="6"/>
      <w:r w:rsidRPr="00F571ED">
        <w:rPr>
          <w:rFonts w:ascii="Palatino Linotype" w:eastAsia="Palatino Linotype" w:hAnsi="Palatino Linotype" w:cs="Palatino Linotype"/>
          <w:b/>
          <w:color w:val="000000"/>
          <w:sz w:val="24"/>
          <w:szCs w:val="24"/>
        </w:rPr>
        <w:t>TERCERO. Del planteamiento de la</w:t>
      </w:r>
      <w:r w:rsidRPr="00F571ED">
        <w:rPr>
          <w:rFonts w:ascii="Palatino Linotype" w:eastAsia="Palatino Linotype" w:hAnsi="Palatino Linotype" w:cs="Palatino Linotype"/>
          <w:b/>
          <w:i/>
          <w:color w:val="000000"/>
          <w:sz w:val="24"/>
          <w:szCs w:val="24"/>
        </w:rPr>
        <w:t xml:space="preserve"> Litis</w:t>
      </w: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Se solicitó tener acceso, a la información que a continuación se desagrega del 01 al 29 de enero del 2025:</w:t>
      </w:r>
    </w:p>
    <w:p w:rsidR="00B04DD5" w:rsidRPr="00F571ED" w:rsidRDefault="00DA3EFE" w:rsidP="00776890">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Oficios con anexos, signados por subdirectores, jefes de departamento y la Vocal del Instituto del Transporte en formato PDF del año 2023.</w:t>
      </w:r>
    </w:p>
    <w:p w:rsidR="00B04DD5" w:rsidRPr="00F571ED" w:rsidRDefault="00B04DD5" w:rsidP="0049477B">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B04DD5" w:rsidRPr="00F571ED" w:rsidRDefault="00DA3EFE" w:rsidP="0049477B">
      <w:pPr>
        <w:numPr>
          <w:ilvl w:val="0"/>
          <w:numId w:val="1"/>
        </w:numPr>
        <w:spacing w:line="360" w:lineRule="auto"/>
        <w:ind w:left="0" w:firstLine="0"/>
        <w:jc w:val="both"/>
        <w:rPr>
          <w:rFonts w:ascii="Palatino Linotype" w:eastAsia="Palatino Linotype" w:hAnsi="Palatino Linotype" w:cs="Palatino Linotype"/>
        </w:rPr>
      </w:pPr>
      <w:r w:rsidRPr="00F571ED">
        <w:rPr>
          <w:rFonts w:ascii="Palatino Linotype" w:eastAsia="Palatino Linotype" w:hAnsi="Palatino Linotype" w:cs="Palatino Linotype"/>
        </w:rPr>
        <w:t xml:space="preserve">En respuesta, el </w:t>
      </w:r>
      <w:r w:rsidRPr="00F571ED">
        <w:rPr>
          <w:rFonts w:ascii="Palatino Linotype" w:eastAsia="Palatino Linotype" w:hAnsi="Palatino Linotype" w:cs="Palatino Linotype"/>
          <w:b/>
        </w:rPr>
        <w:t xml:space="preserve">SUJETO OBLIGADO </w:t>
      </w:r>
      <w:r w:rsidRPr="00F571ED">
        <w:rPr>
          <w:rFonts w:ascii="Palatino Linotype" w:eastAsia="Palatino Linotype" w:hAnsi="Palatino Linotype" w:cs="Palatino Linotype"/>
        </w:rPr>
        <w:t xml:space="preserve">remitió el archivo ya descrito en el anterior Párrafo 2; no obstante el particular se inconformó, por el cambio de modalidad de entrega de la información; en dichas condiciones, la </w:t>
      </w:r>
      <w:r w:rsidRPr="00F571ED">
        <w:rPr>
          <w:rFonts w:ascii="Palatino Linotype" w:eastAsia="Palatino Linotype" w:hAnsi="Palatino Linotype" w:cs="Palatino Linotype"/>
          <w:i/>
        </w:rPr>
        <w:t>Litis</w:t>
      </w:r>
      <w:r w:rsidRPr="00F571ED">
        <w:rPr>
          <w:rFonts w:ascii="Palatino Linotype" w:eastAsia="Palatino Linotype" w:hAnsi="Palatino Linotype" w:cs="Palatino Linotype"/>
        </w:rPr>
        <w:t xml:space="preserve"> a resolver en el Recurso de Revisión se circunscribe a determinar si se actualiza la causal de procedencia prevista en el artículo 179, </w:t>
      </w:r>
      <w:r w:rsidRPr="00F571ED">
        <w:rPr>
          <w:rFonts w:ascii="Palatino Linotype" w:eastAsia="Palatino Linotype" w:hAnsi="Palatino Linotype" w:cs="Palatino Linotype"/>
          <w:b/>
        </w:rPr>
        <w:t xml:space="preserve">fracción VIII </w:t>
      </w:r>
      <w:r w:rsidRPr="00F571ED">
        <w:rPr>
          <w:rFonts w:ascii="Palatino Linotype" w:eastAsia="Palatino Linotype" w:hAnsi="Palatino Linotype" w:cs="Palatino Linotype"/>
        </w:rPr>
        <w:t xml:space="preserve">de la </w:t>
      </w:r>
      <w:r w:rsidRPr="00F571ED">
        <w:rPr>
          <w:rFonts w:ascii="Palatino Linotype" w:eastAsia="Palatino Linotype" w:hAnsi="Palatino Linotype" w:cs="Palatino Linotype"/>
          <w:b/>
        </w:rPr>
        <w:t xml:space="preserve">Ley de </w:t>
      </w:r>
      <w:r w:rsidRPr="00F571ED">
        <w:rPr>
          <w:rFonts w:ascii="Palatino Linotype" w:eastAsia="Palatino Linotype" w:hAnsi="Palatino Linotype" w:cs="Palatino Linotype"/>
          <w:color w:val="000000"/>
        </w:rPr>
        <w:t>Transparencia</w:t>
      </w:r>
      <w:r w:rsidRPr="00F571ED">
        <w:rPr>
          <w:rFonts w:ascii="Palatino Linotype" w:eastAsia="Palatino Linotype" w:hAnsi="Palatino Linotype" w:cs="Palatino Linotype"/>
          <w:b/>
        </w:rPr>
        <w:t xml:space="preserve"> y Acceso a la Información Pública del Estado de México y Municipios</w:t>
      </w:r>
      <w:r w:rsidRPr="00F571ED">
        <w:rPr>
          <w:rFonts w:ascii="Palatino Linotype" w:eastAsia="Palatino Linotype" w:hAnsi="Palatino Linotype" w:cs="Palatino Linotype"/>
        </w:rPr>
        <w:t xml:space="preserve">; </w:t>
      </w:r>
      <w:r w:rsidRPr="00F571ED">
        <w:rPr>
          <w:rFonts w:ascii="Palatino Linotype" w:eastAsia="Palatino Linotype" w:hAnsi="Palatino Linotype" w:cs="Palatino Linotype"/>
          <w:color w:val="000000"/>
        </w:rPr>
        <w:t xml:space="preserve">fracción que determina la hipótesis jurídica relativa a la entrega o puesta a disposición de información en una modalidad o formato distinto al solicitado; </w:t>
      </w:r>
      <w:r w:rsidRPr="00F571ED">
        <w:rPr>
          <w:rFonts w:ascii="Palatino Linotype" w:eastAsia="Palatino Linotype" w:hAnsi="Palatino Linotype" w:cs="Palatino Linotype"/>
        </w:rPr>
        <w:t xml:space="preserve">contexto del cual se dolió </w:t>
      </w:r>
      <w:r w:rsidRPr="00F571ED">
        <w:rPr>
          <w:rFonts w:ascii="Palatino Linotype" w:eastAsia="Palatino Linotype" w:hAnsi="Palatino Linotype" w:cs="Palatino Linotype"/>
          <w:b/>
        </w:rPr>
        <w:t xml:space="preserve">EL RECURRENTE </w:t>
      </w:r>
      <w:r w:rsidRPr="00F571ED">
        <w:rPr>
          <w:rFonts w:ascii="Palatino Linotype" w:eastAsia="Palatino Linotype" w:hAnsi="Palatino Linotype" w:cs="Palatino Linotype"/>
        </w:rPr>
        <w:t>al momento de interponer su inconformidad.</w:t>
      </w:r>
      <w:r w:rsidRPr="00F571ED">
        <w:rPr>
          <w:rFonts w:ascii="Palatino Linotype" w:eastAsia="Palatino Linotype" w:hAnsi="Palatino Linotype" w:cs="Palatino Linotype"/>
          <w:color w:val="000000"/>
        </w:rPr>
        <w:t xml:space="preserve"> </w:t>
      </w:r>
    </w:p>
    <w:p w:rsidR="00B04DD5" w:rsidRPr="00F571ED" w:rsidRDefault="00B04DD5" w:rsidP="0049477B">
      <w:pPr>
        <w:pBdr>
          <w:top w:val="nil"/>
          <w:left w:val="nil"/>
          <w:bottom w:val="nil"/>
          <w:right w:val="nil"/>
          <w:between w:val="nil"/>
        </w:pBdr>
        <w:spacing w:line="360" w:lineRule="auto"/>
        <w:rPr>
          <w:rFonts w:ascii="Palatino Linotype" w:eastAsia="Palatino Linotype" w:hAnsi="Palatino Linotype" w:cs="Palatino Linotype"/>
          <w:color w:val="000000"/>
        </w:rPr>
      </w:pPr>
    </w:p>
    <w:p w:rsidR="00B04DD5" w:rsidRPr="00F571ED" w:rsidRDefault="00DA3EFE" w:rsidP="0049477B">
      <w:pPr>
        <w:numPr>
          <w:ilvl w:val="0"/>
          <w:numId w:val="1"/>
        </w:numPr>
        <w:spacing w:line="360" w:lineRule="auto"/>
        <w:ind w:left="0" w:firstLine="0"/>
        <w:jc w:val="both"/>
        <w:rPr>
          <w:rFonts w:ascii="Palatino Linotype" w:eastAsia="Palatino Linotype" w:hAnsi="Palatino Linotype" w:cs="Palatino Linotype"/>
        </w:rPr>
      </w:pPr>
      <w:r w:rsidRPr="00F571ED">
        <w:rPr>
          <w:rFonts w:ascii="Palatino Linotype" w:eastAsia="Palatino Linotype" w:hAnsi="Palatino Linotype" w:cs="Palatino Linotype"/>
          <w:color w:val="000000"/>
        </w:rPr>
        <w:t xml:space="preserve">De modo tal que el presente Recurso de Revisión se abocara en determinar si el </w:t>
      </w:r>
      <w:r w:rsidRPr="00F571ED">
        <w:rPr>
          <w:rFonts w:ascii="Palatino Linotype" w:eastAsia="Palatino Linotype" w:hAnsi="Palatino Linotype" w:cs="Palatino Linotype"/>
          <w:b/>
          <w:color w:val="000000"/>
        </w:rPr>
        <w:t>SUJETO</w:t>
      </w:r>
      <w:r w:rsidRPr="00F571ED">
        <w:rPr>
          <w:rFonts w:ascii="Palatino Linotype" w:eastAsia="Palatino Linotype" w:hAnsi="Palatino Linotype" w:cs="Palatino Linotype"/>
          <w:color w:val="000000"/>
        </w:rPr>
        <w:t xml:space="preserve"> </w:t>
      </w:r>
      <w:r w:rsidRPr="00F571ED">
        <w:rPr>
          <w:rFonts w:ascii="Palatino Linotype" w:eastAsia="Palatino Linotype" w:hAnsi="Palatino Linotype" w:cs="Palatino Linotype"/>
          <w:b/>
          <w:color w:val="000000"/>
        </w:rPr>
        <w:t>OBLIGADO</w:t>
      </w:r>
      <w:r w:rsidRPr="00F571ED">
        <w:rPr>
          <w:rFonts w:ascii="Palatino Linotype" w:eastAsia="Palatino Linotype" w:hAnsi="Palatino Linotype" w:cs="Palatino Linotype"/>
          <w:color w:val="000000"/>
        </w:rPr>
        <w:t xml:space="preserve"> con su respuesta ciertamente actualiza la causal de procedencia</w:t>
      </w:r>
      <w:r w:rsidRPr="00F571ED">
        <w:rPr>
          <w:rFonts w:ascii="Palatino Linotype" w:eastAsia="Palatino Linotype" w:hAnsi="Palatino Linotype" w:cs="Palatino Linotype"/>
          <w:b/>
          <w:color w:val="000000"/>
        </w:rPr>
        <w:t xml:space="preserve"> </w:t>
      </w:r>
      <w:r w:rsidRPr="00F571ED">
        <w:rPr>
          <w:rFonts w:ascii="Palatino Linotype" w:eastAsia="Palatino Linotype" w:hAnsi="Palatino Linotype" w:cs="Palatino Linotype"/>
          <w:color w:val="000000"/>
        </w:rPr>
        <w:t xml:space="preserve">antes señalada; asimismo, determinar si se vulnera el derecho de acceso a la información </w:t>
      </w:r>
      <w:r w:rsidRPr="00F571ED">
        <w:rPr>
          <w:rFonts w:ascii="Palatino Linotype" w:eastAsia="Palatino Linotype" w:hAnsi="Palatino Linotype" w:cs="Palatino Linotype"/>
          <w:color w:val="000000"/>
        </w:rPr>
        <w:lastRenderedPageBreak/>
        <w:t>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B04DD5" w:rsidRPr="00F571ED" w:rsidRDefault="00B04DD5" w:rsidP="0049477B">
      <w:pPr>
        <w:pBdr>
          <w:top w:val="nil"/>
          <w:left w:val="nil"/>
          <w:bottom w:val="nil"/>
          <w:right w:val="nil"/>
          <w:between w:val="nil"/>
        </w:pBdr>
        <w:spacing w:line="360" w:lineRule="auto"/>
        <w:rPr>
          <w:rFonts w:ascii="Palatino Linotype" w:eastAsia="Palatino Linotype" w:hAnsi="Palatino Linotype" w:cs="Palatino Linotype"/>
          <w:color w:val="000000"/>
        </w:rPr>
      </w:pPr>
    </w:p>
    <w:p w:rsidR="00B04DD5" w:rsidRPr="00F571ED" w:rsidRDefault="00DA3EFE" w:rsidP="0049477B">
      <w:pPr>
        <w:pStyle w:val="Ttulo2"/>
        <w:spacing w:before="0" w:line="360" w:lineRule="auto"/>
        <w:rPr>
          <w:rFonts w:ascii="Palatino Linotype" w:eastAsia="Palatino Linotype" w:hAnsi="Palatino Linotype" w:cs="Palatino Linotype"/>
          <w:b/>
          <w:color w:val="000000"/>
          <w:sz w:val="24"/>
          <w:szCs w:val="24"/>
        </w:rPr>
      </w:pPr>
      <w:r w:rsidRPr="00F571ED">
        <w:rPr>
          <w:rFonts w:ascii="Palatino Linotype" w:eastAsia="Palatino Linotype" w:hAnsi="Palatino Linotype" w:cs="Palatino Linotype"/>
          <w:b/>
          <w:color w:val="000000"/>
          <w:sz w:val="24"/>
          <w:szCs w:val="24"/>
        </w:rPr>
        <w:t>CUARTO. Del estudio y resolución del estudio</w:t>
      </w:r>
    </w:p>
    <w:p w:rsidR="00B04DD5" w:rsidRPr="00F571ED" w:rsidRDefault="00DA3EFE" w:rsidP="0049477B">
      <w:pPr>
        <w:numPr>
          <w:ilvl w:val="0"/>
          <w:numId w:val="1"/>
        </w:numPr>
        <w:spacing w:line="360" w:lineRule="auto"/>
        <w:ind w:left="0" w:firstLine="0"/>
        <w:jc w:val="both"/>
        <w:rPr>
          <w:rFonts w:ascii="Palatino Linotype" w:eastAsia="Palatino Linotype" w:hAnsi="Palatino Linotype" w:cs="Palatino Linotype"/>
        </w:rPr>
      </w:pPr>
      <w:r w:rsidRPr="00F571ED">
        <w:rPr>
          <w:rFonts w:ascii="Palatino Linotype" w:eastAsia="Palatino Linotype" w:hAnsi="Palatino Linotype" w:cs="Palatino Linotype"/>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w:t>
      </w:r>
      <w:r w:rsidRPr="00F571ED">
        <w:rPr>
          <w:rFonts w:ascii="Palatino Linotype" w:eastAsia="Palatino Linotype" w:hAnsi="Palatino Linotype" w:cs="Palatino Linotype"/>
          <w:color w:val="000000"/>
        </w:rPr>
        <w:t>Transparencia</w:t>
      </w:r>
      <w:r w:rsidRPr="00F571ED">
        <w:rPr>
          <w:rFonts w:ascii="Palatino Linotype" w:eastAsia="Palatino Linotype" w:hAnsi="Palatino Linotype" w:cs="Palatino Linotype"/>
        </w:rPr>
        <w:t xml:space="preserve">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B04DD5" w:rsidRPr="00F571ED" w:rsidRDefault="00B04DD5" w:rsidP="0049477B">
      <w:pPr>
        <w:spacing w:line="360" w:lineRule="auto"/>
        <w:jc w:val="both"/>
        <w:rPr>
          <w:rFonts w:ascii="Palatino Linotype" w:eastAsia="Palatino Linotype" w:hAnsi="Palatino Linotype" w:cs="Palatino Linotype"/>
        </w:rPr>
      </w:pPr>
      <w:bookmarkStart w:id="7" w:name="_heading=h.mxg35osandfm" w:colFirst="0" w:colLast="0"/>
      <w:bookmarkEnd w:id="7"/>
    </w:p>
    <w:p w:rsidR="00B04DD5" w:rsidRPr="00F571ED" w:rsidRDefault="00DA3EFE" w:rsidP="0049477B">
      <w:pPr>
        <w:numPr>
          <w:ilvl w:val="0"/>
          <w:numId w:val="1"/>
        </w:numPr>
        <w:spacing w:line="360" w:lineRule="auto"/>
        <w:ind w:left="0" w:firstLine="0"/>
        <w:jc w:val="both"/>
        <w:rPr>
          <w:rFonts w:ascii="Palatino Linotype" w:eastAsia="Palatino Linotype" w:hAnsi="Palatino Linotype" w:cs="Palatino Linotype"/>
        </w:rPr>
      </w:pPr>
      <w:r w:rsidRPr="00F571ED">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B04DD5" w:rsidRPr="00F571ED" w:rsidRDefault="00B04DD5" w:rsidP="0049477B">
      <w:pPr>
        <w:pBdr>
          <w:top w:val="nil"/>
          <w:left w:val="nil"/>
          <w:bottom w:val="nil"/>
          <w:right w:val="nil"/>
          <w:between w:val="nil"/>
        </w:pBdr>
        <w:spacing w:line="360" w:lineRule="auto"/>
        <w:rPr>
          <w:rFonts w:ascii="Palatino Linotype" w:eastAsia="Palatino Linotype" w:hAnsi="Palatino Linotype" w:cs="Palatino Linotype"/>
          <w:color w:val="000000"/>
        </w:rPr>
      </w:pPr>
    </w:p>
    <w:p w:rsidR="00B04DD5" w:rsidRPr="00F571ED" w:rsidRDefault="00DA3EFE" w:rsidP="0049477B">
      <w:pPr>
        <w:numPr>
          <w:ilvl w:val="0"/>
          <w:numId w:val="1"/>
        </w:numPr>
        <w:spacing w:line="360" w:lineRule="auto"/>
        <w:ind w:left="0" w:firstLine="0"/>
        <w:jc w:val="both"/>
        <w:rPr>
          <w:rFonts w:ascii="Palatino Linotype" w:eastAsia="Palatino Linotype" w:hAnsi="Palatino Linotype" w:cs="Palatino Linotype"/>
        </w:rPr>
      </w:pPr>
      <w:r w:rsidRPr="00F571ED">
        <w:rPr>
          <w:rFonts w:ascii="Palatino Linotype" w:eastAsia="Palatino Linotype" w:hAnsi="Palatino Linotype" w:cs="Palatino Linotype"/>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B04DD5" w:rsidRPr="00F571ED" w:rsidRDefault="00B04DD5" w:rsidP="0049477B">
      <w:pPr>
        <w:pBdr>
          <w:top w:val="nil"/>
          <w:left w:val="nil"/>
          <w:bottom w:val="nil"/>
          <w:right w:val="nil"/>
          <w:between w:val="nil"/>
        </w:pBdr>
        <w:spacing w:line="360" w:lineRule="auto"/>
        <w:rPr>
          <w:rFonts w:ascii="Palatino Linotype" w:eastAsia="Palatino Linotype" w:hAnsi="Palatino Linotype" w:cs="Palatino Linotype"/>
          <w:color w:val="000000"/>
        </w:rPr>
      </w:pP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 xml:space="preserve">Acotado lo anterior, es dable primeramente recordar que el motivo de inconformidad versa sobre la entrega o puesta a disposición de lo solicitado en consulta directa ya que a decir del </w:t>
      </w:r>
      <w:r w:rsidRPr="00F571ED">
        <w:rPr>
          <w:rFonts w:ascii="Palatino Linotype" w:eastAsia="Palatino Linotype" w:hAnsi="Palatino Linotype" w:cs="Palatino Linotype"/>
          <w:b/>
          <w:color w:val="000000"/>
        </w:rPr>
        <w:t>SUJETO OBLIGADO</w:t>
      </w:r>
      <w:r w:rsidRPr="00F571ED">
        <w:rPr>
          <w:rFonts w:ascii="Palatino Linotype" w:eastAsia="Palatino Linotype" w:hAnsi="Palatino Linotype" w:cs="Palatino Linotype"/>
          <w:color w:val="000000"/>
        </w:rPr>
        <w:t xml:space="preserve"> se actualiza el cambio de modalidad de entrega de la información, derivado de diversos factores como lo es el volumen que integra la totalidad del soporte documental solicitado, una imposibilidad técnica como lo es el contar un escáner en el que si bien es funcional, realiza su función </w:t>
      </w:r>
      <w:r w:rsidRPr="00F571ED">
        <w:rPr>
          <w:rFonts w:ascii="Palatino Linotype" w:eastAsia="Palatino Linotype" w:hAnsi="Palatino Linotype" w:cs="Palatino Linotype"/>
          <w:i/>
          <w:color w:val="000000"/>
        </w:rPr>
        <w:t xml:space="preserve">hoja por hoja </w:t>
      </w:r>
      <w:r w:rsidRPr="00F571ED">
        <w:rPr>
          <w:rFonts w:ascii="Palatino Linotype" w:eastAsia="Palatino Linotype" w:hAnsi="Palatino Linotype" w:cs="Palatino Linotype"/>
          <w:color w:val="000000"/>
        </w:rPr>
        <w:t>y, finalmente la tarea que implica la elaboración de versiones públicas.</w:t>
      </w:r>
    </w:p>
    <w:p w:rsidR="00B04DD5" w:rsidRPr="00F571ED" w:rsidRDefault="00B04DD5" w:rsidP="0049477B">
      <w:pPr>
        <w:pBdr>
          <w:top w:val="nil"/>
          <w:left w:val="nil"/>
          <w:bottom w:val="nil"/>
          <w:right w:val="nil"/>
          <w:between w:val="nil"/>
        </w:pBdr>
        <w:spacing w:line="360" w:lineRule="auto"/>
        <w:rPr>
          <w:rFonts w:ascii="Palatino Linotype" w:eastAsia="Palatino Linotype" w:hAnsi="Palatino Linotype" w:cs="Palatino Linotype"/>
          <w:color w:val="000000"/>
        </w:rPr>
      </w:pPr>
    </w:p>
    <w:p w:rsidR="00B04DD5" w:rsidRPr="00F571ED" w:rsidRDefault="00B04DD5" w:rsidP="0049477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04DD5" w:rsidRPr="00F571ED" w:rsidRDefault="00B04DD5" w:rsidP="0049477B">
      <w:pPr>
        <w:pBdr>
          <w:top w:val="nil"/>
          <w:left w:val="nil"/>
          <w:bottom w:val="nil"/>
          <w:right w:val="nil"/>
          <w:between w:val="nil"/>
        </w:pBdr>
        <w:spacing w:line="360" w:lineRule="auto"/>
        <w:rPr>
          <w:rFonts w:ascii="Palatino Linotype" w:eastAsia="Palatino Linotype" w:hAnsi="Palatino Linotype" w:cs="Palatino Linotype"/>
          <w:color w:val="000000"/>
        </w:rPr>
      </w:pP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lastRenderedPageBreak/>
        <w:t xml:space="preserve">Al respecto, se advierte que corresponde a una determinación del </w:t>
      </w:r>
      <w:r w:rsidRPr="00F571ED">
        <w:rPr>
          <w:rFonts w:ascii="Palatino Linotype" w:eastAsia="Palatino Linotype" w:hAnsi="Palatino Linotype" w:cs="Palatino Linotype"/>
          <w:b/>
          <w:color w:val="000000"/>
        </w:rPr>
        <w:t>SUJETO OBLIGADO</w:t>
      </w:r>
      <w:r w:rsidRPr="00F571ED">
        <w:rPr>
          <w:rFonts w:ascii="Palatino Linotype" w:eastAsia="Palatino Linotype" w:hAnsi="Palatino Linotype" w:cs="Palatino Linotype"/>
          <w:color w:val="000000"/>
        </w:rPr>
        <w:t xml:space="preserve"> unilateral sin que para tal efecto se sustentara el procedimiento conforme a lo establecido en la Ley de la Materia.</w:t>
      </w:r>
    </w:p>
    <w:p w:rsidR="00B04DD5" w:rsidRPr="00F571ED" w:rsidRDefault="00B04DD5" w:rsidP="0049477B">
      <w:pPr>
        <w:spacing w:line="360" w:lineRule="auto"/>
        <w:jc w:val="both"/>
        <w:rPr>
          <w:rFonts w:ascii="Palatino Linotype" w:eastAsia="Palatino Linotype" w:hAnsi="Palatino Linotype" w:cs="Palatino Linotype"/>
          <w:i/>
        </w:rPr>
      </w:pP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En virtud que de la propia respuesta se desprende que resulta improcedente un cambio de modalidad diverso del elegido por el solicitante; toda vez que como se tuvo a bien manifestar en la contestación primigenia y confirmado de manera posterior en calidad de informe justificado, el soporte documental solicitado consta  2115 (dos mil ciento quince) fojas. Volumen que no resulta suficiente para sustentar un cambio de modalidad.</w:t>
      </w:r>
    </w:p>
    <w:p w:rsidR="00B04DD5" w:rsidRPr="00F571ED" w:rsidRDefault="00B04DD5" w:rsidP="0049477B">
      <w:pPr>
        <w:pBdr>
          <w:top w:val="nil"/>
          <w:left w:val="nil"/>
          <w:bottom w:val="nil"/>
          <w:right w:val="nil"/>
          <w:between w:val="nil"/>
        </w:pBdr>
        <w:spacing w:line="360" w:lineRule="auto"/>
        <w:rPr>
          <w:rFonts w:ascii="Palatino Linotype" w:eastAsia="Palatino Linotype" w:hAnsi="Palatino Linotype" w:cs="Palatino Linotype"/>
          <w:color w:val="000000"/>
        </w:rPr>
      </w:pP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F571ED">
        <w:rPr>
          <w:rFonts w:ascii="Palatino Linotype" w:eastAsia="Palatino Linotype" w:hAnsi="Palatino Linotype" w:cs="Palatino Linotype"/>
          <w:color w:val="000000"/>
        </w:rPr>
        <w:t xml:space="preserve">Para comprobar lo anterior, se solicitó a la Dirección de Informática de este Instituto, informara si la </w:t>
      </w:r>
      <w:r w:rsidRPr="00F571ED">
        <w:rPr>
          <w:rFonts w:ascii="Palatino Linotype" w:eastAsia="Palatino Linotype" w:hAnsi="Palatino Linotype" w:cs="Palatino Linotype"/>
          <w:b/>
          <w:color w:val="000000"/>
        </w:rPr>
        <w:t>Secretaría de Movilidad</w:t>
      </w:r>
      <w:r w:rsidRPr="00F571ED">
        <w:rPr>
          <w:rFonts w:ascii="Palatino Linotype" w:eastAsia="Palatino Linotype" w:hAnsi="Palatino Linotype" w:cs="Palatino Linotype"/>
          <w:color w:val="000000"/>
        </w:rPr>
        <w:t>, realizó el reporte de incidencia correspondiente e, informara de la capacidad que soporta el SAIMEX,  como se muestra a continuación:</w:t>
      </w:r>
    </w:p>
    <w:p w:rsidR="00B04DD5" w:rsidRPr="00F571ED" w:rsidRDefault="00B04DD5" w:rsidP="0049477B">
      <w:pPr>
        <w:pBdr>
          <w:top w:val="nil"/>
          <w:left w:val="nil"/>
          <w:bottom w:val="nil"/>
          <w:right w:val="nil"/>
          <w:between w:val="nil"/>
        </w:pBdr>
        <w:spacing w:line="360" w:lineRule="auto"/>
        <w:rPr>
          <w:rFonts w:ascii="Palatino Linotype" w:eastAsia="Palatino Linotype" w:hAnsi="Palatino Linotype" w:cs="Palatino Linotype"/>
          <w:b/>
          <w:color w:val="000000"/>
        </w:rPr>
      </w:pPr>
    </w:p>
    <w:p w:rsidR="00B04DD5" w:rsidRPr="00F571ED" w:rsidRDefault="00DA3EFE" w:rsidP="0049477B">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F571ED">
        <w:rPr>
          <w:rFonts w:ascii="Palatino Linotype" w:eastAsia="Palatino Linotype" w:hAnsi="Palatino Linotype" w:cs="Palatino Linotype"/>
          <w:b/>
          <w:noProof/>
          <w:color w:val="000000"/>
          <w:lang w:val="es-MX"/>
        </w:rPr>
        <w:drawing>
          <wp:inline distT="0" distB="0" distL="0" distR="0">
            <wp:extent cx="5311140" cy="1881505"/>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311140" cy="1881505"/>
                    </a:xfrm>
                    <a:prstGeom prst="rect">
                      <a:avLst/>
                    </a:prstGeom>
                    <a:ln/>
                  </pic:spPr>
                </pic:pic>
              </a:graphicData>
            </a:graphic>
          </wp:inline>
        </w:drawing>
      </w:r>
    </w:p>
    <w:p w:rsidR="00B04DD5" w:rsidRPr="00F571ED" w:rsidRDefault="00DA3EFE" w:rsidP="0049477B">
      <w:pPr>
        <w:pBdr>
          <w:top w:val="nil"/>
          <w:left w:val="nil"/>
          <w:bottom w:val="nil"/>
          <w:right w:val="nil"/>
          <w:between w:val="nil"/>
        </w:pBdr>
        <w:spacing w:line="360" w:lineRule="auto"/>
        <w:rPr>
          <w:rFonts w:ascii="Palatino Linotype" w:eastAsia="Palatino Linotype" w:hAnsi="Palatino Linotype" w:cs="Palatino Linotype"/>
          <w:b/>
        </w:rPr>
      </w:pPr>
      <w:r w:rsidRPr="00F571ED">
        <w:rPr>
          <w:rFonts w:ascii="Palatino Linotype" w:eastAsia="Palatino Linotype" w:hAnsi="Palatino Linotype" w:cs="Palatino Linotype"/>
          <w:b/>
          <w:noProof/>
          <w:lang w:val="es-MX"/>
        </w:rPr>
        <w:lastRenderedPageBreak/>
        <w:drawing>
          <wp:inline distT="0" distB="0" distL="0" distR="0">
            <wp:extent cx="5327044" cy="1170377"/>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327044" cy="1170377"/>
                    </a:xfrm>
                    <a:prstGeom prst="rect">
                      <a:avLst/>
                    </a:prstGeom>
                    <a:ln/>
                  </pic:spPr>
                </pic:pic>
              </a:graphicData>
            </a:graphic>
          </wp:inline>
        </w:drawing>
      </w:r>
    </w:p>
    <w:p w:rsidR="00B04DD5" w:rsidRPr="00F571ED" w:rsidRDefault="00B04DD5" w:rsidP="0049477B">
      <w:pPr>
        <w:spacing w:line="360" w:lineRule="auto"/>
        <w:jc w:val="both"/>
        <w:rPr>
          <w:rFonts w:ascii="Palatino Linotype" w:eastAsia="Palatino Linotype" w:hAnsi="Palatino Linotype" w:cs="Palatino Linotype"/>
          <w:i/>
        </w:rPr>
      </w:pP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 xml:space="preserve">Expuesto lo anterior, se debe de mencionar que respecto al cambio de modalidad el artículo 155, fracción V, de la Ley de Transparencia y Acceso a la Información Pública del Estado de México y Municipios, precisa que para presentar una solicitud, el particular podrá señalar </w:t>
      </w:r>
      <w:r w:rsidRPr="00F571ED">
        <w:rPr>
          <w:rFonts w:ascii="Palatino Linotype" w:eastAsia="Palatino Linotype" w:hAnsi="Palatino Linotype" w:cs="Palatino Linotype"/>
          <w:b/>
          <w:color w:val="000000"/>
        </w:rPr>
        <w:t>la modalidad en la que prefiere se otorgue el acceso a la información</w:t>
      </w:r>
      <w:r w:rsidRPr="00F571ED">
        <w:rPr>
          <w:rFonts w:ascii="Palatino Linotype" w:eastAsia="Palatino Linotype" w:hAnsi="Palatino Linotype" w:cs="Palatino Linotype"/>
          <w:color w:val="000000"/>
        </w:rPr>
        <w:t>, la cual podrá ser verbal, siempre y cuando sea para fines de orientación, mediante consulta directa, mediante la expedición de copias simples o certificadas o la reproducción en cualquier otro medio, incluidos los electrónicos.</w:t>
      </w:r>
    </w:p>
    <w:p w:rsidR="00B04DD5" w:rsidRPr="00F571ED" w:rsidRDefault="00B04DD5" w:rsidP="0049477B">
      <w:pPr>
        <w:spacing w:line="360" w:lineRule="auto"/>
        <w:jc w:val="both"/>
        <w:rPr>
          <w:rFonts w:ascii="Palatino Linotype" w:eastAsia="Palatino Linotype" w:hAnsi="Palatino Linotype" w:cs="Palatino Linotype"/>
        </w:rPr>
      </w:pP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F571ED">
        <w:rPr>
          <w:rFonts w:ascii="Palatino Linotype" w:eastAsia="Palatino Linotype" w:hAnsi="Palatino Linotype" w:cs="Palatino Linotype"/>
          <w:color w:val="000000"/>
        </w:rPr>
        <w:t xml:space="preserve">El artículo 158, dispone que, de manera excepcional, cuando de manera fundada y motivada lo determine el Sujeto Obligado, </w:t>
      </w:r>
      <w:r w:rsidRPr="00F571ED">
        <w:rPr>
          <w:rFonts w:ascii="Palatino Linotype" w:eastAsia="Palatino Linotype" w:hAnsi="Palatino Linotype" w:cs="Palatino Linotype"/>
          <w:b/>
          <w:color w:val="000000"/>
        </w:rPr>
        <w:t>en los casos en que la entrega de la información que se encuentre a su disposición, sobrepase las capacidades técnicas, administrativas y humanas del Sujeto Obligado para cumplir con la solicitud,  podrá poner a disposición del solicitante la información en consulta directa.</w:t>
      </w:r>
    </w:p>
    <w:p w:rsidR="00B04DD5" w:rsidRPr="00F571ED" w:rsidRDefault="00B04DD5" w:rsidP="0049477B">
      <w:pPr>
        <w:pBdr>
          <w:top w:val="nil"/>
          <w:left w:val="nil"/>
          <w:bottom w:val="nil"/>
          <w:right w:val="nil"/>
          <w:between w:val="nil"/>
        </w:pBdr>
        <w:spacing w:line="360" w:lineRule="auto"/>
        <w:jc w:val="both"/>
        <w:rPr>
          <w:rFonts w:ascii="Palatino Linotype" w:eastAsia="Palatino Linotype" w:hAnsi="Palatino Linotype" w:cs="Palatino Linotype"/>
          <w:b/>
        </w:rPr>
      </w:pP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 xml:space="preserve">En ese orden de ideas, el artículo 164 de dicho ordenamiento jurídico, prevé que el acceso se dará en la modalidad de entrega y, en su caso, de envío elegidos por al solicitante. </w:t>
      </w:r>
      <w:r w:rsidRPr="00F571ED">
        <w:rPr>
          <w:rFonts w:ascii="Palatino Linotype" w:eastAsia="Palatino Linotype" w:hAnsi="Palatino Linotype" w:cs="Palatino Linotype"/>
          <w:b/>
          <w:color w:val="000000"/>
        </w:rPr>
        <w:t xml:space="preserve">Cuando la información no pueda entregarse o enviarse en la modalidad elegida, el </w:t>
      </w:r>
      <w:r w:rsidRPr="00F571ED">
        <w:rPr>
          <w:rFonts w:ascii="Palatino Linotype" w:eastAsia="Palatino Linotype" w:hAnsi="Palatino Linotype" w:cs="Palatino Linotype"/>
          <w:b/>
          <w:color w:val="000000"/>
        </w:rPr>
        <w:lastRenderedPageBreak/>
        <w:t>sujeto obligado deberá ofrecer otra u otras modalidades de entrega.</w:t>
      </w:r>
      <w:r w:rsidRPr="00F571ED">
        <w:rPr>
          <w:rFonts w:ascii="Palatino Linotype" w:eastAsia="Palatino Linotype" w:hAnsi="Palatino Linotype" w:cs="Palatino Linotype"/>
          <w:color w:val="000000"/>
        </w:rPr>
        <w:t xml:space="preserve"> En cualquier caso, </w:t>
      </w:r>
      <w:r w:rsidRPr="00F571ED">
        <w:rPr>
          <w:rFonts w:ascii="Palatino Linotype" w:eastAsia="Palatino Linotype" w:hAnsi="Palatino Linotype" w:cs="Palatino Linotype"/>
          <w:b/>
          <w:color w:val="000000"/>
        </w:rPr>
        <w:t>se deberá fundar y motivar</w:t>
      </w:r>
      <w:r w:rsidRPr="00F571ED">
        <w:rPr>
          <w:rFonts w:ascii="Palatino Linotype" w:eastAsia="Palatino Linotype" w:hAnsi="Palatino Linotype" w:cs="Palatino Linotype"/>
          <w:color w:val="000000"/>
        </w:rPr>
        <w:t xml:space="preserve"> la necesidad de ofrecer otras modalidades.</w:t>
      </w:r>
    </w:p>
    <w:p w:rsidR="00B04DD5" w:rsidRPr="00F571ED" w:rsidRDefault="00B04DD5" w:rsidP="0049477B">
      <w:pPr>
        <w:spacing w:line="360" w:lineRule="auto"/>
        <w:jc w:val="both"/>
        <w:rPr>
          <w:rFonts w:ascii="Palatino Linotype" w:eastAsia="Palatino Linotype" w:hAnsi="Palatino Linotype" w:cs="Palatino Linotype"/>
        </w:rPr>
      </w:pP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F571ED">
        <w:rPr>
          <w:rFonts w:ascii="Palatino Linotype" w:eastAsia="Palatino Linotype" w:hAnsi="Palatino Linotype" w:cs="Palatino Linotype"/>
          <w:b/>
          <w:color w:val="000000"/>
        </w:rPr>
        <w:t>en la medida de lo posible, en la forma solicitada por el interesado, salvo que exista un impedimento justificado para atenderla</w:t>
      </w:r>
      <w:r w:rsidRPr="00F571ED">
        <w:rPr>
          <w:rFonts w:ascii="Palatino Linotype" w:eastAsia="Palatino Linotype" w:hAnsi="Palatino Linotype" w:cs="Palatino Linotype"/>
          <w:color w:val="000000"/>
        </w:rPr>
        <w:t xml:space="preserve">, en cuyo caso, deberán exponerse las razones por las cuales no es posible utilizar el medio de reproducción solicitado; en este sentido, la entrega de la información en una modalidad distinta a la elegida por la particular </w:t>
      </w:r>
      <w:r w:rsidRPr="00F571ED">
        <w:rPr>
          <w:rFonts w:ascii="Palatino Linotype" w:eastAsia="Palatino Linotype" w:hAnsi="Palatino Linotype" w:cs="Palatino Linotype"/>
          <w:b/>
          <w:color w:val="000000"/>
        </w:rPr>
        <w:t>sólo procede, en caso de que se acredite la imposibilidad de atenderla.</w:t>
      </w:r>
      <w:r w:rsidRPr="00F571ED">
        <w:rPr>
          <w:rFonts w:ascii="Palatino Linotype" w:eastAsia="Palatino Linotype" w:hAnsi="Palatino Linotype" w:cs="Palatino Linotype"/>
          <w:color w:val="000000"/>
        </w:rPr>
        <w:t xml:space="preserve"> </w:t>
      </w:r>
    </w:p>
    <w:p w:rsidR="00B04DD5" w:rsidRPr="00F571ED" w:rsidRDefault="00B04DD5" w:rsidP="0049477B">
      <w:pPr>
        <w:pBdr>
          <w:top w:val="nil"/>
          <w:left w:val="nil"/>
          <w:bottom w:val="nil"/>
          <w:right w:val="nil"/>
          <w:between w:val="nil"/>
        </w:pBdr>
        <w:spacing w:line="360" w:lineRule="auto"/>
        <w:jc w:val="both"/>
        <w:rPr>
          <w:rFonts w:ascii="Palatino Linotype" w:eastAsia="Palatino Linotype" w:hAnsi="Palatino Linotype" w:cs="Palatino Linotype"/>
        </w:rPr>
      </w:pP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Así, cuando se justifique el impedimento, los Sujetos Obligados deberán ofrecer al</w:t>
      </w:r>
      <w:r w:rsidRPr="00F571ED">
        <w:rPr>
          <w:rFonts w:ascii="Palatino Linotype" w:eastAsia="Palatino Linotype" w:hAnsi="Palatino Linotype" w:cs="Palatino Linotype"/>
          <w:b/>
          <w:color w:val="000000"/>
        </w:rPr>
        <w:t xml:space="preserve"> particular otras </w:t>
      </w:r>
      <w:r w:rsidRPr="00F571ED">
        <w:rPr>
          <w:rFonts w:ascii="Palatino Linotype" w:eastAsia="Palatino Linotype" w:hAnsi="Palatino Linotype" w:cs="Palatino Linotype"/>
          <w:color w:val="000000"/>
        </w:rPr>
        <w:t>modalidades</w:t>
      </w:r>
      <w:r w:rsidRPr="00F571ED">
        <w:rPr>
          <w:rFonts w:ascii="Palatino Linotype" w:eastAsia="Palatino Linotype" w:hAnsi="Palatino Linotype" w:cs="Palatino Linotype"/>
          <w:b/>
          <w:color w:val="000000"/>
        </w:rPr>
        <w:t xml:space="preserve"> de entrega que permita la información</w:t>
      </w:r>
      <w:r w:rsidRPr="00F571ED">
        <w:rPr>
          <w:rFonts w:ascii="Palatino Linotype" w:eastAsia="Palatino Linotype" w:hAnsi="Palatino Linotype" w:cs="Palatino Linotype"/>
          <w:color w:val="000000"/>
        </w:rPr>
        <w:t>, como consulta directa en las oficinas de la Unidad de Transparencia; lo anterior, es robustecido con el Criterio 08/17, emitido por el Pleno del Instituto Nacional de Transparencia, Acceso a la Información y Protección de Datos Personales, vigente a la fecha de la solicitud de información, el cual establece lo siguiente:</w:t>
      </w:r>
    </w:p>
    <w:p w:rsidR="00B04DD5" w:rsidRPr="00F571ED" w:rsidRDefault="00DA3EFE" w:rsidP="0049477B">
      <w:pPr>
        <w:spacing w:line="360" w:lineRule="auto"/>
        <w:jc w:val="both"/>
        <w:rPr>
          <w:rFonts w:ascii="Palatino Linotype" w:eastAsia="Palatino Linotype" w:hAnsi="Palatino Linotype" w:cs="Palatino Linotype"/>
          <w:i/>
        </w:rPr>
      </w:pPr>
      <w:r w:rsidRPr="00F571ED">
        <w:rPr>
          <w:rFonts w:ascii="Palatino Linotype" w:eastAsia="Palatino Linotype" w:hAnsi="Palatino Linotype" w:cs="Palatino Linotype"/>
          <w:b/>
          <w:i/>
        </w:rPr>
        <w:t>“Modalidad de entrega. Procedencia de proporcionar la información solicitada en una diversa a la elegida por el solicitante.</w:t>
      </w:r>
      <w:r w:rsidRPr="00F571ED">
        <w:rPr>
          <w:rFonts w:ascii="Palatino Linotype" w:eastAsia="Palatino Linotype" w:hAnsi="Palatino Linotype" w:cs="Palatino Linotype"/>
          <w:i/>
        </w:rPr>
        <w:t xml:space="preserve"> De una interpretación a los artículos 133 de la Ley General de Transparencia y Acceso a la Información Pública y 136 de la Ley Federal de Transparencia y Acceso a la Información Pública, cuando no sea posible atender la modalidad </w:t>
      </w:r>
      <w:r w:rsidRPr="00F571ED">
        <w:rPr>
          <w:rFonts w:ascii="Palatino Linotype" w:eastAsia="Palatino Linotype" w:hAnsi="Palatino Linotype" w:cs="Palatino Linotype"/>
          <w:i/>
        </w:rPr>
        <w:lastRenderedPageBreak/>
        <w:t>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00B04DD5" w:rsidRPr="00F571ED" w:rsidRDefault="00B04DD5" w:rsidP="0049477B">
      <w:pPr>
        <w:spacing w:line="360" w:lineRule="auto"/>
        <w:jc w:val="both"/>
        <w:rPr>
          <w:rFonts w:ascii="Palatino Linotype" w:eastAsia="Palatino Linotype" w:hAnsi="Palatino Linotype" w:cs="Palatino Linotype"/>
        </w:rPr>
      </w:pP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F571ED">
        <w:rPr>
          <w:rFonts w:ascii="Palatino Linotype" w:eastAsia="Palatino Linotype" w:hAnsi="Palatino Linotype" w:cs="Palatino Linotype"/>
          <w:color w:val="000000"/>
        </w:rPr>
        <w:t>Del citado criterio, se desprende que cuando no sea posible atender la modalidad elegida por los solicitantes, la obligación de acceso a la información se tendrá por cumplida cuando el Sujeto Obligado justifique el impedimento para atender la misma y se notifique al particular la puesta a disposición de la información en todas las modalidades que lo permitan, procurando reducir los costos de entrega.</w:t>
      </w:r>
    </w:p>
    <w:p w:rsidR="00B04DD5" w:rsidRPr="00F571ED" w:rsidRDefault="00B04DD5" w:rsidP="0049477B">
      <w:pPr>
        <w:spacing w:line="360" w:lineRule="auto"/>
        <w:jc w:val="both"/>
        <w:rPr>
          <w:rFonts w:ascii="Palatino Linotype" w:eastAsia="Palatino Linotype" w:hAnsi="Palatino Linotype" w:cs="Palatino Linotype"/>
          <w:b/>
        </w:rPr>
      </w:pP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Además, según Calero, Natalia (2016), en la “Ley General de Transparencia y Acceso a la Información Pública Comentada”,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rsidR="00B04DD5" w:rsidRPr="00F571ED" w:rsidRDefault="00DA3EFE" w:rsidP="0077689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Las razones por las cuales la información implicaba un análisis, estudio o procesamiento de datos;</w:t>
      </w:r>
    </w:p>
    <w:p w:rsidR="00B04DD5" w:rsidRPr="00F571ED" w:rsidRDefault="00DA3EFE" w:rsidP="0077689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El tiempo no es suficiente para atender la solicitud en la modalidad elegida, y</w:t>
      </w:r>
    </w:p>
    <w:p w:rsidR="00B04DD5" w:rsidRPr="00F571ED" w:rsidRDefault="00DA3EFE" w:rsidP="00776890">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La cantidad de recursos humanos y materiales con los que cuenta el Sujeto Obligado son insuficientes.</w:t>
      </w:r>
    </w:p>
    <w:p w:rsidR="00B04DD5" w:rsidRPr="00F571ED" w:rsidRDefault="00B04DD5" w:rsidP="0049477B">
      <w:pPr>
        <w:spacing w:line="360" w:lineRule="auto"/>
        <w:jc w:val="both"/>
        <w:rPr>
          <w:rFonts w:ascii="Palatino Linotype" w:eastAsia="Palatino Linotype" w:hAnsi="Palatino Linotype" w:cs="Palatino Linotype"/>
          <w:b/>
          <w:color w:val="000000"/>
        </w:rPr>
      </w:pP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F571ED">
        <w:rPr>
          <w:rFonts w:ascii="Palatino Linotype" w:eastAsia="Palatino Linotype" w:hAnsi="Palatino Linotype" w:cs="Palatino Linotype"/>
          <w:color w:val="000000"/>
        </w:rPr>
        <w:lastRenderedPageBreak/>
        <w:t xml:space="preserve">Luego entonces, resulta evidente que no se acreditó la imposibilidad para proporcionar la información a través del Sistema de Acceso a la Información Mexiquense, no solo por no realizar el reporte de incidencia correspondiente ante la Dirección General de Informática de este Instituto como </w:t>
      </w:r>
      <w:r w:rsidRPr="00F571ED">
        <w:rPr>
          <w:rFonts w:ascii="Palatino Linotype" w:eastAsia="Palatino Linotype" w:hAnsi="Palatino Linotype" w:cs="Palatino Linotype"/>
        </w:rPr>
        <w:t>quedó</w:t>
      </w:r>
      <w:r w:rsidRPr="00F571ED">
        <w:rPr>
          <w:rFonts w:ascii="Palatino Linotype" w:eastAsia="Palatino Linotype" w:hAnsi="Palatino Linotype" w:cs="Palatino Linotype"/>
          <w:color w:val="000000"/>
        </w:rPr>
        <w:t xml:space="preserve"> demostrado en las anteriores captures; sino que</w:t>
      </w:r>
      <w:r w:rsidRPr="00F571ED">
        <w:rPr>
          <w:rFonts w:ascii="Palatino Linotype" w:eastAsia="Palatino Linotype" w:hAnsi="Palatino Linotype" w:cs="Palatino Linotype"/>
          <w:b/>
          <w:color w:val="000000"/>
        </w:rPr>
        <w:t xml:space="preserve"> </w:t>
      </w:r>
      <w:r w:rsidRPr="00F571ED">
        <w:rPr>
          <w:rFonts w:ascii="Palatino Linotype" w:eastAsia="Palatino Linotype" w:hAnsi="Palatino Linotype" w:cs="Palatino Linotype"/>
          <w:color w:val="000000"/>
        </w:rPr>
        <w:t xml:space="preserve">omitió ponerla a disposición en todas las modalidades posibles –suponiendo sin conceder fuera procedente– como de manera enunciativa </w:t>
      </w:r>
      <w:r w:rsidRPr="00F571ED">
        <w:rPr>
          <w:rFonts w:ascii="Palatino Linotype" w:eastAsia="Palatino Linotype" w:hAnsi="Palatino Linotype" w:cs="Palatino Linotype"/>
        </w:rPr>
        <w:t>más</w:t>
      </w:r>
      <w:r w:rsidRPr="00F571ED">
        <w:rPr>
          <w:rFonts w:ascii="Palatino Linotype" w:eastAsia="Palatino Linotype" w:hAnsi="Palatino Linotype" w:cs="Palatino Linotype"/>
          <w:color w:val="000000"/>
        </w:rPr>
        <w:t xml:space="preserve"> no limitativa lo son: la entrega a través de un dispositivo USB o disco duro extraíble, sin costo si la persona solicitante los proporciona; correo certificado, previo pago de los costos de reproducción y envío, así como habilitar una liga electrónica en una plataforma electrónica de almacenamiento, entre otras.</w:t>
      </w:r>
    </w:p>
    <w:p w:rsidR="00B04DD5" w:rsidRPr="00F571ED" w:rsidRDefault="00B04DD5" w:rsidP="0049477B">
      <w:pPr>
        <w:spacing w:line="360" w:lineRule="auto"/>
        <w:jc w:val="both"/>
        <w:rPr>
          <w:rFonts w:ascii="Palatino Linotype" w:eastAsia="Palatino Linotype" w:hAnsi="Palatino Linotype" w:cs="Palatino Linotype"/>
          <w:b/>
        </w:rPr>
      </w:pP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 xml:space="preserve">Bajo los argumentos expuestos, resulta procedente ordenar al </w:t>
      </w:r>
      <w:r w:rsidRPr="00F571ED">
        <w:rPr>
          <w:rFonts w:ascii="Palatino Linotype" w:eastAsia="Palatino Linotype" w:hAnsi="Palatino Linotype" w:cs="Palatino Linotype"/>
          <w:b/>
          <w:color w:val="000000"/>
        </w:rPr>
        <w:t>SUJETO OBLIGADO</w:t>
      </w:r>
      <w:r w:rsidRPr="00F571ED">
        <w:rPr>
          <w:rFonts w:ascii="Palatino Linotype" w:eastAsia="Palatino Linotype" w:hAnsi="Palatino Linotype" w:cs="Palatino Linotype"/>
          <w:color w:val="000000"/>
        </w:rPr>
        <w:t xml:space="preserve"> poner a disposición de la persona solicitante la información requerida, en la modalidad inicialmente elegida; es decir a través del SAIMEX, dado que no supera las capacidades técnicas del SAIMEX (8,000 hojas); información que la </w:t>
      </w:r>
      <w:r w:rsidRPr="00F571ED">
        <w:rPr>
          <w:rFonts w:ascii="Palatino Linotype" w:eastAsia="Palatino Linotype" w:hAnsi="Palatino Linotype" w:cs="Palatino Linotype"/>
          <w:color w:val="000000"/>
        </w:rPr>
        <w:tab/>
        <w:t xml:space="preserve">Secretaría de Movilidad ya asumió si generó, posee y administra, tan es así que la puso a disposición del ahora </w:t>
      </w:r>
      <w:r w:rsidRPr="00F571ED">
        <w:rPr>
          <w:rFonts w:ascii="Palatino Linotype" w:eastAsia="Palatino Linotype" w:hAnsi="Palatino Linotype" w:cs="Palatino Linotype"/>
          <w:b/>
          <w:color w:val="000000"/>
        </w:rPr>
        <w:t>RECURRENTE,</w:t>
      </w:r>
      <w:r w:rsidRPr="00F571ED">
        <w:rPr>
          <w:rFonts w:ascii="Palatino Linotype" w:eastAsia="Palatino Linotype" w:hAnsi="Palatino Linotype" w:cs="Palatino Linotype"/>
          <w:color w:val="000000"/>
        </w:rPr>
        <w:t xml:space="preserve"> por lo que se estima redundante realizar un análisis pormenorizado de la fuente obligacional de la Secretaría de Movilidad para concluir se genera o posee algo que ya asumió si obra en sus archivos</w:t>
      </w:r>
      <w:r w:rsidRPr="00F571ED">
        <w:rPr>
          <w:rFonts w:ascii="Palatino Linotype" w:eastAsia="Palatino Linotype" w:hAnsi="Palatino Linotype" w:cs="Palatino Linotype"/>
          <w:b/>
          <w:color w:val="000000"/>
        </w:rPr>
        <w:t>;</w:t>
      </w:r>
      <w:r w:rsidRPr="00F571ED">
        <w:rPr>
          <w:rFonts w:ascii="Palatino Linotype" w:eastAsia="Palatino Linotype" w:hAnsi="Palatino Linotype" w:cs="Palatino Linotype"/>
          <w:color w:val="000000"/>
        </w:rPr>
        <w:t xml:space="preserve"> empero si bien es cierto asume que cuenta con lo solicitado no es óbice para realizar las siguientes precisiones.</w:t>
      </w:r>
    </w:p>
    <w:p w:rsidR="00B04DD5" w:rsidRPr="00F571ED" w:rsidRDefault="00B04DD5" w:rsidP="0049477B">
      <w:pPr>
        <w:pBdr>
          <w:top w:val="nil"/>
          <w:left w:val="nil"/>
          <w:bottom w:val="nil"/>
          <w:right w:val="nil"/>
          <w:between w:val="nil"/>
        </w:pBdr>
        <w:spacing w:line="360" w:lineRule="auto"/>
        <w:rPr>
          <w:rFonts w:ascii="Palatino Linotype" w:eastAsia="Palatino Linotype" w:hAnsi="Palatino Linotype" w:cs="Palatino Linotype"/>
          <w:color w:val="000000"/>
        </w:rPr>
      </w:pPr>
    </w:p>
    <w:p w:rsidR="00B04DD5" w:rsidRPr="00776890" w:rsidRDefault="00DA3EFE" w:rsidP="00776890">
      <w:pPr>
        <w:pStyle w:val="Prrafodelista"/>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776890">
        <w:rPr>
          <w:rFonts w:ascii="Palatino Linotype" w:eastAsia="Palatino Linotype" w:hAnsi="Palatino Linotype" w:cs="Palatino Linotype"/>
          <w:color w:val="000000"/>
        </w:rPr>
        <w:t xml:space="preserve">Por otro lado, no pasa desapercibido que la parte solicitante fue enfática en requerir los anexos que pudieran llegar a tener los oficios. Al respecto es de señalar que resulta </w:t>
      </w:r>
      <w:r w:rsidRPr="00776890">
        <w:rPr>
          <w:rFonts w:ascii="Palatino Linotype" w:eastAsia="Palatino Linotype" w:hAnsi="Palatino Linotype" w:cs="Palatino Linotype"/>
          <w:color w:val="000000"/>
        </w:rPr>
        <w:lastRenderedPageBreak/>
        <w:t xml:space="preserve">procedente su entrega por así haberlo manifestado de manera expresa el ahora </w:t>
      </w:r>
      <w:r w:rsidRPr="00776890">
        <w:rPr>
          <w:rFonts w:ascii="Palatino Linotype" w:eastAsia="Palatino Linotype" w:hAnsi="Palatino Linotype" w:cs="Palatino Linotype"/>
          <w:b/>
          <w:color w:val="000000"/>
        </w:rPr>
        <w:t>RECURRENTE</w:t>
      </w:r>
      <w:r w:rsidRPr="00776890">
        <w:rPr>
          <w:rFonts w:ascii="Palatino Linotype" w:eastAsia="Palatino Linotype" w:hAnsi="Palatino Linotype" w:cs="Palatino Linotype"/>
          <w:color w:val="000000"/>
        </w:rPr>
        <w:t xml:space="preserve"> conforme a lo dispuesto por el entonces Instituto Nacional de Transparencia, Acceso a la Información Pública y Protección de Datos (INAI) quien determinó que los anexos se consideran parte del documento y deben ser entregados. Sirve de apoyo a lo anterior los Criterio 20-10 y 17/17 que son del tenor literal siguiente:</w:t>
      </w:r>
    </w:p>
    <w:p w:rsidR="00B04DD5" w:rsidRPr="00F571ED" w:rsidRDefault="00DA3EFE" w:rsidP="0049477B">
      <w:pPr>
        <w:spacing w:line="360" w:lineRule="auto"/>
        <w:jc w:val="both"/>
        <w:rPr>
          <w:rFonts w:ascii="Palatino Linotype" w:eastAsia="Palatino Linotype" w:hAnsi="Palatino Linotype" w:cs="Palatino Linotype"/>
          <w:b/>
          <w:i/>
          <w:color w:val="000000"/>
        </w:rPr>
      </w:pPr>
      <w:r w:rsidRPr="00F571ED">
        <w:rPr>
          <w:rFonts w:ascii="Palatino Linotype" w:eastAsia="Palatino Linotype" w:hAnsi="Palatino Linotype" w:cs="Palatino Linotype"/>
          <w:b/>
          <w:i/>
          <w:color w:val="000000"/>
        </w:rPr>
        <w:t>“Criterio 20/10</w:t>
      </w:r>
    </w:p>
    <w:p w:rsidR="00B04DD5" w:rsidRPr="00F571ED" w:rsidRDefault="00DA3EFE" w:rsidP="0049477B">
      <w:pPr>
        <w:spacing w:line="360" w:lineRule="auto"/>
        <w:jc w:val="both"/>
        <w:rPr>
          <w:rFonts w:ascii="Palatino Linotype" w:eastAsia="Palatino Linotype" w:hAnsi="Palatino Linotype" w:cs="Palatino Linotype"/>
          <w:i/>
          <w:color w:val="000000"/>
        </w:rPr>
      </w:pPr>
      <w:r w:rsidRPr="00F571ED">
        <w:rPr>
          <w:rFonts w:ascii="Palatino Linotype" w:eastAsia="Palatino Linotype" w:hAnsi="Palatino Linotype" w:cs="Palatino Linotype"/>
          <w:b/>
          <w:i/>
          <w:color w:val="000000"/>
        </w:rPr>
        <w:t>Los anexos son parte integral del documento principal.</w:t>
      </w:r>
      <w:r w:rsidRPr="00F571ED">
        <w:rPr>
          <w:rFonts w:ascii="Palatino Linotype" w:eastAsia="Palatino Linotype" w:hAnsi="Palatino Linotype" w:cs="Palatino Linotype"/>
          <w:i/>
          <w:color w:val="000000"/>
        </w:rPr>
        <w:t xml:space="preserve"> Cuando un documento gubernamental contiene anexos éstos se consideran parte del documento, ya que a  partir  de  él  se  explican  o  detallan  diversas  cuestiones  relacionadas  con  la materia del mismo. En esta tesitura, ante solicitudes de información relacionadas con documentos que incluyen anexos, particularmente en aquellas que no aludan expresamente a estos últimos, las dependencias y entidades deberán considerar que las mismas refieren a los documentos requeridos, así como a los anexos correspondientes, salvo que el solicitante manifieste su deseo de acceder únicamente al documento principal.”</w:t>
      </w:r>
    </w:p>
    <w:p w:rsidR="00B04DD5" w:rsidRPr="00F571ED" w:rsidRDefault="00B04DD5" w:rsidP="0049477B">
      <w:pPr>
        <w:spacing w:line="360" w:lineRule="auto"/>
        <w:jc w:val="both"/>
        <w:rPr>
          <w:rFonts w:ascii="Palatino Linotype" w:eastAsia="Palatino Linotype" w:hAnsi="Palatino Linotype" w:cs="Palatino Linotype"/>
          <w:i/>
          <w:color w:val="000000"/>
        </w:rPr>
      </w:pPr>
    </w:p>
    <w:p w:rsidR="00B04DD5" w:rsidRPr="00F571ED" w:rsidRDefault="00DA3EFE" w:rsidP="0049477B">
      <w:pPr>
        <w:spacing w:line="360" w:lineRule="auto"/>
        <w:jc w:val="both"/>
        <w:rPr>
          <w:rFonts w:ascii="Palatino Linotype" w:eastAsia="Palatino Linotype" w:hAnsi="Palatino Linotype" w:cs="Palatino Linotype"/>
          <w:i/>
        </w:rPr>
      </w:pPr>
      <w:r w:rsidRPr="00F571ED">
        <w:rPr>
          <w:rFonts w:ascii="Palatino Linotype" w:eastAsia="Palatino Linotype" w:hAnsi="Palatino Linotype" w:cs="Palatino Linotype"/>
          <w:b/>
          <w:i/>
        </w:rPr>
        <w:t xml:space="preserve">“Anexos de los documentos solicitados. </w:t>
      </w:r>
      <w:r w:rsidRPr="00F571ED">
        <w:rPr>
          <w:rFonts w:ascii="Palatino Linotype" w:eastAsia="Palatino Linotype" w:hAnsi="Palatino Linotype" w:cs="Palatino Linotype"/>
          <w:i/>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rsidR="00B04DD5" w:rsidRPr="00F571ED" w:rsidRDefault="00B04DD5" w:rsidP="0049477B">
      <w:pPr>
        <w:spacing w:line="360" w:lineRule="auto"/>
        <w:jc w:val="both"/>
        <w:rPr>
          <w:rFonts w:ascii="Palatino Linotype" w:eastAsia="Palatino Linotype" w:hAnsi="Palatino Linotype" w:cs="Palatino Linotype"/>
          <w:b/>
        </w:rPr>
      </w:pPr>
    </w:p>
    <w:p w:rsidR="00B04DD5" w:rsidRPr="00F571ED" w:rsidRDefault="00DA3EFE" w:rsidP="0077689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 xml:space="preserve">De lo anterior se desprende que ciertamente es información susceptible de ser entregada al ser una parte esencial del documento principal, ya que proporcionan </w:t>
      </w:r>
      <w:r w:rsidRPr="00F571ED">
        <w:rPr>
          <w:rFonts w:ascii="Palatino Linotype" w:eastAsia="Palatino Linotype" w:hAnsi="Palatino Linotype" w:cs="Palatino Linotype"/>
          <w:color w:val="000000"/>
        </w:rPr>
        <w:lastRenderedPageBreak/>
        <w:t>información detallada y de apoyo que complementa; cuya inclusión garantiza que el documento sea completo, preciso y útil para el solicitante.</w:t>
      </w:r>
    </w:p>
    <w:p w:rsidR="00B04DD5" w:rsidRPr="00F571ED" w:rsidRDefault="00B04DD5" w:rsidP="0049477B">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rsidR="00B04DD5" w:rsidRPr="00F571ED" w:rsidRDefault="00DA3EFE" w:rsidP="00776890">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 xml:space="preserve">Finalmente no pasa desapercibido, que al tratarse de oficios, dada su propia y especial naturaleza, eventualmente no se cuenten con todos al existir la posibilidad de haber sido generados pero posteriormente cancelados y consecuentemente no remitidos a su destinatario. Por lo que de ser el caso que el </w:t>
      </w:r>
      <w:r w:rsidRPr="00F571ED">
        <w:rPr>
          <w:rFonts w:ascii="Palatino Linotype" w:eastAsia="Palatino Linotype" w:hAnsi="Palatino Linotype" w:cs="Palatino Linotype"/>
          <w:b/>
          <w:color w:val="000000"/>
        </w:rPr>
        <w:t>SUJETO OBLIGADO</w:t>
      </w:r>
      <w:r w:rsidRPr="00F571ED">
        <w:rPr>
          <w:rFonts w:ascii="Palatino Linotype" w:eastAsia="Palatino Linotype" w:hAnsi="Palatino Linotype" w:cs="Palatino Linotype"/>
          <w:color w:val="000000"/>
        </w:rPr>
        <w:t xml:space="preserve"> no cuente con algún oficio en razón de haber sido cancelado, deberá de hacerlo del conocimiento del </w:t>
      </w:r>
      <w:r w:rsidRPr="00F571ED">
        <w:rPr>
          <w:rFonts w:ascii="Palatino Linotype" w:eastAsia="Palatino Linotype" w:hAnsi="Palatino Linotype" w:cs="Palatino Linotype"/>
          <w:b/>
          <w:color w:val="000000"/>
        </w:rPr>
        <w:t>RECURRENTE</w:t>
      </w:r>
      <w:r w:rsidRPr="00F571ED">
        <w:rPr>
          <w:rFonts w:ascii="Palatino Linotype" w:eastAsia="Palatino Linotype" w:hAnsi="Palatino Linotype" w:cs="Palatino Linotype"/>
          <w:color w:val="000000"/>
        </w:rPr>
        <w:t xml:space="preserve"> al momento de dar cumplimiento a la presente Resolución en términos del artículo 19 segundo párrafo de la Ley Transparencia y Acceso a la Información Pública del Estado de México y Municipios. Por otro lado respecto del formato </w:t>
      </w:r>
      <w:r w:rsidRPr="00F571ED">
        <w:rPr>
          <w:rFonts w:ascii="Palatino Linotype" w:eastAsia="Palatino Linotype" w:hAnsi="Palatino Linotype" w:cs="Palatino Linotype"/>
        </w:rPr>
        <w:t>específico</w:t>
      </w:r>
      <w:r w:rsidRPr="00F571ED">
        <w:rPr>
          <w:rFonts w:ascii="Palatino Linotype" w:eastAsia="Palatino Linotype" w:hAnsi="Palatino Linotype" w:cs="Palatino Linotype"/>
          <w:color w:val="000000"/>
        </w:rPr>
        <w:t xml:space="preserve"> requerido (PDF), se debe señalar que los sujetos obligados no están compelidos a generar documentos </w:t>
      </w:r>
      <w:r w:rsidRPr="00F571ED">
        <w:rPr>
          <w:rFonts w:ascii="Palatino Linotype" w:eastAsia="Palatino Linotype" w:hAnsi="Palatino Linotype" w:cs="Palatino Linotype"/>
          <w:i/>
          <w:color w:val="000000"/>
        </w:rPr>
        <w:t>ad hoc</w:t>
      </w:r>
      <w:r w:rsidRPr="00F571ED">
        <w:rPr>
          <w:rFonts w:ascii="Palatino Linotype" w:eastAsia="Palatino Linotype" w:hAnsi="Palatino Linotype" w:cs="Palatino Linotype"/>
          <w:color w:val="000000"/>
        </w:rPr>
        <w:t xml:space="preserve"> confirme a los intereses particulares de los solicitantes, por lo cual la información deberá ser entregada además de vía SAIMEX, en el formato que se genere, posea o administre.</w:t>
      </w:r>
    </w:p>
    <w:p w:rsidR="00B04DD5" w:rsidRPr="00F571ED" w:rsidRDefault="00B04DD5" w:rsidP="0049477B">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 xml:space="preserve">Con la determinación anterior quedará por colmado el derecho de acceso a la información del ahora Recurrente; toda vez que el Derecho que tutela este Órgano Garante corresponde a la  </w:t>
      </w:r>
      <w:r w:rsidRPr="00F571ED">
        <w:rPr>
          <w:rFonts w:ascii="Palatino Linotype" w:eastAsia="Palatino Linotype" w:hAnsi="Palatino Linotype" w:cs="Palatino Linotype"/>
          <w:i/>
          <w:color w:val="000000"/>
        </w:rPr>
        <w:t>igualdad de oportunidades para recibir, buscar e impartir información</w:t>
      </w:r>
      <w:r w:rsidRPr="00F571ED">
        <w:rPr>
          <w:rFonts w:ascii="Palatino Linotype" w:eastAsia="Palatino Linotype" w:hAnsi="Palatino Linotype" w:cs="Palatino Linotype"/>
          <w:i/>
          <w:color w:val="000000"/>
          <w:vertAlign w:val="superscript"/>
        </w:rPr>
        <w:footnoteReference w:id="1"/>
      </w:r>
      <w:r w:rsidRPr="00F571ED">
        <w:rPr>
          <w:rFonts w:ascii="Palatino Linotype" w:eastAsia="Palatino Linotype" w:hAnsi="Palatino Linotype" w:cs="Palatino Linotype"/>
          <w:i/>
          <w:color w:val="000000"/>
        </w:rPr>
        <w:t xml:space="preserve"> en posesión de cualquier autoridad, entidad, órgano y organismo de los </w:t>
      </w:r>
      <w:r w:rsidRPr="00F571ED">
        <w:rPr>
          <w:rFonts w:ascii="Palatino Linotype" w:eastAsia="Palatino Linotype" w:hAnsi="Palatino Linotype" w:cs="Palatino Linotype"/>
          <w:color w:val="000000"/>
        </w:rPr>
        <w:t>poderes</w:t>
      </w:r>
      <w:r w:rsidRPr="00F571ED">
        <w:rPr>
          <w:rFonts w:ascii="Palatino Linotype" w:eastAsia="Palatino Linotype" w:hAnsi="Palatino Linotype" w:cs="Palatino Linotype"/>
          <w:i/>
          <w:color w:val="000000"/>
        </w:rPr>
        <w:t xml:space="preserve"> Ejecutivo, Legislativo y Judicial, órganos autónomos, partidos políticos, fideicomisos, y fondos públicos, así como de cualquier persona física, moral o sindicato que reciba y ejerza recursos públicos o realice actos de </w:t>
      </w:r>
      <w:r w:rsidRPr="00F571ED">
        <w:rPr>
          <w:rFonts w:ascii="Palatino Linotype" w:eastAsia="Palatino Linotype" w:hAnsi="Palatino Linotype" w:cs="Palatino Linotype"/>
          <w:i/>
          <w:color w:val="000000"/>
        </w:rPr>
        <w:lastRenderedPageBreak/>
        <w:t>autoridad en el ámbito federal, estatal y municipal</w:t>
      </w:r>
      <w:r w:rsidRPr="00F571ED">
        <w:rPr>
          <w:rFonts w:ascii="Palatino Linotype" w:eastAsia="Palatino Linotype" w:hAnsi="Palatino Linotype" w:cs="Palatino Linotype"/>
          <w:color w:val="000000"/>
          <w:vertAlign w:val="superscript"/>
        </w:rPr>
        <w:footnoteReference w:id="2"/>
      </w:r>
      <w:r w:rsidRPr="00F571ED">
        <w:rPr>
          <w:rFonts w:ascii="Palatino Linotype" w:eastAsia="Palatino Linotype" w:hAnsi="Palatino Linotype" w:cs="Palatino Linotype"/>
          <w:i/>
          <w:color w:val="000000"/>
        </w:rPr>
        <w:t xml:space="preserve"> </w:t>
      </w:r>
      <w:r w:rsidRPr="00F571ED">
        <w:rPr>
          <w:rFonts w:ascii="Palatino Linotype" w:eastAsia="Palatino Linotype" w:hAnsi="Palatino Linotype" w:cs="Palatino Linotype"/>
          <w:color w:val="000000"/>
        </w:rPr>
        <w:t xml:space="preserve">que se constituye como una herramienta fundamental para </w:t>
      </w:r>
      <w:r w:rsidRPr="00F571ED">
        <w:rPr>
          <w:rFonts w:ascii="Palatino Linotype" w:eastAsia="Palatino Linotype" w:hAnsi="Palatino Linotype" w:cs="Palatino Linotype"/>
          <w:i/>
          <w:color w:val="000000"/>
        </w:rPr>
        <w:t>ejercer control democrático de las gestiones estatales, de forma tal que puedan cuestionar, indagar y considerar si se está dando un adecuado cumplimiento de las funciones públicas,</w:t>
      </w:r>
      <w:r w:rsidRPr="00F571ED">
        <w:rPr>
          <w:rFonts w:ascii="Palatino Linotype" w:eastAsia="Palatino Linotype" w:hAnsi="Palatino Linotype" w:cs="Palatino Linotype"/>
          <w:i/>
          <w:color w:val="000000"/>
          <w:vertAlign w:val="superscript"/>
        </w:rPr>
        <w:footnoteReference w:id="3"/>
      </w:r>
      <w:r w:rsidRPr="00F571ED">
        <w:rPr>
          <w:rFonts w:ascii="Palatino Linotype" w:eastAsia="Palatino Linotype" w:hAnsi="Palatino Linotype" w:cs="Palatino Linotype"/>
          <w:color w:val="000000"/>
        </w:rPr>
        <w:t>fomentando</w:t>
      </w:r>
      <w:r w:rsidRPr="00F571ED">
        <w:rPr>
          <w:rFonts w:ascii="Palatino Linotype" w:eastAsia="Palatino Linotype" w:hAnsi="Palatino Linotype" w:cs="Palatino Linotype"/>
          <w:i/>
          <w:color w:val="000000"/>
        </w:rPr>
        <w:t xml:space="preserve"> la transparencia de las actividades estatales y</w:t>
      </w:r>
      <w:r w:rsidRPr="00F571ED">
        <w:rPr>
          <w:rFonts w:ascii="Palatino Linotype" w:eastAsia="Palatino Linotype" w:hAnsi="Palatino Linotype" w:cs="Palatino Linotype"/>
          <w:color w:val="000000"/>
        </w:rPr>
        <w:t xml:space="preserve"> promoviendo</w:t>
      </w:r>
      <w:r w:rsidRPr="00F571ED">
        <w:rPr>
          <w:rFonts w:ascii="Palatino Linotype" w:eastAsia="Palatino Linotype" w:hAnsi="Palatino Linotype" w:cs="Palatino Linotype"/>
          <w:i/>
          <w:color w:val="000000"/>
        </w:rPr>
        <w:t xml:space="preserve"> la responsabilidad de los funcionarios sobre su gestión pública</w:t>
      </w:r>
      <w:r w:rsidRPr="00F571ED">
        <w:rPr>
          <w:rFonts w:ascii="Palatino Linotype" w:eastAsia="Palatino Linotype" w:hAnsi="Palatino Linotype" w:cs="Palatino Linotype"/>
          <w:i/>
          <w:color w:val="000000"/>
          <w:vertAlign w:val="superscript"/>
        </w:rPr>
        <w:footnoteReference w:id="4"/>
      </w:r>
      <w:r w:rsidRPr="00F571ED">
        <w:rPr>
          <w:rFonts w:ascii="Palatino Linotype" w:eastAsia="Palatino Linotype" w:hAnsi="Palatino Linotype" w:cs="Palatino Linotype"/>
          <w:i/>
          <w:color w:val="000000"/>
        </w:rPr>
        <w:t xml:space="preserve"> </w:t>
      </w:r>
      <w:r w:rsidRPr="00F571ED">
        <w:rPr>
          <w:rFonts w:ascii="Palatino Linotype" w:eastAsia="Palatino Linotype" w:hAnsi="Palatino Linotype" w:cs="Palatino Linotype"/>
          <w:color w:val="000000"/>
        </w:rPr>
        <w:t>que permite</w:t>
      </w:r>
      <w:r w:rsidRPr="00F571ED">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r w:rsidRPr="00F571ED">
        <w:rPr>
          <w:rFonts w:ascii="Palatino Linotype" w:eastAsia="Palatino Linotype" w:hAnsi="Palatino Linotype" w:cs="Palatino Linotype"/>
          <w:i/>
          <w:color w:val="000000"/>
          <w:vertAlign w:val="superscript"/>
        </w:rPr>
        <w:footnoteReference w:id="5"/>
      </w:r>
      <w:r w:rsidRPr="00F571ED">
        <w:rPr>
          <w:rFonts w:ascii="Palatino Linotype" w:eastAsia="Palatino Linotype" w:hAnsi="Palatino Linotype" w:cs="Palatino Linotype"/>
          <w:color w:val="000000"/>
        </w:rPr>
        <w:t xml:space="preserve"> ”</w:t>
      </w:r>
    </w:p>
    <w:p w:rsidR="00B04DD5" w:rsidRPr="00F571ED" w:rsidRDefault="00DA3EFE" w:rsidP="0049477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 xml:space="preserve"> </w:t>
      </w: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F571ED">
        <w:rPr>
          <w:rFonts w:ascii="Palatino Linotype" w:eastAsia="Palatino Linotype" w:hAnsi="Palatino Linotype" w:cs="Palatino Linotype"/>
          <w:color w:val="000000"/>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B04DD5" w:rsidRPr="00F571ED" w:rsidRDefault="00DA3EFE" w:rsidP="0049477B">
      <w:pPr>
        <w:spacing w:line="360" w:lineRule="auto"/>
        <w:jc w:val="both"/>
        <w:rPr>
          <w:rFonts w:ascii="Palatino Linotype" w:eastAsia="Palatino Linotype" w:hAnsi="Palatino Linotype" w:cs="Palatino Linotype"/>
          <w:b/>
          <w:i/>
          <w:color w:val="000000"/>
        </w:rPr>
      </w:pPr>
      <w:r w:rsidRPr="00F571ED">
        <w:rPr>
          <w:rFonts w:ascii="Palatino Linotype" w:eastAsia="Palatino Linotype" w:hAnsi="Palatino Linotype" w:cs="Palatino Linotype"/>
          <w:b/>
          <w:i/>
          <w:color w:val="000000"/>
        </w:rPr>
        <w:t>“CRITERIO 0002-11</w:t>
      </w:r>
    </w:p>
    <w:p w:rsidR="00B04DD5" w:rsidRPr="00F571ED" w:rsidRDefault="00DA3EFE" w:rsidP="0049477B">
      <w:pPr>
        <w:spacing w:line="360" w:lineRule="auto"/>
        <w:jc w:val="both"/>
        <w:rPr>
          <w:rFonts w:ascii="Palatino Linotype" w:eastAsia="Palatino Linotype" w:hAnsi="Palatino Linotype" w:cs="Palatino Linotype"/>
          <w:i/>
          <w:color w:val="000000"/>
        </w:rPr>
      </w:pPr>
      <w:r w:rsidRPr="00F571ED">
        <w:rPr>
          <w:rFonts w:ascii="Palatino Linotype" w:eastAsia="Palatino Linotype" w:hAnsi="Palatino Linotype" w:cs="Palatino Linotype"/>
          <w:b/>
          <w:i/>
          <w:color w:val="000000"/>
        </w:rPr>
        <w:t>INFORMACIÓN PÚBLICA, CONCEPTO DE, EN MATERIA DE TRANSPARENCIA. INTERPRETACIÓN TEMÁTICA DE LOS ARTÍCULOS 2, FRACCIÓN V, XV, Y XVI, 3, 4,11 Y 41.</w:t>
      </w:r>
      <w:r w:rsidRPr="00F571ED">
        <w:rPr>
          <w:rFonts w:ascii="Palatino Linotype" w:eastAsia="Palatino Linotype" w:hAnsi="Palatino Linotype" w:cs="Palatino Linotype"/>
          <w:i/>
          <w:color w:val="000000"/>
        </w:rPr>
        <w:t xml:space="preserve"> De conformidad con los artículos antes referidos, el derecho de acceso a la información </w:t>
      </w:r>
      <w:r w:rsidRPr="00F571ED">
        <w:rPr>
          <w:rFonts w:ascii="Palatino Linotype" w:eastAsia="Palatino Linotype" w:hAnsi="Palatino Linotype" w:cs="Palatino Linotype"/>
          <w:i/>
          <w:color w:val="000000"/>
        </w:rPr>
        <w:lastRenderedPageBreak/>
        <w:t>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04DD5" w:rsidRPr="00F571ED" w:rsidRDefault="00DA3EFE" w:rsidP="0049477B">
      <w:pPr>
        <w:spacing w:line="360" w:lineRule="auto"/>
        <w:jc w:val="both"/>
        <w:rPr>
          <w:rFonts w:ascii="Palatino Linotype" w:eastAsia="Palatino Linotype" w:hAnsi="Palatino Linotype" w:cs="Palatino Linotype"/>
          <w:i/>
          <w:color w:val="000000"/>
        </w:rPr>
      </w:pPr>
      <w:r w:rsidRPr="00F571ED">
        <w:rPr>
          <w:rFonts w:ascii="Palatino Linotype" w:eastAsia="Palatino Linotype" w:hAnsi="Palatino Linotype" w:cs="Palatino Linotype"/>
          <w:i/>
          <w:color w:val="000000"/>
        </w:rPr>
        <w:t>En consecuencia el acceso a la información se refiere a que se cumplan cualquiera de los siguientes tres supuestos:</w:t>
      </w:r>
    </w:p>
    <w:p w:rsidR="00B04DD5" w:rsidRPr="00F571ED" w:rsidRDefault="00DA3EFE" w:rsidP="0049477B">
      <w:pPr>
        <w:spacing w:line="360" w:lineRule="auto"/>
        <w:jc w:val="both"/>
        <w:rPr>
          <w:rFonts w:ascii="Palatino Linotype" w:eastAsia="Palatino Linotype" w:hAnsi="Palatino Linotype" w:cs="Palatino Linotype"/>
          <w:i/>
          <w:color w:val="000000"/>
        </w:rPr>
      </w:pPr>
      <w:r w:rsidRPr="00F571ED">
        <w:rPr>
          <w:rFonts w:ascii="Palatino Linotype" w:eastAsia="Palatino Linotype" w:hAnsi="Palatino Linotype" w:cs="Palatino Linotype"/>
          <w:i/>
          <w:color w:val="000000"/>
        </w:rPr>
        <w:t>Que se trate de información registrada en cualquier soporte documental, que en ejercicio de las atribuciones conferidas, sea generada por los Sujetos Obligados;</w:t>
      </w:r>
    </w:p>
    <w:p w:rsidR="00B04DD5" w:rsidRPr="00F571ED" w:rsidRDefault="00DA3EFE" w:rsidP="0049477B">
      <w:pPr>
        <w:spacing w:line="360" w:lineRule="auto"/>
        <w:jc w:val="both"/>
        <w:rPr>
          <w:rFonts w:ascii="Palatino Linotype" w:eastAsia="Palatino Linotype" w:hAnsi="Palatino Linotype" w:cs="Palatino Linotype"/>
          <w:i/>
          <w:color w:val="000000"/>
        </w:rPr>
      </w:pPr>
      <w:r w:rsidRPr="00F571ED">
        <w:rPr>
          <w:rFonts w:ascii="Palatino Linotype" w:eastAsia="Palatino Linotype" w:hAnsi="Palatino Linotype" w:cs="Palatino Linotype"/>
          <w:i/>
          <w:color w:val="000000"/>
        </w:rPr>
        <w:t>Que se trate de información registrada en cualquier soporte documental, que en ejercicio de las atribuciones conferidas, sea administrada por los Sujetos Obligados, y</w:t>
      </w:r>
    </w:p>
    <w:p w:rsidR="00B04DD5" w:rsidRPr="00F571ED" w:rsidRDefault="00DA3EFE" w:rsidP="0049477B">
      <w:pPr>
        <w:spacing w:line="360" w:lineRule="auto"/>
        <w:jc w:val="both"/>
        <w:rPr>
          <w:rFonts w:ascii="Palatino Linotype" w:eastAsia="Palatino Linotype" w:hAnsi="Palatino Linotype" w:cs="Palatino Linotype"/>
          <w:i/>
          <w:color w:val="000000"/>
        </w:rPr>
      </w:pPr>
      <w:r w:rsidRPr="00F571ED">
        <w:rPr>
          <w:rFonts w:ascii="Palatino Linotype" w:eastAsia="Palatino Linotype" w:hAnsi="Palatino Linotype" w:cs="Palatino Linotype"/>
          <w:i/>
          <w:color w:val="000000"/>
        </w:rPr>
        <w:t>Que se trate de información registrada en cualquier soporte documental, que en ejercicio de las atribuciones conferidas, se encuentre en posesión de los Sujetos Obligados.”</w:t>
      </w:r>
    </w:p>
    <w:p w:rsidR="00B04DD5" w:rsidRPr="00F571ED" w:rsidRDefault="00B04DD5" w:rsidP="0049477B">
      <w:pPr>
        <w:spacing w:line="360" w:lineRule="auto"/>
        <w:jc w:val="both"/>
        <w:rPr>
          <w:rFonts w:ascii="Palatino Linotype" w:eastAsia="Palatino Linotype" w:hAnsi="Palatino Linotype" w:cs="Palatino Linotype"/>
          <w:i/>
          <w:color w:val="000000"/>
        </w:rPr>
      </w:pP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El derecho de acceso a la información encuentra su materia elemental en los documentos, y la Ley de Transparencia local  nos brinda el siguiente concepto, para darnos un mejor panorama:</w:t>
      </w:r>
    </w:p>
    <w:p w:rsidR="00B04DD5" w:rsidRPr="00F571ED" w:rsidRDefault="00DA3EFE" w:rsidP="0049477B">
      <w:pPr>
        <w:spacing w:line="360" w:lineRule="auto"/>
        <w:jc w:val="both"/>
        <w:rPr>
          <w:rFonts w:ascii="Palatino Linotype" w:eastAsia="Palatino Linotype" w:hAnsi="Palatino Linotype" w:cs="Palatino Linotype"/>
          <w:i/>
          <w:color w:val="000000"/>
        </w:rPr>
      </w:pPr>
      <w:r w:rsidRPr="00F571ED">
        <w:rPr>
          <w:rFonts w:ascii="Palatino Linotype" w:eastAsia="Palatino Linotype" w:hAnsi="Palatino Linotype" w:cs="Palatino Linotype"/>
          <w:b/>
          <w:i/>
          <w:color w:val="000000"/>
        </w:rPr>
        <w:t xml:space="preserve">XI. Documento: </w:t>
      </w:r>
      <w:r w:rsidRPr="00F571ED">
        <w:rPr>
          <w:rFonts w:ascii="Palatino Linotype" w:eastAsia="Palatino Linotype" w:hAnsi="Palatino Linotype" w:cs="Palatino Linotype"/>
          <w:i/>
          <w:color w:val="000000"/>
        </w:rPr>
        <w:t xml:space="preserve">Los expedientes, reportes, estudios, actas, resoluciones, oficios, correspondencia, acuerdos, directivas, directrices, circulares, contratos, convenios, instructivos, notas, memorandos, estadísticas o bien, </w:t>
      </w:r>
      <w:r w:rsidRPr="00F571ED">
        <w:rPr>
          <w:rFonts w:ascii="Palatino Linotype" w:eastAsia="Palatino Linotype" w:hAnsi="Palatino Linotype" w:cs="Palatino Linotype"/>
          <w:b/>
          <w:i/>
          <w:color w:val="000000"/>
        </w:rPr>
        <w:t>cualquier otro registro</w:t>
      </w:r>
      <w:r w:rsidRPr="00F571ED">
        <w:rPr>
          <w:rFonts w:ascii="Palatino Linotype" w:eastAsia="Palatino Linotype" w:hAnsi="Palatino Linotype" w:cs="Palatino Linotype"/>
          <w:i/>
          <w:color w:val="000000"/>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B04DD5" w:rsidRPr="00F571ED" w:rsidRDefault="00B04DD5" w:rsidP="0049477B">
      <w:pPr>
        <w:spacing w:line="360" w:lineRule="auto"/>
        <w:jc w:val="both"/>
        <w:rPr>
          <w:rFonts w:ascii="Palatino Linotype" w:eastAsia="Palatino Linotype" w:hAnsi="Palatino Linotype" w:cs="Palatino Linotype"/>
          <w:i/>
          <w:color w:val="000000"/>
        </w:rPr>
      </w:pP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lastRenderedPageBreak/>
        <w:t xml:space="preserve">Es así que, todos los actos de autoridad que realicen los Sujetos Obligados </w:t>
      </w:r>
      <w:r w:rsidRPr="00F571ED">
        <w:rPr>
          <w:rFonts w:ascii="Palatino Linotype" w:eastAsia="Palatino Linotype" w:hAnsi="Palatino Linotype" w:cs="Palatino Linotype"/>
          <w:b/>
          <w:color w:val="000000"/>
        </w:rPr>
        <w:t xml:space="preserve">deben estar </w:t>
      </w:r>
      <w:r w:rsidRPr="00F571ED">
        <w:rPr>
          <w:rFonts w:ascii="Palatino Linotype" w:eastAsia="Palatino Linotype" w:hAnsi="Palatino Linotype" w:cs="Palatino Linotype"/>
          <w:color w:val="000000"/>
        </w:rPr>
        <w:t>documentados y, bajo el más alto estándar de transparencia deberán poner toda la información que se encuentre en su posesión, a disposición de los particulares que la soliciten.</w:t>
      </w:r>
    </w:p>
    <w:p w:rsidR="00B04DD5" w:rsidRPr="00F571ED" w:rsidRDefault="00B04DD5" w:rsidP="0049477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Además, debemos tomar en cuenta los artículos 4 y 12 (antes transcrito), de la Ley de Transparencia y Acceso a la Información Pública del Estado de México y Municipios, los cuales establecen lo siguiente:</w:t>
      </w:r>
    </w:p>
    <w:p w:rsidR="00B04DD5" w:rsidRPr="00F571ED" w:rsidRDefault="00DA3EFE" w:rsidP="0049477B">
      <w:pPr>
        <w:spacing w:line="360" w:lineRule="auto"/>
        <w:jc w:val="both"/>
        <w:rPr>
          <w:rFonts w:ascii="Palatino Linotype" w:eastAsia="Palatino Linotype" w:hAnsi="Palatino Linotype" w:cs="Palatino Linotype"/>
          <w:i/>
          <w:color w:val="000000"/>
        </w:rPr>
      </w:pPr>
      <w:r w:rsidRPr="00F571ED">
        <w:rPr>
          <w:rFonts w:ascii="Palatino Linotype" w:eastAsia="Palatino Linotype" w:hAnsi="Palatino Linotype" w:cs="Palatino Linotype"/>
          <w:b/>
          <w:i/>
          <w:color w:val="000000"/>
        </w:rPr>
        <w:t xml:space="preserve">“Artículo 4. </w:t>
      </w:r>
      <w:r w:rsidRPr="00F571ED">
        <w:rPr>
          <w:rFonts w:ascii="Palatino Linotype" w:eastAsia="Palatino Linotype" w:hAnsi="Palatino Linotype" w:cs="Palatino Linotype"/>
          <w:i/>
          <w:color w:val="000000"/>
        </w:rPr>
        <w:t>El derecho humano de acceso a la información pública es la prerrogativa de las personas para buscar, difundir, investigar, recabar, recibir y solicitar información pública, sin necesidad de acreditar personalidad ni interés jurídico.</w:t>
      </w:r>
    </w:p>
    <w:p w:rsidR="00B04DD5" w:rsidRPr="00F571ED" w:rsidRDefault="00DA3EFE" w:rsidP="0049477B">
      <w:pPr>
        <w:spacing w:line="360" w:lineRule="auto"/>
        <w:jc w:val="both"/>
        <w:rPr>
          <w:rFonts w:ascii="Palatino Linotype" w:eastAsia="Palatino Linotype" w:hAnsi="Palatino Linotype" w:cs="Palatino Linotype"/>
          <w:i/>
          <w:color w:val="000000"/>
        </w:rPr>
      </w:pPr>
      <w:r w:rsidRPr="00F571ED">
        <w:rPr>
          <w:rFonts w:ascii="Palatino Linotype" w:eastAsia="Palatino Linotype" w:hAnsi="Palatino Linotype" w:cs="Palatino Linotype"/>
          <w:b/>
          <w:i/>
          <w:color w:val="000000"/>
        </w:rPr>
        <w:t>Toda la información</w:t>
      </w:r>
      <w:r w:rsidRPr="00F571ED">
        <w:rPr>
          <w:rFonts w:ascii="Palatino Linotype" w:eastAsia="Palatino Linotype" w:hAnsi="Palatino Linotype" w:cs="Palatino Linotype"/>
          <w:i/>
          <w:color w:val="000000"/>
        </w:rPr>
        <w:t xml:space="preserve"> generada, obtenida, adquirida, transformada, administrada o </w:t>
      </w:r>
      <w:r w:rsidRPr="00F571ED">
        <w:rPr>
          <w:rFonts w:ascii="Palatino Linotype" w:eastAsia="Palatino Linotype" w:hAnsi="Palatino Linotype" w:cs="Palatino Linotype"/>
          <w:b/>
          <w:i/>
          <w:color w:val="000000"/>
        </w:rPr>
        <w:t>en posesión de los sujetos obligados es pública</w:t>
      </w:r>
      <w:r w:rsidRPr="00F571ED">
        <w:rPr>
          <w:rFonts w:ascii="Palatino Linotype" w:eastAsia="Palatino Linotype" w:hAnsi="Palatino Linotype" w:cs="Palatino Linotype"/>
          <w:i/>
          <w:color w:val="000000"/>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04DD5" w:rsidRPr="00F571ED" w:rsidRDefault="00DA3EFE" w:rsidP="0049477B">
      <w:pPr>
        <w:spacing w:line="360" w:lineRule="auto"/>
        <w:jc w:val="both"/>
        <w:rPr>
          <w:rFonts w:ascii="Palatino Linotype" w:eastAsia="Palatino Linotype" w:hAnsi="Palatino Linotype" w:cs="Palatino Linotype"/>
          <w:i/>
          <w:color w:val="000000"/>
        </w:rPr>
      </w:pPr>
      <w:r w:rsidRPr="00F571ED">
        <w:rPr>
          <w:rFonts w:ascii="Palatino Linotype" w:eastAsia="Palatino Linotype" w:hAnsi="Palatino Linotype" w:cs="Palatino Linotype"/>
          <w:i/>
          <w:color w:val="000000"/>
        </w:rPr>
        <w:t>Los sujetos obligados deben poner en práctica, políticas y programas de acceso a la información que se apeguen a criterios de publicidad, veracidad, oportunidad, precisión y suficiencia en beneficio de los solicitantes.”</w:t>
      </w:r>
    </w:p>
    <w:p w:rsidR="00B04DD5" w:rsidRPr="00F571ED" w:rsidRDefault="00B04DD5" w:rsidP="0049477B">
      <w:pPr>
        <w:spacing w:line="360" w:lineRule="auto"/>
        <w:jc w:val="both"/>
        <w:rPr>
          <w:rFonts w:ascii="Palatino Linotype" w:eastAsia="Palatino Linotype" w:hAnsi="Palatino Linotype" w:cs="Palatino Linotype"/>
          <w:i/>
          <w:color w:val="000000"/>
        </w:rPr>
      </w:pP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F571ED">
        <w:rPr>
          <w:rFonts w:ascii="Palatino Linotype" w:eastAsia="Palatino Linotype" w:hAnsi="Palatino Linotype" w:cs="Palatino Linotype"/>
          <w:color w:val="000000"/>
          <w:vertAlign w:val="superscript"/>
        </w:rPr>
        <w:footnoteReference w:id="6"/>
      </w:r>
      <w:r w:rsidRPr="00F571ED">
        <w:rPr>
          <w:rFonts w:ascii="Palatino Linotype" w:eastAsia="Palatino Linotype" w:hAnsi="Palatino Linotype" w:cs="Palatino Linotype"/>
          <w:color w:val="000000"/>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B04DD5" w:rsidRPr="00F571ED" w:rsidRDefault="00B04DD5" w:rsidP="0049477B">
      <w:pPr>
        <w:spacing w:line="360" w:lineRule="auto"/>
        <w:jc w:val="both"/>
        <w:rPr>
          <w:rFonts w:ascii="Palatino Linotype" w:eastAsia="Palatino Linotype" w:hAnsi="Palatino Linotype" w:cs="Palatino Linotype"/>
          <w:color w:val="000000"/>
        </w:rPr>
      </w:pP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B04DD5" w:rsidRPr="00F571ED" w:rsidRDefault="00DA3EFE" w:rsidP="0049477B">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rPr>
      </w:pPr>
      <w:r w:rsidRPr="00F571ED">
        <w:rPr>
          <w:rFonts w:ascii="Palatino Linotype" w:eastAsia="Palatino Linotype" w:hAnsi="Palatino Linotype" w:cs="Palatino Linotype"/>
          <w:b/>
          <w:i/>
          <w:color w:val="000000"/>
        </w:rPr>
        <w:t>ACCESO A LA INFORMACIÓN. IMPLICACIÓN DEL PRINCIPIO DE MÁXIMA PUBLICIDAD EN EL DERECHO FUNDAMENTAL RELATIVO.</w:t>
      </w:r>
      <w:r w:rsidRPr="00F571ED">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w:t>
      </w:r>
      <w:r w:rsidRPr="00F571ED">
        <w:rPr>
          <w:rFonts w:ascii="Palatino Linotype" w:eastAsia="Palatino Linotype" w:hAnsi="Palatino Linotype" w:cs="Palatino Linotype"/>
          <w:i/>
          <w:color w:val="000000"/>
        </w:rPr>
        <w:lastRenderedPageBreak/>
        <w:t>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B04DD5" w:rsidRPr="00F571ED" w:rsidRDefault="00B04DD5" w:rsidP="0049477B">
      <w:pPr>
        <w:spacing w:line="360" w:lineRule="auto"/>
        <w:jc w:val="both"/>
        <w:rPr>
          <w:rFonts w:ascii="Palatino Linotype" w:eastAsia="Palatino Linotype" w:hAnsi="Palatino Linotype" w:cs="Palatino Linotype"/>
        </w:rPr>
      </w:pPr>
    </w:p>
    <w:p w:rsidR="00B04DD5" w:rsidRPr="00F571ED" w:rsidRDefault="00DA3EFE" w:rsidP="0049477B">
      <w:pPr>
        <w:spacing w:line="360" w:lineRule="auto"/>
        <w:jc w:val="both"/>
        <w:rPr>
          <w:rFonts w:ascii="Palatino Linotype" w:eastAsia="Palatino Linotype" w:hAnsi="Palatino Linotype" w:cs="Palatino Linotype"/>
          <w:b/>
        </w:rPr>
      </w:pPr>
      <w:r w:rsidRPr="00F571ED">
        <w:rPr>
          <w:rFonts w:ascii="Palatino Linotype" w:eastAsia="Palatino Linotype" w:hAnsi="Palatino Linotype" w:cs="Palatino Linotype"/>
          <w:b/>
        </w:rPr>
        <w:t>QUINTO. De la versión pública.</w:t>
      </w: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Finalmente, debe señalarse que dada la propia y especial naturaleza del soporte documental que se ordena entregar, como lo son oficios, eventualmente pueden obrar datos personales susceptibles de ser clasificados, por lo que de ser el caso en que los documentos que vayan a ser entregados por el</w:t>
      </w:r>
      <w:r w:rsidRPr="00F571ED">
        <w:rPr>
          <w:rFonts w:ascii="Palatino Linotype" w:eastAsia="Palatino Linotype" w:hAnsi="Palatino Linotype" w:cs="Palatino Linotype"/>
          <w:b/>
          <w:color w:val="000000"/>
        </w:rPr>
        <w:t xml:space="preserve"> </w:t>
      </w:r>
      <w:r w:rsidRPr="00F571ED">
        <w:rPr>
          <w:rFonts w:ascii="Palatino Linotype" w:eastAsia="Palatino Linotype" w:hAnsi="Palatino Linotype" w:cs="Palatino Linotype"/>
          <w:color w:val="000000"/>
        </w:rPr>
        <w:t xml:space="preserve">sujeto obligado, para dar cumplimiento a la presente resolución, contengan datos que deban ser clasificados, el </w:t>
      </w:r>
      <w:r w:rsidRPr="00F571ED">
        <w:rPr>
          <w:rFonts w:ascii="Palatino Linotype" w:eastAsia="Palatino Linotype" w:hAnsi="Palatino Linotype" w:cs="Palatino Linotype"/>
          <w:b/>
          <w:color w:val="000000"/>
        </w:rPr>
        <w:t>Sujeto Obligado</w:t>
      </w:r>
      <w:r w:rsidRPr="00F571ED">
        <w:rPr>
          <w:rFonts w:ascii="Palatino Linotype" w:eastAsia="Palatino Linotype" w:hAnsi="Palatino Linotype" w:cs="Palatino Linotype"/>
          <w:color w:val="000000"/>
        </w:rPr>
        <w:t xml:space="preserve"> deberá hacer la elaboración de la versión pública de tales documentos a fin de satisfacer el derecho de acceso a la información pública del recurrente sin menoscabo al derecho a la protección de los datos personales de terceros.</w:t>
      </w:r>
    </w:p>
    <w:p w:rsidR="00B04DD5" w:rsidRPr="00F571ED" w:rsidRDefault="00B04DD5" w:rsidP="0049477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lastRenderedPageBreak/>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B04DD5" w:rsidRPr="00F571ED" w:rsidRDefault="00DA3EFE" w:rsidP="0049477B">
      <w:pPr>
        <w:spacing w:line="360" w:lineRule="auto"/>
        <w:jc w:val="both"/>
        <w:rPr>
          <w:rFonts w:ascii="Palatino Linotype" w:eastAsia="Palatino Linotype" w:hAnsi="Palatino Linotype" w:cs="Palatino Linotype"/>
          <w:i/>
        </w:rPr>
      </w:pPr>
      <w:r w:rsidRPr="00F571ED">
        <w:rPr>
          <w:rFonts w:ascii="Palatino Linotype" w:eastAsia="Palatino Linotype" w:hAnsi="Palatino Linotype" w:cs="Palatino Linotype"/>
          <w:i/>
        </w:rPr>
        <w:t>“</w:t>
      </w:r>
      <w:r w:rsidRPr="00F571ED">
        <w:rPr>
          <w:rFonts w:ascii="Palatino Linotype" w:eastAsia="Palatino Linotype" w:hAnsi="Palatino Linotype" w:cs="Palatino Linotype"/>
          <w:b/>
          <w:i/>
        </w:rPr>
        <w:t>Artículo 3</w:t>
      </w:r>
      <w:r w:rsidRPr="00F571ED">
        <w:rPr>
          <w:rFonts w:ascii="Palatino Linotype" w:eastAsia="Palatino Linotype" w:hAnsi="Palatino Linotype" w:cs="Palatino Linotype"/>
          <w:i/>
        </w:rPr>
        <w:t>. Para los efectos de la presente Ley se entenderá por:</w:t>
      </w:r>
    </w:p>
    <w:p w:rsidR="00B04DD5" w:rsidRPr="00F571ED" w:rsidRDefault="00DA3EFE" w:rsidP="0049477B">
      <w:pPr>
        <w:spacing w:line="360" w:lineRule="auto"/>
        <w:jc w:val="both"/>
        <w:rPr>
          <w:rFonts w:ascii="Palatino Linotype" w:eastAsia="Palatino Linotype" w:hAnsi="Palatino Linotype" w:cs="Palatino Linotype"/>
          <w:i/>
        </w:rPr>
      </w:pPr>
      <w:r w:rsidRPr="00F571ED">
        <w:rPr>
          <w:rFonts w:ascii="Palatino Linotype" w:eastAsia="Palatino Linotype" w:hAnsi="Palatino Linotype" w:cs="Palatino Linotype"/>
          <w:i/>
        </w:rPr>
        <w:t>[…]</w:t>
      </w:r>
    </w:p>
    <w:p w:rsidR="00B04DD5" w:rsidRPr="00F571ED" w:rsidRDefault="00DA3EFE" w:rsidP="0049477B">
      <w:pPr>
        <w:spacing w:line="360" w:lineRule="auto"/>
        <w:jc w:val="both"/>
        <w:rPr>
          <w:rFonts w:ascii="Palatino Linotype" w:eastAsia="Palatino Linotype" w:hAnsi="Palatino Linotype" w:cs="Palatino Linotype"/>
          <w:i/>
        </w:rPr>
      </w:pPr>
      <w:r w:rsidRPr="00F571ED">
        <w:rPr>
          <w:rFonts w:ascii="Palatino Linotype" w:eastAsia="Palatino Linotype" w:hAnsi="Palatino Linotype" w:cs="Palatino Linotype"/>
          <w:b/>
          <w:i/>
        </w:rPr>
        <w:t>IX. Datos personales</w:t>
      </w:r>
      <w:r w:rsidRPr="00F571ED">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rsidR="00B04DD5" w:rsidRPr="00F571ED" w:rsidRDefault="00DA3EFE" w:rsidP="0049477B">
      <w:pPr>
        <w:spacing w:line="360" w:lineRule="auto"/>
        <w:jc w:val="both"/>
        <w:rPr>
          <w:rFonts w:ascii="Palatino Linotype" w:eastAsia="Palatino Linotype" w:hAnsi="Palatino Linotype" w:cs="Palatino Linotype"/>
          <w:i/>
        </w:rPr>
      </w:pPr>
      <w:r w:rsidRPr="00F571ED">
        <w:rPr>
          <w:rFonts w:ascii="Palatino Linotype" w:eastAsia="Palatino Linotype" w:hAnsi="Palatino Linotype" w:cs="Palatino Linotype"/>
          <w:b/>
          <w:i/>
        </w:rPr>
        <w:t>XX. Información clasificada</w:t>
      </w:r>
      <w:r w:rsidRPr="00F571ED">
        <w:rPr>
          <w:rFonts w:ascii="Palatino Linotype" w:eastAsia="Palatino Linotype" w:hAnsi="Palatino Linotype" w:cs="Palatino Linotype"/>
          <w:i/>
        </w:rPr>
        <w:t>: Aquella considerada por la presente Ley como reservada o confidencial;</w:t>
      </w:r>
    </w:p>
    <w:p w:rsidR="00B04DD5" w:rsidRPr="00F571ED" w:rsidRDefault="00DA3EFE" w:rsidP="0049477B">
      <w:pPr>
        <w:spacing w:line="360" w:lineRule="auto"/>
        <w:jc w:val="both"/>
        <w:rPr>
          <w:rFonts w:ascii="Palatino Linotype" w:eastAsia="Palatino Linotype" w:hAnsi="Palatino Linotype" w:cs="Palatino Linotype"/>
          <w:i/>
        </w:rPr>
      </w:pPr>
      <w:r w:rsidRPr="00F571ED">
        <w:rPr>
          <w:rFonts w:ascii="Palatino Linotype" w:eastAsia="Palatino Linotype" w:hAnsi="Palatino Linotype" w:cs="Palatino Linotype"/>
          <w:b/>
          <w:i/>
        </w:rPr>
        <w:t xml:space="preserve">XXI. Información confidencial: </w:t>
      </w:r>
      <w:r w:rsidRPr="00F571ED">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B04DD5" w:rsidRPr="00F571ED" w:rsidRDefault="00DA3EFE" w:rsidP="0049477B">
      <w:pPr>
        <w:spacing w:line="360" w:lineRule="auto"/>
        <w:jc w:val="both"/>
        <w:rPr>
          <w:rFonts w:ascii="Palatino Linotype" w:eastAsia="Palatino Linotype" w:hAnsi="Palatino Linotype" w:cs="Palatino Linotype"/>
          <w:i/>
        </w:rPr>
      </w:pPr>
      <w:r w:rsidRPr="00F571ED">
        <w:rPr>
          <w:rFonts w:ascii="Palatino Linotype" w:eastAsia="Palatino Linotype" w:hAnsi="Palatino Linotype" w:cs="Palatino Linotype"/>
          <w:b/>
          <w:i/>
        </w:rPr>
        <w:t>XLV. Versión pública:</w:t>
      </w:r>
      <w:r w:rsidRPr="00F571ED">
        <w:rPr>
          <w:rFonts w:ascii="Palatino Linotype" w:eastAsia="Palatino Linotype" w:hAnsi="Palatino Linotype" w:cs="Palatino Linotype"/>
          <w:i/>
        </w:rPr>
        <w:t xml:space="preserve"> Documento en el que se elimine, suprime o borra la información clasificada como reservada o confidencial para permitir su acceso.</w:t>
      </w:r>
    </w:p>
    <w:p w:rsidR="00B04DD5" w:rsidRPr="00F571ED" w:rsidRDefault="00DA3EFE" w:rsidP="0049477B">
      <w:pPr>
        <w:spacing w:line="360" w:lineRule="auto"/>
        <w:jc w:val="both"/>
        <w:rPr>
          <w:rFonts w:ascii="Palatino Linotype" w:eastAsia="Palatino Linotype" w:hAnsi="Palatino Linotype" w:cs="Palatino Linotype"/>
          <w:i/>
        </w:rPr>
      </w:pPr>
      <w:r w:rsidRPr="00F571ED">
        <w:rPr>
          <w:rFonts w:ascii="Palatino Linotype" w:eastAsia="Palatino Linotype" w:hAnsi="Palatino Linotype" w:cs="Palatino Linotype"/>
          <w:i/>
        </w:rPr>
        <w:t>[…]</w:t>
      </w:r>
    </w:p>
    <w:p w:rsidR="00B04DD5" w:rsidRPr="00F571ED" w:rsidRDefault="00B04DD5" w:rsidP="0049477B">
      <w:pPr>
        <w:spacing w:line="360" w:lineRule="auto"/>
        <w:jc w:val="both"/>
        <w:rPr>
          <w:rFonts w:ascii="Palatino Linotype" w:eastAsia="Palatino Linotype" w:hAnsi="Palatino Linotype" w:cs="Palatino Linotype"/>
          <w:i/>
        </w:rPr>
      </w:pPr>
    </w:p>
    <w:p w:rsidR="00B04DD5" w:rsidRPr="00F571ED" w:rsidRDefault="00DA3EFE" w:rsidP="0049477B">
      <w:pPr>
        <w:spacing w:line="360" w:lineRule="auto"/>
        <w:jc w:val="both"/>
        <w:rPr>
          <w:rFonts w:ascii="Palatino Linotype" w:eastAsia="Palatino Linotype" w:hAnsi="Palatino Linotype" w:cs="Palatino Linotype"/>
          <w:i/>
        </w:rPr>
      </w:pPr>
      <w:r w:rsidRPr="00F571ED">
        <w:rPr>
          <w:rFonts w:ascii="Palatino Linotype" w:eastAsia="Palatino Linotype" w:hAnsi="Palatino Linotype" w:cs="Palatino Linotype"/>
          <w:b/>
          <w:i/>
        </w:rPr>
        <w:t>Artículo 91.</w:t>
      </w:r>
      <w:r w:rsidRPr="00F571ED">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rsidR="00B04DD5" w:rsidRPr="00F571ED" w:rsidRDefault="00B04DD5" w:rsidP="0049477B">
      <w:pPr>
        <w:spacing w:line="360" w:lineRule="auto"/>
        <w:jc w:val="both"/>
        <w:rPr>
          <w:rFonts w:ascii="Palatino Linotype" w:eastAsia="Palatino Linotype" w:hAnsi="Palatino Linotype" w:cs="Palatino Linotype"/>
          <w:i/>
        </w:rPr>
      </w:pPr>
    </w:p>
    <w:p w:rsidR="00B04DD5" w:rsidRPr="00F571ED" w:rsidRDefault="00DA3EFE" w:rsidP="0049477B">
      <w:pPr>
        <w:spacing w:line="360" w:lineRule="auto"/>
        <w:jc w:val="both"/>
        <w:rPr>
          <w:rFonts w:ascii="Palatino Linotype" w:eastAsia="Palatino Linotype" w:hAnsi="Palatino Linotype" w:cs="Palatino Linotype"/>
          <w:i/>
        </w:rPr>
      </w:pPr>
      <w:r w:rsidRPr="00F571ED">
        <w:rPr>
          <w:rFonts w:ascii="Palatino Linotype" w:eastAsia="Palatino Linotype" w:hAnsi="Palatino Linotype" w:cs="Palatino Linotype"/>
          <w:b/>
          <w:i/>
        </w:rPr>
        <w:t>Artículo 132.</w:t>
      </w:r>
      <w:r w:rsidRPr="00F571ED">
        <w:rPr>
          <w:rFonts w:ascii="Palatino Linotype" w:eastAsia="Palatino Linotype" w:hAnsi="Palatino Linotype" w:cs="Palatino Linotype"/>
          <w:i/>
        </w:rPr>
        <w:t xml:space="preserve"> La clasificación de la información se llevará a cabo en el momento en que:</w:t>
      </w:r>
    </w:p>
    <w:p w:rsidR="00B04DD5" w:rsidRPr="00F571ED" w:rsidRDefault="00DA3EFE" w:rsidP="0049477B">
      <w:pPr>
        <w:spacing w:line="360" w:lineRule="auto"/>
        <w:jc w:val="both"/>
        <w:rPr>
          <w:rFonts w:ascii="Palatino Linotype" w:eastAsia="Palatino Linotype" w:hAnsi="Palatino Linotype" w:cs="Palatino Linotype"/>
          <w:i/>
        </w:rPr>
      </w:pPr>
      <w:r w:rsidRPr="00F571ED">
        <w:rPr>
          <w:rFonts w:ascii="Palatino Linotype" w:eastAsia="Palatino Linotype" w:hAnsi="Palatino Linotype" w:cs="Palatino Linotype"/>
          <w:b/>
          <w:i/>
        </w:rPr>
        <w:t>I</w:t>
      </w:r>
      <w:r w:rsidRPr="00F571ED">
        <w:rPr>
          <w:rFonts w:ascii="Palatino Linotype" w:eastAsia="Palatino Linotype" w:hAnsi="Palatino Linotype" w:cs="Palatino Linotype"/>
          <w:i/>
        </w:rPr>
        <w:t>. Se reciba una solicitud de acceso a la información;</w:t>
      </w:r>
    </w:p>
    <w:p w:rsidR="00B04DD5" w:rsidRPr="00F571ED" w:rsidRDefault="00DA3EFE" w:rsidP="0049477B">
      <w:pPr>
        <w:spacing w:line="360" w:lineRule="auto"/>
        <w:jc w:val="both"/>
        <w:rPr>
          <w:rFonts w:ascii="Palatino Linotype" w:eastAsia="Palatino Linotype" w:hAnsi="Palatino Linotype" w:cs="Palatino Linotype"/>
          <w:i/>
        </w:rPr>
      </w:pPr>
      <w:r w:rsidRPr="00F571ED">
        <w:rPr>
          <w:rFonts w:ascii="Palatino Linotype" w:eastAsia="Palatino Linotype" w:hAnsi="Palatino Linotype" w:cs="Palatino Linotype"/>
          <w:b/>
          <w:i/>
        </w:rPr>
        <w:lastRenderedPageBreak/>
        <w:t>II.</w:t>
      </w:r>
      <w:r w:rsidRPr="00F571ED">
        <w:rPr>
          <w:rFonts w:ascii="Palatino Linotype" w:eastAsia="Palatino Linotype" w:hAnsi="Palatino Linotype" w:cs="Palatino Linotype"/>
          <w:i/>
        </w:rPr>
        <w:t xml:space="preserve"> Se determine mediante resolución de autoridad competente; o</w:t>
      </w:r>
    </w:p>
    <w:p w:rsidR="00B04DD5" w:rsidRPr="00F571ED" w:rsidRDefault="00DA3EFE" w:rsidP="0049477B">
      <w:pPr>
        <w:spacing w:line="360" w:lineRule="auto"/>
        <w:jc w:val="both"/>
        <w:rPr>
          <w:rFonts w:ascii="Palatino Linotype" w:eastAsia="Palatino Linotype" w:hAnsi="Palatino Linotype" w:cs="Palatino Linotype"/>
          <w:i/>
        </w:rPr>
      </w:pPr>
      <w:r w:rsidRPr="00F571ED">
        <w:rPr>
          <w:rFonts w:ascii="Palatino Linotype" w:eastAsia="Palatino Linotype" w:hAnsi="Palatino Linotype" w:cs="Palatino Linotype"/>
          <w:b/>
          <w:i/>
        </w:rPr>
        <w:t>III.</w:t>
      </w:r>
      <w:r w:rsidRPr="00F571ED">
        <w:rPr>
          <w:rFonts w:ascii="Palatino Linotype" w:eastAsia="Palatino Linotype" w:hAnsi="Palatino Linotype" w:cs="Palatino Linotype"/>
          <w:i/>
        </w:rPr>
        <w:t xml:space="preserve"> Se generen versiones públicas para dar cumplimiento a las obligaciones de transparencia previstas en esta Ley.</w:t>
      </w:r>
    </w:p>
    <w:p w:rsidR="00B04DD5" w:rsidRPr="00F571ED" w:rsidRDefault="00DA3EFE" w:rsidP="0049477B">
      <w:pPr>
        <w:spacing w:line="360" w:lineRule="auto"/>
        <w:jc w:val="both"/>
        <w:rPr>
          <w:rFonts w:ascii="Palatino Linotype" w:eastAsia="Palatino Linotype" w:hAnsi="Palatino Linotype" w:cs="Palatino Linotype"/>
          <w:i/>
        </w:rPr>
      </w:pPr>
      <w:r w:rsidRPr="00F571ED">
        <w:rPr>
          <w:rFonts w:ascii="Palatino Linotype" w:eastAsia="Palatino Linotype" w:hAnsi="Palatino Linotype" w:cs="Palatino Linotype"/>
          <w:i/>
        </w:rPr>
        <w:t>[…]</w:t>
      </w:r>
    </w:p>
    <w:p w:rsidR="00B04DD5" w:rsidRPr="00F571ED" w:rsidRDefault="00B04DD5" w:rsidP="0049477B">
      <w:pPr>
        <w:spacing w:line="360" w:lineRule="auto"/>
        <w:jc w:val="both"/>
        <w:rPr>
          <w:rFonts w:ascii="Palatino Linotype" w:eastAsia="Palatino Linotype" w:hAnsi="Palatino Linotype" w:cs="Palatino Linotype"/>
          <w:i/>
        </w:rPr>
      </w:pPr>
    </w:p>
    <w:p w:rsidR="00B04DD5" w:rsidRPr="00F571ED" w:rsidRDefault="00DA3EFE" w:rsidP="0049477B">
      <w:pPr>
        <w:spacing w:line="360" w:lineRule="auto"/>
        <w:jc w:val="both"/>
        <w:rPr>
          <w:rFonts w:ascii="Palatino Linotype" w:eastAsia="Palatino Linotype" w:hAnsi="Palatino Linotype" w:cs="Palatino Linotype"/>
          <w:i/>
        </w:rPr>
      </w:pPr>
      <w:r w:rsidRPr="00F571ED">
        <w:rPr>
          <w:rFonts w:ascii="Palatino Linotype" w:eastAsia="Palatino Linotype" w:hAnsi="Palatino Linotype" w:cs="Palatino Linotype"/>
          <w:b/>
          <w:i/>
        </w:rPr>
        <w:t>Artículo 143</w:t>
      </w:r>
      <w:r w:rsidRPr="00F571ED">
        <w:rPr>
          <w:rFonts w:ascii="Palatino Linotype" w:eastAsia="Palatino Linotype" w:hAnsi="Palatino Linotype" w:cs="Palatino Linotype"/>
          <w:i/>
        </w:rPr>
        <w:t>. Para los efectos de esta Ley se considera información confidencial, la clasificada como tal, de manera permanente, por su naturaleza, cuando:</w:t>
      </w:r>
    </w:p>
    <w:p w:rsidR="00B04DD5" w:rsidRPr="00F571ED" w:rsidRDefault="00DA3EFE" w:rsidP="0049477B">
      <w:pPr>
        <w:spacing w:line="360" w:lineRule="auto"/>
        <w:jc w:val="both"/>
        <w:rPr>
          <w:rFonts w:ascii="Palatino Linotype" w:eastAsia="Palatino Linotype" w:hAnsi="Palatino Linotype" w:cs="Palatino Linotype"/>
          <w:i/>
        </w:rPr>
      </w:pPr>
      <w:r w:rsidRPr="00F571ED">
        <w:rPr>
          <w:rFonts w:ascii="Palatino Linotype" w:eastAsia="Palatino Linotype" w:hAnsi="Palatino Linotype" w:cs="Palatino Linotype"/>
          <w:b/>
          <w:i/>
        </w:rPr>
        <w:t>I.</w:t>
      </w:r>
      <w:r w:rsidRPr="00F571ED">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rsidR="00B04DD5" w:rsidRPr="00F571ED" w:rsidRDefault="00DA3EFE" w:rsidP="0049477B">
      <w:pPr>
        <w:spacing w:line="360" w:lineRule="auto"/>
        <w:jc w:val="both"/>
        <w:rPr>
          <w:rFonts w:ascii="Palatino Linotype" w:eastAsia="Palatino Linotype" w:hAnsi="Palatino Linotype" w:cs="Palatino Linotype"/>
          <w:i/>
        </w:rPr>
      </w:pPr>
      <w:r w:rsidRPr="00F571ED">
        <w:rPr>
          <w:rFonts w:ascii="Palatino Linotype" w:eastAsia="Palatino Linotype" w:hAnsi="Palatino Linotype" w:cs="Palatino Linotype"/>
          <w:b/>
          <w:i/>
        </w:rPr>
        <w:t>II.</w:t>
      </w:r>
      <w:r w:rsidRPr="00F571ED">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B04DD5" w:rsidRPr="00F571ED" w:rsidRDefault="00DA3EFE" w:rsidP="0049477B">
      <w:pPr>
        <w:spacing w:line="360" w:lineRule="auto"/>
        <w:jc w:val="both"/>
        <w:rPr>
          <w:rFonts w:ascii="Palatino Linotype" w:eastAsia="Palatino Linotype" w:hAnsi="Palatino Linotype" w:cs="Palatino Linotype"/>
          <w:i/>
        </w:rPr>
      </w:pPr>
      <w:r w:rsidRPr="00F571ED">
        <w:rPr>
          <w:rFonts w:ascii="Palatino Linotype" w:eastAsia="Palatino Linotype" w:hAnsi="Palatino Linotype" w:cs="Palatino Linotype"/>
          <w:b/>
          <w:i/>
        </w:rPr>
        <w:t>III.</w:t>
      </w:r>
      <w:r w:rsidRPr="00F571ED">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rsidR="00B04DD5" w:rsidRPr="00F571ED" w:rsidRDefault="00DA3EFE" w:rsidP="0049477B">
      <w:pPr>
        <w:spacing w:line="360" w:lineRule="auto"/>
        <w:jc w:val="both"/>
        <w:rPr>
          <w:rFonts w:ascii="Palatino Linotype" w:eastAsia="Palatino Linotype" w:hAnsi="Palatino Linotype" w:cs="Palatino Linotype"/>
          <w:i/>
        </w:rPr>
      </w:pPr>
      <w:r w:rsidRPr="00F571ED">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rsidR="00B04DD5" w:rsidRPr="00F571ED" w:rsidRDefault="00DA3EFE" w:rsidP="0049477B">
      <w:pPr>
        <w:spacing w:line="360" w:lineRule="auto"/>
        <w:jc w:val="both"/>
        <w:rPr>
          <w:rFonts w:ascii="Palatino Linotype" w:eastAsia="Palatino Linotype" w:hAnsi="Palatino Linotype" w:cs="Palatino Linotype"/>
          <w:i/>
        </w:rPr>
      </w:pPr>
      <w:r w:rsidRPr="00F571ED">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rsidR="00B04DD5" w:rsidRPr="00F571ED" w:rsidRDefault="00B04DD5" w:rsidP="0049477B">
      <w:pPr>
        <w:spacing w:line="360" w:lineRule="auto"/>
        <w:jc w:val="both"/>
        <w:rPr>
          <w:rFonts w:ascii="Palatino Linotype" w:eastAsia="Palatino Linotype" w:hAnsi="Palatino Linotype" w:cs="Palatino Linotype"/>
          <w:i/>
        </w:rPr>
      </w:pP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w:t>
      </w:r>
      <w:r w:rsidRPr="00F571ED">
        <w:rPr>
          <w:rFonts w:ascii="Palatino Linotype" w:eastAsia="Palatino Linotype" w:hAnsi="Palatino Linotype" w:cs="Palatino Linotype"/>
          <w:color w:val="000000"/>
        </w:rPr>
        <w:lastRenderedPageBreak/>
        <w:t>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B04DD5" w:rsidRPr="00F571ED" w:rsidRDefault="00B04DD5" w:rsidP="0049477B">
      <w:pPr>
        <w:pBdr>
          <w:top w:val="nil"/>
          <w:left w:val="nil"/>
          <w:bottom w:val="nil"/>
          <w:right w:val="nil"/>
          <w:between w:val="nil"/>
        </w:pBdr>
        <w:spacing w:line="360" w:lineRule="auto"/>
        <w:jc w:val="both"/>
        <w:rPr>
          <w:rFonts w:ascii="Palatino Linotype" w:eastAsia="Palatino Linotype" w:hAnsi="Palatino Linotype" w:cs="Palatino Linotype"/>
        </w:rPr>
      </w:pP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Entorno a lo que aquí nos interesa, los Lineamientos Quincuagésimo sexto, Quincuagésimo séptimo y Quincuagésimo octavo, establecen lo siguiente:</w:t>
      </w:r>
    </w:p>
    <w:p w:rsidR="00B04DD5" w:rsidRPr="00F571ED" w:rsidRDefault="00DA3EFE" w:rsidP="0049477B">
      <w:pPr>
        <w:spacing w:line="360" w:lineRule="auto"/>
        <w:jc w:val="both"/>
        <w:rPr>
          <w:rFonts w:ascii="Palatino Linotype" w:eastAsia="Palatino Linotype" w:hAnsi="Palatino Linotype" w:cs="Palatino Linotype"/>
          <w:i/>
        </w:rPr>
      </w:pPr>
      <w:r w:rsidRPr="00F571ED">
        <w:rPr>
          <w:rFonts w:ascii="Palatino Linotype" w:eastAsia="Palatino Linotype" w:hAnsi="Palatino Linotype" w:cs="Palatino Linotype"/>
          <w:b/>
          <w:i/>
        </w:rPr>
        <w:t>“Quincuagésimo sexto</w:t>
      </w:r>
      <w:r w:rsidRPr="00F571ED">
        <w:rPr>
          <w:rFonts w:ascii="Palatino Linotype" w:eastAsia="Palatino Linotype" w:hAnsi="Palatino Linotype" w:cs="Palatino Linotyp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B04DD5" w:rsidRPr="00F571ED" w:rsidRDefault="00DA3EFE" w:rsidP="0049477B">
      <w:pPr>
        <w:spacing w:line="360" w:lineRule="auto"/>
        <w:jc w:val="both"/>
        <w:rPr>
          <w:rFonts w:ascii="Palatino Linotype" w:eastAsia="Palatino Linotype" w:hAnsi="Palatino Linotype" w:cs="Palatino Linotype"/>
          <w:i/>
        </w:rPr>
      </w:pPr>
      <w:r w:rsidRPr="00F571ED">
        <w:rPr>
          <w:rFonts w:ascii="Palatino Linotype" w:eastAsia="Palatino Linotype" w:hAnsi="Palatino Linotype" w:cs="Palatino Linotype"/>
          <w:b/>
          <w:i/>
        </w:rPr>
        <w:t>Quincuagésimo séptimo</w:t>
      </w:r>
      <w:r w:rsidRPr="00F571ED">
        <w:rPr>
          <w:rFonts w:ascii="Palatino Linotype" w:eastAsia="Palatino Linotype" w:hAnsi="Palatino Linotype" w:cs="Palatino Linotype"/>
          <w:i/>
        </w:rPr>
        <w:t xml:space="preserve">. Se considera, en principio, como información pública y no podrá omitirse de las versiones públicas la siguiente: </w:t>
      </w:r>
    </w:p>
    <w:p w:rsidR="00B04DD5" w:rsidRPr="00F571ED" w:rsidRDefault="00DA3EFE" w:rsidP="0049477B">
      <w:pPr>
        <w:spacing w:line="360" w:lineRule="auto"/>
        <w:jc w:val="both"/>
        <w:rPr>
          <w:rFonts w:ascii="Palatino Linotype" w:eastAsia="Palatino Linotype" w:hAnsi="Palatino Linotype" w:cs="Palatino Linotype"/>
          <w:i/>
        </w:rPr>
      </w:pPr>
      <w:r w:rsidRPr="00F571ED">
        <w:rPr>
          <w:rFonts w:ascii="Palatino Linotype" w:eastAsia="Palatino Linotype" w:hAnsi="Palatino Linotype" w:cs="Palatino Linotype"/>
          <w:b/>
          <w:i/>
        </w:rPr>
        <w:t>I.</w:t>
      </w:r>
      <w:r w:rsidRPr="00F571ED">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rsidR="00B04DD5" w:rsidRPr="00F571ED" w:rsidRDefault="00DA3EFE" w:rsidP="0049477B">
      <w:pPr>
        <w:spacing w:line="360" w:lineRule="auto"/>
        <w:jc w:val="both"/>
        <w:rPr>
          <w:rFonts w:ascii="Palatino Linotype" w:eastAsia="Palatino Linotype" w:hAnsi="Palatino Linotype" w:cs="Palatino Linotype"/>
          <w:i/>
        </w:rPr>
      </w:pPr>
      <w:r w:rsidRPr="00F571ED">
        <w:rPr>
          <w:rFonts w:ascii="Palatino Linotype" w:eastAsia="Palatino Linotype" w:hAnsi="Palatino Linotype" w:cs="Palatino Linotype"/>
          <w:b/>
          <w:i/>
        </w:rPr>
        <w:t>II.</w:t>
      </w:r>
      <w:r w:rsidRPr="00F571ED">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rsidR="00B04DD5" w:rsidRPr="00F571ED" w:rsidRDefault="00DA3EFE" w:rsidP="0049477B">
      <w:pPr>
        <w:spacing w:line="360" w:lineRule="auto"/>
        <w:jc w:val="both"/>
        <w:rPr>
          <w:rFonts w:ascii="Palatino Linotype" w:eastAsia="Palatino Linotype" w:hAnsi="Palatino Linotype" w:cs="Palatino Linotype"/>
          <w:i/>
        </w:rPr>
      </w:pPr>
      <w:r w:rsidRPr="00F571ED">
        <w:rPr>
          <w:rFonts w:ascii="Palatino Linotype" w:eastAsia="Palatino Linotype" w:hAnsi="Palatino Linotype" w:cs="Palatino Linotype"/>
          <w:b/>
          <w:i/>
        </w:rPr>
        <w:t>III.</w:t>
      </w:r>
      <w:r w:rsidRPr="00F571ED">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B04DD5" w:rsidRPr="00F571ED" w:rsidRDefault="00DA3EFE" w:rsidP="0049477B">
      <w:pPr>
        <w:spacing w:line="360" w:lineRule="auto"/>
        <w:jc w:val="both"/>
        <w:rPr>
          <w:rFonts w:ascii="Palatino Linotype" w:eastAsia="Palatino Linotype" w:hAnsi="Palatino Linotype" w:cs="Palatino Linotype"/>
          <w:i/>
        </w:rPr>
      </w:pPr>
      <w:r w:rsidRPr="00F571ED">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rsidR="00B04DD5" w:rsidRPr="00F571ED" w:rsidRDefault="00DA3EFE" w:rsidP="0049477B">
      <w:pPr>
        <w:spacing w:line="360" w:lineRule="auto"/>
        <w:jc w:val="both"/>
        <w:rPr>
          <w:rFonts w:ascii="Palatino Linotype" w:eastAsia="Palatino Linotype" w:hAnsi="Palatino Linotype" w:cs="Palatino Linotype"/>
          <w:i/>
        </w:rPr>
      </w:pPr>
      <w:r w:rsidRPr="00F571ED">
        <w:rPr>
          <w:rFonts w:ascii="Palatino Linotype" w:eastAsia="Palatino Linotype" w:hAnsi="Palatino Linotype" w:cs="Palatino Linotype"/>
          <w:b/>
          <w:i/>
        </w:rPr>
        <w:lastRenderedPageBreak/>
        <w:t>Quincuagésimo octavo</w:t>
      </w:r>
      <w:r w:rsidRPr="00F571ED">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rsidR="00B04DD5" w:rsidRPr="00F571ED" w:rsidRDefault="00B04DD5" w:rsidP="0049477B">
      <w:pPr>
        <w:spacing w:line="360" w:lineRule="auto"/>
        <w:jc w:val="both"/>
        <w:rPr>
          <w:rFonts w:ascii="Palatino Linotype" w:eastAsia="Palatino Linotype" w:hAnsi="Palatino Linotype" w:cs="Palatino Linotype"/>
          <w:i/>
        </w:rPr>
      </w:pP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F571ED">
        <w:rPr>
          <w:rFonts w:ascii="Palatino Linotype" w:eastAsia="Palatino Linotype" w:hAnsi="Palatino Linotype" w:cs="Palatino Linotype"/>
          <w:b/>
          <w:color w:val="000000"/>
        </w:rPr>
        <w:t>Sujeto Obligado</w:t>
      </w:r>
      <w:r w:rsidRPr="00F571ED">
        <w:rPr>
          <w:rFonts w:ascii="Palatino Linotype" w:eastAsia="Palatino Linotype" w:hAnsi="Palatino Linotype" w:cs="Palatino Linotype"/>
          <w:color w:val="000000"/>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B04DD5" w:rsidRPr="00F571ED" w:rsidRDefault="00B04DD5" w:rsidP="0049477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Luego entonces en un correo electrónico, se pueden remitir diversos datos personales, dependiendo del contenido y del contexto en el que se envíe. En el caso concreto pudiendo ser de manera enunciativa mas no limitativa, nombres de particulares o terceros, Registro Federal de Contribuyentes (RFC), Clave Única de Registro de Población (CURP), teléfonos particulares, correos electrónicos particulares, domicilios particulares, firma o rúbrica de particulares, fotografías de particulares, códigos de seguridad, nombres de usuario, contraseñas, enlaces a perfiles de redes sociales particulares.</w:t>
      </w: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lastRenderedPageBreak/>
        <w:t xml:space="preserve">Luego entonces, el </w:t>
      </w:r>
      <w:r w:rsidRPr="00F571ED">
        <w:rPr>
          <w:rFonts w:ascii="Palatino Linotype" w:eastAsia="Palatino Linotype" w:hAnsi="Palatino Linotype" w:cs="Palatino Linotype"/>
          <w:b/>
          <w:color w:val="000000"/>
        </w:rPr>
        <w:t xml:space="preserve">SUJETOS OBLIGADOS </w:t>
      </w:r>
      <w:r w:rsidRPr="00F571ED">
        <w:rPr>
          <w:rFonts w:ascii="Palatino Linotype" w:eastAsia="Palatino Linotype" w:hAnsi="Palatino Linotype" w:cs="Palatino Linotype"/>
          <w:color w:val="000000"/>
        </w:rPr>
        <w:t>será responsable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B04DD5" w:rsidRPr="00F571ED" w:rsidRDefault="00B04DD5" w:rsidP="0049477B">
      <w:pPr>
        <w:tabs>
          <w:tab w:val="left" w:pos="284"/>
        </w:tabs>
        <w:spacing w:line="360" w:lineRule="auto"/>
        <w:jc w:val="both"/>
        <w:rPr>
          <w:rFonts w:ascii="Palatino Linotype" w:eastAsia="Palatino Linotype" w:hAnsi="Palatino Linotype" w:cs="Palatino Linotype"/>
          <w:color w:val="000000"/>
        </w:rPr>
      </w:pPr>
    </w:p>
    <w:tbl>
      <w:tblPr>
        <w:tblStyle w:val="a"/>
        <w:tblW w:w="9493"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804"/>
      </w:tblGrid>
      <w:tr w:rsidR="00B04DD5" w:rsidRPr="00F571ED" w:rsidTr="00776890">
        <w:tc>
          <w:tcPr>
            <w:tcW w:w="2689" w:type="dxa"/>
          </w:tcPr>
          <w:p w:rsidR="00B04DD5" w:rsidRPr="00F571ED" w:rsidRDefault="00DA3EFE" w:rsidP="0049477B">
            <w:pPr>
              <w:tabs>
                <w:tab w:val="left" w:pos="284"/>
              </w:tabs>
              <w:rPr>
                <w:rFonts w:ascii="Palatino Linotype" w:eastAsia="Palatino Linotype" w:hAnsi="Palatino Linotype" w:cs="Palatino Linotype"/>
              </w:rPr>
            </w:pPr>
            <w:r w:rsidRPr="00F571ED">
              <w:rPr>
                <w:rFonts w:ascii="Palatino Linotype" w:eastAsia="Palatino Linotype" w:hAnsi="Palatino Linotype" w:cs="Palatino Linotype"/>
              </w:rPr>
              <w:t>a) Requisitos previos.</w:t>
            </w:r>
          </w:p>
        </w:tc>
        <w:tc>
          <w:tcPr>
            <w:tcW w:w="6804" w:type="dxa"/>
          </w:tcPr>
          <w:p w:rsidR="00B04DD5" w:rsidRPr="00F571ED" w:rsidRDefault="00DA3EFE" w:rsidP="0049477B">
            <w:pPr>
              <w:tabs>
                <w:tab w:val="left" w:pos="284"/>
              </w:tabs>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B04DD5" w:rsidRPr="00F571ED" w:rsidRDefault="00DA3EFE" w:rsidP="0049477B">
            <w:pPr>
              <w:tabs>
                <w:tab w:val="left" w:pos="284"/>
              </w:tabs>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Al hacerlo tienen que precisar de qué información se trata, señalando el supuesto de clasificación (confidencialidad o reserva).</w:t>
            </w:r>
          </w:p>
          <w:p w:rsidR="00B04DD5" w:rsidRPr="00F571ED" w:rsidRDefault="00DA3EFE" w:rsidP="0049477B">
            <w:pPr>
              <w:tabs>
                <w:tab w:val="left" w:pos="284"/>
              </w:tabs>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rsidR="00B04DD5" w:rsidRPr="00F571ED" w:rsidRDefault="00DA3EFE" w:rsidP="0049477B">
            <w:pPr>
              <w:tabs>
                <w:tab w:val="left" w:pos="284"/>
              </w:tabs>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F571ED">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F571ED">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p w:rsidR="00B04DD5" w:rsidRPr="00F571ED" w:rsidRDefault="00B04DD5" w:rsidP="0049477B">
            <w:pPr>
              <w:tabs>
                <w:tab w:val="left" w:pos="284"/>
              </w:tabs>
              <w:jc w:val="both"/>
              <w:rPr>
                <w:rFonts w:ascii="Palatino Linotype" w:eastAsia="Palatino Linotype" w:hAnsi="Palatino Linotype" w:cs="Palatino Linotype"/>
              </w:rPr>
            </w:pPr>
          </w:p>
        </w:tc>
      </w:tr>
      <w:tr w:rsidR="00B04DD5" w:rsidRPr="00F571ED" w:rsidTr="00776890">
        <w:tc>
          <w:tcPr>
            <w:tcW w:w="2689" w:type="dxa"/>
          </w:tcPr>
          <w:p w:rsidR="00B04DD5" w:rsidRPr="00F571ED" w:rsidRDefault="00DA3EFE" w:rsidP="0049477B">
            <w:pPr>
              <w:tabs>
                <w:tab w:val="left" w:pos="284"/>
              </w:tabs>
              <w:rPr>
                <w:rFonts w:ascii="Palatino Linotype" w:eastAsia="Palatino Linotype" w:hAnsi="Palatino Linotype" w:cs="Palatino Linotype"/>
              </w:rPr>
            </w:pPr>
            <w:r w:rsidRPr="00F571ED">
              <w:rPr>
                <w:rFonts w:ascii="Palatino Linotype" w:eastAsia="Palatino Linotype" w:hAnsi="Palatino Linotype" w:cs="Palatino Linotype"/>
              </w:rPr>
              <w:t>b) Supuestos de clasificación.</w:t>
            </w:r>
          </w:p>
        </w:tc>
        <w:tc>
          <w:tcPr>
            <w:tcW w:w="6804" w:type="dxa"/>
          </w:tcPr>
          <w:p w:rsidR="00B04DD5" w:rsidRPr="00F571ED" w:rsidRDefault="00DA3EFE" w:rsidP="0049477B">
            <w:pPr>
              <w:tabs>
                <w:tab w:val="left" w:pos="284"/>
              </w:tabs>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B04DD5" w:rsidRPr="00F571ED" w:rsidRDefault="00DA3EFE" w:rsidP="0049477B">
            <w:pPr>
              <w:tabs>
                <w:tab w:val="left" w:pos="284"/>
              </w:tabs>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 xml:space="preserve">Los artículos 116 y 143 de la Ley Estatal y de la Ley General, respectivamente, señalan los supuestos para que la información pueda ser clasificada como confidencial. Mientras </w:t>
            </w:r>
            <w:r w:rsidRPr="00F571ED">
              <w:rPr>
                <w:rFonts w:ascii="Palatino Linotype" w:eastAsia="Palatino Linotype" w:hAnsi="Palatino Linotype" w:cs="Palatino Linotype"/>
                <w:color w:val="000000"/>
              </w:rPr>
              <w:lastRenderedPageBreak/>
              <w:t>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B04DD5" w:rsidRPr="00F571ED" w:rsidRDefault="00DA3EFE" w:rsidP="0049477B">
            <w:pPr>
              <w:tabs>
                <w:tab w:val="left" w:pos="284"/>
              </w:tabs>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 xml:space="preserve">El </w:t>
            </w:r>
            <w:r w:rsidRPr="00F571ED">
              <w:rPr>
                <w:rFonts w:ascii="Palatino Linotype" w:eastAsia="Palatino Linotype" w:hAnsi="Palatino Linotype" w:cs="Palatino Linotype"/>
                <w:b/>
                <w:color w:val="000000"/>
              </w:rPr>
              <w:t>Sujeto Obligado</w:t>
            </w:r>
            <w:r w:rsidRPr="00F571ED">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B04DD5" w:rsidRPr="00F571ED" w:rsidRDefault="00B04DD5" w:rsidP="0049477B">
            <w:pPr>
              <w:tabs>
                <w:tab w:val="left" w:pos="284"/>
              </w:tabs>
              <w:jc w:val="both"/>
              <w:rPr>
                <w:rFonts w:ascii="Palatino Linotype" w:eastAsia="Palatino Linotype" w:hAnsi="Palatino Linotype" w:cs="Palatino Linotype"/>
              </w:rPr>
            </w:pPr>
          </w:p>
        </w:tc>
      </w:tr>
      <w:tr w:rsidR="00B04DD5" w:rsidRPr="00F571ED" w:rsidTr="00776890">
        <w:tc>
          <w:tcPr>
            <w:tcW w:w="2689" w:type="dxa"/>
          </w:tcPr>
          <w:p w:rsidR="00B04DD5" w:rsidRPr="00F571ED" w:rsidRDefault="00DA3EFE" w:rsidP="0049477B">
            <w:pPr>
              <w:tabs>
                <w:tab w:val="left" w:pos="284"/>
              </w:tabs>
              <w:rPr>
                <w:rFonts w:ascii="Palatino Linotype" w:eastAsia="Palatino Linotype" w:hAnsi="Palatino Linotype" w:cs="Palatino Linotype"/>
              </w:rPr>
            </w:pPr>
            <w:r w:rsidRPr="00F571ED">
              <w:rPr>
                <w:rFonts w:ascii="Palatino Linotype" w:eastAsia="Palatino Linotype" w:hAnsi="Palatino Linotype" w:cs="Palatino Linotype"/>
              </w:rPr>
              <w:lastRenderedPageBreak/>
              <w:t>c) Formalidades para emitir el acuerdo de clasificación.</w:t>
            </w:r>
          </w:p>
        </w:tc>
        <w:tc>
          <w:tcPr>
            <w:tcW w:w="6804" w:type="dxa"/>
          </w:tcPr>
          <w:p w:rsidR="00B04DD5" w:rsidRPr="00F571ED" w:rsidRDefault="00DA3EFE" w:rsidP="0049477B">
            <w:pPr>
              <w:tabs>
                <w:tab w:val="left" w:pos="284"/>
              </w:tabs>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B04DD5" w:rsidRPr="00F571ED" w:rsidRDefault="00DA3EFE" w:rsidP="0049477B">
            <w:pPr>
              <w:tabs>
                <w:tab w:val="left" w:pos="284"/>
              </w:tabs>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 xml:space="preserve">Es necesario que </w:t>
            </w:r>
            <w:r w:rsidRPr="00F571ED">
              <w:rPr>
                <w:rFonts w:ascii="Palatino Linotype" w:eastAsia="Palatino Linotype" w:hAnsi="Palatino Linotype" w:cs="Palatino Linotype"/>
                <w:b/>
                <w:color w:val="000000"/>
                <w:u w:val="single"/>
              </w:rPr>
              <w:t>el acto reúna con los requisitos elementales</w:t>
            </w:r>
            <w:r w:rsidRPr="00F571ED">
              <w:rPr>
                <w:rFonts w:ascii="Palatino Linotype" w:eastAsia="Palatino Linotype" w:hAnsi="Palatino Linotype" w:cs="Palatino Linotype"/>
                <w:color w:val="000000"/>
              </w:rPr>
              <w:t>, entre ellos, que la autoridad que va a emitir el acto de autoridad sea la legalmente facultada para ello.</w:t>
            </w:r>
          </w:p>
          <w:p w:rsidR="00B04DD5" w:rsidRPr="00F571ED" w:rsidRDefault="00DA3EFE" w:rsidP="0049477B">
            <w:pPr>
              <w:tabs>
                <w:tab w:val="left" w:pos="284"/>
              </w:tabs>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B04DD5" w:rsidRPr="00F571ED" w:rsidRDefault="00B04DD5" w:rsidP="0049477B">
            <w:pPr>
              <w:tabs>
                <w:tab w:val="left" w:pos="284"/>
              </w:tabs>
              <w:jc w:val="both"/>
              <w:rPr>
                <w:rFonts w:ascii="Palatino Linotype" w:eastAsia="Palatino Linotype" w:hAnsi="Palatino Linotype" w:cs="Palatino Linotype"/>
              </w:rPr>
            </w:pPr>
          </w:p>
        </w:tc>
      </w:tr>
      <w:tr w:rsidR="00B04DD5" w:rsidRPr="00F571ED" w:rsidTr="00776890">
        <w:tc>
          <w:tcPr>
            <w:tcW w:w="2689" w:type="dxa"/>
          </w:tcPr>
          <w:p w:rsidR="00B04DD5" w:rsidRPr="00F571ED" w:rsidRDefault="00B04DD5" w:rsidP="0049477B">
            <w:pPr>
              <w:tabs>
                <w:tab w:val="left" w:pos="284"/>
              </w:tabs>
              <w:rPr>
                <w:rFonts w:ascii="Palatino Linotype" w:eastAsia="Palatino Linotype" w:hAnsi="Palatino Linotype" w:cs="Palatino Linotype"/>
              </w:rPr>
            </w:pPr>
          </w:p>
          <w:p w:rsidR="00B04DD5" w:rsidRPr="00F571ED" w:rsidRDefault="00DA3EFE" w:rsidP="0049477B">
            <w:pPr>
              <w:tabs>
                <w:tab w:val="left" w:pos="284"/>
              </w:tabs>
              <w:jc w:val="both"/>
              <w:rPr>
                <w:rFonts w:ascii="Palatino Linotype" w:eastAsia="Palatino Linotype" w:hAnsi="Palatino Linotype" w:cs="Palatino Linotype"/>
              </w:rPr>
            </w:pPr>
            <w:r w:rsidRPr="00F571ED">
              <w:rPr>
                <w:rFonts w:ascii="Palatino Linotype" w:eastAsia="Palatino Linotype" w:hAnsi="Palatino Linotype" w:cs="Palatino Linotype"/>
                <w:color w:val="000000"/>
              </w:rPr>
              <w:t xml:space="preserve">d) Requisitos de fondo del acuerdo de clasificación. </w:t>
            </w:r>
          </w:p>
        </w:tc>
        <w:tc>
          <w:tcPr>
            <w:tcW w:w="6804" w:type="dxa"/>
          </w:tcPr>
          <w:p w:rsidR="00B04DD5" w:rsidRPr="00F571ED" w:rsidRDefault="00DA3EFE" w:rsidP="0049477B">
            <w:pPr>
              <w:tabs>
                <w:tab w:val="left" w:pos="284"/>
              </w:tabs>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571ED">
              <w:rPr>
                <w:rFonts w:ascii="Palatino Linotype" w:eastAsia="Palatino Linotype" w:hAnsi="Palatino Linotype" w:cs="Palatino Linotype"/>
                <w:b/>
                <w:color w:val="000000"/>
              </w:rPr>
              <w:lastRenderedPageBreak/>
              <w:t>Sujetos Obligados</w:t>
            </w:r>
            <w:r w:rsidRPr="00F571ED">
              <w:rPr>
                <w:rFonts w:ascii="Palatino Linotype" w:eastAsia="Palatino Linotype" w:hAnsi="Palatino Linotype" w:cs="Palatino Linotype"/>
                <w:color w:val="000000"/>
              </w:rPr>
              <w:t xml:space="preserve">, por lo que deberán fundar y motivar debidamente la clasificación. </w:t>
            </w:r>
          </w:p>
          <w:p w:rsidR="00B04DD5" w:rsidRPr="00F571ED" w:rsidRDefault="00DA3EFE" w:rsidP="0049477B">
            <w:pPr>
              <w:tabs>
                <w:tab w:val="left" w:pos="284"/>
              </w:tabs>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 xml:space="preserve">De lo anterior, se desprende que para una correcta </w:t>
            </w:r>
            <w:r w:rsidRPr="00F571ED">
              <w:rPr>
                <w:rFonts w:ascii="Palatino Linotype" w:eastAsia="Palatino Linotype" w:hAnsi="Palatino Linotype" w:cs="Palatino Linotype"/>
                <w:b/>
                <w:color w:val="000000"/>
              </w:rPr>
              <w:t>clasificación total o parcial</w:t>
            </w:r>
            <w:r w:rsidRPr="00F571ED">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04DD5" w:rsidRPr="00F571ED" w:rsidRDefault="00DA3EFE" w:rsidP="0049477B">
            <w:pPr>
              <w:tabs>
                <w:tab w:val="left" w:pos="284"/>
              </w:tabs>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B04DD5" w:rsidRPr="00F571ED" w:rsidRDefault="00DA3EFE" w:rsidP="0049477B">
            <w:pPr>
              <w:tabs>
                <w:tab w:val="left" w:pos="284"/>
              </w:tabs>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B04DD5" w:rsidRPr="00F571ED" w:rsidRDefault="00DA3EFE" w:rsidP="0049477B">
            <w:pPr>
              <w:tabs>
                <w:tab w:val="left" w:pos="284"/>
              </w:tabs>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 xml:space="preserve">Ahora bien, </w:t>
            </w:r>
            <w:r w:rsidRPr="00F571ED">
              <w:rPr>
                <w:rFonts w:ascii="Palatino Linotype" w:eastAsia="Palatino Linotype" w:hAnsi="Palatino Linotype" w:cs="Palatino Linotype"/>
                <w:b/>
                <w:color w:val="000000"/>
                <w:u w:val="single"/>
              </w:rPr>
              <w:t>para cada caso además de fundar y motivar</w:t>
            </w:r>
            <w:r w:rsidRPr="00F571ED">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rsidR="00B04DD5" w:rsidRPr="00F571ED" w:rsidRDefault="00B04DD5" w:rsidP="0049477B">
            <w:pPr>
              <w:tabs>
                <w:tab w:val="left" w:pos="284"/>
              </w:tabs>
              <w:jc w:val="both"/>
              <w:rPr>
                <w:rFonts w:ascii="Palatino Linotype" w:eastAsia="Palatino Linotype" w:hAnsi="Palatino Linotype" w:cs="Palatino Linotype"/>
                <w:color w:val="000000"/>
              </w:rPr>
            </w:pPr>
          </w:p>
        </w:tc>
      </w:tr>
      <w:tr w:rsidR="00B04DD5" w:rsidRPr="00F571ED" w:rsidTr="00776890">
        <w:tc>
          <w:tcPr>
            <w:tcW w:w="2689" w:type="dxa"/>
          </w:tcPr>
          <w:p w:rsidR="00B04DD5" w:rsidRPr="00F571ED" w:rsidRDefault="00DA3EFE" w:rsidP="0049477B">
            <w:pPr>
              <w:tabs>
                <w:tab w:val="left" w:pos="284"/>
              </w:tabs>
              <w:jc w:val="both"/>
              <w:rPr>
                <w:rFonts w:ascii="Palatino Linotype" w:eastAsia="Palatino Linotype" w:hAnsi="Palatino Linotype" w:cs="Palatino Linotype"/>
              </w:rPr>
            </w:pPr>
            <w:r w:rsidRPr="00F571ED">
              <w:rPr>
                <w:rFonts w:ascii="Palatino Linotype" w:eastAsia="Palatino Linotype" w:hAnsi="Palatino Linotype" w:cs="Palatino Linotype"/>
              </w:rPr>
              <w:lastRenderedPageBreak/>
              <w:t xml:space="preserve">e) Condiciones especiales de la clasificación de la </w:t>
            </w:r>
            <w:r w:rsidRPr="00F571ED">
              <w:rPr>
                <w:rFonts w:ascii="Palatino Linotype" w:eastAsia="Palatino Linotype" w:hAnsi="Palatino Linotype" w:cs="Palatino Linotype"/>
              </w:rPr>
              <w:lastRenderedPageBreak/>
              <w:t xml:space="preserve">información como confidencial. </w:t>
            </w:r>
          </w:p>
        </w:tc>
        <w:tc>
          <w:tcPr>
            <w:tcW w:w="6804" w:type="dxa"/>
          </w:tcPr>
          <w:p w:rsidR="00B04DD5" w:rsidRPr="00F571ED" w:rsidRDefault="00DA3EFE" w:rsidP="0049477B">
            <w:pPr>
              <w:tabs>
                <w:tab w:val="left" w:pos="284"/>
              </w:tabs>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lastRenderedPageBreak/>
              <w:t xml:space="preserve">Los artículos 148 y 120 de la Ley Estatal y de la Ley General, respectivamente, establecen que aun tratándose de datos personales, se podrán proporcionar, incluso sin solicitar el consentimiento de su titular. </w:t>
            </w:r>
          </w:p>
          <w:p w:rsidR="00B04DD5" w:rsidRPr="00F571ED" w:rsidRDefault="00DA3EFE" w:rsidP="0049477B">
            <w:pPr>
              <w:tabs>
                <w:tab w:val="left" w:pos="284"/>
              </w:tabs>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B04DD5" w:rsidRPr="00F571ED" w:rsidRDefault="00DA3EFE" w:rsidP="0049477B">
            <w:pPr>
              <w:tabs>
                <w:tab w:val="left" w:pos="284"/>
              </w:tabs>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rsidR="00B04DD5" w:rsidRPr="00F571ED" w:rsidRDefault="00B04DD5" w:rsidP="0049477B">
            <w:pPr>
              <w:tabs>
                <w:tab w:val="left" w:pos="284"/>
              </w:tabs>
              <w:rPr>
                <w:rFonts w:ascii="Palatino Linotype" w:eastAsia="Palatino Linotype" w:hAnsi="Palatino Linotype" w:cs="Palatino Linotype"/>
              </w:rPr>
            </w:pPr>
          </w:p>
        </w:tc>
      </w:tr>
    </w:tbl>
    <w:p w:rsidR="00A430C2" w:rsidRPr="00F571ED" w:rsidRDefault="00A430C2" w:rsidP="00A430C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04DD5" w:rsidRPr="00F571ED"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B04DD5" w:rsidRPr="00F571ED" w:rsidRDefault="00B04DD5" w:rsidP="0049477B">
      <w:pPr>
        <w:spacing w:line="360" w:lineRule="auto"/>
        <w:jc w:val="both"/>
        <w:rPr>
          <w:rFonts w:ascii="Palatino Linotype" w:eastAsia="Palatino Linotype" w:hAnsi="Palatino Linotype" w:cs="Palatino Linotype"/>
          <w:b/>
          <w:color w:val="000000"/>
        </w:rPr>
      </w:pPr>
    </w:p>
    <w:p w:rsidR="00B04DD5" w:rsidRDefault="00DA3EFE" w:rsidP="0049477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 xml:space="preserve">Por lo anteriormente expuesto y fundado, este </w:t>
      </w:r>
      <w:r w:rsidRPr="00F571ED">
        <w:rPr>
          <w:rFonts w:ascii="Palatino Linotype" w:eastAsia="Palatino Linotype" w:hAnsi="Palatino Linotype" w:cs="Palatino Linotype"/>
          <w:b/>
          <w:color w:val="000000"/>
        </w:rPr>
        <w:t>ÓRGANO GARANTE</w:t>
      </w:r>
      <w:r w:rsidRPr="00F571ED">
        <w:rPr>
          <w:rFonts w:ascii="Palatino Linotype" w:eastAsia="Palatino Linotype" w:hAnsi="Palatino Linotype" w:cs="Palatino Linotype"/>
          <w:color w:val="000000"/>
        </w:rPr>
        <w:t xml:space="preserve"> emite los siguientes: </w:t>
      </w:r>
    </w:p>
    <w:p w:rsidR="00776890" w:rsidRDefault="00776890" w:rsidP="00776890">
      <w:pPr>
        <w:pStyle w:val="Prrafodelista"/>
        <w:rPr>
          <w:rFonts w:ascii="Palatino Linotype" w:eastAsia="Palatino Linotype" w:hAnsi="Palatino Linotype" w:cs="Palatino Linotype"/>
          <w:color w:val="000000"/>
        </w:rPr>
      </w:pPr>
    </w:p>
    <w:p w:rsidR="00776890" w:rsidRPr="00F571ED" w:rsidRDefault="00776890" w:rsidP="0077689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04DD5" w:rsidRPr="00F571ED" w:rsidRDefault="00DA3EFE" w:rsidP="0049477B">
      <w:pPr>
        <w:keepNext/>
        <w:keepLines/>
        <w:spacing w:line="360" w:lineRule="auto"/>
        <w:jc w:val="center"/>
        <w:rPr>
          <w:rFonts w:ascii="Palatino Linotype" w:eastAsia="Palatino Linotype" w:hAnsi="Palatino Linotype" w:cs="Palatino Linotype"/>
          <w:b/>
          <w:color w:val="000000"/>
        </w:rPr>
      </w:pPr>
      <w:r w:rsidRPr="00F571ED">
        <w:rPr>
          <w:rFonts w:ascii="Palatino Linotype" w:eastAsia="Palatino Linotype" w:hAnsi="Palatino Linotype" w:cs="Palatino Linotype"/>
          <w:b/>
          <w:color w:val="000000"/>
        </w:rPr>
        <w:t>R E S O L U T I V O S</w:t>
      </w:r>
    </w:p>
    <w:p w:rsidR="00B04DD5" w:rsidRPr="00F571ED" w:rsidRDefault="00B04DD5" w:rsidP="0049477B">
      <w:pPr>
        <w:spacing w:line="360" w:lineRule="auto"/>
        <w:jc w:val="both"/>
        <w:rPr>
          <w:rFonts w:ascii="Palatino Linotype" w:eastAsia="Palatino Linotype" w:hAnsi="Palatino Linotype" w:cs="Palatino Linotype"/>
          <w:b/>
        </w:rPr>
      </w:pPr>
    </w:p>
    <w:p w:rsidR="00B04DD5" w:rsidRPr="00F571ED" w:rsidRDefault="00DA3EFE" w:rsidP="0049477B">
      <w:pPr>
        <w:spacing w:line="360" w:lineRule="auto"/>
        <w:jc w:val="both"/>
        <w:rPr>
          <w:rFonts w:ascii="Palatino Linotype" w:eastAsia="Palatino Linotype" w:hAnsi="Palatino Linotype" w:cs="Palatino Linotype"/>
        </w:rPr>
      </w:pPr>
      <w:r w:rsidRPr="00F571ED">
        <w:rPr>
          <w:rFonts w:ascii="Palatino Linotype" w:eastAsia="Palatino Linotype" w:hAnsi="Palatino Linotype" w:cs="Palatino Linotype"/>
          <w:b/>
        </w:rPr>
        <w:t>PRIMERO</w:t>
      </w:r>
      <w:r w:rsidRPr="00F571ED">
        <w:rPr>
          <w:rFonts w:ascii="Palatino Linotype" w:eastAsia="Palatino Linotype" w:hAnsi="Palatino Linotype" w:cs="Palatino Linotype"/>
        </w:rPr>
        <w:t xml:space="preserve">. Resultan fundadas las razones o motivos de inconformidad hechos valer en el Recurso de Revisión </w:t>
      </w:r>
      <w:r w:rsidRPr="00F571ED">
        <w:rPr>
          <w:rFonts w:ascii="Palatino Linotype" w:eastAsia="Palatino Linotype" w:hAnsi="Palatino Linotype" w:cs="Palatino Linotype"/>
          <w:b/>
        </w:rPr>
        <w:t xml:space="preserve">03413/INFOEM/IP/RR/2025, </w:t>
      </w:r>
      <w:r w:rsidRPr="00F571ED">
        <w:rPr>
          <w:rFonts w:ascii="Palatino Linotype" w:eastAsia="Palatino Linotype" w:hAnsi="Palatino Linotype" w:cs="Palatino Linotype"/>
        </w:rPr>
        <w:t xml:space="preserve">en términos de los Considerandos </w:t>
      </w:r>
      <w:r w:rsidRPr="00F571ED">
        <w:rPr>
          <w:rFonts w:ascii="Palatino Linotype" w:eastAsia="Palatino Linotype" w:hAnsi="Palatino Linotype" w:cs="Palatino Linotype"/>
          <w:b/>
        </w:rPr>
        <w:t xml:space="preserve">Cuarto </w:t>
      </w:r>
      <w:r w:rsidRPr="00F571ED">
        <w:rPr>
          <w:rFonts w:ascii="Palatino Linotype" w:eastAsia="Palatino Linotype" w:hAnsi="Palatino Linotype" w:cs="Palatino Linotype"/>
        </w:rPr>
        <w:t>y</w:t>
      </w:r>
      <w:r w:rsidRPr="00F571ED">
        <w:rPr>
          <w:rFonts w:ascii="Palatino Linotype" w:eastAsia="Palatino Linotype" w:hAnsi="Palatino Linotype" w:cs="Palatino Linotype"/>
          <w:b/>
        </w:rPr>
        <w:t xml:space="preserve"> Quinto </w:t>
      </w:r>
      <w:r w:rsidRPr="00F571ED">
        <w:rPr>
          <w:rFonts w:ascii="Palatino Linotype" w:eastAsia="Palatino Linotype" w:hAnsi="Palatino Linotype" w:cs="Palatino Linotype"/>
        </w:rPr>
        <w:t xml:space="preserve">de la presente Resolución. </w:t>
      </w:r>
    </w:p>
    <w:p w:rsidR="00B04DD5" w:rsidRPr="00F571ED" w:rsidRDefault="00B04DD5" w:rsidP="0049477B">
      <w:pPr>
        <w:spacing w:line="360" w:lineRule="auto"/>
        <w:jc w:val="both"/>
        <w:rPr>
          <w:rFonts w:ascii="Palatino Linotype" w:eastAsia="Palatino Linotype" w:hAnsi="Palatino Linotype" w:cs="Palatino Linotype"/>
        </w:rPr>
      </w:pPr>
    </w:p>
    <w:p w:rsidR="00B04DD5" w:rsidRPr="00F571ED" w:rsidRDefault="00DA3EFE" w:rsidP="0049477B">
      <w:pPr>
        <w:pBdr>
          <w:top w:val="nil"/>
          <w:left w:val="nil"/>
          <w:bottom w:val="nil"/>
          <w:right w:val="nil"/>
          <w:between w:val="nil"/>
        </w:pBdr>
        <w:tabs>
          <w:tab w:val="left" w:pos="9639"/>
        </w:tabs>
        <w:spacing w:line="360" w:lineRule="auto"/>
        <w:jc w:val="both"/>
        <w:rPr>
          <w:rFonts w:ascii="Palatino Linotype" w:eastAsia="Palatino Linotype" w:hAnsi="Palatino Linotype" w:cs="Palatino Linotype"/>
          <w:color w:val="000000"/>
        </w:rPr>
      </w:pPr>
      <w:bookmarkStart w:id="8" w:name="_heading=h.1ksv4uv" w:colFirst="0" w:colLast="0"/>
      <w:bookmarkEnd w:id="8"/>
      <w:r w:rsidRPr="00F571ED">
        <w:rPr>
          <w:rFonts w:ascii="Palatino Linotype" w:eastAsia="Palatino Linotype" w:hAnsi="Palatino Linotype" w:cs="Palatino Linotype"/>
          <w:b/>
          <w:color w:val="000000"/>
        </w:rPr>
        <w:lastRenderedPageBreak/>
        <w:t xml:space="preserve">SEGUNDO. </w:t>
      </w:r>
      <w:r w:rsidRPr="00F571ED">
        <w:rPr>
          <w:rFonts w:ascii="Palatino Linotype" w:eastAsia="Palatino Linotype" w:hAnsi="Palatino Linotype" w:cs="Palatino Linotype"/>
          <w:color w:val="000000"/>
        </w:rPr>
        <w:t xml:space="preserve">Se </w:t>
      </w:r>
      <w:r w:rsidRPr="00F571ED">
        <w:rPr>
          <w:rFonts w:ascii="Palatino Linotype" w:eastAsia="Palatino Linotype" w:hAnsi="Palatino Linotype" w:cs="Palatino Linotype"/>
          <w:b/>
          <w:color w:val="000000"/>
        </w:rPr>
        <w:t>REVOCA</w:t>
      </w:r>
      <w:r w:rsidRPr="00F571ED">
        <w:rPr>
          <w:rFonts w:ascii="Palatino Linotype" w:eastAsia="Palatino Linotype" w:hAnsi="Palatino Linotype" w:cs="Palatino Linotype"/>
          <w:color w:val="000000"/>
        </w:rPr>
        <w:t xml:space="preserve"> la respuesta y se </w:t>
      </w:r>
      <w:r w:rsidRPr="00F571ED">
        <w:rPr>
          <w:rFonts w:ascii="Palatino Linotype" w:eastAsia="Palatino Linotype" w:hAnsi="Palatino Linotype" w:cs="Palatino Linotype"/>
          <w:b/>
          <w:color w:val="000000"/>
        </w:rPr>
        <w:t xml:space="preserve">ORDENA </w:t>
      </w:r>
      <w:r w:rsidRPr="00F571ED">
        <w:rPr>
          <w:rFonts w:ascii="Palatino Linotype" w:eastAsia="Palatino Linotype" w:hAnsi="Palatino Linotype" w:cs="Palatino Linotype"/>
          <w:color w:val="000000"/>
        </w:rPr>
        <w:t xml:space="preserve">a la </w:t>
      </w:r>
      <w:r w:rsidRPr="00F571ED">
        <w:rPr>
          <w:rFonts w:ascii="Palatino Linotype" w:eastAsia="Palatino Linotype" w:hAnsi="Palatino Linotype" w:cs="Palatino Linotype"/>
          <w:b/>
          <w:color w:val="000000"/>
        </w:rPr>
        <w:t xml:space="preserve">Secretaría de Movilidad </w:t>
      </w:r>
      <w:r w:rsidRPr="00F571ED">
        <w:rPr>
          <w:rFonts w:ascii="Palatino Linotype" w:eastAsia="Palatino Linotype" w:hAnsi="Palatino Linotype" w:cs="Palatino Linotype"/>
          <w:color w:val="000000"/>
        </w:rPr>
        <w:t>entregar vía Sistema de Acceso a la Información Mexiquense (SAIMEX), de ser el caso en versión pública</w:t>
      </w:r>
      <w:r w:rsidRPr="00F571ED">
        <w:rPr>
          <w:rFonts w:ascii="Palatino Linotype" w:eastAsia="Palatino Linotype" w:hAnsi="Palatino Linotype" w:cs="Palatino Linotype"/>
          <w:b/>
          <w:color w:val="000000"/>
        </w:rPr>
        <w:t>,</w:t>
      </w:r>
      <w:r w:rsidRPr="00F571ED">
        <w:rPr>
          <w:rFonts w:ascii="Palatino Linotype" w:eastAsia="Palatino Linotype" w:hAnsi="Palatino Linotype" w:cs="Palatino Linotype"/>
          <w:color w:val="000000"/>
        </w:rPr>
        <w:t xml:space="preserve"> la siguiente información en formato PDF o en el que se hayan generado:</w:t>
      </w:r>
    </w:p>
    <w:p w:rsidR="00B04DD5" w:rsidRPr="00F571ED" w:rsidRDefault="00B04DD5" w:rsidP="0049477B">
      <w:pPr>
        <w:pBdr>
          <w:top w:val="nil"/>
          <w:left w:val="nil"/>
          <w:bottom w:val="nil"/>
          <w:right w:val="nil"/>
          <w:between w:val="nil"/>
        </w:pBdr>
        <w:spacing w:line="360" w:lineRule="auto"/>
        <w:rPr>
          <w:rFonts w:ascii="Palatino Linotype" w:eastAsia="Palatino Linotype" w:hAnsi="Palatino Linotype" w:cs="Palatino Linotype"/>
          <w:color w:val="000000"/>
        </w:rPr>
      </w:pPr>
    </w:p>
    <w:p w:rsidR="00B04DD5" w:rsidRPr="00F571ED" w:rsidRDefault="00DA3EFE" w:rsidP="00776890">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571ED">
        <w:rPr>
          <w:rFonts w:ascii="Palatino Linotype" w:eastAsia="Palatino Linotype" w:hAnsi="Palatino Linotype" w:cs="Palatino Linotype"/>
          <w:color w:val="000000"/>
        </w:rPr>
        <w:t>Oficios, y sus anexos de ser el caso, signados por subdirectores, jefes de departamento y, la Vocal del Instituto del Transporte, en la anualidad 2023.</w:t>
      </w:r>
    </w:p>
    <w:p w:rsidR="00B04DD5" w:rsidRPr="00F571ED" w:rsidRDefault="00B04DD5" w:rsidP="0049477B">
      <w:pPr>
        <w:spacing w:line="360" w:lineRule="auto"/>
        <w:jc w:val="both"/>
        <w:rPr>
          <w:rFonts w:ascii="Palatino Linotype" w:eastAsia="Palatino Linotype" w:hAnsi="Palatino Linotype" w:cs="Palatino Linotype"/>
          <w:color w:val="000000"/>
        </w:rPr>
      </w:pPr>
    </w:p>
    <w:p w:rsidR="00B04DD5" w:rsidRPr="00F571ED" w:rsidRDefault="00DA3EFE" w:rsidP="0049477B">
      <w:pPr>
        <w:spacing w:line="360" w:lineRule="auto"/>
        <w:jc w:val="both"/>
        <w:rPr>
          <w:rFonts w:ascii="Palatino Linotype" w:eastAsia="Palatino Linotype" w:hAnsi="Palatino Linotype" w:cs="Palatino Linotype"/>
        </w:rPr>
      </w:pPr>
      <w:r w:rsidRPr="00F571ED">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 </w:t>
      </w:r>
    </w:p>
    <w:p w:rsidR="00B04DD5" w:rsidRPr="00F571ED" w:rsidRDefault="00B04DD5" w:rsidP="0049477B">
      <w:pPr>
        <w:spacing w:line="360" w:lineRule="auto"/>
        <w:jc w:val="both"/>
        <w:rPr>
          <w:rFonts w:ascii="Palatino Linotype" w:eastAsia="Palatino Linotype" w:hAnsi="Palatino Linotype" w:cs="Palatino Linotype"/>
        </w:rPr>
      </w:pPr>
    </w:p>
    <w:p w:rsidR="00B04DD5" w:rsidRPr="00F571ED" w:rsidRDefault="00DA3EFE" w:rsidP="0049477B">
      <w:pPr>
        <w:spacing w:line="360" w:lineRule="auto"/>
        <w:jc w:val="both"/>
        <w:rPr>
          <w:rFonts w:ascii="Palatino Linotype" w:eastAsia="Palatino Linotype" w:hAnsi="Palatino Linotype" w:cs="Palatino Linotype"/>
        </w:rPr>
      </w:pPr>
      <w:r w:rsidRPr="00F571ED">
        <w:rPr>
          <w:rFonts w:ascii="Palatino Linotype" w:eastAsia="Palatino Linotype" w:hAnsi="Palatino Linotype" w:cs="Palatino Linotype"/>
        </w:rPr>
        <w:t xml:space="preserve">Para el caso de no contar con algún oficio, en razón de haber sido cancelado, bastará que lo haga del conocimiento del </w:t>
      </w:r>
      <w:r w:rsidRPr="00F571ED">
        <w:rPr>
          <w:rFonts w:ascii="Palatino Linotype" w:eastAsia="Palatino Linotype" w:hAnsi="Palatino Linotype" w:cs="Palatino Linotype"/>
          <w:b/>
        </w:rPr>
        <w:t>RECURRENTE</w:t>
      </w:r>
      <w:r w:rsidRPr="00F571ED">
        <w:rPr>
          <w:rFonts w:ascii="Palatino Linotype" w:eastAsia="Palatino Linotype" w:hAnsi="Palatino Linotype" w:cs="Palatino Linotype"/>
        </w:rPr>
        <w:t xml:space="preserve"> al momento de dar cumplimiento a la presente Resolución en términos del artículo 19 segundo párrafo de la  </w:t>
      </w:r>
      <w:r w:rsidRPr="00F571ED">
        <w:rPr>
          <w:rFonts w:ascii="Palatino Linotype" w:eastAsia="Palatino Linotype" w:hAnsi="Palatino Linotype" w:cs="Palatino Linotype"/>
          <w:color w:val="222222"/>
        </w:rPr>
        <w:t>Ley de Transparencia y Acceso a la Información Pública del Estado de México y Municipios.</w:t>
      </w:r>
    </w:p>
    <w:p w:rsidR="00B04DD5" w:rsidRPr="00F571ED" w:rsidRDefault="00B04DD5" w:rsidP="0049477B">
      <w:pPr>
        <w:spacing w:line="360" w:lineRule="auto"/>
        <w:jc w:val="both"/>
        <w:rPr>
          <w:rFonts w:ascii="Palatino Linotype" w:eastAsia="Palatino Linotype" w:hAnsi="Palatino Linotype" w:cs="Palatino Linotype"/>
        </w:rPr>
      </w:pPr>
    </w:p>
    <w:p w:rsidR="00B04DD5" w:rsidRPr="00F571ED" w:rsidRDefault="00DA3EFE" w:rsidP="0049477B">
      <w:pPr>
        <w:tabs>
          <w:tab w:val="left" w:pos="284"/>
          <w:tab w:val="left" w:pos="8080"/>
        </w:tabs>
        <w:spacing w:line="360" w:lineRule="auto"/>
        <w:jc w:val="both"/>
        <w:rPr>
          <w:rFonts w:ascii="Palatino Linotype" w:eastAsia="Palatino Linotype" w:hAnsi="Palatino Linotype" w:cs="Palatino Linotype"/>
          <w:color w:val="222222"/>
        </w:rPr>
      </w:pPr>
      <w:r w:rsidRPr="00F571ED">
        <w:rPr>
          <w:rFonts w:ascii="Palatino Linotype" w:eastAsia="Palatino Linotype" w:hAnsi="Palatino Linotype" w:cs="Palatino Linotype"/>
          <w:b/>
        </w:rPr>
        <w:t xml:space="preserve">TERCERO. </w:t>
      </w:r>
      <w:r w:rsidRPr="00F571ED">
        <w:rPr>
          <w:rFonts w:ascii="Palatino Linotype" w:eastAsia="Palatino Linotype" w:hAnsi="Palatino Linotype" w:cs="Palatino Linotype"/>
          <w:b/>
          <w:color w:val="222222"/>
        </w:rPr>
        <w:t>NOTIFÍQUESE</w:t>
      </w:r>
      <w:r w:rsidRPr="00F571ED">
        <w:rPr>
          <w:rFonts w:ascii="Palatino Linotype" w:eastAsia="Palatino Linotype" w:hAnsi="Palatino Linotype" w:cs="Palatino Linotype"/>
          <w:color w:val="222222"/>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F571ED">
        <w:rPr>
          <w:rFonts w:ascii="Palatino Linotype" w:eastAsia="Palatino Linotype" w:hAnsi="Palatino Linotype" w:cs="Palatino Linotype"/>
          <w:b/>
          <w:color w:val="222222"/>
        </w:rPr>
        <w:t xml:space="preserve">dé cumplimiento a lo ordenado dentro del </w:t>
      </w:r>
      <w:r w:rsidRPr="00F571ED">
        <w:rPr>
          <w:rFonts w:ascii="Palatino Linotype" w:eastAsia="Palatino Linotype" w:hAnsi="Palatino Linotype" w:cs="Palatino Linotype"/>
          <w:b/>
          <w:color w:val="222222"/>
        </w:rPr>
        <w:lastRenderedPageBreak/>
        <w:t xml:space="preserve">plazo de diez días hábiles, </w:t>
      </w:r>
      <w:r w:rsidRPr="00F571ED">
        <w:rPr>
          <w:rFonts w:ascii="Palatino Linotype" w:eastAsia="Palatino Linotype" w:hAnsi="Palatino Linotype" w:cs="Palatino Linotype"/>
          <w:color w:val="222222"/>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B04DD5" w:rsidRPr="00F571ED" w:rsidRDefault="00B04DD5" w:rsidP="0049477B">
      <w:pPr>
        <w:tabs>
          <w:tab w:val="left" w:pos="284"/>
          <w:tab w:val="left" w:pos="8080"/>
        </w:tabs>
        <w:spacing w:line="360" w:lineRule="auto"/>
        <w:jc w:val="both"/>
        <w:rPr>
          <w:rFonts w:ascii="Palatino Linotype" w:eastAsia="Palatino Linotype" w:hAnsi="Palatino Linotype" w:cs="Palatino Linotype"/>
          <w:color w:val="222222"/>
        </w:rPr>
      </w:pPr>
    </w:p>
    <w:p w:rsidR="00B04DD5" w:rsidRPr="00F571ED" w:rsidRDefault="00DA3EFE" w:rsidP="0049477B">
      <w:pPr>
        <w:spacing w:line="360" w:lineRule="auto"/>
        <w:jc w:val="both"/>
        <w:rPr>
          <w:rFonts w:ascii="Palatino Linotype" w:eastAsia="Palatino Linotype" w:hAnsi="Palatino Linotype" w:cs="Palatino Linotype"/>
        </w:rPr>
      </w:pPr>
      <w:r w:rsidRPr="00F571ED">
        <w:rPr>
          <w:rFonts w:ascii="Palatino Linotype" w:eastAsia="Palatino Linotype" w:hAnsi="Palatino Linotype" w:cs="Palatino Linotype"/>
          <w:b/>
        </w:rPr>
        <w:t xml:space="preserve">CUARTO. </w:t>
      </w:r>
      <w:r w:rsidRPr="00F571ED">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F571ED">
        <w:rPr>
          <w:rFonts w:ascii="Palatino Linotype" w:eastAsia="Palatino Linotype" w:hAnsi="Palatino Linotype" w:cs="Palatino Linotype"/>
          <w:b/>
        </w:rPr>
        <w:t>SUJETO OBLIGADO</w:t>
      </w:r>
      <w:r w:rsidRPr="00F571ED">
        <w:rPr>
          <w:rFonts w:ascii="Palatino Linotype" w:eastAsia="Palatino Linotype" w:hAnsi="Palatino Linotype" w:cs="Palatino Linotype"/>
        </w:rPr>
        <w:t xml:space="preserve"> de manera fundada y motivada, podrá solicitar una ampliación de plazo para el cumplimiento de la presente Resolución.</w:t>
      </w:r>
    </w:p>
    <w:p w:rsidR="00B04DD5" w:rsidRPr="00F571ED" w:rsidRDefault="00B04DD5" w:rsidP="0049477B">
      <w:pPr>
        <w:tabs>
          <w:tab w:val="left" w:pos="284"/>
          <w:tab w:val="left" w:pos="8080"/>
        </w:tabs>
        <w:spacing w:line="360" w:lineRule="auto"/>
        <w:jc w:val="both"/>
        <w:rPr>
          <w:rFonts w:ascii="Palatino Linotype" w:eastAsia="Palatino Linotype" w:hAnsi="Palatino Linotype" w:cs="Palatino Linotype"/>
          <w:color w:val="222222"/>
        </w:rPr>
      </w:pPr>
    </w:p>
    <w:p w:rsidR="00B04DD5" w:rsidRPr="00F571ED" w:rsidRDefault="00DA3EFE" w:rsidP="0049477B">
      <w:pPr>
        <w:shd w:val="clear" w:color="auto" w:fill="FFFFFF"/>
        <w:tabs>
          <w:tab w:val="left" w:pos="284"/>
        </w:tabs>
        <w:spacing w:line="360" w:lineRule="auto"/>
        <w:jc w:val="both"/>
        <w:rPr>
          <w:rFonts w:ascii="Palatino Linotype" w:eastAsia="Palatino Linotype" w:hAnsi="Palatino Linotype" w:cs="Palatino Linotype"/>
        </w:rPr>
      </w:pPr>
      <w:r w:rsidRPr="00F571ED">
        <w:rPr>
          <w:rFonts w:ascii="Palatino Linotype" w:eastAsia="Palatino Linotype" w:hAnsi="Palatino Linotype" w:cs="Palatino Linotype"/>
          <w:b/>
        </w:rPr>
        <w:t xml:space="preserve">QUINTO. </w:t>
      </w:r>
      <w:r w:rsidRPr="00F571ED">
        <w:rPr>
          <w:rFonts w:ascii="Palatino Linotype" w:eastAsia="Palatino Linotype" w:hAnsi="Palatino Linotype" w:cs="Palatino Linotype"/>
          <w:b/>
          <w:color w:val="222222"/>
        </w:rPr>
        <w:t xml:space="preserve">Notifíquese </w:t>
      </w:r>
      <w:r w:rsidRPr="00F571ED">
        <w:rPr>
          <w:rFonts w:ascii="Palatino Linotype" w:eastAsia="Palatino Linotype" w:hAnsi="Palatino Linotype" w:cs="Palatino Linotype"/>
          <w:color w:val="222222"/>
        </w:rPr>
        <w:t xml:space="preserve">al </w:t>
      </w:r>
      <w:r w:rsidRPr="00F571ED">
        <w:rPr>
          <w:rFonts w:ascii="Palatino Linotype" w:eastAsia="Palatino Linotype" w:hAnsi="Palatino Linotype" w:cs="Palatino Linotype"/>
          <w:b/>
          <w:color w:val="222222"/>
        </w:rPr>
        <w:t xml:space="preserve">RECURRENTE </w:t>
      </w:r>
      <w:r w:rsidRPr="00F571ED">
        <w:rPr>
          <w:rFonts w:ascii="Palatino Linotype" w:eastAsia="Palatino Linotype" w:hAnsi="Palatino Linotype" w:cs="Palatino Linotype"/>
        </w:rPr>
        <w:t>la presente resolución a través del Sistema de Acceso a la Información Mexiquense (SAIMEX).</w:t>
      </w:r>
    </w:p>
    <w:p w:rsidR="00B04DD5" w:rsidRPr="00F571ED" w:rsidRDefault="00B04DD5" w:rsidP="0049477B">
      <w:pPr>
        <w:shd w:val="clear" w:color="auto" w:fill="FFFFFF"/>
        <w:tabs>
          <w:tab w:val="left" w:pos="284"/>
        </w:tabs>
        <w:spacing w:line="360" w:lineRule="auto"/>
        <w:jc w:val="both"/>
        <w:rPr>
          <w:rFonts w:ascii="Palatino Linotype" w:eastAsia="Palatino Linotype" w:hAnsi="Palatino Linotype" w:cs="Palatino Linotype"/>
        </w:rPr>
      </w:pPr>
    </w:p>
    <w:p w:rsidR="00B04DD5" w:rsidRPr="00F571ED" w:rsidRDefault="00DA3EFE" w:rsidP="0049477B">
      <w:pPr>
        <w:spacing w:line="360" w:lineRule="auto"/>
        <w:jc w:val="both"/>
        <w:rPr>
          <w:rFonts w:ascii="Palatino Linotype" w:eastAsia="Palatino Linotype" w:hAnsi="Palatino Linotype" w:cs="Palatino Linotype"/>
        </w:rPr>
      </w:pPr>
      <w:r w:rsidRPr="00F571ED">
        <w:rPr>
          <w:rFonts w:ascii="Palatino Linotype" w:eastAsia="Palatino Linotype" w:hAnsi="Palatino Linotype" w:cs="Palatino Linotype"/>
          <w:b/>
        </w:rPr>
        <w:t>SEXTO.</w:t>
      </w:r>
      <w:r w:rsidRPr="00F571ED">
        <w:rPr>
          <w:rFonts w:ascii="Palatino Linotype" w:eastAsia="Palatino Linotype" w:hAnsi="Palatino Linotype" w:cs="Palatino Linotype"/>
          <w:color w:val="222222"/>
        </w:rPr>
        <w:t xml:space="preserve"> </w:t>
      </w:r>
      <w:r w:rsidRPr="00F571ED">
        <w:rPr>
          <w:rFonts w:ascii="Palatino Linotype" w:eastAsia="Palatino Linotype" w:hAnsi="Palatino Linotype" w:cs="Palatino Linotype"/>
        </w:rPr>
        <w:t xml:space="preserve">Se hace del conocimiento del </w:t>
      </w:r>
      <w:r w:rsidRPr="00F571ED">
        <w:rPr>
          <w:rFonts w:ascii="Palatino Linotype" w:eastAsia="Palatino Linotype" w:hAnsi="Palatino Linotype" w:cs="Palatino Linotype"/>
          <w:b/>
        </w:rPr>
        <w:t>RECURRENTE</w:t>
      </w:r>
      <w:r w:rsidRPr="00F571ED">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w:t>
      </w:r>
      <w:r w:rsidRPr="00F571ED">
        <w:rPr>
          <w:rFonts w:ascii="Palatino Linotype" w:eastAsia="Palatino Linotype" w:hAnsi="Palatino Linotype" w:cs="Palatino Linotype"/>
          <w:color w:val="000000"/>
        </w:rPr>
        <w:t xml:space="preserve">en caso de que considere que la resolución le cause algún perjuicio podrá </w:t>
      </w:r>
      <w:r w:rsidRPr="00F571ED">
        <w:rPr>
          <w:rFonts w:ascii="Palatino Linotype" w:eastAsia="Palatino Linotype" w:hAnsi="Palatino Linotype" w:cs="Palatino Linotype"/>
        </w:rPr>
        <w:t>impugnar vía</w:t>
      </w:r>
      <w:r w:rsidRPr="00F571ED">
        <w:rPr>
          <w:rFonts w:ascii="Palatino Linotype" w:eastAsia="Palatino Linotype" w:hAnsi="Palatino Linotype" w:cs="Palatino Linotype"/>
          <w:color w:val="000000"/>
        </w:rPr>
        <w:t xml:space="preserve"> </w:t>
      </w:r>
      <w:r w:rsidRPr="00F571ED">
        <w:rPr>
          <w:rFonts w:ascii="Palatino Linotype" w:eastAsia="Palatino Linotype" w:hAnsi="Palatino Linotype" w:cs="Palatino Linotype"/>
        </w:rPr>
        <w:t>juicio de amparo en los términos de las leyes aplicables.</w:t>
      </w:r>
    </w:p>
    <w:p w:rsidR="00B04DD5" w:rsidRPr="00F571ED" w:rsidRDefault="00B04DD5" w:rsidP="0049477B">
      <w:pPr>
        <w:spacing w:line="360" w:lineRule="auto"/>
        <w:jc w:val="both"/>
        <w:rPr>
          <w:rFonts w:ascii="Palatino Linotype" w:eastAsia="Palatino Linotype" w:hAnsi="Palatino Linotype" w:cs="Palatino Linotype"/>
        </w:rPr>
      </w:pPr>
    </w:p>
    <w:p w:rsidR="00A430C2" w:rsidRPr="00F571ED" w:rsidRDefault="00A430C2" w:rsidP="0049477B">
      <w:pPr>
        <w:spacing w:line="360" w:lineRule="auto"/>
        <w:jc w:val="both"/>
        <w:rPr>
          <w:rFonts w:ascii="Palatino Linotype" w:eastAsia="Palatino Linotype" w:hAnsi="Palatino Linotype" w:cs="Palatino Linotype"/>
        </w:rPr>
      </w:pPr>
    </w:p>
    <w:p w:rsidR="00A430C2" w:rsidRDefault="00F571ED" w:rsidP="00A430C2">
      <w:pPr>
        <w:spacing w:line="360" w:lineRule="auto"/>
        <w:ind w:right="49"/>
        <w:jc w:val="both"/>
        <w:rPr>
          <w:rFonts w:ascii="Palatino Linotype" w:eastAsia="Palatino Linotype" w:hAnsi="Palatino Linotype" w:cs="Palatino Linotype"/>
        </w:rPr>
      </w:pPr>
      <w:bookmarkStart w:id="9" w:name="_heading=h.n7apk5xpaooz" w:colFirst="0" w:colLast="0"/>
      <w:bookmarkEnd w:id="9"/>
      <w:r w:rsidRPr="00F571ED">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A430C2" w:rsidRPr="00F571ED">
        <w:rPr>
          <w:rFonts w:ascii="Palatino Linotype" w:eastAsia="Palatino Linotype" w:hAnsi="Palatino Linotype" w:cs="Palatino Linotype"/>
        </w:rPr>
        <w:t>.</w:t>
      </w:r>
    </w:p>
    <w:p w:rsidR="00776890" w:rsidRDefault="00776890" w:rsidP="00A430C2">
      <w:pPr>
        <w:spacing w:line="360" w:lineRule="auto"/>
        <w:ind w:right="49"/>
        <w:jc w:val="both"/>
        <w:rPr>
          <w:rFonts w:ascii="Palatino Linotype" w:eastAsia="Palatino Linotype" w:hAnsi="Palatino Linotype" w:cs="Palatino Linotype"/>
        </w:rPr>
      </w:pPr>
    </w:p>
    <w:p w:rsidR="00776890" w:rsidRDefault="00776890" w:rsidP="00A430C2">
      <w:pPr>
        <w:spacing w:line="360" w:lineRule="auto"/>
        <w:ind w:right="49"/>
        <w:jc w:val="both"/>
        <w:rPr>
          <w:rFonts w:ascii="Palatino Linotype" w:eastAsia="Palatino Linotype" w:hAnsi="Palatino Linotype" w:cs="Palatino Linotype"/>
        </w:rPr>
      </w:pPr>
    </w:p>
    <w:p w:rsidR="00776890" w:rsidRDefault="00776890" w:rsidP="00A430C2">
      <w:pPr>
        <w:spacing w:line="360" w:lineRule="auto"/>
        <w:ind w:right="49"/>
        <w:jc w:val="both"/>
        <w:rPr>
          <w:rFonts w:ascii="Palatino Linotype" w:eastAsia="Palatino Linotype" w:hAnsi="Palatino Linotype" w:cs="Palatino Linotype"/>
        </w:rPr>
      </w:pPr>
    </w:p>
    <w:p w:rsidR="00776890" w:rsidRDefault="00776890" w:rsidP="00A430C2">
      <w:pPr>
        <w:spacing w:line="360" w:lineRule="auto"/>
        <w:ind w:right="49"/>
        <w:jc w:val="both"/>
        <w:rPr>
          <w:rFonts w:ascii="Palatino Linotype" w:eastAsia="Palatino Linotype" w:hAnsi="Palatino Linotype" w:cs="Palatino Linotype"/>
        </w:rPr>
      </w:pPr>
    </w:p>
    <w:p w:rsidR="00776890" w:rsidRPr="00444783" w:rsidRDefault="00776890" w:rsidP="00A430C2">
      <w:pPr>
        <w:spacing w:line="360" w:lineRule="auto"/>
        <w:ind w:right="49"/>
        <w:jc w:val="both"/>
        <w:rPr>
          <w:rFonts w:ascii="Palatino Linotype" w:eastAsia="Palatino Linotype" w:hAnsi="Palatino Linotype" w:cs="Palatino Linotype"/>
        </w:rPr>
      </w:pPr>
    </w:p>
    <w:p w:rsidR="00B04DD5" w:rsidRPr="0049477B" w:rsidRDefault="00B04DD5" w:rsidP="0049477B">
      <w:pPr>
        <w:spacing w:line="360" w:lineRule="auto"/>
        <w:jc w:val="both"/>
        <w:rPr>
          <w:rFonts w:ascii="Palatino Linotype" w:eastAsia="Palatino Linotype" w:hAnsi="Palatino Linotype" w:cs="Palatino Linotype"/>
        </w:rPr>
      </w:pPr>
    </w:p>
    <w:p w:rsidR="00B04DD5" w:rsidRPr="0049477B" w:rsidRDefault="00B04DD5" w:rsidP="0049477B">
      <w:pPr>
        <w:spacing w:line="360" w:lineRule="auto"/>
        <w:jc w:val="both"/>
        <w:rPr>
          <w:rFonts w:ascii="Palatino Linotype" w:eastAsia="Palatino Linotype" w:hAnsi="Palatino Linotype" w:cs="Palatino Linotype"/>
        </w:rPr>
      </w:pPr>
    </w:p>
    <w:p w:rsidR="00B04DD5" w:rsidRPr="0049477B" w:rsidRDefault="00B04DD5" w:rsidP="0049477B">
      <w:pPr>
        <w:spacing w:line="360" w:lineRule="auto"/>
        <w:jc w:val="both"/>
        <w:rPr>
          <w:rFonts w:ascii="Palatino Linotype" w:eastAsia="Palatino Linotype" w:hAnsi="Palatino Linotype" w:cs="Palatino Linotype"/>
        </w:rPr>
      </w:pPr>
    </w:p>
    <w:p w:rsidR="00B04DD5" w:rsidRPr="0049477B" w:rsidRDefault="00B04DD5" w:rsidP="0049477B">
      <w:pPr>
        <w:spacing w:line="360" w:lineRule="auto"/>
        <w:jc w:val="both"/>
        <w:rPr>
          <w:rFonts w:ascii="Palatino Linotype" w:eastAsia="Palatino Linotype" w:hAnsi="Palatino Linotype" w:cs="Palatino Linotype"/>
        </w:rPr>
      </w:pPr>
    </w:p>
    <w:p w:rsidR="00B04DD5" w:rsidRPr="0049477B" w:rsidRDefault="00B04DD5" w:rsidP="0049477B">
      <w:pPr>
        <w:spacing w:line="360" w:lineRule="auto"/>
        <w:rPr>
          <w:rFonts w:ascii="Palatino Linotype" w:eastAsia="Palatino Linotype" w:hAnsi="Palatino Linotype" w:cs="Palatino Linotype"/>
        </w:rPr>
      </w:pPr>
    </w:p>
    <w:p w:rsidR="00B04DD5" w:rsidRPr="0049477B" w:rsidRDefault="00B04DD5" w:rsidP="0049477B">
      <w:pPr>
        <w:spacing w:line="360" w:lineRule="auto"/>
        <w:rPr>
          <w:rFonts w:ascii="Palatino Linotype" w:eastAsia="Palatino Linotype" w:hAnsi="Palatino Linotype" w:cs="Palatino Linotype"/>
        </w:rPr>
      </w:pPr>
    </w:p>
    <w:p w:rsidR="00B04DD5" w:rsidRPr="0049477B" w:rsidRDefault="00B04DD5" w:rsidP="0049477B">
      <w:pPr>
        <w:spacing w:line="360" w:lineRule="auto"/>
        <w:rPr>
          <w:rFonts w:ascii="Palatino Linotype" w:eastAsia="Palatino Linotype" w:hAnsi="Palatino Linotype" w:cs="Palatino Linotype"/>
        </w:rPr>
      </w:pPr>
    </w:p>
    <w:p w:rsidR="00B04DD5" w:rsidRPr="0049477B" w:rsidRDefault="00B04DD5" w:rsidP="0049477B">
      <w:pPr>
        <w:spacing w:line="360" w:lineRule="auto"/>
        <w:rPr>
          <w:rFonts w:ascii="Palatino Linotype" w:eastAsia="Palatino Linotype" w:hAnsi="Palatino Linotype" w:cs="Palatino Linotype"/>
        </w:rPr>
      </w:pPr>
    </w:p>
    <w:p w:rsidR="00B04DD5" w:rsidRPr="0049477B" w:rsidRDefault="00B04DD5" w:rsidP="0049477B">
      <w:pPr>
        <w:spacing w:line="360" w:lineRule="auto"/>
        <w:rPr>
          <w:rFonts w:ascii="Palatino Linotype" w:eastAsia="Palatino Linotype" w:hAnsi="Palatino Linotype" w:cs="Palatino Linotype"/>
        </w:rPr>
      </w:pPr>
    </w:p>
    <w:p w:rsidR="00B04DD5" w:rsidRPr="0049477B" w:rsidRDefault="00B04DD5" w:rsidP="0049477B">
      <w:pPr>
        <w:spacing w:line="360" w:lineRule="auto"/>
        <w:rPr>
          <w:rFonts w:ascii="Palatino Linotype" w:eastAsia="Palatino Linotype" w:hAnsi="Palatino Linotype" w:cs="Palatino Linotype"/>
        </w:rPr>
      </w:pPr>
    </w:p>
    <w:p w:rsidR="00B04DD5" w:rsidRPr="0049477B" w:rsidRDefault="00B04DD5" w:rsidP="0049477B">
      <w:pPr>
        <w:spacing w:line="360" w:lineRule="auto"/>
        <w:rPr>
          <w:rFonts w:ascii="Palatino Linotype" w:eastAsia="Palatino Linotype" w:hAnsi="Palatino Linotype" w:cs="Palatino Linotype"/>
        </w:rPr>
      </w:pPr>
    </w:p>
    <w:p w:rsidR="00B04DD5" w:rsidRPr="0049477B" w:rsidRDefault="00DA3EFE" w:rsidP="0049477B">
      <w:pPr>
        <w:tabs>
          <w:tab w:val="left" w:pos="3374"/>
        </w:tabs>
        <w:spacing w:line="360" w:lineRule="auto"/>
        <w:rPr>
          <w:rFonts w:ascii="Palatino Linotype" w:eastAsia="Palatino Linotype" w:hAnsi="Palatino Linotype" w:cs="Palatino Linotype"/>
        </w:rPr>
      </w:pPr>
      <w:r w:rsidRPr="0049477B">
        <w:rPr>
          <w:rFonts w:ascii="Palatino Linotype" w:eastAsia="Palatino Linotype" w:hAnsi="Palatino Linotype" w:cs="Palatino Linotype"/>
        </w:rPr>
        <w:tab/>
      </w:r>
    </w:p>
    <w:sectPr w:rsidR="00B04DD5" w:rsidRPr="0049477B" w:rsidSect="00776890">
      <w:headerReference w:type="even" r:id="rId10"/>
      <w:headerReference w:type="default" r:id="rId11"/>
      <w:footerReference w:type="default" r:id="rId12"/>
      <w:headerReference w:type="first" r:id="rId13"/>
      <w:footerReference w:type="first" r:id="rId14"/>
      <w:pgSz w:w="12240" w:h="15840"/>
      <w:pgMar w:top="2269" w:right="1041" w:bottom="212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ADD" w:rsidRDefault="00EE5ADD">
      <w:r>
        <w:separator/>
      </w:r>
    </w:p>
  </w:endnote>
  <w:endnote w:type="continuationSeparator" w:id="0">
    <w:p w:rsidR="00EE5ADD" w:rsidRDefault="00EE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DD5" w:rsidRDefault="00DA3EF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26E11">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26E11">
      <w:rPr>
        <w:rFonts w:ascii="Palatino Linotype" w:eastAsia="Palatino Linotype" w:hAnsi="Palatino Linotype" w:cs="Palatino Linotype"/>
        <w:noProof/>
        <w:color w:val="000000"/>
        <w:sz w:val="20"/>
        <w:szCs w:val="20"/>
      </w:rPr>
      <w:t>32</w:t>
    </w:r>
    <w:r>
      <w:rPr>
        <w:rFonts w:ascii="Palatino Linotype" w:eastAsia="Palatino Linotype" w:hAnsi="Palatino Linotype" w:cs="Palatino Linotype"/>
        <w:color w:val="000000"/>
        <w:sz w:val="20"/>
        <w:szCs w:val="20"/>
      </w:rPr>
      <w:fldChar w:fldCharType="end"/>
    </w:r>
  </w:p>
  <w:p w:rsidR="00B04DD5" w:rsidRDefault="00B04DD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DD5" w:rsidRDefault="00DA3EF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26E1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26E11">
      <w:rPr>
        <w:rFonts w:ascii="Palatino Linotype" w:eastAsia="Palatino Linotype" w:hAnsi="Palatino Linotype" w:cs="Palatino Linotype"/>
        <w:noProof/>
        <w:color w:val="000000"/>
        <w:sz w:val="20"/>
        <w:szCs w:val="20"/>
      </w:rPr>
      <w:t>32</w:t>
    </w:r>
    <w:r>
      <w:rPr>
        <w:rFonts w:ascii="Palatino Linotype" w:eastAsia="Palatino Linotype" w:hAnsi="Palatino Linotype" w:cs="Palatino Linotype"/>
        <w:color w:val="000000"/>
        <w:sz w:val="20"/>
        <w:szCs w:val="20"/>
      </w:rPr>
      <w:fldChar w:fldCharType="end"/>
    </w:r>
  </w:p>
  <w:p w:rsidR="00B04DD5" w:rsidRDefault="00B04DD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ADD" w:rsidRDefault="00EE5ADD">
      <w:r>
        <w:separator/>
      </w:r>
    </w:p>
  </w:footnote>
  <w:footnote w:type="continuationSeparator" w:id="0">
    <w:p w:rsidR="00EE5ADD" w:rsidRDefault="00EE5ADD">
      <w:r>
        <w:continuationSeparator/>
      </w:r>
    </w:p>
  </w:footnote>
  <w:footnote w:id="1">
    <w:p w:rsidR="00B04DD5" w:rsidRDefault="00DA3EF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B04DD5" w:rsidRDefault="00DA3EF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B04DD5" w:rsidRDefault="00DA3EFE">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rsidR="00B04DD5" w:rsidRDefault="00DA3EFE">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rsidR="00B04DD5" w:rsidRDefault="00DA3EFE">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rsidR="00B04DD5" w:rsidRDefault="00DA3EFE">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B04DD5" w:rsidRDefault="00DA3EFE">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B04DD5" w:rsidRDefault="00DA3EFE">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DD5" w:rsidRDefault="00EE5ADD">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519" w:type="dxa"/>
      <w:tblInd w:w="3119" w:type="dxa"/>
      <w:tblLayout w:type="fixed"/>
      <w:tblLook w:val="0400" w:firstRow="0" w:lastRow="0" w:firstColumn="0" w:lastColumn="0" w:noHBand="0" w:noVBand="1"/>
    </w:tblPr>
    <w:tblGrid>
      <w:gridCol w:w="2976"/>
      <w:gridCol w:w="3543"/>
    </w:tblGrid>
    <w:tr w:rsidR="00B04DD5" w:rsidTr="00776890">
      <w:trPr>
        <w:trHeight w:val="227"/>
      </w:trPr>
      <w:tc>
        <w:tcPr>
          <w:tcW w:w="2976" w:type="dxa"/>
          <w:vAlign w:val="center"/>
        </w:tcPr>
        <w:p w:rsidR="00B04DD5" w:rsidRPr="0049477B" w:rsidRDefault="00DA3EFE" w:rsidP="0049477B">
          <w:pPr>
            <w:ind w:right="34"/>
            <w:jc w:val="right"/>
            <w:rPr>
              <w:rFonts w:ascii="Palatino Linotype" w:eastAsia="Palatino Linotype" w:hAnsi="Palatino Linotype" w:cs="Palatino Linotype"/>
              <w:b/>
            </w:rPr>
          </w:pPr>
          <w:r w:rsidRPr="0049477B">
            <w:rPr>
              <w:rFonts w:ascii="Palatino Linotype" w:eastAsia="Palatino Linotype" w:hAnsi="Palatino Linotype" w:cs="Palatino Linotype"/>
              <w:b/>
            </w:rPr>
            <w:t>Recurso de Revisión:</w:t>
          </w:r>
        </w:p>
      </w:tc>
      <w:tc>
        <w:tcPr>
          <w:tcW w:w="3543" w:type="dxa"/>
          <w:vAlign w:val="center"/>
        </w:tcPr>
        <w:p w:rsidR="00B04DD5" w:rsidRPr="0049477B" w:rsidRDefault="00DA3EFE" w:rsidP="0049477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49477B">
            <w:rPr>
              <w:rFonts w:ascii="Palatino Linotype" w:eastAsia="Palatino Linotype" w:hAnsi="Palatino Linotype" w:cs="Palatino Linotype"/>
              <w:color w:val="000000"/>
            </w:rPr>
            <w:t>03413/INFOEM/IP/RR/2025</w:t>
          </w:r>
        </w:p>
      </w:tc>
    </w:tr>
    <w:tr w:rsidR="00B04DD5" w:rsidTr="00776890">
      <w:trPr>
        <w:trHeight w:val="242"/>
      </w:trPr>
      <w:tc>
        <w:tcPr>
          <w:tcW w:w="2976" w:type="dxa"/>
          <w:vAlign w:val="center"/>
        </w:tcPr>
        <w:p w:rsidR="00B04DD5" w:rsidRPr="0049477B" w:rsidRDefault="00DA3EFE" w:rsidP="0049477B">
          <w:pPr>
            <w:ind w:right="34"/>
            <w:jc w:val="right"/>
            <w:rPr>
              <w:rFonts w:ascii="Palatino Linotype" w:eastAsia="Palatino Linotype" w:hAnsi="Palatino Linotype" w:cs="Palatino Linotype"/>
              <w:b/>
            </w:rPr>
          </w:pPr>
          <w:r w:rsidRPr="0049477B">
            <w:rPr>
              <w:rFonts w:ascii="Palatino Linotype" w:eastAsia="Palatino Linotype" w:hAnsi="Palatino Linotype" w:cs="Palatino Linotype"/>
              <w:b/>
            </w:rPr>
            <w:t>Sujeto Obligado:</w:t>
          </w:r>
        </w:p>
      </w:tc>
      <w:tc>
        <w:tcPr>
          <w:tcW w:w="3543" w:type="dxa"/>
          <w:vAlign w:val="center"/>
        </w:tcPr>
        <w:p w:rsidR="00B04DD5" w:rsidRPr="0049477B" w:rsidRDefault="00DA3EFE" w:rsidP="0049477B">
          <w:pPr>
            <w:pBdr>
              <w:top w:val="nil"/>
              <w:left w:val="nil"/>
              <w:bottom w:val="nil"/>
              <w:right w:val="nil"/>
              <w:between w:val="nil"/>
            </w:pBdr>
            <w:tabs>
              <w:tab w:val="center" w:pos="4419"/>
              <w:tab w:val="right" w:pos="8838"/>
            </w:tabs>
            <w:ind w:right="212"/>
            <w:jc w:val="both"/>
            <w:rPr>
              <w:rFonts w:ascii="Palatino Linotype" w:eastAsia="Palatino Linotype" w:hAnsi="Palatino Linotype" w:cs="Palatino Linotype"/>
              <w:color w:val="000000"/>
            </w:rPr>
          </w:pPr>
          <w:r w:rsidRPr="0049477B">
            <w:rPr>
              <w:rFonts w:ascii="Palatino Linotype" w:eastAsia="Palatino Linotype" w:hAnsi="Palatino Linotype" w:cs="Palatino Linotype"/>
              <w:color w:val="000000"/>
            </w:rPr>
            <w:t>Secretaría de Movilidad</w:t>
          </w:r>
        </w:p>
      </w:tc>
    </w:tr>
    <w:tr w:rsidR="00B04DD5" w:rsidTr="00776890">
      <w:trPr>
        <w:trHeight w:val="342"/>
      </w:trPr>
      <w:tc>
        <w:tcPr>
          <w:tcW w:w="2976" w:type="dxa"/>
          <w:vAlign w:val="center"/>
        </w:tcPr>
        <w:p w:rsidR="00B04DD5" w:rsidRPr="0049477B" w:rsidRDefault="00DA3EFE" w:rsidP="0049477B">
          <w:pPr>
            <w:ind w:right="34"/>
            <w:jc w:val="right"/>
            <w:rPr>
              <w:rFonts w:ascii="Palatino Linotype" w:eastAsia="Palatino Linotype" w:hAnsi="Palatino Linotype" w:cs="Palatino Linotype"/>
              <w:b/>
            </w:rPr>
          </w:pPr>
          <w:r w:rsidRPr="0049477B">
            <w:rPr>
              <w:rFonts w:ascii="Palatino Linotype" w:eastAsia="Palatino Linotype" w:hAnsi="Palatino Linotype" w:cs="Palatino Linotype"/>
              <w:b/>
            </w:rPr>
            <w:t>Comisionada Ponente:</w:t>
          </w:r>
        </w:p>
      </w:tc>
      <w:tc>
        <w:tcPr>
          <w:tcW w:w="3543" w:type="dxa"/>
          <w:vAlign w:val="center"/>
        </w:tcPr>
        <w:p w:rsidR="00B04DD5" w:rsidRPr="0049477B" w:rsidRDefault="00DA3EFE" w:rsidP="0049477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49477B">
            <w:rPr>
              <w:rFonts w:ascii="Palatino Linotype" w:eastAsia="Palatino Linotype" w:hAnsi="Palatino Linotype" w:cs="Palatino Linotype"/>
              <w:color w:val="000000"/>
            </w:rPr>
            <w:t>María del Rosario Mejía Ayala</w:t>
          </w:r>
        </w:p>
      </w:tc>
    </w:tr>
  </w:tbl>
  <w:p w:rsidR="00B04DD5" w:rsidRDefault="00EE5ADD">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6946" w:type="dxa"/>
      <w:tblInd w:w="3119" w:type="dxa"/>
      <w:tblLayout w:type="fixed"/>
      <w:tblLook w:val="0400" w:firstRow="0" w:lastRow="0" w:firstColumn="0" w:lastColumn="0" w:noHBand="0" w:noVBand="1"/>
    </w:tblPr>
    <w:tblGrid>
      <w:gridCol w:w="2977"/>
      <w:gridCol w:w="3969"/>
    </w:tblGrid>
    <w:tr w:rsidR="00B04DD5" w:rsidTr="00776890">
      <w:trPr>
        <w:trHeight w:val="227"/>
      </w:trPr>
      <w:tc>
        <w:tcPr>
          <w:tcW w:w="2977" w:type="dxa"/>
          <w:vAlign w:val="center"/>
        </w:tcPr>
        <w:p w:rsidR="00B04DD5" w:rsidRPr="0049477B" w:rsidRDefault="00DA3EFE" w:rsidP="0049477B">
          <w:pPr>
            <w:jc w:val="right"/>
            <w:rPr>
              <w:rFonts w:ascii="Palatino Linotype" w:eastAsia="Palatino Linotype" w:hAnsi="Palatino Linotype" w:cs="Palatino Linotype"/>
              <w:b/>
            </w:rPr>
          </w:pPr>
          <w:r w:rsidRPr="0049477B">
            <w:rPr>
              <w:rFonts w:ascii="Palatino Linotype" w:eastAsia="Palatino Linotype" w:hAnsi="Palatino Linotype" w:cs="Palatino Linotype"/>
              <w:b/>
            </w:rPr>
            <w:t>Recurso de Revisión:</w:t>
          </w:r>
        </w:p>
      </w:tc>
      <w:tc>
        <w:tcPr>
          <w:tcW w:w="3969" w:type="dxa"/>
          <w:vAlign w:val="center"/>
        </w:tcPr>
        <w:p w:rsidR="00B04DD5" w:rsidRPr="0049477B" w:rsidRDefault="00DA3EFE" w:rsidP="0049477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49477B">
            <w:rPr>
              <w:rFonts w:ascii="Palatino Linotype" w:eastAsia="Palatino Linotype" w:hAnsi="Palatino Linotype" w:cs="Palatino Linotype"/>
              <w:color w:val="000000"/>
            </w:rPr>
            <w:t>03413/INFOEM/IP/RR/2025</w:t>
          </w:r>
        </w:p>
      </w:tc>
    </w:tr>
    <w:tr w:rsidR="00B04DD5" w:rsidTr="00776890">
      <w:trPr>
        <w:trHeight w:val="242"/>
      </w:trPr>
      <w:tc>
        <w:tcPr>
          <w:tcW w:w="2977" w:type="dxa"/>
          <w:vAlign w:val="center"/>
        </w:tcPr>
        <w:p w:rsidR="00B04DD5" w:rsidRPr="0049477B" w:rsidRDefault="00DA3EFE" w:rsidP="0049477B">
          <w:pPr>
            <w:jc w:val="right"/>
            <w:rPr>
              <w:rFonts w:ascii="Palatino Linotype" w:eastAsia="Palatino Linotype" w:hAnsi="Palatino Linotype" w:cs="Palatino Linotype"/>
              <w:b/>
            </w:rPr>
          </w:pPr>
          <w:r w:rsidRPr="0049477B">
            <w:rPr>
              <w:rFonts w:ascii="Palatino Linotype" w:eastAsia="Palatino Linotype" w:hAnsi="Palatino Linotype" w:cs="Palatino Linotype"/>
              <w:b/>
            </w:rPr>
            <w:t>Recurrente:</w:t>
          </w:r>
        </w:p>
      </w:tc>
      <w:tc>
        <w:tcPr>
          <w:tcW w:w="3969" w:type="dxa"/>
        </w:tcPr>
        <w:p w:rsidR="00B04DD5" w:rsidRPr="0049477B" w:rsidRDefault="00B04DD5" w:rsidP="0049477B">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rPr>
          </w:pPr>
        </w:p>
      </w:tc>
    </w:tr>
    <w:tr w:rsidR="00B04DD5" w:rsidTr="00776890">
      <w:trPr>
        <w:trHeight w:val="342"/>
      </w:trPr>
      <w:tc>
        <w:tcPr>
          <w:tcW w:w="2977" w:type="dxa"/>
          <w:vAlign w:val="center"/>
        </w:tcPr>
        <w:p w:rsidR="00B04DD5" w:rsidRPr="0049477B" w:rsidRDefault="00DA3EFE" w:rsidP="0049477B">
          <w:pPr>
            <w:jc w:val="right"/>
            <w:rPr>
              <w:rFonts w:ascii="Palatino Linotype" w:eastAsia="Palatino Linotype" w:hAnsi="Palatino Linotype" w:cs="Palatino Linotype"/>
              <w:b/>
            </w:rPr>
          </w:pPr>
          <w:r w:rsidRPr="0049477B">
            <w:rPr>
              <w:rFonts w:ascii="Palatino Linotype" w:eastAsia="Palatino Linotype" w:hAnsi="Palatino Linotype" w:cs="Palatino Linotype"/>
              <w:b/>
            </w:rPr>
            <w:t>Sujeto Obligado:</w:t>
          </w:r>
        </w:p>
      </w:tc>
      <w:tc>
        <w:tcPr>
          <w:tcW w:w="3969" w:type="dxa"/>
          <w:vAlign w:val="center"/>
        </w:tcPr>
        <w:p w:rsidR="00B04DD5" w:rsidRPr="0049477B" w:rsidRDefault="00DA3EFE" w:rsidP="0049477B">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rPr>
          </w:pPr>
          <w:r w:rsidRPr="0049477B">
            <w:rPr>
              <w:rFonts w:ascii="Palatino Linotype" w:eastAsia="Palatino Linotype" w:hAnsi="Palatino Linotype" w:cs="Palatino Linotype"/>
              <w:color w:val="000000"/>
            </w:rPr>
            <w:t>Secretaría de Movilidad</w:t>
          </w:r>
        </w:p>
      </w:tc>
    </w:tr>
    <w:tr w:rsidR="00B04DD5" w:rsidTr="00776890">
      <w:trPr>
        <w:trHeight w:val="342"/>
      </w:trPr>
      <w:tc>
        <w:tcPr>
          <w:tcW w:w="2977" w:type="dxa"/>
          <w:vAlign w:val="center"/>
        </w:tcPr>
        <w:p w:rsidR="00B04DD5" w:rsidRPr="0049477B" w:rsidRDefault="00DA3EFE" w:rsidP="0049477B">
          <w:pPr>
            <w:jc w:val="right"/>
            <w:rPr>
              <w:rFonts w:ascii="Palatino Linotype" w:eastAsia="Palatino Linotype" w:hAnsi="Palatino Linotype" w:cs="Palatino Linotype"/>
              <w:b/>
            </w:rPr>
          </w:pPr>
          <w:r w:rsidRPr="0049477B">
            <w:rPr>
              <w:rFonts w:ascii="Palatino Linotype" w:eastAsia="Palatino Linotype" w:hAnsi="Palatino Linotype" w:cs="Palatino Linotype"/>
              <w:b/>
            </w:rPr>
            <w:t>Comisionada Ponente:</w:t>
          </w:r>
        </w:p>
      </w:tc>
      <w:tc>
        <w:tcPr>
          <w:tcW w:w="3969" w:type="dxa"/>
          <w:vAlign w:val="center"/>
        </w:tcPr>
        <w:p w:rsidR="00B04DD5" w:rsidRPr="0049477B" w:rsidRDefault="00DA3EFE" w:rsidP="0049477B">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49477B">
            <w:rPr>
              <w:rFonts w:ascii="Palatino Linotype" w:eastAsia="Palatino Linotype" w:hAnsi="Palatino Linotype" w:cs="Palatino Linotype"/>
              <w:color w:val="000000"/>
            </w:rPr>
            <w:t>María del Rosario Mejía Ayala</w:t>
          </w:r>
        </w:p>
      </w:tc>
    </w:tr>
  </w:tbl>
  <w:p w:rsidR="00B04DD5" w:rsidRDefault="00EE5ADD">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55pt;margin-top:-122.3pt;width:609.4pt;height:793.75pt;z-index:-251658752;mso-position-horizontal:absolute;mso-position-horizontal-relative:margin;mso-position-vertical:absolute;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21C4F"/>
    <w:multiLevelType w:val="multilevel"/>
    <w:tmpl w:val="6CC2BDB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 w15:restartNumberingAfterBreak="0">
    <w:nsid w:val="3D5365D8"/>
    <w:multiLevelType w:val="multilevel"/>
    <w:tmpl w:val="A7C6D43C"/>
    <w:lvl w:ilvl="0">
      <w:start w:val="24"/>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2E46A0"/>
    <w:multiLevelType w:val="multilevel"/>
    <w:tmpl w:val="67A0C604"/>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3" w15:restartNumberingAfterBreak="0">
    <w:nsid w:val="5ED010C4"/>
    <w:multiLevelType w:val="hybridMultilevel"/>
    <w:tmpl w:val="98BE2E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9257A37"/>
    <w:multiLevelType w:val="multilevel"/>
    <w:tmpl w:val="C96A72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B736156"/>
    <w:multiLevelType w:val="multilevel"/>
    <w:tmpl w:val="FD82042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28349C"/>
    <w:multiLevelType w:val="multilevel"/>
    <w:tmpl w:val="10EC879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num>
  <w:num w:numId="3">
    <w:abstractNumId w:val="6"/>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DD5"/>
    <w:rsid w:val="001F44A2"/>
    <w:rsid w:val="00247BF4"/>
    <w:rsid w:val="0049477B"/>
    <w:rsid w:val="00752662"/>
    <w:rsid w:val="00776890"/>
    <w:rsid w:val="007D26CA"/>
    <w:rsid w:val="008717BF"/>
    <w:rsid w:val="00A24CA0"/>
    <w:rsid w:val="00A430C2"/>
    <w:rsid w:val="00A82A4C"/>
    <w:rsid w:val="00B04DD5"/>
    <w:rsid w:val="00C26E11"/>
    <w:rsid w:val="00DA3EFE"/>
    <w:rsid w:val="00EE5ADD"/>
    <w:rsid w:val="00F571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1F853B6-25EF-4DE1-9F27-743A23EB9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40"/>
      <w:outlineLvl w:val="2"/>
    </w:pPr>
    <w:rPr>
      <w:color w:val="1F3863"/>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pPr>
    <w:rPr>
      <w:rFonts w:ascii="Arial" w:hAnsi="Arial" w:cs="Arial"/>
      <w:color w:val="000000"/>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NormalWeb">
    <w:name w:val="Normal (Web)"/>
    <w:basedOn w:val="Normal"/>
    <w:uiPriority w:val="99"/>
    <w:unhideWhenUsed/>
    <w:rsid w:val="004A64CC"/>
    <w:pPr>
      <w:spacing w:before="100" w:beforeAutospacing="1" w:after="100" w:afterAutospacing="1"/>
    </w:pPr>
    <w:rPr>
      <w:rFonts w:ascii="Times New Roman" w:eastAsia="Times New Roman" w:hAnsi="Times New Roman" w:cs="Times New Roman"/>
      <w:lang w:val="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KXKNOxPdKPv4yO/zOlvaZChA0A==">CgMxLjAyDWguOXE1OGJpZ2R5NXAyDmguaWo1OXc4Z3ZicmlrMg5oLjM5anIxN3d3NjE2YzIOaC52MDlkeDNhZ3FkZTYyDmguZXF0dTkybzh2c3VlMg5oLnVnMm95d3JmNTRpczIOaC5teGczNW9zYW5kZm0yCWguMWtzdjR1djIOaC5uN2FwazV4cGFvb3o4AHIhMWIyR0RIT2pTcTQwbUpZY1hzaWRBd0V2VmtGUGFuV1Zt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32</Pages>
  <Words>7109</Words>
  <Characters>39102</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46119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Cuenta Microsoft</cp:lastModifiedBy>
  <cp:revision>8</cp:revision>
  <cp:lastPrinted>2025-09-11T17:33:00Z</cp:lastPrinted>
  <dcterms:created xsi:type="dcterms:W3CDTF">2025-08-26T21:01:00Z</dcterms:created>
  <dcterms:modified xsi:type="dcterms:W3CDTF">2025-09-24T17:37:00Z</dcterms:modified>
</cp:coreProperties>
</file>