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256245124"/>
        <w:docPartObj>
          <w:docPartGallery w:val="Table of Contents"/>
          <w:docPartUnique/>
        </w:docPartObj>
      </w:sdtPr>
      <w:sdtEndPr>
        <w:rPr>
          <w:b/>
          <w:bCs/>
        </w:rPr>
      </w:sdtEndPr>
      <w:sdtContent>
        <w:p w14:paraId="3ACA1B84" w14:textId="77777777" w:rsidR="006A3AB9" w:rsidRDefault="006A3AB9">
          <w:pPr>
            <w:pStyle w:val="TtulodeTDC"/>
          </w:pPr>
          <w:r>
            <w:rPr>
              <w:lang w:val="es-ES"/>
            </w:rPr>
            <w:t>Contenido</w:t>
          </w:r>
        </w:p>
        <w:p w14:paraId="768E59F0" w14:textId="77777777" w:rsidR="006A3AB9" w:rsidRDefault="006A3AB9">
          <w:pPr>
            <w:pStyle w:val="TDC1"/>
            <w:tabs>
              <w:tab w:val="right" w:leader="dot" w:pos="9034"/>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03625566" w:history="1">
            <w:r w:rsidRPr="00D96D37">
              <w:rPr>
                <w:rStyle w:val="Hipervnculo"/>
                <w:noProof/>
              </w:rPr>
              <w:t>ANTECEDENTES</w:t>
            </w:r>
            <w:r>
              <w:rPr>
                <w:noProof/>
                <w:webHidden/>
              </w:rPr>
              <w:tab/>
            </w:r>
            <w:r>
              <w:rPr>
                <w:noProof/>
                <w:webHidden/>
              </w:rPr>
              <w:fldChar w:fldCharType="begin"/>
            </w:r>
            <w:r>
              <w:rPr>
                <w:noProof/>
                <w:webHidden/>
              </w:rPr>
              <w:instrText xml:space="preserve"> PAGEREF _Toc203625566 \h </w:instrText>
            </w:r>
            <w:r>
              <w:rPr>
                <w:noProof/>
                <w:webHidden/>
              </w:rPr>
            </w:r>
            <w:r>
              <w:rPr>
                <w:noProof/>
                <w:webHidden/>
              </w:rPr>
              <w:fldChar w:fldCharType="separate"/>
            </w:r>
            <w:r>
              <w:rPr>
                <w:noProof/>
                <w:webHidden/>
              </w:rPr>
              <w:t>1</w:t>
            </w:r>
            <w:r>
              <w:rPr>
                <w:noProof/>
                <w:webHidden/>
              </w:rPr>
              <w:fldChar w:fldCharType="end"/>
            </w:r>
          </w:hyperlink>
        </w:p>
        <w:p w14:paraId="4E1D34DD" w14:textId="77777777" w:rsidR="006A3AB9" w:rsidRDefault="00112A2E">
          <w:pPr>
            <w:pStyle w:val="TDC2"/>
            <w:rPr>
              <w:rFonts w:asciiTheme="minorHAnsi" w:eastAsiaTheme="minorEastAsia" w:hAnsiTheme="minorHAnsi" w:cstheme="minorBidi"/>
              <w:noProof/>
            </w:rPr>
          </w:pPr>
          <w:hyperlink w:anchor="_Toc203625567" w:history="1">
            <w:r w:rsidR="006A3AB9" w:rsidRPr="00D96D37">
              <w:rPr>
                <w:rStyle w:val="Hipervnculo"/>
                <w:noProof/>
              </w:rPr>
              <w:t>DE LA SOLICITUD DE INFORMACIÓN</w:t>
            </w:r>
            <w:r w:rsidR="006A3AB9">
              <w:rPr>
                <w:noProof/>
                <w:webHidden/>
              </w:rPr>
              <w:tab/>
            </w:r>
            <w:r w:rsidR="006A3AB9">
              <w:rPr>
                <w:noProof/>
                <w:webHidden/>
              </w:rPr>
              <w:fldChar w:fldCharType="begin"/>
            </w:r>
            <w:r w:rsidR="006A3AB9">
              <w:rPr>
                <w:noProof/>
                <w:webHidden/>
              </w:rPr>
              <w:instrText xml:space="preserve"> PAGEREF _Toc203625567 \h </w:instrText>
            </w:r>
            <w:r w:rsidR="006A3AB9">
              <w:rPr>
                <w:noProof/>
                <w:webHidden/>
              </w:rPr>
            </w:r>
            <w:r w:rsidR="006A3AB9">
              <w:rPr>
                <w:noProof/>
                <w:webHidden/>
              </w:rPr>
              <w:fldChar w:fldCharType="separate"/>
            </w:r>
            <w:r w:rsidR="006A3AB9">
              <w:rPr>
                <w:noProof/>
                <w:webHidden/>
              </w:rPr>
              <w:t>1</w:t>
            </w:r>
            <w:r w:rsidR="006A3AB9">
              <w:rPr>
                <w:noProof/>
                <w:webHidden/>
              </w:rPr>
              <w:fldChar w:fldCharType="end"/>
            </w:r>
          </w:hyperlink>
        </w:p>
        <w:p w14:paraId="5181D2AF" w14:textId="77777777" w:rsidR="006A3AB9" w:rsidRDefault="00112A2E">
          <w:pPr>
            <w:pStyle w:val="TDC3"/>
            <w:rPr>
              <w:rFonts w:asciiTheme="minorHAnsi" w:eastAsiaTheme="minorEastAsia" w:hAnsiTheme="minorHAnsi" w:cstheme="minorBidi"/>
              <w:noProof/>
            </w:rPr>
          </w:pPr>
          <w:hyperlink w:anchor="_Toc203625568" w:history="1">
            <w:r w:rsidR="006A3AB9" w:rsidRPr="00D96D37">
              <w:rPr>
                <w:rStyle w:val="Hipervnculo"/>
                <w:noProof/>
              </w:rPr>
              <w:t>a) Solicitud de información</w:t>
            </w:r>
            <w:r w:rsidR="006A3AB9">
              <w:rPr>
                <w:noProof/>
                <w:webHidden/>
              </w:rPr>
              <w:tab/>
            </w:r>
            <w:r w:rsidR="006A3AB9">
              <w:rPr>
                <w:noProof/>
                <w:webHidden/>
              </w:rPr>
              <w:fldChar w:fldCharType="begin"/>
            </w:r>
            <w:r w:rsidR="006A3AB9">
              <w:rPr>
                <w:noProof/>
                <w:webHidden/>
              </w:rPr>
              <w:instrText xml:space="preserve"> PAGEREF _Toc203625568 \h </w:instrText>
            </w:r>
            <w:r w:rsidR="006A3AB9">
              <w:rPr>
                <w:noProof/>
                <w:webHidden/>
              </w:rPr>
            </w:r>
            <w:r w:rsidR="006A3AB9">
              <w:rPr>
                <w:noProof/>
                <w:webHidden/>
              </w:rPr>
              <w:fldChar w:fldCharType="separate"/>
            </w:r>
            <w:r w:rsidR="006A3AB9">
              <w:rPr>
                <w:noProof/>
                <w:webHidden/>
              </w:rPr>
              <w:t>1</w:t>
            </w:r>
            <w:r w:rsidR="006A3AB9">
              <w:rPr>
                <w:noProof/>
                <w:webHidden/>
              </w:rPr>
              <w:fldChar w:fldCharType="end"/>
            </w:r>
          </w:hyperlink>
        </w:p>
        <w:p w14:paraId="7C7C5997" w14:textId="77777777" w:rsidR="006A3AB9" w:rsidRDefault="00112A2E">
          <w:pPr>
            <w:pStyle w:val="TDC3"/>
            <w:rPr>
              <w:rFonts w:asciiTheme="minorHAnsi" w:eastAsiaTheme="minorEastAsia" w:hAnsiTheme="minorHAnsi" w:cstheme="minorBidi"/>
              <w:noProof/>
            </w:rPr>
          </w:pPr>
          <w:hyperlink w:anchor="_Toc203625569" w:history="1">
            <w:r w:rsidR="006A3AB9" w:rsidRPr="00D96D37">
              <w:rPr>
                <w:rStyle w:val="Hipervnculo"/>
                <w:noProof/>
              </w:rPr>
              <w:t>b) Respuesta del Sujeto Obligado</w:t>
            </w:r>
            <w:r w:rsidR="006A3AB9">
              <w:rPr>
                <w:noProof/>
                <w:webHidden/>
              </w:rPr>
              <w:tab/>
            </w:r>
            <w:r w:rsidR="006A3AB9">
              <w:rPr>
                <w:noProof/>
                <w:webHidden/>
              </w:rPr>
              <w:fldChar w:fldCharType="begin"/>
            </w:r>
            <w:r w:rsidR="006A3AB9">
              <w:rPr>
                <w:noProof/>
                <w:webHidden/>
              </w:rPr>
              <w:instrText xml:space="preserve"> PAGEREF _Toc203625569 \h </w:instrText>
            </w:r>
            <w:r w:rsidR="006A3AB9">
              <w:rPr>
                <w:noProof/>
                <w:webHidden/>
              </w:rPr>
            </w:r>
            <w:r w:rsidR="006A3AB9">
              <w:rPr>
                <w:noProof/>
                <w:webHidden/>
              </w:rPr>
              <w:fldChar w:fldCharType="separate"/>
            </w:r>
            <w:r w:rsidR="006A3AB9">
              <w:rPr>
                <w:noProof/>
                <w:webHidden/>
              </w:rPr>
              <w:t>2</w:t>
            </w:r>
            <w:r w:rsidR="006A3AB9">
              <w:rPr>
                <w:noProof/>
                <w:webHidden/>
              </w:rPr>
              <w:fldChar w:fldCharType="end"/>
            </w:r>
          </w:hyperlink>
        </w:p>
        <w:p w14:paraId="4985E3C6" w14:textId="77777777" w:rsidR="006A3AB9" w:rsidRDefault="00112A2E">
          <w:pPr>
            <w:pStyle w:val="TDC2"/>
            <w:rPr>
              <w:rFonts w:asciiTheme="minorHAnsi" w:eastAsiaTheme="minorEastAsia" w:hAnsiTheme="minorHAnsi" w:cstheme="minorBidi"/>
              <w:noProof/>
            </w:rPr>
          </w:pPr>
          <w:hyperlink w:anchor="_Toc203625570" w:history="1">
            <w:r w:rsidR="006A3AB9" w:rsidRPr="00D96D37">
              <w:rPr>
                <w:rStyle w:val="Hipervnculo"/>
                <w:noProof/>
              </w:rPr>
              <w:t>DEL RECURSO DE REVISIÓN</w:t>
            </w:r>
            <w:r w:rsidR="006A3AB9">
              <w:rPr>
                <w:noProof/>
                <w:webHidden/>
              </w:rPr>
              <w:tab/>
            </w:r>
            <w:r w:rsidR="006A3AB9">
              <w:rPr>
                <w:noProof/>
                <w:webHidden/>
              </w:rPr>
              <w:fldChar w:fldCharType="begin"/>
            </w:r>
            <w:r w:rsidR="006A3AB9">
              <w:rPr>
                <w:noProof/>
                <w:webHidden/>
              </w:rPr>
              <w:instrText xml:space="preserve"> PAGEREF _Toc203625570 \h </w:instrText>
            </w:r>
            <w:r w:rsidR="006A3AB9">
              <w:rPr>
                <w:noProof/>
                <w:webHidden/>
              </w:rPr>
            </w:r>
            <w:r w:rsidR="006A3AB9">
              <w:rPr>
                <w:noProof/>
                <w:webHidden/>
              </w:rPr>
              <w:fldChar w:fldCharType="separate"/>
            </w:r>
            <w:r w:rsidR="006A3AB9">
              <w:rPr>
                <w:noProof/>
                <w:webHidden/>
              </w:rPr>
              <w:t>4</w:t>
            </w:r>
            <w:r w:rsidR="006A3AB9">
              <w:rPr>
                <w:noProof/>
                <w:webHidden/>
              </w:rPr>
              <w:fldChar w:fldCharType="end"/>
            </w:r>
          </w:hyperlink>
        </w:p>
        <w:p w14:paraId="30800EC1" w14:textId="77777777" w:rsidR="006A3AB9" w:rsidRDefault="00112A2E">
          <w:pPr>
            <w:pStyle w:val="TDC3"/>
            <w:rPr>
              <w:rFonts w:asciiTheme="minorHAnsi" w:eastAsiaTheme="minorEastAsia" w:hAnsiTheme="minorHAnsi" w:cstheme="minorBidi"/>
              <w:noProof/>
            </w:rPr>
          </w:pPr>
          <w:hyperlink w:anchor="_Toc203625571" w:history="1">
            <w:r w:rsidR="006A3AB9" w:rsidRPr="00D96D37">
              <w:rPr>
                <w:rStyle w:val="Hipervnculo"/>
                <w:noProof/>
              </w:rPr>
              <w:t>a) Interposición del Recurso de Revisión</w:t>
            </w:r>
            <w:r w:rsidR="006A3AB9">
              <w:rPr>
                <w:noProof/>
                <w:webHidden/>
              </w:rPr>
              <w:tab/>
            </w:r>
            <w:r w:rsidR="006A3AB9">
              <w:rPr>
                <w:noProof/>
                <w:webHidden/>
              </w:rPr>
              <w:fldChar w:fldCharType="begin"/>
            </w:r>
            <w:r w:rsidR="006A3AB9">
              <w:rPr>
                <w:noProof/>
                <w:webHidden/>
              </w:rPr>
              <w:instrText xml:space="preserve"> PAGEREF _Toc203625571 \h </w:instrText>
            </w:r>
            <w:r w:rsidR="006A3AB9">
              <w:rPr>
                <w:noProof/>
                <w:webHidden/>
              </w:rPr>
            </w:r>
            <w:r w:rsidR="006A3AB9">
              <w:rPr>
                <w:noProof/>
                <w:webHidden/>
              </w:rPr>
              <w:fldChar w:fldCharType="separate"/>
            </w:r>
            <w:r w:rsidR="006A3AB9">
              <w:rPr>
                <w:noProof/>
                <w:webHidden/>
              </w:rPr>
              <w:t>4</w:t>
            </w:r>
            <w:r w:rsidR="006A3AB9">
              <w:rPr>
                <w:noProof/>
                <w:webHidden/>
              </w:rPr>
              <w:fldChar w:fldCharType="end"/>
            </w:r>
          </w:hyperlink>
        </w:p>
        <w:p w14:paraId="3BC2C433" w14:textId="77777777" w:rsidR="006A3AB9" w:rsidRDefault="00112A2E">
          <w:pPr>
            <w:pStyle w:val="TDC3"/>
            <w:rPr>
              <w:rFonts w:asciiTheme="minorHAnsi" w:eastAsiaTheme="minorEastAsia" w:hAnsiTheme="minorHAnsi" w:cstheme="minorBidi"/>
              <w:noProof/>
            </w:rPr>
          </w:pPr>
          <w:hyperlink w:anchor="_Toc203625572" w:history="1">
            <w:r w:rsidR="006A3AB9" w:rsidRPr="00D96D37">
              <w:rPr>
                <w:rStyle w:val="Hipervnculo"/>
                <w:noProof/>
              </w:rPr>
              <w:t>b) Turno del Recurso de Revisión</w:t>
            </w:r>
            <w:r w:rsidR="006A3AB9">
              <w:rPr>
                <w:noProof/>
                <w:webHidden/>
              </w:rPr>
              <w:tab/>
            </w:r>
            <w:r w:rsidR="006A3AB9">
              <w:rPr>
                <w:noProof/>
                <w:webHidden/>
              </w:rPr>
              <w:fldChar w:fldCharType="begin"/>
            </w:r>
            <w:r w:rsidR="006A3AB9">
              <w:rPr>
                <w:noProof/>
                <w:webHidden/>
              </w:rPr>
              <w:instrText xml:space="preserve"> PAGEREF _Toc203625572 \h </w:instrText>
            </w:r>
            <w:r w:rsidR="006A3AB9">
              <w:rPr>
                <w:noProof/>
                <w:webHidden/>
              </w:rPr>
            </w:r>
            <w:r w:rsidR="006A3AB9">
              <w:rPr>
                <w:noProof/>
                <w:webHidden/>
              </w:rPr>
              <w:fldChar w:fldCharType="separate"/>
            </w:r>
            <w:r w:rsidR="006A3AB9">
              <w:rPr>
                <w:noProof/>
                <w:webHidden/>
              </w:rPr>
              <w:t>6</w:t>
            </w:r>
            <w:r w:rsidR="006A3AB9">
              <w:rPr>
                <w:noProof/>
                <w:webHidden/>
              </w:rPr>
              <w:fldChar w:fldCharType="end"/>
            </w:r>
          </w:hyperlink>
        </w:p>
        <w:p w14:paraId="39EDBA4F" w14:textId="77777777" w:rsidR="006A3AB9" w:rsidRDefault="00112A2E">
          <w:pPr>
            <w:pStyle w:val="TDC3"/>
            <w:rPr>
              <w:rFonts w:asciiTheme="minorHAnsi" w:eastAsiaTheme="minorEastAsia" w:hAnsiTheme="minorHAnsi" w:cstheme="minorBidi"/>
              <w:noProof/>
            </w:rPr>
          </w:pPr>
          <w:hyperlink w:anchor="_Toc203625573" w:history="1">
            <w:r w:rsidR="006A3AB9" w:rsidRPr="00D96D37">
              <w:rPr>
                <w:rStyle w:val="Hipervnculo"/>
                <w:noProof/>
              </w:rPr>
              <w:t>c) Admisión del Recurso de Revisión</w:t>
            </w:r>
            <w:r w:rsidR="006A3AB9">
              <w:rPr>
                <w:noProof/>
                <w:webHidden/>
              </w:rPr>
              <w:tab/>
            </w:r>
            <w:r w:rsidR="006A3AB9">
              <w:rPr>
                <w:noProof/>
                <w:webHidden/>
              </w:rPr>
              <w:fldChar w:fldCharType="begin"/>
            </w:r>
            <w:r w:rsidR="006A3AB9">
              <w:rPr>
                <w:noProof/>
                <w:webHidden/>
              </w:rPr>
              <w:instrText xml:space="preserve"> PAGEREF _Toc203625573 \h </w:instrText>
            </w:r>
            <w:r w:rsidR="006A3AB9">
              <w:rPr>
                <w:noProof/>
                <w:webHidden/>
              </w:rPr>
            </w:r>
            <w:r w:rsidR="006A3AB9">
              <w:rPr>
                <w:noProof/>
                <w:webHidden/>
              </w:rPr>
              <w:fldChar w:fldCharType="separate"/>
            </w:r>
            <w:r w:rsidR="006A3AB9">
              <w:rPr>
                <w:noProof/>
                <w:webHidden/>
              </w:rPr>
              <w:t>7</w:t>
            </w:r>
            <w:r w:rsidR="006A3AB9">
              <w:rPr>
                <w:noProof/>
                <w:webHidden/>
              </w:rPr>
              <w:fldChar w:fldCharType="end"/>
            </w:r>
          </w:hyperlink>
        </w:p>
        <w:p w14:paraId="7011441C" w14:textId="77777777" w:rsidR="006A3AB9" w:rsidRDefault="00112A2E">
          <w:pPr>
            <w:pStyle w:val="TDC3"/>
            <w:rPr>
              <w:rFonts w:asciiTheme="minorHAnsi" w:eastAsiaTheme="minorEastAsia" w:hAnsiTheme="minorHAnsi" w:cstheme="minorBidi"/>
              <w:noProof/>
            </w:rPr>
          </w:pPr>
          <w:hyperlink w:anchor="_Toc203625574" w:history="1">
            <w:r w:rsidR="006A3AB9" w:rsidRPr="00D96D37">
              <w:rPr>
                <w:rStyle w:val="Hipervnculo"/>
                <w:noProof/>
              </w:rPr>
              <w:t>d) Acumulación de los Recursos de Revisión</w:t>
            </w:r>
            <w:r w:rsidR="006A3AB9">
              <w:rPr>
                <w:noProof/>
                <w:webHidden/>
              </w:rPr>
              <w:tab/>
            </w:r>
            <w:r w:rsidR="006A3AB9">
              <w:rPr>
                <w:noProof/>
                <w:webHidden/>
              </w:rPr>
              <w:fldChar w:fldCharType="begin"/>
            </w:r>
            <w:r w:rsidR="006A3AB9">
              <w:rPr>
                <w:noProof/>
                <w:webHidden/>
              </w:rPr>
              <w:instrText xml:space="preserve"> PAGEREF _Toc203625574 \h </w:instrText>
            </w:r>
            <w:r w:rsidR="006A3AB9">
              <w:rPr>
                <w:noProof/>
                <w:webHidden/>
              </w:rPr>
            </w:r>
            <w:r w:rsidR="006A3AB9">
              <w:rPr>
                <w:noProof/>
                <w:webHidden/>
              </w:rPr>
              <w:fldChar w:fldCharType="separate"/>
            </w:r>
            <w:r w:rsidR="006A3AB9">
              <w:rPr>
                <w:noProof/>
                <w:webHidden/>
              </w:rPr>
              <w:t>7</w:t>
            </w:r>
            <w:r w:rsidR="006A3AB9">
              <w:rPr>
                <w:noProof/>
                <w:webHidden/>
              </w:rPr>
              <w:fldChar w:fldCharType="end"/>
            </w:r>
          </w:hyperlink>
        </w:p>
        <w:p w14:paraId="616ED716" w14:textId="77777777" w:rsidR="006A3AB9" w:rsidRDefault="00112A2E">
          <w:pPr>
            <w:pStyle w:val="TDC3"/>
            <w:rPr>
              <w:rFonts w:asciiTheme="minorHAnsi" w:eastAsiaTheme="minorEastAsia" w:hAnsiTheme="minorHAnsi" w:cstheme="minorBidi"/>
              <w:noProof/>
            </w:rPr>
          </w:pPr>
          <w:hyperlink w:anchor="_Toc203625575" w:history="1">
            <w:r w:rsidR="006A3AB9" w:rsidRPr="00D96D37">
              <w:rPr>
                <w:rStyle w:val="Hipervnculo"/>
                <w:noProof/>
              </w:rPr>
              <w:t>e) Informe Justificado del Sujeto Obligado</w:t>
            </w:r>
            <w:r w:rsidR="006A3AB9">
              <w:rPr>
                <w:noProof/>
                <w:webHidden/>
              </w:rPr>
              <w:tab/>
            </w:r>
            <w:r w:rsidR="006A3AB9">
              <w:rPr>
                <w:noProof/>
                <w:webHidden/>
              </w:rPr>
              <w:fldChar w:fldCharType="begin"/>
            </w:r>
            <w:r w:rsidR="006A3AB9">
              <w:rPr>
                <w:noProof/>
                <w:webHidden/>
              </w:rPr>
              <w:instrText xml:space="preserve"> PAGEREF _Toc203625575 \h </w:instrText>
            </w:r>
            <w:r w:rsidR="006A3AB9">
              <w:rPr>
                <w:noProof/>
                <w:webHidden/>
              </w:rPr>
            </w:r>
            <w:r w:rsidR="006A3AB9">
              <w:rPr>
                <w:noProof/>
                <w:webHidden/>
              </w:rPr>
              <w:fldChar w:fldCharType="separate"/>
            </w:r>
            <w:r w:rsidR="006A3AB9">
              <w:rPr>
                <w:noProof/>
                <w:webHidden/>
              </w:rPr>
              <w:t>7</w:t>
            </w:r>
            <w:r w:rsidR="006A3AB9">
              <w:rPr>
                <w:noProof/>
                <w:webHidden/>
              </w:rPr>
              <w:fldChar w:fldCharType="end"/>
            </w:r>
          </w:hyperlink>
        </w:p>
        <w:p w14:paraId="743E5D00" w14:textId="77777777" w:rsidR="006A3AB9" w:rsidRDefault="00112A2E">
          <w:pPr>
            <w:pStyle w:val="TDC3"/>
            <w:rPr>
              <w:rFonts w:asciiTheme="minorHAnsi" w:eastAsiaTheme="minorEastAsia" w:hAnsiTheme="minorHAnsi" w:cstheme="minorBidi"/>
              <w:noProof/>
            </w:rPr>
          </w:pPr>
          <w:hyperlink w:anchor="_Toc203625576" w:history="1">
            <w:r w:rsidR="006A3AB9" w:rsidRPr="00D96D37">
              <w:rPr>
                <w:rStyle w:val="Hipervnculo"/>
                <w:noProof/>
              </w:rPr>
              <w:t>f) Manifestaciones de la Parte Recurrente</w:t>
            </w:r>
            <w:r w:rsidR="006A3AB9">
              <w:rPr>
                <w:noProof/>
                <w:webHidden/>
              </w:rPr>
              <w:tab/>
            </w:r>
            <w:r w:rsidR="006A3AB9">
              <w:rPr>
                <w:noProof/>
                <w:webHidden/>
              </w:rPr>
              <w:fldChar w:fldCharType="begin"/>
            </w:r>
            <w:r w:rsidR="006A3AB9">
              <w:rPr>
                <w:noProof/>
                <w:webHidden/>
              </w:rPr>
              <w:instrText xml:space="preserve"> PAGEREF _Toc203625576 \h </w:instrText>
            </w:r>
            <w:r w:rsidR="006A3AB9">
              <w:rPr>
                <w:noProof/>
                <w:webHidden/>
              </w:rPr>
            </w:r>
            <w:r w:rsidR="006A3AB9">
              <w:rPr>
                <w:noProof/>
                <w:webHidden/>
              </w:rPr>
              <w:fldChar w:fldCharType="separate"/>
            </w:r>
            <w:r w:rsidR="006A3AB9">
              <w:rPr>
                <w:noProof/>
                <w:webHidden/>
              </w:rPr>
              <w:t>8</w:t>
            </w:r>
            <w:r w:rsidR="006A3AB9">
              <w:rPr>
                <w:noProof/>
                <w:webHidden/>
              </w:rPr>
              <w:fldChar w:fldCharType="end"/>
            </w:r>
          </w:hyperlink>
        </w:p>
        <w:p w14:paraId="1782CC6D" w14:textId="77777777" w:rsidR="006A3AB9" w:rsidRDefault="00112A2E">
          <w:pPr>
            <w:pStyle w:val="TDC3"/>
            <w:rPr>
              <w:rFonts w:asciiTheme="minorHAnsi" w:eastAsiaTheme="minorEastAsia" w:hAnsiTheme="minorHAnsi" w:cstheme="minorBidi"/>
              <w:noProof/>
            </w:rPr>
          </w:pPr>
          <w:hyperlink w:anchor="_Toc203625577" w:history="1">
            <w:r w:rsidR="006A3AB9" w:rsidRPr="00D96D37">
              <w:rPr>
                <w:rStyle w:val="Hipervnculo"/>
                <w:noProof/>
              </w:rPr>
              <w:t>g) Ampliación de Plazo para Resolver</w:t>
            </w:r>
            <w:r w:rsidR="006A3AB9">
              <w:rPr>
                <w:noProof/>
                <w:webHidden/>
              </w:rPr>
              <w:tab/>
            </w:r>
            <w:r w:rsidR="006A3AB9">
              <w:rPr>
                <w:noProof/>
                <w:webHidden/>
              </w:rPr>
              <w:fldChar w:fldCharType="begin"/>
            </w:r>
            <w:r w:rsidR="006A3AB9">
              <w:rPr>
                <w:noProof/>
                <w:webHidden/>
              </w:rPr>
              <w:instrText xml:space="preserve"> PAGEREF _Toc203625577 \h </w:instrText>
            </w:r>
            <w:r w:rsidR="006A3AB9">
              <w:rPr>
                <w:noProof/>
                <w:webHidden/>
              </w:rPr>
            </w:r>
            <w:r w:rsidR="006A3AB9">
              <w:rPr>
                <w:noProof/>
                <w:webHidden/>
              </w:rPr>
              <w:fldChar w:fldCharType="separate"/>
            </w:r>
            <w:r w:rsidR="006A3AB9">
              <w:rPr>
                <w:noProof/>
                <w:webHidden/>
              </w:rPr>
              <w:t>8</w:t>
            </w:r>
            <w:r w:rsidR="006A3AB9">
              <w:rPr>
                <w:noProof/>
                <w:webHidden/>
              </w:rPr>
              <w:fldChar w:fldCharType="end"/>
            </w:r>
          </w:hyperlink>
        </w:p>
        <w:p w14:paraId="0FE93C28" w14:textId="77777777" w:rsidR="006A3AB9" w:rsidRDefault="00112A2E">
          <w:pPr>
            <w:pStyle w:val="TDC3"/>
            <w:rPr>
              <w:rFonts w:asciiTheme="minorHAnsi" w:eastAsiaTheme="minorEastAsia" w:hAnsiTheme="minorHAnsi" w:cstheme="minorBidi"/>
              <w:noProof/>
            </w:rPr>
          </w:pPr>
          <w:hyperlink w:anchor="_Toc203625578" w:history="1">
            <w:r w:rsidR="006A3AB9" w:rsidRPr="00D96D37">
              <w:rPr>
                <w:rStyle w:val="Hipervnculo"/>
                <w:noProof/>
              </w:rPr>
              <w:t>h) Cierre de instrucción</w:t>
            </w:r>
            <w:r w:rsidR="006A3AB9">
              <w:rPr>
                <w:noProof/>
                <w:webHidden/>
              </w:rPr>
              <w:tab/>
            </w:r>
            <w:r w:rsidR="006A3AB9">
              <w:rPr>
                <w:noProof/>
                <w:webHidden/>
              </w:rPr>
              <w:fldChar w:fldCharType="begin"/>
            </w:r>
            <w:r w:rsidR="006A3AB9">
              <w:rPr>
                <w:noProof/>
                <w:webHidden/>
              </w:rPr>
              <w:instrText xml:space="preserve"> PAGEREF _Toc203625578 \h </w:instrText>
            </w:r>
            <w:r w:rsidR="006A3AB9">
              <w:rPr>
                <w:noProof/>
                <w:webHidden/>
              </w:rPr>
            </w:r>
            <w:r w:rsidR="006A3AB9">
              <w:rPr>
                <w:noProof/>
                <w:webHidden/>
              </w:rPr>
              <w:fldChar w:fldCharType="separate"/>
            </w:r>
            <w:r w:rsidR="006A3AB9">
              <w:rPr>
                <w:noProof/>
                <w:webHidden/>
              </w:rPr>
              <w:t>11</w:t>
            </w:r>
            <w:r w:rsidR="006A3AB9">
              <w:rPr>
                <w:noProof/>
                <w:webHidden/>
              </w:rPr>
              <w:fldChar w:fldCharType="end"/>
            </w:r>
          </w:hyperlink>
        </w:p>
        <w:p w14:paraId="01B573BF" w14:textId="77777777" w:rsidR="006A3AB9" w:rsidRDefault="00112A2E">
          <w:pPr>
            <w:pStyle w:val="TDC1"/>
            <w:tabs>
              <w:tab w:val="right" w:leader="dot" w:pos="9034"/>
            </w:tabs>
            <w:rPr>
              <w:rFonts w:asciiTheme="minorHAnsi" w:eastAsiaTheme="minorEastAsia" w:hAnsiTheme="minorHAnsi" w:cstheme="minorBidi"/>
              <w:noProof/>
            </w:rPr>
          </w:pPr>
          <w:hyperlink w:anchor="_Toc203625579" w:history="1">
            <w:r w:rsidR="006A3AB9" w:rsidRPr="00D96D37">
              <w:rPr>
                <w:rStyle w:val="Hipervnculo"/>
                <w:noProof/>
              </w:rPr>
              <w:t>CONSIDERANDOS</w:t>
            </w:r>
            <w:r w:rsidR="006A3AB9">
              <w:rPr>
                <w:noProof/>
                <w:webHidden/>
              </w:rPr>
              <w:tab/>
            </w:r>
            <w:r w:rsidR="006A3AB9">
              <w:rPr>
                <w:noProof/>
                <w:webHidden/>
              </w:rPr>
              <w:fldChar w:fldCharType="begin"/>
            </w:r>
            <w:r w:rsidR="006A3AB9">
              <w:rPr>
                <w:noProof/>
                <w:webHidden/>
              </w:rPr>
              <w:instrText xml:space="preserve"> PAGEREF _Toc203625579 \h </w:instrText>
            </w:r>
            <w:r w:rsidR="006A3AB9">
              <w:rPr>
                <w:noProof/>
                <w:webHidden/>
              </w:rPr>
            </w:r>
            <w:r w:rsidR="006A3AB9">
              <w:rPr>
                <w:noProof/>
                <w:webHidden/>
              </w:rPr>
              <w:fldChar w:fldCharType="separate"/>
            </w:r>
            <w:r w:rsidR="006A3AB9">
              <w:rPr>
                <w:noProof/>
                <w:webHidden/>
              </w:rPr>
              <w:t>11</w:t>
            </w:r>
            <w:r w:rsidR="006A3AB9">
              <w:rPr>
                <w:noProof/>
                <w:webHidden/>
              </w:rPr>
              <w:fldChar w:fldCharType="end"/>
            </w:r>
          </w:hyperlink>
        </w:p>
        <w:p w14:paraId="2926161E" w14:textId="77777777" w:rsidR="006A3AB9" w:rsidRDefault="00112A2E">
          <w:pPr>
            <w:pStyle w:val="TDC2"/>
            <w:rPr>
              <w:rFonts w:asciiTheme="minorHAnsi" w:eastAsiaTheme="minorEastAsia" w:hAnsiTheme="minorHAnsi" w:cstheme="minorBidi"/>
              <w:noProof/>
            </w:rPr>
          </w:pPr>
          <w:hyperlink w:anchor="_Toc203625580" w:history="1">
            <w:r w:rsidR="006A3AB9" w:rsidRPr="00D96D37">
              <w:rPr>
                <w:rStyle w:val="Hipervnculo"/>
                <w:noProof/>
              </w:rPr>
              <w:t>PRIMERO. Procedibilidad</w:t>
            </w:r>
            <w:r w:rsidR="006A3AB9">
              <w:rPr>
                <w:noProof/>
                <w:webHidden/>
              </w:rPr>
              <w:tab/>
            </w:r>
            <w:r w:rsidR="006A3AB9">
              <w:rPr>
                <w:noProof/>
                <w:webHidden/>
              </w:rPr>
              <w:fldChar w:fldCharType="begin"/>
            </w:r>
            <w:r w:rsidR="006A3AB9">
              <w:rPr>
                <w:noProof/>
                <w:webHidden/>
              </w:rPr>
              <w:instrText xml:space="preserve"> PAGEREF _Toc203625580 \h </w:instrText>
            </w:r>
            <w:r w:rsidR="006A3AB9">
              <w:rPr>
                <w:noProof/>
                <w:webHidden/>
              </w:rPr>
            </w:r>
            <w:r w:rsidR="006A3AB9">
              <w:rPr>
                <w:noProof/>
                <w:webHidden/>
              </w:rPr>
              <w:fldChar w:fldCharType="separate"/>
            </w:r>
            <w:r w:rsidR="006A3AB9">
              <w:rPr>
                <w:noProof/>
                <w:webHidden/>
              </w:rPr>
              <w:t>11</w:t>
            </w:r>
            <w:r w:rsidR="006A3AB9">
              <w:rPr>
                <w:noProof/>
                <w:webHidden/>
              </w:rPr>
              <w:fldChar w:fldCharType="end"/>
            </w:r>
          </w:hyperlink>
        </w:p>
        <w:p w14:paraId="352B4B6D" w14:textId="77777777" w:rsidR="006A3AB9" w:rsidRDefault="00112A2E">
          <w:pPr>
            <w:pStyle w:val="TDC3"/>
            <w:rPr>
              <w:rFonts w:asciiTheme="minorHAnsi" w:eastAsiaTheme="minorEastAsia" w:hAnsiTheme="minorHAnsi" w:cstheme="minorBidi"/>
              <w:noProof/>
            </w:rPr>
          </w:pPr>
          <w:hyperlink w:anchor="_Toc203625581" w:history="1">
            <w:r w:rsidR="006A3AB9" w:rsidRPr="00D96D37">
              <w:rPr>
                <w:rStyle w:val="Hipervnculo"/>
                <w:noProof/>
              </w:rPr>
              <w:t>a) Competencia del Instituto</w:t>
            </w:r>
            <w:r w:rsidR="006A3AB9">
              <w:rPr>
                <w:noProof/>
                <w:webHidden/>
              </w:rPr>
              <w:tab/>
            </w:r>
            <w:r w:rsidR="006A3AB9">
              <w:rPr>
                <w:noProof/>
                <w:webHidden/>
              </w:rPr>
              <w:fldChar w:fldCharType="begin"/>
            </w:r>
            <w:r w:rsidR="006A3AB9">
              <w:rPr>
                <w:noProof/>
                <w:webHidden/>
              </w:rPr>
              <w:instrText xml:space="preserve"> PAGEREF _Toc203625581 \h </w:instrText>
            </w:r>
            <w:r w:rsidR="006A3AB9">
              <w:rPr>
                <w:noProof/>
                <w:webHidden/>
              </w:rPr>
            </w:r>
            <w:r w:rsidR="006A3AB9">
              <w:rPr>
                <w:noProof/>
                <w:webHidden/>
              </w:rPr>
              <w:fldChar w:fldCharType="separate"/>
            </w:r>
            <w:r w:rsidR="006A3AB9">
              <w:rPr>
                <w:noProof/>
                <w:webHidden/>
              </w:rPr>
              <w:t>11</w:t>
            </w:r>
            <w:r w:rsidR="006A3AB9">
              <w:rPr>
                <w:noProof/>
                <w:webHidden/>
              </w:rPr>
              <w:fldChar w:fldCharType="end"/>
            </w:r>
          </w:hyperlink>
        </w:p>
        <w:p w14:paraId="58F96CDD" w14:textId="77777777" w:rsidR="006A3AB9" w:rsidRDefault="00112A2E">
          <w:pPr>
            <w:pStyle w:val="TDC3"/>
            <w:rPr>
              <w:rFonts w:asciiTheme="minorHAnsi" w:eastAsiaTheme="minorEastAsia" w:hAnsiTheme="minorHAnsi" w:cstheme="minorBidi"/>
              <w:noProof/>
            </w:rPr>
          </w:pPr>
          <w:hyperlink w:anchor="_Toc203625582" w:history="1">
            <w:r w:rsidR="006A3AB9" w:rsidRPr="00D96D37">
              <w:rPr>
                <w:rStyle w:val="Hipervnculo"/>
                <w:noProof/>
              </w:rPr>
              <w:t>b) Legitimidad de la parte recurrente</w:t>
            </w:r>
            <w:r w:rsidR="006A3AB9">
              <w:rPr>
                <w:noProof/>
                <w:webHidden/>
              </w:rPr>
              <w:tab/>
            </w:r>
            <w:r w:rsidR="006A3AB9">
              <w:rPr>
                <w:noProof/>
                <w:webHidden/>
              </w:rPr>
              <w:fldChar w:fldCharType="begin"/>
            </w:r>
            <w:r w:rsidR="006A3AB9">
              <w:rPr>
                <w:noProof/>
                <w:webHidden/>
              </w:rPr>
              <w:instrText xml:space="preserve"> PAGEREF _Toc203625582 \h </w:instrText>
            </w:r>
            <w:r w:rsidR="006A3AB9">
              <w:rPr>
                <w:noProof/>
                <w:webHidden/>
              </w:rPr>
            </w:r>
            <w:r w:rsidR="006A3AB9">
              <w:rPr>
                <w:noProof/>
                <w:webHidden/>
              </w:rPr>
              <w:fldChar w:fldCharType="separate"/>
            </w:r>
            <w:r w:rsidR="006A3AB9">
              <w:rPr>
                <w:noProof/>
                <w:webHidden/>
              </w:rPr>
              <w:t>12</w:t>
            </w:r>
            <w:r w:rsidR="006A3AB9">
              <w:rPr>
                <w:noProof/>
                <w:webHidden/>
              </w:rPr>
              <w:fldChar w:fldCharType="end"/>
            </w:r>
          </w:hyperlink>
        </w:p>
        <w:p w14:paraId="73D23313" w14:textId="77777777" w:rsidR="006A3AB9" w:rsidRDefault="00112A2E">
          <w:pPr>
            <w:pStyle w:val="TDC3"/>
            <w:rPr>
              <w:rFonts w:asciiTheme="minorHAnsi" w:eastAsiaTheme="minorEastAsia" w:hAnsiTheme="minorHAnsi" w:cstheme="minorBidi"/>
              <w:noProof/>
            </w:rPr>
          </w:pPr>
          <w:hyperlink w:anchor="_Toc203625583" w:history="1">
            <w:r w:rsidR="006A3AB9" w:rsidRPr="00D96D37">
              <w:rPr>
                <w:rStyle w:val="Hipervnculo"/>
                <w:noProof/>
              </w:rPr>
              <w:t>c) Plazo para interponer el recurso</w:t>
            </w:r>
            <w:r w:rsidR="006A3AB9">
              <w:rPr>
                <w:noProof/>
                <w:webHidden/>
              </w:rPr>
              <w:tab/>
            </w:r>
            <w:r w:rsidR="006A3AB9">
              <w:rPr>
                <w:noProof/>
                <w:webHidden/>
              </w:rPr>
              <w:fldChar w:fldCharType="begin"/>
            </w:r>
            <w:r w:rsidR="006A3AB9">
              <w:rPr>
                <w:noProof/>
                <w:webHidden/>
              </w:rPr>
              <w:instrText xml:space="preserve"> PAGEREF _Toc203625583 \h </w:instrText>
            </w:r>
            <w:r w:rsidR="006A3AB9">
              <w:rPr>
                <w:noProof/>
                <w:webHidden/>
              </w:rPr>
            </w:r>
            <w:r w:rsidR="006A3AB9">
              <w:rPr>
                <w:noProof/>
                <w:webHidden/>
              </w:rPr>
              <w:fldChar w:fldCharType="separate"/>
            </w:r>
            <w:r w:rsidR="006A3AB9">
              <w:rPr>
                <w:noProof/>
                <w:webHidden/>
              </w:rPr>
              <w:t>12</w:t>
            </w:r>
            <w:r w:rsidR="006A3AB9">
              <w:rPr>
                <w:noProof/>
                <w:webHidden/>
              </w:rPr>
              <w:fldChar w:fldCharType="end"/>
            </w:r>
          </w:hyperlink>
        </w:p>
        <w:p w14:paraId="61FE431B" w14:textId="77777777" w:rsidR="006A3AB9" w:rsidRDefault="00112A2E">
          <w:pPr>
            <w:pStyle w:val="TDC3"/>
            <w:rPr>
              <w:rFonts w:asciiTheme="minorHAnsi" w:eastAsiaTheme="minorEastAsia" w:hAnsiTheme="minorHAnsi" w:cstheme="minorBidi"/>
              <w:noProof/>
            </w:rPr>
          </w:pPr>
          <w:hyperlink w:anchor="_Toc203625584" w:history="1">
            <w:r w:rsidR="006A3AB9" w:rsidRPr="00D96D37">
              <w:rPr>
                <w:rStyle w:val="Hipervnculo"/>
                <w:noProof/>
              </w:rPr>
              <w:t>d) Causal de procedencia</w:t>
            </w:r>
            <w:r w:rsidR="006A3AB9">
              <w:rPr>
                <w:noProof/>
                <w:webHidden/>
              </w:rPr>
              <w:tab/>
            </w:r>
            <w:r w:rsidR="006A3AB9">
              <w:rPr>
                <w:noProof/>
                <w:webHidden/>
              </w:rPr>
              <w:fldChar w:fldCharType="begin"/>
            </w:r>
            <w:r w:rsidR="006A3AB9">
              <w:rPr>
                <w:noProof/>
                <w:webHidden/>
              </w:rPr>
              <w:instrText xml:space="preserve"> PAGEREF _Toc203625584 \h </w:instrText>
            </w:r>
            <w:r w:rsidR="006A3AB9">
              <w:rPr>
                <w:noProof/>
                <w:webHidden/>
              </w:rPr>
            </w:r>
            <w:r w:rsidR="006A3AB9">
              <w:rPr>
                <w:noProof/>
                <w:webHidden/>
              </w:rPr>
              <w:fldChar w:fldCharType="separate"/>
            </w:r>
            <w:r w:rsidR="006A3AB9">
              <w:rPr>
                <w:noProof/>
                <w:webHidden/>
              </w:rPr>
              <w:t>12</w:t>
            </w:r>
            <w:r w:rsidR="006A3AB9">
              <w:rPr>
                <w:noProof/>
                <w:webHidden/>
              </w:rPr>
              <w:fldChar w:fldCharType="end"/>
            </w:r>
          </w:hyperlink>
        </w:p>
        <w:p w14:paraId="72614F87" w14:textId="77777777" w:rsidR="006A3AB9" w:rsidRDefault="00112A2E">
          <w:pPr>
            <w:pStyle w:val="TDC3"/>
            <w:rPr>
              <w:rFonts w:asciiTheme="minorHAnsi" w:eastAsiaTheme="minorEastAsia" w:hAnsiTheme="minorHAnsi" w:cstheme="minorBidi"/>
              <w:noProof/>
            </w:rPr>
          </w:pPr>
          <w:hyperlink w:anchor="_Toc203625585" w:history="1">
            <w:r w:rsidR="006A3AB9" w:rsidRPr="00D96D37">
              <w:rPr>
                <w:rStyle w:val="Hipervnculo"/>
                <w:noProof/>
              </w:rPr>
              <w:t>e) Requisitos formales para la interposición del recurso</w:t>
            </w:r>
            <w:r w:rsidR="006A3AB9">
              <w:rPr>
                <w:noProof/>
                <w:webHidden/>
              </w:rPr>
              <w:tab/>
            </w:r>
            <w:r w:rsidR="006A3AB9">
              <w:rPr>
                <w:noProof/>
                <w:webHidden/>
              </w:rPr>
              <w:fldChar w:fldCharType="begin"/>
            </w:r>
            <w:r w:rsidR="006A3AB9">
              <w:rPr>
                <w:noProof/>
                <w:webHidden/>
              </w:rPr>
              <w:instrText xml:space="preserve"> PAGEREF _Toc203625585 \h </w:instrText>
            </w:r>
            <w:r w:rsidR="006A3AB9">
              <w:rPr>
                <w:noProof/>
                <w:webHidden/>
              </w:rPr>
            </w:r>
            <w:r w:rsidR="006A3AB9">
              <w:rPr>
                <w:noProof/>
                <w:webHidden/>
              </w:rPr>
              <w:fldChar w:fldCharType="separate"/>
            </w:r>
            <w:r w:rsidR="006A3AB9">
              <w:rPr>
                <w:noProof/>
                <w:webHidden/>
              </w:rPr>
              <w:t>13</w:t>
            </w:r>
            <w:r w:rsidR="006A3AB9">
              <w:rPr>
                <w:noProof/>
                <w:webHidden/>
              </w:rPr>
              <w:fldChar w:fldCharType="end"/>
            </w:r>
          </w:hyperlink>
        </w:p>
        <w:p w14:paraId="1A34DD64" w14:textId="77777777" w:rsidR="006A3AB9" w:rsidRDefault="00112A2E">
          <w:pPr>
            <w:pStyle w:val="TDC3"/>
            <w:rPr>
              <w:rFonts w:asciiTheme="minorHAnsi" w:eastAsiaTheme="minorEastAsia" w:hAnsiTheme="minorHAnsi" w:cstheme="minorBidi"/>
              <w:noProof/>
            </w:rPr>
          </w:pPr>
          <w:hyperlink w:anchor="_Toc203625586" w:history="1">
            <w:r w:rsidR="006A3AB9" w:rsidRPr="00D96D37">
              <w:rPr>
                <w:rStyle w:val="Hipervnculo"/>
                <w:noProof/>
              </w:rPr>
              <w:t>f) Acumulación de los Recursos de Revisión</w:t>
            </w:r>
            <w:r w:rsidR="006A3AB9">
              <w:rPr>
                <w:noProof/>
                <w:webHidden/>
              </w:rPr>
              <w:tab/>
            </w:r>
            <w:r w:rsidR="006A3AB9">
              <w:rPr>
                <w:noProof/>
                <w:webHidden/>
              </w:rPr>
              <w:fldChar w:fldCharType="begin"/>
            </w:r>
            <w:r w:rsidR="006A3AB9">
              <w:rPr>
                <w:noProof/>
                <w:webHidden/>
              </w:rPr>
              <w:instrText xml:space="preserve"> PAGEREF _Toc203625586 \h </w:instrText>
            </w:r>
            <w:r w:rsidR="006A3AB9">
              <w:rPr>
                <w:noProof/>
                <w:webHidden/>
              </w:rPr>
            </w:r>
            <w:r w:rsidR="006A3AB9">
              <w:rPr>
                <w:noProof/>
                <w:webHidden/>
              </w:rPr>
              <w:fldChar w:fldCharType="separate"/>
            </w:r>
            <w:r w:rsidR="006A3AB9">
              <w:rPr>
                <w:noProof/>
                <w:webHidden/>
              </w:rPr>
              <w:t>13</w:t>
            </w:r>
            <w:r w:rsidR="006A3AB9">
              <w:rPr>
                <w:noProof/>
                <w:webHidden/>
              </w:rPr>
              <w:fldChar w:fldCharType="end"/>
            </w:r>
          </w:hyperlink>
        </w:p>
        <w:p w14:paraId="791DF5CE" w14:textId="77777777" w:rsidR="006A3AB9" w:rsidRDefault="00112A2E">
          <w:pPr>
            <w:pStyle w:val="TDC2"/>
            <w:rPr>
              <w:rFonts w:asciiTheme="minorHAnsi" w:eastAsiaTheme="minorEastAsia" w:hAnsiTheme="minorHAnsi" w:cstheme="minorBidi"/>
              <w:noProof/>
            </w:rPr>
          </w:pPr>
          <w:hyperlink w:anchor="_Toc203625587" w:history="1">
            <w:r w:rsidR="006A3AB9" w:rsidRPr="00D96D37">
              <w:rPr>
                <w:rStyle w:val="Hipervnculo"/>
                <w:noProof/>
              </w:rPr>
              <w:t>SEGUNDO. Estudio de Fondo</w:t>
            </w:r>
            <w:r w:rsidR="006A3AB9">
              <w:rPr>
                <w:noProof/>
                <w:webHidden/>
              </w:rPr>
              <w:tab/>
            </w:r>
            <w:r w:rsidR="006A3AB9">
              <w:rPr>
                <w:noProof/>
                <w:webHidden/>
              </w:rPr>
              <w:fldChar w:fldCharType="begin"/>
            </w:r>
            <w:r w:rsidR="006A3AB9">
              <w:rPr>
                <w:noProof/>
                <w:webHidden/>
              </w:rPr>
              <w:instrText xml:space="preserve"> PAGEREF _Toc203625587 \h </w:instrText>
            </w:r>
            <w:r w:rsidR="006A3AB9">
              <w:rPr>
                <w:noProof/>
                <w:webHidden/>
              </w:rPr>
            </w:r>
            <w:r w:rsidR="006A3AB9">
              <w:rPr>
                <w:noProof/>
                <w:webHidden/>
              </w:rPr>
              <w:fldChar w:fldCharType="separate"/>
            </w:r>
            <w:r w:rsidR="006A3AB9">
              <w:rPr>
                <w:noProof/>
                <w:webHidden/>
              </w:rPr>
              <w:t>13</w:t>
            </w:r>
            <w:r w:rsidR="006A3AB9">
              <w:rPr>
                <w:noProof/>
                <w:webHidden/>
              </w:rPr>
              <w:fldChar w:fldCharType="end"/>
            </w:r>
          </w:hyperlink>
        </w:p>
        <w:p w14:paraId="0D6BCDAF" w14:textId="77777777" w:rsidR="006A3AB9" w:rsidRDefault="00112A2E">
          <w:pPr>
            <w:pStyle w:val="TDC3"/>
            <w:rPr>
              <w:rFonts w:asciiTheme="minorHAnsi" w:eastAsiaTheme="minorEastAsia" w:hAnsiTheme="minorHAnsi" w:cstheme="minorBidi"/>
              <w:noProof/>
            </w:rPr>
          </w:pPr>
          <w:hyperlink w:anchor="_Toc203625588" w:history="1">
            <w:r w:rsidR="006A3AB9" w:rsidRPr="00D96D37">
              <w:rPr>
                <w:rStyle w:val="Hipervnculo"/>
                <w:noProof/>
              </w:rPr>
              <w:t>a) Mandato de transparencia y responsabilidad del Sujeto Obligado</w:t>
            </w:r>
            <w:r w:rsidR="006A3AB9">
              <w:rPr>
                <w:noProof/>
                <w:webHidden/>
              </w:rPr>
              <w:tab/>
            </w:r>
            <w:r w:rsidR="006A3AB9">
              <w:rPr>
                <w:noProof/>
                <w:webHidden/>
              </w:rPr>
              <w:fldChar w:fldCharType="begin"/>
            </w:r>
            <w:r w:rsidR="006A3AB9">
              <w:rPr>
                <w:noProof/>
                <w:webHidden/>
              </w:rPr>
              <w:instrText xml:space="preserve"> PAGEREF _Toc203625588 \h </w:instrText>
            </w:r>
            <w:r w:rsidR="006A3AB9">
              <w:rPr>
                <w:noProof/>
                <w:webHidden/>
              </w:rPr>
            </w:r>
            <w:r w:rsidR="006A3AB9">
              <w:rPr>
                <w:noProof/>
                <w:webHidden/>
              </w:rPr>
              <w:fldChar w:fldCharType="separate"/>
            </w:r>
            <w:r w:rsidR="006A3AB9">
              <w:rPr>
                <w:noProof/>
                <w:webHidden/>
              </w:rPr>
              <w:t>13</w:t>
            </w:r>
            <w:r w:rsidR="006A3AB9">
              <w:rPr>
                <w:noProof/>
                <w:webHidden/>
              </w:rPr>
              <w:fldChar w:fldCharType="end"/>
            </w:r>
          </w:hyperlink>
        </w:p>
        <w:p w14:paraId="7BBE7123" w14:textId="77777777" w:rsidR="006A3AB9" w:rsidRDefault="00112A2E">
          <w:pPr>
            <w:pStyle w:val="TDC3"/>
            <w:rPr>
              <w:rFonts w:asciiTheme="minorHAnsi" w:eastAsiaTheme="minorEastAsia" w:hAnsiTheme="minorHAnsi" w:cstheme="minorBidi"/>
              <w:noProof/>
            </w:rPr>
          </w:pPr>
          <w:hyperlink w:anchor="_Toc203625589" w:history="1">
            <w:r w:rsidR="006A3AB9" w:rsidRPr="00D96D37">
              <w:rPr>
                <w:rStyle w:val="Hipervnculo"/>
                <w:noProof/>
              </w:rPr>
              <w:t>b) Controversia a resolver</w:t>
            </w:r>
            <w:r w:rsidR="006A3AB9">
              <w:rPr>
                <w:noProof/>
                <w:webHidden/>
              </w:rPr>
              <w:tab/>
            </w:r>
            <w:r w:rsidR="006A3AB9">
              <w:rPr>
                <w:noProof/>
                <w:webHidden/>
              </w:rPr>
              <w:fldChar w:fldCharType="begin"/>
            </w:r>
            <w:r w:rsidR="006A3AB9">
              <w:rPr>
                <w:noProof/>
                <w:webHidden/>
              </w:rPr>
              <w:instrText xml:space="preserve"> PAGEREF _Toc203625589 \h </w:instrText>
            </w:r>
            <w:r w:rsidR="006A3AB9">
              <w:rPr>
                <w:noProof/>
                <w:webHidden/>
              </w:rPr>
            </w:r>
            <w:r w:rsidR="006A3AB9">
              <w:rPr>
                <w:noProof/>
                <w:webHidden/>
              </w:rPr>
              <w:fldChar w:fldCharType="separate"/>
            </w:r>
            <w:r w:rsidR="006A3AB9">
              <w:rPr>
                <w:noProof/>
                <w:webHidden/>
              </w:rPr>
              <w:t>16</w:t>
            </w:r>
            <w:r w:rsidR="006A3AB9">
              <w:rPr>
                <w:noProof/>
                <w:webHidden/>
              </w:rPr>
              <w:fldChar w:fldCharType="end"/>
            </w:r>
          </w:hyperlink>
        </w:p>
        <w:p w14:paraId="54073F41" w14:textId="77777777" w:rsidR="006A3AB9" w:rsidRDefault="00112A2E">
          <w:pPr>
            <w:pStyle w:val="TDC3"/>
            <w:rPr>
              <w:rFonts w:asciiTheme="minorHAnsi" w:eastAsiaTheme="minorEastAsia" w:hAnsiTheme="minorHAnsi" w:cstheme="minorBidi"/>
              <w:noProof/>
            </w:rPr>
          </w:pPr>
          <w:hyperlink w:anchor="_Toc203625590" w:history="1">
            <w:r w:rsidR="006A3AB9" w:rsidRPr="00D96D37">
              <w:rPr>
                <w:rStyle w:val="Hipervnculo"/>
                <w:noProof/>
              </w:rPr>
              <w:t>c) Estudio de la controversia</w:t>
            </w:r>
            <w:r w:rsidR="006A3AB9">
              <w:rPr>
                <w:noProof/>
                <w:webHidden/>
              </w:rPr>
              <w:tab/>
            </w:r>
            <w:r w:rsidR="006A3AB9">
              <w:rPr>
                <w:noProof/>
                <w:webHidden/>
              </w:rPr>
              <w:fldChar w:fldCharType="begin"/>
            </w:r>
            <w:r w:rsidR="006A3AB9">
              <w:rPr>
                <w:noProof/>
                <w:webHidden/>
              </w:rPr>
              <w:instrText xml:space="preserve"> PAGEREF _Toc203625590 \h </w:instrText>
            </w:r>
            <w:r w:rsidR="006A3AB9">
              <w:rPr>
                <w:noProof/>
                <w:webHidden/>
              </w:rPr>
            </w:r>
            <w:r w:rsidR="006A3AB9">
              <w:rPr>
                <w:noProof/>
                <w:webHidden/>
              </w:rPr>
              <w:fldChar w:fldCharType="separate"/>
            </w:r>
            <w:r w:rsidR="006A3AB9">
              <w:rPr>
                <w:noProof/>
                <w:webHidden/>
              </w:rPr>
              <w:t>17</w:t>
            </w:r>
            <w:r w:rsidR="006A3AB9">
              <w:rPr>
                <w:noProof/>
                <w:webHidden/>
              </w:rPr>
              <w:fldChar w:fldCharType="end"/>
            </w:r>
          </w:hyperlink>
        </w:p>
        <w:p w14:paraId="35127E0D" w14:textId="77777777" w:rsidR="006A3AB9" w:rsidRDefault="00112A2E">
          <w:pPr>
            <w:pStyle w:val="TDC3"/>
            <w:rPr>
              <w:rFonts w:asciiTheme="minorHAnsi" w:eastAsiaTheme="minorEastAsia" w:hAnsiTheme="minorHAnsi" w:cstheme="minorBidi"/>
              <w:noProof/>
            </w:rPr>
          </w:pPr>
          <w:hyperlink w:anchor="_Toc203625591" w:history="1">
            <w:r w:rsidR="006A3AB9" w:rsidRPr="00D96D37">
              <w:rPr>
                <w:rStyle w:val="Hipervnculo"/>
                <w:noProof/>
              </w:rPr>
              <w:t>d) Versión pública</w:t>
            </w:r>
            <w:r w:rsidR="006A3AB9">
              <w:rPr>
                <w:noProof/>
                <w:webHidden/>
              </w:rPr>
              <w:tab/>
            </w:r>
            <w:r w:rsidR="006A3AB9">
              <w:rPr>
                <w:noProof/>
                <w:webHidden/>
              </w:rPr>
              <w:fldChar w:fldCharType="begin"/>
            </w:r>
            <w:r w:rsidR="006A3AB9">
              <w:rPr>
                <w:noProof/>
                <w:webHidden/>
              </w:rPr>
              <w:instrText xml:space="preserve"> PAGEREF _Toc203625591 \h </w:instrText>
            </w:r>
            <w:r w:rsidR="006A3AB9">
              <w:rPr>
                <w:noProof/>
                <w:webHidden/>
              </w:rPr>
            </w:r>
            <w:r w:rsidR="006A3AB9">
              <w:rPr>
                <w:noProof/>
                <w:webHidden/>
              </w:rPr>
              <w:fldChar w:fldCharType="separate"/>
            </w:r>
            <w:r w:rsidR="006A3AB9">
              <w:rPr>
                <w:noProof/>
                <w:webHidden/>
              </w:rPr>
              <w:t>36</w:t>
            </w:r>
            <w:r w:rsidR="006A3AB9">
              <w:rPr>
                <w:noProof/>
                <w:webHidden/>
              </w:rPr>
              <w:fldChar w:fldCharType="end"/>
            </w:r>
          </w:hyperlink>
        </w:p>
        <w:p w14:paraId="217A7F9B" w14:textId="77777777" w:rsidR="006A3AB9" w:rsidRDefault="00112A2E">
          <w:pPr>
            <w:pStyle w:val="TDC3"/>
            <w:rPr>
              <w:rFonts w:asciiTheme="minorHAnsi" w:eastAsiaTheme="minorEastAsia" w:hAnsiTheme="minorHAnsi" w:cstheme="minorBidi"/>
              <w:noProof/>
            </w:rPr>
          </w:pPr>
          <w:hyperlink w:anchor="_Toc203625592" w:history="1">
            <w:r w:rsidR="006A3AB9" w:rsidRPr="00D96D37">
              <w:rPr>
                <w:rStyle w:val="Hipervnculo"/>
                <w:noProof/>
              </w:rPr>
              <w:t>e) Conclusión</w:t>
            </w:r>
            <w:r w:rsidR="006A3AB9">
              <w:rPr>
                <w:noProof/>
                <w:webHidden/>
              </w:rPr>
              <w:tab/>
            </w:r>
            <w:r w:rsidR="006A3AB9">
              <w:rPr>
                <w:noProof/>
                <w:webHidden/>
              </w:rPr>
              <w:fldChar w:fldCharType="begin"/>
            </w:r>
            <w:r w:rsidR="006A3AB9">
              <w:rPr>
                <w:noProof/>
                <w:webHidden/>
              </w:rPr>
              <w:instrText xml:space="preserve"> PAGEREF _Toc203625592 \h </w:instrText>
            </w:r>
            <w:r w:rsidR="006A3AB9">
              <w:rPr>
                <w:noProof/>
                <w:webHidden/>
              </w:rPr>
            </w:r>
            <w:r w:rsidR="006A3AB9">
              <w:rPr>
                <w:noProof/>
                <w:webHidden/>
              </w:rPr>
              <w:fldChar w:fldCharType="separate"/>
            </w:r>
            <w:r w:rsidR="006A3AB9">
              <w:rPr>
                <w:noProof/>
                <w:webHidden/>
              </w:rPr>
              <w:t>42</w:t>
            </w:r>
            <w:r w:rsidR="006A3AB9">
              <w:rPr>
                <w:noProof/>
                <w:webHidden/>
              </w:rPr>
              <w:fldChar w:fldCharType="end"/>
            </w:r>
          </w:hyperlink>
        </w:p>
        <w:p w14:paraId="737E30B3" w14:textId="77777777" w:rsidR="006A3AB9" w:rsidRDefault="00112A2E">
          <w:pPr>
            <w:pStyle w:val="TDC1"/>
            <w:tabs>
              <w:tab w:val="right" w:leader="dot" w:pos="9034"/>
            </w:tabs>
            <w:rPr>
              <w:rFonts w:asciiTheme="minorHAnsi" w:eastAsiaTheme="minorEastAsia" w:hAnsiTheme="minorHAnsi" w:cstheme="minorBidi"/>
              <w:noProof/>
            </w:rPr>
          </w:pPr>
          <w:hyperlink w:anchor="_Toc203625593" w:history="1">
            <w:r w:rsidR="006A3AB9" w:rsidRPr="00D96D37">
              <w:rPr>
                <w:rStyle w:val="Hipervnculo"/>
                <w:noProof/>
              </w:rPr>
              <w:t>RESUELVE</w:t>
            </w:r>
            <w:r w:rsidR="006A3AB9">
              <w:rPr>
                <w:noProof/>
                <w:webHidden/>
              </w:rPr>
              <w:tab/>
            </w:r>
            <w:r w:rsidR="006A3AB9">
              <w:rPr>
                <w:noProof/>
                <w:webHidden/>
              </w:rPr>
              <w:fldChar w:fldCharType="begin"/>
            </w:r>
            <w:r w:rsidR="006A3AB9">
              <w:rPr>
                <w:noProof/>
                <w:webHidden/>
              </w:rPr>
              <w:instrText xml:space="preserve"> PAGEREF _Toc203625593 \h </w:instrText>
            </w:r>
            <w:r w:rsidR="006A3AB9">
              <w:rPr>
                <w:noProof/>
                <w:webHidden/>
              </w:rPr>
            </w:r>
            <w:r w:rsidR="006A3AB9">
              <w:rPr>
                <w:noProof/>
                <w:webHidden/>
              </w:rPr>
              <w:fldChar w:fldCharType="separate"/>
            </w:r>
            <w:r w:rsidR="006A3AB9">
              <w:rPr>
                <w:noProof/>
                <w:webHidden/>
              </w:rPr>
              <w:t>43</w:t>
            </w:r>
            <w:r w:rsidR="006A3AB9">
              <w:rPr>
                <w:noProof/>
                <w:webHidden/>
              </w:rPr>
              <w:fldChar w:fldCharType="end"/>
            </w:r>
          </w:hyperlink>
        </w:p>
        <w:p w14:paraId="4B1F4999" w14:textId="77777777" w:rsidR="006A3AB9" w:rsidRDefault="006A3AB9">
          <w:r>
            <w:rPr>
              <w:b/>
              <w:bCs/>
              <w:lang w:val="es-ES"/>
            </w:rPr>
            <w:fldChar w:fldCharType="end"/>
          </w:r>
        </w:p>
      </w:sdtContent>
    </w:sdt>
    <w:p w14:paraId="0A57551E" w14:textId="77777777" w:rsidR="00BA602E" w:rsidRDefault="00BA602E">
      <w:pPr>
        <w:rPr>
          <w:i/>
        </w:rPr>
        <w:sectPr w:rsidR="00BA602E">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53690DE7" w14:textId="77777777" w:rsidR="00BA602E" w:rsidRDefault="00FB427C">
      <w:pPr>
        <w:rPr>
          <w:b/>
        </w:rPr>
      </w:pPr>
      <w:r>
        <w:lastRenderedPageBreak/>
        <w:t xml:space="preserve">Resolución del Pleno del Instituto de Transparencia, Acceso a la Información Pública y Protección de Datos Personales del Estado de México y Municipios, con domicilio en Metepec, Estado de México, del </w:t>
      </w:r>
      <w:r>
        <w:rPr>
          <w:b/>
        </w:rPr>
        <w:t>dieciséis de julio de dos mil veinticinco.</w:t>
      </w:r>
    </w:p>
    <w:p w14:paraId="004744FE" w14:textId="77777777" w:rsidR="00BA602E" w:rsidRDefault="00BA602E"/>
    <w:p w14:paraId="492E713B" w14:textId="6AC177E3" w:rsidR="00BA602E" w:rsidRDefault="00FB427C">
      <w:r>
        <w:rPr>
          <w:b/>
        </w:rPr>
        <w:t xml:space="preserve">VISTO </w:t>
      </w:r>
      <w:r>
        <w:t xml:space="preserve">el expediente formado con motivo de los Recursos de Revisión </w:t>
      </w:r>
      <w:bookmarkStart w:id="2" w:name="_GoBack"/>
      <w:r>
        <w:rPr>
          <w:b/>
        </w:rPr>
        <w:t xml:space="preserve">04107/INFOEM/IP/RR/2025 y 04110/INFOEM/IP/RR/2025 </w:t>
      </w:r>
      <w:bookmarkEnd w:id="2"/>
      <w:r>
        <w:t xml:space="preserve">interpuestos por </w:t>
      </w:r>
      <w:r w:rsidR="00032011">
        <w:rPr>
          <w:b/>
        </w:rPr>
        <w:t>XXXXXX XXXXXXX XXXXXXX</w:t>
      </w:r>
      <w:r>
        <w:t xml:space="preserve"> a quien en lo subsecuente se le denominará </w:t>
      </w:r>
      <w:r>
        <w:rPr>
          <w:b/>
        </w:rPr>
        <w:t>LA PARTE RECURRENTE</w:t>
      </w:r>
      <w:r>
        <w:t xml:space="preserve">, en contra de la respuesta emitida por el </w:t>
      </w:r>
      <w:r>
        <w:rPr>
          <w:b/>
        </w:rPr>
        <w:t>Ayuntamiento de Cuautitlán</w:t>
      </w:r>
      <w:r>
        <w:t xml:space="preserve">, en adelante </w:t>
      </w:r>
      <w:r>
        <w:rPr>
          <w:b/>
        </w:rPr>
        <w:t>EL SUJETO OBLIGADO</w:t>
      </w:r>
      <w:r>
        <w:t>, se emite la presente Resolución con base en los Antecedentes y Considerandos que se exponen a continuación:</w:t>
      </w:r>
    </w:p>
    <w:p w14:paraId="15BABDAD" w14:textId="77777777" w:rsidR="00BA602E" w:rsidRDefault="00BA602E"/>
    <w:p w14:paraId="380B6486" w14:textId="77777777" w:rsidR="00BA602E" w:rsidRDefault="00FB427C">
      <w:pPr>
        <w:pStyle w:val="Ttulo1"/>
        <w:spacing w:line="240" w:lineRule="auto"/>
        <w:ind w:left="567" w:right="567" w:firstLine="567"/>
      </w:pPr>
      <w:bookmarkStart w:id="3" w:name="_Toc203625566"/>
      <w:r>
        <w:t>ANTECEDENTES</w:t>
      </w:r>
      <w:bookmarkEnd w:id="3"/>
    </w:p>
    <w:p w14:paraId="281C37E1" w14:textId="77777777" w:rsidR="00BA602E" w:rsidRDefault="00BA602E"/>
    <w:p w14:paraId="5D988C5A" w14:textId="77777777" w:rsidR="00BA602E" w:rsidRDefault="00FB427C">
      <w:pPr>
        <w:pStyle w:val="Ttulo2"/>
        <w:jc w:val="left"/>
      </w:pPr>
      <w:bookmarkStart w:id="4" w:name="_Toc203625567"/>
      <w:r>
        <w:t>DE LA SOLICITUD DE INFORMACIÓN</w:t>
      </w:r>
      <w:bookmarkEnd w:id="4"/>
    </w:p>
    <w:p w14:paraId="404D3BD3" w14:textId="77777777" w:rsidR="00BA602E" w:rsidRDefault="00FB427C">
      <w:pPr>
        <w:pStyle w:val="Ttulo3"/>
      </w:pPr>
      <w:bookmarkStart w:id="5" w:name="_Toc203625568"/>
      <w:r>
        <w:t>a) Solicitud de información</w:t>
      </w:r>
      <w:bookmarkEnd w:id="5"/>
    </w:p>
    <w:p w14:paraId="6DFCF367" w14:textId="77777777" w:rsidR="00BA602E" w:rsidRDefault="00FB427C">
      <w:pPr>
        <w:pBdr>
          <w:top w:val="nil"/>
          <w:left w:val="nil"/>
          <w:bottom w:val="nil"/>
          <w:right w:val="nil"/>
          <w:between w:val="nil"/>
        </w:pBdr>
        <w:tabs>
          <w:tab w:val="left" w:pos="0"/>
        </w:tabs>
      </w:pPr>
      <w:r>
        <w:t>En fecha</w:t>
      </w:r>
      <w:r>
        <w:rPr>
          <w:b/>
        </w:rPr>
        <w:t xml:space="preserve"> veintiuno de febrero</w:t>
      </w:r>
      <w:r>
        <w:t xml:space="preserve"> </w:t>
      </w:r>
      <w:r>
        <w:rPr>
          <w:b/>
        </w:rPr>
        <w:t>de dos mil veinticinco</w:t>
      </w:r>
      <w:r>
        <w:t xml:space="preserve">, </w:t>
      </w:r>
      <w:r>
        <w:rPr>
          <w:b/>
        </w:rPr>
        <w:t>LA PARTE RECURRENTE</w:t>
      </w:r>
      <w:r>
        <w:t xml:space="preserve"> presentó dos solicitudes de acceso a la información pública ante el </w:t>
      </w:r>
      <w:r>
        <w:rPr>
          <w:b/>
        </w:rPr>
        <w:t>SUJETO OBLIGADO</w:t>
      </w:r>
      <w:r>
        <w:t>, a través del Sistema de Acceso a la Información Mexiquense (SAIMEX). Dichas solicitudes quedaron registradas con el número de folio</w:t>
      </w:r>
      <w:r>
        <w:rPr>
          <w:b/>
        </w:rPr>
        <w:t xml:space="preserve"> 00220/CUAUTIT/IP/2025 y 00221/CUAUTIT/IP/2025</w:t>
      </w:r>
      <w:r>
        <w:t>, en ellas se requirió la siguiente información:</w:t>
      </w:r>
    </w:p>
    <w:p w14:paraId="1C12A9E3" w14:textId="77777777" w:rsidR="00BA602E" w:rsidRDefault="00BA602E">
      <w:pPr>
        <w:tabs>
          <w:tab w:val="left" w:pos="4667"/>
        </w:tabs>
        <w:ind w:left="567" w:right="567"/>
        <w:rPr>
          <w:b/>
        </w:rPr>
      </w:pPr>
    </w:p>
    <w:p w14:paraId="130C197F" w14:textId="77777777" w:rsidR="00BA602E" w:rsidRDefault="00FB427C">
      <w:pPr>
        <w:tabs>
          <w:tab w:val="left" w:pos="4667"/>
        </w:tabs>
        <w:ind w:left="567" w:right="567"/>
        <w:rPr>
          <w:b/>
        </w:rPr>
      </w:pPr>
      <w:r>
        <w:rPr>
          <w:b/>
        </w:rPr>
        <w:t>00220/CUAUTIT/IP/2025:</w:t>
      </w:r>
    </w:p>
    <w:p w14:paraId="523AE12C" w14:textId="77777777" w:rsidR="00BA602E" w:rsidRDefault="00FB427C">
      <w:pPr>
        <w:pBdr>
          <w:top w:val="nil"/>
          <w:left w:val="nil"/>
          <w:bottom w:val="nil"/>
          <w:right w:val="nil"/>
          <w:between w:val="nil"/>
        </w:pBdr>
        <w:spacing w:line="240" w:lineRule="auto"/>
        <w:ind w:left="567" w:right="567" w:firstLine="567"/>
        <w:rPr>
          <w:i/>
        </w:rPr>
      </w:pPr>
      <w:r>
        <w:rPr>
          <w:i/>
        </w:rPr>
        <w:t>“Indique cuando fue la última vez que se le dio mantenimiento preventivo a cada uno de los carcamos ubicados en el Municipio. Indique el costo del último mantenimiento dado a cada uno de los cargamos del municipio y desglose cada concepto de erogacion. Indique si el último mantenimiento dado a los carcamos del municipio lo hizo por conducto alguna empresa concesionada o lo realizaron los trabajadores del municipio.”</w:t>
      </w:r>
    </w:p>
    <w:p w14:paraId="37DD2C20" w14:textId="77777777" w:rsidR="00BA602E" w:rsidRDefault="00BA602E">
      <w:pPr>
        <w:tabs>
          <w:tab w:val="left" w:pos="4667"/>
        </w:tabs>
        <w:ind w:left="567" w:right="567"/>
        <w:rPr>
          <w:i/>
        </w:rPr>
      </w:pPr>
    </w:p>
    <w:p w14:paraId="3AF2AAFB" w14:textId="77777777" w:rsidR="00BA602E" w:rsidRDefault="00FB427C">
      <w:pPr>
        <w:tabs>
          <w:tab w:val="left" w:pos="4667"/>
        </w:tabs>
        <w:ind w:left="567" w:right="567"/>
        <w:rPr>
          <w:i/>
        </w:rPr>
      </w:pPr>
      <w:r>
        <w:rPr>
          <w:b/>
        </w:rPr>
        <w:lastRenderedPageBreak/>
        <w:t>Modalidad de entrega</w:t>
      </w:r>
      <w:r>
        <w:t>: a</w:t>
      </w:r>
      <w:r>
        <w:rPr>
          <w:i/>
        </w:rPr>
        <w:t xml:space="preserve"> través del SAIMEX.</w:t>
      </w:r>
    </w:p>
    <w:p w14:paraId="0A96337B" w14:textId="77777777" w:rsidR="00BA602E" w:rsidRDefault="00BA602E">
      <w:pPr>
        <w:tabs>
          <w:tab w:val="left" w:pos="4667"/>
        </w:tabs>
        <w:ind w:left="567" w:right="567"/>
        <w:rPr>
          <w:i/>
        </w:rPr>
      </w:pPr>
    </w:p>
    <w:p w14:paraId="3F41B66C" w14:textId="77777777" w:rsidR="00BA602E" w:rsidRDefault="00FB427C">
      <w:pPr>
        <w:tabs>
          <w:tab w:val="left" w:pos="4667"/>
        </w:tabs>
        <w:ind w:left="567" w:right="567"/>
      </w:pPr>
      <w:r>
        <w:rPr>
          <w:b/>
        </w:rPr>
        <w:t>00221/CUAUTIT/IP/2025</w:t>
      </w:r>
    </w:p>
    <w:p w14:paraId="570024AD" w14:textId="77777777" w:rsidR="00BA602E" w:rsidRDefault="00FB427C">
      <w:pPr>
        <w:pBdr>
          <w:top w:val="nil"/>
          <w:left w:val="nil"/>
          <w:bottom w:val="nil"/>
          <w:right w:val="nil"/>
          <w:between w:val="nil"/>
        </w:pBdr>
        <w:spacing w:line="240" w:lineRule="auto"/>
        <w:ind w:left="567" w:right="567" w:firstLine="567"/>
        <w:rPr>
          <w:i/>
        </w:rPr>
      </w:pPr>
      <w:r>
        <w:rPr>
          <w:i/>
        </w:rPr>
        <w:t>“Indique cuando fue la última vez que se le dio mantenimiento preventivo a cada uno de los pozos de agua ubicados en el Municipio. Indique el costo del último mantenimiento dado a cada uno de los pozos de agua del municipio y desglose cada concepto de erogacion. Indique si el último mantenimiento dado a los pozos de agua del municipio lo hizo por conducto alguna empresa concesionada o lo realizaron los trabajadores del municipio.”</w:t>
      </w:r>
    </w:p>
    <w:p w14:paraId="3B8BD9B7" w14:textId="77777777" w:rsidR="00BA602E" w:rsidRDefault="00BA602E">
      <w:pPr>
        <w:tabs>
          <w:tab w:val="left" w:pos="4667"/>
        </w:tabs>
        <w:ind w:left="567" w:right="567"/>
        <w:jc w:val="center"/>
        <w:rPr>
          <w:b/>
          <w:i/>
        </w:rPr>
      </w:pPr>
    </w:p>
    <w:p w14:paraId="7F2C0549" w14:textId="77777777" w:rsidR="00BA602E" w:rsidRDefault="00FB427C">
      <w:pPr>
        <w:tabs>
          <w:tab w:val="left" w:pos="4667"/>
        </w:tabs>
        <w:ind w:left="567" w:right="567"/>
        <w:rPr>
          <w:i/>
        </w:rPr>
      </w:pPr>
      <w:r>
        <w:rPr>
          <w:b/>
        </w:rPr>
        <w:t>Modalidad de entrega</w:t>
      </w:r>
      <w:r>
        <w:t>: a</w:t>
      </w:r>
      <w:r>
        <w:rPr>
          <w:i/>
        </w:rPr>
        <w:t xml:space="preserve"> través del </w:t>
      </w:r>
      <w:r>
        <w:rPr>
          <w:b/>
          <w:i/>
        </w:rPr>
        <w:t>SAIMEX</w:t>
      </w:r>
      <w:r>
        <w:rPr>
          <w:i/>
        </w:rPr>
        <w:t>.</w:t>
      </w:r>
    </w:p>
    <w:p w14:paraId="56D3D07B" w14:textId="77777777" w:rsidR="00BA602E" w:rsidRDefault="00BA602E"/>
    <w:p w14:paraId="16F1EE68" w14:textId="77777777" w:rsidR="00BA602E" w:rsidRDefault="00FB427C">
      <w:pPr>
        <w:pStyle w:val="Ttulo3"/>
      </w:pPr>
      <w:bookmarkStart w:id="6" w:name="_Toc203625569"/>
      <w:r>
        <w:t>b) Respuesta del Sujeto Obligado</w:t>
      </w:r>
      <w:bookmarkEnd w:id="6"/>
    </w:p>
    <w:p w14:paraId="5A53B896" w14:textId="77777777" w:rsidR="00BA602E" w:rsidRDefault="00FB427C">
      <w:pPr>
        <w:pBdr>
          <w:top w:val="nil"/>
          <w:left w:val="nil"/>
          <w:bottom w:val="nil"/>
          <w:right w:val="nil"/>
          <w:between w:val="nil"/>
        </w:pBdr>
      </w:pPr>
      <w:r>
        <w:t xml:space="preserve">En fecha </w:t>
      </w:r>
      <w:r w:rsidRPr="00FD6E3D">
        <w:rPr>
          <w:b/>
        </w:rPr>
        <w:t>dieciocho de marzo de dos mil veinticinco</w:t>
      </w:r>
      <w:r>
        <w:t xml:space="preserve">, el Titular de la Unidad de Transparencia del </w:t>
      </w:r>
      <w:r>
        <w:rPr>
          <w:b/>
        </w:rPr>
        <w:t>SUJETO OBLIGADO,</w:t>
      </w:r>
      <w:r>
        <w:t xml:space="preserve"> notificó las siguientes respuestas a través del </w:t>
      </w:r>
      <w:r>
        <w:rPr>
          <w:b/>
        </w:rPr>
        <w:t>SAIMEX</w:t>
      </w:r>
      <w:r>
        <w:t>:</w:t>
      </w:r>
    </w:p>
    <w:p w14:paraId="58DD4428" w14:textId="77777777" w:rsidR="00BA602E" w:rsidRDefault="00BA602E">
      <w:pPr>
        <w:tabs>
          <w:tab w:val="left" w:pos="4667"/>
        </w:tabs>
        <w:ind w:left="567" w:right="567"/>
        <w:rPr>
          <w:b/>
        </w:rPr>
      </w:pPr>
    </w:p>
    <w:p w14:paraId="3B8CA16D" w14:textId="77777777" w:rsidR="00BA602E" w:rsidRDefault="00FB427C">
      <w:pPr>
        <w:tabs>
          <w:tab w:val="left" w:pos="4667"/>
        </w:tabs>
        <w:ind w:left="567" w:right="567"/>
        <w:rPr>
          <w:b/>
        </w:rPr>
      </w:pPr>
      <w:r>
        <w:rPr>
          <w:b/>
        </w:rPr>
        <w:t>00220/CUAUTIT/IP/2025:</w:t>
      </w:r>
    </w:p>
    <w:p w14:paraId="1D19A5D8" w14:textId="77777777" w:rsidR="00BA602E" w:rsidRDefault="00BA602E">
      <w:pPr>
        <w:pBdr>
          <w:top w:val="nil"/>
          <w:left w:val="nil"/>
          <w:bottom w:val="nil"/>
          <w:right w:val="nil"/>
          <w:between w:val="nil"/>
        </w:pBdr>
        <w:spacing w:line="240" w:lineRule="auto"/>
        <w:ind w:left="567" w:right="567" w:firstLine="567"/>
        <w:rPr>
          <w:i/>
        </w:rPr>
      </w:pPr>
    </w:p>
    <w:p w14:paraId="7BFC21BD" w14:textId="77777777" w:rsidR="00BA602E" w:rsidRDefault="00FB427C">
      <w:pPr>
        <w:pBdr>
          <w:top w:val="nil"/>
          <w:left w:val="nil"/>
          <w:bottom w:val="nil"/>
          <w:right w:val="nil"/>
          <w:between w:val="nil"/>
        </w:pBdr>
        <w:spacing w:line="240" w:lineRule="auto"/>
        <w:ind w:left="567" w:right="567" w:firstLine="567"/>
        <w:rPr>
          <w:i/>
        </w:rPr>
      </w:pPr>
      <w:r>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A73A70" w14:textId="77777777" w:rsidR="00BA602E" w:rsidRDefault="00BA602E">
      <w:pPr>
        <w:pBdr>
          <w:top w:val="nil"/>
          <w:left w:val="nil"/>
          <w:bottom w:val="nil"/>
          <w:right w:val="nil"/>
          <w:between w:val="nil"/>
        </w:pBdr>
        <w:spacing w:line="240" w:lineRule="auto"/>
        <w:ind w:left="567" w:right="567" w:firstLine="567"/>
        <w:rPr>
          <w:i/>
        </w:rPr>
      </w:pPr>
    </w:p>
    <w:p w14:paraId="34798805" w14:textId="77777777" w:rsidR="00BA602E" w:rsidRDefault="00FB427C">
      <w:pPr>
        <w:pBdr>
          <w:top w:val="nil"/>
          <w:left w:val="nil"/>
          <w:bottom w:val="nil"/>
          <w:right w:val="nil"/>
          <w:between w:val="nil"/>
        </w:pBdr>
        <w:spacing w:line="240" w:lineRule="auto"/>
        <w:ind w:left="567" w:right="567" w:firstLine="567"/>
        <w:rPr>
          <w:i/>
        </w:rPr>
      </w:pPr>
      <w:r>
        <w:rPr>
          <w:i/>
        </w:rPr>
        <w:t>Por este conducto con fundamento en los artículos 156, 163, 166 primer párrafo de la LTAIPEMyM adjunto en archivo(s) por separado en formato digital, la respuesta otorgada por la o las Unidades Administrativas que integran este Sujeto Obligado denominado Ayuntamiento de Cuautitlán a la solicitud de información de mérito.</w:t>
      </w:r>
    </w:p>
    <w:p w14:paraId="3563FD89" w14:textId="77777777" w:rsidR="00BA602E" w:rsidRDefault="00BA602E">
      <w:pPr>
        <w:pBdr>
          <w:top w:val="nil"/>
          <w:left w:val="nil"/>
          <w:bottom w:val="nil"/>
          <w:right w:val="nil"/>
          <w:between w:val="nil"/>
        </w:pBdr>
        <w:spacing w:line="240" w:lineRule="auto"/>
        <w:ind w:left="567" w:right="567" w:firstLine="567"/>
        <w:rPr>
          <w:i/>
        </w:rPr>
      </w:pPr>
    </w:p>
    <w:p w14:paraId="580242D1" w14:textId="77777777" w:rsidR="00BA602E" w:rsidRDefault="00FB427C">
      <w:pPr>
        <w:pBdr>
          <w:top w:val="nil"/>
          <w:left w:val="nil"/>
          <w:bottom w:val="nil"/>
          <w:right w:val="nil"/>
          <w:between w:val="nil"/>
        </w:pBdr>
        <w:spacing w:line="240" w:lineRule="auto"/>
        <w:ind w:left="567" w:right="567" w:firstLine="567"/>
        <w:rPr>
          <w:i/>
        </w:rPr>
      </w:pPr>
      <w:r>
        <w:rPr>
          <w:i/>
        </w:rPr>
        <w:t>ATENTAMENTE</w:t>
      </w:r>
    </w:p>
    <w:p w14:paraId="69CA21CB" w14:textId="77777777" w:rsidR="00BA602E" w:rsidRDefault="00FB427C">
      <w:pPr>
        <w:pBdr>
          <w:top w:val="nil"/>
          <w:left w:val="nil"/>
          <w:bottom w:val="nil"/>
          <w:right w:val="nil"/>
          <w:between w:val="nil"/>
        </w:pBdr>
        <w:spacing w:line="240" w:lineRule="auto"/>
        <w:ind w:left="567" w:right="567" w:firstLine="567"/>
        <w:rPr>
          <w:i/>
        </w:rPr>
      </w:pPr>
      <w:r>
        <w:rPr>
          <w:i/>
        </w:rPr>
        <w:t>LIC. MARIA ISABEL CISNEROS MARQUEZ”</w:t>
      </w:r>
    </w:p>
    <w:p w14:paraId="0A7F48BC" w14:textId="77777777" w:rsidR="00BA602E" w:rsidRDefault="00BA602E"/>
    <w:p w14:paraId="5015FB8F" w14:textId="77777777" w:rsidR="00BA602E" w:rsidRDefault="00FB427C">
      <w:pPr>
        <w:ind w:right="-28"/>
      </w:pPr>
      <w:r>
        <w:t xml:space="preserve">Asimismo, </w:t>
      </w:r>
      <w:r>
        <w:rPr>
          <w:b/>
        </w:rPr>
        <w:t xml:space="preserve">EL SUJETO OBLIGADO </w:t>
      </w:r>
      <w:r>
        <w:t xml:space="preserve">adjuntó a su respuesta el archivo denominado </w:t>
      </w:r>
      <w:r>
        <w:rPr>
          <w:b/>
          <w:i/>
        </w:rPr>
        <w:t xml:space="preserve">220 SAIMEX.pdf, </w:t>
      </w:r>
      <w:r>
        <w:t xml:space="preserve">que consta de ocho fojas, de las cuales se advierte lo siguiente: </w:t>
      </w:r>
    </w:p>
    <w:p w14:paraId="76607DAE" w14:textId="77777777" w:rsidR="00BA602E" w:rsidRDefault="00FB427C">
      <w:pPr>
        <w:numPr>
          <w:ilvl w:val="0"/>
          <w:numId w:val="5"/>
        </w:numPr>
        <w:ind w:right="-28"/>
      </w:pPr>
      <w:r>
        <w:lastRenderedPageBreak/>
        <w:t xml:space="preserve">Oficio firmado por la Titular de la Unidad de Transparencia, mediante el cual realizó el turno de la solicitud al servidor público habilitado que estimó competente. </w:t>
      </w:r>
    </w:p>
    <w:p w14:paraId="6EC26927" w14:textId="77777777" w:rsidR="00BA602E" w:rsidRDefault="00FB427C">
      <w:pPr>
        <w:numPr>
          <w:ilvl w:val="0"/>
          <w:numId w:val="5"/>
        </w:numPr>
        <w:ind w:right="-28"/>
      </w:pPr>
      <w:r>
        <w:t xml:space="preserve">Oficio número DAPAS/469/2025 firmado por el Coordinador Administrativo y el Director de Agua Potable, Alcantarillado y Saneamiento, donde refirieron que la información fue clasificada como reservada. </w:t>
      </w:r>
    </w:p>
    <w:p w14:paraId="33490191" w14:textId="77777777" w:rsidR="00BA602E" w:rsidRDefault="00FB427C">
      <w:pPr>
        <w:numPr>
          <w:ilvl w:val="0"/>
          <w:numId w:val="5"/>
        </w:numPr>
        <w:ind w:right="-28"/>
      </w:pPr>
      <w:r>
        <w:t xml:space="preserve">Acuerdo número UT/CUAU/SE009/AR015/2025, mediante el cual, el Comité de Transparencia del </w:t>
      </w:r>
      <w:r>
        <w:rPr>
          <w:b/>
        </w:rPr>
        <w:t>SUJETO OBLIGADO</w:t>
      </w:r>
      <w:r>
        <w:t xml:space="preserve"> reservó la información solicitada por un periodo de tres años. </w:t>
      </w:r>
    </w:p>
    <w:p w14:paraId="12CDF005" w14:textId="77777777" w:rsidR="00BA602E" w:rsidRDefault="00BA602E">
      <w:pPr>
        <w:ind w:right="-28"/>
      </w:pPr>
    </w:p>
    <w:p w14:paraId="017DA937" w14:textId="77777777" w:rsidR="00BA602E" w:rsidRDefault="00FB427C">
      <w:pPr>
        <w:tabs>
          <w:tab w:val="left" w:pos="4667"/>
        </w:tabs>
        <w:ind w:left="567" w:right="567"/>
        <w:rPr>
          <w:b/>
        </w:rPr>
      </w:pPr>
      <w:r>
        <w:rPr>
          <w:b/>
        </w:rPr>
        <w:t>00220/CUAUTIT/IP/2025:</w:t>
      </w:r>
    </w:p>
    <w:p w14:paraId="4CD15BB3" w14:textId="77777777" w:rsidR="00BA602E" w:rsidRDefault="00BA602E">
      <w:pPr>
        <w:spacing w:line="240" w:lineRule="auto"/>
        <w:ind w:left="567" w:right="567" w:firstLine="567"/>
        <w:rPr>
          <w:i/>
        </w:rPr>
      </w:pPr>
      <w:bookmarkStart w:id="7" w:name="_heading=h.4sik7eezycgr" w:colFirst="0" w:colLast="0"/>
      <w:bookmarkEnd w:id="7"/>
    </w:p>
    <w:p w14:paraId="16B7CF20" w14:textId="77777777" w:rsidR="00BA602E" w:rsidRDefault="00FB427C">
      <w:pPr>
        <w:spacing w:line="240" w:lineRule="auto"/>
        <w:ind w:left="567" w:right="567" w:firstLine="567"/>
        <w:rPr>
          <w:i/>
        </w:rPr>
      </w:pPr>
      <w:bookmarkStart w:id="8" w:name="_heading=h.tttoatbhwefm" w:colFirst="0" w:colLast="0"/>
      <w:bookmarkEnd w:id="8"/>
      <w:r>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91CF8D" w14:textId="77777777" w:rsidR="00BA602E" w:rsidRDefault="00BA602E">
      <w:pPr>
        <w:spacing w:line="240" w:lineRule="auto"/>
        <w:ind w:left="567" w:right="567" w:firstLine="567"/>
        <w:rPr>
          <w:i/>
        </w:rPr>
      </w:pPr>
      <w:bookmarkStart w:id="9" w:name="_heading=h.u261evici3og" w:colFirst="0" w:colLast="0"/>
      <w:bookmarkEnd w:id="9"/>
    </w:p>
    <w:p w14:paraId="08D40E4C" w14:textId="77777777" w:rsidR="00BA602E" w:rsidRDefault="00FB427C">
      <w:pPr>
        <w:spacing w:line="240" w:lineRule="auto"/>
        <w:ind w:left="567" w:right="567" w:firstLine="567"/>
        <w:rPr>
          <w:i/>
        </w:rPr>
      </w:pPr>
      <w:bookmarkStart w:id="10" w:name="_heading=h.8k9arj8ztas5" w:colFirst="0" w:colLast="0"/>
      <w:bookmarkEnd w:id="10"/>
      <w:r>
        <w:rPr>
          <w:i/>
        </w:rPr>
        <w:t>Por este conducto con fundamento en los artículos 156, 163, 166 primer párrafo de la LTAIPEMyM adjunto en archivo(s) por separado en formato digital, la respuesta otorgada por la o las Unidades Administrativas que integran este Sujeto Obligado denominado Ayuntamiento de Cuautitlán a la solicitud de información de mérito.</w:t>
      </w:r>
    </w:p>
    <w:p w14:paraId="4A352451" w14:textId="77777777" w:rsidR="00BA602E" w:rsidRDefault="00BA602E">
      <w:pPr>
        <w:spacing w:line="240" w:lineRule="auto"/>
        <w:ind w:left="567" w:right="567" w:firstLine="567"/>
        <w:rPr>
          <w:i/>
        </w:rPr>
      </w:pPr>
      <w:bookmarkStart w:id="11" w:name="_heading=h.pi2qz819e9ra" w:colFirst="0" w:colLast="0"/>
      <w:bookmarkEnd w:id="11"/>
    </w:p>
    <w:p w14:paraId="73BF25CB" w14:textId="77777777" w:rsidR="00BA602E" w:rsidRDefault="00FB427C">
      <w:pPr>
        <w:spacing w:line="240" w:lineRule="auto"/>
        <w:ind w:left="567" w:right="567" w:firstLine="567"/>
        <w:rPr>
          <w:i/>
        </w:rPr>
      </w:pPr>
      <w:bookmarkStart w:id="12" w:name="_heading=h.ept7vq3enp0n" w:colFirst="0" w:colLast="0"/>
      <w:bookmarkEnd w:id="12"/>
      <w:r>
        <w:rPr>
          <w:i/>
        </w:rPr>
        <w:t>ATENTAMENTE</w:t>
      </w:r>
    </w:p>
    <w:p w14:paraId="0719CBF2" w14:textId="77777777" w:rsidR="00BA602E" w:rsidRDefault="00FB427C">
      <w:pPr>
        <w:spacing w:line="240" w:lineRule="auto"/>
        <w:ind w:left="567" w:right="567" w:firstLine="567"/>
        <w:rPr>
          <w:i/>
        </w:rPr>
      </w:pPr>
      <w:bookmarkStart w:id="13" w:name="_heading=h.c4lgd05f3sjh" w:colFirst="0" w:colLast="0"/>
      <w:bookmarkEnd w:id="13"/>
      <w:r>
        <w:rPr>
          <w:i/>
        </w:rPr>
        <w:t>LIC. MARIA ISABEL CISNEROS MARQUEZ”</w:t>
      </w:r>
    </w:p>
    <w:p w14:paraId="03B1A54F" w14:textId="77777777" w:rsidR="00BA602E" w:rsidRDefault="00BA602E"/>
    <w:p w14:paraId="511F897C" w14:textId="77777777" w:rsidR="00BA602E" w:rsidRDefault="00FB427C">
      <w:pPr>
        <w:ind w:right="-28"/>
      </w:pPr>
      <w:r>
        <w:t xml:space="preserve">Asimismo, </w:t>
      </w:r>
      <w:r>
        <w:rPr>
          <w:b/>
        </w:rPr>
        <w:t xml:space="preserve">EL SUJETO OBLIGADO </w:t>
      </w:r>
      <w:r>
        <w:t xml:space="preserve">adjuntó a su respuesta el archivo denominado </w:t>
      </w:r>
      <w:r>
        <w:rPr>
          <w:b/>
          <w:i/>
        </w:rPr>
        <w:t xml:space="preserve">221 SAIMEX.pdf, </w:t>
      </w:r>
      <w:r>
        <w:t xml:space="preserve">que consta de ocho fojas, de las cuales se advierte lo siguiente: </w:t>
      </w:r>
    </w:p>
    <w:p w14:paraId="41EA4652" w14:textId="77777777" w:rsidR="00BA602E" w:rsidRDefault="00FB427C">
      <w:pPr>
        <w:numPr>
          <w:ilvl w:val="0"/>
          <w:numId w:val="5"/>
        </w:numPr>
        <w:ind w:right="-28"/>
      </w:pPr>
      <w:r>
        <w:t xml:space="preserve">Oficio firmado por la Titular de la Unidad de Transparencia, mediante el cual realizó el turno de la solicitud al servidor público habilitado que estimó competente. </w:t>
      </w:r>
    </w:p>
    <w:p w14:paraId="53987D52" w14:textId="77777777" w:rsidR="00BA602E" w:rsidRDefault="00FB427C">
      <w:pPr>
        <w:numPr>
          <w:ilvl w:val="0"/>
          <w:numId w:val="5"/>
        </w:numPr>
        <w:ind w:right="-28"/>
      </w:pPr>
      <w:r>
        <w:t xml:space="preserve">Oficio número DAPAS/470/2025 firmado por el Coordinador Administrativo y el Director de Agua Potable, Alcantarillado y Saneamiento, donde refirieron que la información fue clasificada como reservada. </w:t>
      </w:r>
    </w:p>
    <w:p w14:paraId="1C0CA236" w14:textId="77777777" w:rsidR="00BA602E" w:rsidRDefault="00FB427C">
      <w:pPr>
        <w:numPr>
          <w:ilvl w:val="0"/>
          <w:numId w:val="5"/>
        </w:numPr>
        <w:ind w:right="-28"/>
      </w:pPr>
      <w:r>
        <w:lastRenderedPageBreak/>
        <w:t xml:space="preserve">Acuerdo número UT/CUAU/SE009/AR016/2025, mediante el cual, el Comité de Transparencia del </w:t>
      </w:r>
      <w:r>
        <w:rPr>
          <w:b/>
        </w:rPr>
        <w:t>SUJETO OBLIGADO</w:t>
      </w:r>
      <w:r>
        <w:t xml:space="preserve"> reservó la información solicitada por un periodo de tres años. </w:t>
      </w:r>
    </w:p>
    <w:p w14:paraId="2BB7A8EA" w14:textId="77777777" w:rsidR="00BA602E" w:rsidRDefault="00BA602E">
      <w:pPr>
        <w:ind w:left="720" w:right="-28"/>
      </w:pPr>
    </w:p>
    <w:p w14:paraId="3FD7F4CC" w14:textId="77777777" w:rsidR="00BA602E" w:rsidRDefault="00FB427C">
      <w:pPr>
        <w:pStyle w:val="Ttulo2"/>
        <w:jc w:val="left"/>
      </w:pPr>
      <w:bookmarkStart w:id="14" w:name="_Toc203625570"/>
      <w:r>
        <w:t>DEL RECURSO DE REVISIÓN</w:t>
      </w:r>
      <w:bookmarkEnd w:id="14"/>
    </w:p>
    <w:p w14:paraId="5AD6FD24" w14:textId="77777777" w:rsidR="00BA602E" w:rsidRDefault="00FB427C">
      <w:pPr>
        <w:pStyle w:val="Ttulo3"/>
      </w:pPr>
      <w:bookmarkStart w:id="15" w:name="_Toc203625571"/>
      <w:r>
        <w:t>a) Interposición del Recurso de Revisión</w:t>
      </w:r>
      <w:bookmarkEnd w:id="15"/>
    </w:p>
    <w:p w14:paraId="04BA2F6A" w14:textId="77777777" w:rsidR="00BA602E" w:rsidRDefault="00FB427C">
      <w:pPr>
        <w:ind w:right="-28"/>
      </w:pPr>
      <w:r>
        <w:t xml:space="preserve">En fecha </w:t>
      </w:r>
      <w:r>
        <w:rPr>
          <w:b/>
        </w:rPr>
        <w:t>siete de abril de dos mil veinticinco,</w:t>
      </w:r>
      <w:r>
        <w:t xml:space="preserve"> </w:t>
      </w:r>
      <w:r>
        <w:rPr>
          <w:b/>
        </w:rPr>
        <w:t>LA PARTE RECURRENTE</w:t>
      </w:r>
      <w:r>
        <w:t xml:space="preserve"> interpuso los recursos de revisión en contra de las respuestas emitidas por el </w:t>
      </w:r>
      <w:r>
        <w:rPr>
          <w:b/>
        </w:rPr>
        <w:t>SUJETO OBLIGADO</w:t>
      </w:r>
      <w:r>
        <w:t xml:space="preserve">, mismos que fueron registrados en </w:t>
      </w:r>
      <w:r>
        <w:rPr>
          <w:b/>
        </w:rPr>
        <w:t>EL SAIMEX</w:t>
      </w:r>
      <w:r>
        <w:t xml:space="preserve"> con los números de expediente </w:t>
      </w:r>
      <w:r>
        <w:rPr>
          <w:b/>
        </w:rPr>
        <w:t xml:space="preserve">04107/INFOEM/IP/RR/2025 y 04110/INFOEM/IP/RR/2025, </w:t>
      </w:r>
      <w:r>
        <w:t>en los cuales manifiesta lo siguiente:</w:t>
      </w:r>
    </w:p>
    <w:p w14:paraId="75B9A71B" w14:textId="77777777" w:rsidR="00BA602E" w:rsidRDefault="00BA602E">
      <w:pPr>
        <w:tabs>
          <w:tab w:val="left" w:pos="4667"/>
        </w:tabs>
        <w:ind w:right="539"/>
      </w:pPr>
    </w:p>
    <w:p w14:paraId="6E4CC073" w14:textId="77777777" w:rsidR="00BA602E" w:rsidRDefault="00FB427C">
      <w:pPr>
        <w:ind w:right="-28"/>
        <w:rPr>
          <w:b/>
        </w:rPr>
      </w:pPr>
      <w:r>
        <w:rPr>
          <w:b/>
        </w:rPr>
        <w:t>Recurso de Revisión: 04107/INFOEM/IP/RR/2025:</w:t>
      </w:r>
    </w:p>
    <w:p w14:paraId="117FEF8B" w14:textId="77777777" w:rsidR="00BA602E" w:rsidRDefault="00BA602E">
      <w:pPr>
        <w:ind w:right="-28"/>
      </w:pPr>
    </w:p>
    <w:p w14:paraId="74157365" w14:textId="77777777" w:rsidR="00BA602E" w:rsidRDefault="00FB427C">
      <w:pPr>
        <w:tabs>
          <w:tab w:val="left" w:pos="4667"/>
        </w:tabs>
        <w:ind w:left="567" w:right="539"/>
        <w:rPr>
          <w:b/>
        </w:rPr>
      </w:pPr>
      <w:r>
        <w:rPr>
          <w:b/>
        </w:rPr>
        <w:t>ACTO IMPUGNADO</w:t>
      </w:r>
      <w:r>
        <w:rPr>
          <w:b/>
        </w:rPr>
        <w:tab/>
      </w:r>
    </w:p>
    <w:p w14:paraId="75F8E9F7" w14:textId="77777777" w:rsidR="00BA602E" w:rsidRDefault="00FB427C">
      <w:pPr>
        <w:pBdr>
          <w:top w:val="nil"/>
          <w:left w:val="nil"/>
          <w:bottom w:val="nil"/>
          <w:right w:val="nil"/>
          <w:between w:val="nil"/>
        </w:pBdr>
        <w:spacing w:line="240" w:lineRule="auto"/>
        <w:ind w:left="567" w:right="567" w:firstLine="567"/>
        <w:rPr>
          <w:i/>
        </w:rPr>
      </w:pPr>
      <w:r>
        <w:rPr>
          <w:i/>
        </w:rPr>
        <w:t>“La clasificación de once de marzo de dos mil veinticinco de reservar por tres años consistente en los expedientes de los carcamos ubicados en el municipio de Cuautitlan.”</w:t>
      </w:r>
    </w:p>
    <w:p w14:paraId="6934A7BB" w14:textId="77777777" w:rsidR="00BA602E" w:rsidRDefault="00BA602E">
      <w:pPr>
        <w:tabs>
          <w:tab w:val="left" w:pos="4667"/>
        </w:tabs>
        <w:ind w:left="567" w:right="539"/>
        <w:rPr>
          <w:i/>
        </w:rPr>
      </w:pPr>
    </w:p>
    <w:p w14:paraId="2413ACA4" w14:textId="77777777" w:rsidR="00BA602E" w:rsidRDefault="00FB427C">
      <w:pPr>
        <w:tabs>
          <w:tab w:val="left" w:pos="4667"/>
        </w:tabs>
        <w:ind w:left="567" w:right="539"/>
        <w:rPr>
          <w:b/>
        </w:rPr>
      </w:pPr>
      <w:r>
        <w:rPr>
          <w:b/>
        </w:rPr>
        <w:t>RAZONES O MOTIVOS DE LA INCONFORMIDAD</w:t>
      </w:r>
      <w:r>
        <w:rPr>
          <w:b/>
        </w:rPr>
        <w:tab/>
      </w:r>
    </w:p>
    <w:p w14:paraId="21D2E526" w14:textId="77777777" w:rsidR="00BA602E" w:rsidRDefault="00BA602E">
      <w:pPr>
        <w:pBdr>
          <w:top w:val="nil"/>
          <w:left w:val="nil"/>
          <w:bottom w:val="nil"/>
          <w:right w:val="nil"/>
          <w:between w:val="nil"/>
        </w:pBdr>
        <w:spacing w:line="240" w:lineRule="auto"/>
        <w:ind w:left="567" w:right="567" w:firstLine="567"/>
        <w:rPr>
          <w:i/>
        </w:rPr>
      </w:pPr>
    </w:p>
    <w:p w14:paraId="32ADA6EA" w14:textId="77777777" w:rsidR="00BA602E" w:rsidRDefault="00FB427C">
      <w:pPr>
        <w:pBdr>
          <w:top w:val="nil"/>
          <w:left w:val="nil"/>
          <w:bottom w:val="nil"/>
          <w:right w:val="nil"/>
          <w:between w:val="nil"/>
        </w:pBdr>
        <w:spacing w:line="240" w:lineRule="auto"/>
        <w:ind w:left="567" w:right="567" w:firstLine="567"/>
        <w:rPr>
          <w:i/>
        </w:rPr>
      </w:pPr>
      <w:r>
        <w:rPr>
          <w:i/>
        </w:rPr>
        <w:t xml:space="preserve">“El motivo de la clasificación de la información como reservada por tres años, se basa en que el daño que se produce con la revelación de la información es mayor que el interés público de conocer informacion de referencia, ya que argumenta se encuentra en un período de revisión de la entrega recepción por lo que los servidores públicos cuentan con un plazo de noventa días para realizar las observaciones. Al respecto, se promueve está inconformidad porque resulta absurda la fundamentación ya que en primer lugar el supuesto que indica no encuadra con la norma aplicable, toda vez que el hecho de que la administración se encuentre en un período de transición, no es motivo suficiente para reservar por tres años la información solicitada. En dado caso lo que debe realizar la autoridad es únicamente referir que no se encuentra en posibilidades de dar la debido </w:t>
      </w:r>
      <w:r>
        <w:rPr>
          <w:i/>
        </w:rPr>
        <w:lastRenderedPageBreak/>
        <w:t>respuesta actualizada, completa congruente, confiable, verificable y veraz, ya que se encuentra revisando lo entregado por la administración anterior, con fundamento en el capítulo IV, artículo 37, fracciones I y I de los lineamientos que Norman a la entrega recepción de los ayuntamientos, sus dependencia, unidades administrativas y entidades de la administración pública municipal del Estado de México, por lo que es claro que una vez que termine el proceso de entrega recepción se encontrará en posibilidad de remitir la información solicitada. Ahora bien, clasifica toda la información relativa a los carcamos, sin ser específico en cada uno de los cuestionamientos que se realizaron, sino que de manera genérica y arbitraria clasifica toda la información. Por otra parte, en relación al argumento de que clasifica la información a efecto de garantizar la conducción de los expedientes judiciales o administrativos en tanto no hayan quedado firmes. La autoridad no expresa que respecto de los cuestionamientos realizados si han iniciado procedimientos administrativos judiciales o administrativos. Sino que sin encuadrar dicho supuesto simplemente hace mención a dichos procedimientos. Es decir se trata de un hecho futuro de realización incierta.”</w:t>
      </w:r>
    </w:p>
    <w:p w14:paraId="4AE93D1E" w14:textId="77777777" w:rsidR="00BA602E" w:rsidRDefault="00BA602E">
      <w:pPr>
        <w:tabs>
          <w:tab w:val="left" w:pos="4667"/>
        </w:tabs>
        <w:ind w:left="567" w:right="539"/>
        <w:rPr>
          <w:i/>
        </w:rPr>
      </w:pPr>
    </w:p>
    <w:p w14:paraId="70DA8721" w14:textId="77777777" w:rsidR="00BA602E" w:rsidRDefault="00BA602E">
      <w:pPr>
        <w:tabs>
          <w:tab w:val="left" w:pos="4667"/>
        </w:tabs>
        <w:ind w:right="539"/>
        <w:rPr>
          <w:i/>
        </w:rPr>
      </w:pPr>
    </w:p>
    <w:p w14:paraId="0A7EF806" w14:textId="77777777" w:rsidR="00BA602E" w:rsidRDefault="00FB427C">
      <w:pPr>
        <w:ind w:right="-28"/>
        <w:rPr>
          <w:b/>
        </w:rPr>
      </w:pPr>
      <w:r>
        <w:rPr>
          <w:b/>
        </w:rPr>
        <w:t xml:space="preserve">Recurso de Revisión: 04110/INFOEM/IP/RR/2025 </w:t>
      </w:r>
    </w:p>
    <w:p w14:paraId="43FDBB8C" w14:textId="77777777" w:rsidR="00BA602E" w:rsidRDefault="00BA602E">
      <w:pPr>
        <w:ind w:right="-28"/>
      </w:pPr>
    </w:p>
    <w:p w14:paraId="7810BAA1" w14:textId="77777777" w:rsidR="00BA602E" w:rsidRDefault="00FB427C">
      <w:pPr>
        <w:tabs>
          <w:tab w:val="left" w:pos="4667"/>
        </w:tabs>
        <w:ind w:left="567" w:right="539"/>
        <w:rPr>
          <w:b/>
        </w:rPr>
      </w:pPr>
      <w:r>
        <w:rPr>
          <w:b/>
        </w:rPr>
        <w:t>ACTO IMPUGNADO</w:t>
      </w:r>
      <w:r>
        <w:rPr>
          <w:b/>
        </w:rPr>
        <w:tab/>
      </w:r>
    </w:p>
    <w:p w14:paraId="34D4AB59" w14:textId="77777777" w:rsidR="00BA602E" w:rsidRDefault="00FB427C">
      <w:pPr>
        <w:spacing w:line="240" w:lineRule="auto"/>
        <w:ind w:left="567" w:right="567" w:firstLine="567"/>
        <w:rPr>
          <w:i/>
        </w:rPr>
      </w:pPr>
      <w:r>
        <w:rPr>
          <w:i/>
        </w:rPr>
        <w:t>“La clasificación como reservada por tres años de la información de los expedientes de los pozos ubicados en el municipio de Cuautitlan. De 11 de marzo de dos mil veinticinco.”</w:t>
      </w:r>
    </w:p>
    <w:p w14:paraId="5DBE4EB8" w14:textId="77777777" w:rsidR="00BA602E" w:rsidRDefault="00BA602E">
      <w:pPr>
        <w:tabs>
          <w:tab w:val="left" w:pos="4667"/>
        </w:tabs>
        <w:ind w:left="567" w:right="539"/>
        <w:rPr>
          <w:i/>
        </w:rPr>
      </w:pPr>
    </w:p>
    <w:p w14:paraId="68DEDD6E" w14:textId="77777777" w:rsidR="00BA602E" w:rsidRDefault="00FB427C">
      <w:pPr>
        <w:tabs>
          <w:tab w:val="left" w:pos="4667"/>
        </w:tabs>
        <w:ind w:left="567" w:right="539"/>
        <w:rPr>
          <w:b/>
        </w:rPr>
      </w:pPr>
      <w:r>
        <w:rPr>
          <w:b/>
        </w:rPr>
        <w:t>RAZONES O MOTIVOS DE LA INCONFORMIDAD</w:t>
      </w:r>
      <w:r>
        <w:rPr>
          <w:b/>
        </w:rPr>
        <w:tab/>
      </w:r>
    </w:p>
    <w:p w14:paraId="48E1B714" w14:textId="77777777" w:rsidR="00BA602E" w:rsidRDefault="00BA602E">
      <w:pPr>
        <w:spacing w:line="240" w:lineRule="auto"/>
        <w:ind w:left="567" w:right="567" w:firstLine="567"/>
        <w:rPr>
          <w:i/>
        </w:rPr>
      </w:pPr>
    </w:p>
    <w:p w14:paraId="1639463F" w14:textId="77777777" w:rsidR="00BA602E" w:rsidRDefault="00FB427C">
      <w:pPr>
        <w:spacing w:line="240" w:lineRule="auto"/>
        <w:ind w:left="567" w:right="567" w:firstLine="567"/>
        <w:rPr>
          <w:i/>
        </w:rPr>
      </w:pPr>
      <w:r>
        <w:rPr>
          <w:i/>
        </w:rPr>
        <w:t xml:space="preserve">“El motivo de la clasificación de la información como reservada por tres año de los expedientes de pozos de agua, se basa en que el daño que se produce con la revelación de la información es mayor que el interés público de conocer informacion de referencia, ya que argumenta se encuentra en un período de revisión de la entrega recepción por lo que los servidores públicos cuentan con un plazo de noventa días para realizar las observaciones. Al respecto, se promueve está inconformidad porque resulta absurda la fundamentación y motivación que realiza la autoridad ya que en primer lugar el supuesto que indica no encuadra con la norma aplicable, toda vez que el hecho de que la administración se encuentre en un período de transición, no es motivo suficiente para reservar por tres años </w:t>
      </w:r>
      <w:r>
        <w:rPr>
          <w:i/>
        </w:rPr>
        <w:lastRenderedPageBreak/>
        <w:t>la información solicitada. En dado caso lo que debe realizar la autoridad es únicamente referir que no se encuentra en posibilidad de dar la debida respuesta actualizada, completa, congruente, confiable, verificable y veraz, ya que se encuentra revisando lo entregado por la administración anterior, con fundamento en el capítulo IV, artículo 37, fracciones I y I de los lineamientos que Norman a la entrega recepción de los ayuntamientos, sus dependencia, unidades administrativas y entidades de la administración pública municipal del Estado de México, por lo que es claro que una vez que termine el proceso de entrega recepción se encontrará en posibilidad de remitir la información solicitada actualizada, completa, congruente, confiable, verificable y veraz. Ahora bien, clasifica toda la información relativa a los pozos de agua, sin ser específico en cada uno de los cuestionamientos que se realizaron, sino que de manera genérica y arbitraria clasifica toda la información. Por otra parte, en relación al argumento de que clasifica la información a efecto de garantizar la conducción de los expedientes judiciales o administrativos en tanto no hayan quedado firmes. La autoridad no expresa que en relación a los cuestionamientos realizados ha iniciado procedimientos judiciales o administrativos. Sino que sin encuadrar dicho supuesto simplemente hace mención a dichos procedimientos. Es decir se trata de un hecho futuro de realización incierto. Y en dado caso de que en un futuro iniciara los procedimientos que indica podría ya realizar el pronunciamiento respectivo Además, se está violentando el derecho humano a la accesibilidad al agua en su vertiente de acceso a la información, ello es así ya que la accesibilidad también comprende el derecho de solicitar, recibir y difundir información sobre las cuestiones del agua. Sin que la autoridad se pronuncie al respecto al momento de clasificar la información. Por lo que es claro que la autoridad que clasifica está violentando los Derechos Humanos con la clasificación que realiza. Lo antes mencionado encuentra fundamento en la observación general número 15 del Comité de Derechos Económicos, Sociales y culturales de la organización de las Naciones Unidas. La cual se solicita a la autoridad que conozca del presente medio de impugnación tome en consideración al momento de resolverlo”</w:t>
      </w:r>
    </w:p>
    <w:p w14:paraId="2E489968" w14:textId="77777777" w:rsidR="00BA602E" w:rsidRDefault="00BA602E">
      <w:pPr>
        <w:pBdr>
          <w:top w:val="nil"/>
          <w:left w:val="nil"/>
          <w:bottom w:val="nil"/>
          <w:right w:val="nil"/>
          <w:between w:val="nil"/>
        </w:pBdr>
        <w:spacing w:line="240" w:lineRule="auto"/>
        <w:ind w:left="567" w:right="567" w:firstLine="567"/>
        <w:rPr>
          <w:b/>
        </w:rPr>
      </w:pPr>
    </w:p>
    <w:p w14:paraId="3231FF4D" w14:textId="77777777" w:rsidR="00BA602E" w:rsidRDefault="00FB427C">
      <w:pPr>
        <w:pStyle w:val="Ttulo3"/>
      </w:pPr>
      <w:bookmarkStart w:id="16" w:name="_Toc203625572"/>
      <w:r>
        <w:t>b) Turno del Recurso de Revisión</w:t>
      </w:r>
      <w:bookmarkEnd w:id="16"/>
    </w:p>
    <w:p w14:paraId="431C029E" w14:textId="77777777" w:rsidR="00BA602E" w:rsidRDefault="00FB427C">
      <w:r>
        <w:t>Con fundamento en el artículo 185, fracción I de la Ley de Transparencia y Acceso a la Información Pública del Estado de México y Municipios, el</w:t>
      </w:r>
      <w:r>
        <w:rPr>
          <w:b/>
        </w:rPr>
        <w:t xml:space="preserve"> siete de abril de dos mil veinticinco </w:t>
      </w:r>
      <w:r>
        <w:t xml:space="preserve">se tunaron a través del </w:t>
      </w:r>
      <w:r>
        <w:rPr>
          <w:b/>
        </w:rPr>
        <w:t>SAIMEX</w:t>
      </w:r>
      <w:r>
        <w:t xml:space="preserve"> los Recursos de Revisión </w:t>
      </w:r>
      <w:r>
        <w:rPr>
          <w:b/>
        </w:rPr>
        <w:t>04107/INFOEM/IP/RR/2025</w:t>
      </w:r>
      <w:r>
        <w:t xml:space="preserve"> a la comisionada</w:t>
      </w:r>
      <w:r>
        <w:rPr>
          <w:b/>
        </w:rPr>
        <w:t xml:space="preserve"> Sharon Cristina Morales Martínez </w:t>
      </w:r>
      <w:r>
        <w:t xml:space="preserve">y, el Recurso de Revisión </w:t>
      </w:r>
      <w:r>
        <w:rPr>
          <w:b/>
        </w:rPr>
        <w:t xml:space="preserve">04110/INFOEM/IP/RR/2025 </w:t>
      </w:r>
      <w:r>
        <w:t xml:space="preserve">al comisionado </w:t>
      </w:r>
      <w:r>
        <w:rPr>
          <w:b/>
        </w:rPr>
        <w:t>José Martínez Vilchis</w:t>
      </w:r>
      <w:r>
        <w:t xml:space="preserve">, a efecto de decretar su admisión o desechamiento. </w:t>
      </w:r>
    </w:p>
    <w:p w14:paraId="249D327B" w14:textId="77777777" w:rsidR="00BA602E" w:rsidRDefault="00BA602E"/>
    <w:p w14:paraId="3DA64C4F" w14:textId="77777777" w:rsidR="00BA602E" w:rsidRDefault="00FB427C">
      <w:pPr>
        <w:pStyle w:val="Ttulo3"/>
      </w:pPr>
      <w:bookmarkStart w:id="17" w:name="_Toc203625573"/>
      <w:r>
        <w:t>c) Admisión del Recurso de Revisión</w:t>
      </w:r>
      <w:bookmarkEnd w:id="17"/>
    </w:p>
    <w:p w14:paraId="2FCA524F" w14:textId="77777777" w:rsidR="00BA602E" w:rsidRDefault="00FB427C">
      <w:r>
        <w:t xml:space="preserve">En fechas </w:t>
      </w:r>
      <w:r>
        <w:rPr>
          <w:b/>
        </w:rPr>
        <w:t xml:space="preserve">nueve y diez de abril de dos mil veinticinco </w:t>
      </w:r>
      <w:r>
        <w:t>se acordó la admisión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C471D8" w14:textId="77777777" w:rsidR="00BA602E" w:rsidRDefault="00BA602E"/>
    <w:p w14:paraId="2E5060CF" w14:textId="77777777" w:rsidR="00BA602E" w:rsidRDefault="00FB427C">
      <w:pPr>
        <w:pStyle w:val="Ttulo3"/>
      </w:pPr>
      <w:bookmarkStart w:id="18" w:name="_Toc203625574"/>
      <w:r>
        <w:t>d) Acumulación de los Recursos de Revisión</w:t>
      </w:r>
      <w:bookmarkEnd w:id="18"/>
    </w:p>
    <w:p w14:paraId="5C9EAA0F" w14:textId="77777777" w:rsidR="00BA602E" w:rsidRDefault="00FB427C" w:rsidP="00FD6E3D">
      <w:pPr>
        <w:ind w:left="-57"/>
        <w:rPr>
          <w:b/>
        </w:rPr>
      </w:pPr>
      <w:r>
        <w:t xml:space="preserve">Por economía procesal y con la finalidad de evitar resoluciones contradictorias, en la </w:t>
      </w:r>
      <w:r w:rsidRPr="00FD6E3D">
        <w:rPr>
          <w:b/>
        </w:rPr>
        <w:t>Décima Cuarta Sesión</w:t>
      </w:r>
      <w:r>
        <w:t xml:space="preserve"> Ordinaria del </w:t>
      </w:r>
      <w:r w:rsidRPr="00FD6E3D">
        <w:rPr>
          <w:b/>
        </w:rPr>
        <w:t>veintitrés de abril de dos mil veinticinco</w:t>
      </w:r>
      <w:r>
        <w:t>., el Pleno de este Instituto determinó acumular los Recursos de Revisión</w:t>
      </w:r>
      <w:r>
        <w:rPr>
          <w:b/>
        </w:rPr>
        <w:t xml:space="preserve"> 04107/INFOEM/IP/RR/2025 y 04110/INFOEM/IP/RR/2025.</w:t>
      </w:r>
      <w:bookmarkStart w:id="19" w:name="_heading=h.uxftvekmwbzc" w:colFirst="0" w:colLast="0"/>
      <w:bookmarkEnd w:id="19"/>
    </w:p>
    <w:p w14:paraId="4DEED884" w14:textId="77777777" w:rsidR="00FD6E3D" w:rsidRPr="00FD6E3D" w:rsidRDefault="00FD6E3D" w:rsidP="00FD6E3D">
      <w:pPr>
        <w:ind w:left="-57"/>
        <w:rPr>
          <w:b/>
        </w:rPr>
      </w:pPr>
    </w:p>
    <w:p w14:paraId="5EF51C57" w14:textId="77777777" w:rsidR="00BA602E" w:rsidRDefault="00FB427C">
      <w:pPr>
        <w:pStyle w:val="Ttulo3"/>
      </w:pPr>
      <w:bookmarkStart w:id="20" w:name="_Toc203625575"/>
      <w:r>
        <w:t>e) Informe Justificado del Sujeto Obligado</w:t>
      </w:r>
      <w:bookmarkEnd w:id="20"/>
    </w:p>
    <w:p w14:paraId="7C4D0E04" w14:textId="77777777" w:rsidR="00BA602E" w:rsidRDefault="00FB427C">
      <w:r>
        <w:t xml:space="preserve">En fecha </w:t>
      </w:r>
      <w:r w:rsidRPr="00FD6E3D">
        <w:rPr>
          <w:b/>
        </w:rPr>
        <w:t>veintinueve de abril de dos mil veinticinco</w:t>
      </w:r>
      <w:r>
        <w:t xml:space="preserve">, el </w:t>
      </w:r>
      <w:r>
        <w:rPr>
          <w:b/>
        </w:rPr>
        <w:t xml:space="preserve">SUJETO OBLIGADO </w:t>
      </w:r>
      <w:r>
        <w:t xml:space="preserve">remito los archivos que se describen a continuación: </w:t>
      </w:r>
    </w:p>
    <w:p w14:paraId="331FBC8B" w14:textId="77777777" w:rsidR="00BA602E" w:rsidRDefault="00BA602E">
      <w:pPr>
        <w:ind w:left="-57"/>
        <w:rPr>
          <w:b/>
        </w:rPr>
      </w:pPr>
      <w:bookmarkStart w:id="21" w:name="_heading=h.wqpdvho9fe0" w:colFirst="0" w:colLast="0"/>
      <w:bookmarkEnd w:id="21"/>
    </w:p>
    <w:p w14:paraId="6390FB88" w14:textId="77777777" w:rsidR="00BA602E" w:rsidRDefault="00FB427C">
      <w:pPr>
        <w:ind w:left="-57"/>
        <w:rPr>
          <w:b/>
          <w:i/>
        </w:rPr>
      </w:pPr>
      <w:r>
        <w:rPr>
          <w:b/>
        </w:rPr>
        <w:t xml:space="preserve">03407/INFOEM/IP/RR/2025: </w:t>
      </w:r>
      <w:r>
        <w:rPr>
          <w:b/>
          <w:i/>
        </w:rPr>
        <w:tab/>
      </w:r>
    </w:p>
    <w:p w14:paraId="4C0E84D8" w14:textId="77777777" w:rsidR="00BA602E" w:rsidRDefault="00FB427C">
      <w:pPr>
        <w:numPr>
          <w:ilvl w:val="0"/>
          <w:numId w:val="2"/>
        </w:numPr>
        <w:rPr>
          <w:b/>
          <w:i/>
        </w:rPr>
      </w:pPr>
      <w:r>
        <w:rPr>
          <w:b/>
          <w:i/>
        </w:rPr>
        <w:t xml:space="preserve">Informe justificado al recurso de revisión 04107.pdf: </w:t>
      </w:r>
      <w:r>
        <w:t xml:space="preserve">Archivo mediante el cual la Titular de la Unidad de Transparencia de forma medula ratificó su respuesta primigenia, indicando la clasificación de la información como reservada. </w:t>
      </w:r>
    </w:p>
    <w:p w14:paraId="640B36A5" w14:textId="77777777" w:rsidR="00BA602E" w:rsidRDefault="00BA602E">
      <w:pPr>
        <w:ind w:left="-57"/>
        <w:rPr>
          <w:b/>
        </w:rPr>
      </w:pPr>
      <w:bookmarkStart w:id="22" w:name="_heading=h.lnxbz9" w:colFirst="0" w:colLast="0"/>
      <w:bookmarkEnd w:id="22"/>
    </w:p>
    <w:p w14:paraId="1D3C5287" w14:textId="77777777" w:rsidR="00BA602E" w:rsidRDefault="00FB427C">
      <w:pPr>
        <w:ind w:left="-57"/>
      </w:pPr>
      <w:r>
        <w:rPr>
          <w:b/>
        </w:rPr>
        <w:t xml:space="preserve">03129/INFOEM/IP/RR/2025 </w:t>
      </w:r>
    </w:p>
    <w:p w14:paraId="2E36BED0" w14:textId="77777777" w:rsidR="00BA602E" w:rsidRDefault="00FB427C">
      <w:pPr>
        <w:numPr>
          <w:ilvl w:val="0"/>
          <w:numId w:val="2"/>
        </w:numPr>
        <w:rPr>
          <w:b/>
          <w:i/>
        </w:rPr>
      </w:pPr>
      <w:r>
        <w:rPr>
          <w:b/>
          <w:i/>
        </w:rPr>
        <w:lastRenderedPageBreak/>
        <w:t xml:space="preserve">Rec. Rev. 04110.pdf: </w:t>
      </w:r>
      <w:r>
        <w:t xml:space="preserve">Archivo mediante el cual la Titular de la Unidad de Transparencia de forma medula ratificó su respuesta primigenia, indicando la clasificación de la información como reservada. </w:t>
      </w:r>
    </w:p>
    <w:p w14:paraId="05430D21" w14:textId="77777777" w:rsidR="00BA602E" w:rsidRDefault="00BA602E">
      <w:pPr>
        <w:rPr>
          <w:b/>
          <w:i/>
        </w:rPr>
      </w:pPr>
    </w:p>
    <w:p w14:paraId="785B5D1D" w14:textId="77777777" w:rsidR="00BA602E" w:rsidRDefault="00FB427C">
      <w:r>
        <w:t xml:space="preserve">En ambos casos, la información remitida por </w:t>
      </w:r>
      <w:r>
        <w:rPr>
          <w:b/>
        </w:rPr>
        <w:t>EL SUJETO OBLIGADO</w:t>
      </w:r>
      <w:r>
        <w:t xml:space="preserve"> fue puesta a la vista de la </w:t>
      </w:r>
      <w:r>
        <w:rPr>
          <w:b/>
        </w:rPr>
        <w:t>PARTE RECURRENTE</w:t>
      </w:r>
      <w:r>
        <w:t xml:space="preserve"> mediante el acuerdo notificado el dieciocho de junio de dos mil veinticinco, para que en un plazo de 3 días hábiles manifestara la que a su derecho conviniera. </w:t>
      </w:r>
    </w:p>
    <w:p w14:paraId="64100F3A" w14:textId="77777777" w:rsidR="00BA602E" w:rsidRDefault="00BA602E"/>
    <w:p w14:paraId="57252146" w14:textId="77777777" w:rsidR="00BA602E" w:rsidRDefault="00FB427C">
      <w:pPr>
        <w:pStyle w:val="Ttulo3"/>
      </w:pPr>
      <w:bookmarkStart w:id="23" w:name="_Toc203625576"/>
      <w:r>
        <w:t>f) Manifestaciones de la Parte Recurrente</w:t>
      </w:r>
      <w:bookmarkEnd w:id="23"/>
    </w:p>
    <w:p w14:paraId="467A6846" w14:textId="77777777" w:rsidR="00BA602E" w:rsidRDefault="00FB427C">
      <w:r>
        <w:rPr>
          <w:b/>
        </w:rPr>
        <w:t xml:space="preserve">LA PARTE RECURRENTE </w:t>
      </w:r>
      <w:r>
        <w:t>no realizó manifestación alguna dentro del plazo legalmente concedido para tal efecto, ni presentó pruebas o alegatos.</w:t>
      </w:r>
    </w:p>
    <w:p w14:paraId="60FF2A35" w14:textId="77777777" w:rsidR="00BA602E" w:rsidRDefault="00BA602E"/>
    <w:p w14:paraId="380318DC" w14:textId="77777777" w:rsidR="00BA602E" w:rsidRDefault="00FB427C">
      <w:pPr>
        <w:pStyle w:val="Ttulo3"/>
      </w:pPr>
      <w:bookmarkStart w:id="24" w:name="_Toc203625577"/>
      <w:r>
        <w:t>g) Ampliación de Plazo para Resolver</w:t>
      </w:r>
      <w:bookmarkEnd w:id="24"/>
      <w:r>
        <w:t xml:space="preserve"> </w:t>
      </w:r>
    </w:p>
    <w:p w14:paraId="69DD6F16" w14:textId="77777777" w:rsidR="00BA602E" w:rsidRDefault="00FB427C">
      <w:r>
        <w:t xml:space="preserve">El </w:t>
      </w:r>
      <w:r>
        <w:rPr>
          <w:b/>
        </w:rPr>
        <w:t>nueve de junio de dos mil veinticinco</w:t>
      </w:r>
      <w:r>
        <w:t>, se notificó el acuerdo de ampliación de plazo para resolver el presente Recurso de Revisión, previsto en el artículo 181, tercer párrafo de la Ley de Transparencia y Acceso a la Información Pública del Estado de México y Municipios.</w:t>
      </w:r>
    </w:p>
    <w:p w14:paraId="6EFB7D8D" w14:textId="77777777" w:rsidR="00BA602E" w:rsidRDefault="00BA602E"/>
    <w:p w14:paraId="410C6CE7" w14:textId="77777777" w:rsidR="00BA602E" w:rsidRDefault="00FB427C">
      <w: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4BABC4D" w14:textId="77777777" w:rsidR="00BA602E" w:rsidRDefault="00BA602E"/>
    <w:p w14:paraId="5AD69C67" w14:textId="77777777" w:rsidR="00BA602E" w:rsidRDefault="00FB427C">
      <w:r>
        <w:t xml:space="preserve">Es importante precisar que, si bien se ha excedido el plazo para resolver el presente medio de impugnación, el plazo para emitir resolución se encuentra justificado en parámetros </w:t>
      </w:r>
      <w:r>
        <w:lastRenderedPageBreak/>
        <w:t>establecidos por diversos órganos jurisdiccionales federales, aplicables también en procedimientos análogos, como el que nos ocupa.</w:t>
      </w:r>
    </w:p>
    <w:p w14:paraId="763B11BA" w14:textId="77777777" w:rsidR="00BA602E" w:rsidRDefault="00BA602E"/>
    <w:p w14:paraId="53240581" w14:textId="77777777" w:rsidR="00BA602E" w:rsidRDefault="00FB427C">
      <w: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7F4064C" w14:textId="77777777" w:rsidR="00BA602E" w:rsidRDefault="00BA602E"/>
    <w:p w14:paraId="57A262AE" w14:textId="77777777" w:rsidR="00BA602E" w:rsidRDefault="00FB427C">
      <w:r>
        <w:t>Por ello, excepcionalmente, si un asunto es resuelto con posterioridad a los plazos señalados por la norma, debe analizarse la razonabilidad del tiempo necesario para su resolución, atentos a los siguientes criterios:</w:t>
      </w:r>
    </w:p>
    <w:p w14:paraId="0BB09B95" w14:textId="77777777" w:rsidR="00BA602E" w:rsidRDefault="00BA602E"/>
    <w:p w14:paraId="114D6BF6" w14:textId="77777777" w:rsidR="00BA602E" w:rsidRDefault="00FB427C">
      <w:pPr>
        <w:numPr>
          <w:ilvl w:val="0"/>
          <w:numId w:val="4"/>
        </w:numPr>
      </w:pPr>
      <w:r>
        <w:rPr>
          <w:b/>
        </w:rPr>
        <w:t>Complejidad del asunto:</w:t>
      </w:r>
      <w:r>
        <w:t xml:space="preserve"> La complejidad de la prueba, la pluralidad de sujetos procesales, el tiempo transcurrido, las características y contexto del recurso.</w:t>
      </w:r>
    </w:p>
    <w:p w14:paraId="6233851F" w14:textId="77777777" w:rsidR="00BA602E" w:rsidRDefault="00FB427C">
      <w:pPr>
        <w:numPr>
          <w:ilvl w:val="0"/>
          <w:numId w:val="4"/>
        </w:numPr>
      </w:pPr>
      <w:r>
        <w:rPr>
          <w:b/>
        </w:rPr>
        <w:t>Actividad Procesal del interesado:</w:t>
      </w:r>
      <w:r>
        <w:t xml:space="preserve"> Acciones u omisiones del interesado.</w:t>
      </w:r>
    </w:p>
    <w:p w14:paraId="6D86DE69" w14:textId="77777777" w:rsidR="00BA602E" w:rsidRDefault="00FB427C">
      <w:pPr>
        <w:numPr>
          <w:ilvl w:val="0"/>
          <w:numId w:val="4"/>
        </w:numPr>
      </w:pPr>
      <w:r>
        <w:rPr>
          <w:b/>
        </w:rPr>
        <w:t>Conducta de la Autoridad:</w:t>
      </w:r>
      <w:r>
        <w:t xml:space="preserve"> Las Acciones u omisiones realizadas en el procedimiento. Así como si la autoridad actuó con la debida diligencia.</w:t>
      </w:r>
    </w:p>
    <w:p w14:paraId="6A0F4E6A" w14:textId="77777777" w:rsidR="00BA602E" w:rsidRDefault="00FB427C">
      <w:pPr>
        <w:numPr>
          <w:ilvl w:val="0"/>
          <w:numId w:val="4"/>
        </w:numPr>
      </w:pPr>
      <w:r>
        <w:rPr>
          <w:b/>
        </w:rPr>
        <w:t xml:space="preserve">La afectación generada en la situación jurídica de la persona involucrada en el proceso: </w:t>
      </w:r>
      <w:r>
        <w:t>Violación a sus derechos humanos.</w:t>
      </w:r>
    </w:p>
    <w:p w14:paraId="6840247A" w14:textId="77777777" w:rsidR="00BA602E" w:rsidRDefault="00BA602E"/>
    <w:p w14:paraId="7FC452B4" w14:textId="77777777" w:rsidR="00BA602E" w:rsidRDefault="00FB427C">
      <w: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lastRenderedPageBreak/>
        <w:t>concluirse que es una excluyente de responsabilidad en relación con la actuación del funcionario, como ha acontecido en el caso que nos ocupa.</w:t>
      </w:r>
    </w:p>
    <w:p w14:paraId="29A5C34B" w14:textId="77777777" w:rsidR="00BA602E" w:rsidRDefault="00BA602E"/>
    <w:p w14:paraId="5741F07B" w14:textId="77777777" w:rsidR="00BA602E" w:rsidRDefault="00FB427C">
      <w:r>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7B38F87" w14:textId="77777777" w:rsidR="00BA602E" w:rsidRDefault="00BA602E"/>
    <w:p w14:paraId="5E95F6A6" w14:textId="77777777" w:rsidR="00BA602E" w:rsidRDefault="00FB427C">
      <w: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241885" w14:textId="77777777" w:rsidR="00BA602E" w:rsidRDefault="00BA602E"/>
    <w:p w14:paraId="15CD7478" w14:textId="77777777" w:rsidR="00BA602E" w:rsidRDefault="00FB427C">
      <w:r>
        <w:t>Al respecto, también son de considerar los criterios sostenidos por el Cuarto Tribunal Colegiado en Materia Administrativa del Primer Circuito, cuyos rubros y datos de identificación son los siguientes:</w:t>
      </w:r>
    </w:p>
    <w:p w14:paraId="05F9E462" w14:textId="77777777" w:rsidR="00BA602E" w:rsidRDefault="00BA602E"/>
    <w:p w14:paraId="5EBB2D56" w14:textId="77777777" w:rsidR="00BA602E" w:rsidRDefault="00FB427C">
      <w:pPr>
        <w:spacing w:line="240" w:lineRule="auto"/>
        <w:ind w:left="567" w:right="567"/>
        <w:rPr>
          <w:i/>
        </w:rPr>
      </w:pPr>
      <w:r>
        <w:rPr>
          <w:i/>
        </w:rPr>
        <w:t>“</w:t>
      </w:r>
      <w:r>
        <w:rPr>
          <w:b/>
          <w:i/>
        </w:rPr>
        <w:t>PLAZO RAZONABLE PARA RESOLVER. DIMENSIÓN Y EFECTOS DE ESTE CONCEPTO CUANDO SE ADUCE EXCESIVA CARGA DE TRABAJO</w:t>
      </w:r>
      <w:r>
        <w:rPr>
          <w:i/>
        </w:rPr>
        <w:t xml:space="preserve">.” </w:t>
      </w:r>
      <w:r>
        <w:rPr>
          <w:i/>
        </w:rPr>
        <w:lastRenderedPageBreak/>
        <w:t>consultable en el Seminario Judicial de la Federación y su gaceta, con el registro digital 2002351.</w:t>
      </w:r>
    </w:p>
    <w:p w14:paraId="4DC71CC0" w14:textId="77777777" w:rsidR="00BA602E" w:rsidRDefault="00BA602E">
      <w:pPr>
        <w:ind w:left="851" w:right="616"/>
        <w:rPr>
          <w:i/>
        </w:rPr>
      </w:pPr>
    </w:p>
    <w:p w14:paraId="6AA6C9CA" w14:textId="77777777" w:rsidR="00BA602E" w:rsidRDefault="00FB427C">
      <w:pPr>
        <w:spacing w:line="240" w:lineRule="auto"/>
        <w:ind w:left="567" w:right="567"/>
      </w:pPr>
      <w:r>
        <w:rPr>
          <w:i/>
        </w:rPr>
        <w:t>“</w:t>
      </w:r>
      <w:r>
        <w:rPr>
          <w:b/>
          <w:i/>
        </w:rPr>
        <w:t>PLAZO RAZONABLE PARA RESOLVER. CONCEPTO Y ELEMENTOS QUE LO INTEGRAN A LA LUZ DEL DERECHO INTERNACIONAL DE LOS DERECHOS HUMANOS</w:t>
      </w:r>
      <w:r>
        <w:rPr>
          <w:i/>
        </w:rPr>
        <w:t>.”, visible en el Seminario Judicial de la Federación y su gaceta, con el registro digital 2002350.</w:t>
      </w:r>
    </w:p>
    <w:p w14:paraId="1B9834A2" w14:textId="77777777" w:rsidR="00BA602E" w:rsidRDefault="00BA602E"/>
    <w:p w14:paraId="3927F40F" w14:textId="77777777" w:rsidR="00BA602E" w:rsidRDefault="00FB427C">
      <w:r>
        <w:t>Por ello, este organismo garante comprometido con la tutela de los derechos humanos confiados señala que este exceso del plazo legal para resolver el asunto resulta de carácter excepcional.</w:t>
      </w:r>
    </w:p>
    <w:p w14:paraId="4CCAA8AF" w14:textId="77777777" w:rsidR="00BA602E" w:rsidRDefault="00BA602E"/>
    <w:p w14:paraId="15B6151F" w14:textId="77777777" w:rsidR="00BA602E" w:rsidRDefault="00FB427C">
      <w:pPr>
        <w:pStyle w:val="Ttulo3"/>
      </w:pPr>
      <w:bookmarkStart w:id="25" w:name="_Toc203625578"/>
      <w:r>
        <w:t>h) Cierre de instrucción</w:t>
      </w:r>
      <w:bookmarkEnd w:id="25"/>
    </w:p>
    <w:p w14:paraId="05550E0C" w14:textId="77777777" w:rsidR="00BA602E" w:rsidRPr="006A3AB9" w:rsidRDefault="00FB427C">
      <w:bookmarkStart w:id="26" w:name="_heading=h.3j2qqm3" w:colFirst="0" w:colLast="0"/>
      <w:bookmarkEnd w:id="26"/>
      <w:r w:rsidRPr="006A3AB9">
        <w:t xml:space="preserve">Al no existir diligencias pendientes por desahogar, el </w:t>
      </w:r>
      <w:r w:rsidR="00FD6E3D" w:rsidRPr="006A3AB9">
        <w:rPr>
          <w:b/>
        </w:rPr>
        <w:t>dieciséis</w:t>
      </w:r>
      <w:r w:rsidRPr="006A3AB9">
        <w:rPr>
          <w:b/>
        </w:rPr>
        <w:t xml:space="preserve"> de julio de dos mil veinticinco </w:t>
      </w:r>
      <w:r w:rsidRPr="006A3AB9">
        <w:t>se acordó el cierre de instrucción y la remisión de los expedientes a efecto de ser resueltos, de conformidad con lo establecido en el artículo 185 fracciones VI y VIII de la Ley de Transparencia y Acceso a la Información Pública del Estado de México y Municipios. Dicho acuerdo fue notificado a las partes el mismo día a través del SAIMEX.</w:t>
      </w:r>
    </w:p>
    <w:p w14:paraId="2B089649" w14:textId="77777777" w:rsidR="00BA602E" w:rsidRDefault="00BA602E"/>
    <w:p w14:paraId="037A43A4" w14:textId="77777777" w:rsidR="00BA602E" w:rsidRDefault="00BA602E">
      <w:bookmarkStart w:id="27" w:name="_heading=h.9hi2otjkckju" w:colFirst="0" w:colLast="0"/>
      <w:bookmarkEnd w:id="27"/>
    </w:p>
    <w:p w14:paraId="0481AB3F" w14:textId="77777777" w:rsidR="00BA602E" w:rsidRDefault="00FB427C">
      <w:pPr>
        <w:pStyle w:val="Ttulo1"/>
      </w:pPr>
      <w:bookmarkStart w:id="28" w:name="_Toc203625579"/>
      <w:r>
        <w:t>CONSIDERANDOS</w:t>
      </w:r>
      <w:bookmarkEnd w:id="28"/>
    </w:p>
    <w:p w14:paraId="7D9339FE" w14:textId="77777777" w:rsidR="00BA602E" w:rsidRDefault="00BA602E">
      <w:pPr>
        <w:jc w:val="center"/>
        <w:rPr>
          <w:b/>
        </w:rPr>
      </w:pPr>
    </w:p>
    <w:p w14:paraId="1424C8A0" w14:textId="77777777" w:rsidR="00BA602E" w:rsidRDefault="00FB427C">
      <w:pPr>
        <w:pStyle w:val="Ttulo2"/>
        <w:jc w:val="left"/>
      </w:pPr>
      <w:bookmarkStart w:id="29" w:name="_Toc203625580"/>
      <w:r>
        <w:t>PRIMERO. Procedibilidad</w:t>
      </w:r>
      <w:bookmarkEnd w:id="29"/>
    </w:p>
    <w:p w14:paraId="623165A2" w14:textId="77777777" w:rsidR="00BA602E" w:rsidRDefault="00FB427C">
      <w:pPr>
        <w:pStyle w:val="Ttulo3"/>
      </w:pPr>
      <w:bookmarkStart w:id="30" w:name="_Toc203625581"/>
      <w:r>
        <w:t>a) Competencia del Instituto</w:t>
      </w:r>
      <w:bookmarkEnd w:id="30"/>
    </w:p>
    <w:p w14:paraId="1C14EAF2" w14:textId="77777777" w:rsidR="00BA602E" w:rsidRDefault="00FB427C">
      <w:r>
        <w:t xml:space="preserve">Este Instituto de Transparencia, Acceso a la Información Pública y Protección de Datos Personales del Estado de México y Municipios es competente para conocer y resolver los presentes Recursos de Revisión, conforme a lo dispuesto en los artículos 6, Apartado A de la </w:t>
      </w:r>
      <w:r>
        <w:lastRenderedPageBreak/>
        <w:t>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985F963" w14:textId="77777777" w:rsidR="00BA602E" w:rsidRDefault="00BA602E"/>
    <w:p w14:paraId="53BD4300" w14:textId="77777777" w:rsidR="00BA602E" w:rsidRDefault="00FB427C">
      <w:pPr>
        <w:pStyle w:val="Ttulo3"/>
      </w:pPr>
      <w:bookmarkStart w:id="31" w:name="_Toc203625582"/>
      <w:r>
        <w:t>b) Legitimidad de la parte recurrente</w:t>
      </w:r>
      <w:bookmarkEnd w:id="31"/>
    </w:p>
    <w:p w14:paraId="1EC03064" w14:textId="77777777" w:rsidR="00BA602E" w:rsidRDefault="00FB427C">
      <w:r>
        <w:t>Los recursos de revisión fueron interpuestos por parte legítima, ya que se presentaron por la misma persona que formuló las solicitudes de acceso a la Información Pública,</w:t>
      </w:r>
      <w:r>
        <w:rPr>
          <w:b/>
        </w:rPr>
        <w:t xml:space="preserve"> </w:t>
      </w:r>
      <w:r>
        <w:t>debido a que los datos de acceso</w:t>
      </w:r>
      <w:r>
        <w:rPr>
          <w:b/>
        </w:rPr>
        <w:t xml:space="preserve"> </w:t>
      </w:r>
      <w:r>
        <w:t>SAIMEX son personales e irrepetibles.</w:t>
      </w:r>
    </w:p>
    <w:p w14:paraId="4E0D3A8D" w14:textId="77777777" w:rsidR="00BA602E" w:rsidRDefault="00BA602E"/>
    <w:p w14:paraId="6C8C2556" w14:textId="77777777" w:rsidR="00BA602E" w:rsidRDefault="00FB427C">
      <w:pPr>
        <w:pStyle w:val="Ttulo3"/>
      </w:pPr>
      <w:bookmarkStart w:id="32" w:name="_Toc203625583"/>
      <w:r>
        <w:t>c) Plazo para interponer el recurso</w:t>
      </w:r>
      <w:bookmarkEnd w:id="32"/>
    </w:p>
    <w:p w14:paraId="57814695" w14:textId="77777777" w:rsidR="00BA602E" w:rsidRDefault="00FB427C">
      <w:bookmarkStart w:id="33" w:name="_heading=h.2bn6wsx" w:colFirst="0" w:colLast="0"/>
      <w:bookmarkEnd w:id="33"/>
      <w:r>
        <w:rPr>
          <w:b/>
        </w:rPr>
        <w:t>EL SUJETO OBLIGADO</w:t>
      </w:r>
      <w:r>
        <w:t xml:space="preserve"> notificó las respuestas a las solicitudes de acceso a la Información Pública </w:t>
      </w:r>
      <w:r>
        <w:rPr>
          <w:b/>
        </w:rPr>
        <w:t xml:space="preserve">el dieciocho de marzo de dos mil veinticinco, </w:t>
      </w:r>
      <w:r>
        <w:t xml:space="preserve">y los recursos que nos ocupan se interpusieron el </w:t>
      </w:r>
      <w:r>
        <w:rPr>
          <w:b/>
        </w:rPr>
        <w:t>siete de abril de dos mil veinticinco</w:t>
      </w:r>
      <w:r>
        <w:t>; por lo tanto, éstos se encuentran dentro del margen temporal previsto en el artículo 178 de la Ley de Transparencia y Acceso a la Información Pública del Estado de México y Municipios.</w:t>
      </w:r>
    </w:p>
    <w:p w14:paraId="157DA32A" w14:textId="77777777" w:rsidR="00BA602E" w:rsidRDefault="00BA602E"/>
    <w:p w14:paraId="0FE93E5B" w14:textId="77777777" w:rsidR="00BA602E" w:rsidRDefault="00FB427C">
      <w:pPr>
        <w:pStyle w:val="Ttulo3"/>
      </w:pPr>
      <w:bookmarkStart w:id="34" w:name="_Toc203625584"/>
      <w:r>
        <w:t>d) Causal de procedencia</w:t>
      </w:r>
      <w:bookmarkEnd w:id="34"/>
      <w:r>
        <w:t xml:space="preserve"> </w:t>
      </w:r>
    </w:p>
    <w:p w14:paraId="0209D01A" w14:textId="77777777" w:rsidR="00BA602E" w:rsidRDefault="00FB427C">
      <w:r>
        <w:t>Resulta procedente la interposición de los recursos de revisión, ya que se actualiza la causal de procedencia señalada en el artículo 179, fracción II de la Ley de Transparencia y Acceso a la Información Pública del Estado de México y Municipios.</w:t>
      </w:r>
    </w:p>
    <w:p w14:paraId="4D811AE9" w14:textId="77777777" w:rsidR="00BA602E" w:rsidRDefault="00BA602E"/>
    <w:p w14:paraId="6CF22F97" w14:textId="77777777" w:rsidR="00BA602E" w:rsidRDefault="00FB427C">
      <w:pPr>
        <w:pStyle w:val="Ttulo3"/>
      </w:pPr>
      <w:bookmarkStart w:id="35" w:name="_Toc203625585"/>
      <w:r>
        <w:lastRenderedPageBreak/>
        <w:t>e) Requisitos formales para la interposición del recurso</w:t>
      </w:r>
      <w:bookmarkEnd w:id="35"/>
    </w:p>
    <w:p w14:paraId="2218A79F" w14:textId="77777777" w:rsidR="00BA602E" w:rsidRDefault="00FB427C">
      <w:r>
        <w:t xml:space="preserve">Es importante mencionar que, de la revisión de los expedientes electrónicos del SAIMEX, se observa que los asuntos que nos ocupan cumplen con los requisitos establecidos en el artículo 180 de la Ley de Transparencia y Acceso a la Información Pública del Estado de México y Municipios. </w:t>
      </w:r>
    </w:p>
    <w:p w14:paraId="26E34AAA" w14:textId="77777777" w:rsidR="00BA602E" w:rsidRDefault="00BA602E"/>
    <w:p w14:paraId="78B435AB" w14:textId="77777777" w:rsidR="00BA602E" w:rsidRDefault="00FB427C">
      <w:pPr>
        <w:pStyle w:val="Ttulo3"/>
      </w:pPr>
      <w:bookmarkStart w:id="36" w:name="_Toc203625586"/>
      <w:r>
        <w:t>f) Acumulación de los Recursos de Revisión</w:t>
      </w:r>
      <w:bookmarkEnd w:id="36"/>
    </w:p>
    <w:p w14:paraId="347BE020" w14:textId="77777777" w:rsidR="00BA602E" w:rsidRDefault="00FB427C">
      <w:r>
        <w:t xml:space="preserve">De las constancias que obran en los expedientes acumulados, se advierte que los recursos de revisión </w:t>
      </w:r>
      <w:r>
        <w:rPr>
          <w:b/>
        </w:rPr>
        <w:t xml:space="preserve">04107/INFOEM/IP/RR/2025 y </w:t>
      </w:r>
      <w:r>
        <w:t xml:space="preserve"> </w:t>
      </w:r>
      <w:r>
        <w:rPr>
          <w:b/>
        </w:rPr>
        <w:t xml:space="preserve">04110/INFOEM/IP/RR/2025, </w:t>
      </w:r>
      <w:r>
        <w:t xml:space="preserve">fueron presentados por la misma </w:t>
      </w:r>
      <w:r>
        <w:rPr>
          <w:b/>
        </w:rPr>
        <w:t>PARTE RECURRENTE</w:t>
      </w:r>
      <w:r>
        <w:t xml:space="preserve"> respecto de actos u omisiones similares, realizados por el mismo </w:t>
      </w:r>
      <w:r>
        <w:rPr>
          <w:b/>
        </w:rPr>
        <w:t>SUJETO OBLIGADO</w:t>
      </w:r>
      <w:r>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0F5200F9" w14:textId="77777777" w:rsidR="00BA602E" w:rsidRDefault="00BA602E">
      <w:pPr>
        <w:ind w:left="-57"/>
      </w:pPr>
    </w:p>
    <w:p w14:paraId="57FBFFA9" w14:textId="77777777" w:rsidR="00BA602E" w:rsidRDefault="00FB427C">
      <w:pPr>
        <w:pStyle w:val="Ttulo2"/>
      </w:pPr>
      <w:bookmarkStart w:id="37" w:name="_Toc203625587"/>
      <w:r>
        <w:t>SEGUNDO. Estudio de Fondo</w:t>
      </w:r>
      <w:bookmarkEnd w:id="37"/>
    </w:p>
    <w:p w14:paraId="798BE0DD" w14:textId="77777777" w:rsidR="00BA602E" w:rsidRDefault="00FB427C">
      <w:pPr>
        <w:pStyle w:val="Ttulo3"/>
      </w:pPr>
      <w:bookmarkStart w:id="38" w:name="_Toc203625588"/>
      <w:r>
        <w:t>a) Mandato de transparencia y responsabilidad del Sujeto Obligado</w:t>
      </w:r>
      <w:bookmarkEnd w:id="38"/>
    </w:p>
    <w:p w14:paraId="063E82C3" w14:textId="77777777" w:rsidR="00BA602E" w:rsidRDefault="00FB427C">
      <w: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72B2BB6" w14:textId="77777777" w:rsidR="00BA602E" w:rsidRDefault="00BA602E"/>
    <w:p w14:paraId="3E38B9C9" w14:textId="77777777" w:rsidR="00BA602E" w:rsidRDefault="00FB427C">
      <w:pPr>
        <w:spacing w:line="240" w:lineRule="auto"/>
        <w:ind w:left="850" w:right="824"/>
        <w:rPr>
          <w:b/>
          <w:i/>
        </w:rPr>
      </w:pPr>
      <w:r>
        <w:rPr>
          <w:b/>
          <w:i/>
        </w:rPr>
        <w:t>Constitución Política de los Estados Unidos Mexicanos</w:t>
      </w:r>
    </w:p>
    <w:p w14:paraId="213C379A" w14:textId="77777777" w:rsidR="00BA602E" w:rsidRDefault="00FB427C">
      <w:pPr>
        <w:spacing w:line="240" w:lineRule="auto"/>
        <w:ind w:left="850" w:right="824"/>
        <w:rPr>
          <w:b/>
          <w:i/>
        </w:rPr>
      </w:pPr>
      <w:r>
        <w:rPr>
          <w:b/>
          <w:i/>
        </w:rPr>
        <w:t>“Artículo 6.</w:t>
      </w:r>
    </w:p>
    <w:p w14:paraId="1E2DD1C9" w14:textId="77777777" w:rsidR="00BA602E" w:rsidRDefault="00FB427C">
      <w:pPr>
        <w:spacing w:line="240" w:lineRule="auto"/>
        <w:ind w:left="850" w:right="824"/>
        <w:rPr>
          <w:i/>
        </w:rPr>
      </w:pPr>
      <w:r>
        <w:rPr>
          <w:i/>
        </w:rPr>
        <w:t>(…)</w:t>
      </w:r>
    </w:p>
    <w:p w14:paraId="5ED5C065" w14:textId="77777777" w:rsidR="00BA602E" w:rsidRDefault="00FB427C">
      <w:pPr>
        <w:spacing w:line="240" w:lineRule="auto"/>
        <w:ind w:left="850" w:right="824"/>
        <w:rPr>
          <w:i/>
        </w:rPr>
      </w:pPr>
      <w:r>
        <w:rPr>
          <w:i/>
        </w:rPr>
        <w:t>Para efectos de lo dispuesto en el presente artículo se observará lo siguiente:</w:t>
      </w:r>
    </w:p>
    <w:p w14:paraId="4942BB42" w14:textId="77777777" w:rsidR="00BA602E" w:rsidRDefault="00FB427C">
      <w:pPr>
        <w:spacing w:line="240" w:lineRule="auto"/>
        <w:ind w:left="850" w:right="824"/>
        <w:rPr>
          <w:b/>
          <w:i/>
        </w:rPr>
      </w:pPr>
      <w:r>
        <w:rPr>
          <w:b/>
          <w:i/>
        </w:rPr>
        <w:lastRenderedPageBreak/>
        <w:t>A</w:t>
      </w:r>
      <w:r>
        <w:rPr>
          <w:i/>
        </w:rPr>
        <w:t xml:space="preserve">. </w:t>
      </w:r>
      <w:r>
        <w:rPr>
          <w:b/>
          <w:i/>
        </w:rPr>
        <w:t>Para el ejercicio del derecho de acceso a la información</w:t>
      </w:r>
      <w:r>
        <w:rPr>
          <w:i/>
        </w:rPr>
        <w:t xml:space="preserve">, la Federación y </w:t>
      </w:r>
      <w:r>
        <w:rPr>
          <w:b/>
          <w:i/>
        </w:rPr>
        <w:t>las entidades federativas, en el ámbito de sus respectivas competencias, se regirán por los siguientes principios y bases:</w:t>
      </w:r>
    </w:p>
    <w:p w14:paraId="2016A147" w14:textId="77777777" w:rsidR="00BA602E" w:rsidRDefault="00FB427C">
      <w:pPr>
        <w:spacing w:line="240" w:lineRule="auto"/>
        <w:ind w:left="850" w:right="824"/>
        <w:rPr>
          <w:i/>
        </w:rPr>
      </w:pPr>
      <w:r>
        <w:rPr>
          <w:b/>
          <w:i/>
        </w:rPr>
        <w:t xml:space="preserve">I. </w:t>
      </w:r>
      <w:r>
        <w:rPr>
          <w:b/>
          <w:i/>
        </w:rPr>
        <w:tab/>
        <w:t>Toda la información en posesión de cualquier</w:t>
      </w:r>
      <w:r>
        <w:rPr>
          <w:i/>
        </w:rPr>
        <w:t xml:space="preserve"> </w:t>
      </w:r>
      <w:r>
        <w:rPr>
          <w:b/>
          <w:i/>
        </w:rPr>
        <w:t>autoridad</w:t>
      </w:r>
      <w:r>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Pr>
          <w:b/>
          <w:i/>
        </w:rPr>
        <w:t>municipal</w:t>
      </w:r>
      <w:r>
        <w:rPr>
          <w:i/>
        </w:rPr>
        <w:t xml:space="preserve">, </w:t>
      </w:r>
      <w:r>
        <w:rPr>
          <w:b/>
          <w:i/>
        </w:rPr>
        <w:t>es pública</w:t>
      </w:r>
      <w:r>
        <w:rPr>
          <w:i/>
        </w:rPr>
        <w:t xml:space="preserve"> y sólo podrá ser reservada temporalmente por razones de interés público y seguridad nacional, en los términos que fijen las leyes. </w:t>
      </w:r>
      <w:r>
        <w:rPr>
          <w:b/>
          <w:i/>
        </w:rPr>
        <w:t>En la interpretación de este derecho deberá prevalecer el principio de máxima publicidad. Los sujetos obligados deberán documentar todo acto que derive del ejercicio de sus facultades, competencias o funciones</w:t>
      </w:r>
      <w:r>
        <w:rPr>
          <w:i/>
        </w:rPr>
        <w:t>, la ley determinará los supuestos específicos bajo los cuales procederá la declaración de inexistencia de la información.”</w:t>
      </w:r>
    </w:p>
    <w:p w14:paraId="1F35F384" w14:textId="77777777" w:rsidR="00BA602E" w:rsidRDefault="00BA602E">
      <w:pPr>
        <w:spacing w:line="240" w:lineRule="auto"/>
        <w:ind w:left="850" w:right="824"/>
        <w:rPr>
          <w:b/>
          <w:i/>
        </w:rPr>
      </w:pPr>
    </w:p>
    <w:p w14:paraId="73CBD6CE" w14:textId="77777777" w:rsidR="00BA602E" w:rsidRDefault="00FB427C">
      <w:pPr>
        <w:spacing w:line="240" w:lineRule="auto"/>
        <w:ind w:left="850" w:right="824"/>
        <w:rPr>
          <w:b/>
          <w:i/>
        </w:rPr>
      </w:pPr>
      <w:r>
        <w:rPr>
          <w:b/>
          <w:i/>
        </w:rPr>
        <w:t>Constitución Política del Estado Libre y Soberano de México</w:t>
      </w:r>
    </w:p>
    <w:p w14:paraId="6DFCA474" w14:textId="77777777" w:rsidR="00BA602E" w:rsidRDefault="00FB427C">
      <w:pPr>
        <w:spacing w:line="240" w:lineRule="auto"/>
        <w:ind w:left="850" w:right="824"/>
        <w:rPr>
          <w:i/>
        </w:rPr>
      </w:pPr>
      <w:r>
        <w:rPr>
          <w:b/>
          <w:i/>
        </w:rPr>
        <w:t>“Artículo 5</w:t>
      </w:r>
      <w:r>
        <w:rPr>
          <w:i/>
        </w:rPr>
        <w:t xml:space="preserve">.- </w:t>
      </w:r>
    </w:p>
    <w:p w14:paraId="103DEDA8" w14:textId="77777777" w:rsidR="00BA602E" w:rsidRDefault="00FB427C">
      <w:pPr>
        <w:spacing w:line="240" w:lineRule="auto"/>
        <w:ind w:left="850" w:right="824"/>
        <w:rPr>
          <w:i/>
        </w:rPr>
      </w:pPr>
      <w:r>
        <w:rPr>
          <w:i/>
        </w:rPr>
        <w:t>(…)</w:t>
      </w:r>
    </w:p>
    <w:p w14:paraId="32D2EEB8" w14:textId="77777777" w:rsidR="00BA602E" w:rsidRDefault="00FB427C">
      <w:pPr>
        <w:spacing w:line="240" w:lineRule="auto"/>
        <w:ind w:left="850" w:right="824"/>
        <w:rPr>
          <w:i/>
        </w:rPr>
      </w:pPr>
      <w:r>
        <w:rPr>
          <w:b/>
          <w:i/>
        </w:rPr>
        <w:t>El derecho a la información será garantizado por el Estado. La ley establecerá las previsiones que permitan asegurar la protección, el respeto y la difusión de este derecho</w:t>
      </w:r>
      <w:r>
        <w:rPr>
          <w:i/>
        </w:rPr>
        <w:t>.</w:t>
      </w:r>
    </w:p>
    <w:p w14:paraId="611CD485" w14:textId="77777777" w:rsidR="00BA602E" w:rsidRDefault="00FB427C">
      <w:pPr>
        <w:spacing w:line="240" w:lineRule="auto"/>
        <w:ind w:left="850" w:right="824"/>
        <w:rPr>
          <w:i/>
        </w:rPr>
      </w:pPr>
      <w:r>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A11DDB1" w14:textId="77777777" w:rsidR="00BA602E" w:rsidRDefault="00FB427C">
      <w:pPr>
        <w:spacing w:line="240" w:lineRule="auto"/>
        <w:ind w:left="850" w:right="824"/>
        <w:rPr>
          <w:i/>
        </w:rPr>
      </w:pPr>
      <w:r>
        <w:rPr>
          <w:b/>
          <w:i/>
        </w:rPr>
        <w:t>Este derecho se regirá por los principios y bases siguientes</w:t>
      </w:r>
      <w:r>
        <w:rPr>
          <w:i/>
        </w:rPr>
        <w:t>:</w:t>
      </w:r>
    </w:p>
    <w:p w14:paraId="0A728DF2" w14:textId="77777777" w:rsidR="00BA602E" w:rsidRDefault="00FB427C">
      <w:pPr>
        <w:spacing w:line="240" w:lineRule="auto"/>
        <w:ind w:left="850" w:right="824"/>
        <w:rPr>
          <w:i/>
        </w:rPr>
      </w:pPr>
      <w:r>
        <w:rPr>
          <w:b/>
          <w:i/>
        </w:rPr>
        <w:t>I. Toda la información en posesión de cualquier autoridad, entidad, órgano y organismos de los</w:t>
      </w:r>
      <w:r>
        <w:rPr>
          <w:i/>
        </w:rPr>
        <w:t xml:space="preserve"> Poderes Ejecutivo, Legislativo y Judicial, órganos autónomos, partidos políticos, fideicomisos y fondos públicos estatales y </w:t>
      </w:r>
      <w:r>
        <w:rPr>
          <w:b/>
          <w:i/>
        </w:rPr>
        <w:t>municipales</w:t>
      </w:r>
      <w:r>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Pr>
          <w:b/>
          <w:i/>
        </w:rPr>
        <w:t>es pública</w:t>
      </w:r>
      <w:r>
        <w:rPr>
          <w:i/>
        </w:rPr>
        <w:t xml:space="preserve"> y sólo podrá ser reservada temporalmente por razones previstas en la Constitución Política de los Estados Unidos Mexicanos de interés público y seguridad, en los términos que fijen las leyes. </w:t>
      </w:r>
      <w:r>
        <w:rPr>
          <w:b/>
          <w:i/>
        </w:rPr>
        <w:t>En la interpretación de este derecho deberá prevalecer el principio de máxima publicidad</w:t>
      </w:r>
      <w:r>
        <w:rPr>
          <w:i/>
        </w:rPr>
        <w:t xml:space="preserve">. </w:t>
      </w:r>
      <w:r>
        <w:rPr>
          <w:b/>
          <w:i/>
        </w:rPr>
        <w:t>Los sujetos obligados deberán documentar todo acto que derive del ejercicio de sus facultades, competencias o funciones</w:t>
      </w:r>
      <w:r>
        <w:rPr>
          <w:i/>
        </w:rPr>
        <w:t>, la ley determinará los supuestos específicos bajo los cuales procederá la declaración de inexistencia de la información.”</w:t>
      </w:r>
    </w:p>
    <w:p w14:paraId="67BC2AB1" w14:textId="77777777" w:rsidR="00BA602E" w:rsidRDefault="00BA602E">
      <w:pPr>
        <w:rPr>
          <w:b/>
          <w:i/>
        </w:rPr>
      </w:pPr>
    </w:p>
    <w:p w14:paraId="38BEC7D4" w14:textId="77777777" w:rsidR="00BA602E" w:rsidRDefault="00FB427C">
      <w:pPr>
        <w:rPr>
          <w:i/>
        </w:rPr>
      </w:pPr>
      <w:r>
        <w:t xml:space="preserve">Asimismo, el artículo 150 de la Ley de Transparencia y Acceso a la Información Pública del Estado de México y Municipios indica que la solicitud es la garantía primaria del Derecho de Acceso a la Información, además, establece que se regirá </w:t>
      </w:r>
      <w:r>
        <w:rPr>
          <w:i/>
        </w:rPr>
        <w:t>por los principios de simplicidad, rapidez, gratuidad del procedimiento, auxilio y orientación a los particulares.</w:t>
      </w:r>
    </w:p>
    <w:p w14:paraId="0A04EFB4" w14:textId="77777777" w:rsidR="00BA602E" w:rsidRDefault="00BA602E">
      <w:pPr>
        <w:rPr>
          <w:i/>
        </w:rPr>
      </w:pPr>
    </w:p>
    <w:p w14:paraId="7A6C7E24" w14:textId="77777777" w:rsidR="00BA602E" w:rsidRDefault="00FB427C">
      <w:pPr>
        <w:rPr>
          <w:i/>
        </w:rPr>
      </w:pPr>
      <w: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F301C4C" w14:textId="77777777" w:rsidR="00BA602E" w:rsidRDefault="00BA602E"/>
    <w:p w14:paraId="63BA54C4" w14:textId="77777777" w:rsidR="00BA602E" w:rsidRDefault="00FB427C">
      <w: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E52D624" w14:textId="77777777" w:rsidR="00BA602E" w:rsidRDefault="00BA602E"/>
    <w:p w14:paraId="4AEE1558" w14:textId="77777777" w:rsidR="00BA602E" w:rsidRDefault="00FB427C">
      <w: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AB5AAF6" w14:textId="77777777" w:rsidR="00BA602E" w:rsidRDefault="00BA602E"/>
    <w:p w14:paraId="166C589E" w14:textId="77777777" w:rsidR="00BA602E" w:rsidRDefault="00FB427C">
      <w: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590502E" w14:textId="77777777" w:rsidR="00BA602E" w:rsidRDefault="00BA602E"/>
    <w:p w14:paraId="1C60EA0D" w14:textId="77777777" w:rsidR="00BA602E" w:rsidRDefault="00FB427C">
      <w:bookmarkStart w:id="39" w:name="_heading=h.147n2zr" w:colFirst="0" w:colLast="0"/>
      <w:bookmarkEnd w:id="39"/>
      <w:r>
        <w:t xml:space="preserve">Con base en lo anterior, se considera que </w:t>
      </w:r>
      <w:r>
        <w:rPr>
          <w:b/>
        </w:rPr>
        <w:t>EL</w:t>
      </w:r>
      <w:r>
        <w:t xml:space="preserve"> </w:t>
      </w:r>
      <w:r>
        <w:rPr>
          <w:b/>
        </w:rPr>
        <w:t>SUJETO OBLIGADO</w:t>
      </w:r>
      <w:r>
        <w:t xml:space="preserve"> se encontraba compelido a atender las solicitudes de acceso a la información realizadas por </w:t>
      </w:r>
      <w:r>
        <w:rPr>
          <w:b/>
        </w:rPr>
        <w:t>LA PARTE RECURRENTE</w:t>
      </w:r>
      <w:r>
        <w:t>.</w:t>
      </w:r>
    </w:p>
    <w:p w14:paraId="4CFFB96E" w14:textId="77777777" w:rsidR="00BA602E" w:rsidRDefault="00BA602E"/>
    <w:p w14:paraId="0979A075" w14:textId="77777777" w:rsidR="00BA602E" w:rsidRDefault="00FB427C">
      <w:pPr>
        <w:pStyle w:val="Ttulo3"/>
      </w:pPr>
      <w:bookmarkStart w:id="40" w:name="_Toc203625589"/>
      <w:r>
        <w:t>b) Controversia a resolver</w:t>
      </w:r>
      <w:bookmarkEnd w:id="40"/>
    </w:p>
    <w:p w14:paraId="1A0D66C6" w14:textId="77777777" w:rsidR="00BA602E" w:rsidRDefault="00FB427C">
      <w:r>
        <w:t xml:space="preserve">Con el objeto de ilustrar la controversia planteada, resulta conveniente precisar que, una vez realizado el estudio de las constancias que integran los expedientes en que se actúa, se desprende que </w:t>
      </w:r>
      <w:r>
        <w:rPr>
          <w:b/>
        </w:rPr>
        <w:t>LA PARTE RECURRENTE</w:t>
      </w:r>
      <w:r>
        <w:t xml:space="preserve"> solicitó, lo siguiente:</w:t>
      </w:r>
    </w:p>
    <w:p w14:paraId="0F2C6B3C" w14:textId="77777777" w:rsidR="00BA602E" w:rsidRDefault="00BA602E"/>
    <w:p w14:paraId="361AA434" w14:textId="77777777" w:rsidR="00BA602E" w:rsidRDefault="00FB427C">
      <w:pPr>
        <w:numPr>
          <w:ilvl w:val="0"/>
          <w:numId w:val="3"/>
        </w:numPr>
        <w:pBdr>
          <w:top w:val="nil"/>
          <w:left w:val="nil"/>
          <w:bottom w:val="nil"/>
          <w:right w:val="nil"/>
          <w:between w:val="nil"/>
        </w:pBdr>
        <w:tabs>
          <w:tab w:val="left" w:pos="4962"/>
        </w:tabs>
      </w:pPr>
      <w:r>
        <w:t xml:space="preserve">Fecha del último mantenimiento preventivo dado a cada uno de los cárcamos ubicados en el Municipio. </w:t>
      </w:r>
    </w:p>
    <w:p w14:paraId="371A3CB4" w14:textId="77777777" w:rsidR="00BA602E" w:rsidRDefault="00FB427C">
      <w:pPr>
        <w:numPr>
          <w:ilvl w:val="0"/>
          <w:numId w:val="3"/>
        </w:numPr>
        <w:pBdr>
          <w:top w:val="nil"/>
          <w:left w:val="nil"/>
          <w:bottom w:val="nil"/>
          <w:right w:val="nil"/>
          <w:between w:val="nil"/>
        </w:pBdr>
        <w:tabs>
          <w:tab w:val="left" w:pos="4962"/>
        </w:tabs>
      </w:pPr>
      <w:r>
        <w:t xml:space="preserve">Costo del último mantenimiento dado a cada uno de los cárcamos del municipio y desglose cada concepto de erogación. </w:t>
      </w:r>
    </w:p>
    <w:p w14:paraId="049788C1" w14:textId="77777777" w:rsidR="00BA602E" w:rsidRDefault="00FB427C">
      <w:pPr>
        <w:numPr>
          <w:ilvl w:val="0"/>
          <w:numId w:val="3"/>
        </w:numPr>
        <w:pBdr>
          <w:top w:val="nil"/>
          <w:left w:val="nil"/>
          <w:bottom w:val="nil"/>
          <w:right w:val="nil"/>
          <w:between w:val="nil"/>
        </w:pBdr>
        <w:tabs>
          <w:tab w:val="left" w:pos="4962"/>
        </w:tabs>
      </w:pPr>
      <w:r>
        <w:t>Indique si el último mantenimiento dado a los cárcamos del municipio lo hizo por conducto alguna empresa concesionaria o lo realizaron los trabajadores del municipio</w:t>
      </w:r>
    </w:p>
    <w:p w14:paraId="446612E7" w14:textId="77777777" w:rsidR="00BA602E" w:rsidRDefault="00BA602E">
      <w:pPr>
        <w:tabs>
          <w:tab w:val="left" w:pos="4962"/>
        </w:tabs>
      </w:pPr>
    </w:p>
    <w:p w14:paraId="1AF00A00" w14:textId="77777777" w:rsidR="00BA602E" w:rsidRDefault="00FB427C">
      <w:pPr>
        <w:tabs>
          <w:tab w:val="left" w:pos="4962"/>
        </w:tabs>
      </w:pPr>
      <w:r>
        <w:t xml:space="preserve">En respuesta, </w:t>
      </w:r>
      <w:r>
        <w:rPr>
          <w:b/>
        </w:rPr>
        <w:t>EL SUJETO OBLIGADO</w:t>
      </w:r>
      <w:r>
        <w:t xml:space="preserve"> se pronunció por conducto del Coordinador Administrativo y el Director de Agua Potable, Alcantarillado y Saneamiento, quienes indicaron que la información se clasificó como reservada por encontrarse en el proceso de </w:t>
      </w:r>
      <w:r>
        <w:lastRenderedPageBreak/>
        <w:t xml:space="preserve">revisión de la entrega- recepción de la Administración saliente. Motivo por el cual </w:t>
      </w:r>
      <w:r>
        <w:rPr>
          <w:b/>
        </w:rPr>
        <w:t>LA PARTE RECURRENTE</w:t>
      </w:r>
      <w:r>
        <w:t xml:space="preserve"> manifestó su inconformidad. </w:t>
      </w:r>
    </w:p>
    <w:p w14:paraId="05BC72ED" w14:textId="77777777" w:rsidR="00BA602E" w:rsidRDefault="00BA602E"/>
    <w:p w14:paraId="2991A82B" w14:textId="77777777" w:rsidR="00BA602E" w:rsidRDefault="00FB427C">
      <w:r>
        <w:t>Así que el presente asunto buscará determinar si la información entregada es susceptible de ser clasificada como reserva, y en su caso, si dicha clasificación fue realizada en apego a las normas aplicables.</w:t>
      </w:r>
    </w:p>
    <w:p w14:paraId="53ED4AB1" w14:textId="77777777" w:rsidR="00BA602E" w:rsidRDefault="00BA602E"/>
    <w:p w14:paraId="515756AB" w14:textId="77777777" w:rsidR="00BA602E" w:rsidRDefault="00FB427C">
      <w:pPr>
        <w:pStyle w:val="Ttulo3"/>
      </w:pPr>
      <w:bookmarkStart w:id="41" w:name="_Toc203625590"/>
      <w:r>
        <w:t>c) Estudio de la controversia</w:t>
      </w:r>
      <w:bookmarkEnd w:id="41"/>
    </w:p>
    <w:p w14:paraId="1EA4CD51" w14:textId="77777777" w:rsidR="00BA602E" w:rsidRDefault="00FB427C">
      <w:pPr>
        <w:tabs>
          <w:tab w:val="left" w:pos="4962"/>
        </w:tabs>
      </w:pPr>
      <w:r>
        <w:t>Una vez determinada la controversia a resolver, a efecto de establecer la naturaleza de la información, es  importante señalar que, la Constitución Política de los Estados Unidos Mexicanos establece:</w:t>
      </w:r>
    </w:p>
    <w:p w14:paraId="3365652F" w14:textId="77777777" w:rsidR="00BA602E" w:rsidRDefault="00BA602E">
      <w:pPr>
        <w:tabs>
          <w:tab w:val="left" w:pos="851"/>
        </w:tabs>
        <w:ind w:right="49"/>
      </w:pPr>
    </w:p>
    <w:p w14:paraId="53E77DDC" w14:textId="77777777" w:rsidR="00BA602E" w:rsidRDefault="00FB427C">
      <w:pPr>
        <w:spacing w:line="240" w:lineRule="auto"/>
        <w:ind w:left="851" w:right="964"/>
        <w:rPr>
          <w:i/>
        </w:rPr>
      </w:pPr>
      <w:r>
        <w:rPr>
          <w:b/>
          <w:i/>
        </w:rPr>
        <w:t>Artículo 115.</w:t>
      </w:r>
      <w:r>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2D44D31" w14:textId="77777777" w:rsidR="00BA602E" w:rsidRDefault="00BA602E">
      <w:pPr>
        <w:spacing w:line="240" w:lineRule="auto"/>
        <w:ind w:left="851" w:right="964"/>
        <w:rPr>
          <w:i/>
        </w:rPr>
      </w:pPr>
    </w:p>
    <w:p w14:paraId="55A23CB2" w14:textId="77777777" w:rsidR="00BA602E" w:rsidRDefault="00FB427C">
      <w:pPr>
        <w:spacing w:line="240" w:lineRule="auto"/>
        <w:ind w:left="851" w:right="964"/>
        <w:rPr>
          <w:i/>
        </w:rPr>
      </w:pPr>
      <w:r>
        <w:rPr>
          <w:i/>
        </w:rPr>
        <w:t>(…)</w:t>
      </w:r>
    </w:p>
    <w:p w14:paraId="4BFF6815" w14:textId="77777777" w:rsidR="00BA602E" w:rsidRDefault="00FB427C">
      <w:pPr>
        <w:pStyle w:val="Puesto"/>
        <w:ind w:left="851" w:right="964" w:firstLine="0"/>
      </w:pPr>
      <w:r>
        <w:rPr>
          <w:b/>
        </w:rPr>
        <w:t xml:space="preserve">III. </w:t>
      </w:r>
      <w:r>
        <w:t>Los Municipios tendrán a su cargo las funciones y servicios públicos siguientes:</w:t>
      </w:r>
    </w:p>
    <w:p w14:paraId="2048CB4B" w14:textId="77777777" w:rsidR="00BA602E" w:rsidRDefault="00FB427C">
      <w:pPr>
        <w:pStyle w:val="Puesto"/>
        <w:ind w:left="851" w:right="964" w:firstLine="0"/>
      </w:pPr>
      <w:r>
        <w:t>(…)</w:t>
      </w:r>
    </w:p>
    <w:p w14:paraId="23ABB1AC" w14:textId="77777777" w:rsidR="00BA602E" w:rsidRDefault="00FB427C">
      <w:pPr>
        <w:pStyle w:val="Puesto"/>
        <w:ind w:left="851" w:right="964" w:firstLine="0"/>
        <w:rPr>
          <w:b/>
        </w:rPr>
      </w:pPr>
      <w:r>
        <w:rPr>
          <w:b/>
        </w:rPr>
        <w:t xml:space="preserve">a) Agua potable, drenaje, alcantarillado, tratamiento y disposición de sus aguas residuales </w:t>
      </w:r>
    </w:p>
    <w:p w14:paraId="0CCBDA85" w14:textId="77777777" w:rsidR="00BA602E" w:rsidRDefault="00FB427C">
      <w:pPr>
        <w:spacing w:line="240" w:lineRule="auto"/>
        <w:ind w:left="851" w:right="964"/>
        <w:rPr>
          <w:i/>
        </w:rPr>
      </w:pPr>
      <w:r>
        <w:rPr>
          <w:i/>
        </w:rPr>
        <w:t>(…)</w:t>
      </w:r>
    </w:p>
    <w:p w14:paraId="038ADB4A" w14:textId="77777777" w:rsidR="00BA602E" w:rsidRDefault="00BA602E">
      <w:pPr>
        <w:spacing w:line="240" w:lineRule="auto"/>
        <w:ind w:left="851" w:right="964"/>
        <w:rPr>
          <w:i/>
        </w:rPr>
      </w:pPr>
    </w:p>
    <w:p w14:paraId="010B577D" w14:textId="77777777" w:rsidR="00BA602E" w:rsidRDefault="00FB427C">
      <w:r>
        <w:t>Del precepto anterior se observa que los municipios son la base de la división territorial de los Estados, dentro de las funciones que tendrán a su cago el servicio de agua potable, drenaje, alcantarillado, tratamiento y disposición de sus aguas residuales.</w:t>
      </w:r>
    </w:p>
    <w:p w14:paraId="2B281354" w14:textId="77777777" w:rsidR="00BA602E" w:rsidRDefault="00BA602E"/>
    <w:p w14:paraId="3B7A4AD8" w14:textId="77777777" w:rsidR="00BA602E" w:rsidRDefault="00FB427C">
      <w:pPr>
        <w:spacing w:after="240"/>
        <w:ind w:right="-93"/>
      </w:pPr>
      <w:r>
        <w:t>Asimismo, la Constitución Política del Estado Libre y Soberano de México establece:</w:t>
      </w:r>
    </w:p>
    <w:p w14:paraId="5D9610D4" w14:textId="77777777" w:rsidR="00BA602E" w:rsidRDefault="00FB427C">
      <w:pPr>
        <w:pStyle w:val="Puesto"/>
        <w:ind w:left="851" w:right="822" w:firstLine="0"/>
      </w:pPr>
      <w:r>
        <w:rPr>
          <w:b/>
        </w:rPr>
        <w:lastRenderedPageBreak/>
        <w:t xml:space="preserve">Artículo 122.- </w:t>
      </w:r>
      <w:r>
        <w:t>Los ayuntamientos de los municipios tienen las atribuciones que establecen la Constitución Federal, esta Constitución, y demás disposiciones legales aplicables.</w:t>
      </w:r>
    </w:p>
    <w:p w14:paraId="61107AC4" w14:textId="77777777" w:rsidR="00BA602E" w:rsidRDefault="00FB427C">
      <w:pPr>
        <w:pStyle w:val="Puesto"/>
        <w:ind w:left="851" w:right="822" w:firstLine="0"/>
        <w:rPr>
          <w:b/>
        </w:rPr>
      </w:pPr>
      <w:bookmarkStart w:id="42" w:name="_heading=h.2vewesq0xyl" w:colFirst="0" w:colLast="0"/>
      <w:bookmarkEnd w:id="42"/>
      <w:r>
        <w:t>Los municipios tendrán a su cargo las funciones y servicios públicos que señala la fracción III del artículo 115 de la Constitución Política de los Estados Unidos Mexicanos.</w:t>
      </w:r>
    </w:p>
    <w:p w14:paraId="5042A4AB" w14:textId="77777777" w:rsidR="00BA602E" w:rsidRDefault="00FB427C">
      <w:pPr>
        <w:pStyle w:val="Puesto"/>
        <w:ind w:left="851" w:right="822" w:firstLine="0"/>
      </w:pPr>
      <w:bookmarkStart w:id="43" w:name="_heading=h.owcvw4uxbn9v" w:colFirst="0" w:colLast="0"/>
      <w:bookmarkEnd w:id="43"/>
      <w:r>
        <w:t>(…)</w:t>
      </w:r>
    </w:p>
    <w:p w14:paraId="27B40A71" w14:textId="77777777" w:rsidR="00BA602E" w:rsidRDefault="00BA602E">
      <w:pPr>
        <w:tabs>
          <w:tab w:val="left" w:pos="851"/>
        </w:tabs>
        <w:ind w:right="49"/>
      </w:pPr>
    </w:p>
    <w:p w14:paraId="41014E1E" w14:textId="77777777" w:rsidR="00BA602E" w:rsidRDefault="00FB427C">
      <w:pPr>
        <w:tabs>
          <w:tab w:val="left" w:pos="851"/>
        </w:tabs>
        <w:ind w:right="49"/>
      </w:pPr>
      <w:r>
        <w:t>Por su parte, la Ley Orgánica Municipal del Estado de México y Municipios refiere en su artículo 125, fracción I la atribución de los municipios de la prestación, administración del servicio, agua potable, alcantarillado, saneamiento y aguas residuales; como se aprecia a continuación:</w:t>
      </w:r>
    </w:p>
    <w:p w14:paraId="6A1EB029" w14:textId="77777777" w:rsidR="00BA602E" w:rsidRDefault="00BA602E">
      <w:pPr>
        <w:tabs>
          <w:tab w:val="left" w:pos="851"/>
        </w:tabs>
        <w:ind w:right="49"/>
      </w:pPr>
    </w:p>
    <w:p w14:paraId="3658F7E0" w14:textId="77777777" w:rsidR="00BA602E" w:rsidRDefault="00FB427C">
      <w:pPr>
        <w:spacing w:line="240" w:lineRule="auto"/>
        <w:ind w:left="567" w:right="567"/>
        <w:rPr>
          <w:b/>
          <w:i/>
        </w:rPr>
      </w:pPr>
      <w:r>
        <w:rPr>
          <w:i/>
        </w:rPr>
        <w:t>“</w:t>
      </w:r>
      <w:r>
        <w:rPr>
          <w:b/>
          <w:i/>
        </w:rPr>
        <w:t xml:space="preserve">CAPITULO SEPTIMO </w:t>
      </w:r>
    </w:p>
    <w:p w14:paraId="0E2A2432" w14:textId="77777777" w:rsidR="00BA602E" w:rsidRDefault="00FB427C">
      <w:pPr>
        <w:spacing w:line="240" w:lineRule="auto"/>
        <w:ind w:left="567" w:right="567"/>
        <w:rPr>
          <w:b/>
          <w:i/>
        </w:rPr>
      </w:pPr>
      <w:r>
        <w:rPr>
          <w:b/>
          <w:i/>
        </w:rPr>
        <w:t xml:space="preserve">De los Servicios Públicos </w:t>
      </w:r>
    </w:p>
    <w:p w14:paraId="01BB4126" w14:textId="77777777" w:rsidR="00BA602E" w:rsidRDefault="00BA602E">
      <w:pPr>
        <w:spacing w:line="240" w:lineRule="auto"/>
        <w:ind w:left="567" w:right="567"/>
        <w:rPr>
          <w:b/>
          <w:i/>
        </w:rPr>
      </w:pPr>
    </w:p>
    <w:p w14:paraId="07BEFE03" w14:textId="77777777" w:rsidR="00BA602E" w:rsidRDefault="00FB427C">
      <w:pPr>
        <w:spacing w:line="240" w:lineRule="auto"/>
        <w:ind w:left="567" w:right="567"/>
        <w:rPr>
          <w:i/>
        </w:rPr>
      </w:pPr>
      <w:r>
        <w:rPr>
          <w:b/>
          <w:i/>
        </w:rPr>
        <w:t>Artículo 125.-</w:t>
      </w:r>
      <w:r>
        <w:rPr>
          <w:i/>
        </w:rPr>
        <w:t xml:space="preserve"> Los municipios tendrán a su cargo la prestación, explotación, administración y conservación de los servicios públicos municipales, considerándose enunciativa y no limitativamente, los siguientes: </w:t>
      </w:r>
    </w:p>
    <w:p w14:paraId="45237D34" w14:textId="77777777" w:rsidR="00BA602E" w:rsidRDefault="00BA602E">
      <w:pPr>
        <w:spacing w:line="240" w:lineRule="auto"/>
        <w:ind w:left="567" w:right="567"/>
        <w:rPr>
          <w:i/>
        </w:rPr>
      </w:pPr>
    </w:p>
    <w:p w14:paraId="7D8702A1" w14:textId="77777777" w:rsidR="00BA602E" w:rsidRDefault="00FB427C">
      <w:pPr>
        <w:spacing w:line="240" w:lineRule="auto"/>
        <w:ind w:left="567" w:right="567"/>
        <w:rPr>
          <w:b/>
          <w:i/>
        </w:rPr>
      </w:pPr>
      <w:r>
        <w:rPr>
          <w:b/>
          <w:i/>
        </w:rPr>
        <w:t xml:space="preserve">I. Agua potable, alcantarillado, saneamiento y aguas residuales; </w:t>
      </w:r>
    </w:p>
    <w:p w14:paraId="3F7CC7BC" w14:textId="77777777" w:rsidR="00BA602E" w:rsidRDefault="00FB427C">
      <w:pPr>
        <w:spacing w:line="240" w:lineRule="auto"/>
        <w:ind w:left="567" w:right="567"/>
        <w:rPr>
          <w:i/>
        </w:rPr>
      </w:pPr>
      <w:r>
        <w:rPr>
          <w:i/>
        </w:rPr>
        <w:t xml:space="preserve">II. Alumbrado público; </w:t>
      </w:r>
    </w:p>
    <w:p w14:paraId="31074AD8" w14:textId="77777777" w:rsidR="00BA602E" w:rsidRDefault="00FB427C">
      <w:pPr>
        <w:spacing w:line="240" w:lineRule="auto"/>
        <w:ind w:left="567" w:right="567"/>
      </w:pPr>
      <w:r>
        <w:rPr>
          <w:i/>
        </w:rPr>
        <w:t xml:space="preserve">III. Limpia, recolección, segregada, traslado, tratamiento y disposición final de los residuos sólidos urbanos; debiendo emprender acciones para la identificación y prevención de la creación de nuevos tiraderos a cielo abierto o sitios de disposición clandestina de residuos de cualquier índole. </w:t>
      </w:r>
    </w:p>
    <w:p w14:paraId="7FCF083F" w14:textId="77777777" w:rsidR="00BA602E" w:rsidRDefault="00FB427C">
      <w:pPr>
        <w:spacing w:line="240" w:lineRule="auto"/>
        <w:ind w:left="567" w:right="567"/>
        <w:rPr>
          <w:i/>
        </w:rPr>
      </w:pPr>
      <w:r>
        <w:rPr>
          <w:i/>
        </w:rPr>
        <w:t xml:space="preserve">En la recolección segregada, con la finalidad de fomentar la economía circular y promover la valorización de los residuos sólidos urbanos, se observará la siguiente clasificación: </w:t>
      </w:r>
    </w:p>
    <w:p w14:paraId="447C598A" w14:textId="77777777" w:rsidR="00BA602E" w:rsidRDefault="00FB427C">
      <w:pPr>
        <w:spacing w:line="240" w:lineRule="auto"/>
        <w:ind w:left="567" w:right="567"/>
        <w:rPr>
          <w:i/>
        </w:rPr>
      </w:pPr>
      <w:r>
        <w:rPr>
          <w:i/>
        </w:rPr>
        <w:t xml:space="preserve">a) Orgánicos </w:t>
      </w:r>
    </w:p>
    <w:p w14:paraId="7183D853" w14:textId="77777777" w:rsidR="00BA602E" w:rsidRDefault="00FB427C">
      <w:pPr>
        <w:spacing w:line="240" w:lineRule="auto"/>
        <w:ind w:left="567" w:right="567"/>
        <w:rPr>
          <w:i/>
        </w:rPr>
      </w:pPr>
      <w:r>
        <w:rPr>
          <w:i/>
        </w:rPr>
        <w:t>b) Inorgánicos”</w:t>
      </w:r>
    </w:p>
    <w:p w14:paraId="6A0ED625" w14:textId="77777777" w:rsidR="00BA602E" w:rsidRDefault="00BA602E">
      <w:pPr>
        <w:tabs>
          <w:tab w:val="left" w:pos="851"/>
        </w:tabs>
        <w:ind w:right="49"/>
      </w:pPr>
    </w:p>
    <w:p w14:paraId="563A3C28" w14:textId="77777777" w:rsidR="00BA602E" w:rsidRDefault="00FB427C">
      <w:pPr>
        <w:widowControl w:val="0"/>
        <w:tabs>
          <w:tab w:val="left" w:pos="1701"/>
          <w:tab w:val="left" w:pos="1843"/>
        </w:tabs>
        <w:ind w:right="49"/>
        <w:rPr>
          <w:highlight w:val="white"/>
        </w:rPr>
      </w:pPr>
      <w:r>
        <w:rPr>
          <w:highlight w:val="white"/>
        </w:rPr>
        <w:t>Dichos servicios deberán realizarse por parte de los ayuntamientos mediante sus unidades administrativas y órganos auxiliares y podrán ser concesionarias a terceros con excepción del servicio de Seguridad Pública y Tránsito, como lo refiere el artículo 126 que a la letra refiere:</w:t>
      </w:r>
    </w:p>
    <w:p w14:paraId="1322A7E5" w14:textId="77777777" w:rsidR="00BA602E" w:rsidRDefault="00BA602E">
      <w:pPr>
        <w:widowControl w:val="0"/>
        <w:tabs>
          <w:tab w:val="left" w:pos="1701"/>
          <w:tab w:val="left" w:pos="1843"/>
        </w:tabs>
        <w:ind w:right="49"/>
        <w:rPr>
          <w:highlight w:val="white"/>
        </w:rPr>
      </w:pPr>
    </w:p>
    <w:p w14:paraId="338FBC1B" w14:textId="77777777" w:rsidR="00BA602E" w:rsidRDefault="00FB427C">
      <w:pPr>
        <w:spacing w:line="240" w:lineRule="auto"/>
        <w:ind w:left="567" w:right="824"/>
        <w:rPr>
          <w:i/>
          <w:highlight w:val="white"/>
        </w:rPr>
      </w:pPr>
      <w:bookmarkStart w:id="44" w:name="_heading=h.czaow6oe7l2x" w:colFirst="0" w:colLast="0"/>
      <w:bookmarkEnd w:id="44"/>
      <w:r>
        <w:rPr>
          <w:b/>
          <w:i/>
          <w:highlight w:val="white"/>
        </w:rPr>
        <w:t>Artículo 126.-</w:t>
      </w:r>
      <w:r>
        <w:rPr>
          <w:i/>
          <w:highlight w:val="white"/>
        </w:rPr>
        <w:t xml:space="preserve"> La prestación de los servicios públicos deberá realizarse por los ayuntamientos, sus unidades administrativas y organismos auxiliares, quienes podrán coordinarse con el Estado o con otros municipios para la eficacia en su prestación. </w:t>
      </w:r>
    </w:p>
    <w:p w14:paraId="2C302F54" w14:textId="77777777" w:rsidR="00BA602E" w:rsidRDefault="00BA602E">
      <w:pPr>
        <w:spacing w:line="240" w:lineRule="auto"/>
        <w:ind w:left="567" w:right="824"/>
        <w:rPr>
          <w:i/>
          <w:highlight w:val="white"/>
        </w:rPr>
      </w:pPr>
      <w:bookmarkStart w:id="45" w:name="_heading=h.v3hzqlgv1g9h" w:colFirst="0" w:colLast="0"/>
      <w:bookmarkEnd w:id="45"/>
    </w:p>
    <w:p w14:paraId="4F9462FC" w14:textId="77777777" w:rsidR="00BA602E" w:rsidRDefault="00FB427C">
      <w:pPr>
        <w:spacing w:line="240" w:lineRule="auto"/>
        <w:ind w:left="567" w:right="824"/>
        <w:rPr>
          <w:i/>
          <w:highlight w:val="white"/>
        </w:rPr>
      </w:pPr>
      <w:r>
        <w:rPr>
          <w:i/>
          <w:highlight w:val="white"/>
        </w:rPr>
        <w:t>Podrá concesionarse a terceros la prestación de servicios públicos municipales, a excepción de los de Seguridad Pública y Tránsito, prefiriéndose en igualdad de circunstancias a vecinos del municipio</w:t>
      </w:r>
    </w:p>
    <w:p w14:paraId="0AA6439A" w14:textId="77777777" w:rsidR="00BA602E" w:rsidRDefault="00BA602E">
      <w:pPr>
        <w:spacing w:line="240" w:lineRule="auto"/>
        <w:ind w:left="567" w:right="567" w:firstLine="567"/>
        <w:rPr>
          <w:i/>
          <w:highlight w:val="white"/>
        </w:rPr>
      </w:pPr>
    </w:p>
    <w:p w14:paraId="277C2D8F" w14:textId="77777777" w:rsidR="00BA602E" w:rsidRDefault="00BA602E">
      <w:pPr>
        <w:tabs>
          <w:tab w:val="left" w:pos="851"/>
        </w:tabs>
        <w:ind w:right="49"/>
      </w:pPr>
    </w:p>
    <w:p w14:paraId="61EC8CC8" w14:textId="77777777" w:rsidR="00BA602E" w:rsidRDefault="00FB427C">
      <w:pPr>
        <w:tabs>
          <w:tab w:val="left" w:pos="851"/>
        </w:tabs>
        <w:ind w:right="49"/>
      </w:pPr>
      <w:r>
        <w:t xml:space="preserve">Por su parte, el Bando Municipal en su artículo 45 refiere que, dentro de su estructura orgánica, el ayuntamiento contará con la Dirección de Agua Potable, Alcantarillado y Saneamiento, como se advierte de la fracción VII que se transcribe a continuación: </w:t>
      </w:r>
    </w:p>
    <w:p w14:paraId="4AE1B996" w14:textId="77777777" w:rsidR="00BA602E" w:rsidRDefault="00BA602E">
      <w:pPr>
        <w:tabs>
          <w:tab w:val="left" w:pos="851"/>
        </w:tabs>
        <w:ind w:left="850" w:right="824"/>
        <w:rPr>
          <w:b/>
          <w:i/>
        </w:rPr>
      </w:pPr>
    </w:p>
    <w:p w14:paraId="50997CAB" w14:textId="77777777" w:rsidR="00BA602E" w:rsidRDefault="00FB427C">
      <w:pPr>
        <w:tabs>
          <w:tab w:val="left" w:pos="851"/>
        </w:tabs>
        <w:spacing w:line="240" w:lineRule="auto"/>
        <w:ind w:left="850" w:right="824"/>
        <w:rPr>
          <w:i/>
        </w:rPr>
      </w:pPr>
      <w:r>
        <w:rPr>
          <w:b/>
          <w:i/>
        </w:rPr>
        <w:t>Artículo 45.</w:t>
      </w:r>
      <w:r>
        <w:rPr>
          <w:i/>
        </w:rPr>
        <w:t xml:space="preserve"> La administración pública municipal centralizada estará integrada por las siguientes dependencias: </w:t>
      </w:r>
    </w:p>
    <w:p w14:paraId="2B508969" w14:textId="77777777" w:rsidR="00BA602E" w:rsidRDefault="00FB427C">
      <w:pPr>
        <w:tabs>
          <w:tab w:val="left" w:pos="851"/>
        </w:tabs>
        <w:spacing w:line="240" w:lineRule="auto"/>
        <w:ind w:left="850" w:right="824"/>
        <w:rPr>
          <w:i/>
        </w:rPr>
      </w:pPr>
      <w:r>
        <w:rPr>
          <w:i/>
        </w:rPr>
        <w:t xml:space="preserve">I. Secretaría del Ayuntamiento; </w:t>
      </w:r>
    </w:p>
    <w:p w14:paraId="4BB43A17" w14:textId="77777777" w:rsidR="00BA602E" w:rsidRDefault="00FB427C">
      <w:pPr>
        <w:tabs>
          <w:tab w:val="left" w:pos="851"/>
        </w:tabs>
        <w:spacing w:line="240" w:lineRule="auto"/>
        <w:ind w:left="850" w:right="824"/>
        <w:rPr>
          <w:i/>
        </w:rPr>
      </w:pPr>
      <w:r>
        <w:rPr>
          <w:i/>
        </w:rPr>
        <w:t xml:space="preserve">II. Tesorería Municipal; </w:t>
      </w:r>
    </w:p>
    <w:p w14:paraId="5C255FFE" w14:textId="77777777" w:rsidR="00BA602E" w:rsidRDefault="00FB427C">
      <w:pPr>
        <w:tabs>
          <w:tab w:val="left" w:pos="851"/>
        </w:tabs>
        <w:spacing w:line="240" w:lineRule="auto"/>
        <w:ind w:left="850" w:right="824"/>
        <w:rPr>
          <w:i/>
        </w:rPr>
      </w:pPr>
      <w:r>
        <w:rPr>
          <w:i/>
        </w:rPr>
        <w:t xml:space="preserve">III. Guardia Civil Municipal; </w:t>
      </w:r>
    </w:p>
    <w:p w14:paraId="20E072BC" w14:textId="77777777" w:rsidR="00BA602E" w:rsidRDefault="00FB427C">
      <w:pPr>
        <w:tabs>
          <w:tab w:val="left" w:pos="851"/>
        </w:tabs>
        <w:spacing w:line="240" w:lineRule="auto"/>
        <w:ind w:left="850" w:right="824"/>
        <w:rPr>
          <w:i/>
        </w:rPr>
      </w:pPr>
      <w:r>
        <w:rPr>
          <w:i/>
        </w:rPr>
        <w:t xml:space="preserve">IV. Dirección de Administración; </w:t>
      </w:r>
    </w:p>
    <w:p w14:paraId="5D9E5982" w14:textId="77777777" w:rsidR="00BA602E" w:rsidRDefault="00FB427C">
      <w:pPr>
        <w:tabs>
          <w:tab w:val="left" w:pos="851"/>
        </w:tabs>
        <w:spacing w:line="240" w:lineRule="auto"/>
        <w:ind w:left="850" w:right="824"/>
        <w:rPr>
          <w:i/>
        </w:rPr>
      </w:pPr>
      <w:r>
        <w:rPr>
          <w:i/>
        </w:rPr>
        <w:t xml:space="preserve">V. Dirección de Desarrollo Metropolitano Sostenible; </w:t>
      </w:r>
    </w:p>
    <w:p w14:paraId="1EDCA772" w14:textId="77777777" w:rsidR="00BA602E" w:rsidRDefault="00FB427C">
      <w:pPr>
        <w:tabs>
          <w:tab w:val="left" w:pos="851"/>
        </w:tabs>
        <w:spacing w:line="240" w:lineRule="auto"/>
        <w:ind w:left="850" w:right="824"/>
        <w:rPr>
          <w:i/>
        </w:rPr>
      </w:pPr>
      <w:r>
        <w:rPr>
          <w:i/>
        </w:rPr>
        <w:t xml:space="preserve">VI. Dirección de Obras Públicas; </w:t>
      </w:r>
    </w:p>
    <w:p w14:paraId="12108461" w14:textId="77777777" w:rsidR="00BA602E" w:rsidRDefault="00FB427C">
      <w:pPr>
        <w:tabs>
          <w:tab w:val="left" w:pos="851"/>
        </w:tabs>
        <w:spacing w:line="240" w:lineRule="auto"/>
        <w:ind w:left="850" w:right="824"/>
        <w:rPr>
          <w:b/>
          <w:i/>
        </w:rPr>
      </w:pPr>
      <w:r>
        <w:rPr>
          <w:b/>
          <w:i/>
        </w:rPr>
        <w:t xml:space="preserve">VII. Dirección de Agua Potable, Alcantarillado y Saneamiento; </w:t>
      </w:r>
    </w:p>
    <w:p w14:paraId="1EB3270D" w14:textId="77777777" w:rsidR="00BA602E" w:rsidRDefault="00FB427C">
      <w:pPr>
        <w:tabs>
          <w:tab w:val="left" w:pos="851"/>
        </w:tabs>
        <w:spacing w:line="240" w:lineRule="auto"/>
        <w:ind w:left="850" w:right="824"/>
        <w:rPr>
          <w:i/>
        </w:rPr>
      </w:pPr>
      <w:r>
        <w:rPr>
          <w:i/>
        </w:rPr>
        <w:t xml:space="preserve">VIII. Dirección de Servicios Públicos; </w:t>
      </w:r>
    </w:p>
    <w:p w14:paraId="59EDDED6" w14:textId="77777777" w:rsidR="00BA602E" w:rsidRDefault="00FB427C">
      <w:pPr>
        <w:tabs>
          <w:tab w:val="left" w:pos="851"/>
        </w:tabs>
        <w:spacing w:line="240" w:lineRule="auto"/>
        <w:ind w:left="850" w:right="824"/>
        <w:rPr>
          <w:i/>
        </w:rPr>
      </w:pPr>
      <w:r>
        <w:rPr>
          <w:i/>
        </w:rPr>
        <w:t xml:space="preserve">IX. Dirección de Desarrollo Económico; </w:t>
      </w:r>
    </w:p>
    <w:p w14:paraId="158A8BAA" w14:textId="77777777" w:rsidR="00BA602E" w:rsidRDefault="00FB427C">
      <w:pPr>
        <w:tabs>
          <w:tab w:val="left" w:pos="851"/>
        </w:tabs>
        <w:spacing w:line="240" w:lineRule="auto"/>
        <w:ind w:left="850" w:right="824"/>
        <w:rPr>
          <w:i/>
        </w:rPr>
      </w:pPr>
      <w:r>
        <w:rPr>
          <w:i/>
        </w:rPr>
        <w:t xml:space="preserve">X. Dirección de la Mujer; </w:t>
      </w:r>
    </w:p>
    <w:p w14:paraId="7F1CBD04" w14:textId="77777777" w:rsidR="00BA602E" w:rsidRDefault="00FB427C">
      <w:pPr>
        <w:tabs>
          <w:tab w:val="left" w:pos="851"/>
        </w:tabs>
        <w:spacing w:line="240" w:lineRule="auto"/>
        <w:ind w:left="850" w:right="824"/>
        <w:rPr>
          <w:i/>
        </w:rPr>
      </w:pPr>
      <w:r>
        <w:rPr>
          <w:i/>
        </w:rPr>
        <w:t xml:space="preserve">XI. Dirección de Educación, Turismo, Cultura y Deporte; </w:t>
      </w:r>
    </w:p>
    <w:p w14:paraId="0C8C2E81" w14:textId="77777777" w:rsidR="00BA602E" w:rsidRDefault="00FB427C">
      <w:pPr>
        <w:tabs>
          <w:tab w:val="left" w:pos="851"/>
        </w:tabs>
        <w:spacing w:line="240" w:lineRule="auto"/>
        <w:ind w:left="850" w:right="824"/>
        <w:rPr>
          <w:i/>
        </w:rPr>
      </w:pPr>
      <w:r>
        <w:rPr>
          <w:i/>
        </w:rPr>
        <w:t xml:space="preserve">XII. Dirección de la Juventud; </w:t>
      </w:r>
    </w:p>
    <w:p w14:paraId="78E0BBA3" w14:textId="77777777" w:rsidR="00BA602E" w:rsidRDefault="00FB427C">
      <w:pPr>
        <w:tabs>
          <w:tab w:val="left" w:pos="851"/>
        </w:tabs>
        <w:spacing w:line="240" w:lineRule="auto"/>
        <w:ind w:left="850" w:right="824"/>
        <w:rPr>
          <w:i/>
        </w:rPr>
      </w:pPr>
      <w:r>
        <w:rPr>
          <w:i/>
        </w:rPr>
        <w:t xml:space="preserve">XIII. Órgano Interno de Control; </w:t>
      </w:r>
    </w:p>
    <w:p w14:paraId="608B65EE" w14:textId="77777777" w:rsidR="00BA602E" w:rsidRDefault="00FB427C">
      <w:pPr>
        <w:tabs>
          <w:tab w:val="left" w:pos="851"/>
        </w:tabs>
        <w:spacing w:line="240" w:lineRule="auto"/>
        <w:ind w:left="850" w:right="824"/>
        <w:rPr>
          <w:i/>
        </w:rPr>
      </w:pPr>
      <w:r>
        <w:rPr>
          <w:i/>
        </w:rPr>
        <w:t xml:space="preserve">XIV. Coordinación de Bienestar; y, </w:t>
      </w:r>
    </w:p>
    <w:p w14:paraId="5ED25644" w14:textId="77777777" w:rsidR="00BA602E" w:rsidRDefault="00FB427C">
      <w:pPr>
        <w:tabs>
          <w:tab w:val="left" w:pos="851"/>
        </w:tabs>
        <w:spacing w:line="240" w:lineRule="auto"/>
        <w:ind w:left="850" w:right="824"/>
        <w:rPr>
          <w:i/>
        </w:rPr>
      </w:pPr>
      <w:r>
        <w:rPr>
          <w:i/>
        </w:rPr>
        <w:t xml:space="preserve">XV. Oficina de la Presidencia Municipal. </w:t>
      </w:r>
    </w:p>
    <w:p w14:paraId="464463BE" w14:textId="77777777" w:rsidR="00BA602E" w:rsidRDefault="00FB427C">
      <w:pPr>
        <w:tabs>
          <w:tab w:val="left" w:pos="851"/>
        </w:tabs>
        <w:spacing w:line="240" w:lineRule="auto"/>
        <w:ind w:left="850" w:right="824"/>
        <w:rPr>
          <w:i/>
        </w:rPr>
      </w:pPr>
      <w:r>
        <w:rPr>
          <w:i/>
        </w:rPr>
        <w:t xml:space="preserve">XVI. Dirección de Gobierno </w:t>
      </w:r>
    </w:p>
    <w:p w14:paraId="48B33F39" w14:textId="77777777" w:rsidR="00BA602E" w:rsidRDefault="00FB427C">
      <w:pPr>
        <w:tabs>
          <w:tab w:val="left" w:pos="851"/>
        </w:tabs>
        <w:spacing w:line="240" w:lineRule="auto"/>
        <w:ind w:left="850" w:right="824"/>
        <w:rPr>
          <w:i/>
        </w:rPr>
      </w:pPr>
      <w:r>
        <w:rPr>
          <w:i/>
        </w:rPr>
        <w:t>XVII. Consejería Juridica</w:t>
      </w:r>
    </w:p>
    <w:p w14:paraId="1F8D4753" w14:textId="77777777" w:rsidR="00BA602E" w:rsidRDefault="00BA602E">
      <w:pPr>
        <w:tabs>
          <w:tab w:val="left" w:pos="851"/>
        </w:tabs>
        <w:spacing w:line="240" w:lineRule="auto"/>
        <w:ind w:right="49"/>
      </w:pPr>
    </w:p>
    <w:p w14:paraId="09F5F7EC" w14:textId="77777777" w:rsidR="00BA602E" w:rsidRDefault="00FB427C">
      <w:pPr>
        <w:tabs>
          <w:tab w:val="left" w:pos="851"/>
        </w:tabs>
        <w:ind w:right="49"/>
      </w:pPr>
      <w:r>
        <w:lastRenderedPageBreak/>
        <w:t xml:space="preserve">Dicha Dirección será la encargada de prestar los servicios de agua potable, drenaje y alcantarillado, saneamiento, y tratamiento de aguas residuales, su reúso y la disposición final de sus productos resultantes, como lo establece el artículo 86 que es del tenor siguiente: </w:t>
      </w:r>
    </w:p>
    <w:p w14:paraId="3C34D820" w14:textId="77777777" w:rsidR="00BA602E" w:rsidRDefault="00BA602E">
      <w:pPr>
        <w:tabs>
          <w:tab w:val="left" w:pos="851"/>
        </w:tabs>
        <w:ind w:right="49"/>
      </w:pPr>
    </w:p>
    <w:p w14:paraId="525410BA" w14:textId="77777777" w:rsidR="00BA602E" w:rsidRDefault="00FB427C">
      <w:pPr>
        <w:tabs>
          <w:tab w:val="left" w:pos="851"/>
        </w:tabs>
        <w:spacing w:line="240" w:lineRule="auto"/>
        <w:ind w:left="850" w:right="824"/>
        <w:rPr>
          <w:b/>
          <w:i/>
        </w:rPr>
      </w:pPr>
      <w:r>
        <w:rPr>
          <w:b/>
          <w:i/>
        </w:rPr>
        <w:t xml:space="preserve">Capítulo XI. </w:t>
      </w:r>
    </w:p>
    <w:p w14:paraId="7E1285E2" w14:textId="77777777" w:rsidR="00BA602E" w:rsidRDefault="00FB427C">
      <w:pPr>
        <w:tabs>
          <w:tab w:val="left" w:pos="851"/>
        </w:tabs>
        <w:spacing w:line="240" w:lineRule="auto"/>
        <w:ind w:left="850" w:right="824"/>
        <w:rPr>
          <w:b/>
          <w:i/>
        </w:rPr>
      </w:pPr>
      <w:r>
        <w:rPr>
          <w:b/>
          <w:i/>
        </w:rPr>
        <w:t xml:space="preserve">De la Dirección de Agua Potable, Alcantarillado y Saneamiento </w:t>
      </w:r>
    </w:p>
    <w:p w14:paraId="27A738E6" w14:textId="77777777" w:rsidR="00BA602E" w:rsidRDefault="00FB427C">
      <w:pPr>
        <w:tabs>
          <w:tab w:val="left" w:pos="851"/>
        </w:tabs>
        <w:spacing w:line="240" w:lineRule="auto"/>
        <w:ind w:left="850" w:right="824"/>
        <w:rPr>
          <w:i/>
        </w:rPr>
      </w:pPr>
      <w:r>
        <w:rPr>
          <w:b/>
          <w:i/>
        </w:rPr>
        <w:t>Artículo 86.</w:t>
      </w:r>
      <w:r>
        <w:rPr>
          <w:i/>
        </w:rPr>
        <w:t xml:space="preserve"> La Dirección de Agua, Alcantarillado y Saneamiento prestará los servicios de agua potable, drenaje y alcantarillado, saneamiento, y tratamiento de aguas residuales, su reúso y la disposición final de sus productos resultantes, y deberá promover las acciones necesarias para lograr su autosuficiencia técnica y financiera en esta materia. La Dirección se regirá conforme a lo dispuesto en la Ley Orgánica, así como lo dispuesto en la Ley del Agua para el Estado de México y Municipios y su Reglamento y las demás leyes, reglamentos, decretos, acuerdos y disposiciones jurídicas, que le resulten aplicables. </w:t>
      </w:r>
    </w:p>
    <w:p w14:paraId="553E8487" w14:textId="77777777" w:rsidR="00BA602E" w:rsidRDefault="00BA602E">
      <w:pPr>
        <w:tabs>
          <w:tab w:val="left" w:pos="851"/>
        </w:tabs>
        <w:ind w:right="-25"/>
      </w:pPr>
    </w:p>
    <w:p w14:paraId="5A6F18FE" w14:textId="77777777" w:rsidR="00BA602E" w:rsidRDefault="00FB427C">
      <w:pPr>
        <w:tabs>
          <w:tab w:val="left" w:pos="851"/>
        </w:tabs>
        <w:ind w:right="-25"/>
      </w:pPr>
      <w:r>
        <w:t xml:space="preserve">A mayor precisión, la Dirección de Agua Potable, Alcantarillado y Saneamiento, contará con las atribuciones listadas en las fracciones del artículo 88 del Bando Municipal vigente que, se transcriben a continuación: </w:t>
      </w:r>
    </w:p>
    <w:p w14:paraId="731E9BF7" w14:textId="77777777" w:rsidR="00BA602E" w:rsidRDefault="00BA602E">
      <w:pPr>
        <w:tabs>
          <w:tab w:val="left" w:pos="851"/>
        </w:tabs>
        <w:ind w:right="49"/>
      </w:pPr>
    </w:p>
    <w:p w14:paraId="78524ECF" w14:textId="77777777" w:rsidR="00BA602E" w:rsidRDefault="00FB427C">
      <w:pPr>
        <w:tabs>
          <w:tab w:val="left" w:pos="851"/>
        </w:tabs>
        <w:spacing w:line="240" w:lineRule="auto"/>
        <w:ind w:left="850" w:right="824"/>
        <w:rPr>
          <w:i/>
        </w:rPr>
      </w:pPr>
      <w:r>
        <w:rPr>
          <w:b/>
          <w:i/>
        </w:rPr>
        <w:t>“Artículo 88.</w:t>
      </w:r>
      <w:r>
        <w:rPr>
          <w:i/>
        </w:rPr>
        <w:t xml:space="preserve"> Son atribuciones de la Dirección de Agua Potable, Alcantarillado y Saneamiento las siguientes: </w:t>
      </w:r>
    </w:p>
    <w:p w14:paraId="08A6539D" w14:textId="77777777" w:rsidR="00BA602E" w:rsidRDefault="00FB427C">
      <w:pPr>
        <w:tabs>
          <w:tab w:val="left" w:pos="851"/>
        </w:tabs>
        <w:spacing w:line="240" w:lineRule="auto"/>
        <w:ind w:left="850" w:right="824"/>
        <w:rPr>
          <w:i/>
        </w:rPr>
      </w:pPr>
      <w:r>
        <w:rPr>
          <w:i/>
        </w:rPr>
        <w:t xml:space="preserve">I. Formular y dirigir las estrategias, políticas, normas, lineamientos y procedimientos de carácter técnico para la gestión de la operación y funcionamiento de los servicios que ofrece, enfocando los esfuerzos administrativos para prestar con eficiencia, oportunidad, cantidad, calidad y transparencia los servicios de suministro de agua potable, recolección de aguas residuales, alcantarillado, tratamiento, reúso de aguas tratadas y la disposición final de sus productos resultantes, brindando sistemas simplificados para el pago de servicios y la promoción del uso racional y cuidado del agua; </w:t>
      </w:r>
    </w:p>
    <w:p w14:paraId="6FE25D9D" w14:textId="77777777" w:rsidR="00BA602E" w:rsidRDefault="00FB427C">
      <w:pPr>
        <w:tabs>
          <w:tab w:val="left" w:pos="851"/>
        </w:tabs>
        <w:spacing w:line="240" w:lineRule="auto"/>
        <w:ind w:left="850" w:right="824"/>
        <w:rPr>
          <w:i/>
        </w:rPr>
      </w:pPr>
      <w:r>
        <w:rPr>
          <w:i/>
        </w:rPr>
        <w:t xml:space="preserve">II. Diseñar programas para fomentar el uso racional del agua potable y la cultura del agua y ejecutar las acciones inherentes a su desarrollo; Dirigir, supervisar y evaluar las actividades, así como la integración del trabajo en equipo en el ejercicio de las funciones de las áreas administrativas adscritas a la Dirección, así como verificar la </w:t>
      </w:r>
      <w:r>
        <w:rPr>
          <w:i/>
        </w:rPr>
        <w:lastRenderedPageBreak/>
        <w:t xml:space="preserve">capacitación y el desempeño del personal y establecer una comunicación estrecha con las diferentes áreas para su adecuado funcionamiento; </w:t>
      </w:r>
    </w:p>
    <w:p w14:paraId="5A2E36FC" w14:textId="77777777" w:rsidR="00BA602E" w:rsidRDefault="00FB427C">
      <w:pPr>
        <w:tabs>
          <w:tab w:val="left" w:pos="851"/>
        </w:tabs>
        <w:spacing w:line="240" w:lineRule="auto"/>
        <w:ind w:left="850" w:right="824"/>
        <w:rPr>
          <w:i/>
        </w:rPr>
      </w:pPr>
      <w:r>
        <w:rPr>
          <w:i/>
        </w:rPr>
        <w:t xml:space="preserve">III. Realizar la actualización y depuración del padrón de usuarios; </w:t>
      </w:r>
    </w:p>
    <w:p w14:paraId="3A005191" w14:textId="77777777" w:rsidR="00BA602E" w:rsidRDefault="00FB427C">
      <w:pPr>
        <w:tabs>
          <w:tab w:val="left" w:pos="851"/>
        </w:tabs>
        <w:spacing w:line="240" w:lineRule="auto"/>
        <w:ind w:left="850" w:right="824"/>
        <w:rPr>
          <w:i/>
        </w:rPr>
      </w:pPr>
      <w:r>
        <w:rPr>
          <w:i/>
        </w:rPr>
        <w:t xml:space="preserve">IV. Desarrollar programas de capacitación permanente y especialización del personal a su cargo, que trasciendan en el mejoramiento de los servicios públicos que brinda la Dirección; </w:t>
      </w:r>
    </w:p>
    <w:p w14:paraId="3945F05B" w14:textId="77777777" w:rsidR="00BA602E" w:rsidRDefault="00FB427C">
      <w:pPr>
        <w:tabs>
          <w:tab w:val="left" w:pos="851"/>
        </w:tabs>
        <w:spacing w:line="240" w:lineRule="auto"/>
        <w:ind w:left="850" w:right="824"/>
        <w:rPr>
          <w:i/>
        </w:rPr>
      </w:pPr>
      <w:r>
        <w:rPr>
          <w:i/>
        </w:rPr>
        <w:t xml:space="preserve">V. Participar en la conformación del Comité Municipal de Obras Públicas de la Administración Pública Municipal de Cuautitlán; </w:t>
      </w:r>
    </w:p>
    <w:p w14:paraId="4B22B43D" w14:textId="77777777" w:rsidR="00BA602E" w:rsidRDefault="00FB427C">
      <w:pPr>
        <w:tabs>
          <w:tab w:val="left" w:pos="851"/>
        </w:tabs>
        <w:spacing w:line="240" w:lineRule="auto"/>
        <w:ind w:left="850" w:right="824"/>
        <w:rPr>
          <w:i/>
        </w:rPr>
      </w:pPr>
      <w:r>
        <w:rPr>
          <w:i/>
        </w:rPr>
        <w:t xml:space="preserve">VI. Emitir, por sí misma o a través de terceros, opiniones técnicas desde el ámbito de competencia de la Dirección, que permita de manera coordinada con las demás dependencias legalmente competentes de la Administración Pública Municipal, la elaboración y conformación de estudios de impacto social respecto del área objeto de la ejecución de algún programa, política o proyecto; </w:t>
      </w:r>
    </w:p>
    <w:p w14:paraId="0D69788E" w14:textId="77777777" w:rsidR="00BA602E" w:rsidRDefault="00FB427C">
      <w:pPr>
        <w:tabs>
          <w:tab w:val="left" w:pos="851"/>
        </w:tabs>
        <w:spacing w:line="240" w:lineRule="auto"/>
        <w:ind w:left="850" w:right="824"/>
        <w:rPr>
          <w:i/>
        </w:rPr>
      </w:pPr>
      <w:r>
        <w:rPr>
          <w:i/>
        </w:rPr>
        <w:t xml:space="preserve">VII. Coordinar con las demás dependencias legalmente competentes de la Administración Pública Municipal para que en conjunto lleven a cabo el proceso de consulta que las leyes establezcan, cuando en el ejercicio de las atribuciones de la Dirección, se pretendan implementar políticas y programas, así como la ejecución de proyectos que puedan causar impactos significativos a la vida o entorno de las y los habitantes del Municipio; </w:t>
      </w:r>
    </w:p>
    <w:p w14:paraId="2242A4BF" w14:textId="77777777" w:rsidR="00BA602E" w:rsidRDefault="00FB427C">
      <w:pPr>
        <w:tabs>
          <w:tab w:val="left" w:pos="851"/>
        </w:tabs>
        <w:spacing w:line="240" w:lineRule="auto"/>
        <w:ind w:left="850" w:right="824"/>
        <w:rPr>
          <w:i/>
        </w:rPr>
      </w:pPr>
      <w:r>
        <w:rPr>
          <w:i/>
        </w:rPr>
        <w:t xml:space="preserve">VIII. Coadyuvar con la Consejería Jurídica en la elaboración de los anteproyectos de normas y reglamentos para la adecuación del marco normativo que rige la actividad de la Dirección, así como los acuerdos, órdenes, circulares, resoluciones, actos administrativos o jurídicos dentro del ámbito de su competencia; </w:t>
      </w:r>
    </w:p>
    <w:p w14:paraId="71B6FFF6" w14:textId="77777777" w:rsidR="00BA602E" w:rsidRDefault="00FB427C">
      <w:pPr>
        <w:tabs>
          <w:tab w:val="left" w:pos="851"/>
        </w:tabs>
        <w:spacing w:line="240" w:lineRule="auto"/>
        <w:ind w:left="850" w:right="824"/>
        <w:rPr>
          <w:i/>
        </w:rPr>
      </w:pPr>
      <w:r>
        <w:rPr>
          <w:i/>
        </w:rPr>
        <w:t xml:space="preserve">IX. Representar al Ayuntamiento ante los órganos, dependencias, entidades, comisiones, comités y demás instancias en el ámbito de la competencia de la Dirección, así como por instrucción de la persona titular de la Presidencia Municipal; </w:t>
      </w:r>
    </w:p>
    <w:p w14:paraId="148672A3" w14:textId="77777777" w:rsidR="00BA602E" w:rsidRDefault="00FB427C">
      <w:pPr>
        <w:tabs>
          <w:tab w:val="left" w:pos="851"/>
        </w:tabs>
        <w:spacing w:line="240" w:lineRule="auto"/>
        <w:ind w:left="850" w:right="824"/>
        <w:rPr>
          <w:i/>
        </w:rPr>
      </w:pPr>
      <w:r>
        <w:rPr>
          <w:i/>
        </w:rPr>
        <w:t>X. Autorizar las medidas pertinentes para una eficiente, eficaz y continua prestación de los servicios públicos de agua potable, drenaje, alcantarillado, saneamiento, descarga y reúso, así como determinar los términos y condiciones que deberán cumplir los ́ servicios referidos, considerando también sus modificaciones;</w:t>
      </w:r>
    </w:p>
    <w:p w14:paraId="04E88AD8" w14:textId="77777777" w:rsidR="00BA602E" w:rsidRDefault="00FB427C">
      <w:pPr>
        <w:tabs>
          <w:tab w:val="left" w:pos="851"/>
        </w:tabs>
        <w:spacing w:line="240" w:lineRule="auto"/>
        <w:ind w:left="850" w:right="824"/>
        <w:rPr>
          <w:i/>
        </w:rPr>
      </w:pPr>
      <w:r>
        <w:rPr>
          <w:i/>
        </w:rPr>
        <w:t xml:space="preserve">XI. Proponer al Ayuntamiento la gestión para la obtención de financiamiento para la prestación de los servicios públicos competencia de la Dirección, en los términos de las disposiciones normativas aplicables; </w:t>
      </w:r>
    </w:p>
    <w:p w14:paraId="682339B6" w14:textId="77777777" w:rsidR="00BA602E" w:rsidRDefault="00FB427C">
      <w:pPr>
        <w:tabs>
          <w:tab w:val="left" w:pos="851"/>
        </w:tabs>
        <w:spacing w:line="240" w:lineRule="auto"/>
        <w:ind w:left="850" w:right="824"/>
        <w:rPr>
          <w:i/>
        </w:rPr>
      </w:pPr>
      <w:r>
        <w:rPr>
          <w:i/>
        </w:rPr>
        <w:t xml:space="preserve">XII. Llevar a cabo la potabilización del agua que suministren a las y los usuarios, incluyendo los procesos de desinfección necesarios; así como el establecimiento de sistemas de tratamiento de aguas residuales, de acuerdo con la normatividad aplicable; </w:t>
      </w:r>
    </w:p>
    <w:p w14:paraId="2A69F2A1" w14:textId="77777777" w:rsidR="00BA602E" w:rsidRDefault="00FB427C">
      <w:pPr>
        <w:tabs>
          <w:tab w:val="left" w:pos="851"/>
        </w:tabs>
        <w:spacing w:line="240" w:lineRule="auto"/>
        <w:ind w:left="850" w:right="824"/>
        <w:rPr>
          <w:i/>
        </w:rPr>
      </w:pPr>
      <w:r>
        <w:rPr>
          <w:i/>
        </w:rPr>
        <w:t xml:space="preserve">XIII. Organizar, administrar y operar los servicios a su cargo; </w:t>
      </w:r>
    </w:p>
    <w:p w14:paraId="3D8DD977" w14:textId="77777777" w:rsidR="00BA602E" w:rsidRDefault="00FB427C">
      <w:pPr>
        <w:tabs>
          <w:tab w:val="left" w:pos="851"/>
        </w:tabs>
        <w:spacing w:line="240" w:lineRule="auto"/>
        <w:ind w:left="850" w:right="824"/>
        <w:rPr>
          <w:i/>
        </w:rPr>
      </w:pPr>
      <w:r>
        <w:rPr>
          <w:i/>
        </w:rPr>
        <w:lastRenderedPageBreak/>
        <w:t xml:space="preserve">XIV. Presentar a la Tesorería Municipal, la propuesta de estructura tarifaria por concepto de derechos y factibilidades que éste deberá́ incluir dentro del proyecto de Ley de Ingresos del Municipio de Cuautitlán, en el ejercicio fiscal del año correspondiente; </w:t>
      </w:r>
    </w:p>
    <w:p w14:paraId="05DC6EF2" w14:textId="77777777" w:rsidR="00BA602E" w:rsidRDefault="00FB427C">
      <w:pPr>
        <w:tabs>
          <w:tab w:val="left" w:pos="851"/>
        </w:tabs>
        <w:spacing w:line="240" w:lineRule="auto"/>
        <w:ind w:left="850" w:right="824"/>
        <w:rPr>
          <w:i/>
        </w:rPr>
      </w:pPr>
      <w:r>
        <w:rPr>
          <w:i/>
        </w:rPr>
        <w:t xml:space="preserve">XV. Determinar y requerir los derechos y otras contribuciones generadas por la prestación de los servicios públicos que presta la Dirección; </w:t>
      </w:r>
    </w:p>
    <w:p w14:paraId="7498DCAE" w14:textId="77777777" w:rsidR="00BA602E" w:rsidRDefault="00FB427C">
      <w:pPr>
        <w:tabs>
          <w:tab w:val="left" w:pos="851"/>
        </w:tabs>
        <w:spacing w:line="240" w:lineRule="auto"/>
        <w:ind w:left="850" w:right="824"/>
        <w:rPr>
          <w:i/>
        </w:rPr>
      </w:pPr>
      <w:r>
        <w:rPr>
          <w:i/>
        </w:rPr>
        <w:t xml:space="preserve">XVI. Requerir los derechos correspondientes por los servicios que presten, en su caso, mediante el procedimiento administrativo de ejecución, conforme a las tarifas y cuotas en vigor, así como los accesorios generados por el incumplimiento del pago oportuno; </w:t>
      </w:r>
    </w:p>
    <w:p w14:paraId="2756E3D7" w14:textId="77777777" w:rsidR="00BA602E" w:rsidRDefault="00FB427C">
      <w:pPr>
        <w:tabs>
          <w:tab w:val="left" w:pos="851"/>
        </w:tabs>
        <w:spacing w:line="240" w:lineRule="auto"/>
        <w:ind w:left="850" w:right="824"/>
        <w:rPr>
          <w:i/>
        </w:rPr>
      </w:pPr>
      <w:r>
        <w:rPr>
          <w:i/>
        </w:rPr>
        <w:t xml:space="preserve">XVII. Vigilar la debida aplicación de las sanciones o medidas preventivas, correctivas por infracciones a la normatividad aplicable; </w:t>
      </w:r>
    </w:p>
    <w:p w14:paraId="4B6F86D9" w14:textId="77777777" w:rsidR="00BA602E" w:rsidRDefault="00FB427C">
      <w:pPr>
        <w:tabs>
          <w:tab w:val="left" w:pos="851"/>
        </w:tabs>
        <w:spacing w:line="240" w:lineRule="auto"/>
        <w:ind w:left="850" w:right="824"/>
        <w:rPr>
          <w:i/>
        </w:rPr>
      </w:pPr>
      <w:r>
        <w:rPr>
          <w:i/>
        </w:rPr>
        <w:t xml:space="preserve">XVIII. Supervisar que se instauren los procedimientos administrativos de visita de inspección y/o verificación, clausuras provisionales y definitivas, la expedición de constancias, regularización de obras y retiro de sellos de clausura; </w:t>
      </w:r>
    </w:p>
    <w:p w14:paraId="10950136" w14:textId="77777777" w:rsidR="00BA602E" w:rsidRDefault="00FB427C">
      <w:pPr>
        <w:tabs>
          <w:tab w:val="left" w:pos="851"/>
        </w:tabs>
        <w:spacing w:line="240" w:lineRule="auto"/>
        <w:ind w:left="850" w:right="824"/>
        <w:rPr>
          <w:i/>
        </w:rPr>
      </w:pPr>
      <w:r>
        <w:rPr>
          <w:i/>
        </w:rPr>
        <w:t xml:space="preserve">XIX. Proponer al Ayuntamiento la revisión de los contratos, convenios y demás instrumentos jurídicos que se tengan con terceros, instituciones públicas y privadas en materia de su competencia, que sean previstas en las disposiciones legales aplicables, previa autorización de la persona titular de la Presidencia; así como coordinar y vigilar que se ejecuten los acuerdos y convenios celebrados en el ámbito de competencia de la Dirección; </w:t>
      </w:r>
    </w:p>
    <w:p w14:paraId="3F5C27F2" w14:textId="77777777" w:rsidR="00BA602E" w:rsidRDefault="00FB427C">
      <w:pPr>
        <w:tabs>
          <w:tab w:val="left" w:pos="851"/>
        </w:tabs>
        <w:spacing w:line="240" w:lineRule="auto"/>
        <w:ind w:left="850" w:right="824"/>
        <w:rPr>
          <w:i/>
        </w:rPr>
      </w:pPr>
      <w:r>
        <w:rPr>
          <w:i/>
        </w:rPr>
        <w:t xml:space="preserve">XX. Proponer al Ayuntamiento la celebración de convenios y programas con organismos internacionales y nacionales, con los distintos órdenes de gobierno, así como con los sectores social, académico y privado, relativos a temas de desarrollo urbano, medio ambiente, cambio climático, desarrollo rural, gestión del agua y los necesarios para cumplir con los objetivos de la Dirección; </w:t>
      </w:r>
    </w:p>
    <w:p w14:paraId="4D7532A6" w14:textId="77777777" w:rsidR="00BA602E" w:rsidRDefault="00FB427C">
      <w:pPr>
        <w:tabs>
          <w:tab w:val="left" w:pos="851"/>
        </w:tabs>
        <w:spacing w:line="240" w:lineRule="auto"/>
        <w:ind w:left="850" w:right="824"/>
        <w:rPr>
          <w:b/>
          <w:i/>
        </w:rPr>
      </w:pPr>
      <w:r>
        <w:rPr>
          <w:b/>
          <w:i/>
        </w:rPr>
        <w:t xml:space="preserve">XXI. Participar, en coordinación con los gobiernos y autoridades federales, estatales y municipales en el establecimiento de las políticas, lineamientos y especificaciones técnicas conforme a las cuales deberá efectuarse la construcción, ampliación, rehabilitación, administración, operación, conservación y mantenimiento de los sistemas de suministro de agua potable, drenaje, alcantarillado, tratamiento, reúso de aguas residuales tratadas y la disposición final de sus productos resultantes; </w:t>
      </w:r>
    </w:p>
    <w:p w14:paraId="2424EBF0" w14:textId="77777777" w:rsidR="00BA602E" w:rsidRDefault="00FB427C">
      <w:pPr>
        <w:tabs>
          <w:tab w:val="left" w:pos="851"/>
        </w:tabs>
        <w:spacing w:line="240" w:lineRule="auto"/>
        <w:ind w:left="850" w:right="824"/>
        <w:rPr>
          <w:i/>
        </w:rPr>
      </w:pPr>
      <w:r>
        <w:rPr>
          <w:i/>
        </w:rPr>
        <w:t xml:space="preserve">XXII. Realizar el seguimiento de los trámites efectuados ante la CONAGUA, relativos a la expedición de títulos de asignación de nuevos pozos, permisos en zonas federales, aprovechamiento y uso de zonas federales, así como demás trámites ante la comisión mencionada; </w:t>
      </w:r>
    </w:p>
    <w:p w14:paraId="377C23AA" w14:textId="77777777" w:rsidR="00BA602E" w:rsidRDefault="00FB427C">
      <w:pPr>
        <w:tabs>
          <w:tab w:val="left" w:pos="851"/>
        </w:tabs>
        <w:spacing w:line="240" w:lineRule="auto"/>
        <w:ind w:left="850" w:right="824"/>
        <w:rPr>
          <w:i/>
        </w:rPr>
      </w:pPr>
      <w:r>
        <w:rPr>
          <w:i/>
        </w:rPr>
        <w:lastRenderedPageBreak/>
        <w:t xml:space="preserve">XXIII. Planear y programar la prestación de los servicios de suministro de agua potable, drenaje, alcantarillado, tratamiento, reúso de aguas residuales tratadas y la disposición final de sus productos resultantes; </w:t>
      </w:r>
    </w:p>
    <w:p w14:paraId="3071038E" w14:textId="77777777" w:rsidR="00BA602E" w:rsidRDefault="00FB427C">
      <w:pPr>
        <w:tabs>
          <w:tab w:val="left" w:pos="851"/>
        </w:tabs>
        <w:spacing w:line="240" w:lineRule="auto"/>
        <w:ind w:left="850" w:right="824"/>
        <w:rPr>
          <w:i/>
        </w:rPr>
      </w:pPr>
      <w:r>
        <w:rPr>
          <w:i/>
        </w:rPr>
        <w:t xml:space="preserve">XXIV. Gestionar el diseño e implementación de mecanismos digitales que le permitan a la Dirección modernizar los sistemas de trabajo, agilizar trámites, generar confiabilidad de las respuestas y eliminar la discrecionalidad en las decisiones; </w:t>
      </w:r>
    </w:p>
    <w:p w14:paraId="7AA22D68" w14:textId="77777777" w:rsidR="00BA602E" w:rsidRDefault="00FB427C">
      <w:pPr>
        <w:tabs>
          <w:tab w:val="left" w:pos="851"/>
        </w:tabs>
        <w:spacing w:line="240" w:lineRule="auto"/>
        <w:ind w:left="850" w:right="824"/>
        <w:rPr>
          <w:i/>
        </w:rPr>
      </w:pPr>
      <w:r>
        <w:rPr>
          <w:i/>
        </w:rPr>
        <w:t xml:space="preserve">XXV. Emitir acuerdos que califiquen y determinen el uso de agua específico que les corresponde a las personas usuarias, de conformidad con la normatividad aplicable; </w:t>
      </w:r>
    </w:p>
    <w:p w14:paraId="3AB4F248" w14:textId="77777777" w:rsidR="00BA602E" w:rsidRDefault="00FB427C">
      <w:pPr>
        <w:tabs>
          <w:tab w:val="left" w:pos="851"/>
        </w:tabs>
        <w:spacing w:line="240" w:lineRule="auto"/>
        <w:ind w:left="850" w:right="824"/>
        <w:rPr>
          <w:i/>
        </w:rPr>
      </w:pPr>
      <w:r>
        <w:rPr>
          <w:i/>
        </w:rPr>
        <w:t xml:space="preserve">XXVI. Participar en el control de contingencias ambientales y emergencias ecológicas en el ámbito de competencia de la Dirección, en coordinación con las autoridades municipales, estatales o federales, legalmente competentes; </w:t>
      </w:r>
    </w:p>
    <w:p w14:paraId="4ABF859A" w14:textId="77777777" w:rsidR="00BA602E" w:rsidRDefault="00FB427C">
      <w:pPr>
        <w:tabs>
          <w:tab w:val="left" w:pos="851"/>
        </w:tabs>
        <w:spacing w:line="240" w:lineRule="auto"/>
        <w:ind w:left="850" w:right="824"/>
        <w:rPr>
          <w:i/>
        </w:rPr>
      </w:pPr>
      <w:r>
        <w:rPr>
          <w:i/>
        </w:rPr>
        <w:t xml:space="preserve">XXVII. Atender los asuntos dentro de la competencia de la Dirección que afecten negativamente el equilibrio ecológico dentro del Municipio; </w:t>
      </w:r>
    </w:p>
    <w:p w14:paraId="30754FCB" w14:textId="77777777" w:rsidR="00BA602E" w:rsidRDefault="00FB427C">
      <w:pPr>
        <w:tabs>
          <w:tab w:val="left" w:pos="851"/>
        </w:tabs>
        <w:spacing w:line="240" w:lineRule="auto"/>
        <w:ind w:left="850" w:right="824"/>
        <w:rPr>
          <w:i/>
        </w:rPr>
      </w:pPr>
      <w:r>
        <w:rPr>
          <w:i/>
        </w:rPr>
        <w:t xml:space="preserve">XXVIII. Atender denuncias por daños al medio ambiente, daños en los sistemas de agua potable, alcantarillado, drenaje y en los demás que afecten la prestación del servicio público; </w:t>
      </w:r>
    </w:p>
    <w:p w14:paraId="1F82F956" w14:textId="77777777" w:rsidR="00BA602E" w:rsidRDefault="00FB427C">
      <w:pPr>
        <w:tabs>
          <w:tab w:val="left" w:pos="851"/>
        </w:tabs>
        <w:spacing w:line="240" w:lineRule="auto"/>
        <w:ind w:left="850" w:right="824"/>
        <w:rPr>
          <w:i/>
        </w:rPr>
      </w:pPr>
      <w:r>
        <w:rPr>
          <w:i/>
        </w:rPr>
        <w:t xml:space="preserve">XXIX. Vigilar la emisión de dictámenes de factibilidad de servicios de conformidad a la normatividad aplicable; </w:t>
      </w:r>
    </w:p>
    <w:p w14:paraId="7EA422DE" w14:textId="77777777" w:rsidR="00BA602E" w:rsidRDefault="00FB427C">
      <w:pPr>
        <w:tabs>
          <w:tab w:val="left" w:pos="851"/>
        </w:tabs>
        <w:spacing w:line="240" w:lineRule="auto"/>
        <w:ind w:left="850" w:right="824"/>
        <w:rPr>
          <w:i/>
        </w:rPr>
      </w:pPr>
      <w:r>
        <w:rPr>
          <w:i/>
        </w:rPr>
        <w:t xml:space="preserve">XXX. Dar opiniones técnicas al Ayuntamiento y colaborar con la Dirección de Obras Públicas en relación con las obras de infraestructura hidráulica; </w:t>
      </w:r>
    </w:p>
    <w:p w14:paraId="79DA9B8D" w14:textId="77777777" w:rsidR="00BA602E" w:rsidRDefault="00FB427C">
      <w:pPr>
        <w:tabs>
          <w:tab w:val="left" w:pos="851"/>
        </w:tabs>
        <w:spacing w:line="240" w:lineRule="auto"/>
        <w:ind w:left="850" w:right="824"/>
        <w:rPr>
          <w:i/>
        </w:rPr>
      </w:pPr>
      <w:r>
        <w:rPr>
          <w:i/>
        </w:rPr>
        <w:t xml:space="preserve">XXXI. Promover ante el Ayuntamiento y éste a su vez ante la autoridad competente, por causa de utilidad pública, los decretos de expropiación, de ocupación temporal, total o parcial de bienes, o la limitación de los derechos de dominio a los particulares, atendiendo a lo previsto en las disposiciones legales aplicables; </w:t>
      </w:r>
    </w:p>
    <w:p w14:paraId="528E68A2" w14:textId="77777777" w:rsidR="00BA602E" w:rsidRDefault="00FB427C">
      <w:pPr>
        <w:tabs>
          <w:tab w:val="left" w:pos="851"/>
        </w:tabs>
        <w:spacing w:line="240" w:lineRule="auto"/>
        <w:ind w:left="850" w:right="824"/>
        <w:rPr>
          <w:i/>
        </w:rPr>
      </w:pPr>
      <w:r>
        <w:rPr>
          <w:i/>
        </w:rPr>
        <w:t xml:space="preserve">XXXII. Emitir opiniones técnicas sobre las concesiones de aguas de jurisdicción municipal, cuando así lo solicite el Ayuntamiento; y </w:t>
      </w:r>
    </w:p>
    <w:p w14:paraId="3C50E4CB" w14:textId="77777777" w:rsidR="00BA602E" w:rsidRDefault="00FB427C">
      <w:pPr>
        <w:tabs>
          <w:tab w:val="left" w:pos="851"/>
        </w:tabs>
        <w:spacing w:line="240" w:lineRule="auto"/>
        <w:ind w:left="850" w:right="824"/>
        <w:rPr>
          <w:i/>
        </w:rPr>
      </w:pPr>
      <w:r>
        <w:rPr>
          <w:i/>
        </w:rPr>
        <w:t>XXXIII. Las demás que deriven de otros ordenamientos legales aplicables o le sean encomendados en el área de su competencia por la persona titular de la Presidencia Municipal.</w:t>
      </w:r>
    </w:p>
    <w:p w14:paraId="066626B4" w14:textId="77777777" w:rsidR="00BA602E" w:rsidRDefault="00BA602E">
      <w:pPr>
        <w:tabs>
          <w:tab w:val="left" w:pos="851"/>
        </w:tabs>
        <w:ind w:right="49"/>
      </w:pPr>
    </w:p>
    <w:p w14:paraId="17E76A89" w14:textId="77777777" w:rsidR="00BA602E" w:rsidRDefault="00FB427C">
      <w:pPr>
        <w:tabs>
          <w:tab w:val="left" w:pos="851"/>
        </w:tabs>
        <w:ind w:right="49"/>
      </w:pPr>
      <w:r>
        <w:t xml:space="preserve">De las atribuciones antes listadas, para el caso que nos ocupa, se resalta la prevista en la fracción XXI que contemplan participar, en coordinación con los gobiernos y autoridades federales, estatales y municipales en el establecimiento de las políticas, lineamientos y especificaciones técnicas conforme a las cuales deberá efectuarse la construcción, ampliación, rehabilitación, administración, operación, conservación y mantenimiento de los sistemas de </w:t>
      </w:r>
      <w:r>
        <w:lastRenderedPageBreak/>
        <w:t xml:space="preserve">suministro de agua potable, drenaje, alcantarillado, tratamiento, reúso de aguas residuales tratadas y la disposición final de sus productos resultantes, para lo cual contará con las áreas siguientes: </w:t>
      </w:r>
    </w:p>
    <w:p w14:paraId="23EEC484" w14:textId="77777777" w:rsidR="00BA602E" w:rsidRDefault="00BA602E">
      <w:pPr>
        <w:tabs>
          <w:tab w:val="left" w:pos="851"/>
        </w:tabs>
        <w:ind w:right="49"/>
      </w:pPr>
    </w:p>
    <w:p w14:paraId="19F5BF04" w14:textId="77777777" w:rsidR="00BA602E" w:rsidRDefault="00FB427C">
      <w:pPr>
        <w:tabs>
          <w:tab w:val="left" w:pos="851"/>
        </w:tabs>
        <w:spacing w:line="240" w:lineRule="auto"/>
        <w:ind w:left="850" w:right="824"/>
        <w:rPr>
          <w:i/>
        </w:rPr>
      </w:pPr>
      <w:r>
        <w:rPr>
          <w:b/>
          <w:i/>
        </w:rPr>
        <w:t>Artículo 87</w:t>
      </w:r>
      <w:r>
        <w:rPr>
          <w:i/>
        </w:rPr>
        <w:t xml:space="preserve">. Para el desarrollo de sus objetivos la Dirección de Agua Potable, Alcantarillado y Saneamiento contará con las siguientes Áreas: </w:t>
      </w:r>
    </w:p>
    <w:p w14:paraId="03ADC5BD" w14:textId="77777777" w:rsidR="00BA602E" w:rsidRDefault="00FB427C">
      <w:pPr>
        <w:tabs>
          <w:tab w:val="left" w:pos="851"/>
        </w:tabs>
        <w:spacing w:line="240" w:lineRule="auto"/>
        <w:ind w:left="850" w:right="824"/>
        <w:rPr>
          <w:i/>
        </w:rPr>
      </w:pPr>
      <w:r>
        <w:rPr>
          <w:i/>
        </w:rPr>
        <w:t xml:space="preserve">I. Subdirección Comercial; </w:t>
      </w:r>
    </w:p>
    <w:p w14:paraId="3C878980" w14:textId="77777777" w:rsidR="00BA602E" w:rsidRDefault="00FB427C">
      <w:pPr>
        <w:tabs>
          <w:tab w:val="left" w:pos="851"/>
        </w:tabs>
        <w:spacing w:line="240" w:lineRule="auto"/>
        <w:ind w:left="850" w:right="824"/>
        <w:rPr>
          <w:i/>
        </w:rPr>
      </w:pPr>
      <w:r>
        <w:rPr>
          <w:i/>
        </w:rPr>
        <w:t xml:space="preserve">a) Departamento de Normatividad, Restricciones y Ejecución Fiscal; </w:t>
      </w:r>
    </w:p>
    <w:p w14:paraId="36B2C2ED" w14:textId="77777777" w:rsidR="00BA602E" w:rsidRDefault="00FB427C">
      <w:pPr>
        <w:tabs>
          <w:tab w:val="left" w:pos="851"/>
        </w:tabs>
        <w:spacing w:line="240" w:lineRule="auto"/>
        <w:ind w:left="850" w:right="824"/>
        <w:rPr>
          <w:i/>
        </w:rPr>
      </w:pPr>
      <w:r>
        <w:rPr>
          <w:i/>
        </w:rPr>
        <w:t xml:space="preserve">b) Departamento de Padrón, Censo, Liquidación y Atención a Usuarios; </w:t>
      </w:r>
    </w:p>
    <w:p w14:paraId="02ECC642" w14:textId="77777777" w:rsidR="00BA602E" w:rsidRDefault="00FB427C">
      <w:pPr>
        <w:tabs>
          <w:tab w:val="left" w:pos="851"/>
        </w:tabs>
        <w:spacing w:line="240" w:lineRule="auto"/>
        <w:ind w:left="850" w:right="824"/>
        <w:rPr>
          <w:i/>
        </w:rPr>
      </w:pPr>
      <w:r>
        <w:rPr>
          <w:i/>
        </w:rPr>
        <w:t xml:space="preserve">c) Departamento de Inspección, Verificación y Medidores; </w:t>
      </w:r>
    </w:p>
    <w:p w14:paraId="507E8261" w14:textId="77777777" w:rsidR="00BA602E" w:rsidRDefault="00FB427C">
      <w:pPr>
        <w:tabs>
          <w:tab w:val="left" w:pos="851"/>
        </w:tabs>
        <w:spacing w:line="240" w:lineRule="auto"/>
        <w:ind w:left="850" w:right="824"/>
        <w:rPr>
          <w:i/>
        </w:rPr>
      </w:pPr>
      <w:r>
        <w:rPr>
          <w:i/>
        </w:rPr>
        <w:t xml:space="preserve">d) Departamento de Factibilidades, Descargas y Efluentes; </w:t>
      </w:r>
    </w:p>
    <w:p w14:paraId="205CAA1F" w14:textId="77777777" w:rsidR="00BA602E" w:rsidRDefault="00FB427C">
      <w:pPr>
        <w:tabs>
          <w:tab w:val="left" w:pos="851"/>
        </w:tabs>
        <w:spacing w:line="240" w:lineRule="auto"/>
        <w:ind w:left="850" w:right="824"/>
        <w:rPr>
          <w:i/>
        </w:rPr>
      </w:pPr>
      <w:r>
        <w:rPr>
          <w:i/>
        </w:rPr>
        <w:t xml:space="preserve">II. Subdirección Técnica y Operativa; </w:t>
      </w:r>
    </w:p>
    <w:p w14:paraId="1DF71A71" w14:textId="77777777" w:rsidR="00BA602E" w:rsidRDefault="00FB427C">
      <w:pPr>
        <w:tabs>
          <w:tab w:val="left" w:pos="851"/>
        </w:tabs>
        <w:spacing w:line="240" w:lineRule="auto"/>
        <w:ind w:left="850" w:right="824"/>
        <w:rPr>
          <w:i/>
        </w:rPr>
      </w:pPr>
      <w:r>
        <w:rPr>
          <w:i/>
        </w:rPr>
        <w:t xml:space="preserve">a) Departamento de Agua Potable y Fugas; </w:t>
      </w:r>
    </w:p>
    <w:p w14:paraId="2BBE16DA" w14:textId="77777777" w:rsidR="00BA602E" w:rsidRDefault="00FB427C">
      <w:pPr>
        <w:tabs>
          <w:tab w:val="left" w:pos="851"/>
        </w:tabs>
        <w:spacing w:line="240" w:lineRule="auto"/>
        <w:ind w:left="850" w:right="824"/>
        <w:rPr>
          <w:i/>
        </w:rPr>
      </w:pPr>
      <w:r>
        <w:rPr>
          <w:i/>
        </w:rPr>
        <w:t xml:space="preserve">b) Departamento de Drenaje y Contingencias; </w:t>
      </w:r>
    </w:p>
    <w:p w14:paraId="367F6CB5" w14:textId="77777777" w:rsidR="00BA602E" w:rsidRDefault="00FB427C">
      <w:pPr>
        <w:tabs>
          <w:tab w:val="left" w:pos="851"/>
        </w:tabs>
        <w:spacing w:line="240" w:lineRule="auto"/>
        <w:ind w:left="850" w:right="824"/>
        <w:rPr>
          <w:i/>
        </w:rPr>
      </w:pPr>
      <w:r>
        <w:rPr>
          <w:i/>
        </w:rPr>
        <w:t xml:space="preserve">c) Departamento de Electromecánica; </w:t>
      </w:r>
    </w:p>
    <w:p w14:paraId="517A287B" w14:textId="77777777" w:rsidR="00BA602E" w:rsidRDefault="00FB427C">
      <w:pPr>
        <w:tabs>
          <w:tab w:val="left" w:pos="851"/>
        </w:tabs>
        <w:spacing w:line="240" w:lineRule="auto"/>
        <w:ind w:left="850" w:right="824"/>
        <w:rPr>
          <w:i/>
        </w:rPr>
      </w:pPr>
      <w:r>
        <w:rPr>
          <w:i/>
        </w:rPr>
        <w:t xml:space="preserve">d) Departamento de Cultura del Agua; </w:t>
      </w:r>
    </w:p>
    <w:p w14:paraId="566FD086" w14:textId="77777777" w:rsidR="00BA602E" w:rsidRDefault="00FB427C">
      <w:pPr>
        <w:tabs>
          <w:tab w:val="left" w:pos="851"/>
        </w:tabs>
        <w:spacing w:line="240" w:lineRule="auto"/>
        <w:ind w:left="850" w:right="824"/>
        <w:rPr>
          <w:i/>
        </w:rPr>
      </w:pPr>
      <w:r>
        <w:rPr>
          <w:i/>
        </w:rPr>
        <w:t xml:space="preserve">III. Coordinación Administrativa; </w:t>
      </w:r>
    </w:p>
    <w:p w14:paraId="1A9F765B" w14:textId="77777777" w:rsidR="00BA602E" w:rsidRDefault="00FB427C">
      <w:pPr>
        <w:tabs>
          <w:tab w:val="left" w:pos="851"/>
        </w:tabs>
        <w:spacing w:line="240" w:lineRule="auto"/>
        <w:ind w:left="850" w:right="824"/>
        <w:rPr>
          <w:i/>
        </w:rPr>
      </w:pPr>
      <w:r>
        <w:rPr>
          <w:i/>
        </w:rPr>
        <w:t xml:space="preserve">a) Departamento de Capacitación, Innovación y Tecnologías; y, </w:t>
      </w:r>
    </w:p>
    <w:p w14:paraId="728C3415" w14:textId="77777777" w:rsidR="00BA602E" w:rsidRDefault="00FB427C">
      <w:pPr>
        <w:tabs>
          <w:tab w:val="left" w:pos="851"/>
        </w:tabs>
        <w:spacing w:line="240" w:lineRule="auto"/>
        <w:ind w:left="850" w:right="824"/>
        <w:rPr>
          <w:i/>
        </w:rPr>
      </w:pPr>
      <w:r>
        <w:rPr>
          <w:i/>
        </w:rPr>
        <w:t>b) Departamento de Pipas y Bacheo.</w:t>
      </w:r>
    </w:p>
    <w:p w14:paraId="07B6FE39" w14:textId="77777777" w:rsidR="00BA602E" w:rsidRDefault="00BA602E">
      <w:pPr>
        <w:tabs>
          <w:tab w:val="left" w:pos="851"/>
        </w:tabs>
        <w:ind w:right="824"/>
        <w:rPr>
          <w:i/>
        </w:rPr>
      </w:pPr>
    </w:p>
    <w:p w14:paraId="12437619" w14:textId="77777777" w:rsidR="00BA602E" w:rsidRDefault="00FB427C">
      <w:pPr>
        <w:ind w:right="-28"/>
      </w:pPr>
      <w:r>
        <w:t xml:space="preserve">Una vez acreditada la competencia del sujeto obligado, así como del servidor público habilitado para generar, poseer y administrar la información relacionada con el suministro de agua potable, drenaje y alcantarillado, versa en parte sobre costos de servicios de mantenimiento, los cuales pudieron haber sido realizados por un tercero. Así, cuando se trata de costos y en su caso de erogaciones, siempre se debe registrar dicho gasto en un soporte documental o registro contable como puede ser una factura. </w:t>
      </w:r>
    </w:p>
    <w:p w14:paraId="4116690F" w14:textId="77777777" w:rsidR="00BA602E" w:rsidRDefault="00BA602E">
      <w:pPr>
        <w:ind w:right="-93"/>
      </w:pPr>
    </w:p>
    <w:p w14:paraId="13C94556" w14:textId="77777777" w:rsidR="00BA602E" w:rsidRDefault="00FB427C">
      <w:pPr>
        <w:ind w:right="-93"/>
      </w:pPr>
      <w:r>
        <w:t>Por lo que, cabe señalar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2B75A266" w14:textId="77777777" w:rsidR="00BA602E" w:rsidRDefault="00BA602E">
      <w:pPr>
        <w:spacing w:line="240" w:lineRule="auto"/>
        <w:ind w:left="708"/>
        <w:jc w:val="left"/>
        <w:rPr>
          <w:sz w:val="20"/>
          <w:szCs w:val="20"/>
        </w:rPr>
      </w:pPr>
    </w:p>
    <w:p w14:paraId="5AE3F8B2" w14:textId="77777777" w:rsidR="00BA602E" w:rsidRDefault="00FB427C">
      <w:pPr>
        <w:pStyle w:val="Puesto"/>
        <w:ind w:firstLine="567"/>
      </w:pPr>
      <w:bookmarkStart w:id="46" w:name="_heading=h.ma4zi9jqdzw6" w:colFirst="0" w:colLast="0"/>
      <w:bookmarkEnd w:id="46"/>
      <w:r>
        <w:lastRenderedPageBreak/>
        <w:t>“</w:t>
      </w:r>
      <w:r>
        <w:rPr>
          <w:b/>
        </w:rPr>
        <w:t>Artículo 342.-</w:t>
      </w:r>
      <w: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6C8B61A" w14:textId="77777777" w:rsidR="00BA602E" w:rsidRDefault="00BA602E"/>
    <w:p w14:paraId="0CFF03CD" w14:textId="77777777" w:rsidR="00BA602E" w:rsidRDefault="00FB427C">
      <w:pPr>
        <w:pStyle w:val="Puesto"/>
        <w:ind w:firstLine="567"/>
        <w:rPr>
          <w:b/>
        </w:rPr>
      </w:pPr>
      <w:r>
        <w:rPr>
          <w:b/>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2E4188CB" w14:textId="77777777" w:rsidR="00BA602E" w:rsidRDefault="00BA602E">
      <w:pPr>
        <w:ind w:left="851" w:right="901"/>
        <w:rPr>
          <w:b/>
          <w:i/>
        </w:rPr>
      </w:pPr>
    </w:p>
    <w:p w14:paraId="2329ABDD" w14:textId="77777777" w:rsidR="00BA602E" w:rsidRDefault="00FB427C">
      <w:pPr>
        <w:pStyle w:val="Puesto"/>
        <w:ind w:firstLine="567"/>
      </w:pPr>
      <w:r>
        <w:rPr>
          <w:b/>
        </w:rPr>
        <w:t>Artículo 343.-</w:t>
      </w:r>
      <w: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0B30824" w14:textId="77777777" w:rsidR="00BA602E" w:rsidRDefault="00FB427C">
      <w:pPr>
        <w:pStyle w:val="Puesto"/>
        <w:ind w:firstLine="567"/>
        <w:rPr>
          <w:b/>
        </w:rPr>
      </w:pPr>
      <w:r>
        <w:t>El sistema de contabilidad sobre base acumulativa total, se sustentará en las normas emitidas por el Consejo Nacional de Armonización Contable.</w:t>
      </w:r>
    </w:p>
    <w:p w14:paraId="3F4C122A" w14:textId="77777777" w:rsidR="00BA602E" w:rsidRDefault="00BA602E">
      <w:pPr>
        <w:pStyle w:val="Puesto"/>
        <w:ind w:firstLine="567"/>
        <w:rPr>
          <w:b/>
        </w:rPr>
      </w:pPr>
      <w:bookmarkStart w:id="47" w:name="_heading=h.tzrlstohfs75" w:colFirst="0" w:colLast="0"/>
      <w:bookmarkEnd w:id="47"/>
    </w:p>
    <w:p w14:paraId="64619ADD" w14:textId="77777777" w:rsidR="00BA602E" w:rsidRDefault="00FB427C">
      <w:pPr>
        <w:pStyle w:val="Puesto"/>
        <w:ind w:firstLine="567"/>
      </w:pPr>
      <w:bookmarkStart w:id="48" w:name="_heading=h.885lczn3ndek" w:colFirst="0" w:colLast="0"/>
      <w:bookmarkEnd w:id="48"/>
      <w:r>
        <w:rPr>
          <w:b/>
        </w:rPr>
        <w:t>Artículo 344.-</w:t>
      </w:r>
      <w: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0F7F06AD" w14:textId="77777777" w:rsidR="00BA602E" w:rsidRDefault="00FB427C">
      <w:pPr>
        <w:pStyle w:val="Puesto"/>
        <w:ind w:firstLine="567"/>
      </w:pPr>
      <w:r>
        <w:t xml:space="preserve">En el caso de los Municipios, dicha obligación corresponderá a la Tesorería.Tratándose de documentos de carácter histórico, se estará a lo dispuesto por la legislación de la materia. </w:t>
      </w:r>
    </w:p>
    <w:p w14:paraId="172FCE07" w14:textId="77777777" w:rsidR="00BA602E" w:rsidRDefault="00BA602E">
      <w:pPr>
        <w:ind w:left="851" w:right="901"/>
        <w:rPr>
          <w:b/>
          <w:i/>
        </w:rPr>
      </w:pPr>
    </w:p>
    <w:p w14:paraId="1FFF9858" w14:textId="77777777" w:rsidR="00BA602E" w:rsidRDefault="00FB427C">
      <w:pPr>
        <w:pStyle w:val="Puesto"/>
        <w:ind w:firstLine="567"/>
      </w:pPr>
      <w:r>
        <w:rPr>
          <w:b/>
        </w:rPr>
        <w:lastRenderedPageBreak/>
        <w:t>Artículo 345.-</w:t>
      </w:r>
      <w: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2B842B7B" w14:textId="77777777" w:rsidR="00BA602E" w:rsidRDefault="00FB427C">
      <w:pPr>
        <w:pStyle w:val="Puesto"/>
        <w:ind w:firstLine="567"/>
      </w:pPr>
      <w:bookmarkStart w:id="49" w:name="_heading=h.3sm7mq1kc7na" w:colFirst="0" w:colLast="0"/>
      <w:bookmarkEnd w:id="49"/>
      <w: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 (Énfasis añadido)</w:t>
      </w:r>
    </w:p>
    <w:p w14:paraId="0884DA6A" w14:textId="77777777" w:rsidR="00BA602E" w:rsidRDefault="00BA602E"/>
    <w:p w14:paraId="6BBBC7FB" w14:textId="77777777" w:rsidR="00BA602E" w:rsidRDefault="00FB427C">
      <w: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1DF3E039" w14:textId="77777777" w:rsidR="00BA602E" w:rsidRDefault="00BA602E"/>
    <w:p w14:paraId="2FED9DE2" w14:textId="77777777" w:rsidR="00BA602E" w:rsidRDefault="00FB427C">
      <w:r>
        <w:t>Asimismo, se establece que el sistema de contabilidad sobre base acumulativa total se sustentará en las normas emitidas por el Consejo Nacional de Armonización Contable.</w:t>
      </w:r>
    </w:p>
    <w:p w14:paraId="49CEC343" w14:textId="77777777" w:rsidR="00BA602E" w:rsidRDefault="00BA602E"/>
    <w:p w14:paraId="1C25CB37" w14:textId="77777777" w:rsidR="00BA602E" w:rsidRDefault="00FB427C">
      <w:pPr>
        <w:rPr>
          <w:b/>
        </w:rPr>
      </w:pPr>
      <w:r>
        <w:t xml:space="preserve">Igualmente, los preceptos legales citados señalan que en el caso de los Municipios es la </w:t>
      </w:r>
      <w:r>
        <w:rPr>
          <w:b/>
        </w:rPr>
        <w:t>Tesorería Municipal</w:t>
      </w:r>
      <w:r>
        <w:t xml:space="preserve"> la unidad administrativa que registra contablemente el efecto patrimonial y presupuestal de las operaciones financieras que realizan, en </w:t>
      </w:r>
      <w:r>
        <w:rPr>
          <w:b/>
        </w:rPr>
        <w:t>el momento en que ocurran, con base en el sistema y políticas de registro establecidas</w:t>
      </w:r>
      <w:r>
        <w:t>.</w:t>
      </w:r>
    </w:p>
    <w:p w14:paraId="70F1C9B4" w14:textId="77777777" w:rsidR="00BA602E" w:rsidRDefault="00BA602E"/>
    <w:p w14:paraId="06D3FE99" w14:textId="77777777" w:rsidR="00BA602E" w:rsidRDefault="00FB427C">
      <w:r>
        <w:t xml:space="preserve">Cabe destacar, que el ordenamiento legal en cita establece que todo registro contable y presupuestal deberá estar soportado con los </w:t>
      </w:r>
      <w:r>
        <w:rPr>
          <w:b/>
        </w:rPr>
        <w:t xml:space="preserve">documentos comprobatorios originales, copias certificadas o en medios electrónicos, según corresponda, como lo son las facturas o </w:t>
      </w:r>
      <w:r>
        <w:rPr>
          <w:b/>
        </w:rPr>
        <w:lastRenderedPageBreak/>
        <w:t>comprobantes fiscales digitales por internet, los que deberán permanecer en custodia y conservación de la Tesorería Municipal</w:t>
      </w:r>
      <w:r>
        <w:t xml:space="preserve">, en el caso de los municipios, y a disposición del Órgano Superior de Fiscalización del Estado de México y de los Órganos de Control Interno, por un término de </w:t>
      </w:r>
      <w:r>
        <w:rPr>
          <w:b/>
        </w:rPr>
        <w:t>seis años</w:t>
      </w:r>
      <w:r>
        <w:t xml:space="preserve"> contados a partir del ejercicio presupuestal siguiente al que corresponda.</w:t>
      </w:r>
    </w:p>
    <w:p w14:paraId="0DDADEF8" w14:textId="77777777" w:rsidR="00BA602E" w:rsidRDefault="00BA602E"/>
    <w:p w14:paraId="20A88A17" w14:textId="77777777" w:rsidR="00BA602E" w:rsidRDefault="00FB427C">
      <w:pPr>
        <w:spacing w:after="240"/>
        <w:ind w:right="-25"/>
      </w:pPr>
      <w:r>
        <w:t xml:space="preserve">Siendo importante recordar que en su respuesta el </w:t>
      </w:r>
      <w:r>
        <w:rPr>
          <w:b/>
        </w:rPr>
        <w:t xml:space="preserve">SUJETO OBLIGADO </w:t>
      </w:r>
      <w:r>
        <w:t>señaló la clasificación como reservada de la información solicitada, concibiendo la clasificación como el acto administrativo mediante el cual los sujetos obligados</w:t>
      </w:r>
      <w:r>
        <w:rPr>
          <w:b/>
        </w:rPr>
        <w:t xml:space="preserve"> </w:t>
      </w:r>
      <w:r>
        <w:t xml:space="preserve">determinan que la información requerida actualiza alguno de los supuestos de confidencialidad </w:t>
      </w:r>
      <w:r>
        <w:rPr>
          <w:b/>
        </w:rPr>
        <w:t xml:space="preserve">o </w:t>
      </w:r>
      <w:r>
        <w:rPr>
          <w:b/>
          <w:u w:val="single"/>
        </w:rPr>
        <w:t>reserva,</w:t>
      </w:r>
      <w:r>
        <w:rPr>
          <w:b/>
        </w:rPr>
        <w:t xml:space="preserve"> </w:t>
      </w:r>
      <w:r>
        <w:t xml:space="preserve">de acuerdo con las bases y los principios inmersos en la normatividad aplicable. </w:t>
      </w:r>
    </w:p>
    <w:p w14:paraId="7CC65E75" w14:textId="77777777" w:rsidR="00BA602E" w:rsidRDefault="00BA602E">
      <w:pPr>
        <w:tabs>
          <w:tab w:val="left" w:pos="4962"/>
        </w:tabs>
      </w:pPr>
    </w:p>
    <w:p w14:paraId="6122A0FE" w14:textId="77777777" w:rsidR="00BA602E" w:rsidRDefault="00FB427C">
      <w: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Pr>
          <w:b/>
        </w:rPr>
        <w:t>SUJETO OBLIGADO</w:t>
      </w:r>
      <w:r>
        <w:t xml:space="preserve"> a concluir que el caso particular se ajusta al supuesto previsto por la norma legal invocada como fundamento; siendo que, además, </w:t>
      </w:r>
      <w:r>
        <w:rPr>
          <w:b/>
        </w:rPr>
        <w:t xml:space="preserve">EL SUJETO OBLIGADO </w:t>
      </w:r>
      <w:r>
        <w:t xml:space="preserve">debe, en todo momento, aplicar una prueba de daño; entendida esta como la responsabilidad de los Sujetos Obligados de demostrar de manera fundada y motivada, que la divulgación de la información lesiona el interés debidamente protegido por la Ley, y que el menoscabo o daño que puede producirse </w:t>
      </w:r>
      <w:r>
        <w:lastRenderedPageBreak/>
        <w:t xml:space="preserve">con la publicidad de la información, es mayor que el interés de conocerla, por lo que debe clasificarse como reservada. </w:t>
      </w:r>
    </w:p>
    <w:p w14:paraId="08871F19" w14:textId="77777777" w:rsidR="00BA602E" w:rsidRDefault="00BA602E"/>
    <w:p w14:paraId="42C0A7FF" w14:textId="77777777" w:rsidR="00BA602E" w:rsidRDefault="00FB427C">
      <w:r>
        <w:t xml:space="preserve">De este modo, conforme al artículo 132 en correlación con el numeral 49, fracción II de la Ley de Transparencia y Acceso a la Información Pública del Estado de México y Municipios, estipula que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73F9B807" w14:textId="77777777" w:rsidR="00BA602E" w:rsidRDefault="00BA602E"/>
    <w:p w14:paraId="4E15CEF1" w14:textId="77777777" w:rsidR="00BA602E" w:rsidRDefault="00FB427C">
      <w:pPr>
        <w:numPr>
          <w:ilvl w:val="0"/>
          <w:numId w:val="1"/>
        </w:numPr>
      </w:pPr>
      <w:r>
        <w:t xml:space="preserve">Se reciba una solicitud de acceso a la información. </w:t>
      </w:r>
    </w:p>
    <w:p w14:paraId="35B0CAB1" w14:textId="77777777" w:rsidR="00BA602E" w:rsidRDefault="00FB427C">
      <w:pPr>
        <w:numPr>
          <w:ilvl w:val="0"/>
          <w:numId w:val="1"/>
        </w:numPr>
      </w:pPr>
      <w:r>
        <w:t xml:space="preserve">Se determine mediante resolución de autoridad competente. </w:t>
      </w:r>
    </w:p>
    <w:p w14:paraId="5A5CCBA8" w14:textId="77777777" w:rsidR="00BA602E" w:rsidRDefault="00FB427C">
      <w:pPr>
        <w:numPr>
          <w:ilvl w:val="0"/>
          <w:numId w:val="1"/>
        </w:numPr>
      </w:pPr>
      <w:r>
        <w:t xml:space="preserve">Se generen versiones públicas para dar cumplimiento a las obligaciones de transparencia previstas en la Ley. </w:t>
      </w:r>
    </w:p>
    <w:p w14:paraId="34FDC054" w14:textId="77777777" w:rsidR="00BA602E" w:rsidRDefault="00BA602E"/>
    <w:p w14:paraId="05C81742" w14:textId="77777777" w:rsidR="00BA602E" w:rsidRDefault="00FB427C">
      <w:r>
        <w:t xml:space="preserve">Luego entonces, para realizar la reserva de la información, no basta con invocar alguna de las causales previstas en la Ley de transparencia local. En sentido contrario, dicha valoración debe realizarse a través de lo que se conoce como </w:t>
      </w:r>
      <w:r>
        <w:rPr>
          <w:b/>
          <w:i/>
        </w:rPr>
        <w:t xml:space="preserve">“prueba de daño”, </w:t>
      </w:r>
      <w:r>
        <w:t>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6830F00D" w14:textId="77777777" w:rsidR="00BA602E" w:rsidRDefault="00BA602E"/>
    <w:p w14:paraId="387621F4" w14:textId="77777777" w:rsidR="00BA602E" w:rsidRDefault="00FB427C">
      <w:pPr>
        <w:spacing w:after="160"/>
      </w:pPr>
      <w:r>
        <w:t>Para aplicar la prueba de daño, se deberán de precisar las razones objetivas por las que la apertura genera una afectación, acreditando que:</w:t>
      </w:r>
    </w:p>
    <w:p w14:paraId="27015174" w14:textId="77777777" w:rsidR="00BA602E" w:rsidRDefault="00FB427C">
      <w:pPr>
        <w:widowControl w:val="0"/>
        <w:spacing w:after="240"/>
        <w:ind w:left="851" w:right="333"/>
      </w:pPr>
      <w:r>
        <w:lastRenderedPageBreak/>
        <w:t xml:space="preserve">I. La divulgación de la información representa un riesgo real, demostrable e identificable del perjuicio significativo al interés público o a la seguridad pública; </w:t>
      </w:r>
    </w:p>
    <w:p w14:paraId="789E9160" w14:textId="77777777" w:rsidR="00BA602E" w:rsidRDefault="00FB427C">
      <w:pPr>
        <w:widowControl w:val="0"/>
        <w:spacing w:after="240"/>
        <w:ind w:left="851" w:right="333"/>
      </w:pPr>
      <w:r>
        <w:t xml:space="preserve">II. El riesgo de perjuicio que supondría la divulgación supera el interés público general de que se difunda; y </w:t>
      </w:r>
    </w:p>
    <w:p w14:paraId="763BFF97" w14:textId="77777777" w:rsidR="00BA602E" w:rsidRDefault="00FB427C">
      <w:pPr>
        <w:spacing w:after="240"/>
        <w:ind w:left="850"/>
      </w:pPr>
      <w:r>
        <w:t xml:space="preserve">III. La limitación se adecua al principio de proporcionalidad y representa el medio menos restrictivo disponible para evitar el perjuicio. </w:t>
      </w:r>
    </w:p>
    <w:p w14:paraId="76C93D76" w14:textId="77777777" w:rsidR="00BA602E" w:rsidRDefault="00FB427C">
      <w:r>
        <w:t xml:space="preserve">Es así, que al configurarse tales requisitos, se otorga certidumbre jurídica y se protege la esfera más íntima del derecho humano constitucional y convencionalmente reconocido. </w:t>
      </w:r>
    </w:p>
    <w:p w14:paraId="2147D094" w14:textId="77777777" w:rsidR="00BA602E" w:rsidRDefault="00BA602E"/>
    <w:p w14:paraId="5B198938" w14:textId="77777777" w:rsidR="00BA602E" w:rsidRDefault="00FB427C">
      <w:r>
        <w:t>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w:t>
      </w:r>
    </w:p>
    <w:p w14:paraId="7DB1FFCF" w14:textId="77777777" w:rsidR="00BA602E" w:rsidRDefault="00BA602E"/>
    <w:p w14:paraId="30AF9991" w14:textId="77777777" w:rsidR="00BA602E" w:rsidRDefault="00FB427C">
      <w:pPr>
        <w:ind w:right="-787"/>
      </w:pPr>
      <w:r>
        <w:t>Atendiendo a lo anterior, en su respuesta, el ente recurrido remitió los acuerdos número UT/CUAU/SE009/AR015/2025 y UT/CUAU/SE009/AR016/2025, donde su Comité de Transparencia confirmó la clasificación total de la información como reservada, misma que se analizó como se advierte a continuación:</w:t>
      </w:r>
    </w:p>
    <w:p w14:paraId="5BA322C5" w14:textId="77777777" w:rsidR="00BA602E" w:rsidRDefault="00BA602E"/>
    <w:sdt>
      <w:sdtPr>
        <w:tag w:val="goog_rdk_0"/>
        <w:id w:val="-205140000"/>
        <w:lock w:val="contentLocked"/>
      </w:sdtPr>
      <w:sdtEndPr/>
      <w:sdtContent>
        <w:tbl>
          <w:tblPr>
            <w:tblStyle w:val="affb"/>
            <w:tblpPr w:leftFromText="180" w:rightFromText="180" w:topFromText="180" w:bottomFromText="180" w:vertAnchor="text"/>
            <w:tblW w:w="93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1696"/>
            <w:gridCol w:w="6095"/>
          </w:tblGrid>
          <w:tr w:rsidR="00BA602E" w14:paraId="14319842" w14:textId="77777777">
            <w:tc>
              <w:tcPr>
                <w:tcW w:w="1535" w:type="dxa"/>
                <w:tcBorders>
                  <w:top w:val="nil"/>
                  <w:left w:val="nil"/>
                </w:tcBorders>
              </w:tcPr>
              <w:p w14:paraId="1C79CA44" w14:textId="77777777" w:rsidR="00BA602E" w:rsidRDefault="00BA602E">
                <w:pPr>
                  <w:spacing w:after="120" w:line="259" w:lineRule="auto"/>
                  <w:ind w:left="47"/>
                  <w:rPr>
                    <w:b/>
                    <w:sz w:val="20"/>
                    <w:szCs w:val="20"/>
                  </w:rPr>
                </w:pPr>
              </w:p>
            </w:tc>
            <w:tc>
              <w:tcPr>
                <w:tcW w:w="1696" w:type="dxa"/>
                <w:shd w:val="clear" w:color="auto" w:fill="BFBFBF"/>
                <w:vAlign w:val="bottom"/>
              </w:tcPr>
              <w:p w14:paraId="07515F5C" w14:textId="77777777" w:rsidR="00BA602E" w:rsidRDefault="00FB427C">
                <w:pPr>
                  <w:spacing w:after="120" w:line="259" w:lineRule="auto"/>
                  <w:ind w:left="47"/>
                  <w:jc w:val="center"/>
                  <w:rPr>
                    <w:b/>
                    <w:sz w:val="20"/>
                    <w:szCs w:val="20"/>
                  </w:rPr>
                </w:pPr>
                <w:r>
                  <w:rPr>
                    <w:b/>
                  </w:rPr>
                  <w:t>Cumplió:</w:t>
                </w:r>
              </w:p>
            </w:tc>
            <w:tc>
              <w:tcPr>
                <w:tcW w:w="6095" w:type="dxa"/>
                <w:shd w:val="clear" w:color="auto" w:fill="BFBFBF"/>
                <w:vAlign w:val="bottom"/>
              </w:tcPr>
              <w:p w14:paraId="57C3F8EE" w14:textId="77777777" w:rsidR="00BA602E" w:rsidRDefault="00FB427C">
                <w:pPr>
                  <w:spacing w:after="120" w:line="259" w:lineRule="auto"/>
                  <w:ind w:left="47"/>
                  <w:jc w:val="center"/>
                  <w:rPr>
                    <w:b/>
                  </w:rPr>
                </w:pPr>
                <w:r>
                  <w:rPr>
                    <w:b/>
                  </w:rPr>
                  <w:t>Contenido</w:t>
                </w:r>
              </w:p>
            </w:tc>
          </w:tr>
          <w:tr w:rsidR="00BA602E" w14:paraId="14EA76A3" w14:textId="77777777">
            <w:trPr>
              <w:trHeight w:val="1226"/>
            </w:trPr>
            <w:tc>
              <w:tcPr>
                <w:tcW w:w="1535" w:type="dxa"/>
                <w:vAlign w:val="center"/>
              </w:tcPr>
              <w:p w14:paraId="4DAACEA1" w14:textId="77777777" w:rsidR="00BA602E" w:rsidRDefault="00FB427C">
                <w:pPr>
                  <w:spacing w:after="120" w:line="259" w:lineRule="auto"/>
                  <w:jc w:val="center"/>
                  <w:rPr>
                    <w:b/>
                    <w:sz w:val="16"/>
                    <w:szCs w:val="16"/>
                  </w:rPr>
                </w:pPr>
                <w:r>
                  <w:rPr>
                    <w:b/>
                    <w:sz w:val="16"/>
                    <w:szCs w:val="16"/>
                  </w:rPr>
                  <w:t>Número de folio de la solicitud</w:t>
                </w:r>
              </w:p>
            </w:tc>
            <w:tc>
              <w:tcPr>
                <w:tcW w:w="1696" w:type="dxa"/>
                <w:vAlign w:val="center"/>
              </w:tcPr>
              <w:p w14:paraId="2CC5C83D" w14:textId="77777777" w:rsidR="00BA602E" w:rsidRDefault="00FB427C">
                <w:pPr>
                  <w:spacing w:after="120" w:line="259" w:lineRule="auto"/>
                  <w:ind w:left="47"/>
                  <w:jc w:val="center"/>
                  <w:rPr>
                    <w:sz w:val="20"/>
                    <w:szCs w:val="20"/>
                  </w:rPr>
                </w:pPr>
                <w:r>
                  <w:rPr>
                    <w:sz w:val="20"/>
                    <w:szCs w:val="20"/>
                  </w:rPr>
                  <w:t>Solo se menciona en el encabezado.</w:t>
                </w:r>
              </w:p>
            </w:tc>
            <w:tc>
              <w:tcPr>
                <w:tcW w:w="6095" w:type="dxa"/>
                <w:vAlign w:val="center"/>
              </w:tcPr>
              <w:p w14:paraId="3A9F8628" w14:textId="77777777" w:rsidR="00BA602E" w:rsidRDefault="00FB427C">
                <w:pPr>
                  <w:spacing w:after="120" w:line="259" w:lineRule="auto"/>
                  <w:jc w:val="center"/>
                </w:pPr>
                <w:r>
                  <w:rPr>
                    <w:noProof/>
                  </w:rPr>
                  <w:drawing>
                    <wp:inline distT="114300" distB="114300" distL="114300" distR="114300" wp14:anchorId="50138812" wp14:editId="1857F5CE">
                      <wp:extent cx="3733800" cy="698500"/>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733800" cy="698500"/>
                              </a:xfrm>
                              <a:prstGeom prst="rect">
                                <a:avLst/>
                              </a:prstGeom>
                              <a:ln/>
                            </pic:spPr>
                          </pic:pic>
                        </a:graphicData>
                      </a:graphic>
                    </wp:inline>
                  </w:drawing>
                </w:r>
                <w:r>
                  <w:rPr>
                    <w:noProof/>
                  </w:rPr>
                  <w:drawing>
                    <wp:inline distT="114300" distB="114300" distL="114300" distR="114300" wp14:anchorId="017D9C75" wp14:editId="4AE7E5F5">
                      <wp:extent cx="3733800" cy="68580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733800" cy="685800"/>
                              </a:xfrm>
                              <a:prstGeom prst="rect">
                                <a:avLst/>
                              </a:prstGeom>
                              <a:ln/>
                            </pic:spPr>
                          </pic:pic>
                        </a:graphicData>
                      </a:graphic>
                    </wp:inline>
                  </w:drawing>
                </w:r>
              </w:p>
            </w:tc>
          </w:tr>
          <w:tr w:rsidR="00BA602E" w14:paraId="034BA6C4" w14:textId="77777777">
            <w:trPr>
              <w:trHeight w:val="1320"/>
            </w:trPr>
            <w:tc>
              <w:tcPr>
                <w:tcW w:w="1535" w:type="dxa"/>
                <w:vAlign w:val="center"/>
              </w:tcPr>
              <w:p w14:paraId="01D61759" w14:textId="77777777" w:rsidR="00BA602E" w:rsidRDefault="00FB427C">
                <w:pPr>
                  <w:spacing w:after="120" w:line="259" w:lineRule="auto"/>
                  <w:jc w:val="center"/>
                  <w:rPr>
                    <w:b/>
                    <w:sz w:val="16"/>
                    <w:szCs w:val="16"/>
                  </w:rPr>
                </w:pPr>
                <w:r>
                  <w:rPr>
                    <w:b/>
                    <w:sz w:val="16"/>
                    <w:szCs w:val="16"/>
                  </w:rPr>
                  <w:t>Referencia de la información solicitada</w:t>
                </w:r>
              </w:p>
            </w:tc>
            <w:tc>
              <w:tcPr>
                <w:tcW w:w="1696" w:type="dxa"/>
                <w:vAlign w:val="center"/>
              </w:tcPr>
              <w:p w14:paraId="0D4A536E" w14:textId="77777777" w:rsidR="00BA602E" w:rsidRDefault="00FB427C">
                <w:pPr>
                  <w:spacing w:after="120" w:line="259" w:lineRule="auto"/>
                  <w:ind w:left="47"/>
                  <w:jc w:val="center"/>
                  <w:rPr>
                    <w:b/>
                    <w:sz w:val="18"/>
                    <w:szCs w:val="18"/>
                  </w:rPr>
                </w:pPr>
                <w:r>
                  <w:rPr>
                    <w:b/>
                    <w:sz w:val="18"/>
                    <w:szCs w:val="18"/>
                  </w:rPr>
                  <w:t xml:space="preserve">Sí, aunque el sujeto obligado indicó la clasificación de los expedientes completos. </w:t>
                </w:r>
              </w:p>
            </w:tc>
            <w:tc>
              <w:tcPr>
                <w:tcW w:w="6095" w:type="dxa"/>
                <w:vAlign w:val="center"/>
              </w:tcPr>
              <w:p w14:paraId="776F48E0" w14:textId="77777777" w:rsidR="00BA602E" w:rsidRDefault="00FB427C">
                <w:pPr>
                  <w:spacing w:after="120" w:line="259" w:lineRule="auto"/>
                  <w:jc w:val="center"/>
                  <w:rPr>
                    <w:b/>
                  </w:rPr>
                </w:pPr>
                <w:r>
                  <w:rPr>
                    <w:b/>
                    <w:noProof/>
                  </w:rPr>
                  <w:drawing>
                    <wp:inline distT="114300" distB="114300" distL="114300" distR="114300" wp14:anchorId="3D6DBD59" wp14:editId="3605E05D">
                      <wp:extent cx="3733800" cy="64770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733800" cy="647700"/>
                              </a:xfrm>
                              <a:prstGeom prst="rect">
                                <a:avLst/>
                              </a:prstGeom>
                              <a:ln/>
                            </pic:spPr>
                          </pic:pic>
                        </a:graphicData>
                      </a:graphic>
                    </wp:inline>
                  </w:drawing>
                </w:r>
              </w:p>
            </w:tc>
          </w:tr>
          <w:tr w:rsidR="00BA602E" w14:paraId="30BD303C" w14:textId="77777777">
            <w:trPr>
              <w:trHeight w:val="3780"/>
            </w:trPr>
            <w:tc>
              <w:tcPr>
                <w:tcW w:w="1535" w:type="dxa"/>
                <w:vAlign w:val="center"/>
              </w:tcPr>
              <w:p w14:paraId="0849590A" w14:textId="77777777" w:rsidR="00BA602E" w:rsidRDefault="00FB427C">
                <w:pPr>
                  <w:spacing w:after="120" w:line="259" w:lineRule="auto"/>
                  <w:rPr>
                    <w:b/>
                    <w:sz w:val="16"/>
                    <w:szCs w:val="16"/>
                  </w:rPr>
                </w:pPr>
                <w:r>
                  <w:rPr>
                    <w:b/>
                    <w:sz w:val="16"/>
                    <w:szCs w:val="16"/>
                  </w:rPr>
                  <w:t>Causal aplicable del artículo 112 de la Ley General, vinculándola con el Lineamiento específico del presente ordenamiento y, cuando corresponda, el supuesto normativo que expresamente le otorga el carácter de información reservada</w:t>
                </w:r>
              </w:p>
            </w:tc>
            <w:tc>
              <w:tcPr>
                <w:tcW w:w="1696" w:type="dxa"/>
                <w:vAlign w:val="center"/>
              </w:tcPr>
              <w:p w14:paraId="00E99215" w14:textId="77777777" w:rsidR="00BA602E" w:rsidRDefault="00FB427C">
                <w:pPr>
                  <w:spacing w:after="120" w:line="259" w:lineRule="auto"/>
                  <w:ind w:left="47"/>
                  <w:rPr>
                    <w:b/>
                    <w:sz w:val="18"/>
                    <w:szCs w:val="18"/>
                  </w:rPr>
                </w:pPr>
                <w:r>
                  <w:rPr>
                    <w:b/>
                    <w:sz w:val="18"/>
                    <w:szCs w:val="18"/>
                  </w:rPr>
                  <w:t>No la refirió.</w:t>
                </w:r>
              </w:p>
              <w:p w14:paraId="1B95D1A4" w14:textId="77777777" w:rsidR="00BA602E" w:rsidRDefault="00BA602E">
                <w:pPr>
                  <w:spacing w:after="120" w:line="259" w:lineRule="auto"/>
                  <w:ind w:left="47"/>
                  <w:jc w:val="center"/>
                  <w:rPr>
                    <w:b/>
                    <w:sz w:val="18"/>
                    <w:szCs w:val="18"/>
                  </w:rPr>
                </w:pPr>
              </w:p>
              <w:p w14:paraId="5D9836A1" w14:textId="77777777" w:rsidR="00BA602E" w:rsidRDefault="00BA602E">
                <w:pPr>
                  <w:spacing w:after="120" w:line="259" w:lineRule="auto"/>
                  <w:ind w:left="47"/>
                  <w:rPr>
                    <w:b/>
                  </w:rPr>
                </w:pPr>
              </w:p>
              <w:p w14:paraId="3374A9D3" w14:textId="77777777" w:rsidR="00BA602E" w:rsidRDefault="00BA602E">
                <w:pPr>
                  <w:spacing w:after="120" w:line="259" w:lineRule="auto"/>
                  <w:ind w:left="47"/>
                  <w:rPr>
                    <w:sz w:val="18"/>
                    <w:szCs w:val="18"/>
                  </w:rPr>
                </w:pPr>
              </w:p>
            </w:tc>
            <w:tc>
              <w:tcPr>
                <w:tcW w:w="6095" w:type="dxa"/>
                <w:vAlign w:val="center"/>
              </w:tcPr>
              <w:p w14:paraId="1DA3D208" w14:textId="77777777" w:rsidR="00BA602E" w:rsidRDefault="00FB427C">
                <w:pPr>
                  <w:spacing w:after="120" w:line="259" w:lineRule="auto"/>
                  <w:jc w:val="center"/>
                  <w:rPr>
                    <w:b/>
                  </w:rPr>
                </w:pPr>
                <w:r>
                  <w:rPr>
                    <w:b/>
                    <w:noProof/>
                  </w:rPr>
                  <w:drawing>
                    <wp:inline distT="114300" distB="114300" distL="114300" distR="114300" wp14:anchorId="1A7D323E" wp14:editId="4FFD41EC">
                      <wp:extent cx="3733800" cy="15113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733800" cy="1511300"/>
                              </a:xfrm>
                              <a:prstGeom prst="rect">
                                <a:avLst/>
                              </a:prstGeom>
                              <a:ln/>
                            </pic:spPr>
                          </pic:pic>
                        </a:graphicData>
                      </a:graphic>
                    </wp:inline>
                  </w:drawing>
                </w:r>
              </w:p>
            </w:tc>
          </w:tr>
          <w:tr w:rsidR="00BA602E" w14:paraId="48041164" w14:textId="77777777">
            <w:trPr>
              <w:trHeight w:val="4380"/>
            </w:trPr>
            <w:tc>
              <w:tcPr>
                <w:tcW w:w="1535" w:type="dxa"/>
                <w:vAlign w:val="center"/>
              </w:tcPr>
              <w:p w14:paraId="64F03188" w14:textId="77777777" w:rsidR="00BA602E" w:rsidRDefault="00FB427C">
                <w:pPr>
                  <w:tabs>
                    <w:tab w:val="left" w:pos="317"/>
                  </w:tabs>
                  <w:spacing w:after="120" w:line="259" w:lineRule="auto"/>
                  <w:jc w:val="center"/>
                  <w:rPr>
                    <w:b/>
                    <w:sz w:val="16"/>
                    <w:szCs w:val="16"/>
                  </w:rPr>
                </w:pPr>
                <w:r>
                  <w:rPr>
                    <w:b/>
                    <w:sz w:val="16"/>
                    <w:szCs w:val="16"/>
                  </w:rPr>
                  <w:lastRenderedPageBreak/>
                  <w:t>Fundamento y Motivación Legal</w:t>
                </w:r>
              </w:p>
            </w:tc>
            <w:tc>
              <w:tcPr>
                <w:tcW w:w="1696" w:type="dxa"/>
                <w:vAlign w:val="center"/>
              </w:tcPr>
              <w:p w14:paraId="6DA91009" w14:textId="77777777" w:rsidR="00BA602E" w:rsidRDefault="00BA602E">
                <w:pPr>
                  <w:spacing w:after="120" w:line="259" w:lineRule="auto"/>
                  <w:ind w:left="47"/>
                  <w:jc w:val="center"/>
                  <w:rPr>
                    <w:b/>
                  </w:rPr>
                </w:pPr>
              </w:p>
              <w:p w14:paraId="09D91D1D" w14:textId="77777777" w:rsidR="00BA602E" w:rsidRDefault="00BA602E">
                <w:pPr>
                  <w:spacing w:after="120" w:line="259" w:lineRule="auto"/>
                  <w:ind w:left="47"/>
                  <w:jc w:val="center"/>
                  <w:rPr>
                    <w:b/>
                  </w:rPr>
                </w:pPr>
              </w:p>
              <w:p w14:paraId="693E8E1E" w14:textId="77777777" w:rsidR="00BA602E" w:rsidRDefault="00FB427C">
                <w:pPr>
                  <w:spacing w:after="120" w:line="259" w:lineRule="auto"/>
                  <w:ind w:left="47"/>
                  <w:rPr>
                    <w:b/>
                    <w:sz w:val="18"/>
                    <w:szCs w:val="18"/>
                  </w:rPr>
                </w:pPr>
                <w:r>
                  <w:rPr>
                    <w:b/>
                    <w:sz w:val="18"/>
                    <w:szCs w:val="18"/>
                  </w:rPr>
                  <w:t>No se realizó una correcta fundamentación y motivación, además de que no se advierte que lo referido sea aplicable.</w:t>
                </w:r>
              </w:p>
              <w:p w14:paraId="1FDEF1A9" w14:textId="77777777" w:rsidR="00BA602E" w:rsidRDefault="00BA602E">
                <w:pPr>
                  <w:spacing w:after="120" w:line="259" w:lineRule="auto"/>
                  <w:ind w:left="47"/>
                  <w:jc w:val="center"/>
                  <w:rPr>
                    <w:b/>
                  </w:rPr>
                </w:pPr>
              </w:p>
              <w:p w14:paraId="46E9B54A" w14:textId="77777777" w:rsidR="00BA602E" w:rsidRDefault="00BA602E">
                <w:pPr>
                  <w:spacing w:after="120" w:line="259" w:lineRule="auto"/>
                  <w:ind w:left="47"/>
                  <w:jc w:val="center"/>
                  <w:rPr>
                    <w:b/>
                  </w:rPr>
                </w:pPr>
              </w:p>
              <w:p w14:paraId="0EDCAA02" w14:textId="77777777" w:rsidR="00BA602E" w:rsidRDefault="00BA602E">
                <w:pPr>
                  <w:spacing w:after="120" w:line="259" w:lineRule="auto"/>
                  <w:ind w:left="47"/>
                  <w:jc w:val="center"/>
                  <w:rPr>
                    <w:b/>
                  </w:rPr>
                </w:pPr>
              </w:p>
            </w:tc>
            <w:tc>
              <w:tcPr>
                <w:tcW w:w="6095" w:type="dxa"/>
                <w:vAlign w:val="center"/>
              </w:tcPr>
              <w:p w14:paraId="4272C533" w14:textId="77777777" w:rsidR="00BA602E" w:rsidRDefault="00FB427C">
                <w:pPr>
                  <w:spacing w:after="120" w:line="259" w:lineRule="auto"/>
                  <w:jc w:val="center"/>
                  <w:rPr>
                    <w:b/>
                  </w:rPr>
                </w:pPr>
                <w:r>
                  <w:rPr>
                    <w:b/>
                    <w:noProof/>
                  </w:rPr>
                  <w:drawing>
                    <wp:inline distT="114300" distB="114300" distL="114300" distR="114300" wp14:anchorId="41D6ECED" wp14:editId="6D4C130A">
                      <wp:extent cx="3733800" cy="2832100"/>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3733800" cy="2832100"/>
                              </a:xfrm>
                              <a:prstGeom prst="rect">
                                <a:avLst/>
                              </a:prstGeom>
                              <a:ln/>
                            </pic:spPr>
                          </pic:pic>
                        </a:graphicData>
                      </a:graphic>
                    </wp:inline>
                  </w:drawing>
                </w:r>
              </w:p>
            </w:tc>
          </w:tr>
          <w:tr w:rsidR="00BA602E" w14:paraId="5FBB2C98" w14:textId="77777777">
            <w:tc>
              <w:tcPr>
                <w:tcW w:w="1535" w:type="dxa"/>
                <w:vAlign w:val="bottom"/>
              </w:tcPr>
              <w:p w14:paraId="5F1BF754" w14:textId="77777777" w:rsidR="00BA602E" w:rsidRDefault="00BA602E">
                <w:pPr>
                  <w:spacing w:after="120" w:line="259" w:lineRule="auto"/>
                  <w:jc w:val="center"/>
                  <w:rPr>
                    <w:b/>
                    <w:sz w:val="16"/>
                    <w:szCs w:val="16"/>
                  </w:rPr>
                </w:pPr>
              </w:p>
              <w:p w14:paraId="4EEC2EBA" w14:textId="77777777" w:rsidR="00BA602E" w:rsidRDefault="00FB427C">
                <w:pPr>
                  <w:spacing w:after="120" w:line="259" w:lineRule="auto"/>
                  <w:jc w:val="center"/>
                  <w:rPr>
                    <w:b/>
                    <w:sz w:val="16"/>
                    <w:szCs w:val="16"/>
                  </w:rPr>
                </w:pPr>
                <w:r>
                  <w:rPr>
                    <w:b/>
                    <w:sz w:val="16"/>
                    <w:szCs w:val="16"/>
                  </w:rPr>
                  <w:t>Conexión entre los fundamentos y motivos que dieron origen a la Reserva de la información</w:t>
                </w:r>
              </w:p>
              <w:p w14:paraId="55C96DE9" w14:textId="77777777" w:rsidR="00BA602E" w:rsidRDefault="00BA602E">
                <w:pPr>
                  <w:spacing w:after="120" w:line="259" w:lineRule="auto"/>
                  <w:jc w:val="center"/>
                  <w:rPr>
                    <w:b/>
                    <w:sz w:val="16"/>
                    <w:szCs w:val="16"/>
                  </w:rPr>
                </w:pPr>
              </w:p>
            </w:tc>
            <w:tc>
              <w:tcPr>
                <w:tcW w:w="1696" w:type="dxa"/>
                <w:vAlign w:val="center"/>
              </w:tcPr>
              <w:p w14:paraId="2B8A6368" w14:textId="77777777" w:rsidR="00BA602E" w:rsidRDefault="00FB427C">
                <w:pPr>
                  <w:spacing w:after="120" w:line="259" w:lineRule="auto"/>
                  <w:ind w:left="47"/>
                  <w:jc w:val="center"/>
                  <w:rPr>
                    <w:b/>
                    <w:sz w:val="18"/>
                    <w:szCs w:val="18"/>
                  </w:rPr>
                </w:pPr>
                <w:r>
                  <w:rPr>
                    <w:b/>
                    <w:sz w:val="18"/>
                    <w:szCs w:val="18"/>
                  </w:rPr>
                  <w:t xml:space="preserve">No, no hay una conexión entre el precepto normativo y la aplicación al caso en concreto </w:t>
                </w:r>
              </w:p>
            </w:tc>
            <w:tc>
              <w:tcPr>
                <w:tcW w:w="6095" w:type="dxa"/>
                <w:vAlign w:val="center"/>
              </w:tcPr>
              <w:p w14:paraId="77144580" w14:textId="77777777" w:rsidR="00BA602E" w:rsidRDefault="00FB427C">
                <w:pPr>
                  <w:spacing w:after="120" w:line="259" w:lineRule="auto"/>
                  <w:jc w:val="center"/>
                </w:pPr>
                <w:r>
                  <w:rPr>
                    <w:b/>
                    <w:noProof/>
                  </w:rPr>
                  <w:drawing>
                    <wp:inline distT="114300" distB="114300" distL="114300" distR="114300" wp14:anchorId="1A8369C3" wp14:editId="3E7D0C85">
                      <wp:extent cx="3733800" cy="2832100"/>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3733800" cy="2832100"/>
                              </a:xfrm>
                              <a:prstGeom prst="rect">
                                <a:avLst/>
                              </a:prstGeom>
                              <a:ln/>
                            </pic:spPr>
                          </pic:pic>
                        </a:graphicData>
                      </a:graphic>
                    </wp:inline>
                  </w:drawing>
                </w:r>
              </w:p>
            </w:tc>
          </w:tr>
          <w:tr w:rsidR="00BA602E" w14:paraId="7109FB15" w14:textId="77777777">
            <w:tc>
              <w:tcPr>
                <w:tcW w:w="9326" w:type="dxa"/>
                <w:gridSpan w:val="3"/>
                <w:shd w:val="clear" w:color="auto" w:fill="D9D9D9"/>
                <w:vAlign w:val="center"/>
              </w:tcPr>
              <w:p w14:paraId="2AAAAF0B" w14:textId="77777777" w:rsidR="00BA602E" w:rsidRDefault="00FB427C">
                <w:pPr>
                  <w:spacing w:after="120" w:line="259" w:lineRule="auto"/>
                  <w:ind w:left="29" w:firstLine="18"/>
                  <w:jc w:val="center"/>
                </w:pPr>
                <w:r>
                  <w:rPr>
                    <w:b/>
                  </w:rPr>
                  <w:t>Prueba de Daño</w:t>
                </w:r>
              </w:p>
            </w:tc>
          </w:tr>
          <w:tr w:rsidR="00BA602E" w14:paraId="5439A58D" w14:textId="77777777">
            <w:trPr>
              <w:trHeight w:val="1708"/>
            </w:trPr>
            <w:tc>
              <w:tcPr>
                <w:tcW w:w="1535" w:type="dxa"/>
                <w:vAlign w:val="center"/>
              </w:tcPr>
              <w:p w14:paraId="26F2366A" w14:textId="77777777" w:rsidR="00BA602E" w:rsidRDefault="00FB427C">
                <w:pPr>
                  <w:spacing w:after="120" w:line="259" w:lineRule="auto"/>
                  <w:jc w:val="center"/>
                  <w:rPr>
                    <w:b/>
                    <w:sz w:val="16"/>
                    <w:szCs w:val="16"/>
                  </w:rPr>
                </w:pPr>
                <w:r>
                  <w:rPr>
                    <w:b/>
                    <w:sz w:val="16"/>
                    <w:szCs w:val="16"/>
                  </w:rPr>
                  <w:t>Riesgo Real, Demostrable e Identificable</w:t>
                </w:r>
              </w:p>
              <w:p w14:paraId="351E35A2" w14:textId="77777777" w:rsidR="00BA602E" w:rsidRDefault="00FB427C">
                <w:pPr>
                  <w:spacing w:after="120" w:line="259" w:lineRule="auto"/>
                  <w:jc w:val="center"/>
                  <w:rPr>
                    <w:b/>
                    <w:sz w:val="16"/>
                    <w:szCs w:val="16"/>
                  </w:rPr>
                </w:pPr>
                <w:r>
                  <w:rPr>
                    <w:b/>
                    <w:sz w:val="16"/>
                    <w:szCs w:val="16"/>
                  </w:rPr>
                  <w:t>(Modo, Tiempo y Lugar)</w:t>
                </w:r>
              </w:p>
            </w:tc>
            <w:tc>
              <w:tcPr>
                <w:tcW w:w="1696" w:type="dxa"/>
                <w:vAlign w:val="center"/>
              </w:tcPr>
              <w:p w14:paraId="62FC595F" w14:textId="77777777" w:rsidR="00BA602E" w:rsidRDefault="00FB427C">
                <w:pPr>
                  <w:spacing w:after="120" w:line="259" w:lineRule="auto"/>
                  <w:ind w:left="29" w:firstLine="18"/>
                  <w:jc w:val="center"/>
                  <w:rPr>
                    <w:b/>
                    <w:sz w:val="18"/>
                    <w:szCs w:val="18"/>
                  </w:rPr>
                </w:pPr>
                <w:r>
                  <w:rPr>
                    <w:b/>
                    <w:sz w:val="18"/>
                    <w:szCs w:val="18"/>
                  </w:rPr>
                  <w:t>No, indebida fundamentación y motivación</w:t>
                </w:r>
              </w:p>
            </w:tc>
            <w:tc>
              <w:tcPr>
                <w:tcW w:w="6095" w:type="dxa"/>
                <w:vAlign w:val="center"/>
              </w:tcPr>
              <w:p w14:paraId="05FD8355" w14:textId="77777777" w:rsidR="00BA602E" w:rsidRDefault="00BA602E">
                <w:pPr>
                  <w:spacing w:after="160" w:line="259" w:lineRule="auto"/>
                  <w:jc w:val="left"/>
                </w:pPr>
              </w:p>
              <w:p w14:paraId="69A403FB" w14:textId="77777777" w:rsidR="00BA602E" w:rsidRDefault="00FB427C">
                <w:pPr>
                  <w:spacing w:after="160" w:line="259" w:lineRule="auto"/>
                  <w:jc w:val="left"/>
                </w:pPr>
                <w:r>
                  <w:rPr>
                    <w:noProof/>
                  </w:rPr>
                  <w:lastRenderedPageBreak/>
                  <w:drawing>
                    <wp:inline distT="114300" distB="114300" distL="114300" distR="114300" wp14:anchorId="5E562A5F" wp14:editId="2AA47978">
                      <wp:extent cx="3733800" cy="2489200"/>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3733800" cy="2489200"/>
                              </a:xfrm>
                              <a:prstGeom prst="rect">
                                <a:avLst/>
                              </a:prstGeom>
                              <a:ln/>
                            </pic:spPr>
                          </pic:pic>
                        </a:graphicData>
                      </a:graphic>
                    </wp:inline>
                  </w:drawing>
                </w:r>
              </w:p>
            </w:tc>
          </w:tr>
          <w:tr w:rsidR="00BA602E" w14:paraId="007DD577" w14:textId="77777777">
            <w:trPr>
              <w:trHeight w:val="1935"/>
            </w:trPr>
            <w:tc>
              <w:tcPr>
                <w:tcW w:w="1535" w:type="dxa"/>
                <w:vAlign w:val="center"/>
              </w:tcPr>
              <w:p w14:paraId="4290E53E" w14:textId="77777777" w:rsidR="00BA602E" w:rsidRDefault="00FB427C">
                <w:pPr>
                  <w:spacing w:after="120" w:line="259" w:lineRule="auto"/>
                  <w:jc w:val="center"/>
                  <w:rPr>
                    <w:b/>
                    <w:sz w:val="16"/>
                    <w:szCs w:val="16"/>
                  </w:rPr>
                </w:pPr>
                <w:r>
                  <w:rPr>
                    <w:b/>
                    <w:sz w:val="16"/>
                    <w:szCs w:val="16"/>
                  </w:rPr>
                  <w:lastRenderedPageBreak/>
                  <w:t>Temporalidad de la Reserva de la información</w:t>
                </w:r>
              </w:p>
            </w:tc>
            <w:tc>
              <w:tcPr>
                <w:tcW w:w="1696" w:type="dxa"/>
                <w:vAlign w:val="center"/>
              </w:tcPr>
              <w:p w14:paraId="4BB75F41" w14:textId="77777777" w:rsidR="00BA602E" w:rsidRDefault="00FB427C">
                <w:pPr>
                  <w:spacing w:after="120" w:line="259" w:lineRule="auto"/>
                  <w:ind w:left="29" w:firstLine="18"/>
                  <w:jc w:val="center"/>
                  <w:rPr>
                    <w:b/>
                  </w:rPr>
                </w:pPr>
                <w:r>
                  <w:rPr>
                    <w:b/>
                  </w:rPr>
                  <w:t>Sí</w:t>
                </w:r>
              </w:p>
            </w:tc>
            <w:tc>
              <w:tcPr>
                <w:tcW w:w="6095" w:type="dxa"/>
                <w:vAlign w:val="center"/>
              </w:tcPr>
              <w:p w14:paraId="54CE1163" w14:textId="77777777" w:rsidR="00BA602E" w:rsidRDefault="00FB427C">
                <w:pPr>
                  <w:spacing w:line="360" w:lineRule="auto"/>
                  <w:ind w:right="-787"/>
                  <w:rPr>
                    <w:rFonts w:ascii="Calibri" w:eastAsia="Calibri" w:hAnsi="Calibri" w:cs="Calibri"/>
                  </w:rPr>
                </w:pPr>
                <w:r>
                  <w:rPr>
                    <w:rFonts w:ascii="Calibri" w:eastAsia="Calibri" w:hAnsi="Calibri" w:cs="Calibri"/>
                    <w:noProof/>
                  </w:rPr>
                  <w:drawing>
                    <wp:inline distT="114300" distB="114300" distL="114300" distR="114300" wp14:anchorId="02D4CD36" wp14:editId="38D13136">
                      <wp:extent cx="2560955" cy="19050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31411" t="-2631" b="-2631"/>
                              <a:stretch>
                                <a:fillRect/>
                              </a:stretch>
                            </pic:blipFill>
                            <pic:spPr>
                              <a:xfrm>
                                <a:off x="0" y="0"/>
                                <a:ext cx="2560955" cy="190500"/>
                              </a:xfrm>
                              <a:prstGeom prst="rect">
                                <a:avLst/>
                              </a:prstGeom>
                              <a:ln/>
                            </pic:spPr>
                          </pic:pic>
                        </a:graphicData>
                      </a:graphic>
                    </wp:inline>
                  </w:drawing>
                </w:r>
              </w:p>
            </w:tc>
          </w:tr>
          <w:tr w:rsidR="00BA602E" w14:paraId="2F8927F0" w14:textId="77777777">
            <w:trPr>
              <w:trHeight w:val="3517"/>
            </w:trPr>
            <w:tc>
              <w:tcPr>
                <w:tcW w:w="1535" w:type="dxa"/>
                <w:vAlign w:val="center"/>
              </w:tcPr>
              <w:p w14:paraId="7672E92E" w14:textId="77777777" w:rsidR="00BA602E" w:rsidRDefault="00FB427C">
                <w:pPr>
                  <w:tabs>
                    <w:tab w:val="left" w:pos="317"/>
                  </w:tabs>
                  <w:spacing w:after="120" w:line="259" w:lineRule="auto"/>
                  <w:jc w:val="center"/>
                  <w:rPr>
                    <w:b/>
                    <w:sz w:val="16"/>
                    <w:szCs w:val="16"/>
                  </w:rPr>
                </w:pPr>
                <w:r>
                  <w:rPr>
                    <w:b/>
                    <w:sz w:val="16"/>
                    <w:szCs w:val="16"/>
                  </w:rPr>
                  <w:t>Autoridades competentes.</w:t>
                </w:r>
              </w:p>
            </w:tc>
            <w:tc>
              <w:tcPr>
                <w:tcW w:w="1696" w:type="dxa"/>
                <w:vAlign w:val="center"/>
              </w:tcPr>
              <w:p w14:paraId="31687755" w14:textId="77777777" w:rsidR="00BA602E" w:rsidRDefault="00FB427C">
                <w:pPr>
                  <w:spacing w:after="120" w:line="259" w:lineRule="auto"/>
                  <w:ind w:left="29" w:firstLine="18"/>
                  <w:jc w:val="center"/>
                  <w:rPr>
                    <w:b/>
                  </w:rPr>
                </w:pPr>
                <w:r>
                  <w:rPr>
                    <w:b/>
                  </w:rPr>
                  <w:t xml:space="preserve">Si </w:t>
                </w:r>
              </w:p>
            </w:tc>
            <w:tc>
              <w:tcPr>
                <w:tcW w:w="6095" w:type="dxa"/>
              </w:tcPr>
              <w:p w14:paraId="0FB6D35F" w14:textId="77777777" w:rsidR="00BA602E" w:rsidRDefault="00BA602E">
                <w:pPr>
                  <w:spacing w:after="160" w:line="259" w:lineRule="auto"/>
                  <w:jc w:val="left"/>
                  <w:rPr>
                    <w:rFonts w:ascii="Calibri" w:eastAsia="Calibri" w:hAnsi="Calibri" w:cs="Calibri"/>
                  </w:rPr>
                </w:pPr>
              </w:p>
              <w:p w14:paraId="73D78EAB" w14:textId="77777777" w:rsidR="00BA602E" w:rsidRDefault="00FB427C">
                <w:pPr>
                  <w:tabs>
                    <w:tab w:val="left" w:pos="1140"/>
                  </w:tabs>
                  <w:spacing w:after="160" w:line="259" w:lineRule="auto"/>
                  <w:jc w:val="left"/>
                  <w:rPr>
                    <w:rFonts w:ascii="Calibri" w:eastAsia="Calibri" w:hAnsi="Calibri" w:cs="Calibri"/>
                  </w:rPr>
                </w:pPr>
                <w:r>
                  <w:rPr>
                    <w:rFonts w:ascii="Calibri" w:eastAsia="Calibri" w:hAnsi="Calibri" w:cs="Calibri"/>
                    <w:noProof/>
                  </w:rPr>
                  <w:drawing>
                    <wp:inline distT="114300" distB="114300" distL="114300" distR="114300" wp14:anchorId="4C59BEFC" wp14:editId="2A009646">
                      <wp:extent cx="3733800" cy="2882900"/>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3733800" cy="2882900"/>
                              </a:xfrm>
                              <a:prstGeom prst="rect">
                                <a:avLst/>
                              </a:prstGeom>
                              <a:ln/>
                            </pic:spPr>
                          </pic:pic>
                        </a:graphicData>
                      </a:graphic>
                    </wp:inline>
                  </w:drawing>
                </w:r>
              </w:p>
            </w:tc>
          </w:tr>
        </w:tbl>
      </w:sdtContent>
    </w:sdt>
    <w:p w14:paraId="3BCDF8BB" w14:textId="77777777" w:rsidR="00BA602E" w:rsidRDefault="00BA602E">
      <w:pPr>
        <w:spacing w:after="240"/>
      </w:pPr>
    </w:p>
    <w:p w14:paraId="67CBEFE7" w14:textId="77777777" w:rsidR="00BA602E" w:rsidRDefault="00FB427C">
      <w:pPr>
        <w:ind w:right="-787"/>
      </w:pPr>
      <w:r>
        <w:t xml:space="preserve">Así, en la prueba de daño realizada por el ente recurrido se observa que basó la clasificación de la información en el artículo 140, fracción X de la Ley de Transparencia y Acceso a la Información Pública del Estado de México y Municipios, que establece lo siguiente: </w:t>
      </w:r>
    </w:p>
    <w:p w14:paraId="15BF662F" w14:textId="77777777" w:rsidR="00BA602E" w:rsidRDefault="00BA602E">
      <w:pPr>
        <w:spacing w:line="240" w:lineRule="auto"/>
        <w:ind w:right="824"/>
        <w:rPr>
          <w:i/>
        </w:rPr>
      </w:pPr>
    </w:p>
    <w:p w14:paraId="6ABFD6D0" w14:textId="77777777" w:rsidR="00BA602E" w:rsidRDefault="00BA602E">
      <w:pPr>
        <w:spacing w:line="240" w:lineRule="auto"/>
        <w:ind w:right="-787"/>
        <w:rPr>
          <w:i/>
        </w:rPr>
      </w:pPr>
    </w:p>
    <w:p w14:paraId="5CA0DD2D" w14:textId="77777777" w:rsidR="00BA602E" w:rsidRDefault="00FB427C">
      <w:pPr>
        <w:spacing w:line="240" w:lineRule="auto"/>
        <w:ind w:left="850" w:right="824"/>
        <w:jc w:val="center"/>
        <w:rPr>
          <w:b/>
          <w:i/>
        </w:rPr>
      </w:pPr>
      <w:r>
        <w:rPr>
          <w:b/>
          <w:i/>
        </w:rPr>
        <w:t>Capítulo II</w:t>
      </w:r>
    </w:p>
    <w:p w14:paraId="2251EB9B" w14:textId="77777777" w:rsidR="00BA602E" w:rsidRDefault="00FB427C">
      <w:pPr>
        <w:spacing w:line="240" w:lineRule="auto"/>
        <w:ind w:left="850" w:right="824"/>
        <w:jc w:val="center"/>
        <w:rPr>
          <w:b/>
          <w:i/>
        </w:rPr>
      </w:pPr>
      <w:r>
        <w:rPr>
          <w:b/>
          <w:i/>
        </w:rPr>
        <w:t>De la Información Reservada</w:t>
      </w:r>
    </w:p>
    <w:p w14:paraId="3BC84E22" w14:textId="77777777" w:rsidR="00BA602E" w:rsidRDefault="00BA602E">
      <w:pPr>
        <w:spacing w:line="240" w:lineRule="auto"/>
        <w:ind w:left="850" w:right="824"/>
        <w:rPr>
          <w:i/>
        </w:rPr>
      </w:pPr>
    </w:p>
    <w:p w14:paraId="0E6A4A5E" w14:textId="77777777" w:rsidR="00BA602E" w:rsidRDefault="00FB427C">
      <w:pPr>
        <w:spacing w:line="240" w:lineRule="auto"/>
        <w:ind w:left="850" w:right="824"/>
        <w:rPr>
          <w:i/>
        </w:rPr>
      </w:pPr>
      <w:r>
        <w:rPr>
          <w:b/>
          <w:i/>
        </w:rPr>
        <w:t>Artículo 140</w:t>
      </w:r>
      <w:r>
        <w:rPr>
          <w:i/>
        </w:rPr>
        <w:t xml:space="preserve">. El acceso a la información pública será restringido excepcionalmente, cuando por razones de interés público, ésta sea </w:t>
      </w:r>
      <w:r>
        <w:rPr>
          <w:b/>
          <w:i/>
        </w:rPr>
        <w:t>clasificada como reservada</w:t>
      </w:r>
      <w:r>
        <w:rPr>
          <w:i/>
        </w:rPr>
        <w:t>, conforme a los criterios siguientes:</w:t>
      </w:r>
    </w:p>
    <w:p w14:paraId="1EB3ADB9" w14:textId="77777777" w:rsidR="00BA602E" w:rsidRDefault="00BA602E">
      <w:pPr>
        <w:spacing w:line="240" w:lineRule="auto"/>
        <w:ind w:left="850" w:right="824"/>
        <w:rPr>
          <w:i/>
        </w:rPr>
      </w:pPr>
    </w:p>
    <w:p w14:paraId="6E1C672C" w14:textId="77777777" w:rsidR="00BA602E" w:rsidRDefault="00FB427C">
      <w:pPr>
        <w:spacing w:line="240" w:lineRule="auto"/>
        <w:ind w:left="850" w:right="824"/>
        <w:rPr>
          <w:i/>
        </w:rPr>
      </w:pPr>
      <w:r>
        <w:rPr>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2AF0270" w14:textId="77777777" w:rsidR="00BA602E" w:rsidRDefault="00BA602E">
      <w:pPr>
        <w:spacing w:line="240" w:lineRule="auto"/>
        <w:ind w:left="850" w:right="824"/>
        <w:rPr>
          <w:i/>
        </w:rPr>
      </w:pPr>
    </w:p>
    <w:p w14:paraId="1EFD5B7B" w14:textId="77777777" w:rsidR="00BA602E" w:rsidRDefault="00FB427C">
      <w:pPr>
        <w:spacing w:line="240" w:lineRule="auto"/>
        <w:ind w:left="850" w:right="824"/>
        <w:rPr>
          <w:i/>
        </w:rPr>
      </w:pPr>
      <w:r>
        <w:rPr>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8AB3A86" w14:textId="77777777" w:rsidR="00BA602E" w:rsidRDefault="00BA602E">
      <w:pPr>
        <w:spacing w:line="240" w:lineRule="auto"/>
        <w:ind w:left="850" w:right="824"/>
        <w:rPr>
          <w:i/>
        </w:rPr>
      </w:pPr>
    </w:p>
    <w:p w14:paraId="5BF11366" w14:textId="77777777" w:rsidR="00BA602E" w:rsidRDefault="00BA602E">
      <w:pPr>
        <w:ind w:right="-28"/>
      </w:pPr>
    </w:p>
    <w:p w14:paraId="4A821F79" w14:textId="77777777" w:rsidR="00BA602E" w:rsidRDefault="00FB427C">
      <w:pPr>
        <w:ind w:right="-28"/>
      </w:pPr>
      <w:r>
        <w:t xml:space="preserve">Sin embargo, el ente recurrido no pudo acreditar la existencia de un proceso judicial o administrativo en proceso donde la entrega de la información pueda generar un daño a dicho proceso, ya que simplemente refirió que encuentra en periodo de revisión de los documentos generados en la entrega- recepción de la nueva administración pública, ya que los servidores públicos entrantes cuentan con un plazo de 90 días para realizar las observaciones conducentes. </w:t>
      </w:r>
    </w:p>
    <w:p w14:paraId="7CFE429D" w14:textId="77777777" w:rsidR="00BA602E" w:rsidRDefault="00BA602E">
      <w:pPr>
        <w:ind w:right="-28"/>
      </w:pPr>
    </w:p>
    <w:p w14:paraId="414E8330" w14:textId="77777777" w:rsidR="00BA602E" w:rsidRDefault="00FB427C">
      <w:pPr>
        <w:ind w:right="-28"/>
      </w:pPr>
      <w:r>
        <w:lastRenderedPageBreak/>
        <w:t xml:space="preserve">Por otra parte, en los acuerdos materia del presente estudio el SUJETO OBLIGADO solamente refirió los preceptos previstos en la ley local, sin que acreditar de forma específica como este supuesto se actualiza en el caso que nos ocupa. </w:t>
      </w:r>
    </w:p>
    <w:p w14:paraId="7C0B8F8B" w14:textId="77777777" w:rsidR="00BA602E" w:rsidRDefault="00BA602E">
      <w:pPr>
        <w:ind w:right="-28"/>
      </w:pPr>
    </w:p>
    <w:p w14:paraId="628EAFCB" w14:textId="77777777" w:rsidR="00BA602E" w:rsidRDefault="00FB427C">
      <w:pPr>
        <w:ind w:right="-28"/>
      </w:pPr>
      <w:r>
        <w:t>No señaló las circunstancias de modo, tiempo y lugar, ni supo acreditar por qué el supuesto del artículo 140 fracción X resulta aplicable a la información solicitada.  De tal suerte que llevó a cabo una incorrecta fundamentación y motivación.</w:t>
      </w:r>
    </w:p>
    <w:p w14:paraId="16FAF8F5" w14:textId="77777777" w:rsidR="00BA602E" w:rsidRDefault="00BA602E">
      <w:pPr>
        <w:tabs>
          <w:tab w:val="left" w:pos="4962"/>
        </w:tabs>
      </w:pPr>
    </w:p>
    <w:p w14:paraId="352D8C4C" w14:textId="77777777" w:rsidR="00BA602E" w:rsidRDefault="00FB427C">
      <w:r>
        <w:t>Al respecto, el máximo tribunal del país ha establecido jurisprudencia respecto a qué debe entenderse por fundamentación y motivación, en los siguientes términos:</w:t>
      </w:r>
    </w:p>
    <w:p w14:paraId="2F6C096A" w14:textId="77777777" w:rsidR="00BA602E" w:rsidRDefault="00BA602E"/>
    <w:p w14:paraId="5EB1FE20" w14:textId="77777777" w:rsidR="00BA602E" w:rsidRDefault="00FB427C">
      <w:pPr>
        <w:pStyle w:val="Puesto"/>
        <w:ind w:left="850" w:right="824" w:firstLine="0"/>
      </w:pPr>
      <w:bookmarkStart w:id="50" w:name="_heading=h.3fe40opj31av" w:colFirst="0" w:colLast="0"/>
      <w:bookmarkEnd w:id="50"/>
      <w:r>
        <w:t>“</w:t>
      </w:r>
      <w:r>
        <w:rPr>
          <w:b/>
        </w:rPr>
        <w:t>FUNDAMENTACIÓN Y MOTIVACIÓN</w:t>
      </w:r>
      <w: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D6EEA90" w14:textId="77777777" w:rsidR="00BA602E" w:rsidRDefault="00BA602E">
      <w:pPr>
        <w:ind w:left="709" w:right="616"/>
        <w:rPr>
          <w:i/>
        </w:rPr>
      </w:pPr>
    </w:p>
    <w:p w14:paraId="53298774" w14:textId="77777777" w:rsidR="00BA602E" w:rsidRDefault="00FB427C">
      <w: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B3E51C4" w14:textId="77777777" w:rsidR="00BA602E" w:rsidRDefault="00BA602E"/>
    <w:p w14:paraId="20D3CA3C" w14:textId="77777777" w:rsidR="00BA602E" w:rsidRDefault="00FB427C">
      <w:r>
        <w:t xml:space="preserve">En consecuencia, la fundamentación y motivación implica que en el acto de autoridad, además de contenerse los supuestos jurídicos aplicables, se explique claramente, por qué, a través de la utilización de la norma, se emitió el acto. De este modo, la persona que se siente afectada puede impugnar la decisión, permitiéndole una real y auténtica defensa. </w:t>
      </w:r>
    </w:p>
    <w:p w14:paraId="7802275A" w14:textId="77777777" w:rsidR="00BA602E" w:rsidRDefault="00BA602E"/>
    <w:p w14:paraId="05AC9372" w14:textId="77777777" w:rsidR="00BA602E" w:rsidRDefault="00FB427C">
      <w:r>
        <w:lastRenderedPageBreak/>
        <w:t>Atento a lo anterior, 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w:t>
      </w:r>
    </w:p>
    <w:p w14:paraId="48A137AF" w14:textId="77777777" w:rsidR="00BA602E" w:rsidRDefault="00BA602E"/>
    <w:p w14:paraId="6BE2020C" w14:textId="77777777" w:rsidR="00BA602E" w:rsidRDefault="00FB427C">
      <w:pPr>
        <w:ind w:right="-28"/>
      </w:pPr>
      <w:r>
        <w:t xml:space="preserve">Así, no se estima que la entrega del documento donde conste la fecha del último mantenimiento a los cárcamos del municipio, el costo y el encargado de realizarlo pueda generar una afectación al proceso de verificación de los documentos entregados por la administración pasada. </w:t>
      </w:r>
    </w:p>
    <w:p w14:paraId="58757F84" w14:textId="77777777" w:rsidR="00BA602E" w:rsidRDefault="00BA602E"/>
    <w:p w14:paraId="2EA9E038" w14:textId="77777777" w:rsidR="00BA602E" w:rsidRDefault="00FB427C">
      <w:r>
        <w:t xml:space="preserve">Ya que en su prueba de daño solamente indicó que la entrega de lo solicitado podría generar que exista una manipulación de la información y un mal uso de la verdad, cuando se encuentra en proceso de verificación de la información entregada por la administración saliente. </w:t>
      </w:r>
    </w:p>
    <w:p w14:paraId="460B8216" w14:textId="77777777" w:rsidR="00BA602E" w:rsidRDefault="00BA602E"/>
    <w:p w14:paraId="428A533E" w14:textId="77777777" w:rsidR="00BA602E" w:rsidRDefault="00FB427C">
      <w:r>
        <w:t>Situación que, no es suficiente para acreditar, como lo establece el supuesto de ley, que el daño que pueda producirse con la publicación de la información sea mayor que el interés público de conocer la información de referencia.</w:t>
      </w:r>
    </w:p>
    <w:p w14:paraId="4FA855C7" w14:textId="77777777" w:rsidR="00BA602E" w:rsidRDefault="00BA602E">
      <w:pPr>
        <w:ind w:right="-787"/>
      </w:pPr>
    </w:p>
    <w:p w14:paraId="07EF8E7C" w14:textId="77777777" w:rsidR="00BA602E" w:rsidRDefault="00FB427C">
      <w:pPr>
        <w:ind w:right="-25"/>
      </w:pPr>
      <w:r>
        <w:t>Aunado a ello, se considera que es procedente proporcionar la información de los documentos requeridos, pues su entrega no modificaría los resultados de revisiones, informes, verificaciones y auditorías de que sean objeto con motivo de la entrega recepción, argumentos reforzados con el Criterio 09/2004 emitido por la Suprema Corte de Justicia de la Nación el cual establece lo siguiente:</w:t>
      </w:r>
    </w:p>
    <w:p w14:paraId="0C39E0B3" w14:textId="77777777" w:rsidR="00BA602E" w:rsidRDefault="00BA602E">
      <w:pPr>
        <w:ind w:right="-309"/>
        <w:rPr>
          <w:sz w:val="24"/>
          <w:szCs w:val="24"/>
        </w:rPr>
      </w:pPr>
    </w:p>
    <w:p w14:paraId="236DE89A" w14:textId="77777777" w:rsidR="00BA602E" w:rsidRDefault="00FB427C">
      <w:pPr>
        <w:spacing w:line="240" w:lineRule="auto"/>
        <w:ind w:left="850" w:right="824"/>
        <w:rPr>
          <w:i/>
        </w:rPr>
      </w:pPr>
      <w:r>
        <w:rPr>
          <w:b/>
          <w:i/>
        </w:rPr>
        <w:t>INFORMACIÓN SUJETA A REVISIÓN. SI YA CONSTA EN UN DOCUMENTO DEFINITIVO, DEBE PERMITIRSE EL ACCESO A ÉSTE</w:t>
      </w:r>
      <w:r>
        <w:rPr>
          <w:i/>
        </w:rPr>
        <w:t xml:space="preserve">. </w:t>
      </w:r>
      <w:r>
        <w:rPr>
          <w:i/>
        </w:rPr>
        <w:lastRenderedPageBreak/>
        <w:t xml:space="preserve">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4A8130EA" w14:textId="77777777" w:rsidR="00BA602E" w:rsidRDefault="00BA602E">
      <w:pPr>
        <w:spacing w:line="240" w:lineRule="auto"/>
        <w:ind w:left="850" w:right="824"/>
        <w:rPr>
          <w:i/>
        </w:rPr>
      </w:pPr>
    </w:p>
    <w:p w14:paraId="593E5A19" w14:textId="77777777" w:rsidR="00BA602E" w:rsidRDefault="00FB427C">
      <w:pPr>
        <w:spacing w:line="240" w:lineRule="auto"/>
        <w:ind w:left="850" w:right="824"/>
        <w:rPr>
          <w:i/>
        </w:rPr>
      </w:pPr>
      <w:r>
        <w:rPr>
          <w:i/>
        </w:rPr>
        <w:t>Clasificación de la información 10/2004-J, 19 de mayo de 2004.</w:t>
      </w:r>
    </w:p>
    <w:p w14:paraId="481349CC" w14:textId="77777777" w:rsidR="00BA602E" w:rsidRDefault="00FB427C">
      <w:pPr>
        <w:ind w:left="850" w:right="824"/>
      </w:pPr>
      <w:r>
        <w:rPr>
          <w:i/>
        </w:rPr>
        <w:t>Unanimidad de votos</w:t>
      </w:r>
    </w:p>
    <w:p w14:paraId="2702F359" w14:textId="77777777" w:rsidR="00BA602E" w:rsidRDefault="00BA602E">
      <w:pPr>
        <w:spacing w:line="240" w:lineRule="auto"/>
        <w:ind w:left="851" w:right="899"/>
      </w:pPr>
    </w:p>
    <w:p w14:paraId="373E67D0" w14:textId="77777777" w:rsidR="00BA602E" w:rsidRDefault="00FB427C">
      <w:pPr>
        <w:spacing w:before="240" w:after="240"/>
        <w:ind w:right="51"/>
      </w:pPr>
      <w:r>
        <w:t xml:space="preserve">Luego, al no haberse acreditado el daño y al tratarse de información definitiva que puede ser reproducida en una versión pública donde permita su consulta sin exponer los datos personales de particulares, este Instituto considera procedente su entrega. </w:t>
      </w:r>
    </w:p>
    <w:p w14:paraId="70215F2A" w14:textId="77777777" w:rsidR="00BA602E" w:rsidRDefault="00FB427C">
      <w:pPr>
        <w:pStyle w:val="Ttulo3"/>
        <w:widowControl w:val="0"/>
        <w:tabs>
          <w:tab w:val="left" w:pos="1701"/>
          <w:tab w:val="left" w:pos="1843"/>
        </w:tabs>
        <w:ind w:right="49"/>
      </w:pPr>
      <w:bookmarkStart w:id="51" w:name="_Toc203625591"/>
      <w:r>
        <w:t>d) Versión pública</w:t>
      </w:r>
      <w:bookmarkEnd w:id="51"/>
      <w:r>
        <w:t xml:space="preserve"> </w:t>
      </w:r>
    </w:p>
    <w:p w14:paraId="4B4CCED6" w14:textId="77777777" w:rsidR="00BA602E" w:rsidRDefault="00FB427C">
      <w:r>
        <w:t xml:space="preserve">Ahora bien, con relación a la </w:t>
      </w:r>
      <w:r>
        <w:rPr>
          <w:b/>
        </w:rPr>
        <w:t xml:space="preserve">versión pública </w:t>
      </w:r>
      <w:r>
        <w:t xml:space="preserve">de la información de la que se ordena su entrega, en términos del artículo 143, fracción I y II de la Ley de Transparencia y Acceso a la Información Pública del Estado de México y Municipios, deberá omitirse, eliminarse o suprimirse la información </w:t>
      </w:r>
      <w:r>
        <w:rPr>
          <w:b/>
        </w:rPr>
        <w:t>confidencial</w:t>
      </w:r>
      <w:r>
        <w:t xml:space="preserve">. </w:t>
      </w:r>
    </w:p>
    <w:p w14:paraId="5CA7B5E4" w14:textId="77777777" w:rsidR="00BA602E" w:rsidRDefault="00BA602E"/>
    <w:p w14:paraId="28F9D6FA" w14:textId="77777777" w:rsidR="00BA602E" w:rsidRDefault="00FB427C">
      <w:r>
        <w:t xml:space="preserve">En ese sentido, solamente podrán ser testados los datos que actualicen las hipótesis normativas previstas en dicho precepto legal y deberá procederse a su clasificación mediante las formalidades de Ley; es decir, que el Comité de Transparencia del </w:t>
      </w:r>
      <w:r>
        <w:rPr>
          <w:b/>
        </w:rPr>
        <w:t>SUJETO OBLIGADO</w:t>
      </w:r>
      <w:r>
        <w:t xml:space="preserve"> emita el Acuerdo de Clasificación correspondiente debidamente fundado y motivado, en el cual se sustente la versión pública, misma que deberá cumplir cabalmente con las formalidades de los </w:t>
      </w:r>
      <w:r>
        <w:rPr>
          <w:u w:val="single"/>
        </w:rPr>
        <w:t xml:space="preserve">lineamientos generales en materia de clasificación y desclasificación de la </w:t>
      </w:r>
      <w:r>
        <w:rPr>
          <w:u w:val="single"/>
        </w:rPr>
        <w:lastRenderedPageBreak/>
        <w:t>información; así como, para la elaboración de versiones públicas</w:t>
      </w:r>
      <w:r>
        <w:t>, publicados en el Diario Oficial de la Federación en fecha 15 de abril de 2016, mediante Acuerdo del Consejo Nacional del Sistema Nacional de Transparencia, Acceso a la Información Pública y Protección de Datos Personales.</w:t>
      </w:r>
    </w:p>
    <w:p w14:paraId="13B904EC" w14:textId="77777777" w:rsidR="00BA602E" w:rsidRDefault="00BA602E"/>
    <w:p w14:paraId="3BFE8BE1" w14:textId="77777777" w:rsidR="00BA602E" w:rsidRDefault="00FB427C">
      <w:pPr>
        <w:widowControl w:val="0"/>
      </w:pPr>
      <w:r>
        <w:t>A este respecto, los artículos 3, fracciones IX, XX, XXI y XLV; 51 y 52 de la Ley de Transparencia y Acceso a la Información Pública del Estado de México y Municipios establecen:</w:t>
      </w:r>
    </w:p>
    <w:p w14:paraId="2F490EC8" w14:textId="77777777" w:rsidR="00BA602E" w:rsidRDefault="00FB427C">
      <w:pPr>
        <w:widowControl w:val="0"/>
        <w:spacing w:line="276" w:lineRule="auto"/>
        <w:ind w:left="640" w:right="899"/>
        <w:rPr>
          <w:i/>
        </w:rPr>
      </w:pPr>
      <w:r>
        <w:rPr>
          <w:b/>
          <w:i/>
        </w:rPr>
        <w:t xml:space="preserve">“Artículo 3. </w:t>
      </w:r>
      <w:r>
        <w:rPr>
          <w:i/>
        </w:rPr>
        <w:t xml:space="preserve">Para los efectos de la presente Ley se entenderá por: </w:t>
      </w:r>
    </w:p>
    <w:p w14:paraId="20C8D28B" w14:textId="77777777" w:rsidR="00BA602E" w:rsidRDefault="00FB427C">
      <w:pPr>
        <w:widowControl w:val="0"/>
        <w:spacing w:line="276" w:lineRule="auto"/>
        <w:ind w:left="640" w:right="899"/>
        <w:rPr>
          <w:i/>
        </w:rPr>
      </w:pPr>
      <w:r>
        <w:rPr>
          <w:b/>
          <w:i/>
        </w:rPr>
        <w:t>IX.</w:t>
      </w:r>
      <w:r>
        <w:rPr>
          <w:i/>
        </w:rPr>
        <w:t xml:space="preserve"> </w:t>
      </w:r>
      <w:r>
        <w:rPr>
          <w:b/>
          <w:i/>
        </w:rPr>
        <w:t xml:space="preserve">Datos personales: </w:t>
      </w:r>
      <w:r>
        <w:rPr>
          <w:i/>
        </w:rPr>
        <w:t xml:space="preserve">La información concerniente a una persona, identificada o identificable según lo dispuesto por la Ley de Protección de Datos Personales del Estado de México; </w:t>
      </w:r>
    </w:p>
    <w:p w14:paraId="5341E7B3" w14:textId="77777777" w:rsidR="00BA602E" w:rsidRDefault="00FB427C">
      <w:pPr>
        <w:widowControl w:val="0"/>
        <w:spacing w:line="276" w:lineRule="auto"/>
        <w:ind w:left="640" w:right="899"/>
        <w:rPr>
          <w:i/>
        </w:rPr>
      </w:pPr>
      <w:r>
        <w:rPr>
          <w:b/>
          <w:i/>
        </w:rPr>
        <w:t>XX.</w:t>
      </w:r>
      <w:r>
        <w:rPr>
          <w:i/>
        </w:rPr>
        <w:t xml:space="preserve"> </w:t>
      </w:r>
      <w:r>
        <w:rPr>
          <w:b/>
          <w:i/>
        </w:rPr>
        <w:t>Información clasificada:</w:t>
      </w:r>
      <w:r>
        <w:rPr>
          <w:i/>
        </w:rPr>
        <w:t xml:space="preserve"> Aquella considerada por la presente Ley como reservada o confidencial; </w:t>
      </w:r>
    </w:p>
    <w:p w14:paraId="2262A9A0" w14:textId="77777777" w:rsidR="00BA602E" w:rsidRDefault="00FB427C">
      <w:pPr>
        <w:widowControl w:val="0"/>
        <w:spacing w:line="276" w:lineRule="auto"/>
        <w:ind w:left="640" w:right="899"/>
        <w:rPr>
          <w:i/>
        </w:rPr>
      </w:pPr>
      <w:r>
        <w:rPr>
          <w:b/>
          <w:i/>
        </w:rPr>
        <w:t>XXI.</w:t>
      </w:r>
      <w:r>
        <w:rPr>
          <w:i/>
        </w:rPr>
        <w:t xml:space="preserve"> </w:t>
      </w:r>
      <w:r>
        <w:rPr>
          <w:b/>
          <w:i/>
        </w:rPr>
        <w:t>Información confidencial</w:t>
      </w:r>
      <w:r>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E1232AC" w14:textId="77777777" w:rsidR="00BA602E" w:rsidRDefault="00FB427C">
      <w:pPr>
        <w:widowControl w:val="0"/>
        <w:spacing w:line="276" w:lineRule="auto"/>
        <w:ind w:left="640" w:right="899"/>
        <w:rPr>
          <w:i/>
        </w:rPr>
      </w:pPr>
      <w:r>
        <w:rPr>
          <w:b/>
          <w:i/>
        </w:rPr>
        <w:t>XLV. Versión pública:</w:t>
      </w:r>
      <w:r>
        <w:rPr>
          <w:i/>
        </w:rPr>
        <w:t xml:space="preserve"> Documento en el que se elimine, suprime o borra la información clasificada como reservada o confidencial para permitir su acceso. </w:t>
      </w:r>
    </w:p>
    <w:p w14:paraId="5B2EB844" w14:textId="77777777" w:rsidR="00BA602E" w:rsidRDefault="00FB427C">
      <w:pPr>
        <w:widowControl w:val="0"/>
        <w:spacing w:line="276" w:lineRule="auto"/>
        <w:ind w:left="640" w:right="899"/>
        <w:rPr>
          <w:i/>
        </w:rPr>
      </w:pPr>
      <w:r>
        <w:rPr>
          <w:b/>
          <w:i/>
        </w:rPr>
        <w:t>Artículo 51.</w:t>
      </w:r>
      <w:r>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Pr>
          <w:b/>
          <w:i/>
        </w:rPr>
        <w:t xml:space="preserve">y tendrá la responsabilidad de verificar en cada caso que la misma no sea confidencial o reservada. </w:t>
      </w:r>
      <w:r>
        <w:rPr>
          <w:i/>
        </w:rPr>
        <w:t xml:space="preserve">Dicha Unidad contará con las facultades internas necesarias para gestionar la atención a las solicitudes de información en los términos de la Ley General y la presente Ley. </w:t>
      </w:r>
    </w:p>
    <w:p w14:paraId="2A5FE2FE" w14:textId="77777777" w:rsidR="00BA602E" w:rsidRDefault="00FB427C">
      <w:pPr>
        <w:widowControl w:val="0"/>
        <w:spacing w:line="276" w:lineRule="auto"/>
        <w:ind w:left="640" w:right="899"/>
        <w:rPr>
          <w:i/>
        </w:rPr>
      </w:pPr>
      <w:r>
        <w:rPr>
          <w:b/>
          <w:i/>
        </w:rPr>
        <w:t>Artículo 52.</w:t>
      </w:r>
      <w:r>
        <w:rPr>
          <w:i/>
        </w:rPr>
        <w:t xml:space="preserve"> Las solicitudes de acceso a la información y las respuestas que se les dé, incluyendo, en su caso, </w:t>
      </w:r>
      <w:r>
        <w:rPr>
          <w:i/>
          <w:u w:val="single"/>
        </w:rPr>
        <w:t>la información entregada, así como las resoluciones a los recursos que en su caso se promuevan serán públicas, y de ser el caso que contenga datos personales que deban ser protegidos se podrá dar su acceso en su versión pública</w:t>
      </w:r>
      <w:r>
        <w:rPr>
          <w:i/>
        </w:rPr>
        <w:t xml:space="preserve">, siempre y cuando la resolución de referencia se someta a un proceso de disociación, es </w:t>
      </w:r>
      <w:r>
        <w:rPr>
          <w:i/>
        </w:rPr>
        <w:lastRenderedPageBreak/>
        <w:t>decir, no haga identificable al titular de tales datos personales.”</w:t>
      </w:r>
    </w:p>
    <w:p w14:paraId="3B93FF64" w14:textId="77777777" w:rsidR="00BA602E" w:rsidRDefault="00FB427C">
      <w:pPr>
        <w:widowControl w:val="0"/>
        <w:spacing w:line="276" w:lineRule="auto"/>
        <w:ind w:right="899" w:firstLine="540"/>
      </w:pPr>
      <w:r>
        <w:t>(Énfasis añadido)</w:t>
      </w:r>
    </w:p>
    <w:p w14:paraId="37B9865B" w14:textId="77777777" w:rsidR="00BA602E" w:rsidRDefault="00BA602E">
      <w:pPr>
        <w:widowControl w:val="0"/>
        <w:spacing w:line="276" w:lineRule="auto"/>
      </w:pPr>
    </w:p>
    <w:p w14:paraId="63642188" w14:textId="77777777" w:rsidR="00BA602E" w:rsidRDefault="00FB427C">
      <w:pPr>
        <w:widowControl w:val="0"/>
      </w:pPr>
      <w: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3673B65" w14:textId="77777777" w:rsidR="00BA602E" w:rsidRDefault="00BA602E">
      <w:pPr>
        <w:widowControl w:val="0"/>
      </w:pPr>
    </w:p>
    <w:p w14:paraId="7A5E5520" w14:textId="77777777" w:rsidR="00BA602E" w:rsidRDefault="00FB427C">
      <w:pPr>
        <w:widowControl w:val="0"/>
        <w:spacing w:line="240" w:lineRule="auto"/>
        <w:ind w:left="640" w:right="899"/>
        <w:rPr>
          <w:i/>
        </w:rPr>
      </w:pPr>
      <w:r>
        <w:rPr>
          <w:b/>
          <w:i/>
        </w:rPr>
        <w:t>“Artículo 22.</w:t>
      </w:r>
      <w:r>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0FF498C0" w14:textId="77777777" w:rsidR="00BA602E" w:rsidRDefault="00FB427C">
      <w:pPr>
        <w:widowControl w:val="0"/>
        <w:spacing w:line="240" w:lineRule="auto"/>
        <w:ind w:left="640" w:right="899"/>
        <w:rPr>
          <w:i/>
        </w:rPr>
      </w:pPr>
      <w:r>
        <w:rPr>
          <w:i/>
        </w:rPr>
        <w:t xml:space="preserve"> </w:t>
      </w:r>
    </w:p>
    <w:p w14:paraId="3594B56C" w14:textId="77777777" w:rsidR="00BA602E" w:rsidRDefault="00FB427C">
      <w:pPr>
        <w:widowControl w:val="0"/>
        <w:spacing w:line="240" w:lineRule="auto"/>
        <w:ind w:left="640" w:right="899"/>
        <w:rPr>
          <w:i/>
        </w:rPr>
      </w:pPr>
      <w:r>
        <w:rPr>
          <w:b/>
          <w:i/>
        </w:rPr>
        <w:t>Artículo 38.</w:t>
      </w:r>
      <w:r>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b/>
          <w:i/>
        </w:rPr>
        <w:t>”</w:t>
      </w:r>
      <w:r>
        <w:rPr>
          <w:i/>
        </w:rPr>
        <w:t xml:space="preserve"> </w:t>
      </w:r>
    </w:p>
    <w:p w14:paraId="2500C880" w14:textId="77777777" w:rsidR="00BA602E" w:rsidRDefault="00BA602E">
      <w:pPr>
        <w:widowControl w:val="0"/>
        <w:spacing w:line="276" w:lineRule="auto"/>
      </w:pPr>
    </w:p>
    <w:p w14:paraId="2A18AF4B" w14:textId="77777777" w:rsidR="00BA602E" w:rsidRDefault="00FB427C">
      <w:pPr>
        <w:widowControl w:val="0"/>
      </w:pPr>
      <w: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098D17" w14:textId="77777777" w:rsidR="00BA602E" w:rsidRDefault="00BA602E">
      <w:pPr>
        <w:widowControl w:val="0"/>
      </w:pPr>
    </w:p>
    <w:p w14:paraId="597671B6" w14:textId="77777777" w:rsidR="00BA602E" w:rsidRDefault="00FB427C">
      <w:pPr>
        <w:widowControl w:val="0"/>
      </w:pPr>
      <w:r>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b/>
        </w:rPr>
        <w:t>EL SUJETO OBLIGADO,</w:t>
      </w:r>
      <w:r>
        <w:t xml:space="preserve"> por lo que, todo dato personal susceptible de clasificación debe ser protegido.</w:t>
      </w:r>
    </w:p>
    <w:p w14:paraId="2FF54276" w14:textId="77777777" w:rsidR="00BA602E" w:rsidRDefault="00BA602E">
      <w:pPr>
        <w:widowControl w:val="0"/>
      </w:pPr>
    </w:p>
    <w:p w14:paraId="6F037F8F" w14:textId="77777777" w:rsidR="00BA602E" w:rsidRDefault="00FB427C">
      <w:pPr>
        <w:widowControl w:val="0"/>
      </w:pPr>
      <w: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44170DB" w14:textId="77777777" w:rsidR="00BA602E" w:rsidRDefault="00BA602E">
      <w:pPr>
        <w:widowControl w:val="0"/>
      </w:pPr>
    </w:p>
    <w:p w14:paraId="0D936E95" w14:textId="77777777" w:rsidR="00BA602E" w:rsidRDefault="00FB427C">
      <w:pPr>
        <w:widowControl w:val="0"/>
      </w:pPr>
      <w: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0608B1" w14:textId="77777777" w:rsidR="00BA602E" w:rsidRDefault="00BA602E">
      <w:pPr>
        <w:widowControl w:val="0"/>
      </w:pPr>
    </w:p>
    <w:p w14:paraId="3E8861D7" w14:textId="77777777" w:rsidR="00BA602E" w:rsidRDefault="00FB427C">
      <w:pPr>
        <w:widowControl w:val="0"/>
        <w:spacing w:line="276" w:lineRule="auto"/>
        <w:ind w:left="640" w:right="899"/>
        <w:jc w:val="center"/>
        <w:rPr>
          <w:b/>
          <w:i/>
        </w:rPr>
      </w:pPr>
      <w:r>
        <w:rPr>
          <w:b/>
          <w:i/>
        </w:rPr>
        <w:t>Ley de Transparencia y Acceso a la Información Pública del Estado de México y Municipios</w:t>
      </w:r>
    </w:p>
    <w:p w14:paraId="111E528B" w14:textId="77777777" w:rsidR="00BA602E" w:rsidRDefault="00FB427C">
      <w:pPr>
        <w:widowControl w:val="0"/>
        <w:spacing w:line="276" w:lineRule="auto"/>
        <w:ind w:left="640" w:right="899"/>
        <w:rPr>
          <w:i/>
        </w:rPr>
      </w:pPr>
      <w:r>
        <w:rPr>
          <w:b/>
          <w:i/>
        </w:rPr>
        <w:t xml:space="preserve">“Artículo 49. </w:t>
      </w:r>
      <w:r>
        <w:rPr>
          <w:i/>
        </w:rPr>
        <w:t>Los Comités de Transparencia tendrán las siguientes atribuciones:</w:t>
      </w:r>
    </w:p>
    <w:p w14:paraId="53516561" w14:textId="77777777" w:rsidR="00BA602E" w:rsidRDefault="00FB427C">
      <w:pPr>
        <w:widowControl w:val="0"/>
        <w:spacing w:line="276" w:lineRule="auto"/>
        <w:ind w:left="640" w:right="899"/>
        <w:rPr>
          <w:i/>
        </w:rPr>
      </w:pPr>
      <w:r>
        <w:rPr>
          <w:b/>
          <w:i/>
        </w:rPr>
        <w:t>VIII.</w:t>
      </w:r>
      <w:r>
        <w:rPr>
          <w:i/>
        </w:rPr>
        <w:t xml:space="preserve"> Aprobar, modificar o revocar la clasificación de la información;</w:t>
      </w:r>
    </w:p>
    <w:p w14:paraId="74AB0DA1" w14:textId="77777777" w:rsidR="00BA602E" w:rsidRDefault="00FB427C">
      <w:pPr>
        <w:widowControl w:val="0"/>
        <w:spacing w:line="276" w:lineRule="auto"/>
        <w:ind w:left="640" w:right="899"/>
        <w:rPr>
          <w:i/>
        </w:rPr>
      </w:pPr>
      <w:r>
        <w:rPr>
          <w:b/>
          <w:i/>
        </w:rPr>
        <w:t>Artículo 132.</w:t>
      </w:r>
      <w:r>
        <w:rPr>
          <w:i/>
        </w:rPr>
        <w:t xml:space="preserve"> La clasificación de la información se llevará a cabo en el momento en </w:t>
      </w:r>
      <w:r>
        <w:rPr>
          <w:i/>
        </w:rPr>
        <w:lastRenderedPageBreak/>
        <w:t>que:</w:t>
      </w:r>
    </w:p>
    <w:p w14:paraId="6136E00F" w14:textId="77777777" w:rsidR="00BA602E" w:rsidRDefault="00FB427C">
      <w:pPr>
        <w:widowControl w:val="0"/>
        <w:spacing w:line="276" w:lineRule="auto"/>
        <w:ind w:left="640" w:right="899"/>
        <w:rPr>
          <w:i/>
        </w:rPr>
      </w:pPr>
      <w:r>
        <w:rPr>
          <w:b/>
          <w:i/>
        </w:rPr>
        <w:t>I.</w:t>
      </w:r>
      <w:r>
        <w:rPr>
          <w:i/>
        </w:rPr>
        <w:t xml:space="preserve"> Se reciba una solicitud de acceso a la información;</w:t>
      </w:r>
    </w:p>
    <w:p w14:paraId="113E81FC" w14:textId="77777777" w:rsidR="00BA602E" w:rsidRDefault="00FB427C">
      <w:pPr>
        <w:widowControl w:val="0"/>
        <w:spacing w:line="276" w:lineRule="auto"/>
        <w:ind w:left="640" w:right="899"/>
        <w:rPr>
          <w:i/>
        </w:rPr>
      </w:pPr>
      <w:r>
        <w:rPr>
          <w:b/>
          <w:i/>
        </w:rPr>
        <w:t>II.</w:t>
      </w:r>
      <w:r>
        <w:rPr>
          <w:i/>
        </w:rPr>
        <w:t xml:space="preserve"> Se determine mediante resolución de autoridad competente; o</w:t>
      </w:r>
    </w:p>
    <w:p w14:paraId="260D4E8E" w14:textId="77777777" w:rsidR="00BA602E" w:rsidRDefault="00FB427C">
      <w:pPr>
        <w:widowControl w:val="0"/>
        <w:spacing w:line="276" w:lineRule="auto"/>
        <w:ind w:left="640" w:right="899"/>
        <w:rPr>
          <w:b/>
          <w:i/>
        </w:rPr>
      </w:pPr>
      <w:r>
        <w:rPr>
          <w:i/>
        </w:rPr>
        <w:t>III. Se generen versiones públicas para dar cumplimiento a las obligaciones de transparencia previstas en esta Ley.</w:t>
      </w:r>
      <w:r>
        <w:rPr>
          <w:b/>
          <w:i/>
        </w:rPr>
        <w:t>”</w:t>
      </w:r>
    </w:p>
    <w:p w14:paraId="678B654A" w14:textId="77777777" w:rsidR="00BA602E" w:rsidRDefault="00FB427C">
      <w:pPr>
        <w:widowControl w:val="0"/>
        <w:spacing w:line="276" w:lineRule="auto"/>
        <w:ind w:left="640" w:right="899"/>
        <w:rPr>
          <w:i/>
        </w:rPr>
      </w:pPr>
      <w:r>
        <w:rPr>
          <w:b/>
          <w:i/>
        </w:rPr>
        <w:t>“Segundo.-</w:t>
      </w:r>
      <w:r>
        <w:rPr>
          <w:i/>
        </w:rPr>
        <w:t xml:space="preserve"> Para efectos de los presentes Lineamientos Generales, se entenderá por:</w:t>
      </w:r>
    </w:p>
    <w:p w14:paraId="69B9C190" w14:textId="77777777" w:rsidR="00BA602E" w:rsidRDefault="00FB427C">
      <w:pPr>
        <w:widowControl w:val="0"/>
        <w:spacing w:line="276" w:lineRule="auto"/>
        <w:ind w:left="640" w:right="899"/>
        <w:rPr>
          <w:i/>
        </w:rPr>
      </w:pPr>
      <w:r>
        <w:rPr>
          <w:b/>
          <w:i/>
        </w:rPr>
        <w:t>XVIII.</w:t>
      </w:r>
      <w:r>
        <w:rPr>
          <w:i/>
        </w:rPr>
        <w:t xml:space="preserve">  </w:t>
      </w:r>
      <w:r>
        <w:rPr>
          <w:b/>
          <w:i/>
        </w:rPr>
        <w:t>Versión pública:</w:t>
      </w:r>
      <w:r>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43B0EB" w14:textId="77777777" w:rsidR="00BA602E" w:rsidRDefault="00FB427C">
      <w:pPr>
        <w:widowControl w:val="0"/>
        <w:spacing w:line="276" w:lineRule="auto"/>
        <w:ind w:left="640" w:right="899"/>
        <w:jc w:val="center"/>
        <w:rPr>
          <w:b/>
          <w:i/>
        </w:rPr>
      </w:pPr>
      <w:r>
        <w:rPr>
          <w:b/>
          <w:i/>
        </w:rPr>
        <w:t>Lineamientos Generales en materia de Clasificación y Desclasificación de la Información</w:t>
      </w:r>
    </w:p>
    <w:p w14:paraId="3DE6E7A9" w14:textId="77777777" w:rsidR="00BA602E" w:rsidRDefault="00FB427C">
      <w:pPr>
        <w:widowControl w:val="0"/>
        <w:spacing w:line="276" w:lineRule="auto"/>
        <w:ind w:left="640" w:right="899"/>
        <w:rPr>
          <w:i/>
        </w:rPr>
      </w:pPr>
      <w:r>
        <w:rPr>
          <w:b/>
          <w:i/>
        </w:rPr>
        <w:t>Cuarto.</w:t>
      </w:r>
      <w:r>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521263" w14:textId="77777777" w:rsidR="00BA602E" w:rsidRDefault="00FB427C">
      <w:pPr>
        <w:widowControl w:val="0"/>
        <w:spacing w:line="276" w:lineRule="auto"/>
        <w:ind w:left="640" w:right="899"/>
        <w:rPr>
          <w:i/>
        </w:rPr>
      </w:pPr>
      <w:r>
        <w:rPr>
          <w:i/>
        </w:rPr>
        <w:t>Los sujetos obligados deberán aplicar, de manera estricta, las excepciones al derecho de acceso a la información y sólo podrán invocarlas cuando acrediten su procedencia.</w:t>
      </w:r>
    </w:p>
    <w:p w14:paraId="0D98518F" w14:textId="77777777" w:rsidR="00BA602E" w:rsidRDefault="00FB427C">
      <w:pPr>
        <w:widowControl w:val="0"/>
        <w:spacing w:line="276" w:lineRule="auto"/>
        <w:ind w:left="640" w:right="899"/>
        <w:rPr>
          <w:i/>
        </w:rPr>
      </w:pPr>
      <w:r>
        <w:rPr>
          <w:b/>
          <w:i/>
        </w:rPr>
        <w:t>Quinto.</w:t>
      </w:r>
      <w:r>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7D9C83" w14:textId="77777777" w:rsidR="00BA602E" w:rsidRDefault="00FB427C">
      <w:pPr>
        <w:widowControl w:val="0"/>
        <w:spacing w:line="276" w:lineRule="auto"/>
        <w:ind w:left="640" w:right="899"/>
        <w:rPr>
          <w:i/>
        </w:rPr>
      </w:pPr>
      <w:r>
        <w:rPr>
          <w:b/>
          <w:i/>
        </w:rPr>
        <w:t>Sexto.</w:t>
      </w:r>
      <w:r>
        <w:rPr>
          <w:i/>
        </w:rPr>
        <w:t xml:space="preserve"> Se deroga.</w:t>
      </w:r>
    </w:p>
    <w:p w14:paraId="18EA24F5" w14:textId="77777777" w:rsidR="00BA602E" w:rsidRDefault="00FB427C">
      <w:pPr>
        <w:widowControl w:val="0"/>
        <w:spacing w:line="276" w:lineRule="auto"/>
        <w:ind w:left="640" w:right="899"/>
        <w:rPr>
          <w:i/>
        </w:rPr>
      </w:pPr>
      <w:r>
        <w:rPr>
          <w:b/>
          <w:i/>
        </w:rPr>
        <w:t>Séptimo.</w:t>
      </w:r>
      <w:r>
        <w:rPr>
          <w:i/>
        </w:rPr>
        <w:t xml:space="preserve"> La clasificación de la información se llevará a cabo en el momento en que:</w:t>
      </w:r>
    </w:p>
    <w:p w14:paraId="69989CE6" w14:textId="77777777" w:rsidR="00BA602E" w:rsidRDefault="00FB427C">
      <w:pPr>
        <w:widowControl w:val="0"/>
        <w:spacing w:line="276" w:lineRule="auto"/>
        <w:ind w:left="640" w:right="899"/>
        <w:rPr>
          <w:i/>
        </w:rPr>
      </w:pPr>
      <w:r>
        <w:rPr>
          <w:b/>
          <w:i/>
        </w:rPr>
        <w:t>I.</w:t>
      </w:r>
      <w:r>
        <w:rPr>
          <w:i/>
        </w:rPr>
        <w:t xml:space="preserve">        Se reciba una solicitud de acceso a la información;</w:t>
      </w:r>
    </w:p>
    <w:p w14:paraId="1EC811DA" w14:textId="77777777" w:rsidR="00BA602E" w:rsidRDefault="00FB427C">
      <w:pPr>
        <w:widowControl w:val="0"/>
        <w:spacing w:line="276" w:lineRule="auto"/>
        <w:ind w:left="640" w:right="899"/>
        <w:rPr>
          <w:i/>
        </w:rPr>
      </w:pPr>
      <w:r>
        <w:rPr>
          <w:b/>
          <w:i/>
        </w:rPr>
        <w:t>II.</w:t>
      </w:r>
      <w:r>
        <w:rPr>
          <w:i/>
        </w:rPr>
        <w:t xml:space="preserve">       Se determine mediante resolución del Comité de Transparencia, el órgano garante competente, o en cumplimiento a una sentencia del Poder Judicial; o</w:t>
      </w:r>
    </w:p>
    <w:p w14:paraId="7C619A0E" w14:textId="77777777" w:rsidR="00BA602E" w:rsidRDefault="00FB427C">
      <w:pPr>
        <w:widowControl w:val="0"/>
        <w:spacing w:line="276" w:lineRule="auto"/>
        <w:ind w:left="640" w:right="899"/>
        <w:rPr>
          <w:i/>
        </w:rPr>
      </w:pPr>
      <w:r>
        <w:rPr>
          <w:b/>
          <w:i/>
        </w:rPr>
        <w:t>III.</w:t>
      </w:r>
      <w:r>
        <w:rPr>
          <w:i/>
        </w:rPr>
        <w:t xml:space="preserve">      Se generen versiones públicas para dar cumplimiento a las obligaciones de transparencia previstas en la Ley General, la Ley Federal y las correspondientes de las </w:t>
      </w:r>
      <w:r>
        <w:rPr>
          <w:i/>
        </w:rPr>
        <w:lastRenderedPageBreak/>
        <w:t>entidades federativas.</w:t>
      </w:r>
    </w:p>
    <w:p w14:paraId="475FFE53" w14:textId="77777777" w:rsidR="00BA602E" w:rsidRDefault="00FB427C">
      <w:pPr>
        <w:widowControl w:val="0"/>
        <w:spacing w:line="276" w:lineRule="auto"/>
        <w:ind w:left="640" w:right="899"/>
        <w:rPr>
          <w:i/>
        </w:rPr>
      </w:pPr>
      <w:r>
        <w:rPr>
          <w:i/>
        </w:rPr>
        <w:t xml:space="preserve">Los titulares de las áreas deberán revisar la información requerida al momento de la recepción de una solicitud de acceso, para verificar, conforme a su naturaleza, si encuadra en una causal de reserva o de confidencialidad. </w:t>
      </w:r>
    </w:p>
    <w:p w14:paraId="48AC9E14" w14:textId="77777777" w:rsidR="00BA602E" w:rsidRDefault="00FB427C">
      <w:pPr>
        <w:widowControl w:val="0"/>
        <w:spacing w:line="276" w:lineRule="auto"/>
        <w:ind w:left="640" w:right="899"/>
        <w:rPr>
          <w:i/>
        </w:rPr>
      </w:pPr>
      <w:r>
        <w:rPr>
          <w:b/>
          <w:i/>
        </w:rPr>
        <w:t>Octavo.</w:t>
      </w:r>
      <w:r>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1393CA2" w14:textId="77777777" w:rsidR="00BA602E" w:rsidRDefault="00FB427C">
      <w:pPr>
        <w:widowControl w:val="0"/>
        <w:spacing w:line="276" w:lineRule="auto"/>
        <w:ind w:left="640" w:right="899"/>
        <w:rPr>
          <w:i/>
        </w:rPr>
      </w:pPr>
      <w:r>
        <w:rPr>
          <w:i/>
        </w:rPr>
        <w:t>Para motivar la clasificación se deberán señalar las razones o circunstancias especiales que lo llevaron a concluir que el caso particular se ajusta al supuesto previsto por la norma legal invocada como fundamento.</w:t>
      </w:r>
    </w:p>
    <w:p w14:paraId="2BD7E4C0" w14:textId="77777777" w:rsidR="00BA602E" w:rsidRDefault="00FB427C">
      <w:pPr>
        <w:widowControl w:val="0"/>
        <w:spacing w:line="276" w:lineRule="auto"/>
        <w:ind w:left="640" w:right="899"/>
        <w:rPr>
          <w:i/>
        </w:rPr>
      </w:pPr>
      <w:r>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46F61AF" w14:textId="77777777" w:rsidR="00BA602E" w:rsidRDefault="00FB427C">
      <w:pPr>
        <w:widowControl w:val="0"/>
        <w:spacing w:line="276" w:lineRule="auto"/>
        <w:ind w:left="640" w:right="899"/>
        <w:rPr>
          <w:i/>
        </w:rPr>
      </w:pPr>
      <w:r>
        <w:rPr>
          <w:b/>
          <w:i/>
        </w:rPr>
        <w:t>Noveno.</w:t>
      </w:r>
      <w:r>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033870" w14:textId="77777777" w:rsidR="00BA602E" w:rsidRDefault="00FB427C">
      <w:pPr>
        <w:widowControl w:val="0"/>
        <w:spacing w:line="276" w:lineRule="auto"/>
        <w:ind w:left="640" w:right="899"/>
        <w:rPr>
          <w:i/>
        </w:rPr>
      </w:pPr>
      <w:r>
        <w:rPr>
          <w:b/>
          <w:i/>
        </w:rPr>
        <w:t>Décimo.</w:t>
      </w:r>
      <w:r>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698ED90" w14:textId="77777777" w:rsidR="00BA602E" w:rsidRDefault="00FB427C">
      <w:pPr>
        <w:widowControl w:val="0"/>
        <w:spacing w:line="276" w:lineRule="auto"/>
        <w:ind w:left="640" w:right="899"/>
        <w:rPr>
          <w:i/>
        </w:rPr>
      </w:pPr>
      <w:r>
        <w:rPr>
          <w:i/>
        </w:rPr>
        <w:t>En ausencia de los titulares de las áreas, la información será clasificada o desclasificada por la persona que lo supla, en términos de la normativa que rija la actuación del sujeto obligado.</w:t>
      </w:r>
    </w:p>
    <w:p w14:paraId="13DE9517" w14:textId="77777777" w:rsidR="00BA602E" w:rsidRDefault="00FB427C">
      <w:pPr>
        <w:widowControl w:val="0"/>
        <w:spacing w:line="276" w:lineRule="auto"/>
        <w:ind w:left="640" w:right="899"/>
        <w:rPr>
          <w:b/>
          <w:i/>
        </w:rPr>
      </w:pPr>
      <w:r>
        <w:rPr>
          <w:b/>
          <w:i/>
        </w:rPr>
        <w:t>Décimo primero.</w:t>
      </w:r>
      <w:r>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b/>
          <w:i/>
        </w:rPr>
        <w:t>”</w:t>
      </w:r>
    </w:p>
    <w:p w14:paraId="5D0A5CC9" w14:textId="77777777" w:rsidR="00BA602E" w:rsidRDefault="00BA602E">
      <w:pPr>
        <w:widowControl w:val="0"/>
      </w:pPr>
    </w:p>
    <w:p w14:paraId="71966528" w14:textId="77777777" w:rsidR="00BA602E" w:rsidRDefault="00FB427C">
      <w:pPr>
        <w:widowControl w:val="0"/>
      </w:pPr>
      <w: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B39D14" w14:textId="77777777" w:rsidR="00BA602E" w:rsidRDefault="00BA602E">
      <w:pPr>
        <w:widowControl w:val="0"/>
      </w:pPr>
    </w:p>
    <w:p w14:paraId="529DD152" w14:textId="77777777" w:rsidR="00BA602E" w:rsidRDefault="00FB427C">
      <w:pPr>
        <w:widowControl w:val="0"/>
      </w:pPr>
      <w:bookmarkStart w:id="52" w:name="_heading=h.9wrbivwf71ky" w:colFirst="0" w:colLast="0"/>
      <w:bookmarkEnd w:id="52"/>
      <w:r>
        <w:t xml:space="preserve">Consecuentemente, se destaca que la versión pública que elabore </w:t>
      </w:r>
      <w:r>
        <w:rPr>
          <w:b/>
        </w:rPr>
        <w:t>EL SUJETO OBLIGADO</w:t>
      </w:r>
      <w:r>
        <w:t xml:space="preserve"> debe cumplir con las formalidades exigidas en la Ley, por lo que para tal efecto emitirá el </w:t>
      </w:r>
      <w:r>
        <w:rPr>
          <w:b/>
        </w:rPr>
        <w:t>Acuerdo del Comité de Transparencia</w:t>
      </w:r>
      <w: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741474" w14:textId="77777777" w:rsidR="00BA602E" w:rsidRDefault="00BA602E">
      <w:pPr>
        <w:widowControl w:val="0"/>
      </w:pPr>
    </w:p>
    <w:p w14:paraId="7F415B90" w14:textId="77777777" w:rsidR="00BA602E" w:rsidRDefault="00FB427C">
      <w:pPr>
        <w:pStyle w:val="Ttulo3"/>
      </w:pPr>
      <w:bookmarkStart w:id="53" w:name="_Toc203625592"/>
      <w:r>
        <w:t>e) Conclusión</w:t>
      </w:r>
      <w:bookmarkEnd w:id="53"/>
    </w:p>
    <w:p w14:paraId="096290B6" w14:textId="77777777" w:rsidR="00BA602E" w:rsidRDefault="00FB427C">
      <w:r>
        <w:t>Este Instituto</w:t>
      </w:r>
      <w:r>
        <w:rPr>
          <w:i/>
        </w:rPr>
        <w:t xml:space="preserve"> </w:t>
      </w:r>
      <w:r>
        <w:t>determina</w:t>
      </w:r>
      <w:r>
        <w:rPr>
          <w:b/>
        </w:rPr>
        <w:t xml:space="preserve"> REVOCAR </w:t>
      </w:r>
      <w:r>
        <w:t xml:space="preserve">las respuestas del </w:t>
      </w:r>
      <w:r>
        <w:rPr>
          <w:b/>
        </w:rPr>
        <w:t xml:space="preserve">SUJETO OBLIGADO </w:t>
      </w:r>
      <w:r>
        <w:t xml:space="preserve">a las solicitudes </w:t>
      </w:r>
      <w:r>
        <w:rPr>
          <w:b/>
        </w:rPr>
        <w:t xml:space="preserve">00220/CUAUTIT/IP/2025 y 00221/CUAUTIT/IP/2025, </w:t>
      </w:r>
      <w:r>
        <w:t xml:space="preserve">por resultar </w:t>
      </w:r>
      <w:r>
        <w:rPr>
          <w:b/>
        </w:rPr>
        <w:t xml:space="preserve">FUNDADOS </w:t>
      </w:r>
      <w:r>
        <w:t xml:space="preserve">las razones o motivos de la </w:t>
      </w:r>
      <w:r>
        <w:rPr>
          <w:b/>
        </w:rPr>
        <w:t>PARTE RECURRENTE</w:t>
      </w:r>
      <w:r>
        <w:t xml:space="preserve"> en los recursos de revisión </w:t>
      </w:r>
      <w:r>
        <w:rPr>
          <w:b/>
        </w:rPr>
        <w:t xml:space="preserve">04107/INFOEM/IP/RR/2025 y 04110/INFOEM/IP/RR/2025 </w:t>
      </w:r>
      <w:r>
        <w:t xml:space="preserve">y ordenarle haga entrega, en versión pública de ser necesario, de lo siguiente: </w:t>
      </w:r>
    </w:p>
    <w:p w14:paraId="25565116" w14:textId="77777777" w:rsidR="00BA602E" w:rsidRDefault="00BA602E">
      <w:pPr>
        <w:ind w:right="-93"/>
      </w:pPr>
      <w:bookmarkStart w:id="54" w:name="_heading=h.8k8pc5q34lt4" w:colFirst="0" w:colLast="0"/>
      <w:bookmarkEnd w:id="54"/>
    </w:p>
    <w:p w14:paraId="29398C90" w14:textId="12B86E95" w:rsidR="00BA602E" w:rsidRDefault="00FB427C" w:rsidP="00AA71B9">
      <w:pPr>
        <w:ind w:right="-93"/>
      </w:pPr>
      <w:bookmarkStart w:id="55" w:name="_heading=h.41mghml" w:colFirst="0" w:colLast="0"/>
      <w:bookmarkEnd w:id="55"/>
      <w:r>
        <w:t xml:space="preserve">Así, con fundamento en lo establecido en los artículos 5, párrafos trigésimo segundo, trigésimo tercero y trigésimo cuarto, fracciones IV y V, de la Constitución Política del Estado Libre y </w:t>
      </w:r>
      <w:r>
        <w:lastRenderedPageBreak/>
        <w:t>Soberano de México; y en los artículos 2, fracción II, 9, 29, 36, fracciones I y II, 176, 178, 179, 186 y 188 de la Ley de Transparencia y Acceso a la Información Pública del Estado de México y Municipios, este Pleno:</w:t>
      </w:r>
      <w:bookmarkStart w:id="56" w:name="_heading=h.qk7mu6bazgi1" w:colFirst="0" w:colLast="0"/>
      <w:bookmarkStart w:id="57" w:name="_heading=h.1ncyhfybnk9m" w:colFirst="0" w:colLast="0"/>
      <w:bookmarkEnd w:id="56"/>
      <w:bookmarkEnd w:id="57"/>
    </w:p>
    <w:p w14:paraId="1B7E0BDB" w14:textId="77777777" w:rsidR="00AA71B9" w:rsidRDefault="00AA71B9" w:rsidP="00AA71B9">
      <w:pPr>
        <w:ind w:right="-93"/>
      </w:pPr>
    </w:p>
    <w:p w14:paraId="1FD24343" w14:textId="77777777" w:rsidR="00BA602E" w:rsidRDefault="00FB427C">
      <w:pPr>
        <w:pStyle w:val="Ttulo1"/>
        <w:spacing w:line="240" w:lineRule="auto"/>
        <w:ind w:left="567" w:right="567" w:firstLine="567"/>
      </w:pPr>
      <w:bookmarkStart w:id="58" w:name="_Toc203625593"/>
      <w:r>
        <w:t>RESUELVE</w:t>
      </w:r>
      <w:bookmarkEnd w:id="58"/>
    </w:p>
    <w:p w14:paraId="606B17BC" w14:textId="77777777" w:rsidR="00BA602E" w:rsidRDefault="00BA602E">
      <w:pPr>
        <w:ind w:right="113"/>
        <w:rPr>
          <w:b/>
        </w:rPr>
      </w:pPr>
    </w:p>
    <w:p w14:paraId="077A828F" w14:textId="77777777" w:rsidR="00BA602E" w:rsidRDefault="00FB427C">
      <w:pPr>
        <w:widowControl w:val="0"/>
      </w:pPr>
      <w:r>
        <w:rPr>
          <w:b/>
        </w:rPr>
        <w:t>PRIMERO.</w:t>
      </w:r>
      <w:r>
        <w:t xml:space="preserve"> </w:t>
      </w:r>
      <w:r>
        <w:rPr>
          <w:b/>
        </w:rPr>
        <w:t xml:space="preserve">Se REVOCAN </w:t>
      </w:r>
      <w:r>
        <w:t xml:space="preserve">las respuestas entregadas por el </w:t>
      </w:r>
      <w:r>
        <w:rPr>
          <w:b/>
        </w:rPr>
        <w:t>SUJETO OBLIGADO</w:t>
      </w:r>
      <w:r>
        <w:t xml:space="preserve"> en la solicitud de información </w:t>
      </w:r>
      <w:r>
        <w:rPr>
          <w:b/>
        </w:rPr>
        <w:t>00220/CUAUTIT/IP/2025 y 00221/CUAUTIT/IP/2025,</w:t>
      </w:r>
      <w:r>
        <w:t xml:space="preserve"> por resultar </w:t>
      </w:r>
      <w:r>
        <w:rPr>
          <w:b/>
        </w:rPr>
        <w:t>FUNDADAS</w:t>
      </w:r>
      <w:r>
        <w:t xml:space="preserve"> las razones o motivos de inconformidad hechos valer por </w:t>
      </w:r>
      <w:r>
        <w:rPr>
          <w:b/>
        </w:rPr>
        <w:t>LA PARTE RECURRENTE</w:t>
      </w:r>
      <w:r>
        <w:t xml:space="preserve"> en el Recurso de Revisión </w:t>
      </w:r>
      <w:r>
        <w:rPr>
          <w:b/>
        </w:rPr>
        <w:t xml:space="preserve">04107/INFOEM/IP/RR/2025 y 04110/INFOEM/IP/RR/2025, </w:t>
      </w:r>
      <w:r>
        <w:t xml:space="preserve">en términos del considerando </w:t>
      </w:r>
      <w:r>
        <w:rPr>
          <w:b/>
        </w:rPr>
        <w:t>SEGUNDO</w:t>
      </w:r>
      <w:r>
        <w:t xml:space="preserve"> de la presente Resolución.</w:t>
      </w:r>
    </w:p>
    <w:p w14:paraId="01EF53B6" w14:textId="77777777" w:rsidR="00BA602E" w:rsidRDefault="00BA602E">
      <w:pPr>
        <w:rPr>
          <w:b/>
        </w:rPr>
      </w:pPr>
    </w:p>
    <w:p w14:paraId="556B2397" w14:textId="77777777" w:rsidR="00BA602E" w:rsidRDefault="00FB427C">
      <w:pPr>
        <w:ind w:right="-93"/>
      </w:pPr>
      <w:r>
        <w:rPr>
          <w:b/>
        </w:rPr>
        <w:t>SEGUNDO.</w:t>
      </w:r>
      <w:r>
        <w:t xml:space="preserve"> Se </w:t>
      </w:r>
      <w:r>
        <w:rPr>
          <w:b/>
        </w:rPr>
        <w:t xml:space="preserve">ORDENA </w:t>
      </w:r>
      <w:r>
        <w:t xml:space="preserve">al </w:t>
      </w:r>
      <w:r>
        <w:rPr>
          <w:b/>
        </w:rPr>
        <w:t>SUJETO OBLIGADO</w:t>
      </w:r>
      <w:r>
        <w:t xml:space="preserve">, a efecto de que entregue a través del </w:t>
      </w:r>
      <w:r>
        <w:rPr>
          <w:b/>
        </w:rPr>
        <w:t>SAIMEX</w:t>
      </w:r>
      <w:r>
        <w:t xml:space="preserve">, de ser procedente en </w:t>
      </w:r>
      <w:r>
        <w:rPr>
          <w:b/>
        </w:rPr>
        <w:t xml:space="preserve">versión pública, </w:t>
      </w:r>
      <w:r>
        <w:t xml:space="preserve">al 21 de febrero de 2025, los documentos donde conste: </w:t>
      </w:r>
    </w:p>
    <w:p w14:paraId="0A4133B9" w14:textId="77777777" w:rsidR="00BA602E" w:rsidRDefault="00BA602E" w:rsidP="006A3AB9">
      <w:pPr>
        <w:spacing w:line="240" w:lineRule="auto"/>
        <w:ind w:right="-93"/>
      </w:pPr>
    </w:p>
    <w:p w14:paraId="0269FEDA" w14:textId="77777777" w:rsidR="00BA602E" w:rsidRDefault="00FB427C" w:rsidP="006A3AB9">
      <w:pPr>
        <w:spacing w:line="240" w:lineRule="auto"/>
        <w:ind w:left="708" w:right="824"/>
        <w:rPr>
          <w:i/>
        </w:rPr>
      </w:pPr>
      <w:r>
        <w:rPr>
          <w:i/>
        </w:rPr>
        <w:t xml:space="preserve">La fecha y costo desglosado del último mantenimiento preventivo dado a cada uno de los cárcamos; así como, el documento donde se advierta si dicho servicio fue otorgado por un tercero o realizado por </w:t>
      </w:r>
      <w:r>
        <w:rPr>
          <w:b/>
          <w:i/>
        </w:rPr>
        <w:t>EL SUJETO OBLIGADO</w:t>
      </w:r>
      <w:r>
        <w:rPr>
          <w:i/>
        </w:rPr>
        <w:t xml:space="preserve">. </w:t>
      </w:r>
    </w:p>
    <w:p w14:paraId="37629EFA" w14:textId="77777777" w:rsidR="00BA602E" w:rsidRDefault="00BA602E">
      <w:pPr>
        <w:ind w:right="-93"/>
      </w:pPr>
      <w:bookmarkStart w:id="59" w:name="_heading=h.ql9dpxms1gal" w:colFirst="0" w:colLast="0"/>
      <w:bookmarkEnd w:id="59"/>
    </w:p>
    <w:p w14:paraId="5D79B5FC" w14:textId="77777777" w:rsidR="00BA602E" w:rsidRDefault="00FB427C">
      <w:pPr>
        <w:ind w:right="-93"/>
      </w:pPr>
      <w: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1477B3C" w14:textId="77777777" w:rsidR="00BA602E" w:rsidRDefault="00BA602E">
      <w:pPr>
        <w:ind w:right="-93"/>
      </w:pPr>
      <w:bookmarkStart w:id="60" w:name="_heading=h.3ygebqi" w:colFirst="0" w:colLast="0"/>
      <w:bookmarkEnd w:id="60"/>
    </w:p>
    <w:p w14:paraId="4E4F7BD8" w14:textId="77777777" w:rsidR="00BA602E" w:rsidRDefault="00FB427C">
      <w:r>
        <w:rPr>
          <w:b/>
        </w:rPr>
        <w:t>TERCERO.</w:t>
      </w:r>
      <w:r>
        <w:t xml:space="preserve"> Notifíquese la presente resolución al Titular de la Unidad de Transparencia del </w:t>
      </w:r>
      <w:r>
        <w:rPr>
          <w:b/>
        </w:rPr>
        <w:t>SUJETO OBLIGADO</w:t>
      </w:r>
      <w:r>
        <w:t xml:space="preserve">, vía Sistema de Acceso a la Información Mexiquense (SAIMEX), para </w:t>
      </w:r>
      <w:r>
        <w:lastRenderedPageBreak/>
        <w:t xml:space="preserve">que conforme al artículo 186 último párrafo, 189 segundo párrafo y 194 de la Ley de Transparencia y Acceso a la Información Pública del Estado de México y Municipios, dé cumplimiento a lo ordenado dentro del plazo de </w:t>
      </w:r>
      <w:r>
        <w:rPr>
          <w:b/>
        </w:rPr>
        <w:t>diez días hábiles</w:t>
      </w:r>
      <w:r>
        <w:t xml:space="preserve">, e informe a este Instituto en un plazo de </w:t>
      </w:r>
      <w:r>
        <w:rPr>
          <w:b/>
        </w:rPr>
        <w:t>tres días hábiles</w:t>
      </w:r>
      <w:r>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4EFF82" w14:textId="77777777" w:rsidR="00BA602E" w:rsidRDefault="00BA602E"/>
    <w:p w14:paraId="23AD099A" w14:textId="77777777" w:rsidR="00BA602E" w:rsidRDefault="00FB427C">
      <w:r>
        <w:rPr>
          <w:b/>
        </w:rPr>
        <w:t>CUARTO.</w:t>
      </w:r>
      <w:r>
        <w:t xml:space="preserve"> Notifíquese a </w:t>
      </w:r>
      <w:r>
        <w:rPr>
          <w:b/>
        </w:rPr>
        <w:t>LA PARTE RECURRENTE</w:t>
      </w:r>
      <w:r>
        <w:t xml:space="preserve"> la presente resolución vía Sistema de Acceso a la Información Mexiquense (</w:t>
      </w:r>
      <w:r>
        <w:rPr>
          <w:b/>
        </w:rPr>
        <w:t>SAIMEX</w:t>
      </w:r>
      <w:r>
        <w:t>).</w:t>
      </w:r>
    </w:p>
    <w:p w14:paraId="40561796" w14:textId="77777777" w:rsidR="00BA602E" w:rsidRDefault="00BA602E"/>
    <w:p w14:paraId="41D3A9A3" w14:textId="77777777" w:rsidR="00BA602E" w:rsidRDefault="00FB427C">
      <w:bookmarkStart w:id="61" w:name="_heading=h.4bvk7pj" w:colFirst="0" w:colLast="0"/>
      <w:bookmarkEnd w:id="61"/>
      <w:r>
        <w:rPr>
          <w:b/>
        </w:rPr>
        <w:t>QUINTO.</w:t>
      </w:r>
      <w:r>
        <w:t xml:space="preserve"> Hágase del conocimiento a </w:t>
      </w:r>
      <w:r>
        <w:rPr>
          <w:b/>
        </w:rPr>
        <w:t>LA PARTE RECURRENTE</w:t>
      </w:r>
      <w:r>
        <w:t xml:space="preserve"> vía Sistema de Acceso a la Información Mexiquense (</w:t>
      </w:r>
      <w:r>
        <w:rPr>
          <w:b/>
        </w:rPr>
        <w:t>SAIMEX</w:t>
      </w:r>
      <w:r>
        <w:t>),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01FAB60" w14:textId="77777777" w:rsidR="00BA602E" w:rsidRDefault="00BA602E">
      <w:pPr>
        <w:rPr>
          <w:b/>
        </w:rPr>
      </w:pPr>
    </w:p>
    <w:p w14:paraId="09FE87ED" w14:textId="77777777" w:rsidR="00BA602E" w:rsidRDefault="00FB427C">
      <w:bookmarkStart w:id="62" w:name="_heading=h.tyjcwt" w:colFirst="0" w:colLast="0"/>
      <w:bookmarkEnd w:id="62"/>
      <w:r>
        <w:rPr>
          <w:b/>
        </w:rPr>
        <w:t xml:space="preserve">SEXTO. </w:t>
      </w:r>
      <w:r>
        <w:t xml:space="preserve">Información Pública del Estado de México y Municipios, el </w:t>
      </w:r>
      <w:r>
        <w:rPr>
          <w:b/>
        </w:rPr>
        <w:t>SUJETO OBLIGADO</w:t>
      </w:r>
      <w:r>
        <w:t xml:space="preserve"> podrá solicitar una ampliación de plazo, de manera fundada y motivada, para el cumplimiento de la presente resolución.</w:t>
      </w:r>
    </w:p>
    <w:p w14:paraId="37E98B87" w14:textId="77777777" w:rsidR="003F562A" w:rsidRDefault="003F562A"/>
    <w:p w14:paraId="65F1793B" w14:textId="77777777" w:rsidR="003F562A" w:rsidRDefault="003F562A"/>
    <w:p w14:paraId="4256BB29" w14:textId="77777777" w:rsidR="003F562A" w:rsidRDefault="003F562A"/>
    <w:p w14:paraId="04B140EE" w14:textId="77777777" w:rsidR="00BA602E" w:rsidRDefault="00FB427C" w:rsidP="006A3AB9">
      <w:pPr>
        <w:spacing w:before="240"/>
        <w:ind w:right="-100"/>
      </w:pPr>
      <w:bookmarkStart w:id="63" w:name="_heading=h.dvez3geemhyv" w:colFirst="0" w:colLast="0"/>
      <w:bookmarkEnd w:id="63"/>
      <w: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1F1495EC" w14:textId="77777777" w:rsidR="00BA602E" w:rsidRDefault="00FB427C">
      <w:pPr>
        <w:spacing w:before="240" w:after="240"/>
        <w:ind w:right="-100"/>
      </w:pPr>
      <w:bookmarkStart w:id="64" w:name="_heading=h.jsiqj2hz2bjk" w:colFirst="0" w:colLast="0"/>
      <w:bookmarkEnd w:id="64"/>
      <w:r>
        <w:t>SCMM/AGZ/DEMF/PMRE</w:t>
      </w:r>
    </w:p>
    <w:p w14:paraId="73C83FB2" w14:textId="77777777" w:rsidR="00BA602E" w:rsidRDefault="00BA602E">
      <w:pPr>
        <w:ind w:right="-93"/>
      </w:pPr>
    </w:p>
    <w:p w14:paraId="64407C02" w14:textId="77777777" w:rsidR="00BA602E" w:rsidRDefault="00BA602E">
      <w:pPr>
        <w:ind w:right="-93"/>
      </w:pPr>
    </w:p>
    <w:p w14:paraId="18E24BBF" w14:textId="77777777" w:rsidR="00BA602E" w:rsidRDefault="00BA602E">
      <w:pPr>
        <w:ind w:right="-93"/>
      </w:pPr>
    </w:p>
    <w:p w14:paraId="3C808AE5" w14:textId="77777777" w:rsidR="00BA602E" w:rsidRDefault="00BA602E">
      <w:pPr>
        <w:ind w:right="-93"/>
      </w:pPr>
    </w:p>
    <w:p w14:paraId="2A5D48FC" w14:textId="77777777" w:rsidR="00BA602E" w:rsidRDefault="00BA602E">
      <w:pPr>
        <w:ind w:right="-93"/>
      </w:pPr>
    </w:p>
    <w:p w14:paraId="57C5C490" w14:textId="77777777" w:rsidR="00BA602E" w:rsidRDefault="00BA602E">
      <w:pPr>
        <w:ind w:right="-93"/>
      </w:pPr>
    </w:p>
    <w:p w14:paraId="59129A0F" w14:textId="77777777" w:rsidR="00BA602E" w:rsidRDefault="00BA602E">
      <w:pPr>
        <w:ind w:right="-93"/>
      </w:pPr>
    </w:p>
    <w:p w14:paraId="39AD11CF" w14:textId="77777777" w:rsidR="00BA602E" w:rsidRDefault="00BA602E">
      <w:pPr>
        <w:tabs>
          <w:tab w:val="center" w:pos="4568"/>
        </w:tabs>
        <w:ind w:right="-93"/>
      </w:pPr>
    </w:p>
    <w:p w14:paraId="3F90FC4E" w14:textId="77777777" w:rsidR="00BA602E" w:rsidRDefault="00BA602E">
      <w:pPr>
        <w:tabs>
          <w:tab w:val="center" w:pos="4568"/>
        </w:tabs>
        <w:ind w:right="-93"/>
      </w:pPr>
    </w:p>
    <w:p w14:paraId="382C0877" w14:textId="77777777" w:rsidR="00BA602E" w:rsidRDefault="00BA602E">
      <w:pPr>
        <w:tabs>
          <w:tab w:val="center" w:pos="4568"/>
        </w:tabs>
        <w:ind w:right="-93"/>
      </w:pPr>
    </w:p>
    <w:p w14:paraId="0C4D85B1" w14:textId="77777777" w:rsidR="00BA602E" w:rsidRDefault="00BA602E">
      <w:pPr>
        <w:tabs>
          <w:tab w:val="center" w:pos="4568"/>
        </w:tabs>
        <w:ind w:right="-93"/>
      </w:pPr>
    </w:p>
    <w:p w14:paraId="150E7D38" w14:textId="77777777" w:rsidR="00BA602E" w:rsidRDefault="00BA602E">
      <w:pPr>
        <w:tabs>
          <w:tab w:val="center" w:pos="4568"/>
        </w:tabs>
        <w:ind w:right="-93"/>
      </w:pPr>
    </w:p>
    <w:p w14:paraId="67E67D5F" w14:textId="77777777" w:rsidR="00BA602E" w:rsidRDefault="00BA602E">
      <w:pPr>
        <w:tabs>
          <w:tab w:val="center" w:pos="4568"/>
        </w:tabs>
        <w:ind w:right="-93"/>
      </w:pPr>
    </w:p>
    <w:p w14:paraId="10648FEA" w14:textId="77777777" w:rsidR="00BA602E" w:rsidRDefault="00BA602E">
      <w:pPr>
        <w:tabs>
          <w:tab w:val="center" w:pos="4568"/>
        </w:tabs>
        <w:ind w:right="-93"/>
      </w:pPr>
    </w:p>
    <w:p w14:paraId="7CF1B4C8" w14:textId="77777777" w:rsidR="00BA602E" w:rsidRDefault="00BA602E">
      <w:pPr>
        <w:tabs>
          <w:tab w:val="center" w:pos="4568"/>
        </w:tabs>
        <w:ind w:right="-93"/>
      </w:pPr>
    </w:p>
    <w:p w14:paraId="5FB1665F" w14:textId="77777777" w:rsidR="00BA602E" w:rsidRDefault="00BA602E">
      <w:pPr>
        <w:tabs>
          <w:tab w:val="center" w:pos="4568"/>
        </w:tabs>
        <w:ind w:right="-93"/>
      </w:pPr>
    </w:p>
    <w:p w14:paraId="33B14552" w14:textId="77777777" w:rsidR="00BA602E" w:rsidRDefault="00BA602E">
      <w:pPr>
        <w:tabs>
          <w:tab w:val="center" w:pos="4568"/>
        </w:tabs>
        <w:ind w:right="-93"/>
      </w:pPr>
    </w:p>
    <w:p w14:paraId="32BD2977" w14:textId="77777777" w:rsidR="00BA602E" w:rsidRDefault="00BA602E">
      <w:pPr>
        <w:tabs>
          <w:tab w:val="center" w:pos="4568"/>
        </w:tabs>
        <w:ind w:right="-93"/>
      </w:pPr>
    </w:p>
    <w:p w14:paraId="1DEC896F" w14:textId="77777777" w:rsidR="00BA602E" w:rsidRDefault="00BA602E">
      <w:pPr>
        <w:tabs>
          <w:tab w:val="center" w:pos="4568"/>
        </w:tabs>
        <w:ind w:right="-93"/>
      </w:pPr>
    </w:p>
    <w:p w14:paraId="16611A94" w14:textId="77777777" w:rsidR="00BA602E" w:rsidRDefault="00BA602E">
      <w:pPr>
        <w:tabs>
          <w:tab w:val="center" w:pos="4568"/>
        </w:tabs>
        <w:ind w:right="-93"/>
      </w:pPr>
    </w:p>
    <w:p w14:paraId="26455C89" w14:textId="77777777" w:rsidR="00BA602E" w:rsidRDefault="00BA602E">
      <w:pPr>
        <w:tabs>
          <w:tab w:val="center" w:pos="4568"/>
        </w:tabs>
        <w:ind w:right="-93"/>
      </w:pPr>
    </w:p>
    <w:p w14:paraId="4DFBB329" w14:textId="77777777" w:rsidR="00BA602E" w:rsidRDefault="00BA602E">
      <w:pPr>
        <w:tabs>
          <w:tab w:val="center" w:pos="4568"/>
        </w:tabs>
        <w:ind w:right="-93"/>
      </w:pPr>
    </w:p>
    <w:p w14:paraId="4C14F8FF" w14:textId="77777777" w:rsidR="00BA602E" w:rsidRDefault="00BA602E">
      <w:pPr>
        <w:tabs>
          <w:tab w:val="center" w:pos="4568"/>
        </w:tabs>
        <w:ind w:right="-93"/>
      </w:pPr>
    </w:p>
    <w:p w14:paraId="5BA124F4" w14:textId="77777777" w:rsidR="00BA602E" w:rsidRDefault="00BA602E"/>
    <w:sectPr w:rsidR="00BA602E">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34B8C" w14:textId="77777777" w:rsidR="00112A2E" w:rsidRDefault="00112A2E">
      <w:pPr>
        <w:spacing w:line="240" w:lineRule="auto"/>
      </w:pPr>
      <w:r>
        <w:separator/>
      </w:r>
    </w:p>
  </w:endnote>
  <w:endnote w:type="continuationSeparator" w:id="0">
    <w:p w14:paraId="36F59511" w14:textId="77777777" w:rsidR="00112A2E" w:rsidRDefault="00112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9C40E" w14:textId="77777777" w:rsidR="00BA602E" w:rsidRDefault="00BA602E">
    <w:pPr>
      <w:tabs>
        <w:tab w:val="center" w:pos="4550"/>
        <w:tab w:val="left" w:pos="5818"/>
      </w:tabs>
      <w:ind w:right="260"/>
      <w:jc w:val="right"/>
      <w:rPr>
        <w:color w:val="071320"/>
        <w:sz w:val="24"/>
        <w:szCs w:val="24"/>
      </w:rPr>
    </w:pPr>
  </w:p>
  <w:p w14:paraId="3B934772" w14:textId="77777777" w:rsidR="00BA602E" w:rsidRDefault="00BA602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933F" w14:textId="77777777" w:rsidR="00BA602E" w:rsidRDefault="00FB427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32011">
      <w:rPr>
        <w:noProof/>
        <w:color w:val="0A1D30"/>
        <w:sz w:val="24"/>
        <w:szCs w:val="24"/>
      </w:rPr>
      <w:t>27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32011">
      <w:rPr>
        <w:noProof/>
        <w:color w:val="0A1D30"/>
        <w:sz w:val="24"/>
        <w:szCs w:val="24"/>
      </w:rPr>
      <w:t>48</w:t>
    </w:r>
    <w:r>
      <w:rPr>
        <w:color w:val="0A1D30"/>
        <w:sz w:val="24"/>
        <w:szCs w:val="24"/>
      </w:rPr>
      <w:fldChar w:fldCharType="end"/>
    </w:r>
  </w:p>
  <w:p w14:paraId="02DBB15B" w14:textId="77777777" w:rsidR="00BA602E" w:rsidRDefault="00BA602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0639F" w14:textId="77777777" w:rsidR="00112A2E" w:rsidRDefault="00112A2E">
      <w:pPr>
        <w:spacing w:line="240" w:lineRule="auto"/>
      </w:pPr>
      <w:r>
        <w:separator/>
      </w:r>
    </w:p>
  </w:footnote>
  <w:footnote w:type="continuationSeparator" w:id="0">
    <w:p w14:paraId="12CB09B7" w14:textId="77777777" w:rsidR="00112A2E" w:rsidRDefault="00112A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1331B" w14:textId="77777777" w:rsidR="00BA602E" w:rsidRDefault="00BA602E">
    <w:pPr>
      <w:widowControl w:val="0"/>
      <w:pBdr>
        <w:top w:val="nil"/>
        <w:left w:val="nil"/>
        <w:bottom w:val="nil"/>
        <w:right w:val="nil"/>
        <w:between w:val="nil"/>
      </w:pBdr>
      <w:spacing w:line="276" w:lineRule="auto"/>
      <w:jc w:val="left"/>
    </w:pPr>
  </w:p>
  <w:tbl>
    <w:tblPr>
      <w:tblStyle w:val="affc"/>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A602E" w14:paraId="4356B738" w14:textId="77777777">
      <w:trPr>
        <w:trHeight w:val="144"/>
        <w:jc w:val="right"/>
      </w:trPr>
      <w:tc>
        <w:tcPr>
          <w:tcW w:w="2727" w:type="dxa"/>
        </w:tcPr>
        <w:p w14:paraId="58E25EEF" w14:textId="77777777" w:rsidR="00BA602E" w:rsidRDefault="00FB427C">
          <w:pPr>
            <w:tabs>
              <w:tab w:val="right" w:pos="8838"/>
            </w:tabs>
            <w:ind w:left="-74" w:right="-105"/>
            <w:rPr>
              <w:b/>
            </w:rPr>
          </w:pPr>
          <w:r>
            <w:rPr>
              <w:b/>
            </w:rPr>
            <w:t>Recurso de Revisión:</w:t>
          </w:r>
        </w:p>
      </w:tc>
      <w:tc>
        <w:tcPr>
          <w:tcW w:w="3402" w:type="dxa"/>
        </w:tcPr>
        <w:p w14:paraId="7F60E5A4" w14:textId="77777777" w:rsidR="00BA602E" w:rsidRDefault="00FB427C">
          <w:pPr>
            <w:tabs>
              <w:tab w:val="right" w:pos="8838"/>
            </w:tabs>
            <w:ind w:left="-74" w:right="-105"/>
          </w:pPr>
          <w:r>
            <w:t>04107/INFOEM/IP/RR/2025 y acumulado</w:t>
          </w:r>
        </w:p>
      </w:tc>
    </w:tr>
    <w:tr w:rsidR="00BA602E" w14:paraId="090B72BE" w14:textId="77777777">
      <w:trPr>
        <w:trHeight w:val="283"/>
        <w:jc w:val="right"/>
      </w:trPr>
      <w:tc>
        <w:tcPr>
          <w:tcW w:w="2727" w:type="dxa"/>
        </w:tcPr>
        <w:p w14:paraId="70BFB5E2" w14:textId="77777777" w:rsidR="00BA602E" w:rsidRDefault="00FB427C">
          <w:pPr>
            <w:tabs>
              <w:tab w:val="right" w:pos="8838"/>
            </w:tabs>
            <w:ind w:left="-74" w:right="-105"/>
            <w:rPr>
              <w:b/>
            </w:rPr>
          </w:pPr>
          <w:r>
            <w:rPr>
              <w:b/>
            </w:rPr>
            <w:t>Sujeto Obligado:</w:t>
          </w:r>
        </w:p>
      </w:tc>
      <w:tc>
        <w:tcPr>
          <w:tcW w:w="3402" w:type="dxa"/>
        </w:tcPr>
        <w:p w14:paraId="05B19771" w14:textId="77777777" w:rsidR="00BA602E" w:rsidRDefault="00FB427C">
          <w:pPr>
            <w:tabs>
              <w:tab w:val="left" w:pos="2834"/>
              <w:tab w:val="right" w:pos="8838"/>
            </w:tabs>
            <w:ind w:left="-108" w:right="-105"/>
          </w:pPr>
          <w:r>
            <w:t>Ayuntamiento de Cuautitlán</w:t>
          </w:r>
        </w:p>
      </w:tc>
    </w:tr>
    <w:tr w:rsidR="00BA602E" w14:paraId="6CD00A09" w14:textId="77777777">
      <w:trPr>
        <w:trHeight w:val="283"/>
        <w:jc w:val="right"/>
      </w:trPr>
      <w:tc>
        <w:tcPr>
          <w:tcW w:w="2727" w:type="dxa"/>
        </w:tcPr>
        <w:p w14:paraId="173D8857" w14:textId="77777777" w:rsidR="00BA602E" w:rsidRDefault="00FB427C">
          <w:pPr>
            <w:tabs>
              <w:tab w:val="right" w:pos="8838"/>
            </w:tabs>
            <w:ind w:left="-74" w:right="-105"/>
            <w:rPr>
              <w:b/>
            </w:rPr>
          </w:pPr>
          <w:r>
            <w:rPr>
              <w:b/>
            </w:rPr>
            <w:t>Comisionada Ponente:</w:t>
          </w:r>
        </w:p>
      </w:tc>
      <w:tc>
        <w:tcPr>
          <w:tcW w:w="3402" w:type="dxa"/>
        </w:tcPr>
        <w:p w14:paraId="2EA4369E" w14:textId="77777777" w:rsidR="00BA602E" w:rsidRDefault="00FB427C">
          <w:pPr>
            <w:tabs>
              <w:tab w:val="right" w:pos="8838"/>
            </w:tabs>
            <w:ind w:left="-108" w:right="-105"/>
          </w:pPr>
          <w:r>
            <w:t>Sharon Cristina Morales Martínez</w:t>
          </w:r>
        </w:p>
      </w:tc>
    </w:tr>
  </w:tbl>
  <w:p w14:paraId="041DF5C8" w14:textId="77777777" w:rsidR="00BA602E" w:rsidRDefault="00FB427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218A39" wp14:editId="40C08100">
          <wp:simplePos x="0" y="0"/>
          <wp:positionH relativeFrom="margin">
            <wp:posOffset>-995027</wp:posOffset>
          </wp:positionH>
          <wp:positionV relativeFrom="margin">
            <wp:posOffset>-1782427</wp:posOffset>
          </wp:positionV>
          <wp:extent cx="8426450" cy="10972800"/>
          <wp:effectExtent l="0" t="0" r="0" b="0"/>
          <wp:wrapNone/>
          <wp:docPr id="2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07A5F" w14:textId="77777777" w:rsidR="00BA602E" w:rsidRDefault="00BA602E">
    <w:pPr>
      <w:widowControl w:val="0"/>
      <w:pBdr>
        <w:top w:val="nil"/>
        <w:left w:val="nil"/>
        <w:bottom w:val="nil"/>
        <w:right w:val="nil"/>
        <w:between w:val="nil"/>
      </w:pBdr>
      <w:spacing w:line="276" w:lineRule="auto"/>
      <w:jc w:val="left"/>
      <w:rPr>
        <w:color w:val="000000"/>
        <w:sz w:val="14"/>
        <w:szCs w:val="14"/>
      </w:rPr>
    </w:pPr>
  </w:p>
  <w:tbl>
    <w:tblPr>
      <w:tblStyle w:val="affd"/>
      <w:tblW w:w="6660" w:type="dxa"/>
      <w:tblInd w:w="2552" w:type="dxa"/>
      <w:tblLayout w:type="fixed"/>
      <w:tblLook w:val="0400" w:firstRow="0" w:lastRow="0" w:firstColumn="0" w:lastColumn="0" w:noHBand="0" w:noVBand="1"/>
    </w:tblPr>
    <w:tblGrid>
      <w:gridCol w:w="283"/>
      <w:gridCol w:w="6377"/>
    </w:tblGrid>
    <w:tr w:rsidR="00BA602E" w14:paraId="22D404F9" w14:textId="77777777">
      <w:trPr>
        <w:trHeight w:val="1435"/>
      </w:trPr>
      <w:tc>
        <w:tcPr>
          <w:tcW w:w="283" w:type="dxa"/>
        </w:tcPr>
        <w:p w14:paraId="2D73881F" w14:textId="77777777" w:rsidR="00BA602E" w:rsidRDefault="00BA602E">
          <w:pPr>
            <w:tabs>
              <w:tab w:val="right" w:pos="4273"/>
            </w:tabs>
            <w:rPr>
              <w:rFonts w:ascii="Garamond" w:eastAsia="Garamond" w:hAnsi="Garamond" w:cs="Garamond"/>
            </w:rPr>
          </w:pPr>
        </w:p>
      </w:tc>
      <w:tc>
        <w:tcPr>
          <w:tcW w:w="6377" w:type="dxa"/>
        </w:tcPr>
        <w:p w14:paraId="4439DF88" w14:textId="77777777" w:rsidR="00BA602E" w:rsidRDefault="00BA602E">
          <w:pPr>
            <w:widowControl w:val="0"/>
            <w:pBdr>
              <w:top w:val="nil"/>
              <w:left w:val="nil"/>
              <w:bottom w:val="nil"/>
              <w:right w:val="nil"/>
              <w:between w:val="nil"/>
            </w:pBdr>
            <w:spacing w:line="276" w:lineRule="auto"/>
            <w:jc w:val="left"/>
            <w:rPr>
              <w:rFonts w:ascii="Garamond" w:eastAsia="Garamond" w:hAnsi="Garamond" w:cs="Garamond"/>
            </w:rPr>
          </w:pPr>
        </w:p>
        <w:tbl>
          <w:tblPr>
            <w:tblStyle w:val="affe"/>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BA602E" w14:paraId="626078A7" w14:textId="77777777">
            <w:trPr>
              <w:trHeight w:val="144"/>
            </w:trPr>
            <w:tc>
              <w:tcPr>
                <w:tcW w:w="2727" w:type="dxa"/>
              </w:tcPr>
              <w:p w14:paraId="7B414F2D" w14:textId="77777777" w:rsidR="00BA602E" w:rsidRDefault="00FB427C">
                <w:pPr>
                  <w:tabs>
                    <w:tab w:val="right" w:pos="8838"/>
                  </w:tabs>
                  <w:ind w:left="-74" w:right="-105"/>
                  <w:rPr>
                    <w:b/>
                  </w:rPr>
                </w:pPr>
                <w:bookmarkStart w:id="0" w:name="_heading=h.vx1227" w:colFirst="0" w:colLast="0"/>
                <w:bookmarkEnd w:id="0"/>
                <w:r>
                  <w:rPr>
                    <w:b/>
                  </w:rPr>
                  <w:t>Recurso de Revisión:</w:t>
                </w:r>
              </w:p>
            </w:tc>
            <w:tc>
              <w:tcPr>
                <w:tcW w:w="3402" w:type="dxa"/>
              </w:tcPr>
              <w:p w14:paraId="13876B55" w14:textId="77777777" w:rsidR="00BA602E" w:rsidRDefault="00FB427C">
                <w:pPr>
                  <w:tabs>
                    <w:tab w:val="right" w:pos="8838"/>
                  </w:tabs>
                  <w:ind w:left="-74" w:right="-105"/>
                </w:pPr>
                <w:r>
                  <w:t>04107/INFOEM/IP/RR/2025 y acumulado</w:t>
                </w:r>
              </w:p>
            </w:tc>
            <w:tc>
              <w:tcPr>
                <w:tcW w:w="3402" w:type="dxa"/>
              </w:tcPr>
              <w:p w14:paraId="4D2D6AA1" w14:textId="77777777" w:rsidR="00BA602E" w:rsidRDefault="00BA602E">
                <w:pPr>
                  <w:tabs>
                    <w:tab w:val="right" w:pos="8838"/>
                  </w:tabs>
                  <w:ind w:left="-74" w:right="-105"/>
                </w:pPr>
              </w:p>
            </w:tc>
          </w:tr>
          <w:tr w:rsidR="00BA602E" w14:paraId="12D66233" w14:textId="77777777">
            <w:trPr>
              <w:trHeight w:val="144"/>
            </w:trPr>
            <w:tc>
              <w:tcPr>
                <w:tcW w:w="2727" w:type="dxa"/>
              </w:tcPr>
              <w:p w14:paraId="2A019A87" w14:textId="77777777" w:rsidR="00BA602E" w:rsidRDefault="00FB427C">
                <w:pPr>
                  <w:tabs>
                    <w:tab w:val="right" w:pos="8838"/>
                  </w:tabs>
                  <w:ind w:left="-74" w:right="-105"/>
                  <w:rPr>
                    <w:b/>
                  </w:rPr>
                </w:pPr>
                <w:bookmarkStart w:id="1" w:name="_heading=h.3fwokq0" w:colFirst="0" w:colLast="0"/>
                <w:bookmarkEnd w:id="1"/>
                <w:r>
                  <w:rPr>
                    <w:b/>
                  </w:rPr>
                  <w:t>Recurrente:</w:t>
                </w:r>
              </w:p>
            </w:tc>
            <w:tc>
              <w:tcPr>
                <w:tcW w:w="3402" w:type="dxa"/>
              </w:tcPr>
              <w:p w14:paraId="1A91EA30" w14:textId="05E4BAD9" w:rsidR="00BA602E" w:rsidRDefault="00032011">
                <w:pPr>
                  <w:tabs>
                    <w:tab w:val="left" w:pos="3122"/>
                    <w:tab w:val="right" w:pos="8838"/>
                  </w:tabs>
                  <w:ind w:left="-105" w:right="-105"/>
                </w:pPr>
                <w:r>
                  <w:t>XXXXXX XXXXXXX XXXXXXX</w:t>
                </w:r>
              </w:p>
            </w:tc>
            <w:tc>
              <w:tcPr>
                <w:tcW w:w="3402" w:type="dxa"/>
              </w:tcPr>
              <w:p w14:paraId="6AD1EF4E" w14:textId="77777777" w:rsidR="00BA602E" w:rsidRDefault="00BA602E">
                <w:pPr>
                  <w:tabs>
                    <w:tab w:val="left" w:pos="3122"/>
                    <w:tab w:val="right" w:pos="8838"/>
                  </w:tabs>
                  <w:ind w:left="-105" w:right="-105"/>
                </w:pPr>
              </w:p>
            </w:tc>
          </w:tr>
          <w:tr w:rsidR="00BA602E" w14:paraId="77A47990" w14:textId="77777777">
            <w:trPr>
              <w:trHeight w:val="283"/>
            </w:trPr>
            <w:tc>
              <w:tcPr>
                <w:tcW w:w="2727" w:type="dxa"/>
              </w:tcPr>
              <w:p w14:paraId="4581F081" w14:textId="77777777" w:rsidR="00BA602E" w:rsidRDefault="00FB427C">
                <w:pPr>
                  <w:tabs>
                    <w:tab w:val="right" w:pos="8838"/>
                  </w:tabs>
                  <w:ind w:left="-74" w:right="-105"/>
                  <w:rPr>
                    <w:b/>
                  </w:rPr>
                </w:pPr>
                <w:r>
                  <w:rPr>
                    <w:b/>
                  </w:rPr>
                  <w:t>Sujeto Obligado:</w:t>
                </w:r>
              </w:p>
            </w:tc>
            <w:tc>
              <w:tcPr>
                <w:tcW w:w="3402" w:type="dxa"/>
              </w:tcPr>
              <w:p w14:paraId="24F464A0" w14:textId="77777777" w:rsidR="00BA602E" w:rsidRDefault="00FB427C">
                <w:pPr>
                  <w:tabs>
                    <w:tab w:val="left" w:pos="2834"/>
                    <w:tab w:val="right" w:pos="8838"/>
                  </w:tabs>
                  <w:ind w:left="-108" w:right="-105"/>
                </w:pPr>
                <w:r>
                  <w:t>Ayuntamiento de Cuautitlán</w:t>
                </w:r>
              </w:p>
            </w:tc>
            <w:tc>
              <w:tcPr>
                <w:tcW w:w="3402" w:type="dxa"/>
              </w:tcPr>
              <w:p w14:paraId="4EC506D8" w14:textId="77777777" w:rsidR="00BA602E" w:rsidRDefault="00BA602E">
                <w:pPr>
                  <w:tabs>
                    <w:tab w:val="left" w:pos="2834"/>
                    <w:tab w:val="right" w:pos="8838"/>
                  </w:tabs>
                  <w:ind w:left="-108" w:right="-105"/>
                </w:pPr>
              </w:p>
            </w:tc>
          </w:tr>
          <w:tr w:rsidR="00BA602E" w14:paraId="61D71DC9" w14:textId="77777777">
            <w:trPr>
              <w:trHeight w:val="283"/>
            </w:trPr>
            <w:tc>
              <w:tcPr>
                <w:tcW w:w="2727" w:type="dxa"/>
              </w:tcPr>
              <w:p w14:paraId="7BD87522" w14:textId="77777777" w:rsidR="00BA602E" w:rsidRDefault="00FB427C">
                <w:pPr>
                  <w:tabs>
                    <w:tab w:val="right" w:pos="8838"/>
                  </w:tabs>
                  <w:ind w:left="-74" w:right="-105"/>
                  <w:rPr>
                    <w:b/>
                  </w:rPr>
                </w:pPr>
                <w:r>
                  <w:rPr>
                    <w:b/>
                  </w:rPr>
                  <w:t>Comisionada Ponente:</w:t>
                </w:r>
              </w:p>
            </w:tc>
            <w:tc>
              <w:tcPr>
                <w:tcW w:w="3402" w:type="dxa"/>
              </w:tcPr>
              <w:p w14:paraId="3A1281E1" w14:textId="77777777" w:rsidR="00BA602E" w:rsidRDefault="00FB427C">
                <w:pPr>
                  <w:tabs>
                    <w:tab w:val="right" w:pos="8838"/>
                  </w:tabs>
                  <w:ind w:left="-108" w:right="-105"/>
                </w:pPr>
                <w:r>
                  <w:t>Sharon Cristina Morales Martínez</w:t>
                </w:r>
              </w:p>
            </w:tc>
            <w:tc>
              <w:tcPr>
                <w:tcW w:w="3402" w:type="dxa"/>
              </w:tcPr>
              <w:p w14:paraId="730D5732" w14:textId="77777777" w:rsidR="00BA602E" w:rsidRDefault="00BA602E">
                <w:pPr>
                  <w:tabs>
                    <w:tab w:val="right" w:pos="8838"/>
                  </w:tabs>
                  <w:ind w:left="-108" w:right="-105"/>
                </w:pPr>
              </w:p>
            </w:tc>
          </w:tr>
        </w:tbl>
        <w:p w14:paraId="149E9558" w14:textId="77777777" w:rsidR="00BA602E" w:rsidRDefault="00BA602E">
          <w:pPr>
            <w:tabs>
              <w:tab w:val="right" w:pos="8838"/>
            </w:tabs>
            <w:ind w:left="-28"/>
            <w:rPr>
              <w:rFonts w:ascii="Arial" w:eastAsia="Arial" w:hAnsi="Arial" w:cs="Arial"/>
              <w:b/>
            </w:rPr>
          </w:pPr>
        </w:p>
      </w:tc>
    </w:tr>
  </w:tbl>
  <w:p w14:paraId="3ACF7A2E" w14:textId="77777777" w:rsidR="00BA602E" w:rsidRDefault="00112A2E">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421C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06E65"/>
    <w:multiLevelType w:val="multilevel"/>
    <w:tmpl w:val="B1023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BB5544"/>
    <w:multiLevelType w:val="multilevel"/>
    <w:tmpl w:val="9842A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0A08A3"/>
    <w:multiLevelType w:val="multilevel"/>
    <w:tmpl w:val="000E8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004FFB"/>
    <w:multiLevelType w:val="multilevel"/>
    <w:tmpl w:val="447CA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90017E"/>
    <w:multiLevelType w:val="multilevel"/>
    <w:tmpl w:val="F23A3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2E"/>
    <w:rsid w:val="00032011"/>
    <w:rsid w:val="000F71C5"/>
    <w:rsid w:val="00112A2E"/>
    <w:rsid w:val="003F562A"/>
    <w:rsid w:val="005D4EB5"/>
    <w:rsid w:val="006A3AB9"/>
    <w:rsid w:val="00AA71B9"/>
    <w:rsid w:val="00BA602E"/>
    <w:rsid w:val="00BB7A00"/>
    <w:rsid w:val="00FB427C"/>
    <w:rsid w:val="00FD6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620D55"/>
  <w15:docId w15:val="{203ED1B6-59FE-4781-BE49-B60C6B20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d"/>
    <w:pPr>
      <w:spacing w:line="240" w:lineRule="auto"/>
    </w:pPr>
    <w:tblPr>
      <w:tblStyleRowBandSize w:val="1"/>
      <w:tblStyleColBandSize w:val="1"/>
      <w:tblCellMar>
        <w:left w:w="108" w:type="dxa"/>
        <w:right w:w="108" w:type="dxa"/>
      </w:tblCellMar>
    </w:tblPr>
  </w:style>
  <w:style w:type="table" w:customStyle="1" w:styleId="a0">
    <w:basedOn w:val="TableNormald"/>
    <w:tblPr>
      <w:tblStyleRowBandSize w:val="1"/>
      <w:tblStyleColBandSize w:val="1"/>
      <w:tblCellMar>
        <w:left w:w="115" w:type="dxa"/>
        <w:right w:w="115" w:type="dxa"/>
      </w:tblCellMar>
    </w:tblPr>
  </w:style>
  <w:style w:type="table" w:customStyle="1" w:styleId="a1">
    <w:basedOn w:val="TableNormald"/>
    <w:pPr>
      <w:spacing w:line="240" w:lineRule="auto"/>
    </w:pPr>
    <w:tblPr>
      <w:tblStyleRowBandSize w:val="1"/>
      <w:tblStyleColBandSize w:val="1"/>
      <w:tblCellMar>
        <w:left w:w="108" w:type="dxa"/>
        <w:right w:w="108" w:type="dxa"/>
      </w:tblCellMar>
    </w:tblPr>
  </w:style>
  <w:style w:type="table" w:customStyle="1" w:styleId="a2">
    <w:basedOn w:val="TableNormald"/>
    <w:pPr>
      <w:spacing w:line="240" w:lineRule="auto"/>
    </w:pPr>
    <w:tblPr>
      <w:tblStyleRowBandSize w:val="1"/>
      <w:tblStyleColBandSize w:val="1"/>
      <w:tblCellMar>
        <w:left w:w="108" w:type="dxa"/>
        <w:right w:w="108" w:type="dxa"/>
      </w:tblCellMar>
    </w:tblPr>
  </w:style>
  <w:style w:type="table" w:customStyle="1" w:styleId="a3">
    <w:basedOn w:val="TableNormald"/>
    <w:pPr>
      <w:spacing w:line="240" w:lineRule="auto"/>
    </w:pPr>
    <w:tblPr>
      <w:tblStyleRowBandSize w:val="1"/>
      <w:tblStyleColBandSize w:val="1"/>
      <w:tblCellMar>
        <w:left w:w="108" w:type="dxa"/>
        <w:right w:w="108" w:type="dxa"/>
      </w:tblCellMar>
    </w:tblPr>
  </w:style>
  <w:style w:type="table" w:customStyle="1" w:styleId="a4">
    <w:basedOn w:val="TableNormald"/>
    <w:pPr>
      <w:spacing w:line="240" w:lineRule="auto"/>
    </w:pPr>
    <w:tblPr>
      <w:tblStyleRowBandSize w:val="1"/>
      <w:tblStyleColBandSize w:val="1"/>
      <w:tblCellMar>
        <w:left w:w="108" w:type="dxa"/>
        <w:right w:w="108" w:type="dxa"/>
      </w:tblCellMar>
    </w:tblPr>
  </w:style>
  <w:style w:type="character" w:styleId="nfasissutil">
    <w:name w:val="Subtle Emphasis"/>
    <w:basedOn w:val="Fuentedeprrafopredeter"/>
    <w:uiPriority w:val="19"/>
    <w:qFormat/>
    <w:rsid w:val="00E41B75"/>
    <w:rPr>
      <w:i/>
      <w:iCs/>
      <w:color w:val="404040" w:themeColor="text1" w:themeTint="BF"/>
    </w:rPr>
  </w:style>
  <w:style w:type="table" w:customStyle="1" w:styleId="a5">
    <w:basedOn w:val="TableNormalc"/>
    <w:tblPr>
      <w:tblStyleRowBandSize w:val="1"/>
      <w:tblStyleColBandSize w:val="1"/>
      <w:tblCellMar>
        <w:left w:w="115" w:type="dxa"/>
        <w:right w:w="115" w:type="dxa"/>
      </w:tblCellMar>
    </w:tblPr>
  </w:style>
  <w:style w:type="table" w:customStyle="1" w:styleId="a6">
    <w:basedOn w:val="TableNormalc"/>
    <w:pPr>
      <w:spacing w:line="240" w:lineRule="auto"/>
    </w:pPr>
    <w:tblPr>
      <w:tblStyleRowBandSize w:val="1"/>
      <w:tblStyleColBandSize w:val="1"/>
      <w:tblCellMar>
        <w:left w:w="108" w:type="dxa"/>
        <w:right w:w="108" w:type="dxa"/>
      </w:tblCellMar>
    </w:tblPr>
  </w:style>
  <w:style w:type="table" w:customStyle="1" w:styleId="a7">
    <w:basedOn w:val="TableNormalc"/>
    <w:pPr>
      <w:spacing w:line="240" w:lineRule="auto"/>
    </w:pPr>
    <w:tblPr>
      <w:tblStyleRowBandSize w:val="1"/>
      <w:tblStyleColBandSize w:val="1"/>
      <w:tblCellMar>
        <w:left w:w="108" w:type="dxa"/>
        <w:right w:w="108" w:type="dxa"/>
      </w:tblCellMar>
    </w:tblPr>
  </w:style>
  <w:style w:type="table" w:customStyle="1" w:styleId="a8">
    <w:basedOn w:val="TableNormalc"/>
    <w:pPr>
      <w:spacing w:line="240" w:lineRule="auto"/>
    </w:pPr>
    <w:tblPr>
      <w:tblStyleRowBandSize w:val="1"/>
      <w:tblStyleColBandSize w:val="1"/>
      <w:tblCellMar>
        <w:left w:w="108" w:type="dxa"/>
        <w:right w:w="108" w:type="dxa"/>
      </w:tblCellMar>
    </w:tblPr>
  </w:style>
  <w:style w:type="table" w:customStyle="1" w:styleId="a9">
    <w:basedOn w:val="TableNormalb"/>
    <w:pPr>
      <w:spacing w:line="240" w:lineRule="auto"/>
    </w:pPr>
    <w:tblPr>
      <w:tblStyleRowBandSize w:val="1"/>
      <w:tblStyleColBandSize w:val="1"/>
      <w:tblCellMar>
        <w:left w:w="108" w:type="dxa"/>
        <w:right w:w="108" w:type="dxa"/>
      </w:tblCellMar>
    </w:tblPr>
  </w:style>
  <w:style w:type="table" w:customStyle="1" w:styleId="aa">
    <w:basedOn w:val="TableNormalb"/>
    <w:pPr>
      <w:spacing w:line="240" w:lineRule="auto"/>
    </w:pPr>
    <w:tblPr>
      <w:tblStyleRowBandSize w:val="1"/>
      <w:tblStyleColBandSize w:val="1"/>
      <w:tblCellMar>
        <w:left w:w="108" w:type="dxa"/>
        <w:right w:w="108" w:type="dxa"/>
      </w:tblCellMar>
    </w:tblPr>
  </w:style>
  <w:style w:type="table" w:customStyle="1" w:styleId="ab">
    <w:basedOn w:val="TableNormalb"/>
    <w:pPr>
      <w:spacing w:line="240" w:lineRule="auto"/>
    </w:pPr>
    <w:tblPr>
      <w:tblStyleRowBandSize w:val="1"/>
      <w:tblStyleColBandSize w:val="1"/>
      <w:tblCellMar>
        <w:left w:w="108" w:type="dxa"/>
        <w:right w:w="108" w:type="dxa"/>
      </w:tblCellMar>
    </w:tblPr>
  </w:style>
  <w:style w:type="table" w:customStyle="1" w:styleId="ac">
    <w:basedOn w:val="TableNormalb"/>
    <w:pPr>
      <w:spacing w:line="240" w:lineRule="auto"/>
    </w:pPr>
    <w:tblPr>
      <w:tblStyleRowBandSize w:val="1"/>
      <w:tblStyleColBandSize w:val="1"/>
      <w:tblCellMar>
        <w:left w:w="108" w:type="dxa"/>
        <w:right w:w="108" w:type="dxa"/>
      </w:tblCellMar>
    </w:tblPr>
  </w:style>
  <w:style w:type="table" w:customStyle="1" w:styleId="ad">
    <w:basedOn w:val="TableNormalb"/>
    <w:pPr>
      <w:spacing w:line="240" w:lineRule="auto"/>
    </w:pPr>
    <w:tblPr>
      <w:tblStyleRowBandSize w:val="1"/>
      <w:tblStyleColBandSize w:val="1"/>
      <w:tblCellMar>
        <w:left w:w="108" w:type="dxa"/>
        <w:right w:w="108" w:type="dxa"/>
      </w:tblCellMar>
    </w:tblPr>
  </w:style>
  <w:style w:type="table" w:customStyle="1" w:styleId="ae">
    <w:basedOn w:val="TableNormalb"/>
    <w:pPr>
      <w:spacing w:line="240" w:lineRule="auto"/>
    </w:pPr>
    <w:tblPr>
      <w:tblStyleRowBandSize w:val="1"/>
      <w:tblStyleColBandSize w:val="1"/>
      <w:tblCellMar>
        <w:left w:w="108" w:type="dxa"/>
        <w:right w:w="108" w:type="dxa"/>
      </w:tblCellMar>
    </w:tblPr>
  </w:style>
  <w:style w:type="table" w:customStyle="1" w:styleId="af">
    <w:basedOn w:val="TableNormalb"/>
    <w:pPr>
      <w:spacing w:line="240" w:lineRule="auto"/>
    </w:pPr>
    <w:tblPr>
      <w:tblStyleRowBandSize w:val="1"/>
      <w:tblStyleColBandSize w:val="1"/>
      <w:tblCellMar>
        <w:left w:w="108" w:type="dxa"/>
        <w:right w:w="108" w:type="dxa"/>
      </w:tblCellMar>
    </w:tblPr>
  </w:style>
  <w:style w:type="table" w:customStyle="1" w:styleId="af0">
    <w:basedOn w:val="TableNormalb"/>
    <w:pPr>
      <w:spacing w:line="240" w:lineRule="auto"/>
    </w:pPr>
    <w:tblPr>
      <w:tblStyleRowBandSize w:val="1"/>
      <w:tblStyleColBandSize w:val="1"/>
      <w:tblCellMar>
        <w:left w:w="108" w:type="dxa"/>
        <w:right w:w="108" w:type="dxa"/>
      </w:tblCellMar>
    </w:tblPr>
  </w:style>
  <w:style w:type="table" w:customStyle="1" w:styleId="af1">
    <w:basedOn w:val="TableNormalb"/>
    <w:pPr>
      <w:spacing w:line="240" w:lineRule="auto"/>
    </w:pPr>
    <w:tblPr>
      <w:tblStyleRowBandSize w:val="1"/>
      <w:tblStyleColBandSize w:val="1"/>
      <w:tblCellMar>
        <w:left w:w="108" w:type="dxa"/>
        <w:right w:w="108" w:type="dxa"/>
      </w:tblCellMar>
    </w:tblPr>
  </w:style>
  <w:style w:type="table" w:customStyle="1" w:styleId="af2">
    <w:basedOn w:val="TableNormalb"/>
    <w:pPr>
      <w:spacing w:line="240" w:lineRule="auto"/>
    </w:pPr>
    <w:tblPr>
      <w:tblStyleRowBandSize w:val="1"/>
      <w:tblStyleColBandSize w:val="1"/>
      <w:tblCellMar>
        <w:left w:w="108" w:type="dxa"/>
        <w:right w:w="108" w:type="dxa"/>
      </w:tblCellMar>
    </w:tblPr>
  </w:style>
  <w:style w:type="table" w:customStyle="1" w:styleId="af3">
    <w:basedOn w:val="TableNormalb"/>
    <w:pPr>
      <w:spacing w:line="240" w:lineRule="auto"/>
    </w:pPr>
    <w:tblPr>
      <w:tblStyleRowBandSize w:val="1"/>
      <w:tblStyleColBandSize w:val="1"/>
      <w:tblCellMar>
        <w:left w:w="108" w:type="dxa"/>
        <w:right w:w="108" w:type="dxa"/>
      </w:tblCellMar>
    </w:tblPr>
  </w:style>
  <w:style w:type="table" w:customStyle="1" w:styleId="af4">
    <w:basedOn w:val="TableNormalb"/>
    <w:pPr>
      <w:spacing w:line="240" w:lineRule="auto"/>
    </w:pPr>
    <w:tblPr>
      <w:tblStyleRowBandSize w:val="1"/>
      <w:tblStyleColBandSize w:val="1"/>
      <w:tblCellMar>
        <w:left w:w="108" w:type="dxa"/>
        <w:right w:w="108" w:type="dxa"/>
      </w:tblCellMar>
    </w:tblPr>
  </w:style>
  <w:style w:type="table" w:customStyle="1" w:styleId="af5">
    <w:basedOn w:val="TableNormal7"/>
    <w:pPr>
      <w:spacing w:line="240" w:lineRule="auto"/>
    </w:pPr>
    <w:tblPr>
      <w:tblStyleRowBandSize w:val="1"/>
      <w:tblStyleColBandSize w:val="1"/>
      <w:tblCellMar>
        <w:left w:w="108" w:type="dxa"/>
        <w:right w:w="108" w:type="dxa"/>
      </w:tblCellMar>
    </w:tblPr>
  </w:style>
  <w:style w:type="table" w:customStyle="1" w:styleId="af6">
    <w:basedOn w:val="TableNormal7"/>
    <w:pPr>
      <w:spacing w:line="240" w:lineRule="auto"/>
    </w:pPr>
    <w:tblPr>
      <w:tblStyleRowBandSize w:val="1"/>
      <w:tblStyleColBandSize w:val="1"/>
      <w:tblCellMar>
        <w:left w:w="108" w:type="dxa"/>
        <w:right w:w="108" w:type="dxa"/>
      </w:tblCellMar>
    </w:tblPr>
  </w:style>
  <w:style w:type="table" w:customStyle="1" w:styleId="af7">
    <w:basedOn w:val="TableNormal7"/>
    <w:pPr>
      <w:spacing w:line="240" w:lineRule="auto"/>
    </w:pPr>
    <w:tblPr>
      <w:tblStyleRowBandSize w:val="1"/>
      <w:tblStyleColBandSize w:val="1"/>
      <w:tblCellMar>
        <w:left w:w="108" w:type="dxa"/>
        <w:right w:w="108" w:type="dxa"/>
      </w:tblCellMar>
    </w:tblPr>
  </w:style>
  <w:style w:type="table" w:customStyle="1" w:styleId="af8">
    <w:basedOn w:val="TableNormal7"/>
    <w:pPr>
      <w:spacing w:line="240" w:lineRule="auto"/>
    </w:pPr>
    <w:tblPr>
      <w:tblStyleRowBandSize w:val="1"/>
      <w:tblStyleColBandSize w:val="1"/>
      <w:tblCellMar>
        <w:left w:w="108" w:type="dxa"/>
        <w:right w:w="108" w:type="dxa"/>
      </w:tblCellMar>
    </w:tblPr>
  </w:style>
  <w:style w:type="table" w:customStyle="1" w:styleId="af9">
    <w:basedOn w:val="TableNormal7"/>
    <w:pPr>
      <w:spacing w:line="240" w:lineRule="auto"/>
    </w:pPr>
    <w:tblPr>
      <w:tblStyleRowBandSize w:val="1"/>
      <w:tblStyleColBandSize w:val="1"/>
      <w:tblCellMar>
        <w:left w:w="108" w:type="dxa"/>
        <w:right w:w="108" w:type="dxa"/>
      </w:tblCellMar>
    </w:tblPr>
  </w:style>
  <w:style w:type="table" w:customStyle="1" w:styleId="afa">
    <w:basedOn w:val="TableNormal7"/>
    <w:pPr>
      <w:spacing w:line="240" w:lineRule="auto"/>
    </w:pPr>
    <w:tblPr>
      <w:tblStyleRowBandSize w:val="1"/>
      <w:tblStyleColBandSize w:val="1"/>
      <w:tblCellMar>
        <w:left w:w="108"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4094"/>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4094"/>
    <w:rPr>
      <w:rFonts w:eastAsia="Times New Roman" w:cs="Times New Roman"/>
      <w:sz w:val="20"/>
      <w:szCs w:val="20"/>
      <w:lang w:eastAsia="es-ES"/>
    </w:rPr>
  </w:style>
  <w:style w:type="character" w:styleId="Refdenotaalpie">
    <w:name w:val="footnote reference"/>
    <w:basedOn w:val="Fuentedeprrafopredeter"/>
    <w:uiPriority w:val="99"/>
    <w:semiHidden/>
    <w:unhideWhenUsed/>
    <w:rsid w:val="00804094"/>
    <w:rPr>
      <w:vertAlign w:val="superscript"/>
    </w:rPr>
  </w:style>
  <w:style w:type="table" w:customStyle="1" w:styleId="afb">
    <w:basedOn w:val="TableNormal5"/>
    <w:pPr>
      <w:spacing w:line="240" w:lineRule="auto"/>
    </w:pPr>
    <w:tblPr>
      <w:tblStyleRowBandSize w:val="1"/>
      <w:tblStyleColBandSize w:val="1"/>
      <w:tblCellMar>
        <w:left w:w="108" w:type="dxa"/>
        <w:right w:w="108" w:type="dxa"/>
      </w:tblCellMar>
    </w:tblPr>
  </w:style>
  <w:style w:type="table" w:customStyle="1" w:styleId="afc">
    <w:basedOn w:val="TableNormal5"/>
    <w:pPr>
      <w:spacing w:line="240" w:lineRule="auto"/>
    </w:pPr>
    <w:tblPr>
      <w:tblStyleRowBandSize w:val="1"/>
      <w:tblStyleColBandSize w:val="1"/>
      <w:tblCellMar>
        <w:left w:w="108" w:type="dxa"/>
        <w:right w:w="108" w:type="dxa"/>
      </w:tblCellMar>
    </w:tblPr>
  </w:style>
  <w:style w:type="table" w:customStyle="1" w:styleId="afd">
    <w:basedOn w:val="TableNormal5"/>
    <w:pPr>
      <w:spacing w:line="240" w:lineRule="auto"/>
    </w:pPr>
    <w:tblPr>
      <w:tblStyleRowBandSize w:val="1"/>
      <w:tblStyleColBandSize w:val="1"/>
      <w:tblCellMar>
        <w:left w:w="108" w:type="dxa"/>
        <w:right w:w="108" w:type="dxa"/>
      </w:tblCellMar>
    </w:tblPr>
  </w:style>
  <w:style w:type="table" w:customStyle="1" w:styleId="afe">
    <w:basedOn w:val="TableNormal4"/>
    <w:pPr>
      <w:spacing w:line="240" w:lineRule="auto"/>
    </w:pPr>
    <w:tblPr>
      <w:tblStyleRowBandSize w:val="1"/>
      <w:tblStyleColBandSize w:val="1"/>
      <w:tblCellMar>
        <w:left w:w="108" w:type="dxa"/>
        <w:right w:w="108" w:type="dxa"/>
      </w:tblCellMar>
    </w:tblPr>
  </w:style>
  <w:style w:type="table" w:customStyle="1" w:styleId="aff">
    <w:basedOn w:val="TableNormal4"/>
    <w:pPr>
      <w:spacing w:line="240" w:lineRule="auto"/>
    </w:pPr>
    <w:tblPr>
      <w:tblStyleRowBandSize w:val="1"/>
      <w:tblStyleColBandSize w:val="1"/>
      <w:tblCellMar>
        <w:left w:w="108" w:type="dxa"/>
        <w:right w:w="108" w:type="dxa"/>
      </w:tblCellMar>
    </w:tblPr>
  </w:style>
  <w:style w:type="table" w:customStyle="1" w:styleId="aff0">
    <w:basedOn w:val="TableNormal4"/>
    <w:pPr>
      <w:spacing w:line="240" w:lineRule="auto"/>
    </w:pPr>
    <w:tblPr>
      <w:tblStyleRowBandSize w:val="1"/>
      <w:tblStyleColBandSize w:val="1"/>
      <w:tblCellMar>
        <w:left w:w="108" w:type="dxa"/>
        <w:right w:w="108" w:type="dxa"/>
      </w:tblCellMar>
    </w:tblPr>
  </w:style>
  <w:style w:type="table" w:customStyle="1" w:styleId="aff1">
    <w:basedOn w:val="TableNormal3"/>
    <w:pPr>
      <w:spacing w:line="240" w:lineRule="auto"/>
    </w:pPr>
    <w:tblPr>
      <w:tblStyleRowBandSize w:val="1"/>
      <w:tblStyleColBandSize w:val="1"/>
      <w:tblCellMar>
        <w:left w:w="108" w:type="dxa"/>
        <w:right w:w="108" w:type="dxa"/>
      </w:tblCellMar>
    </w:tblPr>
  </w:style>
  <w:style w:type="table" w:customStyle="1" w:styleId="aff2">
    <w:basedOn w:val="TableNormal3"/>
    <w:pPr>
      <w:spacing w:line="240" w:lineRule="auto"/>
    </w:pPr>
    <w:tblPr>
      <w:tblStyleRowBandSize w:val="1"/>
      <w:tblStyleColBandSize w:val="1"/>
      <w:tblCellMar>
        <w:left w:w="108" w:type="dxa"/>
        <w:right w:w="108" w:type="dxa"/>
      </w:tblCellMar>
    </w:tblPr>
  </w:style>
  <w:style w:type="table" w:customStyle="1" w:styleId="aff3">
    <w:basedOn w:val="TableNormal3"/>
    <w:pPr>
      <w:spacing w:line="240" w:lineRule="auto"/>
    </w:pPr>
    <w:tblPr>
      <w:tblStyleRowBandSize w:val="1"/>
      <w:tblStyleColBandSize w:val="1"/>
      <w:tblCellMar>
        <w:left w:w="108" w:type="dxa"/>
        <w:right w:w="108" w:type="dxa"/>
      </w:tblCellMar>
    </w:tblPr>
  </w:style>
  <w:style w:type="table" w:customStyle="1" w:styleId="aff4">
    <w:basedOn w:val="TableNormal3"/>
    <w:pPr>
      <w:spacing w:line="240" w:lineRule="auto"/>
    </w:pPr>
    <w:tblPr>
      <w:tblStyleRowBandSize w:val="1"/>
      <w:tblStyleColBandSize w:val="1"/>
      <w:tblCellMar>
        <w:left w:w="108" w:type="dxa"/>
        <w:right w:w="108" w:type="dxa"/>
      </w:tblCellMar>
    </w:tblPr>
  </w:style>
  <w:style w:type="table" w:customStyle="1" w:styleId="aff5">
    <w:basedOn w:val="TableNormal3"/>
    <w:pPr>
      <w:spacing w:line="240" w:lineRule="auto"/>
    </w:pPr>
    <w:tblPr>
      <w:tblStyleRowBandSize w:val="1"/>
      <w:tblStyleColBandSize w:val="1"/>
      <w:tblCellMar>
        <w:left w:w="108" w:type="dxa"/>
        <w:right w:w="108" w:type="dxa"/>
      </w:tblCellMar>
    </w:tblPr>
  </w:style>
  <w:style w:type="table" w:customStyle="1" w:styleId="aff6">
    <w:basedOn w:val="TableNormal3"/>
    <w:pPr>
      <w:spacing w:line="240" w:lineRule="auto"/>
    </w:pPr>
    <w:tblPr>
      <w:tblStyleRowBandSize w:val="1"/>
      <w:tblStyleColBandSize w:val="1"/>
      <w:tblCellMar>
        <w:left w:w="108" w:type="dxa"/>
        <w:right w:w="108" w:type="dxa"/>
      </w:tblCellMar>
    </w:tblPr>
  </w:style>
  <w:style w:type="table" w:customStyle="1" w:styleId="aff7">
    <w:basedOn w:val="TableNormal3"/>
    <w:pPr>
      <w:spacing w:line="240" w:lineRule="auto"/>
    </w:pPr>
    <w:tblPr>
      <w:tblStyleRowBandSize w:val="1"/>
      <w:tblStyleColBandSize w:val="1"/>
      <w:tblCellMar>
        <w:left w:w="108" w:type="dxa"/>
        <w:right w:w="108" w:type="dxa"/>
      </w:tblCellMar>
    </w:tblPr>
  </w:style>
  <w:style w:type="table" w:customStyle="1" w:styleId="aff8">
    <w:basedOn w:val="TableNormal3"/>
    <w:pPr>
      <w:spacing w:line="240" w:lineRule="auto"/>
    </w:pPr>
    <w:tblPr>
      <w:tblStyleRowBandSize w:val="1"/>
      <w:tblStyleColBandSize w:val="1"/>
      <w:tblCellMar>
        <w:left w:w="108" w:type="dxa"/>
        <w:right w:w="108" w:type="dxa"/>
      </w:tblCellMar>
    </w:tblPr>
  </w:style>
  <w:style w:type="table" w:customStyle="1" w:styleId="aff9">
    <w:basedOn w:val="TableNormal3"/>
    <w:pPr>
      <w:spacing w:line="240" w:lineRule="auto"/>
    </w:pPr>
    <w:tblPr>
      <w:tblStyleRowBandSize w:val="1"/>
      <w:tblStyleColBandSize w:val="1"/>
      <w:tblCellMar>
        <w:left w:w="108" w:type="dxa"/>
        <w:right w:w="108" w:type="dxa"/>
      </w:tblCellMar>
    </w:tblPr>
  </w:style>
  <w:style w:type="table" w:customStyle="1" w:styleId="affa">
    <w:basedOn w:val="TableNormal3"/>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b/>
    </w:rPr>
  </w:style>
  <w:style w:type="table" w:customStyle="1" w:styleId="affb">
    <w:basedOn w:val="TableNormal0"/>
    <w:pPr>
      <w:spacing w:line="240" w:lineRule="auto"/>
    </w:pPr>
    <w:tblPr>
      <w:tblStyleRowBandSize w:val="1"/>
      <w:tblStyleColBandSize w:val="1"/>
      <w:tblCellMar>
        <w:left w:w="108" w:type="dxa"/>
        <w:right w:w="108" w:type="dxa"/>
      </w:tblCellMar>
    </w:tblPr>
  </w:style>
  <w:style w:type="table" w:customStyle="1" w:styleId="affc">
    <w:basedOn w:val="TableNormal0"/>
    <w:pPr>
      <w:spacing w:line="240" w:lineRule="auto"/>
    </w:pPr>
    <w:tblPr>
      <w:tblStyleRowBandSize w:val="1"/>
      <w:tblStyleColBandSize w:val="1"/>
      <w:tblCellMar>
        <w:left w:w="108" w:type="dxa"/>
        <w:right w:w="108" w:type="dxa"/>
      </w:tblCellMar>
    </w:tblPr>
  </w:style>
  <w:style w:type="table" w:customStyle="1" w:styleId="affd">
    <w:basedOn w:val="TableNormal0"/>
    <w:pPr>
      <w:spacing w:line="240" w:lineRule="auto"/>
    </w:pPr>
    <w:tblPr>
      <w:tblStyleRowBandSize w:val="1"/>
      <w:tblStyleColBandSize w:val="1"/>
      <w:tblCellMar>
        <w:left w:w="108" w:type="dxa"/>
        <w:right w:w="108" w:type="dxa"/>
      </w:tblCellMar>
    </w:tblPr>
  </w:style>
  <w:style w:type="table" w:customStyle="1" w:styleId="affe">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aYCOiB0LhyKxbAAp0ZJWV25ew==">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12510</Words>
  <Characters>68808</Characters>
  <Application>Microsoft Office Word</Application>
  <DocSecurity>0</DocSecurity>
  <Lines>573</Lines>
  <Paragraphs>162</Paragraphs>
  <ScaleCrop>false</ScaleCrop>
  <Company>HP Inc.</Company>
  <LinksUpToDate>false</LinksUpToDate>
  <CharactersWithSpaces>81156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2025-07-18T04:12:00Z</cp:lastPrinted>
  <dcterms:created xsi:type="dcterms:W3CDTF">2025-07-09T17:59:00Z</dcterms:created>
  <dcterms:modified xsi:type="dcterms:W3CDTF">2025-08-19T19:22:00Z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