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1159D9FA" w:rsidR="009B5029" w:rsidRDefault="009B5029" w:rsidP="000E4788">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8A6FE3">
        <w:rPr>
          <w:rFonts w:ascii="Palatino Linotype" w:eastAsia="Times New Roman" w:hAnsi="Palatino Linotype" w:cs="Arial"/>
          <w:color w:val="000000"/>
          <w:sz w:val="24"/>
          <w:szCs w:val="24"/>
          <w:lang w:eastAsia="es-MX"/>
        </w:rPr>
        <w:t>dos de julio</w:t>
      </w:r>
      <w:r w:rsidR="00443E75">
        <w:rPr>
          <w:rFonts w:ascii="Palatino Linotype" w:eastAsia="Times New Roman" w:hAnsi="Palatino Linotype" w:cs="Arial"/>
          <w:color w:val="000000"/>
          <w:sz w:val="24"/>
          <w:szCs w:val="24"/>
          <w:lang w:eastAsia="es-MX"/>
        </w:rPr>
        <w:t xml:space="preserve"> de dos mil veinticinco. </w:t>
      </w:r>
    </w:p>
    <w:p w14:paraId="450CB172" w14:textId="77777777" w:rsidR="006D39C3" w:rsidRDefault="006D39C3" w:rsidP="000E4788">
      <w:pPr>
        <w:tabs>
          <w:tab w:val="left" w:pos="1701"/>
        </w:tabs>
        <w:spacing w:after="0" w:line="360" w:lineRule="auto"/>
        <w:jc w:val="both"/>
        <w:rPr>
          <w:rFonts w:ascii="Palatino Linotype" w:hAnsi="Palatino Linotype" w:cs="Arial"/>
          <w:b/>
          <w:sz w:val="24"/>
        </w:rPr>
      </w:pPr>
    </w:p>
    <w:p w14:paraId="32ED5328" w14:textId="40B306FF" w:rsidR="00443E75" w:rsidRPr="00443E75" w:rsidRDefault="009B5029" w:rsidP="000E4788">
      <w:pPr>
        <w:tabs>
          <w:tab w:val="left" w:pos="1701"/>
        </w:tabs>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w:t>
      </w:r>
      <w:bookmarkStart w:id="0" w:name="_GoBack"/>
      <w:bookmarkEnd w:id="0"/>
      <w:r w:rsidRPr="00D336C5">
        <w:rPr>
          <w:rFonts w:ascii="Palatino Linotype" w:hAnsi="Palatino Linotype" w:cs="Arial"/>
          <w:sz w:val="24"/>
        </w:rPr>
        <w:t>vo del recurso de revisión número</w:t>
      </w:r>
      <w:r w:rsidR="00356E44">
        <w:rPr>
          <w:rFonts w:ascii="Palatino Linotype" w:hAnsi="Palatino Linotype" w:cs="Arial"/>
          <w:sz w:val="24"/>
        </w:rPr>
        <w:t xml:space="preserve"> </w:t>
      </w:r>
      <w:r w:rsidR="00AB6635">
        <w:rPr>
          <w:rFonts w:ascii="Palatino Linotype" w:hAnsi="Palatino Linotype" w:cs="Arial"/>
          <w:b/>
          <w:bCs/>
          <w:sz w:val="24"/>
        </w:rPr>
        <w:t>0</w:t>
      </w:r>
      <w:r w:rsidR="00B20E51">
        <w:rPr>
          <w:rFonts w:ascii="Palatino Linotype" w:hAnsi="Palatino Linotype" w:cs="Arial"/>
          <w:b/>
          <w:bCs/>
          <w:sz w:val="24"/>
        </w:rPr>
        <w:t>2195</w:t>
      </w:r>
      <w:r w:rsidR="00443E75">
        <w:rPr>
          <w:rFonts w:ascii="Palatino Linotype" w:hAnsi="Palatino Linotype" w:cs="Arial"/>
          <w:b/>
          <w:bCs/>
          <w:sz w:val="24"/>
        </w:rPr>
        <w:t xml:space="preserve">/INFOEM/IP/RR/2025, </w:t>
      </w:r>
      <w:r w:rsidR="00443E75">
        <w:rPr>
          <w:rFonts w:ascii="Palatino Linotype" w:hAnsi="Palatino Linotype" w:cs="Arial"/>
          <w:sz w:val="24"/>
        </w:rPr>
        <w:t xml:space="preserve">interpuesto por la </w:t>
      </w:r>
      <w:r w:rsidR="00443E75">
        <w:rPr>
          <w:rFonts w:ascii="Palatino Linotype" w:hAnsi="Palatino Linotype" w:cs="Arial"/>
          <w:b/>
          <w:bCs/>
          <w:sz w:val="24"/>
        </w:rPr>
        <w:t xml:space="preserve">C. </w:t>
      </w:r>
      <w:r w:rsidR="009D7DC7">
        <w:rPr>
          <w:rFonts w:ascii="Palatino Linotype" w:hAnsi="Palatino Linotype" w:cs="Arial"/>
          <w:b/>
          <w:bCs/>
          <w:sz w:val="24"/>
        </w:rPr>
        <w:t>XXXXXXXXXXXXXX</w:t>
      </w:r>
      <w:r w:rsidR="00B20E51" w:rsidRPr="00B20E51">
        <w:rPr>
          <w:rFonts w:ascii="Palatino Linotype" w:hAnsi="Palatino Linotype" w:cs="Arial"/>
          <w:b/>
          <w:bCs/>
          <w:sz w:val="24"/>
        </w:rPr>
        <w:t xml:space="preserve"> </w:t>
      </w:r>
      <w:r w:rsidR="009D7DC7">
        <w:rPr>
          <w:rFonts w:ascii="Palatino Linotype" w:hAnsi="Palatino Linotype" w:cs="Arial"/>
          <w:b/>
          <w:bCs/>
          <w:sz w:val="24"/>
        </w:rPr>
        <w:t>XXXXXXXXXXXX</w:t>
      </w:r>
      <w:r w:rsidR="00443E75">
        <w:rPr>
          <w:rFonts w:ascii="Palatino Linotype" w:hAnsi="Palatino Linotype" w:cs="Arial"/>
          <w:b/>
          <w:bCs/>
          <w:sz w:val="24"/>
        </w:rPr>
        <w:t xml:space="preserve">, </w:t>
      </w:r>
      <w:r w:rsidR="00443E75">
        <w:rPr>
          <w:rFonts w:ascii="Palatino Linotype" w:hAnsi="Palatino Linotype" w:cs="Arial"/>
          <w:sz w:val="24"/>
        </w:rPr>
        <w:t xml:space="preserve">en lo sucesivo </w:t>
      </w:r>
      <w:r w:rsidR="00443E75">
        <w:rPr>
          <w:rFonts w:ascii="Palatino Linotype" w:hAnsi="Palatino Linotype" w:cs="Arial"/>
          <w:b/>
          <w:bCs/>
          <w:sz w:val="24"/>
        </w:rPr>
        <w:t xml:space="preserve">La Recurrente, </w:t>
      </w:r>
      <w:r w:rsidR="00443E75">
        <w:rPr>
          <w:rFonts w:ascii="Palatino Linotype" w:hAnsi="Palatino Linotype" w:cs="Arial"/>
          <w:sz w:val="24"/>
        </w:rPr>
        <w:t>en contra de la respuesta de</w:t>
      </w:r>
      <w:r w:rsidR="00B20E51">
        <w:rPr>
          <w:rFonts w:ascii="Palatino Linotype" w:hAnsi="Palatino Linotype" w:cs="Arial"/>
          <w:sz w:val="24"/>
        </w:rPr>
        <w:t xml:space="preserve"> </w:t>
      </w:r>
      <w:r w:rsidR="00443E75">
        <w:rPr>
          <w:rFonts w:ascii="Palatino Linotype" w:hAnsi="Palatino Linotype" w:cs="Arial"/>
          <w:sz w:val="24"/>
        </w:rPr>
        <w:t>l</w:t>
      </w:r>
      <w:r w:rsidR="00B20E51">
        <w:rPr>
          <w:rFonts w:ascii="Palatino Linotype" w:hAnsi="Palatino Linotype" w:cs="Arial"/>
          <w:sz w:val="24"/>
        </w:rPr>
        <w:t xml:space="preserve">a </w:t>
      </w:r>
      <w:r w:rsidR="00B20E51" w:rsidRPr="00B20E51">
        <w:rPr>
          <w:rFonts w:ascii="Palatino Linotype" w:hAnsi="Palatino Linotype" w:cs="Arial"/>
          <w:b/>
          <w:bCs/>
          <w:sz w:val="24"/>
        </w:rPr>
        <w:t>Secretaría de Educación, Ciencia, Tecnología e Innovación</w:t>
      </w:r>
      <w:r w:rsidR="00443E75">
        <w:rPr>
          <w:rFonts w:ascii="Palatino Linotype" w:hAnsi="Palatino Linotype" w:cs="Arial"/>
          <w:b/>
          <w:bCs/>
          <w:sz w:val="24"/>
        </w:rPr>
        <w:t xml:space="preserve">, </w:t>
      </w:r>
      <w:r w:rsidR="00443E75">
        <w:rPr>
          <w:rFonts w:ascii="Palatino Linotype" w:hAnsi="Palatino Linotype" w:cs="Arial"/>
          <w:sz w:val="24"/>
        </w:rPr>
        <w:t xml:space="preserve">en lo subsecuente </w:t>
      </w:r>
      <w:r w:rsidR="00443E75">
        <w:rPr>
          <w:rFonts w:ascii="Palatino Linotype" w:hAnsi="Palatino Linotype" w:cs="Arial"/>
          <w:b/>
          <w:bCs/>
          <w:sz w:val="24"/>
        </w:rPr>
        <w:t xml:space="preserve">El Sujeto Obligado, </w:t>
      </w:r>
      <w:r w:rsidR="00443E75">
        <w:rPr>
          <w:rFonts w:ascii="Palatino Linotype" w:hAnsi="Palatino Linotype" w:cs="Arial"/>
          <w:sz w:val="24"/>
        </w:rPr>
        <w:t xml:space="preserve">se procede a dictar la presente resolución. </w:t>
      </w:r>
    </w:p>
    <w:p w14:paraId="5BF718D0" w14:textId="77777777" w:rsidR="00443E75" w:rsidRDefault="00443E75" w:rsidP="000E4788">
      <w:pPr>
        <w:tabs>
          <w:tab w:val="left" w:pos="1701"/>
        </w:tabs>
        <w:spacing w:after="0" w:line="360" w:lineRule="auto"/>
        <w:jc w:val="both"/>
        <w:rPr>
          <w:rFonts w:ascii="Palatino Linotype" w:hAnsi="Palatino Linotype" w:cs="Arial"/>
          <w:b/>
          <w:bCs/>
          <w:sz w:val="24"/>
        </w:rPr>
      </w:pPr>
    </w:p>
    <w:p w14:paraId="4BC4461B" w14:textId="4BE6C5A3" w:rsidR="009B5029" w:rsidRDefault="009B5029" w:rsidP="000E4788">
      <w:pPr>
        <w:pStyle w:val="infoemcitas"/>
        <w:spacing w:before="0" w:after="0"/>
        <w:jc w:val="center"/>
        <w:rPr>
          <w:b/>
          <w:bCs/>
          <w:i w:val="0"/>
          <w:iCs/>
          <w:sz w:val="28"/>
          <w:szCs w:val="28"/>
        </w:rPr>
      </w:pPr>
      <w:r w:rsidRPr="00B9640A">
        <w:rPr>
          <w:b/>
          <w:bCs/>
          <w:i w:val="0"/>
          <w:iCs/>
          <w:sz w:val="28"/>
          <w:szCs w:val="28"/>
        </w:rPr>
        <w:t>A N T E C E D E N T E S   D E L   A S U N T O</w:t>
      </w:r>
    </w:p>
    <w:p w14:paraId="35B754CB" w14:textId="77777777" w:rsidR="00B20E51" w:rsidRPr="00B9640A" w:rsidRDefault="00B20E51" w:rsidP="000E4788">
      <w:pPr>
        <w:pStyle w:val="infoemcitas"/>
        <w:spacing w:before="0" w:after="0"/>
        <w:jc w:val="center"/>
        <w:rPr>
          <w:b/>
          <w:bCs/>
          <w:i w:val="0"/>
          <w:iCs/>
          <w:sz w:val="28"/>
          <w:szCs w:val="28"/>
        </w:rPr>
      </w:pPr>
    </w:p>
    <w:p w14:paraId="43C252D3" w14:textId="7A210261" w:rsidR="009B5029" w:rsidRPr="00523CF0" w:rsidRDefault="009B5029" w:rsidP="000E4788">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r w:rsidR="00AB6635" w:rsidRPr="00AB6635">
        <w:rPr>
          <w:rFonts w:ascii="Palatino Linotype" w:hAnsi="Palatino Linotype" w:cs="Arial"/>
          <w:sz w:val="24"/>
        </w:rPr>
        <w:t xml:space="preserve"> </w:t>
      </w:r>
    </w:p>
    <w:p w14:paraId="58E333B2" w14:textId="7FDD5331" w:rsidR="00ED3E17" w:rsidRDefault="009B5029" w:rsidP="000E4788">
      <w:pPr>
        <w:spacing w:after="0" w:line="360" w:lineRule="auto"/>
        <w:jc w:val="both"/>
        <w:rPr>
          <w:rFonts w:ascii="Palatino Linotype" w:hAnsi="Palatino Linotype" w:cs="Arial"/>
          <w:sz w:val="24"/>
        </w:rPr>
      </w:pPr>
      <w:r>
        <w:rPr>
          <w:rFonts w:ascii="Palatino Linotype" w:hAnsi="Palatino Linotype" w:cs="Arial"/>
          <w:sz w:val="24"/>
        </w:rPr>
        <w:t>Con fecha</w:t>
      </w:r>
      <w:r w:rsidR="00356E44">
        <w:rPr>
          <w:rFonts w:ascii="Palatino Linotype" w:hAnsi="Palatino Linotype" w:cs="Arial"/>
          <w:sz w:val="24"/>
        </w:rPr>
        <w:t xml:space="preserve"> </w:t>
      </w:r>
      <w:r w:rsidR="00B20E51">
        <w:rPr>
          <w:rFonts w:ascii="Palatino Linotype" w:hAnsi="Palatino Linotype" w:cs="Arial"/>
          <w:b/>
          <w:bCs/>
          <w:sz w:val="24"/>
        </w:rPr>
        <w:t>diecisiete de febrero</w:t>
      </w:r>
      <w:r w:rsidR="00ED3E17">
        <w:rPr>
          <w:rFonts w:ascii="Palatino Linotype" w:hAnsi="Palatino Linotype" w:cs="Arial"/>
          <w:b/>
          <w:bCs/>
          <w:sz w:val="24"/>
        </w:rPr>
        <w:t xml:space="preserve"> de dos mil veinticinco, </w:t>
      </w:r>
      <w:r w:rsidR="00ED2B67">
        <w:rPr>
          <w:rFonts w:ascii="Palatino Linotype" w:hAnsi="Palatino Linotype" w:cs="Arial"/>
          <w:b/>
          <w:bCs/>
          <w:sz w:val="24"/>
        </w:rPr>
        <w:t>La</w:t>
      </w:r>
      <w:r w:rsidR="00ED3E17">
        <w:rPr>
          <w:rFonts w:ascii="Palatino Linotype" w:hAnsi="Palatino Linotype" w:cs="Arial"/>
          <w:b/>
          <w:bCs/>
          <w:sz w:val="24"/>
        </w:rPr>
        <w:t xml:space="preserve"> Recurrente </w:t>
      </w:r>
      <w:r w:rsidR="00ED3E17">
        <w:rPr>
          <w:rFonts w:ascii="Palatino Linotype" w:hAnsi="Palatino Linotype" w:cs="Arial"/>
          <w:sz w:val="24"/>
        </w:rPr>
        <w:t>presentó a través del Sistema de Acceso a la Información Mexiquense (</w:t>
      </w:r>
      <w:r w:rsidR="00ED3E17">
        <w:rPr>
          <w:rFonts w:ascii="Palatino Linotype" w:hAnsi="Palatino Linotype" w:cs="Arial"/>
          <w:b/>
          <w:sz w:val="24"/>
        </w:rPr>
        <w:t>SAIMEX)</w:t>
      </w:r>
      <w:r w:rsidR="00ED3E17">
        <w:rPr>
          <w:rFonts w:ascii="Palatino Linotype" w:hAnsi="Palatino Linotype" w:cs="Arial"/>
          <w:sz w:val="24"/>
        </w:rPr>
        <w:t xml:space="preserve"> ante </w:t>
      </w:r>
      <w:r w:rsidR="00ED3E17">
        <w:rPr>
          <w:rFonts w:ascii="Palatino Linotype" w:hAnsi="Palatino Linotype" w:cs="Arial"/>
          <w:b/>
          <w:sz w:val="24"/>
        </w:rPr>
        <w:t>El Sujeto Obligado</w:t>
      </w:r>
      <w:r w:rsidR="00ED3E17">
        <w:rPr>
          <w:rFonts w:ascii="Palatino Linotype" w:hAnsi="Palatino Linotype" w:cs="Arial"/>
          <w:sz w:val="24"/>
        </w:rPr>
        <w:t xml:space="preserve">, solicitud de acceso a la información pública, registrada bajo el número de expediente </w:t>
      </w:r>
      <w:r w:rsidR="00B20E51" w:rsidRPr="00B20E51">
        <w:rPr>
          <w:rFonts w:ascii="Palatino Linotype" w:hAnsi="Palatino Linotype" w:cs="Arial"/>
          <w:b/>
          <w:bCs/>
          <w:sz w:val="24"/>
        </w:rPr>
        <w:t>00215/SECTI/IP/2025</w:t>
      </w:r>
      <w:r w:rsidR="00ED3E17">
        <w:rPr>
          <w:rFonts w:ascii="Palatino Linotype" w:hAnsi="Palatino Linotype" w:cs="Arial"/>
          <w:b/>
          <w:bCs/>
          <w:sz w:val="24"/>
        </w:rPr>
        <w:t xml:space="preserve">, </w:t>
      </w:r>
      <w:r w:rsidR="00ED3E17">
        <w:rPr>
          <w:rFonts w:ascii="Palatino Linotype" w:hAnsi="Palatino Linotype" w:cs="Arial"/>
          <w:sz w:val="24"/>
        </w:rPr>
        <w:t>mediante la cual solicitó información en el tenor siguiente:</w:t>
      </w:r>
    </w:p>
    <w:p w14:paraId="553CD2BA" w14:textId="77777777" w:rsidR="00B20E51" w:rsidRDefault="00B20E51" w:rsidP="000E4788">
      <w:pPr>
        <w:spacing w:after="0" w:line="360" w:lineRule="auto"/>
        <w:jc w:val="both"/>
        <w:rPr>
          <w:rFonts w:ascii="Palatino Linotype" w:hAnsi="Palatino Linotype" w:cs="Arial"/>
          <w:sz w:val="24"/>
        </w:rPr>
      </w:pPr>
    </w:p>
    <w:p w14:paraId="6C4070CF" w14:textId="20520BD4" w:rsidR="00ED3E17" w:rsidRPr="00ED3E17" w:rsidRDefault="00ED3E17" w:rsidP="000E4788">
      <w:pPr>
        <w:pStyle w:val="Citas"/>
        <w:spacing w:before="0" w:after="0"/>
        <w:rPr>
          <w:b/>
          <w:bCs/>
        </w:rPr>
      </w:pPr>
      <w:r>
        <w:t>“</w:t>
      </w:r>
      <w:r w:rsidR="00B20E51" w:rsidRPr="00B20E51">
        <w:t xml:space="preserve">quisiera saber si existe un código para erradicar la violencia de genero dentro de la dirección de deporte y quienes tienen conocimiento de </w:t>
      </w:r>
      <w:proofErr w:type="spellStart"/>
      <w:r w:rsidR="00B20E51" w:rsidRPr="00B20E51">
        <w:t>el</w:t>
      </w:r>
      <w:proofErr w:type="spellEnd"/>
      <w:r w:rsidR="00B20E51" w:rsidRPr="00B20E51">
        <w:t xml:space="preserve">, quiero que se me muestre si existe y si los directivos del deporte han tomado cursos en esa materia, si es </w:t>
      </w:r>
      <w:proofErr w:type="spellStart"/>
      <w:r w:rsidR="00B20E51" w:rsidRPr="00B20E51">
        <w:t>asi</w:t>
      </w:r>
      <w:proofErr w:type="spellEnd"/>
      <w:r w:rsidR="00B20E51" w:rsidRPr="00B20E51">
        <w:t xml:space="preserve"> </w:t>
      </w:r>
      <w:r w:rsidR="00B20E51" w:rsidRPr="00B20E51">
        <w:lastRenderedPageBreak/>
        <w:t xml:space="preserve">quiero sus reconocimientos o lo que avale su participación, o si no lo han tomado deberían considerar la secretaria de educación mandarlos por que no cuentan con nada de conocimiento en materia y tratan muy mal a las personas en </w:t>
      </w:r>
      <w:proofErr w:type="spellStart"/>
      <w:r w:rsidR="00B20E51" w:rsidRPr="00B20E51">
        <w:t>especifico</w:t>
      </w:r>
      <w:proofErr w:type="spellEnd"/>
      <w:r w:rsidR="00B20E51" w:rsidRPr="00B20E51">
        <w:t xml:space="preserve"> a las mujeres</w:t>
      </w:r>
      <w:r>
        <w:t xml:space="preserve">” </w:t>
      </w:r>
      <w:r>
        <w:rPr>
          <w:b/>
          <w:bCs/>
        </w:rPr>
        <w:t>(Sic)</w:t>
      </w:r>
    </w:p>
    <w:p w14:paraId="196D0164" w14:textId="77777777" w:rsidR="00B20E51" w:rsidRDefault="00B20E51" w:rsidP="000E4788">
      <w:pPr>
        <w:spacing w:after="0" w:line="360" w:lineRule="auto"/>
        <w:jc w:val="both"/>
        <w:rPr>
          <w:rFonts w:ascii="Palatino Linotype" w:eastAsia="Times New Roman" w:hAnsi="Palatino Linotype" w:cs="Times New Roman"/>
          <w:b/>
          <w:sz w:val="24"/>
          <w:szCs w:val="24"/>
          <w:lang w:val="es-ES_tradnl" w:eastAsia="es-ES"/>
        </w:rPr>
      </w:pPr>
    </w:p>
    <w:p w14:paraId="0FDD1B9D" w14:textId="24426D02" w:rsidR="009B5029" w:rsidRDefault="009B5029" w:rsidP="000E4788">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w:t>
      </w:r>
      <w:r w:rsidR="00970647">
        <w:rPr>
          <w:rFonts w:ascii="Palatino Linotype" w:eastAsia="Times New Roman" w:hAnsi="Palatino Linotype" w:cs="Times New Roman"/>
          <w:sz w:val="24"/>
          <w:szCs w:val="24"/>
          <w:lang w:val="es-ES_tradnl" w:eastAsia="es-ES"/>
        </w:rPr>
        <w:t>X</w:t>
      </w:r>
    </w:p>
    <w:p w14:paraId="764BA902" w14:textId="77777777" w:rsidR="00ED3E17" w:rsidRDefault="00ED3E17" w:rsidP="000E4788">
      <w:pPr>
        <w:spacing w:after="0" w:line="360" w:lineRule="auto"/>
        <w:jc w:val="both"/>
        <w:rPr>
          <w:rFonts w:ascii="Palatino Linotype" w:hAnsi="Palatino Linotype" w:cs="Arial"/>
          <w:b/>
          <w:sz w:val="28"/>
          <w:lang w:val="es-ES_tradnl"/>
        </w:rPr>
      </w:pPr>
    </w:p>
    <w:p w14:paraId="32234D96" w14:textId="055C9F76" w:rsidR="009B5029" w:rsidRDefault="00ED3E17" w:rsidP="000E4788">
      <w:pPr>
        <w:spacing w:after="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1793E9E7" w14:textId="27457B3B" w:rsidR="00D17FBF" w:rsidRDefault="009B5029" w:rsidP="000E47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B20E51">
        <w:rPr>
          <w:rFonts w:ascii="Palatino Linotype" w:hAnsi="Palatino Linotype" w:cs="Arial"/>
          <w:b/>
          <w:bCs/>
          <w:sz w:val="24"/>
          <w:szCs w:val="24"/>
        </w:rPr>
        <w:t>veintisiete de febrero</w:t>
      </w:r>
      <w:r w:rsidR="00ED3E17">
        <w:rPr>
          <w:rFonts w:ascii="Palatino Linotype" w:hAnsi="Palatino Linotype" w:cs="Arial"/>
          <w:b/>
          <w:bCs/>
          <w:sz w:val="24"/>
          <w:szCs w:val="24"/>
        </w:rPr>
        <w:t xml:space="preserve"> de dos mil veinticinco, El Sujeto Obligado </w:t>
      </w:r>
      <w:r w:rsidR="00D17FBF">
        <w:rPr>
          <w:rFonts w:ascii="Palatino Linotype" w:hAnsi="Palatino Linotype" w:cs="Arial"/>
          <w:sz w:val="24"/>
          <w:szCs w:val="24"/>
        </w:rPr>
        <w:t>dio respuesta a la solicitud de información en los siguientes términos:</w:t>
      </w:r>
    </w:p>
    <w:p w14:paraId="52A9468B" w14:textId="77777777" w:rsidR="00B20E51" w:rsidRDefault="00D17FBF" w:rsidP="000E4788">
      <w:pPr>
        <w:pStyle w:val="Citas"/>
        <w:spacing w:before="0" w:after="0"/>
        <w:jc w:val="right"/>
      </w:pPr>
      <w:r>
        <w:t>“</w:t>
      </w:r>
      <w:r w:rsidR="00B20E51">
        <w:t>Folio de la solicitud: 00215/SECTI/IP/2025</w:t>
      </w:r>
    </w:p>
    <w:p w14:paraId="430424BA" w14:textId="77777777" w:rsidR="00B20E51" w:rsidRDefault="00B20E51" w:rsidP="000E4788">
      <w:pPr>
        <w:pStyle w:val="Citas"/>
        <w:spacing w:before="0" w:after="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1101D26F" w14:textId="77777777" w:rsidR="00B20E51" w:rsidRDefault="00B20E51" w:rsidP="000E4788">
      <w:pPr>
        <w:pStyle w:val="Citas"/>
        <w:spacing w:before="0" w:after="0"/>
      </w:pPr>
      <w:r>
        <w:t>Con fundamento en los artículos 53 fracciones II, V y VI y 163 de la Ley de Transparencia y Acceso a la Información Pública del Estado de México y Municipios, en respuesta a su solicitud de información se adjunta el Acuerdo de respuesta de fecha 25 de febrero de dos mil veinticinco</w:t>
      </w:r>
    </w:p>
    <w:p w14:paraId="0DF29E28" w14:textId="77777777" w:rsidR="00B20E51" w:rsidRDefault="00B20E51" w:rsidP="000E4788">
      <w:pPr>
        <w:pStyle w:val="Citas"/>
        <w:spacing w:before="0" w:after="0"/>
      </w:pPr>
      <w:r>
        <w:t>ATENTAMENTE</w:t>
      </w:r>
    </w:p>
    <w:p w14:paraId="08F5A516" w14:textId="2FAA0FFE" w:rsidR="00ED3E17" w:rsidRPr="00ED3E17" w:rsidRDefault="00B20E51" w:rsidP="000E4788">
      <w:pPr>
        <w:pStyle w:val="Citas"/>
        <w:spacing w:before="0" w:after="0"/>
        <w:rPr>
          <w:b/>
          <w:bCs/>
        </w:rPr>
      </w:pPr>
      <w:r>
        <w:t>Lic. Rodrigo Ulises Rojas Muñoz</w:t>
      </w:r>
      <w:r w:rsidR="00ED3E17">
        <w:t xml:space="preserve">” </w:t>
      </w:r>
      <w:r w:rsidR="00ED3E17">
        <w:rPr>
          <w:b/>
          <w:bCs/>
        </w:rPr>
        <w:t>(Sic)</w:t>
      </w:r>
    </w:p>
    <w:p w14:paraId="287EE14B" w14:textId="77777777" w:rsidR="00ED3E17" w:rsidRPr="00D17FBF" w:rsidRDefault="00ED3E17" w:rsidP="000E4788">
      <w:pPr>
        <w:pStyle w:val="Citas"/>
        <w:spacing w:before="0" w:after="0"/>
        <w:rPr>
          <w:b/>
          <w:bCs/>
        </w:rPr>
      </w:pPr>
    </w:p>
    <w:p w14:paraId="5E199009" w14:textId="4A6E24CF" w:rsidR="00ED3E17" w:rsidRPr="00ED3E17" w:rsidRDefault="00881D76" w:rsidP="000E478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AB6635">
        <w:rPr>
          <w:rFonts w:ascii="Palatino Linotype" w:hAnsi="Palatino Linotype" w:cs="Arial"/>
          <w:sz w:val="24"/>
          <w:szCs w:val="24"/>
        </w:rPr>
        <w:t xml:space="preserve"> </w:t>
      </w:r>
      <w:r w:rsidR="00ED3E17">
        <w:rPr>
          <w:rFonts w:ascii="Palatino Linotype" w:hAnsi="Palatino Linotype" w:cs="Arial"/>
          <w:sz w:val="24"/>
          <w:szCs w:val="24"/>
        </w:rPr>
        <w:t xml:space="preserve">los documentos electrónicos </w:t>
      </w:r>
      <w:r w:rsidR="00ED3E17">
        <w:rPr>
          <w:rFonts w:ascii="Palatino Linotype" w:hAnsi="Palatino Linotype" w:cs="Arial"/>
          <w:b/>
          <w:bCs/>
          <w:sz w:val="24"/>
          <w:szCs w:val="24"/>
        </w:rPr>
        <w:t>“</w:t>
      </w:r>
      <w:r w:rsidR="00B20E51" w:rsidRPr="00B20E51">
        <w:rPr>
          <w:rFonts w:ascii="Palatino Linotype" w:hAnsi="Palatino Linotype" w:cs="Arial"/>
          <w:b/>
          <w:bCs/>
          <w:sz w:val="24"/>
          <w:szCs w:val="24"/>
        </w:rPr>
        <w:t>RESPUESTA_SPH_00215.pdf</w:t>
      </w:r>
      <w:r w:rsidR="00ED3E17">
        <w:rPr>
          <w:rFonts w:ascii="Palatino Linotype" w:hAnsi="Palatino Linotype" w:cs="Arial"/>
          <w:b/>
          <w:bCs/>
          <w:sz w:val="24"/>
          <w:szCs w:val="24"/>
        </w:rPr>
        <w:t xml:space="preserve">” </w:t>
      </w:r>
      <w:r w:rsidR="00ED3E17">
        <w:rPr>
          <w:rFonts w:ascii="Palatino Linotype" w:hAnsi="Palatino Linotype" w:cs="Arial"/>
          <w:sz w:val="24"/>
          <w:szCs w:val="24"/>
        </w:rPr>
        <w:t xml:space="preserve">y </w:t>
      </w:r>
      <w:r w:rsidR="00ED3E17">
        <w:rPr>
          <w:rFonts w:ascii="Palatino Linotype" w:hAnsi="Palatino Linotype" w:cs="Arial"/>
          <w:b/>
          <w:bCs/>
          <w:sz w:val="24"/>
          <w:szCs w:val="24"/>
        </w:rPr>
        <w:t>“</w:t>
      </w:r>
      <w:r w:rsidR="00B20E51" w:rsidRPr="00B20E51">
        <w:rPr>
          <w:rFonts w:ascii="Palatino Linotype" w:hAnsi="Palatino Linotype" w:cs="Arial"/>
          <w:b/>
          <w:bCs/>
          <w:sz w:val="24"/>
          <w:szCs w:val="24"/>
        </w:rPr>
        <w:t>RESPUESTA_UT_00215.pdf</w:t>
      </w:r>
      <w:r w:rsidR="00ED3E17">
        <w:rPr>
          <w:rFonts w:ascii="Palatino Linotype" w:hAnsi="Palatino Linotype" w:cs="Arial"/>
          <w:b/>
          <w:bCs/>
          <w:sz w:val="24"/>
          <w:szCs w:val="24"/>
        </w:rPr>
        <w:t xml:space="preserve">”, </w:t>
      </w:r>
      <w:r w:rsidR="00ED3E17">
        <w:rPr>
          <w:rFonts w:ascii="Palatino Linotype" w:hAnsi="Palatino Linotype" w:cs="Arial"/>
          <w:sz w:val="24"/>
          <w:szCs w:val="24"/>
        </w:rPr>
        <w:t xml:space="preserve">cuyo contenido será materia de estudio en el considerando respectivo. </w:t>
      </w:r>
    </w:p>
    <w:p w14:paraId="6D8006B9" w14:textId="77777777" w:rsidR="00ED3E17" w:rsidRDefault="00ED3E17" w:rsidP="000E4788">
      <w:pPr>
        <w:spacing w:after="0" w:line="360" w:lineRule="auto"/>
        <w:rPr>
          <w:rFonts w:ascii="Palatino Linotype" w:hAnsi="Palatino Linotype" w:cs="Arial"/>
          <w:b/>
          <w:sz w:val="28"/>
        </w:rPr>
      </w:pPr>
    </w:p>
    <w:p w14:paraId="2C824AC7" w14:textId="67C69CE7" w:rsidR="009B5029" w:rsidRDefault="00B20E51" w:rsidP="000E4788">
      <w:pPr>
        <w:spacing w:after="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79201D9E" w14:textId="7D846B4C" w:rsidR="00ED3E17" w:rsidRDefault="009B5029" w:rsidP="000E4788">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ED2B6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17FBF">
        <w:rPr>
          <w:rFonts w:ascii="Palatino Linotype" w:hAnsi="Palatino Linotype" w:cs="Arial"/>
          <w:sz w:val="24"/>
          <w:szCs w:val="24"/>
        </w:rPr>
        <w:t xml:space="preserve"> </w:t>
      </w:r>
      <w:r w:rsidR="00B20E51">
        <w:rPr>
          <w:rFonts w:ascii="Palatino Linotype" w:hAnsi="Palatino Linotype" w:cs="Arial"/>
          <w:b/>
          <w:bCs/>
          <w:sz w:val="24"/>
          <w:szCs w:val="24"/>
        </w:rPr>
        <w:t>veintisiete de febrero</w:t>
      </w:r>
      <w:r w:rsidR="00ED3E17">
        <w:rPr>
          <w:rFonts w:ascii="Palatino Linotype" w:hAnsi="Palatino Linotype" w:cs="Arial"/>
          <w:b/>
          <w:bCs/>
          <w:sz w:val="24"/>
          <w:szCs w:val="24"/>
        </w:rPr>
        <w:t xml:space="preserve"> de dos mil veinticinco, </w:t>
      </w:r>
      <w:r w:rsidR="00ED3E17">
        <w:rPr>
          <w:rFonts w:ascii="Palatino Linotype" w:hAnsi="Palatino Linotype" w:cs="Arial"/>
          <w:sz w:val="24"/>
          <w:szCs w:val="24"/>
        </w:rPr>
        <w:t xml:space="preserve">el cual fue registrado en el sistema electrónico con el expediente </w:t>
      </w:r>
      <w:r w:rsidR="00B20E51">
        <w:rPr>
          <w:rFonts w:ascii="Palatino Linotype" w:hAnsi="Palatino Linotype" w:cs="Arial"/>
          <w:b/>
          <w:bCs/>
          <w:sz w:val="24"/>
          <w:szCs w:val="24"/>
        </w:rPr>
        <w:t>02195</w:t>
      </w:r>
      <w:r w:rsidR="00ED3E17">
        <w:rPr>
          <w:rFonts w:ascii="Palatino Linotype" w:hAnsi="Palatino Linotype" w:cs="Arial"/>
          <w:b/>
          <w:bCs/>
          <w:sz w:val="24"/>
          <w:szCs w:val="24"/>
        </w:rPr>
        <w:t xml:space="preserve">/INFOEM/IP/RR/2025, </w:t>
      </w:r>
      <w:r w:rsidR="00ED3E17">
        <w:rPr>
          <w:rFonts w:ascii="Palatino Linotype" w:hAnsi="Palatino Linotype" w:cs="Arial"/>
          <w:sz w:val="24"/>
          <w:szCs w:val="24"/>
        </w:rPr>
        <w:t xml:space="preserve">en el cual arguye las siguientes manifestaciones: </w:t>
      </w:r>
    </w:p>
    <w:p w14:paraId="497E2CC0" w14:textId="77777777" w:rsidR="00B20E51" w:rsidRPr="00ED3E17" w:rsidRDefault="00B20E51" w:rsidP="000E4788">
      <w:pPr>
        <w:spacing w:after="0" w:line="360" w:lineRule="auto"/>
        <w:jc w:val="both"/>
        <w:rPr>
          <w:rFonts w:ascii="Palatino Linotype" w:hAnsi="Palatino Linotype" w:cs="Arial"/>
          <w:sz w:val="24"/>
          <w:szCs w:val="24"/>
        </w:rPr>
      </w:pPr>
    </w:p>
    <w:p w14:paraId="26145687" w14:textId="309DC379" w:rsidR="009B5029" w:rsidRDefault="009B5029" w:rsidP="000E4788">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643D150B" w14:textId="550BA979" w:rsidR="00317C14" w:rsidRPr="00CE3EB5" w:rsidRDefault="00FC2D20" w:rsidP="000E4788">
      <w:pPr>
        <w:pStyle w:val="Citas"/>
        <w:spacing w:before="0" w:after="0"/>
        <w:rPr>
          <w:b/>
          <w:bCs/>
          <w:sz w:val="24"/>
        </w:rPr>
      </w:pPr>
      <w:r w:rsidRPr="00C16092">
        <w:t>“</w:t>
      </w:r>
      <w:r w:rsidR="00B20E51" w:rsidRPr="00B20E51">
        <w:t xml:space="preserve">no me </w:t>
      </w:r>
      <w:proofErr w:type="spellStart"/>
      <w:r w:rsidR="00B20E51" w:rsidRPr="00B20E51">
        <w:t>estan</w:t>
      </w:r>
      <w:proofErr w:type="spellEnd"/>
      <w:r w:rsidR="00B20E51" w:rsidRPr="00B20E51">
        <w:t xml:space="preserve"> mostrando la </w:t>
      </w:r>
      <w:proofErr w:type="spellStart"/>
      <w:r w:rsidR="00B20E51" w:rsidRPr="00B20E51">
        <w:t>informacion</w:t>
      </w:r>
      <w:proofErr w:type="spellEnd"/>
      <w:r w:rsidR="00B20E51" w:rsidRPr="00B20E51">
        <w:t xml:space="preserve"> que </w:t>
      </w:r>
      <w:proofErr w:type="spellStart"/>
      <w:r w:rsidR="00B20E51" w:rsidRPr="00B20E51">
        <w:t>solicte</w:t>
      </w:r>
      <w:proofErr w:type="spellEnd"/>
      <w:r w:rsidR="00B20E51" w:rsidRPr="00B20E51">
        <w:t xml:space="preserve"> solo dicen que lo remitieron quiero que me muestren el oficio donde mandaron la </w:t>
      </w:r>
      <w:proofErr w:type="spellStart"/>
      <w:r w:rsidR="00B20E51" w:rsidRPr="00B20E51">
        <w:t>informacion</w:t>
      </w:r>
      <w:proofErr w:type="spellEnd"/>
      <w:r w:rsidR="00B20E51" w:rsidRPr="00B20E51">
        <w:t xml:space="preserve"> y se me muestre lo solicitado </w:t>
      </w:r>
      <w:proofErr w:type="spellStart"/>
      <w:r w:rsidR="00B20E51" w:rsidRPr="00B20E51">
        <w:t>docuemntos</w:t>
      </w:r>
      <w:proofErr w:type="spellEnd"/>
      <w:r w:rsidR="00B20E51" w:rsidRPr="00B20E51">
        <w:t xml:space="preserve"> probatorios</w:t>
      </w:r>
      <w:r w:rsidR="00CE3EB5" w:rsidRPr="00C16092">
        <w:t>”</w:t>
      </w:r>
      <w:r w:rsidR="00CE3EB5">
        <w:t xml:space="preserve"> </w:t>
      </w:r>
      <w:r w:rsidR="00CE3EB5">
        <w:rPr>
          <w:b/>
          <w:bCs/>
        </w:rPr>
        <w:t>(Sic)</w:t>
      </w:r>
    </w:p>
    <w:p w14:paraId="3B716105" w14:textId="77777777" w:rsidR="00B20E51" w:rsidRDefault="00B20E51" w:rsidP="000E4788">
      <w:pPr>
        <w:spacing w:after="0" w:line="360" w:lineRule="auto"/>
        <w:jc w:val="both"/>
        <w:rPr>
          <w:rFonts w:ascii="Palatino Linotype" w:hAnsi="Palatino Linotype" w:cs="Arial"/>
          <w:b/>
          <w:sz w:val="24"/>
        </w:rPr>
      </w:pPr>
    </w:p>
    <w:p w14:paraId="70C90EFB" w14:textId="77777777" w:rsidR="009B5029" w:rsidRDefault="009B5029" w:rsidP="000E4788">
      <w:pPr>
        <w:spacing w:after="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3BC99B2A" w:rsidR="009B5029" w:rsidRPr="00CE3EB5" w:rsidRDefault="00CE3EB5" w:rsidP="000E4788">
      <w:pPr>
        <w:pStyle w:val="Citas"/>
        <w:spacing w:before="0" w:after="0"/>
        <w:rPr>
          <w:b/>
          <w:bCs/>
        </w:rPr>
      </w:pPr>
      <w:r w:rsidRPr="00C16092">
        <w:t>“</w:t>
      </w:r>
      <w:r w:rsidR="00B20E51" w:rsidRPr="00B20E51">
        <w:t xml:space="preserve">no se me muestra la </w:t>
      </w:r>
      <w:proofErr w:type="spellStart"/>
      <w:r w:rsidR="00B20E51" w:rsidRPr="00B20E51">
        <w:t>informacion</w:t>
      </w:r>
      <w:proofErr w:type="spellEnd"/>
      <w:r w:rsidR="00B20E51" w:rsidRPr="00B20E51">
        <w:t xml:space="preserve"> solo de dicho</w:t>
      </w:r>
      <w:r w:rsidRPr="00C16092">
        <w:t>”</w:t>
      </w:r>
      <w:r>
        <w:t xml:space="preserve"> </w:t>
      </w:r>
      <w:r>
        <w:rPr>
          <w:b/>
          <w:bCs/>
        </w:rPr>
        <w:t>(Sic)</w:t>
      </w:r>
    </w:p>
    <w:p w14:paraId="7AF1F2D6" w14:textId="77777777" w:rsidR="00FD1C83" w:rsidRDefault="00FD1C83" w:rsidP="000E4788">
      <w:pPr>
        <w:spacing w:after="0" w:line="360" w:lineRule="auto"/>
        <w:jc w:val="both"/>
        <w:rPr>
          <w:rFonts w:ascii="Palatino Linotype" w:hAnsi="Palatino Linotype" w:cs="Arial"/>
          <w:b/>
          <w:sz w:val="28"/>
        </w:rPr>
      </w:pPr>
    </w:p>
    <w:p w14:paraId="147EA26C" w14:textId="1AFB1B3A" w:rsidR="009B5029" w:rsidRDefault="00B20E51" w:rsidP="000E4788">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3D165FFD" w:rsidR="009B5029" w:rsidRDefault="009B5029" w:rsidP="000E47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Pr>
          <w:rFonts w:ascii="Palatino Linotype" w:hAnsi="Palatino Linotype" w:cs="Arial"/>
          <w:sz w:val="24"/>
          <w:szCs w:val="24"/>
        </w:rPr>
        <w:t xml:space="preserve"> </w:t>
      </w:r>
      <w:r w:rsidR="00883D1F">
        <w:rPr>
          <w:rFonts w:ascii="Palatino Linotype" w:hAnsi="Palatino Linotype" w:cs="Arial"/>
          <w:b/>
          <w:bCs/>
          <w:sz w:val="24"/>
          <w:szCs w:val="24"/>
        </w:rPr>
        <w:t xml:space="preserve">seis de </w:t>
      </w:r>
      <w:r w:rsidR="00B20E51">
        <w:rPr>
          <w:rFonts w:ascii="Palatino Linotype" w:hAnsi="Palatino Linotype" w:cs="Arial"/>
          <w:b/>
          <w:bCs/>
          <w:sz w:val="24"/>
          <w:szCs w:val="24"/>
        </w:rPr>
        <w:t>marz</w:t>
      </w:r>
      <w:r w:rsidR="00883D1F">
        <w:rPr>
          <w:rFonts w:ascii="Palatino Linotype" w:hAnsi="Palatino Linotype" w:cs="Arial"/>
          <w:b/>
          <w:bCs/>
          <w:sz w:val="24"/>
          <w:szCs w:val="24"/>
        </w:rPr>
        <w:t xml:space="preserve">o de dos mil </w:t>
      </w:r>
      <w:r w:rsidR="00883D1F">
        <w:rPr>
          <w:rFonts w:ascii="Palatino Linotype" w:hAnsi="Palatino Linotype" w:cs="Arial"/>
          <w:b/>
          <w:bCs/>
          <w:sz w:val="24"/>
          <w:szCs w:val="24"/>
        </w:rPr>
        <w:lastRenderedPageBreak/>
        <w:t xml:space="preserve">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0E4788">
      <w:pPr>
        <w:spacing w:after="0" w:line="360" w:lineRule="auto"/>
        <w:jc w:val="both"/>
        <w:rPr>
          <w:rFonts w:ascii="Palatino Linotype" w:hAnsi="Palatino Linotype" w:cs="Arial"/>
          <w:sz w:val="24"/>
          <w:szCs w:val="24"/>
        </w:rPr>
      </w:pPr>
    </w:p>
    <w:p w14:paraId="606807D4" w14:textId="08456E38" w:rsidR="009B5029" w:rsidRDefault="00B20E51" w:rsidP="000E4788">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6B041EBC" w14:textId="0B34EC91" w:rsidR="00B20E51" w:rsidRDefault="00B20E51" w:rsidP="000E4788">
      <w:pPr>
        <w:spacing w:after="0" w:line="360" w:lineRule="auto"/>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 xml:space="preserve">rindió su informe justificado en fecha dieciocho de marzo de dos mil veinticinco los cuales fueron puestos a la vista del recurrente en fecha ocho de abril de dos mil veinticinco para que realizara sus manifestaciones.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p>
    <w:p w14:paraId="08073554" w14:textId="77777777" w:rsidR="00B20E51" w:rsidRDefault="00B20E51" w:rsidP="000E4788">
      <w:pPr>
        <w:spacing w:after="0" w:line="360" w:lineRule="auto"/>
        <w:jc w:val="both"/>
        <w:rPr>
          <w:rFonts w:ascii="Palatino Linotype" w:eastAsia="Times New Roman" w:hAnsi="Palatino Linotype" w:cs="Palatino Linotype"/>
          <w:color w:val="000000"/>
          <w:sz w:val="24"/>
          <w:szCs w:val="24"/>
          <w:lang w:val="es-ES_tradnl" w:eastAsia="es-MX"/>
        </w:rPr>
      </w:pPr>
    </w:p>
    <w:p w14:paraId="09DD53F3" w14:textId="77777777" w:rsidR="00B20E51" w:rsidRPr="00DD5F10" w:rsidRDefault="00B20E51" w:rsidP="000E4788">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0AEA3CF7" w14:textId="0C37FB55" w:rsidR="00B20E51" w:rsidRDefault="00B20E51" w:rsidP="000E478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veintiocho de abril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57317F3C" w14:textId="77777777" w:rsidR="00B20E51" w:rsidRDefault="00B20E51" w:rsidP="000E4788">
      <w:pPr>
        <w:spacing w:after="0" w:line="360" w:lineRule="auto"/>
        <w:ind w:right="49"/>
        <w:jc w:val="both"/>
        <w:rPr>
          <w:rFonts w:ascii="Palatino Linotype" w:hAnsi="Palatino Linotype" w:cs="Arial"/>
          <w:sz w:val="24"/>
          <w:szCs w:val="24"/>
          <w:lang w:val="es-ES" w:eastAsia="es-ES"/>
        </w:rPr>
      </w:pPr>
    </w:p>
    <w:p w14:paraId="20EB00C8" w14:textId="77777777" w:rsidR="00B20E51" w:rsidRPr="00E30D3E" w:rsidRDefault="00B20E51" w:rsidP="000E4788">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7289C647" w14:textId="3D0A61A7" w:rsidR="00B20E51"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Pr>
          <w:rFonts w:ascii="Palatino Linotype" w:hAnsi="Palatino Linotype"/>
          <w:b/>
          <w:sz w:val="24"/>
          <w:szCs w:val="24"/>
        </w:rPr>
        <w:t>veintiocho de abril de dos mil veinticinco</w:t>
      </w:r>
      <w:r w:rsidRPr="002F041E">
        <w:rPr>
          <w:rFonts w:ascii="Palatino Linotype" w:hAnsi="Palatino Linotype"/>
          <w:sz w:val="24"/>
          <w:szCs w:val="24"/>
        </w:rPr>
        <w:t xml:space="preserve">, se notificó a las partes el acuerdo por el que se ordena ampliar el plazo para la emisión de la resolución, en términos del artículo 181 párrafo tercero de la Ley de </w:t>
      </w:r>
      <w:r w:rsidRPr="002F041E">
        <w:rPr>
          <w:rFonts w:ascii="Palatino Linotype" w:hAnsi="Palatino Linotype"/>
          <w:sz w:val="24"/>
          <w:szCs w:val="24"/>
        </w:rPr>
        <w:lastRenderedPageBreak/>
        <w:t>Transparencia y Acceso a la Información Pública del Estado de México y Municipios, ordenándose turnar los expedientes a la resolución que en derecho proceda.</w:t>
      </w:r>
    </w:p>
    <w:p w14:paraId="2A8898E4" w14:textId="77777777" w:rsidR="00B20E51" w:rsidRPr="006A6AE2" w:rsidRDefault="00B20E51" w:rsidP="000E4788">
      <w:pPr>
        <w:spacing w:after="0" w:line="360" w:lineRule="auto"/>
        <w:contextualSpacing/>
        <w:jc w:val="both"/>
        <w:rPr>
          <w:rFonts w:ascii="Palatino Linotype" w:hAnsi="Palatino Linotype"/>
          <w:sz w:val="24"/>
          <w:szCs w:val="24"/>
        </w:rPr>
      </w:pPr>
    </w:p>
    <w:p w14:paraId="555E297C" w14:textId="77777777" w:rsidR="00B20E51" w:rsidRPr="002F041E"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186A5EE7" w14:textId="77777777" w:rsidR="00B20E51" w:rsidRPr="002F041E" w:rsidRDefault="00B20E51" w:rsidP="000E4788">
      <w:pPr>
        <w:spacing w:after="0" w:line="360" w:lineRule="auto"/>
        <w:contextualSpacing/>
        <w:jc w:val="both"/>
        <w:rPr>
          <w:rFonts w:ascii="Palatino Linotype" w:hAnsi="Palatino Linotype"/>
          <w:sz w:val="24"/>
          <w:szCs w:val="24"/>
        </w:rPr>
      </w:pPr>
    </w:p>
    <w:p w14:paraId="43C78A20" w14:textId="77777777" w:rsidR="00B20E51" w:rsidRPr="002F041E" w:rsidRDefault="00B20E51" w:rsidP="000E478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0ACF08" w14:textId="77777777" w:rsidR="00B20E51" w:rsidRPr="002F041E" w:rsidRDefault="00B20E51" w:rsidP="000E478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EB544D8" w14:textId="77777777" w:rsidR="00B20E51"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5B1ECB43" w14:textId="77777777" w:rsidR="00B20E51" w:rsidRDefault="00B20E51" w:rsidP="000E478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768BD67" w14:textId="77777777" w:rsidR="00B20E51" w:rsidRPr="002F041E"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837001F" w14:textId="77777777" w:rsidR="00B20E51" w:rsidRPr="002F041E" w:rsidRDefault="00B20E51" w:rsidP="000E4788">
      <w:pPr>
        <w:pStyle w:val="Prrafodelista"/>
        <w:numPr>
          <w:ilvl w:val="0"/>
          <w:numId w:val="7"/>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110C67BA" w14:textId="77777777" w:rsidR="00B20E51" w:rsidRPr="002F041E" w:rsidRDefault="00B20E51" w:rsidP="000E4788">
      <w:pPr>
        <w:pStyle w:val="Prrafodelista"/>
        <w:spacing w:line="360" w:lineRule="auto"/>
        <w:ind w:left="1065"/>
        <w:jc w:val="both"/>
        <w:rPr>
          <w:rFonts w:ascii="Palatino Linotype" w:hAnsi="Palatino Linotype"/>
        </w:rPr>
      </w:pPr>
    </w:p>
    <w:p w14:paraId="23F40278" w14:textId="77777777" w:rsidR="00B20E51" w:rsidRPr="002F041E" w:rsidRDefault="00B20E51" w:rsidP="000E4788">
      <w:pPr>
        <w:pStyle w:val="Prrafodelista"/>
        <w:numPr>
          <w:ilvl w:val="0"/>
          <w:numId w:val="7"/>
        </w:numPr>
        <w:spacing w:line="360" w:lineRule="auto"/>
        <w:contextualSpacing/>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630F7C66" w14:textId="77777777" w:rsidR="00B20E51" w:rsidRPr="002F041E" w:rsidRDefault="00B20E51" w:rsidP="000E4788">
      <w:pPr>
        <w:pStyle w:val="Prrafodelista"/>
        <w:rPr>
          <w:rFonts w:ascii="Palatino Linotype" w:hAnsi="Palatino Linotype"/>
        </w:rPr>
      </w:pPr>
    </w:p>
    <w:p w14:paraId="642447D8" w14:textId="77777777" w:rsidR="00B20E51" w:rsidRPr="002F041E" w:rsidRDefault="00B20E51" w:rsidP="000E4788">
      <w:pPr>
        <w:pStyle w:val="Prrafodelista"/>
        <w:spacing w:line="360" w:lineRule="auto"/>
        <w:ind w:left="1065"/>
        <w:jc w:val="both"/>
        <w:rPr>
          <w:rFonts w:ascii="Palatino Linotype" w:hAnsi="Palatino Linotype"/>
        </w:rPr>
      </w:pPr>
    </w:p>
    <w:p w14:paraId="5EE50DCC" w14:textId="77777777" w:rsidR="00B20E51" w:rsidRPr="002F041E" w:rsidRDefault="00B20E51" w:rsidP="000E4788">
      <w:pPr>
        <w:pStyle w:val="Prrafodelista"/>
        <w:numPr>
          <w:ilvl w:val="0"/>
          <w:numId w:val="7"/>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144F2D45" w14:textId="77777777" w:rsidR="00B20E51" w:rsidRPr="002F041E" w:rsidRDefault="00B20E51" w:rsidP="000E4788">
      <w:pPr>
        <w:pStyle w:val="Prrafodelista"/>
        <w:spacing w:line="360" w:lineRule="auto"/>
        <w:ind w:left="1065"/>
        <w:jc w:val="both"/>
        <w:rPr>
          <w:rFonts w:ascii="Palatino Linotype" w:hAnsi="Palatino Linotype"/>
        </w:rPr>
      </w:pPr>
    </w:p>
    <w:p w14:paraId="3C886198" w14:textId="77777777" w:rsidR="00B20E51" w:rsidRPr="00DD5F10" w:rsidRDefault="00B20E51" w:rsidP="000E4788">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5714E088" w14:textId="77777777" w:rsidR="00B20E51" w:rsidRDefault="00B20E51" w:rsidP="000E4788">
      <w:pPr>
        <w:spacing w:after="0" w:line="360" w:lineRule="auto"/>
        <w:contextualSpacing/>
        <w:jc w:val="both"/>
        <w:rPr>
          <w:rFonts w:ascii="Palatino Linotype" w:hAnsi="Palatino Linotype"/>
          <w:sz w:val="24"/>
          <w:szCs w:val="24"/>
        </w:rPr>
      </w:pPr>
    </w:p>
    <w:p w14:paraId="56F692DA" w14:textId="77777777" w:rsidR="00B20E51"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sz w:val="24"/>
          <w:szCs w:val="24"/>
        </w:rPr>
        <w:t xml:space="preserve">TÉRMINOS PROCESALES. </w:t>
      </w:r>
      <w:r w:rsidRPr="002F041E">
        <w:rPr>
          <w:rFonts w:ascii="Palatino Linotype"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4C6CA00B" w14:textId="77777777" w:rsidR="00B20E51" w:rsidRDefault="00B20E51" w:rsidP="000E4788">
      <w:pPr>
        <w:spacing w:after="0" w:line="360" w:lineRule="auto"/>
        <w:contextualSpacing/>
        <w:jc w:val="both"/>
        <w:rPr>
          <w:rFonts w:ascii="Palatino Linotype" w:hAnsi="Palatino Linotype"/>
          <w:sz w:val="24"/>
          <w:szCs w:val="24"/>
        </w:rPr>
      </w:pPr>
    </w:p>
    <w:p w14:paraId="7E44A095" w14:textId="77777777" w:rsidR="00B20E51" w:rsidRPr="002F041E"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D1651F" w14:textId="77777777" w:rsidR="00B20E51" w:rsidRDefault="00B20E51" w:rsidP="000E478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212CCD" w14:textId="77777777" w:rsidR="00B20E51" w:rsidRDefault="00B20E51" w:rsidP="000E4788">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50C0ACCF" w14:textId="77777777" w:rsidR="00B20E51" w:rsidRPr="002F041E" w:rsidRDefault="00B20E51" w:rsidP="000E4788">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0AB2501A" w14:textId="77777777" w:rsidR="00B20E51" w:rsidRPr="002F041E" w:rsidRDefault="00B20E51" w:rsidP="000E4788">
      <w:pPr>
        <w:spacing w:after="0" w:line="360" w:lineRule="auto"/>
        <w:ind w:left="708"/>
        <w:contextualSpacing/>
        <w:jc w:val="both"/>
        <w:rPr>
          <w:rFonts w:ascii="Palatino Linotype" w:hAnsi="Palatino Linotype"/>
          <w:i/>
        </w:rPr>
      </w:pPr>
    </w:p>
    <w:p w14:paraId="75B7B32F" w14:textId="77777777" w:rsidR="00B20E51" w:rsidRPr="002F041E" w:rsidRDefault="00B20E51" w:rsidP="000E4788">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236205B1" w14:textId="77777777" w:rsidR="00B20E51" w:rsidRDefault="00B20E51" w:rsidP="000E4788">
      <w:pPr>
        <w:spacing w:after="0" w:line="360" w:lineRule="auto"/>
        <w:contextualSpacing/>
        <w:jc w:val="both"/>
        <w:rPr>
          <w:rFonts w:ascii="Palatino Linotype" w:hAnsi="Palatino Linotype"/>
          <w:sz w:val="24"/>
          <w:szCs w:val="24"/>
        </w:rPr>
      </w:pPr>
    </w:p>
    <w:p w14:paraId="17957D22" w14:textId="02811545" w:rsidR="00B20E51" w:rsidRDefault="00B20E51" w:rsidP="000E4788">
      <w:pPr>
        <w:spacing w:after="0" w:line="360" w:lineRule="auto"/>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4320A52F" w14:textId="181C12BA" w:rsidR="00970647" w:rsidRDefault="00970647" w:rsidP="000E47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1EBA35FA" w14:textId="563EFF0D" w:rsidR="006168E4" w:rsidRDefault="006168E4" w:rsidP="000E4788">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525110B2" w14:textId="77777777" w:rsidR="00B20E51" w:rsidRPr="005D0901" w:rsidRDefault="00B20E51" w:rsidP="000E4788">
      <w:pPr>
        <w:spacing w:after="0" w:line="360" w:lineRule="auto"/>
        <w:jc w:val="center"/>
        <w:rPr>
          <w:rFonts w:ascii="Palatino Linotype" w:hAnsi="Palatino Linotype" w:cs="Arial"/>
          <w:b/>
          <w:sz w:val="24"/>
        </w:rPr>
      </w:pPr>
    </w:p>
    <w:p w14:paraId="68B57F26" w14:textId="77777777" w:rsidR="006168E4" w:rsidRDefault="006168E4" w:rsidP="000E4788">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8901FC9" w14:textId="77777777" w:rsidR="00E33551" w:rsidRPr="008A2022" w:rsidRDefault="00E33551" w:rsidP="000E4788">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E33551">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w:t>
      </w:r>
      <w:r w:rsidRPr="008A2022">
        <w:rPr>
          <w:rFonts w:ascii="Palatino Linotype" w:hAnsi="Palatino Linotype"/>
          <w:sz w:val="24"/>
          <w:szCs w:val="24"/>
        </w:rPr>
        <w:t xml:space="preserve"> Pública y Protección de Datos Personales del Estado de México y Municipios</w:t>
      </w:r>
      <w:r>
        <w:rPr>
          <w:rFonts w:ascii="Palatino Linotype" w:hAnsi="Palatino Linotype"/>
          <w:sz w:val="24"/>
          <w:szCs w:val="24"/>
        </w:rPr>
        <w:t xml:space="preserve">. </w:t>
      </w:r>
    </w:p>
    <w:p w14:paraId="757DE89D" w14:textId="77777777" w:rsidR="009825DE" w:rsidRDefault="009825DE" w:rsidP="000E4788">
      <w:pPr>
        <w:pStyle w:val="Prrafodelista"/>
        <w:autoSpaceDE w:val="0"/>
        <w:autoSpaceDN w:val="0"/>
        <w:adjustRightInd w:val="0"/>
        <w:spacing w:line="360" w:lineRule="auto"/>
        <w:ind w:left="0"/>
        <w:jc w:val="both"/>
        <w:rPr>
          <w:rFonts w:ascii="Palatino Linotype" w:hAnsi="Palatino Linotype" w:cs="Arial"/>
          <w:bCs/>
          <w:lang w:val="es-MX"/>
        </w:rPr>
      </w:pPr>
    </w:p>
    <w:p w14:paraId="7A51D48E" w14:textId="77777777" w:rsidR="009825DE" w:rsidRDefault="009825DE" w:rsidP="000E4788">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0543FCD" w14:textId="77777777" w:rsidR="009825DE" w:rsidRDefault="009825DE" w:rsidP="000E478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B206AD3" w14:textId="77777777" w:rsidR="009825DE" w:rsidRDefault="009825DE" w:rsidP="000E4788">
      <w:pPr>
        <w:pStyle w:val="Prrafodelista"/>
        <w:autoSpaceDE w:val="0"/>
        <w:autoSpaceDN w:val="0"/>
        <w:adjustRightInd w:val="0"/>
        <w:spacing w:line="360" w:lineRule="auto"/>
        <w:ind w:left="0"/>
        <w:jc w:val="both"/>
        <w:rPr>
          <w:rFonts w:ascii="Palatino Linotype" w:hAnsi="Palatino Linotype" w:cs="Arial"/>
        </w:rPr>
      </w:pPr>
    </w:p>
    <w:p w14:paraId="2217539B" w14:textId="77777777" w:rsidR="00883D1F" w:rsidRPr="008B21BA" w:rsidRDefault="00883D1F" w:rsidP="000E4788">
      <w:pPr>
        <w:spacing w:after="0" w:line="360" w:lineRule="auto"/>
        <w:jc w:val="both"/>
        <w:rPr>
          <w:rFonts w:ascii="Palatino Linotype" w:hAnsi="Palatino Linotype" w:cs="Arial"/>
          <w:b/>
          <w:sz w:val="28"/>
          <w:szCs w:val="28"/>
        </w:rPr>
      </w:pPr>
      <w:r w:rsidRPr="008B21BA">
        <w:rPr>
          <w:rFonts w:ascii="Palatino Linotype" w:hAnsi="Palatino Linotype" w:cs="Arial"/>
          <w:b/>
          <w:sz w:val="28"/>
          <w:szCs w:val="28"/>
        </w:rPr>
        <w:t>TERCERO. De las causas de improcedencia.</w:t>
      </w:r>
    </w:p>
    <w:p w14:paraId="73EF2BC9" w14:textId="77777777" w:rsidR="00883D1F" w:rsidRPr="008B21BA" w:rsidRDefault="00883D1F" w:rsidP="000E4788">
      <w:pPr>
        <w:autoSpaceDE w:val="0"/>
        <w:autoSpaceDN w:val="0"/>
        <w:adjustRightInd w:val="0"/>
        <w:spacing w:after="0" w:line="360" w:lineRule="auto"/>
        <w:jc w:val="both"/>
        <w:rPr>
          <w:rFonts w:ascii="Palatino Linotype" w:hAnsi="Palatino Linotype" w:cs="Arial"/>
        </w:rPr>
      </w:pPr>
      <w:r w:rsidRPr="008B21B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4C4034" w14:textId="77777777" w:rsidR="00883D1F" w:rsidRPr="008B21BA" w:rsidRDefault="00883D1F" w:rsidP="000E4788">
      <w:pPr>
        <w:widowControl w:val="0"/>
        <w:autoSpaceDE w:val="0"/>
        <w:autoSpaceDN w:val="0"/>
        <w:adjustRightInd w:val="0"/>
        <w:spacing w:after="0" w:line="360" w:lineRule="auto"/>
        <w:jc w:val="both"/>
        <w:rPr>
          <w:rFonts w:ascii="Palatino Linotype" w:hAnsi="Palatino Linotype" w:cs="Arial"/>
        </w:rPr>
      </w:pPr>
      <w:r w:rsidRPr="008B21BA">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w:t>
      </w:r>
      <w:r w:rsidRPr="008B21BA">
        <w:rPr>
          <w:rFonts w:ascii="Palatino Linotype" w:hAnsi="Palatino Linotype" w:cs="Arial"/>
        </w:rPr>
        <w:lastRenderedPageBreak/>
        <w:t>causas de improcedencia y sobreseimiento con tales fines</w:t>
      </w:r>
      <w:r w:rsidRPr="008B21BA">
        <w:rPr>
          <w:rFonts w:ascii="Palatino Linotype" w:hAnsi="Palatino Linotype" w:cs="Arial"/>
          <w:vertAlign w:val="superscript"/>
        </w:rPr>
        <w:footnoteReference w:id="1"/>
      </w:r>
      <w:r w:rsidRPr="008B21BA">
        <w:rPr>
          <w:rFonts w:ascii="Palatino Linotype" w:hAnsi="Palatino Linotype" w:cs="Arial"/>
        </w:rPr>
        <w:t xml:space="preserve">. </w:t>
      </w:r>
    </w:p>
    <w:p w14:paraId="6447B9A5" w14:textId="77777777" w:rsidR="00883D1F" w:rsidRPr="008B21BA" w:rsidRDefault="00883D1F" w:rsidP="000E4788">
      <w:pPr>
        <w:widowControl w:val="0"/>
        <w:autoSpaceDE w:val="0"/>
        <w:autoSpaceDN w:val="0"/>
        <w:adjustRightInd w:val="0"/>
        <w:spacing w:after="0" w:line="360" w:lineRule="auto"/>
        <w:jc w:val="both"/>
        <w:rPr>
          <w:rFonts w:ascii="Palatino Linotype" w:hAnsi="Palatino Linotype" w:cs="Arial"/>
        </w:rPr>
      </w:pPr>
      <w:r w:rsidRPr="008B21BA">
        <w:rPr>
          <w:rFonts w:ascii="Palatino Linotype" w:hAnsi="Palatino Linotype" w:cs="Arial"/>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07F63492" w14:textId="77777777" w:rsidR="00883D1F" w:rsidRDefault="00883D1F" w:rsidP="000E4788">
      <w:pPr>
        <w:tabs>
          <w:tab w:val="left" w:pos="709"/>
        </w:tabs>
        <w:spacing w:after="0" w:line="360" w:lineRule="auto"/>
        <w:ind w:right="51"/>
        <w:jc w:val="both"/>
        <w:rPr>
          <w:rFonts w:ascii="Palatino Linotype" w:hAnsi="Palatino Linotype"/>
          <w:b/>
          <w:sz w:val="28"/>
          <w:szCs w:val="28"/>
        </w:rPr>
      </w:pPr>
    </w:p>
    <w:p w14:paraId="02841802" w14:textId="58C490DC" w:rsidR="009825DE" w:rsidRPr="00657B22" w:rsidRDefault="009825DE" w:rsidP="000E4788">
      <w:pPr>
        <w:tabs>
          <w:tab w:val="left" w:pos="709"/>
        </w:tabs>
        <w:spacing w:after="0" w:line="360" w:lineRule="auto"/>
        <w:ind w:right="51"/>
        <w:jc w:val="both"/>
        <w:rPr>
          <w:rFonts w:ascii="Palatino Linotype" w:hAnsi="Palatino Linotype"/>
          <w:b/>
          <w:sz w:val="28"/>
          <w:szCs w:val="28"/>
          <w:highlight w:val="yellow"/>
        </w:rPr>
      </w:pPr>
      <w:r w:rsidRPr="00657B22">
        <w:rPr>
          <w:rFonts w:ascii="Palatino Linotype" w:hAnsi="Palatino Linotype"/>
          <w:b/>
          <w:sz w:val="28"/>
          <w:szCs w:val="28"/>
          <w:highlight w:val="yellow"/>
        </w:rPr>
        <w:t xml:space="preserve">CUARTO. Estudio y resolución del asunto </w:t>
      </w:r>
      <w:r w:rsidRPr="00657B22">
        <w:rPr>
          <w:rFonts w:ascii="Palatino Linotype" w:hAnsi="Palatino Linotype"/>
          <w:b/>
          <w:sz w:val="28"/>
          <w:szCs w:val="28"/>
          <w:highlight w:val="yellow"/>
        </w:rPr>
        <w:tab/>
      </w:r>
    </w:p>
    <w:p w14:paraId="2099C35E" w14:textId="77777777" w:rsidR="009825DE" w:rsidRPr="00657B22" w:rsidRDefault="009825DE" w:rsidP="000E4788">
      <w:pPr>
        <w:pStyle w:val="Prrafodelista"/>
        <w:autoSpaceDE w:val="0"/>
        <w:autoSpaceDN w:val="0"/>
        <w:adjustRightInd w:val="0"/>
        <w:spacing w:line="360" w:lineRule="auto"/>
        <w:ind w:left="0"/>
        <w:jc w:val="both"/>
        <w:rPr>
          <w:rFonts w:ascii="Palatino Linotype" w:hAnsi="Palatino Linotype" w:cs="Arial"/>
          <w:highlight w:val="yellow"/>
        </w:rPr>
      </w:pPr>
      <w:r w:rsidRPr="00657B22">
        <w:rPr>
          <w:rFonts w:ascii="Palatino Linotype" w:hAnsi="Palatino Linotype" w:cs="Arial"/>
          <w:highlight w:val="yellow"/>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5E8C14C" w14:textId="77777777" w:rsidR="009825DE" w:rsidRPr="00657B22" w:rsidRDefault="009825DE" w:rsidP="000E4788">
      <w:pPr>
        <w:spacing w:after="0" w:line="360" w:lineRule="auto"/>
        <w:jc w:val="both"/>
        <w:rPr>
          <w:rFonts w:ascii="Palatino Linotype" w:eastAsia="Times New Roman" w:hAnsi="Palatino Linotype" w:cs="Times New Roman"/>
          <w:sz w:val="24"/>
          <w:szCs w:val="24"/>
          <w:highlight w:val="yellow"/>
          <w:lang w:eastAsia="es-ES"/>
        </w:rPr>
      </w:pPr>
      <w:r w:rsidRPr="00657B22">
        <w:rPr>
          <w:rFonts w:ascii="Palatino Linotype" w:hAnsi="Palatino Linotype" w:cs="Arial"/>
          <w:sz w:val="24"/>
          <w:szCs w:val="24"/>
          <w:highlight w:val="yellow"/>
        </w:rPr>
        <w:lastRenderedPageBreak/>
        <w:t xml:space="preserve">En este tenor, es necesario subrayar que </w:t>
      </w:r>
      <w:r w:rsidRPr="00657B22">
        <w:rPr>
          <w:rFonts w:ascii="Palatino Linotype" w:eastAsia="Times New Roman" w:hAnsi="Palatino Linotype" w:cs="Times New Roman"/>
          <w:sz w:val="24"/>
          <w:szCs w:val="24"/>
          <w:highlight w:val="yellow"/>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AFA4C04" w14:textId="77777777" w:rsidR="00B20E51" w:rsidRPr="00657B22" w:rsidRDefault="00B20E51" w:rsidP="000E4788">
      <w:pPr>
        <w:spacing w:after="0" w:line="360" w:lineRule="auto"/>
        <w:jc w:val="both"/>
        <w:rPr>
          <w:rFonts w:ascii="Palatino Linotype" w:eastAsia="Times New Roman" w:hAnsi="Palatino Linotype" w:cs="Times New Roman"/>
          <w:sz w:val="24"/>
          <w:szCs w:val="24"/>
          <w:highlight w:val="yellow"/>
          <w:lang w:eastAsia="es-ES"/>
        </w:rPr>
      </w:pPr>
    </w:p>
    <w:p w14:paraId="0D4C4A6B"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b/>
          <w:i/>
          <w:highlight w:val="yellow"/>
          <w:lang w:eastAsia="es-ES"/>
        </w:rPr>
        <w:t>“Artículo 4.</w:t>
      </w:r>
      <w:r w:rsidRPr="00657B22">
        <w:rPr>
          <w:rFonts w:ascii="Palatino Linotype" w:eastAsia="Times New Roman" w:hAnsi="Palatino Linotype" w:cs="Times New Roman"/>
          <w:i/>
          <w:highlight w:val="yellow"/>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CF9B20"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7EF391"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Los sujetos obligados deben poner en práctica, políticas y programas de acceso a la información que se apeguen a criterios de publicidad, veracidad, oportunidad, precisión y suficiencia en beneficio de los solicitantes.</w:t>
      </w:r>
    </w:p>
    <w:p w14:paraId="6E52CC74"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b/>
          <w:i/>
          <w:highlight w:val="yellow"/>
          <w:lang w:eastAsia="es-ES"/>
        </w:rPr>
        <w:t>Artículo 12.</w:t>
      </w:r>
      <w:r w:rsidRPr="00657B22">
        <w:rPr>
          <w:rFonts w:ascii="Palatino Linotype" w:eastAsia="Times New Roman" w:hAnsi="Palatino Linotype" w:cs="Times New Roman"/>
          <w:i/>
          <w:highlight w:val="yellow"/>
          <w:lang w:eastAsia="es-ES"/>
        </w:rPr>
        <w:t xml:space="preserve"> Quienes generen, recopilen, administren, manejen, procesen, archiven o conserven información pública serán responsables de la misma en los términos de las disposiciones jurídicas aplicables.</w:t>
      </w:r>
    </w:p>
    <w:p w14:paraId="797A629E"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57B22">
        <w:rPr>
          <w:rFonts w:ascii="Palatino Linotype" w:eastAsia="Times New Roman" w:hAnsi="Palatino Linotype" w:cs="Times New Roman"/>
          <w:i/>
          <w:highlight w:val="yellow"/>
          <w:lang w:eastAsia="es-ES"/>
        </w:rPr>
        <w:lastRenderedPageBreak/>
        <w:t xml:space="preserve">presentarla conforme al interés del solicitante; no estarán obligados a generarla, resumirla, efectuar cálculos o practicar investigaciones. </w:t>
      </w:r>
    </w:p>
    <w:p w14:paraId="67263790"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w:t>
      </w:r>
    </w:p>
    <w:p w14:paraId="402E8C5E" w14:textId="77777777" w:rsidR="009825DE" w:rsidRPr="00657B22" w:rsidRDefault="009825DE" w:rsidP="000E4788">
      <w:pPr>
        <w:spacing w:after="0" w:line="360" w:lineRule="auto"/>
        <w:ind w:left="851" w:right="851"/>
        <w:jc w:val="both"/>
        <w:rPr>
          <w:rFonts w:ascii="Palatino Linotype" w:eastAsia="Times New Roman" w:hAnsi="Palatino Linotype" w:cs="Times New Roman"/>
          <w:b/>
          <w:i/>
          <w:highlight w:val="yellow"/>
          <w:lang w:eastAsia="es-ES"/>
        </w:rPr>
      </w:pPr>
      <w:r w:rsidRPr="00657B22">
        <w:rPr>
          <w:rFonts w:ascii="Palatino Linotype" w:eastAsia="Times New Roman" w:hAnsi="Palatino Linotype" w:cs="Times New Roman"/>
          <w:b/>
          <w:i/>
          <w:highlight w:val="yellow"/>
          <w:lang w:eastAsia="es-ES"/>
        </w:rPr>
        <w:t xml:space="preserve">Artículo 24. </w:t>
      </w:r>
    </w:p>
    <w:p w14:paraId="54CBD20E"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w:t>
      </w:r>
    </w:p>
    <w:p w14:paraId="2A46501C"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Los sujetos obligados solo proporcionarán la información pública que generen, administren o posean en el ejercicio de sus atribuciones.”</w:t>
      </w:r>
    </w:p>
    <w:p w14:paraId="667C00A9"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i/>
          <w:highlight w:val="yellow"/>
          <w:lang w:eastAsia="es-ES"/>
        </w:rPr>
        <w:t>(…)</w:t>
      </w:r>
    </w:p>
    <w:p w14:paraId="3E323FF7" w14:textId="77777777" w:rsidR="009825DE" w:rsidRPr="00657B22" w:rsidRDefault="009825DE" w:rsidP="000E4788">
      <w:pPr>
        <w:spacing w:after="0" w:line="360" w:lineRule="auto"/>
        <w:ind w:left="851" w:right="851"/>
        <w:jc w:val="both"/>
        <w:rPr>
          <w:rFonts w:ascii="Palatino Linotype" w:eastAsia="Times New Roman" w:hAnsi="Palatino Linotype" w:cs="Times New Roman"/>
          <w:i/>
          <w:highlight w:val="yellow"/>
          <w:lang w:eastAsia="es-ES"/>
        </w:rPr>
      </w:pPr>
      <w:r w:rsidRPr="00657B22">
        <w:rPr>
          <w:rFonts w:ascii="Palatino Linotype" w:eastAsia="Times New Roman" w:hAnsi="Palatino Linotype" w:cs="Times New Roman"/>
          <w:b/>
          <w:i/>
          <w:highlight w:val="yellow"/>
          <w:lang w:eastAsia="es-ES"/>
        </w:rPr>
        <w:t>Artículo 160.</w:t>
      </w:r>
      <w:r w:rsidRPr="00657B22">
        <w:rPr>
          <w:rFonts w:ascii="Palatino Linotype" w:eastAsia="Times New Roman" w:hAnsi="Palatino Linotype" w:cs="Times New Roman"/>
          <w:i/>
          <w:highlight w:val="yellow"/>
          <w:lang w:eastAsia="es-ES"/>
        </w:rPr>
        <w:t xml:space="preserve"> Los sujetos obligados deberán otorgar acceso a los documentos que se </w:t>
      </w:r>
      <w:r w:rsidRPr="00657B22">
        <w:rPr>
          <w:rFonts w:ascii="Palatino Linotype" w:eastAsia="Times New Roman" w:hAnsi="Palatino Linotype" w:cs="Times New Roman"/>
          <w:b/>
          <w:i/>
          <w:highlight w:val="yellow"/>
          <w:lang w:eastAsia="es-ES"/>
        </w:rPr>
        <w:t xml:space="preserve"> </w:t>
      </w:r>
      <w:r w:rsidRPr="00657B22">
        <w:rPr>
          <w:rFonts w:ascii="Palatino Linotype" w:eastAsia="Times New Roman" w:hAnsi="Palatino Linotype" w:cs="Times New Roman"/>
          <w:i/>
          <w:highlight w:val="yellow"/>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8CCC824" w14:textId="77777777" w:rsidR="009825DE" w:rsidRPr="00657B22" w:rsidRDefault="009825DE" w:rsidP="000E4788">
      <w:pPr>
        <w:spacing w:after="0" w:line="360" w:lineRule="auto"/>
        <w:ind w:left="851" w:right="851"/>
        <w:jc w:val="both"/>
        <w:rPr>
          <w:rFonts w:ascii="Palatino Linotype" w:eastAsia="Times New Roman" w:hAnsi="Palatino Linotype" w:cs="Times New Roman"/>
          <w:b/>
          <w:i/>
          <w:highlight w:val="yellow"/>
          <w:lang w:eastAsia="es-ES"/>
        </w:rPr>
      </w:pPr>
      <w:r w:rsidRPr="00657B22">
        <w:rPr>
          <w:rFonts w:ascii="Palatino Linotype" w:eastAsia="Times New Roman" w:hAnsi="Palatino Linotype" w:cs="Times New Roman"/>
          <w:i/>
          <w:highlight w:val="yellow"/>
          <w:lang w:eastAsia="es-ES"/>
        </w:rPr>
        <w:t>En caso que la información solicitada consista en bases de datos se deberá privilegiar la entrega de la misma en formatos abiertos.”</w:t>
      </w:r>
      <w:r w:rsidRPr="00657B22">
        <w:rPr>
          <w:rFonts w:ascii="Palatino Linotype" w:eastAsia="Times New Roman" w:hAnsi="Palatino Linotype" w:cs="Times New Roman"/>
          <w:b/>
          <w:i/>
          <w:highlight w:val="yellow"/>
          <w:lang w:eastAsia="es-ES"/>
        </w:rPr>
        <w:t>[Sic]</w:t>
      </w:r>
    </w:p>
    <w:p w14:paraId="5326C5A6" w14:textId="77777777" w:rsidR="009825DE" w:rsidRPr="00657B22" w:rsidRDefault="009825DE" w:rsidP="000E4788">
      <w:pPr>
        <w:spacing w:after="0" w:line="360" w:lineRule="auto"/>
        <w:jc w:val="both"/>
        <w:rPr>
          <w:rFonts w:ascii="Palatino Linotype" w:eastAsia="Times New Roman" w:hAnsi="Palatino Linotype" w:cs="Times New Roman"/>
          <w:sz w:val="24"/>
          <w:szCs w:val="24"/>
          <w:highlight w:val="yellow"/>
          <w:lang w:eastAsia="es-ES"/>
        </w:rPr>
      </w:pPr>
    </w:p>
    <w:p w14:paraId="11795077" w14:textId="77777777" w:rsidR="009825DE" w:rsidRPr="00657B22" w:rsidRDefault="009825DE" w:rsidP="000E4788">
      <w:pPr>
        <w:spacing w:after="0" w:line="360" w:lineRule="auto"/>
        <w:jc w:val="both"/>
        <w:rPr>
          <w:rFonts w:ascii="Palatino Linotype" w:eastAsia="Times New Roman" w:hAnsi="Palatino Linotype" w:cs="Times New Roman"/>
          <w:sz w:val="24"/>
          <w:szCs w:val="24"/>
          <w:highlight w:val="yellow"/>
          <w:lang w:eastAsia="es-ES"/>
        </w:rPr>
      </w:pPr>
      <w:r w:rsidRPr="00657B22">
        <w:rPr>
          <w:rFonts w:ascii="Palatino Linotype" w:eastAsia="Times New Roman" w:hAnsi="Palatino Linotype" w:cs="Times New Roman"/>
          <w:sz w:val="24"/>
          <w:szCs w:val="24"/>
          <w:highlight w:val="yellow"/>
          <w:lang w:eastAsia="es-ES"/>
        </w:rPr>
        <w:t xml:space="preserve">Así que la obligación de los </w:t>
      </w:r>
      <w:r w:rsidRPr="00657B22">
        <w:rPr>
          <w:rFonts w:ascii="Palatino Linotype" w:eastAsia="Times New Roman" w:hAnsi="Palatino Linotype" w:cs="Times New Roman"/>
          <w:b/>
          <w:sz w:val="24"/>
          <w:szCs w:val="24"/>
          <w:highlight w:val="yellow"/>
          <w:lang w:eastAsia="es-ES"/>
        </w:rPr>
        <w:t>Sujetos Obligados</w:t>
      </w:r>
      <w:r w:rsidRPr="00657B22">
        <w:rPr>
          <w:rFonts w:ascii="Palatino Linotype" w:eastAsia="Times New Roman" w:hAnsi="Palatino Linotype" w:cs="Times New Roman"/>
          <w:sz w:val="24"/>
          <w:szCs w:val="24"/>
          <w:highlight w:val="yellow"/>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57B22">
        <w:rPr>
          <w:rFonts w:ascii="Palatino Linotype" w:eastAsia="Times New Roman" w:hAnsi="Palatino Linotype" w:cs="Times New Roman"/>
          <w:bCs/>
          <w:sz w:val="24"/>
          <w:szCs w:val="24"/>
          <w:highlight w:val="yellow"/>
          <w:lang w:eastAsia="es-ES"/>
        </w:rPr>
        <w:t>de la Ley local en la materia, que se reproduce de la siguiente forma</w:t>
      </w:r>
      <w:r w:rsidRPr="00657B22">
        <w:rPr>
          <w:rFonts w:ascii="Palatino Linotype" w:eastAsia="Times New Roman" w:hAnsi="Palatino Linotype" w:cs="Times New Roman"/>
          <w:sz w:val="24"/>
          <w:szCs w:val="24"/>
          <w:highlight w:val="yellow"/>
          <w:lang w:eastAsia="es-ES"/>
        </w:rPr>
        <w:t>:</w:t>
      </w:r>
    </w:p>
    <w:p w14:paraId="3F42F6A4" w14:textId="77777777" w:rsidR="00B20E51" w:rsidRPr="00657B22" w:rsidRDefault="00B20E51" w:rsidP="000E4788">
      <w:pPr>
        <w:spacing w:after="0" w:line="360" w:lineRule="auto"/>
        <w:jc w:val="both"/>
        <w:rPr>
          <w:rFonts w:ascii="Palatino Linotype" w:eastAsia="Times New Roman" w:hAnsi="Palatino Linotype" w:cs="Times New Roman"/>
          <w:sz w:val="24"/>
          <w:szCs w:val="24"/>
          <w:highlight w:val="yellow"/>
          <w:lang w:eastAsia="es-ES"/>
        </w:rPr>
      </w:pPr>
    </w:p>
    <w:p w14:paraId="7610B2EE" w14:textId="77777777" w:rsidR="009825DE" w:rsidRPr="00657B22" w:rsidRDefault="009825DE" w:rsidP="000E4788">
      <w:pPr>
        <w:spacing w:after="0" w:line="360" w:lineRule="auto"/>
        <w:ind w:left="851" w:right="851"/>
        <w:jc w:val="both"/>
        <w:rPr>
          <w:rFonts w:ascii="Palatino Linotype" w:eastAsia="Times New Roman" w:hAnsi="Palatino Linotype" w:cs="Arial"/>
          <w:b/>
          <w:i/>
          <w:highlight w:val="yellow"/>
          <w:lang w:eastAsia="es-ES"/>
        </w:rPr>
      </w:pPr>
      <w:r w:rsidRPr="00657B22">
        <w:rPr>
          <w:rFonts w:ascii="Palatino Linotype" w:eastAsia="Times New Roman" w:hAnsi="Palatino Linotype" w:cs="Arial"/>
          <w:i/>
          <w:highlight w:val="yellow"/>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57B22">
        <w:rPr>
          <w:rFonts w:ascii="Palatino Linotype" w:eastAsia="Times New Roman" w:hAnsi="Palatino Linotype" w:cs="Arial"/>
          <w:b/>
          <w:i/>
          <w:highlight w:val="yellow"/>
          <w:lang w:eastAsia="es-ES"/>
        </w:rPr>
        <w:t>[Sic]</w:t>
      </w:r>
    </w:p>
    <w:p w14:paraId="16AB2648" w14:textId="582D0D5B" w:rsidR="00FF2999" w:rsidRPr="00657B22" w:rsidRDefault="002D2EFD" w:rsidP="000E4788">
      <w:pPr>
        <w:autoSpaceDE w:val="0"/>
        <w:autoSpaceDN w:val="0"/>
        <w:adjustRightInd w:val="0"/>
        <w:spacing w:after="0" w:line="360" w:lineRule="auto"/>
        <w:jc w:val="both"/>
        <w:rPr>
          <w:rFonts w:ascii="Palatino Linotype" w:hAnsi="Palatino Linotype" w:cs="Arial"/>
          <w:sz w:val="24"/>
          <w:szCs w:val="24"/>
          <w:highlight w:val="yellow"/>
        </w:rPr>
      </w:pPr>
      <w:r w:rsidRPr="00657B22">
        <w:rPr>
          <w:rFonts w:ascii="Palatino Linotype" w:hAnsi="Palatino Linotype" w:cs="Arial"/>
          <w:sz w:val="24"/>
          <w:szCs w:val="24"/>
          <w:highlight w:val="yellow"/>
        </w:rPr>
        <w:lastRenderedPageBreak/>
        <w:t>Ahora bien</w:t>
      </w:r>
      <w:r w:rsidR="00FF2999" w:rsidRPr="00657B22">
        <w:rPr>
          <w:rFonts w:ascii="Palatino Linotype" w:hAnsi="Palatino Linotype" w:cs="Arial"/>
          <w:sz w:val="24"/>
          <w:szCs w:val="24"/>
          <w:highlight w:val="yellow"/>
        </w:rPr>
        <w:t>, mediante la solicitud de información fue requerida la siguiente información:</w:t>
      </w:r>
    </w:p>
    <w:p w14:paraId="0B095522" w14:textId="1C08BB6D" w:rsidR="00B20E51" w:rsidRPr="00657B22" w:rsidRDefault="00B20E51" w:rsidP="000E4788">
      <w:pPr>
        <w:pStyle w:val="Prrafodelista"/>
        <w:numPr>
          <w:ilvl w:val="0"/>
          <w:numId w:val="8"/>
        </w:numPr>
        <w:autoSpaceDE w:val="0"/>
        <w:autoSpaceDN w:val="0"/>
        <w:adjustRightInd w:val="0"/>
        <w:spacing w:line="360" w:lineRule="auto"/>
        <w:jc w:val="both"/>
        <w:rPr>
          <w:rFonts w:ascii="Palatino Linotype" w:hAnsi="Palatino Linotype" w:cs="Arial"/>
          <w:highlight w:val="yellow"/>
        </w:rPr>
      </w:pPr>
      <w:r w:rsidRPr="00657B22">
        <w:rPr>
          <w:rFonts w:ascii="Palatino Linotype" w:hAnsi="Palatino Linotype" w:cs="Arial"/>
          <w:highlight w:val="yellow"/>
        </w:rPr>
        <w:t>Saber si existe un código para erradicar la violencia de genero dentro de la dirección de deporte y quienes tienen conocimiento de él, quiero que se me muestre si existe y si los directivos del deporte han tomado cursos en esa materia, si es así quiero sus reconocimientos o lo que avale su participación, o si no lo han tomado deberían considerar la secretaria de educación mandarlos por que no cuentan con nada de conocimiento en materia y tratan muy mal a las personas en específico a las mujeres</w:t>
      </w:r>
    </w:p>
    <w:p w14:paraId="3189CCAA" w14:textId="77777777" w:rsidR="00B7388E" w:rsidRPr="00657B22" w:rsidRDefault="00B7388E" w:rsidP="000E4788">
      <w:pPr>
        <w:pStyle w:val="Prrafodelista"/>
        <w:autoSpaceDE w:val="0"/>
        <w:autoSpaceDN w:val="0"/>
        <w:adjustRightInd w:val="0"/>
        <w:spacing w:line="360" w:lineRule="auto"/>
        <w:ind w:left="0"/>
        <w:jc w:val="both"/>
        <w:rPr>
          <w:rFonts w:ascii="Palatino Linotype" w:hAnsi="Palatino Linotype"/>
          <w:highlight w:val="yellow"/>
        </w:rPr>
      </w:pPr>
    </w:p>
    <w:p w14:paraId="0DBAEF95" w14:textId="53F5776D" w:rsidR="00B7388E" w:rsidRPr="00657B22" w:rsidRDefault="00B7388E" w:rsidP="000E4788">
      <w:pPr>
        <w:pStyle w:val="Prrafodelista"/>
        <w:autoSpaceDE w:val="0"/>
        <w:autoSpaceDN w:val="0"/>
        <w:adjustRightInd w:val="0"/>
        <w:spacing w:line="360" w:lineRule="auto"/>
        <w:ind w:left="0"/>
        <w:jc w:val="both"/>
        <w:rPr>
          <w:rFonts w:ascii="Palatino Linotype" w:hAnsi="Palatino Linotype"/>
          <w:highlight w:val="yellow"/>
        </w:rPr>
      </w:pPr>
      <w:r w:rsidRPr="00657B22">
        <w:rPr>
          <w:rFonts w:ascii="Palatino Linotype" w:hAnsi="Palatino Linotype"/>
          <w:highlight w:val="yellow"/>
        </w:rPr>
        <w:t xml:space="preserve">Como se mencionó en el antecedente tercero </w:t>
      </w:r>
      <w:r w:rsidRPr="00657B22">
        <w:rPr>
          <w:rFonts w:ascii="Palatino Linotype" w:hAnsi="Palatino Linotype"/>
          <w:b/>
          <w:bCs/>
          <w:highlight w:val="yellow"/>
        </w:rPr>
        <w:t xml:space="preserve">El Sujeto Obligado </w:t>
      </w:r>
      <w:r w:rsidRPr="00657B22">
        <w:rPr>
          <w:rFonts w:ascii="Palatino Linotype" w:hAnsi="Palatino Linotype"/>
          <w:highlight w:val="yellow"/>
        </w:rPr>
        <w:t xml:space="preserve">en fecha </w:t>
      </w:r>
      <w:r w:rsidRPr="00657B22">
        <w:rPr>
          <w:rFonts w:ascii="Palatino Linotype" w:hAnsi="Palatino Linotype"/>
          <w:b/>
          <w:bCs/>
          <w:highlight w:val="yellow"/>
        </w:rPr>
        <w:t xml:space="preserve">veintisiete de febrero de dos mil veinticinco, </w:t>
      </w:r>
      <w:r w:rsidRPr="00657B22">
        <w:rPr>
          <w:rFonts w:ascii="Palatino Linotype" w:hAnsi="Palatino Linotype"/>
          <w:highlight w:val="yellow"/>
        </w:rPr>
        <w:t>rindió su respuesta en los siguientes términos:</w:t>
      </w:r>
    </w:p>
    <w:p w14:paraId="56081A76" w14:textId="77777777" w:rsidR="00B7388E" w:rsidRPr="00657B22" w:rsidRDefault="00B7388E" w:rsidP="000E4788">
      <w:pPr>
        <w:pStyle w:val="Prrafodelista"/>
        <w:autoSpaceDE w:val="0"/>
        <w:autoSpaceDN w:val="0"/>
        <w:adjustRightInd w:val="0"/>
        <w:spacing w:line="360" w:lineRule="auto"/>
        <w:ind w:left="0"/>
        <w:jc w:val="both"/>
        <w:rPr>
          <w:rFonts w:ascii="Palatino Linotype" w:hAnsi="Palatino Linotype"/>
          <w:highlight w:val="yellow"/>
        </w:rPr>
      </w:pPr>
    </w:p>
    <w:p w14:paraId="3C6007A0" w14:textId="21766137" w:rsidR="00B7388E" w:rsidRPr="00657B22" w:rsidRDefault="00B7388E" w:rsidP="000E4788">
      <w:pPr>
        <w:pStyle w:val="Prrafodelista"/>
        <w:numPr>
          <w:ilvl w:val="0"/>
          <w:numId w:val="9"/>
        </w:numPr>
        <w:autoSpaceDE w:val="0"/>
        <w:autoSpaceDN w:val="0"/>
        <w:adjustRightInd w:val="0"/>
        <w:spacing w:line="360" w:lineRule="auto"/>
        <w:jc w:val="both"/>
        <w:rPr>
          <w:rFonts w:ascii="Palatino Linotype" w:hAnsi="Palatino Linotype"/>
          <w:b/>
          <w:bCs/>
          <w:highlight w:val="yellow"/>
        </w:rPr>
      </w:pPr>
      <w:r w:rsidRPr="00657B22">
        <w:rPr>
          <w:rFonts w:ascii="Palatino Linotype" w:hAnsi="Palatino Linotype"/>
          <w:b/>
          <w:bCs/>
          <w:highlight w:val="yellow"/>
        </w:rPr>
        <w:t xml:space="preserve">“RESPUESTA_SPH_00215.pdf”: </w:t>
      </w:r>
      <w:r w:rsidRPr="00657B22">
        <w:rPr>
          <w:rFonts w:ascii="Palatino Linotype" w:hAnsi="Palatino Linotype"/>
          <w:highlight w:val="yellow"/>
        </w:rPr>
        <w:t xml:space="preserve">Oficio número </w:t>
      </w:r>
      <w:r w:rsidRPr="00657B22">
        <w:rPr>
          <w:rFonts w:ascii="Palatino Linotype" w:hAnsi="Palatino Linotype"/>
          <w:b/>
          <w:bCs/>
          <w:highlight w:val="yellow"/>
        </w:rPr>
        <w:t xml:space="preserve">22800010A/076/2025 </w:t>
      </w:r>
      <w:r w:rsidRPr="00657B22">
        <w:rPr>
          <w:rFonts w:ascii="Palatino Linotype" w:hAnsi="Palatino Linotype"/>
          <w:highlight w:val="yellow"/>
        </w:rPr>
        <w:t xml:space="preserve">signado por el Director General de Cultura Física y Deporte, mediante el cual </w:t>
      </w:r>
      <w:r w:rsidR="00952D73" w:rsidRPr="00657B22">
        <w:rPr>
          <w:rFonts w:ascii="Palatino Linotype" w:hAnsi="Palatino Linotype"/>
          <w:highlight w:val="yellow"/>
        </w:rPr>
        <w:t xml:space="preserve">refiere que La Dirección General de Cultura Física y Deporte se rige por el Reglamento Interno de la Secretaría de Educación, Ciencia, Tecnología e Innovación, en específico, por las disposiciones y normatividad en materia de protección y promoción de los derechos humanos, dentro de las cuales se encuentra la erradicación de la violencia de género, conforme a los principios rectores establecidos en la Ley General de Acceso de las Mujeres a una Vida Libre de Violencia, asimismo, refiere que todos los servidores públicos, sin distinción, están sujetos a la obligación de proteger, promover, respetar y garantizar los </w:t>
      </w:r>
      <w:r w:rsidR="00952D73" w:rsidRPr="00657B22">
        <w:rPr>
          <w:rFonts w:ascii="Palatino Linotype" w:hAnsi="Palatino Linotype"/>
          <w:highlight w:val="yellow"/>
        </w:rPr>
        <w:lastRenderedPageBreak/>
        <w:t>derechos humanos, principios que son de observancia obligatoria en todos los ámbitos de actuación de la Dirección General. En este sentido, la formación en temas de violencia de género y derechos humanos es un imperativo para todos los servidores públicos que laboran en la dependencia, también menciona que la Dirección General de Cultura Física y Deporte siempre actúa bajo el principio de progresividad, lo que implica que se encuentran comprometidos a ampliar y dar mayor alcance a los derechos humanos de todas las personas con las que interactúan, asegurando que el acceso a estos derechos se haga en un entorno de respeto y sin discriminación alguna.</w:t>
      </w:r>
    </w:p>
    <w:p w14:paraId="557C37C9" w14:textId="77777777" w:rsidR="00952D73" w:rsidRPr="00657B22" w:rsidRDefault="00952D73" w:rsidP="000E4788">
      <w:pPr>
        <w:pStyle w:val="Prrafodelista"/>
        <w:autoSpaceDE w:val="0"/>
        <w:autoSpaceDN w:val="0"/>
        <w:adjustRightInd w:val="0"/>
        <w:spacing w:line="360" w:lineRule="auto"/>
        <w:ind w:left="720"/>
        <w:jc w:val="both"/>
        <w:rPr>
          <w:rFonts w:ascii="Palatino Linotype" w:hAnsi="Palatino Linotype"/>
          <w:b/>
          <w:bCs/>
          <w:highlight w:val="yellow"/>
        </w:rPr>
      </w:pPr>
    </w:p>
    <w:p w14:paraId="75243FC6" w14:textId="6443CAA2" w:rsidR="00B7388E" w:rsidRPr="00657B22" w:rsidRDefault="00B7388E" w:rsidP="000E4788">
      <w:pPr>
        <w:pStyle w:val="Prrafodelista"/>
        <w:numPr>
          <w:ilvl w:val="0"/>
          <w:numId w:val="9"/>
        </w:numPr>
        <w:autoSpaceDE w:val="0"/>
        <w:autoSpaceDN w:val="0"/>
        <w:adjustRightInd w:val="0"/>
        <w:spacing w:line="360" w:lineRule="auto"/>
        <w:ind w:left="0"/>
        <w:jc w:val="both"/>
        <w:rPr>
          <w:rFonts w:ascii="Palatino Linotype" w:hAnsi="Palatino Linotype"/>
          <w:b/>
          <w:bCs/>
          <w:highlight w:val="yellow"/>
        </w:rPr>
      </w:pPr>
      <w:r w:rsidRPr="00657B22">
        <w:rPr>
          <w:rFonts w:ascii="Palatino Linotype" w:hAnsi="Palatino Linotype"/>
          <w:b/>
          <w:bCs/>
          <w:highlight w:val="yellow"/>
        </w:rPr>
        <w:t>“</w:t>
      </w:r>
      <w:r w:rsidR="00952D73" w:rsidRPr="00657B22">
        <w:rPr>
          <w:rFonts w:ascii="Palatino Linotype" w:hAnsi="Palatino Linotype"/>
          <w:b/>
          <w:bCs/>
          <w:highlight w:val="yellow"/>
        </w:rPr>
        <w:t>RESPUESTA_UT_00215.pdf</w:t>
      </w:r>
      <w:r w:rsidRPr="00657B22">
        <w:rPr>
          <w:rFonts w:ascii="Palatino Linotype" w:hAnsi="Palatino Linotype"/>
          <w:b/>
          <w:bCs/>
          <w:highlight w:val="yellow"/>
        </w:rPr>
        <w:t xml:space="preserve">”: </w:t>
      </w:r>
      <w:r w:rsidRPr="00657B22">
        <w:rPr>
          <w:rFonts w:ascii="Palatino Linotype" w:hAnsi="Palatino Linotype"/>
          <w:highlight w:val="yellow"/>
        </w:rPr>
        <w:t xml:space="preserve">Oficio número </w:t>
      </w:r>
      <w:r w:rsidR="00BB16D2" w:rsidRPr="00657B22">
        <w:rPr>
          <w:rFonts w:ascii="Palatino Linotype" w:hAnsi="Palatino Linotype"/>
          <w:b/>
          <w:bCs/>
          <w:highlight w:val="yellow"/>
        </w:rPr>
        <w:t>22800007010000S/0634/UT/2025</w:t>
      </w:r>
      <w:r w:rsidRPr="00657B22">
        <w:rPr>
          <w:rFonts w:ascii="Palatino Linotype" w:hAnsi="Palatino Linotype"/>
          <w:b/>
          <w:bCs/>
          <w:highlight w:val="yellow"/>
        </w:rPr>
        <w:t xml:space="preserve"> </w:t>
      </w:r>
      <w:r w:rsidRPr="00657B22">
        <w:rPr>
          <w:rFonts w:ascii="Palatino Linotype" w:hAnsi="Palatino Linotype"/>
          <w:highlight w:val="yellow"/>
        </w:rPr>
        <w:t xml:space="preserve">signado por el </w:t>
      </w:r>
      <w:r w:rsidR="00BB16D2" w:rsidRPr="00657B22">
        <w:rPr>
          <w:rFonts w:ascii="Palatino Linotype" w:hAnsi="Palatino Linotype"/>
          <w:highlight w:val="yellow"/>
        </w:rPr>
        <w:t>Titular de la Unidad, mediante el cual refiere que</w:t>
      </w:r>
      <w:r w:rsidRPr="00657B22">
        <w:rPr>
          <w:rFonts w:ascii="Palatino Linotype" w:hAnsi="Palatino Linotype"/>
          <w:highlight w:val="yellow"/>
        </w:rPr>
        <w:t>,</w:t>
      </w:r>
      <w:r w:rsidR="00BB16D2" w:rsidRPr="00657B22">
        <w:rPr>
          <w:rFonts w:ascii="Palatino Linotype" w:hAnsi="Palatino Linotype"/>
          <w:highlight w:val="yellow"/>
        </w:rPr>
        <w:t xml:space="preserve"> privilegiando el Principio Garante de Máxima Publicidad que tutela el acceso a la información requerida, después de una búsqueda exhaustiva y razonable en los archivos de la Unidad Administrativa competente, mediante oficio número 22800010A/076/2025, el Servidor Público Habilitado en la Dirección General de Cultura Física y Deporte remitió la información que obra en sus archivos, con la que da respuesta a su solicitud de información pública.</w:t>
      </w:r>
      <w:r w:rsidR="00BB16D2" w:rsidRPr="00657B22">
        <w:rPr>
          <w:rFonts w:ascii="Palatino Linotype" w:hAnsi="Palatino Linotype"/>
          <w:highlight w:val="yellow"/>
        </w:rPr>
        <w:cr/>
      </w:r>
    </w:p>
    <w:p w14:paraId="0AAF8F49" w14:textId="3126B245" w:rsidR="00B7388E" w:rsidRPr="00657B22" w:rsidRDefault="00B7388E"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 xml:space="preserve">Inconforme con la respuesta del </w:t>
      </w:r>
      <w:r w:rsidRPr="00657B22">
        <w:rPr>
          <w:rFonts w:ascii="Palatino Linotype" w:hAnsi="Palatino Linotype"/>
          <w:b/>
          <w:bCs/>
          <w:sz w:val="24"/>
          <w:szCs w:val="24"/>
          <w:highlight w:val="yellow"/>
        </w:rPr>
        <w:t xml:space="preserve">Sujeto Obligado, La Recurrente </w:t>
      </w:r>
      <w:r w:rsidRPr="00657B22">
        <w:rPr>
          <w:rFonts w:ascii="Palatino Linotype" w:hAnsi="Palatino Linotype"/>
          <w:sz w:val="24"/>
          <w:szCs w:val="24"/>
          <w:highlight w:val="yellow"/>
        </w:rPr>
        <w:t xml:space="preserve">interpuso recurso de revisión en fecha </w:t>
      </w:r>
      <w:r w:rsidR="00BB16D2" w:rsidRPr="00657B22">
        <w:rPr>
          <w:rFonts w:ascii="Palatino Linotype" w:hAnsi="Palatino Linotype"/>
          <w:b/>
          <w:bCs/>
          <w:sz w:val="24"/>
          <w:szCs w:val="24"/>
          <w:highlight w:val="yellow"/>
        </w:rPr>
        <w:t xml:space="preserve">veintisiete de febrero de </w:t>
      </w:r>
      <w:r w:rsidRPr="00657B22">
        <w:rPr>
          <w:rFonts w:ascii="Palatino Linotype" w:hAnsi="Palatino Linotype"/>
          <w:b/>
          <w:bCs/>
          <w:sz w:val="24"/>
          <w:szCs w:val="24"/>
          <w:highlight w:val="yellow"/>
        </w:rPr>
        <w:t xml:space="preserve">dos mil veinticinco. </w:t>
      </w:r>
      <w:r w:rsidRPr="00657B22">
        <w:rPr>
          <w:rFonts w:ascii="Palatino Linotype" w:hAnsi="Palatino Linotype"/>
          <w:sz w:val="24"/>
          <w:szCs w:val="24"/>
          <w:highlight w:val="yellow"/>
        </w:rPr>
        <w:t>Señalando como acto impugnado y como razones o motivos de inconformidad:</w:t>
      </w:r>
    </w:p>
    <w:p w14:paraId="0C189CD8" w14:textId="77777777" w:rsidR="00B7388E" w:rsidRPr="00657B22" w:rsidRDefault="00B7388E" w:rsidP="000E4788">
      <w:pPr>
        <w:spacing w:after="0" w:line="360" w:lineRule="auto"/>
        <w:jc w:val="both"/>
        <w:rPr>
          <w:rFonts w:ascii="Palatino Linotype" w:hAnsi="Palatino Linotype" w:cs="Arial"/>
          <w:b/>
          <w:sz w:val="24"/>
          <w:highlight w:val="yellow"/>
        </w:rPr>
      </w:pPr>
      <w:r w:rsidRPr="00657B22">
        <w:rPr>
          <w:rFonts w:ascii="Palatino Linotype" w:hAnsi="Palatino Linotype" w:cs="Arial"/>
          <w:b/>
          <w:sz w:val="24"/>
          <w:highlight w:val="yellow"/>
        </w:rPr>
        <w:t>Acto Impugnado:</w:t>
      </w:r>
    </w:p>
    <w:p w14:paraId="2745BC39" w14:textId="7558FBEB" w:rsidR="00B7388E" w:rsidRPr="00657B22" w:rsidRDefault="00B7388E" w:rsidP="000E4788">
      <w:pPr>
        <w:pStyle w:val="Citas"/>
        <w:spacing w:before="0" w:after="0"/>
        <w:rPr>
          <w:b/>
          <w:bCs/>
          <w:sz w:val="24"/>
          <w:highlight w:val="yellow"/>
        </w:rPr>
      </w:pPr>
      <w:r w:rsidRPr="00657B22">
        <w:rPr>
          <w:highlight w:val="yellow"/>
        </w:rPr>
        <w:lastRenderedPageBreak/>
        <w:t>“</w:t>
      </w:r>
      <w:r w:rsidR="00BB16D2" w:rsidRPr="00657B22">
        <w:rPr>
          <w:highlight w:val="yellow"/>
        </w:rPr>
        <w:t xml:space="preserve">no me </w:t>
      </w:r>
      <w:proofErr w:type="spellStart"/>
      <w:r w:rsidR="00BB16D2" w:rsidRPr="00657B22">
        <w:rPr>
          <w:highlight w:val="yellow"/>
        </w:rPr>
        <w:t>estan</w:t>
      </w:r>
      <w:proofErr w:type="spellEnd"/>
      <w:r w:rsidR="00BB16D2" w:rsidRPr="00657B22">
        <w:rPr>
          <w:highlight w:val="yellow"/>
        </w:rPr>
        <w:t xml:space="preserve"> mostrando la </w:t>
      </w:r>
      <w:proofErr w:type="spellStart"/>
      <w:r w:rsidR="00BB16D2" w:rsidRPr="00657B22">
        <w:rPr>
          <w:highlight w:val="yellow"/>
        </w:rPr>
        <w:t>informacion</w:t>
      </w:r>
      <w:proofErr w:type="spellEnd"/>
      <w:r w:rsidR="00BB16D2" w:rsidRPr="00657B22">
        <w:rPr>
          <w:highlight w:val="yellow"/>
        </w:rPr>
        <w:t xml:space="preserve"> que </w:t>
      </w:r>
      <w:proofErr w:type="spellStart"/>
      <w:r w:rsidR="00BB16D2" w:rsidRPr="00657B22">
        <w:rPr>
          <w:highlight w:val="yellow"/>
        </w:rPr>
        <w:t>solicte</w:t>
      </w:r>
      <w:proofErr w:type="spellEnd"/>
      <w:r w:rsidR="00BB16D2" w:rsidRPr="00657B22">
        <w:rPr>
          <w:highlight w:val="yellow"/>
        </w:rPr>
        <w:t xml:space="preserve"> solo dicen que lo remitieron quiero que me muestren el oficio donde mandaron la </w:t>
      </w:r>
      <w:proofErr w:type="spellStart"/>
      <w:r w:rsidR="00BB16D2" w:rsidRPr="00657B22">
        <w:rPr>
          <w:highlight w:val="yellow"/>
        </w:rPr>
        <w:t>informacion</w:t>
      </w:r>
      <w:proofErr w:type="spellEnd"/>
      <w:r w:rsidR="00BB16D2" w:rsidRPr="00657B22">
        <w:rPr>
          <w:highlight w:val="yellow"/>
        </w:rPr>
        <w:t xml:space="preserve"> y se me muestre lo solicitado </w:t>
      </w:r>
      <w:proofErr w:type="spellStart"/>
      <w:r w:rsidR="00BB16D2" w:rsidRPr="00657B22">
        <w:rPr>
          <w:highlight w:val="yellow"/>
        </w:rPr>
        <w:t>docuemntos</w:t>
      </w:r>
      <w:proofErr w:type="spellEnd"/>
      <w:r w:rsidR="00BB16D2" w:rsidRPr="00657B22">
        <w:rPr>
          <w:highlight w:val="yellow"/>
        </w:rPr>
        <w:t xml:space="preserve"> probatorios</w:t>
      </w:r>
      <w:r w:rsidRPr="00657B22">
        <w:rPr>
          <w:highlight w:val="yellow"/>
        </w:rPr>
        <w:t xml:space="preserve">"” </w:t>
      </w:r>
      <w:r w:rsidRPr="00657B22">
        <w:rPr>
          <w:b/>
          <w:bCs/>
          <w:highlight w:val="yellow"/>
        </w:rPr>
        <w:t>(Sic)</w:t>
      </w:r>
    </w:p>
    <w:p w14:paraId="7C5B22FD" w14:textId="77777777" w:rsidR="00940D8D" w:rsidRPr="00657B22" w:rsidRDefault="00940D8D" w:rsidP="000E4788">
      <w:pPr>
        <w:spacing w:after="0" w:line="360" w:lineRule="auto"/>
        <w:jc w:val="both"/>
        <w:rPr>
          <w:rFonts w:ascii="Palatino Linotype" w:hAnsi="Palatino Linotype" w:cs="Arial"/>
          <w:b/>
          <w:sz w:val="24"/>
          <w:highlight w:val="yellow"/>
        </w:rPr>
      </w:pPr>
    </w:p>
    <w:p w14:paraId="3952A190" w14:textId="77777777" w:rsidR="00B7388E" w:rsidRPr="00657B22" w:rsidRDefault="00B7388E" w:rsidP="000E4788">
      <w:pPr>
        <w:spacing w:after="0" w:line="360" w:lineRule="auto"/>
        <w:jc w:val="both"/>
        <w:rPr>
          <w:rFonts w:ascii="Palatino Linotype" w:hAnsi="Palatino Linotype" w:cs="Arial"/>
          <w:b/>
          <w:sz w:val="24"/>
          <w:highlight w:val="yellow"/>
        </w:rPr>
      </w:pPr>
      <w:r w:rsidRPr="00657B22">
        <w:rPr>
          <w:rFonts w:ascii="Palatino Linotype" w:hAnsi="Palatino Linotype" w:cs="Arial"/>
          <w:b/>
          <w:sz w:val="24"/>
          <w:highlight w:val="yellow"/>
        </w:rPr>
        <w:t>Razones o motivos de la inconformidad:</w:t>
      </w:r>
    </w:p>
    <w:p w14:paraId="320CD666" w14:textId="35214525" w:rsidR="00B7388E" w:rsidRPr="00657B22" w:rsidRDefault="00B7388E" w:rsidP="000E4788">
      <w:pPr>
        <w:pStyle w:val="Citas"/>
        <w:spacing w:before="0" w:after="0"/>
        <w:rPr>
          <w:b/>
          <w:bCs/>
          <w:highlight w:val="yellow"/>
        </w:rPr>
      </w:pPr>
      <w:r w:rsidRPr="00657B22">
        <w:rPr>
          <w:highlight w:val="yellow"/>
        </w:rPr>
        <w:t>“</w:t>
      </w:r>
      <w:r w:rsidR="00BB16D2" w:rsidRPr="00657B22">
        <w:rPr>
          <w:highlight w:val="yellow"/>
        </w:rPr>
        <w:t xml:space="preserve">no se me muestra la </w:t>
      </w:r>
      <w:proofErr w:type="spellStart"/>
      <w:r w:rsidR="00BB16D2" w:rsidRPr="00657B22">
        <w:rPr>
          <w:highlight w:val="yellow"/>
        </w:rPr>
        <w:t>informacion</w:t>
      </w:r>
      <w:proofErr w:type="spellEnd"/>
      <w:r w:rsidR="00BB16D2" w:rsidRPr="00657B22">
        <w:rPr>
          <w:highlight w:val="yellow"/>
        </w:rPr>
        <w:t xml:space="preserve"> solo de dicho</w:t>
      </w:r>
      <w:r w:rsidRPr="00657B22">
        <w:rPr>
          <w:highlight w:val="yellow"/>
        </w:rPr>
        <w:t xml:space="preserve">” </w:t>
      </w:r>
      <w:r w:rsidRPr="00657B22">
        <w:rPr>
          <w:b/>
          <w:bCs/>
          <w:highlight w:val="yellow"/>
        </w:rPr>
        <w:t>(Sic)</w:t>
      </w:r>
    </w:p>
    <w:p w14:paraId="213C3C69" w14:textId="77777777" w:rsidR="00657339" w:rsidRPr="00657B22" w:rsidRDefault="00657339" w:rsidP="000E4788">
      <w:pPr>
        <w:spacing w:after="0" w:line="360" w:lineRule="auto"/>
        <w:jc w:val="both"/>
        <w:rPr>
          <w:rFonts w:ascii="Palatino Linotype" w:hAnsi="Palatino Linotype"/>
          <w:sz w:val="24"/>
          <w:szCs w:val="24"/>
          <w:highlight w:val="yellow"/>
        </w:rPr>
      </w:pPr>
    </w:p>
    <w:p w14:paraId="64200435" w14:textId="58F47525" w:rsidR="00EA399C" w:rsidRPr="00657B22" w:rsidRDefault="00EA399C" w:rsidP="000E4788">
      <w:pPr>
        <w:pStyle w:val="infoemcitas"/>
        <w:tabs>
          <w:tab w:val="left" w:pos="7655"/>
        </w:tabs>
        <w:spacing w:before="0" w:after="0"/>
        <w:ind w:left="0" w:right="0"/>
        <w:rPr>
          <w:rFonts w:cs="Arial"/>
          <w:i w:val="0"/>
          <w:noProof/>
          <w:color w:val="000000"/>
          <w:sz w:val="24"/>
          <w:highlight w:val="yellow"/>
          <w:lang w:eastAsia="es-MX"/>
        </w:rPr>
      </w:pPr>
      <w:r w:rsidRPr="00657B22">
        <w:rPr>
          <w:i w:val="0"/>
          <w:sz w:val="24"/>
          <w:szCs w:val="24"/>
          <w:highlight w:val="yellow"/>
        </w:rPr>
        <w:t xml:space="preserve">Así las cosas, hasta aquí lo expuesto, resulta inconcuso que </w:t>
      </w:r>
      <w:r w:rsidRPr="00657B22">
        <w:rPr>
          <w:b/>
          <w:i w:val="0"/>
          <w:sz w:val="24"/>
          <w:szCs w:val="24"/>
          <w:highlight w:val="yellow"/>
        </w:rPr>
        <w:t xml:space="preserve">El Sujeto Obligado </w:t>
      </w:r>
      <w:r w:rsidRPr="00657B22">
        <w:rPr>
          <w:rFonts w:cs="Arial"/>
          <w:i w:val="0"/>
          <w:noProof/>
          <w:color w:val="000000"/>
          <w:sz w:val="24"/>
          <w:highlight w:val="yellow"/>
          <w:lang w:eastAsia="es-MX"/>
        </w:rPr>
        <w:t xml:space="preserve">no satisfizo el derecho de acceso a la información pública ejercido por </w:t>
      </w:r>
      <w:r w:rsidR="00ED2B67" w:rsidRPr="00657B22">
        <w:rPr>
          <w:rFonts w:cs="Arial"/>
          <w:b/>
          <w:i w:val="0"/>
          <w:noProof/>
          <w:color w:val="000000"/>
          <w:sz w:val="24"/>
          <w:highlight w:val="yellow"/>
          <w:lang w:eastAsia="es-MX"/>
        </w:rPr>
        <w:t>La</w:t>
      </w:r>
      <w:r w:rsidRPr="00657B22">
        <w:rPr>
          <w:rFonts w:cs="Arial"/>
          <w:b/>
          <w:i w:val="0"/>
          <w:noProof/>
          <w:color w:val="000000"/>
          <w:sz w:val="24"/>
          <w:highlight w:val="yellow"/>
          <w:lang w:eastAsia="es-MX"/>
        </w:rPr>
        <w:t xml:space="preserve"> Recurrente, </w:t>
      </w:r>
      <w:r w:rsidRPr="00657B22">
        <w:rPr>
          <w:rFonts w:cs="Arial"/>
          <w:i w:val="0"/>
          <w:noProof/>
          <w:color w:val="000000"/>
          <w:sz w:val="24"/>
          <w:highlight w:val="yellow"/>
          <w:lang w:eastAsia="es-MX"/>
        </w:rPr>
        <w:t>al tenerse por actualizadas las hipotesis normativas previstas en el artículo 179, fracci</w:t>
      </w:r>
      <w:r w:rsidR="00BB16D2" w:rsidRPr="00657B22">
        <w:rPr>
          <w:rFonts w:cs="Arial"/>
          <w:i w:val="0"/>
          <w:noProof/>
          <w:color w:val="000000"/>
          <w:sz w:val="24"/>
          <w:highlight w:val="yellow"/>
          <w:lang w:eastAsia="es-MX"/>
        </w:rPr>
        <w:t xml:space="preserve">ón </w:t>
      </w:r>
      <w:r w:rsidRPr="00657B22">
        <w:rPr>
          <w:rFonts w:cs="Arial"/>
          <w:i w:val="0"/>
          <w:noProof/>
          <w:color w:val="000000"/>
          <w:sz w:val="24"/>
          <w:highlight w:val="yellow"/>
          <w:lang w:eastAsia="es-MX"/>
        </w:rPr>
        <w:t>V</w:t>
      </w:r>
      <w:r w:rsidR="00BB16D2" w:rsidRPr="00657B22">
        <w:rPr>
          <w:rFonts w:cs="Arial"/>
          <w:i w:val="0"/>
          <w:noProof/>
          <w:color w:val="000000"/>
          <w:sz w:val="24"/>
          <w:highlight w:val="yellow"/>
          <w:lang w:eastAsia="es-MX"/>
        </w:rPr>
        <w:t>I</w:t>
      </w:r>
      <w:r w:rsidRPr="00657B22">
        <w:rPr>
          <w:rFonts w:cs="Arial"/>
          <w:i w:val="0"/>
          <w:noProof/>
          <w:color w:val="000000"/>
          <w:sz w:val="24"/>
          <w:highlight w:val="yellow"/>
          <w:lang w:eastAsia="es-MX"/>
        </w:rPr>
        <w:t xml:space="preserve"> de la Ley de Transparencia y Acceso a la Información Pública del Estado de Mexico y Municipios, cuyo contenido literal es el siguiente: </w:t>
      </w:r>
    </w:p>
    <w:p w14:paraId="50B50EF4" w14:textId="77777777" w:rsidR="00BB16D2" w:rsidRPr="00657B22" w:rsidRDefault="00BB16D2" w:rsidP="000E4788">
      <w:pPr>
        <w:pStyle w:val="infoemcitas"/>
        <w:tabs>
          <w:tab w:val="left" w:pos="7655"/>
        </w:tabs>
        <w:spacing w:before="0" w:after="0"/>
        <w:ind w:left="0" w:right="0"/>
        <w:rPr>
          <w:rFonts w:cs="Arial"/>
          <w:i w:val="0"/>
          <w:noProof/>
          <w:color w:val="000000"/>
          <w:sz w:val="24"/>
          <w:highlight w:val="yellow"/>
          <w:lang w:eastAsia="es-MX"/>
        </w:rPr>
      </w:pPr>
    </w:p>
    <w:p w14:paraId="3B4E44F0" w14:textId="77777777" w:rsidR="00EA399C" w:rsidRPr="00657B22" w:rsidRDefault="00EA399C" w:rsidP="000E4788">
      <w:pPr>
        <w:pStyle w:val="Citas"/>
        <w:spacing w:before="0" w:after="0"/>
        <w:rPr>
          <w:highlight w:val="yellow"/>
        </w:rPr>
      </w:pPr>
      <w:r w:rsidRPr="00657B22">
        <w:rPr>
          <w:highlight w:val="yellow"/>
        </w:rPr>
        <w:t xml:space="preserve"> “Artículo 179. El recurso de revisión es un medio de protección que la Ley otorga a los particulares, para hacer valer su derecho de acceso a la información pública, y procederá en contra de las siguientes causas:</w:t>
      </w:r>
    </w:p>
    <w:p w14:paraId="6DF2E92C" w14:textId="643B4438" w:rsidR="00BB16D2" w:rsidRPr="00657B22" w:rsidRDefault="00BB16D2" w:rsidP="000E4788">
      <w:pPr>
        <w:pStyle w:val="Citas"/>
        <w:spacing w:before="0" w:after="0"/>
        <w:rPr>
          <w:highlight w:val="yellow"/>
        </w:rPr>
      </w:pPr>
      <w:r w:rsidRPr="00657B22">
        <w:rPr>
          <w:highlight w:val="yellow"/>
        </w:rPr>
        <w:t>(…)</w:t>
      </w:r>
    </w:p>
    <w:p w14:paraId="5033F236" w14:textId="77777777" w:rsidR="00BB16D2" w:rsidRPr="00657B22" w:rsidRDefault="00BB16D2" w:rsidP="000E4788">
      <w:pPr>
        <w:pStyle w:val="Citas"/>
        <w:spacing w:before="0" w:after="0"/>
        <w:rPr>
          <w:highlight w:val="yellow"/>
        </w:rPr>
      </w:pPr>
      <w:r w:rsidRPr="00657B22">
        <w:rPr>
          <w:highlight w:val="yellow"/>
        </w:rPr>
        <w:t xml:space="preserve">VI. La entrega de información que no corresponda con lo solicitado; </w:t>
      </w:r>
    </w:p>
    <w:p w14:paraId="3A9A1813" w14:textId="73DFDB74" w:rsidR="00EA399C" w:rsidRPr="00657B22" w:rsidRDefault="00EA399C" w:rsidP="000E4788">
      <w:pPr>
        <w:pStyle w:val="Citas"/>
        <w:spacing w:before="0" w:after="0"/>
        <w:rPr>
          <w:highlight w:val="yellow"/>
        </w:rPr>
      </w:pPr>
      <w:r w:rsidRPr="00657B22">
        <w:rPr>
          <w:highlight w:val="yellow"/>
        </w:rPr>
        <w:t xml:space="preserve">(…)” </w:t>
      </w:r>
      <w:r w:rsidR="00543FC4" w:rsidRPr="00657B22">
        <w:rPr>
          <w:b/>
          <w:bCs/>
          <w:highlight w:val="yellow"/>
        </w:rPr>
        <w:t>(</w:t>
      </w:r>
      <w:r w:rsidRPr="00657B22">
        <w:rPr>
          <w:b/>
          <w:bCs/>
          <w:highlight w:val="yellow"/>
        </w:rPr>
        <w:t>Sic</w:t>
      </w:r>
      <w:r w:rsidR="00543FC4" w:rsidRPr="00657B22">
        <w:rPr>
          <w:b/>
          <w:bCs/>
          <w:highlight w:val="yellow"/>
        </w:rPr>
        <w:t>)</w:t>
      </w:r>
    </w:p>
    <w:p w14:paraId="6ABD8DD6" w14:textId="77777777" w:rsidR="00ED2B67" w:rsidRPr="00657B22" w:rsidRDefault="00ED2B67" w:rsidP="000E4788">
      <w:pPr>
        <w:spacing w:after="0" w:line="360" w:lineRule="auto"/>
        <w:jc w:val="both"/>
        <w:rPr>
          <w:rFonts w:ascii="Palatino Linotype" w:hAnsi="Palatino Linotype"/>
          <w:sz w:val="24"/>
          <w:szCs w:val="24"/>
          <w:highlight w:val="yellow"/>
        </w:rPr>
      </w:pPr>
    </w:p>
    <w:p w14:paraId="4793CA2F" w14:textId="52538FB9" w:rsidR="00272A94" w:rsidRPr="00657B22" w:rsidRDefault="00272A94"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 xml:space="preserve">Por otra parte, como fue referido en el antecedente quinto, </w:t>
      </w:r>
      <w:r w:rsidRPr="00657B22">
        <w:rPr>
          <w:rFonts w:ascii="Palatino Linotype" w:hAnsi="Palatino Linotype"/>
          <w:b/>
          <w:bCs/>
          <w:sz w:val="24"/>
          <w:szCs w:val="24"/>
          <w:highlight w:val="yellow"/>
        </w:rPr>
        <w:t xml:space="preserve">El Sujeto Obligado </w:t>
      </w:r>
      <w:r w:rsidR="001669D1" w:rsidRPr="00657B22">
        <w:rPr>
          <w:rFonts w:ascii="Palatino Linotype" w:hAnsi="Palatino Linotype"/>
          <w:sz w:val="24"/>
          <w:szCs w:val="24"/>
          <w:highlight w:val="yellow"/>
        </w:rPr>
        <w:t>rindió su informe justificado en los siguientes términos:</w:t>
      </w:r>
    </w:p>
    <w:p w14:paraId="4F5A47A2" w14:textId="77777777" w:rsidR="00940D8D" w:rsidRPr="00657B22" w:rsidRDefault="00940D8D" w:rsidP="000E4788">
      <w:pPr>
        <w:spacing w:after="0" w:line="360" w:lineRule="auto"/>
        <w:jc w:val="both"/>
        <w:rPr>
          <w:rFonts w:ascii="Palatino Linotype" w:hAnsi="Palatino Linotype"/>
          <w:sz w:val="24"/>
          <w:szCs w:val="24"/>
          <w:highlight w:val="yellow"/>
        </w:rPr>
      </w:pPr>
    </w:p>
    <w:p w14:paraId="44980040" w14:textId="77777777" w:rsidR="00714992" w:rsidRPr="00657B22" w:rsidRDefault="001669D1" w:rsidP="000E4788">
      <w:pPr>
        <w:pStyle w:val="Prrafodelista"/>
        <w:numPr>
          <w:ilvl w:val="0"/>
          <w:numId w:val="4"/>
        </w:numPr>
        <w:spacing w:line="360" w:lineRule="auto"/>
        <w:jc w:val="both"/>
        <w:rPr>
          <w:rFonts w:ascii="Palatino Linotype" w:hAnsi="Palatino Linotype"/>
          <w:b/>
          <w:bCs/>
          <w:highlight w:val="yellow"/>
          <w:lang w:val="es-MX"/>
        </w:rPr>
      </w:pPr>
      <w:r w:rsidRPr="00657B22">
        <w:rPr>
          <w:rFonts w:ascii="Palatino Linotype" w:hAnsi="Palatino Linotype"/>
          <w:b/>
          <w:bCs/>
          <w:highlight w:val="yellow"/>
          <w:lang w:val="es-MX"/>
        </w:rPr>
        <w:lastRenderedPageBreak/>
        <w:t>“</w:t>
      </w:r>
      <w:r w:rsidR="00BB16D2" w:rsidRPr="00657B22">
        <w:rPr>
          <w:rFonts w:ascii="Palatino Linotype" w:hAnsi="Palatino Linotype"/>
          <w:b/>
          <w:bCs/>
          <w:highlight w:val="yellow"/>
          <w:lang w:val="es-MX"/>
        </w:rPr>
        <w:t>Informe Justificado RR 02195.pdf</w:t>
      </w:r>
      <w:r w:rsidR="00E031A4" w:rsidRPr="00657B22">
        <w:rPr>
          <w:rFonts w:ascii="Palatino Linotype" w:hAnsi="Palatino Linotype"/>
          <w:b/>
          <w:bCs/>
          <w:highlight w:val="yellow"/>
          <w:lang w:val="es-MX"/>
        </w:rPr>
        <w:t xml:space="preserve">”: </w:t>
      </w:r>
      <w:r w:rsidR="00E031A4" w:rsidRPr="00657B22">
        <w:rPr>
          <w:rFonts w:ascii="Palatino Linotype" w:hAnsi="Palatino Linotype"/>
          <w:highlight w:val="yellow"/>
          <w:lang w:val="es-MX"/>
        </w:rPr>
        <w:t xml:space="preserve">Oficio </w:t>
      </w:r>
      <w:r w:rsidR="00BB16D2" w:rsidRPr="00657B22">
        <w:rPr>
          <w:rFonts w:ascii="Palatino Linotype" w:hAnsi="Palatino Linotype"/>
          <w:b/>
          <w:bCs/>
          <w:highlight w:val="yellow"/>
          <w:lang w:val="es-MX"/>
        </w:rPr>
        <w:t>22800007010000S/0834/UT/2025</w:t>
      </w:r>
      <w:r w:rsidR="00714992" w:rsidRPr="00657B22">
        <w:rPr>
          <w:rFonts w:ascii="Palatino Linotype" w:hAnsi="Palatino Linotype"/>
          <w:b/>
          <w:bCs/>
          <w:highlight w:val="yellow"/>
          <w:lang w:val="es-MX"/>
        </w:rPr>
        <w:t xml:space="preserve">, </w:t>
      </w:r>
      <w:r w:rsidR="00E031A4" w:rsidRPr="00657B22">
        <w:rPr>
          <w:rFonts w:ascii="Palatino Linotype" w:hAnsi="Palatino Linotype"/>
          <w:b/>
          <w:bCs/>
          <w:highlight w:val="yellow"/>
          <w:lang w:val="es-MX"/>
        </w:rPr>
        <w:t xml:space="preserve"> </w:t>
      </w:r>
      <w:r w:rsidR="00E031A4" w:rsidRPr="00657B22">
        <w:rPr>
          <w:rFonts w:ascii="Palatino Linotype" w:hAnsi="Palatino Linotype"/>
          <w:highlight w:val="yellow"/>
          <w:lang w:val="es-MX"/>
        </w:rPr>
        <w:t>remitido por</w:t>
      </w:r>
      <w:r w:rsidR="00714992" w:rsidRPr="00657B22">
        <w:rPr>
          <w:rFonts w:ascii="Palatino Linotype" w:hAnsi="Palatino Linotype"/>
          <w:highlight w:val="yellow"/>
          <w:lang w:val="es-MX"/>
        </w:rPr>
        <w:t xml:space="preserve"> el Titular de la Unidad, mediante el cual se precisa que se tiene por colmado el requerimiento del ahora recurrente, pues en la respuesta emitida por el Servidor Público Habilitado se precisa que la Dirección General de Cultura Física y Deporte se rige por REGLAMENTO INTERNO de la propia Secretaría de Educación. Ciencia, Tecnología e Innovación, por lo cual solicita se sobresea o bien se confirme la respuesta emitida.</w:t>
      </w:r>
    </w:p>
    <w:p w14:paraId="06638B47" w14:textId="151754A4" w:rsidR="00543FC4" w:rsidRPr="00657B22" w:rsidRDefault="00543FC4" w:rsidP="000E4788">
      <w:pPr>
        <w:spacing w:after="0" w:line="360" w:lineRule="auto"/>
        <w:jc w:val="both"/>
        <w:rPr>
          <w:rFonts w:ascii="Palatino Linotype" w:hAnsi="Palatino Linotype"/>
          <w:highlight w:val="yellow"/>
        </w:rPr>
      </w:pPr>
    </w:p>
    <w:p w14:paraId="1F47C79C" w14:textId="3BA07935" w:rsidR="00BB16D2" w:rsidRPr="00657B22" w:rsidRDefault="00BB16D2" w:rsidP="000E4788">
      <w:pPr>
        <w:autoSpaceDE w:val="0"/>
        <w:autoSpaceDN w:val="0"/>
        <w:adjustRightInd w:val="0"/>
        <w:spacing w:after="0" w:line="360" w:lineRule="auto"/>
        <w:jc w:val="both"/>
        <w:rPr>
          <w:rFonts w:ascii="Palatino Linotype" w:hAnsi="Palatino Linotype"/>
          <w:iCs/>
          <w:sz w:val="24"/>
          <w:szCs w:val="24"/>
          <w:highlight w:val="yellow"/>
        </w:rPr>
      </w:pPr>
      <w:r w:rsidRPr="00657B22">
        <w:rPr>
          <w:rFonts w:ascii="Palatino Linotype" w:hAnsi="Palatino Linotype" w:cs="Arial"/>
          <w:sz w:val="24"/>
          <w:szCs w:val="24"/>
          <w:highlight w:val="yellow"/>
        </w:rPr>
        <w:t xml:space="preserve">Bajo este contexto, resulta oportuno </w:t>
      </w:r>
      <w:r w:rsidR="00714992" w:rsidRPr="00657B22">
        <w:rPr>
          <w:rFonts w:ascii="Palatino Linotype" w:hAnsi="Palatino Linotype" w:cs="Arial"/>
          <w:sz w:val="24"/>
          <w:szCs w:val="24"/>
          <w:highlight w:val="yellow"/>
        </w:rPr>
        <w:t>traer a colación lo establecido en el Reglamento Interno de la Secretaría de Educación, Ciencia, Tecnología e Innovación, el cual dispone</w:t>
      </w:r>
      <w:r w:rsidRPr="00657B22">
        <w:rPr>
          <w:rFonts w:ascii="Palatino Linotype" w:hAnsi="Palatino Linotype"/>
          <w:iCs/>
          <w:sz w:val="24"/>
          <w:szCs w:val="24"/>
          <w:highlight w:val="yellow"/>
        </w:rPr>
        <w:t xml:space="preserve"> a la literalidad lo siguiente:</w:t>
      </w:r>
    </w:p>
    <w:p w14:paraId="0D58681D" w14:textId="77777777" w:rsidR="00714992" w:rsidRPr="00657B22" w:rsidRDefault="00714992" w:rsidP="000E4788">
      <w:pPr>
        <w:autoSpaceDE w:val="0"/>
        <w:autoSpaceDN w:val="0"/>
        <w:adjustRightInd w:val="0"/>
        <w:spacing w:after="0" w:line="360" w:lineRule="auto"/>
        <w:jc w:val="both"/>
        <w:rPr>
          <w:rFonts w:ascii="Palatino Linotype" w:hAnsi="Palatino Linotype"/>
          <w:iCs/>
          <w:sz w:val="24"/>
          <w:szCs w:val="24"/>
          <w:highlight w:val="yellow"/>
        </w:rPr>
      </w:pPr>
    </w:p>
    <w:p w14:paraId="1FC176C1" w14:textId="1D4579A5" w:rsidR="00BB16D2" w:rsidRPr="00657B22" w:rsidRDefault="00714992" w:rsidP="000E4788">
      <w:pPr>
        <w:pStyle w:val="Citas"/>
        <w:spacing w:before="0" w:after="0"/>
        <w:jc w:val="center"/>
        <w:rPr>
          <w:b/>
          <w:bCs/>
          <w:iCs/>
          <w:highlight w:val="yellow"/>
        </w:rPr>
      </w:pPr>
      <w:r w:rsidRPr="00657B22">
        <w:rPr>
          <w:b/>
          <w:bCs/>
          <w:iCs/>
          <w:highlight w:val="yellow"/>
        </w:rPr>
        <w:t>REGLAMENTO INTERIOR DE LA SECRETARÍA DE EDUCACIÓN, CIENCIA, TECNOLOGÍA E INNOVACIÓN</w:t>
      </w:r>
    </w:p>
    <w:p w14:paraId="293F80B3" w14:textId="47028C25" w:rsidR="00714992" w:rsidRPr="00657B22" w:rsidRDefault="00BB16D2" w:rsidP="000E4788">
      <w:pPr>
        <w:pStyle w:val="Citas"/>
        <w:spacing w:before="0" w:after="0"/>
        <w:rPr>
          <w:bCs/>
          <w:highlight w:val="yellow"/>
        </w:rPr>
      </w:pPr>
      <w:r w:rsidRPr="00657B22">
        <w:rPr>
          <w:highlight w:val="yellow"/>
        </w:rPr>
        <w:t>“</w:t>
      </w:r>
      <w:r w:rsidR="00714992" w:rsidRPr="00657B22">
        <w:rPr>
          <w:b/>
          <w:bCs/>
          <w:highlight w:val="yellow"/>
        </w:rPr>
        <w:t xml:space="preserve">Artículo 4. </w:t>
      </w:r>
      <w:r w:rsidR="00714992" w:rsidRPr="00657B22">
        <w:rPr>
          <w:bCs/>
          <w:highlight w:val="yellow"/>
        </w:rPr>
        <w:t>Para el estudio, planeación y despacho de los asuntos de su competencia, la Secretaría contará con las unidades administrativas básicas siguientes:</w:t>
      </w:r>
    </w:p>
    <w:p w14:paraId="04390FE0" w14:textId="77777777" w:rsidR="00714992" w:rsidRPr="00657B22" w:rsidRDefault="00714992" w:rsidP="000E4788">
      <w:pPr>
        <w:pStyle w:val="Citas"/>
        <w:spacing w:before="0" w:after="0"/>
        <w:ind w:left="1134"/>
        <w:rPr>
          <w:bCs/>
          <w:highlight w:val="yellow"/>
        </w:rPr>
      </w:pPr>
      <w:r w:rsidRPr="00657B22">
        <w:rPr>
          <w:bCs/>
          <w:highlight w:val="yellow"/>
        </w:rPr>
        <w:t>I. Subsecretaría de Educación Básica;</w:t>
      </w:r>
    </w:p>
    <w:p w14:paraId="1C22A45F" w14:textId="77777777" w:rsidR="00714992" w:rsidRPr="00657B22" w:rsidRDefault="00714992" w:rsidP="000E4788">
      <w:pPr>
        <w:pStyle w:val="Citas"/>
        <w:spacing w:before="0" w:after="0"/>
        <w:ind w:left="1134"/>
        <w:rPr>
          <w:bCs/>
          <w:highlight w:val="yellow"/>
        </w:rPr>
      </w:pPr>
      <w:r w:rsidRPr="00657B22">
        <w:rPr>
          <w:bCs/>
          <w:highlight w:val="yellow"/>
        </w:rPr>
        <w:t>II. Subsecretaría de Educación Media Superior;</w:t>
      </w:r>
    </w:p>
    <w:p w14:paraId="7808997D" w14:textId="77777777" w:rsidR="00714992" w:rsidRPr="00657B22" w:rsidRDefault="00714992" w:rsidP="000E4788">
      <w:pPr>
        <w:pStyle w:val="Citas"/>
        <w:spacing w:before="0" w:after="0"/>
        <w:ind w:left="1134"/>
        <w:rPr>
          <w:bCs/>
          <w:highlight w:val="yellow"/>
        </w:rPr>
      </w:pPr>
      <w:r w:rsidRPr="00657B22">
        <w:rPr>
          <w:bCs/>
          <w:highlight w:val="yellow"/>
        </w:rPr>
        <w:t>III. Subsecretaría de Educación Superior y Normal;</w:t>
      </w:r>
    </w:p>
    <w:p w14:paraId="7CF54D76" w14:textId="77777777" w:rsidR="00714992" w:rsidRPr="00657B22" w:rsidRDefault="00714992" w:rsidP="000E4788">
      <w:pPr>
        <w:pStyle w:val="Citas"/>
        <w:spacing w:before="0" w:after="0"/>
        <w:ind w:left="1134"/>
        <w:rPr>
          <w:bCs/>
          <w:highlight w:val="yellow"/>
        </w:rPr>
      </w:pPr>
      <w:r w:rsidRPr="00657B22">
        <w:rPr>
          <w:bCs/>
          <w:highlight w:val="yellow"/>
        </w:rPr>
        <w:t>IV. Subsecretaría de Administración y Finanzas;</w:t>
      </w:r>
    </w:p>
    <w:p w14:paraId="69A9AE36" w14:textId="77777777" w:rsidR="00714992" w:rsidRPr="00657B22" w:rsidRDefault="00714992" w:rsidP="000E4788">
      <w:pPr>
        <w:pStyle w:val="Citas"/>
        <w:spacing w:before="0" w:after="0"/>
        <w:ind w:left="1134"/>
        <w:rPr>
          <w:bCs/>
          <w:highlight w:val="yellow"/>
        </w:rPr>
      </w:pPr>
      <w:r w:rsidRPr="00657B22">
        <w:rPr>
          <w:bCs/>
          <w:highlight w:val="yellow"/>
        </w:rPr>
        <w:t>V. Dirección General de Educación Preescolar;</w:t>
      </w:r>
    </w:p>
    <w:p w14:paraId="2D8D41AF" w14:textId="77777777" w:rsidR="00714992" w:rsidRPr="00657B22" w:rsidRDefault="00714992" w:rsidP="000E4788">
      <w:pPr>
        <w:pStyle w:val="Citas"/>
        <w:spacing w:before="0" w:after="0"/>
        <w:ind w:left="1134"/>
        <w:rPr>
          <w:bCs/>
          <w:highlight w:val="yellow"/>
        </w:rPr>
      </w:pPr>
      <w:r w:rsidRPr="00657B22">
        <w:rPr>
          <w:bCs/>
          <w:highlight w:val="yellow"/>
        </w:rPr>
        <w:t>VI. Dirección General de Educación Primaria;</w:t>
      </w:r>
    </w:p>
    <w:p w14:paraId="1F1D97EA" w14:textId="77777777" w:rsidR="00714992" w:rsidRPr="00657B22" w:rsidRDefault="00714992" w:rsidP="000E4788">
      <w:pPr>
        <w:pStyle w:val="Citas"/>
        <w:spacing w:before="0" w:after="0"/>
        <w:ind w:left="1134"/>
        <w:rPr>
          <w:bCs/>
          <w:highlight w:val="yellow"/>
        </w:rPr>
      </w:pPr>
      <w:r w:rsidRPr="00657B22">
        <w:rPr>
          <w:bCs/>
          <w:highlight w:val="yellow"/>
        </w:rPr>
        <w:t>VII. Dirección General de Educación Secundaria;</w:t>
      </w:r>
    </w:p>
    <w:p w14:paraId="4D59AE78" w14:textId="77777777" w:rsidR="00714992" w:rsidRPr="00657B22" w:rsidRDefault="00714992" w:rsidP="000E4788">
      <w:pPr>
        <w:pStyle w:val="Citas"/>
        <w:spacing w:before="0" w:after="0"/>
        <w:ind w:left="1134"/>
        <w:rPr>
          <w:bCs/>
          <w:highlight w:val="yellow"/>
        </w:rPr>
      </w:pPr>
      <w:r w:rsidRPr="00657B22">
        <w:rPr>
          <w:bCs/>
          <w:highlight w:val="yellow"/>
        </w:rPr>
        <w:t>VIII. Dirección General de Inclusión y Fortalecimiento Educativo;</w:t>
      </w:r>
    </w:p>
    <w:p w14:paraId="04870FDC" w14:textId="77777777" w:rsidR="00714992" w:rsidRPr="00657B22" w:rsidRDefault="00714992" w:rsidP="000E4788">
      <w:pPr>
        <w:pStyle w:val="Citas"/>
        <w:spacing w:before="0" w:after="0"/>
        <w:ind w:left="1134"/>
        <w:rPr>
          <w:bCs/>
          <w:highlight w:val="yellow"/>
        </w:rPr>
      </w:pPr>
      <w:r w:rsidRPr="00657B22">
        <w:rPr>
          <w:bCs/>
          <w:highlight w:val="yellow"/>
        </w:rPr>
        <w:lastRenderedPageBreak/>
        <w:t>IX. Dirección General de Educación Media Superior;</w:t>
      </w:r>
    </w:p>
    <w:p w14:paraId="4C780B5E" w14:textId="77777777" w:rsidR="00714992" w:rsidRPr="00657B22" w:rsidRDefault="00714992" w:rsidP="000E4788">
      <w:pPr>
        <w:pStyle w:val="Citas"/>
        <w:spacing w:before="0" w:after="0"/>
        <w:ind w:left="1134"/>
        <w:rPr>
          <w:bCs/>
          <w:highlight w:val="yellow"/>
        </w:rPr>
      </w:pPr>
      <w:r w:rsidRPr="00657B22">
        <w:rPr>
          <w:bCs/>
          <w:highlight w:val="yellow"/>
        </w:rPr>
        <w:t>X. Dirección General de Fortalecimiento Académico de Educación Media Superior;</w:t>
      </w:r>
    </w:p>
    <w:p w14:paraId="3458E194" w14:textId="77777777" w:rsidR="00714992" w:rsidRPr="00657B22" w:rsidRDefault="00714992" w:rsidP="000E4788">
      <w:pPr>
        <w:pStyle w:val="Citas"/>
        <w:spacing w:before="0" w:after="0"/>
        <w:ind w:left="1134"/>
        <w:rPr>
          <w:bCs/>
          <w:highlight w:val="yellow"/>
        </w:rPr>
      </w:pPr>
      <w:r w:rsidRPr="00657B22">
        <w:rPr>
          <w:bCs/>
          <w:highlight w:val="yellow"/>
        </w:rPr>
        <w:t>XI. Dirección General de Educación Superior;</w:t>
      </w:r>
    </w:p>
    <w:p w14:paraId="50D2A8BB" w14:textId="77777777" w:rsidR="00714992" w:rsidRPr="00657B22" w:rsidRDefault="00714992" w:rsidP="000E4788">
      <w:pPr>
        <w:pStyle w:val="Citas"/>
        <w:spacing w:before="0" w:after="0"/>
        <w:ind w:left="1134"/>
        <w:rPr>
          <w:bCs/>
          <w:highlight w:val="yellow"/>
        </w:rPr>
      </w:pPr>
      <w:r w:rsidRPr="00657B22">
        <w:rPr>
          <w:bCs/>
          <w:highlight w:val="yellow"/>
        </w:rPr>
        <w:t>XII. Dirección General de Educación Normal;</w:t>
      </w:r>
    </w:p>
    <w:p w14:paraId="3C9FF017" w14:textId="77777777" w:rsidR="00714992" w:rsidRPr="00657B22" w:rsidRDefault="00714992" w:rsidP="000E4788">
      <w:pPr>
        <w:pStyle w:val="Citas"/>
        <w:spacing w:before="0" w:after="0"/>
        <w:ind w:left="1134"/>
        <w:rPr>
          <w:bCs/>
          <w:highlight w:val="yellow"/>
        </w:rPr>
      </w:pPr>
      <w:r w:rsidRPr="00657B22">
        <w:rPr>
          <w:bCs/>
          <w:highlight w:val="yellow"/>
        </w:rPr>
        <w:t>XIII. Coordinación de Delegaciones Administrativas;</w:t>
      </w:r>
    </w:p>
    <w:p w14:paraId="5ECA7A3F" w14:textId="77777777" w:rsidR="00714992" w:rsidRPr="00657B22" w:rsidRDefault="00714992" w:rsidP="000E4788">
      <w:pPr>
        <w:pStyle w:val="Citas"/>
        <w:spacing w:before="0" w:after="0"/>
        <w:ind w:left="1134"/>
        <w:rPr>
          <w:bCs/>
          <w:highlight w:val="yellow"/>
        </w:rPr>
      </w:pPr>
      <w:r w:rsidRPr="00657B22">
        <w:rPr>
          <w:bCs/>
          <w:highlight w:val="yellow"/>
        </w:rPr>
        <w:t>XIV. Dirección General de Administración;</w:t>
      </w:r>
    </w:p>
    <w:p w14:paraId="18C09F33" w14:textId="77777777" w:rsidR="00714992" w:rsidRPr="00657B22" w:rsidRDefault="00714992" w:rsidP="000E4788">
      <w:pPr>
        <w:pStyle w:val="Citas"/>
        <w:spacing w:before="0" w:after="0"/>
        <w:ind w:left="1134"/>
        <w:rPr>
          <w:bCs/>
          <w:highlight w:val="yellow"/>
        </w:rPr>
      </w:pPr>
      <w:r w:rsidRPr="00657B22">
        <w:rPr>
          <w:bCs/>
          <w:highlight w:val="yellow"/>
        </w:rPr>
        <w:t>XV. Dirección General de Finanzas;</w:t>
      </w:r>
    </w:p>
    <w:p w14:paraId="30A838FA" w14:textId="77777777" w:rsidR="00714992" w:rsidRPr="00657B22" w:rsidRDefault="00714992" w:rsidP="000E4788">
      <w:pPr>
        <w:pStyle w:val="Citas"/>
        <w:spacing w:before="0" w:after="0"/>
        <w:ind w:left="1134"/>
        <w:rPr>
          <w:bCs/>
          <w:highlight w:val="yellow"/>
        </w:rPr>
      </w:pPr>
      <w:r w:rsidRPr="00657B22">
        <w:rPr>
          <w:bCs/>
          <w:highlight w:val="yellow"/>
        </w:rPr>
        <w:t>XVI. Dirección General de Supervisión de Ingresos y Egresos de Instituciones Educativas;</w:t>
      </w:r>
    </w:p>
    <w:p w14:paraId="409E934E" w14:textId="77777777" w:rsidR="00714992" w:rsidRPr="00657B22" w:rsidRDefault="00714992" w:rsidP="000E4788">
      <w:pPr>
        <w:pStyle w:val="Citas"/>
        <w:spacing w:before="0" w:after="0"/>
        <w:ind w:left="1134"/>
        <w:rPr>
          <w:b/>
          <w:bCs/>
          <w:highlight w:val="yellow"/>
          <w:u w:val="single"/>
        </w:rPr>
      </w:pPr>
      <w:r w:rsidRPr="00657B22">
        <w:rPr>
          <w:b/>
          <w:bCs/>
          <w:highlight w:val="yellow"/>
          <w:u w:val="single"/>
        </w:rPr>
        <w:t>XVII. Dirección General de Cultura Física y Deporte;</w:t>
      </w:r>
    </w:p>
    <w:p w14:paraId="1E85F1ED" w14:textId="77777777" w:rsidR="00714992" w:rsidRPr="00657B22" w:rsidRDefault="00714992" w:rsidP="000E4788">
      <w:pPr>
        <w:pStyle w:val="Citas"/>
        <w:spacing w:before="0" w:after="0"/>
        <w:ind w:left="1134"/>
        <w:rPr>
          <w:bCs/>
          <w:highlight w:val="yellow"/>
        </w:rPr>
      </w:pPr>
      <w:r w:rsidRPr="00657B22">
        <w:rPr>
          <w:bCs/>
          <w:highlight w:val="yellow"/>
        </w:rPr>
        <w:t>XVIII. Coordinación de Estudios y Proyectos Especiales;</w:t>
      </w:r>
    </w:p>
    <w:p w14:paraId="139EDBBB" w14:textId="77777777" w:rsidR="00714992" w:rsidRPr="00657B22" w:rsidRDefault="00714992" w:rsidP="000E4788">
      <w:pPr>
        <w:pStyle w:val="Citas"/>
        <w:spacing w:before="0" w:after="0"/>
        <w:ind w:left="1134"/>
        <w:rPr>
          <w:bCs/>
          <w:highlight w:val="yellow"/>
        </w:rPr>
      </w:pPr>
      <w:r w:rsidRPr="00657B22">
        <w:rPr>
          <w:bCs/>
          <w:highlight w:val="yellow"/>
        </w:rPr>
        <w:t>XIX. Coordinación de Atención a Grupos Sociales;</w:t>
      </w:r>
    </w:p>
    <w:p w14:paraId="5060451D" w14:textId="77777777" w:rsidR="00714992" w:rsidRPr="00657B22" w:rsidRDefault="00714992" w:rsidP="000E4788">
      <w:pPr>
        <w:pStyle w:val="Citas"/>
        <w:spacing w:before="0" w:after="0"/>
        <w:ind w:left="1134"/>
        <w:rPr>
          <w:bCs/>
          <w:highlight w:val="yellow"/>
        </w:rPr>
      </w:pPr>
      <w:r w:rsidRPr="00657B22">
        <w:rPr>
          <w:bCs/>
          <w:highlight w:val="yellow"/>
        </w:rPr>
        <w:t>XX. Coordinación de Vinculación;</w:t>
      </w:r>
    </w:p>
    <w:p w14:paraId="18483B82" w14:textId="77777777" w:rsidR="00714992" w:rsidRPr="00657B22" w:rsidRDefault="00714992" w:rsidP="000E4788">
      <w:pPr>
        <w:pStyle w:val="Citas"/>
        <w:spacing w:before="0" w:after="0"/>
        <w:ind w:left="1134"/>
        <w:rPr>
          <w:bCs/>
          <w:highlight w:val="yellow"/>
        </w:rPr>
      </w:pPr>
      <w:r w:rsidRPr="00657B22">
        <w:rPr>
          <w:bCs/>
          <w:highlight w:val="yellow"/>
        </w:rPr>
        <w:t>XXI. Coordinación de Innovación Educativa;</w:t>
      </w:r>
    </w:p>
    <w:p w14:paraId="261FB921" w14:textId="77777777" w:rsidR="00714992" w:rsidRPr="00657B22" w:rsidRDefault="00714992" w:rsidP="000E4788">
      <w:pPr>
        <w:pStyle w:val="Citas"/>
        <w:spacing w:before="0" w:after="0"/>
        <w:ind w:left="1134"/>
        <w:rPr>
          <w:bCs/>
          <w:highlight w:val="yellow"/>
        </w:rPr>
      </w:pPr>
      <w:r w:rsidRPr="00657B22">
        <w:rPr>
          <w:bCs/>
          <w:highlight w:val="yellow"/>
        </w:rPr>
        <w:t>XXII. Coordinación de Política Regional;</w:t>
      </w:r>
    </w:p>
    <w:p w14:paraId="2A0DE4BB" w14:textId="77777777" w:rsidR="00714992" w:rsidRPr="00657B22" w:rsidRDefault="00714992" w:rsidP="000E4788">
      <w:pPr>
        <w:pStyle w:val="Citas"/>
        <w:spacing w:before="0" w:after="0"/>
        <w:ind w:left="1134"/>
        <w:rPr>
          <w:bCs/>
          <w:highlight w:val="yellow"/>
        </w:rPr>
      </w:pPr>
      <w:r w:rsidRPr="00657B22">
        <w:rPr>
          <w:bCs/>
          <w:highlight w:val="yellow"/>
        </w:rPr>
        <w:t>XXIII. Coordinación de Asuntos Jurídicos, de Igualdad de Género y Erradicación de la Violencia;</w:t>
      </w:r>
    </w:p>
    <w:p w14:paraId="720CA72F" w14:textId="77777777" w:rsidR="00714992" w:rsidRPr="00657B22" w:rsidRDefault="00714992" w:rsidP="000E4788">
      <w:pPr>
        <w:pStyle w:val="Citas"/>
        <w:spacing w:before="0" w:after="0"/>
        <w:ind w:left="1134"/>
        <w:rPr>
          <w:bCs/>
          <w:highlight w:val="yellow"/>
        </w:rPr>
      </w:pPr>
      <w:r w:rsidRPr="00657B22">
        <w:rPr>
          <w:bCs/>
          <w:highlight w:val="yellow"/>
        </w:rPr>
        <w:t>XXIV. Secretaría Técnica, y</w:t>
      </w:r>
    </w:p>
    <w:p w14:paraId="7A910D7F" w14:textId="6A769A53" w:rsidR="00BB16D2" w:rsidRPr="00657B22" w:rsidRDefault="00714992" w:rsidP="000E4788">
      <w:pPr>
        <w:pStyle w:val="Citas"/>
        <w:spacing w:before="0" w:after="0"/>
        <w:ind w:left="1134"/>
        <w:rPr>
          <w:highlight w:val="yellow"/>
        </w:rPr>
      </w:pPr>
      <w:r w:rsidRPr="00657B22">
        <w:rPr>
          <w:bCs/>
          <w:highlight w:val="yellow"/>
        </w:rPr>
        <w:t>XXV. Dirección de Relaciones Laborales</w:t>
      </w:r>
    </w:p>
    <w:p w14:paraId="171DFCDB" w14:textId="1E5FFFC5" w:rsidR="00714992" w:rsidRPr="00657B22" w:rsidRDefault="00714992" w:rsidP="000E4788">
      <w:pPr>
        <w:pStyle w:val="Citas"/>
        <w:spacing w:before="0" w:after="0"/>
        <w:rPr>
          <w:highlight w:val="yellow"/>
        </w:rPr>
      </w:pPr>
      <w:r w:rsidRPr="00657B22">
        <w:rPr>
          <w:b/>
          <w:highlight w:val="yellow"/>
        </w:rPr>
        <w:t>Artículo 31.</w:t>
      </w:r>
      <w:r w:rsidRPr="00657B22">
        <w:rPr>
          <w:highlight w:val="yellow"/>
        </w:rPr>
        <w:t xml:space="preserve"> Corresponden a la Dirección General de Cultura Física y Deporte las siguientes atribuciones:</w:t>
      </w:r>
    </w:p>
    <w:p w14:paraId="0CF47507" w14:textId="35B34A45" w:rsidR="00714992" w:rsidRPr="00657B22" w:rsidRDefault="00714992" w:rsidP="000E4788">
      <w:pPr>
        <w:pStyle w:val="Citas"/>
        <w:spacing w:before="0" w:after="0"/>
        <w:ind w:left="1134"/>
        <w:rPr>
          <w:highlight w:val="yellow"/>
        </w:rPr>
      </w:pPr>
      <w:r w:rsidRPr="00657B22">
        <w:rPr>
          <w:highlight w:val="yellow"/>
        </w:rPr>
        <w:t>I. Ejecutar en el ámbito de su competencia, las atribuciones que corresponden al Estado en materia de cultura física y deporte, de conformidad con las disposiciones jurídicas aplicables;</w:t>
      </w:r>
    </w:p>
    <w:p w14:paraId="5019FBAC" w14:textId="3ABF57B5" w:rsidR="00714992" w:rsidRPr="00657B22" w:rsidRDefault="00714992" w:rsidP="000E4788">
      <w:pPr>
        <w:pStyle w:val="Citas"/>
        <w:spacing w:before="0" w:after="0"/>
        <w:ind w:left="1134"/>
        <w:rPr>
          <w:highlight w:val="yellow"/>
        </w:rPr>
      </w:pPr>
      <w:r w:rsidRPr="00657B22">
        <w:rPr>
          <w:highlight w:val="yellow"/>
        </w:rPr>
        <w:lastRenderedPageBreak/>
        <w:t>II. Diseñar y aplicar los instrumentos y programas de política para la cultura física y deporte Estatal, en concordancia con la Política Nacional de Cultura Física y Deporte, conforme a las disposiciones jurídicas aplicables;</w:t>
      </w:r>
    </w:p>
    <w:p w14:paraId="21842546" w14:textId="1ADE6A96" w:rsidR="00714992" w:rsidRPr="00657B22" w:rsidRDefault="00714992" w:rsidP="000E4788">
      <w:pPr>
        <w:pStyle w:val="Citas"/>
        <w:spacing w:before="0" w:after="0"/>
        <w:ind w:left="1134"/>
        <w:rPr>
          <w:highlight w:val="yellow"/>
        </w:rPr>
      </w:pPr>
      <w:r w:rsidRPr="00657B22">
        <w:rPr>
          <w:highlight w:val="yellow"/>
        </w:rPr>
        <w:t>III. Proponer el Programa Estatal de Cultura Física y Deporte, con base en los planes nacional y estatal de desarrollo y previa aprobación de la persona titular de la Secretaría, aplicar y evaluar las acciones que se establezcan en el mismo;</w:t>
      </w:r>
    </w:p>
    <w:p w14:paraId="636B7DCC" w14:textId="2E3B79A3" w:rsidR="00714992" w:rsidRPr="00657B22" w:rsidRDefault="00714992" w:rsidP="000E4788">
      <w:pPr>
        <w:pStyle w:val="Citas"/>
        <w:spacing w:before="0" w:after="0"/>
        <w:ind w:left="1134"/>
        <w:rPr>
          <w:highlight w:val="yellow"/>
        </w:rPr>
      </w:pPr>
      <w:r w:rsidRPr="00657B22">
        <w:rPr>
          <w:highlight w:val="yellow"/>
        </w:rPr>
        <w:t>IV. Integrar, regular y operar el Sistema Estatal de Cultura Física y Deporte, de conformidad con las disposiciones jurídicas aplicables;</w:t>
      </w:r>
    </w:p>
    <w:p w14:paraId="1E586879" w14:textId="3229E3D0" w:rsidR="00714992" w:rsidRPr="00657B22" w:rsidRDefault="00714992" w:rsidP="000E4788">
      <w:pPr>
        <w:pStyle w:val="Citas"/>
        <w:spacing w:before="0" w:after="0"/>
        <w:ind w:left="1134"/>
        <w:rPr>
          <w:highlight w:val="yellow"/>
        </w:rPr>
      </w:pPr>
      <w:r w:rsidRPr="00657B22">
        <w:rPr>
          <w:highlight w:val="yellow"/>
        </w:rPr>
        <w:t>V. Establecer, operar y mantener actualizado el Registro Estatal de Cultura Física y Deporte en coordinación con el Registro Nacional de Cultura Física y Deporte;</w:t>
      </w:r>
    </w:p>
    <w:p w14:paraId="3893A355" w14:textId="7515825B" w:rsidR="00714992" w:rsidRPr="00657B22" w:rsidRDefault="00714992" w:rsidP="000E4788">
      <w:pPr>
        <w:pStyle w:val="Citas"/>
        <w:spacing w:before="0" w:after="0"/>
        <w:ind w:left="1134"/>
        <w:rPr>
          <w:highlight w:val="yellow"/>
        </w:rPr>
      </w:pPr>
      <w:r w:rsidRPr="00657B22">
        <w:rPr>
          <w:highlight w:val="yellow"/>
        </w:rPr>
        <w:t>VI. Promover la participación de los sectores social y privado para el desarrollo de la cultura física y el deporte;</w:t>
      </w:r>
    </w:p>
    <w:p w14:paraId="496CACD5" w14:textId="2AB707BD" w:rsidR="00714992" w:rsidRPr="00657B22" w:rsidRDefault="00714992" w:rsidP="000E4788">
      <w:pPr>
        <w:pStyle w:val="Citas"/>
        <w:spacing w:before="0" w:after="0"/>
        <w:ind w:left="1134"/>
        <w:rPr>
          <w:highlight w:val="yellow"/>
        </w:rPr>
      </w:pPr>
      <w:r w:rsidRPr="00657B22">
        <w:rPr>
          <w:highlight w:val="yellow"/>
        </w:rPr>
        <w:t>VII. Dirigir la elaboración de los proyectos de programas de operación y de presupuesto en materia de cultura física y deporte, y presentarlos para su aprobación a la persona titular de la Secretaría;</w:t>
      </w:r>
    </w:p>
    <w:p w14:paraId="0D2E3F48" w14:textId="1434061B" w:rsidR="00714992" w:rsidRPr="00657B22" w:rsidRDefault="00714992" w:rsidP="000E4788">
      <w:pPr>
        <w:pStyle w:val="Citas"/>
        <w:spacing w:before="0" w:after="0"/>
        <w:ind w:left="1134"/>
        <w:rPr>
          <w:highlight w:val="yellow"/>
        </w:rPr>
      </w:pPr>
      <w:r w:rsidRPr="00657B22">
        <w:rPr>
          <w:highlight w:val="yellow"/>
        </w:rPr>
        <w:t>VIII. Coordinar con las asociaciones deportivas estatales, el establecimiento de programas específicos para el desarrollo del deporte, especialmente en materia de actualización y capacitación del recurso humano para el deporte, eventos selectivos y de representación estatal, desarrollo de talentos deportivos y atletas de alto rendimiento, convencional y adaptado;</w:t>
      </w:r>
    </w:p>
    <w:p w14:paraId="7D3A9AF3" w14:textId="5E9050F4" w:rsidR="00714992" w:rsidRPr="00657B22" w:rsidRDefault="00714992" w:rsidP="000E4788">
      <w:pPr>
        <w:pStyle w:val="Citas"/>
        <w:spacing w:before="0" w:after="0"/>
        <w:ind w:left="1134"/>
        <w:rPr>
          <w:highlight w:val="yellow"/>
        </w:rPr>
      </w:pPr>
      <w:r w:rsidRPr="00657B22">
        <w:rPr>
          <w:highlight w:val="yellow"/>
        </w:rPr>
        <w:t>IX. Colaborar con las organizaciones de los sectores público, social y privado en el establecimiento de programas específicos, estrategias y lineamientos para el fomento y desarrollo de la cultura física y el deporte;</w:t>
      </w:r>
    </w:p>
    <w:p w14:paraId="4F35E469" w14:textId="74E09816" w:rsidR="00714992" w:rsidRPr="00657B22" w:rsidRDefault="00714992" w:rsidP="000E4788">
      <w:pPr>
        <w:pStyle w:val="Citas"/>
        <w:spacing w:before="0" w:after="0"/>
        <w:ind w:left="1134"/>
        <w:rPr>
          <w:highlight w:val="yellow"/>
        </w:rPr>
      </w:pPr>
      <w:r w:rsidRPr="00657B22">
        <w:rPr>
          <w:highlight w:val="yellow"/>
        </w:rPr>
        <w:t>X. Asesorar a los municipios en la planeación y ejecución de programas de promoción e impulso de la cultura física y el deporte;</w:t>
      </w:r>
    </w:p>
    <w:p w14:paraId="0CFCC533" w14:textId="5EAC1664" w:rsidR="00714992" w:rsidRPr="00657B22" w:rsidRDefault="00714992" w:rsidP="000E4788">
      <w:pPr>
        <w:pStyle w:val="Citas"/>
        <w:spacing w:before="0" w:after="0"/>
        <w:ind w:left="1134"/>
        <w:rPr>
          <w:highlight w:val="yellow"/>
        </w:rPr>
      </w:pPr>
      <w:r w:rsidRPr="00657B22">
        <w:rPr>
          <w:highlight w:val="yellow"/>
        </w:rPr>
        <w:lastRenderedPageBreak/>
        <w:t>XI. Proponer a la persona titular de la Secretaría la suscripción de convenios con instituciones públicas, sociales y privadas que tengan como finalidad de promover y fomentar la cultura física y el deporte en el Estado;</w:t>
      </w:r>
    </w:p>
    <w:p w14:paraId="42D2CCBD" w14:textId="02932CCF" w:rsidR="00714992" w:rsidRPr="00657B22" w:rsidRDefault="00714992" w:rsidP="000E4788">
      <w:pPr>
        <w:pStyle w:val="Citas"/>
        <w:spacing w:before="0" w:after="0"/>
        <w:ind w:left="1134"/>
        <w:rPr>
          <w:highlight w:val="yellow"/>
        </w:rPr>
      </w:pPr>
      <w:r w:rsidRPr="00657B22">
        <w:rPr>
          <w:highlight w:val="yellow"/>
        </w:rPr>
        <w:t>XII. Establecer y operar en coordinación con las federaciones deportivas nacionales y las asociaciones deportivas estatales, centros para el deporte de alto rendimiento;</w:t>
      </w:r>
    </w:p>
    <w:p w14:paraId="510536E4" w14:textId="0641ACC9" w:rsidR="00BB16D2" w:rsidRPr="00657B22" w:rsidRDefault="00714992" w:rsidP="000E4788">
      <w:pPr>
        <w:pStyle w:val="Citas"/>
        <w:spacing w:before="0" w:after="0"/>
        <w:ind w:left="1134"/>
        <w:rPr>
          <w:highlight w:val="yellow"/>
        </w:rPr>
      </w:pPr>
      <w:r w:rsidRPr="00657B22">
        <w:rPr>
          <w:highlight w:val="yellow"/>
        </w:rPr>
        <w:t>XIII. Promover la creación de escuelas de enseñanza, desarrollo y práctica del deporte, en coordinación con los sectores público, social y privado, y</w:t>
      </w:r>
    </w:p>
    <w:p w14:paraId="736C97AE" w14:textId="36A4A569" w:rsidR="00BB16D2" w:rsidRPr="00657B22" w:rsidRDefault="00714992" w:rsidP="000E4788">
      <w:pPr>
        <w:pStyle w:val="Citas"/>
        <w:spacing w:before="0" w:after="0"/>
        <w:ind w:left="1134"/>
        <w:rPr>
          <w:highlight w:val="yellow"/>
        </w:rPr>
      </w:pPr>
      <w:r w:rsidRPr="00657B22">
        <w:rPr>
          <w:highlight w:val="yellow"/>
        </w:rPr>
        <w:t>XIV. Las demás que le confieran otras disposiciones jurídicas aplicables y aquellas que le encomiende la persona titular de la Secretaría.</w:t>
      </w:r>
      <w:r w:rsidR="00BB16D2" w:rsidRPr="00657B22">
        <w:rPr>
          <w:highlight w:val="yellow"/>
        </w:rPr>
        <w:t xml:space="preserve">” </w:t>
      </w:r>
      <w:r w:rsidR="00BB16D2" w:rsidRPr="00657B22">
        <w:rPr>
          <w:b/>
          <w:bCs/>
          <w:highlight w:val="yellow"/>
        </w:rPr>
        <w:t>(Sic)</w:t>
      </w:r>
    </w:p>
    <w:p w14:paraId="2803F05D" w14:textId="77777777" w:rsidR="00BB16D2" w:rsidRPr="00657B22" w:rsidRDefault="00BB16D2" w:rsidP="000E4788">
      <w:pPr>
        <w:pStyle w:val="Citas"/>
        <w:spacing w:before="0" w:after="0"/>
        <w:rPr>
          <w:highlight w:val="yellow"/>
        </w:rPr>
      </w:pPr>
    </w:p>
    <w:p w14:paraId="08BDD310" w14:textId="77777777" w:rsidR="00960947" w:rsidRPr="00657B22" w:rsidRDefault="00960947" w:rsidP="000E4788">
      <w:pPr>
        <w:spacing w:after="0" w:line="360" w:lineRule="auto"/>
        <w:jc w:val="both"/>
        <w:rPr>
          <w:rFonts w:ascii="Palatino Linotype" w:eastAsia="Palatino Linotype" w:hAnsi="Palatino Linotype" w:cs="Palatino Linotype"/>
          <w:color w:val="000000"/>
          <w:sz w:val="24"/>
          <w:highlight w:val="yellow"/>
          <w:lang w:eastAsia="es-MX"/>
        </w:rPr>
      </w:pPr>
      <w:r w:rsidRPr="00657B22">
        <w:rPr>
          <w:rFonts w:ascii="Palatino Linotype" w:eastAsia="Palatino Linotype" w:hAnsi="Palatino Linotype" w:cs="Palatino Linotype"/>
          <w:color w:val="000000"/>
          <w:sz w:val="24"/>
          <w:highlight w:val="yellow"/>
          <w:lang w:eastAsia="es-MX"/>
        </w:rPr>
        <w:t xml:space="preserve">De tal circunstancia, se concluye que la información solicitada por el ahora </w:t>
      </w:r>
      <w:r w:rsidRPr="00657B22">
        <w:rPr>
          <w:rFonts w:ascii="Palatino Linotype" w:eastAsia="Palatino Linotype" w:hAnsi="Palatino Linotype" w:cs="Palatino Linotype"/>
          <w:b/>
          <w:color w:val="000000"/>
          <w:sz w:val="24"/>
          <w:highlight w:val="yellow"/>
          <w:lang w:eastAsia="es-MX"/>
        </w:rPr>
        <w:t>Recurrente</w:t>
      </w:r>
      <w:r w:rsidRPr="00657B22">
        <w:rPr>
          <w:rFonts w:ascii="Palatino Linotype" w:eastAsia="Palatino Linotype" w:hAnsi="Palatino Linotype" w:cs="Palatino Linotype"/>
          <w:color w:val="000000"/>
          <w:sz w:val="24"/>
          <w:highlight w:val="yellow"/>
          <w:lang w:eastAsia="es-MX"/>
        </w:rPr>
        <w:t xml:space="preserve"> es accesible y corresponde con lo solicitado, además que el </w:t>
      </w:r>
      <w:r w:rsidRPr="00657B22">
        <w:rPr>
          <w:rFonts w:ascii="Palatino Linotype" w:eastAsia="Palatino Linotype" w:hAnsi="Palatino Linotype" w:cs="Palatino Linotype"/>
          <w:b/>
          <w:color w:val="000000"/>
          <w:sz w:val="24"/>
          <w:highlight w:val="yellow"/>
          <w:lang w:eastAsia="es-MX"/>
        </w:rPr>
        <w:t>Sujeto Obligado</w:t>
      </w:r>
      <w:r w:rsidRPr="00657B22">
        <w:rPr>
          <w:rFonts w:ascii="Palatino Linotype" w:eastAsia="Palatino Linotype" w:hAnsi="Palatino Linotype" w:cs="Palatino Linotype"/>
          <w:color w:val="000000"/>
          <w:sz w:val="24"/>
          <w:highlight w:val="yellow"/>
          <w:lang w:eastAsia="es-MX"/>
        </w:rPr>
        <w:t xml:space="preserve">, realizó una búsqueda exhaustiva y razonable en los archivos de la unidad administrativa competente, y esta proporcionó la información que obraba en sus archivos, en un formato accesible para la persona </w:t>
      </w:r>
      <w:r w:rsidRPr="00657B22">
        <w:rPr>
          <w:rFonts w:ascii="Palatino Linotype" w:eastAsia="Palatino Linotype" w:hAnsi="Palatino Linotype" w:cs="Palatino Linotype"/>
          <w:b/>
          <w:color w:val="000000"/>
          <w:sz w:val="24"/>
          <w:highlight w:val="yellow"/>
          <w:lang w:eastAsia="es-MX"/>
        </w:rPr>
        <w:t>Recurrente</w:t>
      </w:r>
      <w:r w:rsidRPr="00657B22">
        <w:rPr>
          <w:rFonts w:ascii="Palatino Linotype" w:eastAsia="Palatino Linotype" w:hAnsi="Palatino Linotype" w:cs="Palatino Linotype"/>
          <w:color w:val="000000"/>
          <w:sz w:val="24"/>
          <w:highlight w:val="yellow"/>
          <w:lang w:eastAsia="es-MX"/>
        </w:rPr>
        <w:t xml:space="preserve">. </w:t>
      </w:r>
    </w:p>
    <w:p w14:paraId="7556B32C" w14:textId="77777777" w:rsidR="00960947" w:rsidRPr="00657B22" w:rsidRDefault="00960947" w:rsidP="000E4788">
      <w:pPr>
        <w:widowControl w:val="0"/>
        <w:spacing w:after="0" w:line="360" w:lineRule="auto"/>
        <w:jc w:val="both"/>
        <w:rPr>
          <w:rFonts w:ascii="Palatino Linotype" w:eastAsia="Palatino Linotype" w:hAnsi="Palatino Linotype" w:cs="Palatino Linotype"/>
          <w:color w:val="000000"/>
          <w:sz w:val="24"/>
          <w:highlight w:val="yellow"/>
          <w:lang w:eastAsia="es-MX"/>
        </w:rPr>
      </w:pPr>
    </w:p>
    <w:p w14:paraId="1A249F30" w14:textId="77777777" w:rsidR="00960947" w:rsidRPr="00657B22" w:rsidRDefault="00960947" w:rsidP="000E4788">
      <w:pPr>
        <w:widowControl w:val="0"/>
        <w:spacing w:after="0" w:line="360" w:lineRule="auto"/>
        <w:jc w:val="both"/>
        <w:rPr>
          <w:rFonts w:ascii="Palatino Linotype" w:eastAsia="Palatino Linotype" w:hAnsi="Palatino Linotype" w:cs="Palatino Linotype"/>
          <w:sz w:val="24"/>
          <w:highlight w:val="yellow"/>
        </w:rPr>
      </w:pPr>
      <w:r w:rsidRPr="00657B22">
        <w:rPr>
          <w:rFonts w:ascii="Palatino Linotype" w:eastAsia="Palatino Linotype" w:hAnsi="Palatino Linotype" w:cs="Palatino Linotype"/>
          <w:color w:val="000000"/>
          <w:sz w:val="24"/>
          <w:highlight w:val="yellow"/>
          <w:lang w:eastAsia="es-MX"/>
        </w:rPr>
        <w:t xml:space="preserve">Por lo que, se logra colegir que desde respuesta, el Sujeto Obligado proporcionó la información que obraba en sus archivos, que daba cuenta de lo solicitado, en un formato accesible; </w:t>
      </w:r>
      <w:r w:rsidRPr="00657B22">
        <w:rPr>
          <w:rFonts w:ascii="Palatino Linotype" w:eastAsia="Palatino Linotype" w:hAnsi="Palatino Linotype" w:cs="Palatino Linotype"/>
          <w:sz w:val="24"/>
          <w:highlight w:val="yellow"/>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w:t>
      </w:r>
      <w:r w:rsidRPr="00657B22">
        <w:rPr>
          <w:rFonts w:ascii="Palatino Linotype" w:eastAsia="Palatino Linotype" w:hAnsi="Palatino Linotype" w:cs="Palatino Linotype"/>
          <w:sz w:val="24"/>
          <w:highlight w:val="yellow"/>
        </w:rPr>
        <w:lastRenderedPageBreak/>
        <w:t>conforme al interés del Solicitante, además, que tampoco deberá generarla, resumirla, efectuar cálculos o practicar investigaciones.</w:t>
      </w:r>
    </w:p>
    <w:p w14:paraId="09FBC630" w14:textId="77777777" w:rsidR="00960947" w:rsidRPr="00657B22" w:rsidRDefault="00960947" w:rsidP="000E4788">
      <w:pPr>
        <w:widowControl w:val="0"/>
        <w:spacing w:after="0" w:line="360" w:lineRule="auto"/>
        <w:jc w:val="both"/>
        <w:rPr>
          <w:rFonts w:ascii="Palatino Linotype" w:eastAsia="Palatino Linotype" w:hAnsi="Palatino Linotype" w:cs="Palatino Linotype"/>
          <w:sz w:val="24"/>
          <w:highlight w:val="yellow"/>
        </w:rPr>
      </w:pPr>
    </w:p>
    <w:p w14:paraId="1AEED96F" w14:textId="77777777" w:rsidR="00960947" w:rsidRPr="00657B22" w:rsidRDefault="00960947" w:rsidP="000E4788">
      <w:pPr>
        <w:spacing w:after="0" w:line="360" w:lineRule="auto"/>
        <w:jc w:val="both"/>
        <w:rPr>
          <w:rFonts w:ascii="Palatino Linotype" w:hAnsi="Palatino Linotype"/>
          <w:sz w:val="24"/>
          <w:highlight w:val="yellow"/>
          <w:lang w:eastAsia="es-MX"/>
        </w:rPr>
      </w:pPr>
      <w:r w:rsidRPr="00657B22">
        <w:rPr>
          <w:rFonts w:ascii="Palatino Linotype" w:hAnsi="Palatino Linotype" w:cs="Arial"/>
          <w:sz w:val="24"/>
          <w:highlight w:val="yellow"/>
        </w:rPr>
        <w:t xml:space="preserve">En conclusión, ante el pronunciamiento por parte de área requerida, se agotó la búsqueda exhaustiva y razonable por parte del </w:t>
      </w:r>
      <w:r w:rsidRPr="00657B22">
        <w:rPr>
          <w:rFonts w:ascii="Palatino Linotype" w:hAnsi="Palatino Linotype" w:cs="Arial"/>
          <w:b/>
          <w:bCs/>
          <w:sz w:val="24"/>
          <w:highlight w:val="yellow"/>
        </w:rPr>
        <w:t>Sujeto Obligado</w:t>
      </w:r>
      <w:r w:rsidRPr="00657B22">
        <w:rPr>
          <w:rFonts w:ascii="Palatino Linotype" w:hAnsi="Palatino Linotype" w:cs="Arial"/>
          <w:sz w:val="24"/>
          <w:highlight w:val="yellow"/>
        </w:rPr>
        <w:t xml:space="preserve">, asimismo, es de precisar que, aunque la solicitud de información y la respuesta estén dirigidas y atendidas por un </w:t>
      </w:r>
      <w:r w:rsidRPr="00657B22">
        <w:rPr>
          <w:rFonts w:ascii="Palatino Linotype" w:hAnsi="Palatino Linotype" w:cs="Arial"/>
          <w:b/>
          <w:sz w:val="24"/>
          <w:highlight w:val="yellow"/>
        </w:rPr>
        <w:t>Sujeto Obligado</w:t>
      </w:r>
      <w:r w:rsidRPr="00657B22">
        <w:rPr>
          <w:rFonts w:ascii="Palatino Linotype" w:hAnsi="Palatino Linotype" w:cs="Arial"/>
          <w:sz w:val="24"/>
          <w:highlight w:val="yellow"/>
        </w:rPr>
        <w:t xml:space="preserve">, lo cierto es que también tienen diversas Unidades Administrativas y cada área cuenta con un </w:t>
      </w:r>
      <w:r w:rsidRPr="00657B22">
        <w:rPr>
          <w:rFonts w:ascii="Palatino Linotype" w:hAnsi="Palatino Linotype" w:cs="Arial"/>
          <w:b/>
          <w:sz w:val="24"/>
          <w:highlight w:val="yellow"/>
        </w:rPr>
        <w:t>Servidor Público Habilitado</w:t>
      </w:r>
      <w:r w:rsidRPr="00657B22">
        <w:rPr>
          <w:rFonts w:ascii="Palatino Linotype" w:hAnsi="Palatino Linotype" w:cs="Arial"/>
          <w:sz w:val="24"/>
          <w:highlight w:val="yellow"/>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818416D" w14:textId="77777777" w:rsidR="00960947" w:rsidRPr="00657B22" w:rsidRDefault="00960947" w:rsidP="000E4788">
      <w:pPr>
        <w:spacing w:after="0"/>
        <w:rPr>
          <w:rFonts w:ascii="Palatino Linotype" w:hAnsi="Palatino Linotype"/>
          <w:sz w:val="24"/>
          <w:highlight w:val="yellow"/>
        </w:rPr>
      </w:pPr>
    </w:p>
    <w:p w14:paraId="3592E517" w14:textId="77777777" w:rsidR="00960947" w:rsidRPr="00657B22" w:rsidRDefault="00960947" w:rsidP="000E4788">
      <w:pPr>
        <w:pStyle w:val="Citas"/>
        <w:spacing w:before="0" w:after="0"/>
        <w:rPr>
          <w:sz w:val="24"/>
          <w:highlight w:val="yellow"/>
        </w:rPr>
      </w:pPr>
      <w:r w:rsidRPr="00657B22">
        <w:rPr>
          <w:b/>
          <w:sz w:val="24"/>
          <w:highlight w:val="yellow"/>
        </w:rPr>
        <w:t>“Artículo 3.</w:t>
      </w:r>
      <w:r w:rsidRPr="00657B22">
        <w:rPr>
          <w:sz w:val="24"/>
          <w:highlight w:val="yellow"/>
        </w:rPr>
        <w:t xml:space="preserve"> Para los efectos de la presente Ley se entenderá por:</w:t>
      </w:r>
    </w:p>
    <w:p w14:paraId="5F6B6BCF" w14:textId="77777777" w:rsidR="00960947" w:rsidRPr="00657B22" w:rsidRDefault="00960947" w:rsidP="000E4788">
      <w:pPr>
        <w:pStyle w:val="Citas"/>
        <w:spacing w:before="0" w:after="0"/>
        <w:rPr>
          <w:sz w:val="24"/>
          <w:highlight w:val="yellow"/>
        </w:rPr>
      </w:pPr>
      <w:r w:rsidRPr="00657B22">
        <w:rPr>
          <w:sz w:val="24"/>
          <w:highlight w:val="yellow"/>
        </w:rPr>
        <w:t>(…)</w:t>
      </w:r>
    </w:p>
    <w:p w14:paraId="3713D6D7" w14:textId="77777777" w:rsidR="00960947" w:rsidRPr="00657B22" w:rsidRDefault="00960947" w:rsidP="000E4788">
      <w:pPr>
        <w:pStyle w:val="Citas"/>
        <w:spacing w:before="0" w:after="0"/>
        <w:rPr>
          <w:sz w:val="24"/>
          <w:highlight w:val="yellow"/>
        </w:rPr>
      </w:pPr>
      <w:r w:rsidRPr="00657B22">
        <w:rPr>
          <w:b/>
          <w:sz w:val="24"/>
          <w:highlight w:val="yellow"/>
        </w:rPr>
        <w:t xml:space="preserve">XXXIX. Servidor público habilitado: </w:t>
      </w:r>
      <w:r w:rsidRPr="00657B22">
        <w:rPr>
          <w:sz w:val="24"/>
          <w:highlight w:val="yellow"/>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F25CC80" w14:textId="77777777" w:rsidR="00960947" w:rsidRPr="00657B22" w:rsidRDefault="00960947" w:rsidP="000E4788">
      <w:pPr>
        <w:pStyle w:val="Citas"/>
        <w:spacing w:before="0" w:after="0"/>
        <w:rPr>
          <w:sz w:val="24"/>
          <w:highlight w:val="yellow"/>
        </w:rPr>
      </w:pPr>
      <w:r w:rsidRPr="00657B22">
        <w:rPr>
          <w:sz w:val="24"/>
          <w:highlight w:val="yellow"/>
        </w:rPr>
        <w:t>(…)</w:t>
      </w:r>
    </w:p>
    <w:p w14:paraId="38230E89" w14:textId="77777777" w:rsidR="00960947" w:rsidRPr="00657B22" w:rsidRDefault="00960947" w:rsidP="000E4788">
      <w:pPr>
        <w:pStyle w:val="Citas"/>
        <w:spacing w:before="0" w:after="0"/>
        <w:rPr>
          <w:sz w:val="24"/>
          <w:highlight w:val="yellow"/>
        </w:rPr>
      </w:pPr>
      <w:r w:rsidRPr="00657B22">
        <w:rPr>
          <w:b/>
          <w:sz w:val="24"/>
          <w:highlight w:val="yellow"/>
        </w:rPr>
        <w:lastRenderedPageBreak/>
        <w:t>Artículo 58.</w:t>
      </w:r>
      <w:r w:rsidRPr="00657B22">
        <w:rPr>
          <w:sz w:val="24"/>
          <w:highlight w:val="yellow"/>
        </w:rPr>
        <w:t xml:space="preserve"> Los servidores públicos habilitados serán designados por el titular del sujeto obligado a propuesta del responsable de la Unidad de Transparencia.</w:t>
      </w:r>
    </w:p>
    <w:p w14:paraId="33F174EA" w14:textId="77777777" w:rsidR="00960947" w:rsidRPr="00657B22" w:rsidRDefault="00960947" w:rsidP="000E4788">
      <w:pPr>
        <w:pStyle w:val="Citas"/>
        <w:spacing w:before="0" w:after="0"/>
        <w:rPr>
          <w:sz w:val="24"/>
          <w:highlight w:val="yellow"/>
        </w:rPr>
      </w:pPr>
      <w:r w:rsidRPr="00657B22">
        <w:rPr>
          <w:b/>
          <w:sz w:val="24"/>
          <w:highlight w:val="yellow"/>
        </w:rPr>
        <w:t>Artículo 59.</w:t>
      </w:r>
      <w:r w:rsidRPr="00657B22">
        <w:rPr>
          <w:sz w:val="24"/>
          <w:highlight w:val="yellow"/>
        </w:rPr>
        <w:t xml:space="preserve"> </w:t>
      </w:r>
      <w:r w:rsidRPr="00657B22">
        <w:rPr>
          <w:b/>
          <w:sz w:val="24"/>
          <w:highlight w:val="yellow"/>
          <w:u w:val="single"/>
        </w:rPr>
        <w:t>Los servidores públicos habilitados</w:t>
      </w:r>
      <w:r w:rsidRPr="00657B22">
        <w:rPr>
          <w:sz w:val="24"/>
          <w:highlight w:val="yellow"/>
        </w:rPr>
        <w:t xml:space="preserve"> tendrán las funciones siguientes:</w:t>
      </w:r>
    </w:p>
    <w:p w14:paraId="511EF200" w14:textId="77777777" w:rsidR="00960947" w:rsidRPr="00657B22" w:rsidRDefault="00960947" w:rsidP="000E4788">
      <w:pPr>
        <w:pStyle w:val="Citas"/>
        <w:spacing w:before="0" w:after="0"/>
        <w:rPr>
          <w:sz w:val="24"/>
          <w:highlight w:val="yellow"/>
        </w:rPr>
      </w:pPr>
      <w:r w:rsidRPr="00657B22">
        <w:rPr>
          <w:sz w:val="24"/>
          <w:highlight w:val="yellow"/>
        </w:rPr>
        <w:t xml:space="preserve">I. </w:t>
      </w:r>
      <w:r w:rsidRPr="00657B22">
        <w:rPr>
          <w:b/>
          <w:sz w:val="24"/>
          <w:highlight w:val="yellow"/>
          <w:u w:val="single"/>
        </w:rPr>
        <w:t>Localizar la información que le solicite la Unidad de Transparencia</w:t>
      </w:r>
      <w:r w:rsidRPr="00657B22">
        <w:rPr>
          <w:sz w:val="24"/>
          <w:highlight w:val="yellow"/>
        </w:rPr>
        <w:t>;</w:t>
      </w:r>
    </w:p>
    <w:p w14:paraId="2B36BE4C" w14:textId="77777777" w:rsidR="00960947" w:rsidRPr="00657B22" w:rsidRDefault="00960947" w:rsidP="000E4788">
      <w:pPr>
        <w:pStyle w:val="Citas"/>
        <w:spacing w:before="0" w:after="0"/>
        <w:rPr>
          <w:sz w:val="24"/>
          <w:highlight w:val="yellow"/>
        </w:rPr>
      </w:pPr>
    </w:p>
    <w:p w14:paraId="6E2F2A58" w14:textId="77777777" w:rsidR="00960947" w:rsidRPr="00657B22" w:rsidRDefault="00960947" w:rsidP="000E4788">
      <w:pPr>
        <w:pStyle w:val="Citas"/>
        <w:spacing w:before="0" w:after="0"/>
        <w:rPr>
          <w:sz w:val="24"/>
          <w:highlight w:val="yellow"/>
        </w:rPr>
      </w:pPr>
      <w:r w:rsidRPr="00657B22">
        <w:rPr>
          <w:sz w:val="24"/>
          <w:highlight w:val="yellow"/>
        </w:rPr>
        <w:t xml:space="preserve">II. </w:t>
      </w:r>
      <w:r w:rsidRPr="00657B22">
        <w:rPr>
          <w:b/>
          <w:sz w:val="24"/>
          <w:highlight w:val="yellow"/>
          <w:u w:val="single"/>
        </w:rPr>
        <w:t>Proporcionar la información que obre en los archivos y que le sea solicitada por la Unidad de Transparencia</w:t>
      </w:r>
      <w:r w:rsidRPr="00657B22">
        <w:rPr>
          <w:sz w:val="24"/>
          <w:highlight w:val="yellow"/>
        </w:rPr>
        <w:t>;</w:t>
      </w:r>
    </w:p>
    <w:p w14:paraId="22786FC7" w14:textId="77777777" w:rsidR="00960947" w:rsidRPr="00657B22" w:rsidRDefault="00960947" w:rsidP="000E4788">
      <w:pPr>
        <w:pStyle w:val="Citas"/>
        <w:spacing w:before="0" w:after="0"/>
        <w:rPr>
          <w:sz w:val="24"/>
          <w:highlight w:val="yellow"/>
        </w:rPr>
      </w:pPr>
      <w:r w:rsidRPr="00657B22">
        <w:rPr>
          <w:sz w:val="24"/>
          <w:highlight w:val="yellow"/>
        </w:rPr>
        <w:t>III. Apoyar a la Unidad de Transparencia en lo que esta le solicite para el cumplimiento de sus funciones;</w:t>
      </w:r>
    </w:p>
    <w:p w14:paraId="0164D7E0" w14:textId="77777777" w:rsidR="00960947" w:rsidRPr="00657B22" w:rsidRDefault="00960947" w:rsidP="000E4788">
      <w:pPr>
        <w:pStyle w:val="Citas"/>
        <w:spacing w:before="0" w:after="0"/>
        <w:rPr>
          <w:sz w:val="24"/>
          <w:highlight w:val="yellow"/>
        </w:rPr>
      </w:pPr>
      <w:r w:rsidRPr="00657B22">
        <w:rPr>
          <w:sz w:val="24"/>
          <w:highlight w:val="yellow"/>
        </w:rPr>
        <w:t>IV. Proporcionar a la Unidad de Transparencia, las modificaciones a la información pública de oficio que obre en su poder;</w:t>
      </w:r>
    </w:p>
    <w:p w14:paraId="14BA50CB" w14:textId="77777777" w:rsidR="00960947" w:rsidRPr="00657B22" w:rsidRDefault="00960947" w:rsidP="000E4788">
      <w:pPr>
        <w:pStyle w:val="Citas"/>
        <w:spacing w:before="0" w:after="0"/>
        <w:rPr>
          <w:sz w:val="24"/>
          <w:highlight w:val="yellow"/>
        </w:rPr>
      </w:pPr>
      <w:r w:rsidRPr="00657B22">
        <w:rPr>
          <w:sz w:val="24"/>
          <w:highlight w:val="yellow"/>
        </w:rPr>
        <w:t>V. Integrar y presentar al responsable de la Unidad de Transparencia la propuesta de clasificación de información, la cual tendrá los fundamentos y argumentos en que se basa dicha propuesta;</w:t>
      </w:r>
    </w:p>
    <w:p w14:paraId="4ABA39DD" w14:textId="77777777" w:rsidR="00960947" w:rsidRPr="00657B22" w:rsidRDefault="00960947" w:rsidP="000E4788">
      <w:pPr>
        <w:pStyle w:val="Citas"/>
        <w:spacing w:before="0" w:after="0"/>
        <w:rPr>
          <w:sz w:val="24"/>
          <w:highlight w:val="yellow"/>
        </w:rPr>
      </w:pPr>
      <w:r w:rsidRPr="00657B22">
        <w:rPr>
          <w:sz w:val="24"/>
          <w:highlight w:val="yellow"/>
        </w:rPr>
        <w:t>VI. Verificar, una vez analizado el contenido de la información, que no se encuentre en los supuestos de información clasificada; y</w:t>
      </w:r>
    </w:p>
    <w:p w14:paraId="654AA884" w14:textId="77777777" w:rsidR="00960947" w:rsidRPr="00657B22" w:rsidRDefault="00960947" w:rsidP="000E4788">
      <w:pPr>
        <w:pStyle w:val="Citas"/>
        <w:spacing w:before="0" w:after="0"/>
        <w:rPr>
          <w:b/>
          <w:bCs/>
          <w:sz w:val="24"/>
          <w:highlight w:val="yellow"/>
        </w:rPr>
      </w:pPr>
      <w:r w:rsidRPr="00657B22">
        <w:rPr>
          <w:sz w:val="24"/>
          <w:highlight w:val="yellow"/>
        </w:rPr>
        <w:t xml:space="preserve">VII. Dar cuenta a la Unidad de Transparencia del vencimiento de los plazos de reserva.” </w:t>
      </w:r>
      <w:r w:rsidRPr="00657B22">
        <w:rPr>
          <w:b/>
          <w:bCs/>
          <w:sz w:val="24"/>
          <w:highlight w:val="yellow"/>
        </w:rPr>
        <w:t>(Sic)</w:t>
      </w:r>
    </w:p>
    <w:p w14:paraId="7C2FAE36" w14:textId="77777777" w:rsidR="00960947" w:rsidRPr="00657B22" w:rsidRDefault="00960947" w:rsidP="000E4788">
      <w:pPr>
        <w:spacing w:after="0" w:line="360" w:lineRule="auto"/>
        <w:jc w:val="both"/>
        <w:rPr>
          <w:rFonts w:ascii="Palatino Linotype" w:hAnsi="Palatino Linotype"/>
          <w:sz w:val="24"/>
          <w:highlight w:val="yellow"/>
          <w:lang w:eastAsia="es-MX"/>
        </w:rPr>
      </w:pPr>
    </w:p>
    <w:p w14:paraId="36C2DE3E" w14:textId="77777777" w:rsidR="00556EEF" w:rsidRPr="00657B22" w:rsidRDefault="00556EEF" w:rsidP="000E4788">
      <w:pPr>
        <w:tabs>
          <w:tab w:val="left" w:pos="709"/>
        </w:tabs>
        <w:spacing w:after="0" w:line="360" w:lineRule="auto"/>
        <w:contextualSpacing/>
        <w:jc w:val="both"/>
        <w:rPr>
          <w:rFonts w:ascii="Palatino Linotype" w:eastAsia="Times New Roman" w:hAnsi="Palatino Linotype" w:cs="Arial"/>
          <w:sz w:val="24"/>
          <w:highlight w:val="yellow"/>
          <w:lang w:val="es-ES_tradnl" w:eastAsia="es-MX"/>
        </w:rPr>
      </w:pPr>
      <w:r w:rsidRPr="00657B22">
        <w:rPr>
          <w:rFonts w:ascii="Palatino Linotype" w:eastAsia="Times New Roman" w:hAnsi="Palatino Linotype" w:cs="Arial"/>
          <w:sz w:val="24"/>
          <w:highlight w:val="yellow"/>
          <w:lang w:val="es-ES_tradnl" w:eastAsia="es-MX"/>
        </w:rPr>
        <w:t xml:space="preserve">En esta misma tesitura, el derecho de acceso a la información pública, consiste en que la información solicitada conste en un soporte documental en cualquiera de sus </w:t>
      </w:r>
      <w:r w:rsidRPr="00657B22">
        <w:rPr>
          <w:rFonts w:ascii="Palatino Linotype" w:eastAsia="Times New Roman" w:hAnsi="Palatino Linotype" w:cs="Arial"/>
          <w:sz w:val="24"/>
          <w:highlight w:val="yellow"/>
          <w:lang w:val="es-ES_tradnl" w:eastAsia="es-MX"/>
        </w:rPr>
        <w:lastRenderedPageBreak/>
        <w:t xml:space="preserve">formas, a saber: </w:t>
      </w:r>
      <w:r w:rsidRPr="00657B22">
        <w:rPr>
          <w:rFonts w:ascii="Palatino Linotype" w:eastAsia="Times New Roman" w:hAnsi="Palatino Linotype" w:cs="Arial"/>
          <w:b/>
          <w:sz w:val="24"/>
          <w:highlight w:val="yellow"/>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57B22">
        <w:rPr>
          <w:rFonts w:ascii="Palatino Linotype" w:eastAsia="Times New Roman" w:hAnsi="Palatino Linotype" w:cs="Arial"/>
          <w:sz w:val="24"/>
          <w:highlight w:val="yellow"/>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CD4D48D" w14:textId="77777777" w:rsidR="00556EEF" w:rsidRPr="00657B22" w:rsidRDefault="00556EEF" w:rsidP="000E4788">
      <w:pPr>
        <w:spacing w:after="0" w:line="240" w:lineRule="auto"/>
        <w:rPr>
          <w:rFonts w:ascii="Times New Roman" w:eastAsia="Times New Roman" w:hAnsi="Times New Roman" w:cs="Times New Roman"/>
          <w:sz w:val="24"/>
          <w:szCs w:val="24"/>
          <w:highlight w:val="yellow"/>
          <w:lang w:eastAsia="es-ES"/>
        </w:rPr>
      </w:pPr>
    </w:p>
    <w:p w14:paraId="3BEB11DF" w14:textId="77777777" w:rsidR="00556EEF" w:rsidRPr="00657B22" w:rsidRDefault="00556EEF" w:rsidP="000E4788">
      <w:pPr>
        <w:spacing w:after="0" w:line="360" w:lineRule="auto"/>
        <w:ind w:left="567" w:right="616"/>
        <w:jc w:val="both"/>
        <w:rPr>
          <w:rFonts w:ascii="Palatino Linotype" w:eastAsia="Times New Roman" w:hAnsi="Palatino Linotype" w:cs="Arial"/>
          <w:i/>
          <w:highlight w:val="yellow"/>
          <w:lang w:val="es-ES_tradnl" w:eastAsia="es-MX"/>
        </w:rPr>
      </w:pPr>
      <w:r w:rsidRPr="00657B22">
        <w:rPr>
          <w:rFonts w:ascii="Palatino Linotype" w:eastAsia="Times New Roman" w:hAnsi="Palatino Linotype" w:cs="Arial"/>
          <w:i/>
          <w:highlight w:val="yellow"/>
          <w:lang w:val="es-ES_tradnl" w:eastAsia="es-MX"/>
        </w:rPr>
        <w:t>“</w:t>
      </w:r>
      <w:r w:rsidRPr="00657B22">
        <w:rPr>
          <w:rFonts w:ascii="Palatino Linotype" w:eastAsia="Times New Roman" w:hAnsi="Palatino Linotype" w:cs="Arial"/>
          <w:b/>
          <w:i/>
          <w:highlight w:val="yellow"/>
          <w:lang w:val="es-ES_tradnl" w:eastAsia="es-MX"/>
        </w:rPr>
        <w:t xml:space="preserve">Artículo 3. </w:t>
      </w:r>
      <w:r w:rsidRPr="00657B22">
        <w:rPr>
          <w:rFonts w:ascii="Palatino Linotype" w:eastAsia="Times New Roman" w:hAnsi="Palatino Linotype" w:cs="Arial"/>
          <w:i/>
          <w:highlight w:val="yellow"/>
          <w:lang w:val="es-ES_tradnl" w:eastAsia="es-MX"/>
        </w:rPr>
        <w:t>Para los efectos de la presente Ley se entenderá por:</w:t>
      </w:r>
    </w:p>
    <w:p w14:paraId="44195A2C" w14:textId="77777777" w:rsidR="00556EEF" w:rsidRPr="00657B22" w:rsidRDefault="00556EEF" w:rsidP="000E4788">
      <w:pPr>
        <w:spacing w:after="0" w:line="360" w:lineRule="auto"/>
        <w:ind w:left="567" w:right="616"/>
        <w:jc w:val="both"/>
        <w:rPr>
          <w:rFonts w:ascii="Palatino Linotype" w:eastAsia="Times New Roman" w:hAnsi="Palatino Linotype" w:cs="Arial"/>
          <w:i/>
          <w:highlight w:val="yellow"/>
          <w:lang w:val="es-ES_tradnl" w:eastAsia="es-MX"/>
        </w:rPr>
      </w:pPr>
      <w:r w:rsidRPr="00657B22">
        <w:rPr>
          <w:rFonts w:ascii="Palatino Linotype" w:eastAsia="Times New Roman" w:hAnsi="Palatino Linotype" w:cs="Arial"/>
          <w:i/>
          <w:highlight w:val="yellow"/>
          <w:lang w:val="es-ES_tradnl" w:eastAsia="es-MX"/>
        </w:rPr>
        <w:t>(…)</w:t>
      </w:r>
    </w:p>
    <w:p w14:paraId="1BA532BD" w14:textId="77777777" w:rsidR="00556EEF" w:rsidRPr="00657B22" w:rsidRDefault="00556EEF" w:rsidP="000E4788">
      <w:pPr>
        <w:spacing w:after="0" w:line="360" w:lineRule="auto"/>
        <w:ind w:left="567" w:right="616"/>
        <w:jc w:val="both"/>
        <w:rPr>
          <w:rFonts w:ascii="Palatino Linotype" w:eastAsia="Times New Roman" w:hAnsi="Palatino Linotype" w:cs="Arial"/>
          <w:i/>
          <w:highlight w:val="yellow"/>
          <w:lang w:val="es-ES_tradnl" w:eastAsia="es-MX"/>
        </w:rPr>
      </w:pPr>
      <w:r w:rsidRPr="00657B22">
        <w:rPr>
          <w:rFonts w:ascii="Palatino Linotype" w:eastAsia="Times New Roman" w:hAnsi="Palatino Linotype" w:cs="Arial"/>
          <w:b/>
          <w:i/>
          <w:highlight w:val="yellow"/>
          <w:lang w:val="es-ES_tradnl" w:eastAsia="es-MX"/>
        </w:rPr>
        <w:t>XI. Documento:</w:t>
      </w:r>
      <w:r w:rsidRPr="00657B22">
        <w:rPr>
          <w:rFonts w:ascii="Palatino Linotype" w:eastAsia="Times New Roman" w:hAnsi="Palatino Linotype" w:cs="Arial"/>
          <w:i/>
          <w:highlight w:val="yellow"/>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657B22">
        <w:rPr>
          <w:rFonts w:ascii="Palatino Linotype" w:eastAsia="Times New Roman" w:hAnsi="Palatino Linotype" w:cs="Arial"/>
          <w:b/>
          <w:i/>
          <w:highlight w:val="yellow"/>
          <w:u w:val="single"/>
          <w:lang w:val="es-ES_tradnl" w:eastAsia="es-MX"/>
        </w:rPr>
        <w:t>registro que documente el ejercicio de las facultades, funciones y competencias de los sujetos obligados</w:t>
      </w:r>
      <w:r w:rsidRPr="00657B22">
        <w:rPr>
          <w:rFonts w:ascii="Palatino Linotype" w:eastAsia="Times New Roman" w:hAnsi="Palatino Linotype" w:cs="Arial"/>
          <w:i/>
          <w:highlight w:val="yellow"/>
          <w:u w:val="single"/>
          <w:lang w:val="es-ES_tradnl" w:eastAsia="es-MX"/>
        </w:rPr>
        <w:t>,</w:t>
      </w:r>
      <w:r w:rsidRPr="00657B22">
        <w:rPr>
          <w:rFonts w:ascii="Palatino Linotype" w:eastAsia="Times New Roman" w:hAnsi="Palatino Linotype" w:cs="Arial"/>
          <w:i/>
          <w:highlight w:val="yellow"/>
          <w:lang w:val="es-ES_tradnl" w:eastAsia="es-MX"/>
        </w:rPr>
        <w:t xml:space="preserve"> sus servidores públicos e integrantes, </w:t>
      </w:r>
      <w:r w:rsidRPr="00657B22">
        <w:rPr>
          <w:rFonts w:ascii="Palatino Linotype" w:eastAsia="Times New Roman" w:hAnsi="Palatino Linotype" w:cs="Arial"/>
          <w:b/>
          <w:i/>
          <w:highlight w:val="yellow"/>
          <w:u w:val="single"/>
          <w:lang w:val="es-ES_tradnl" w:eastAsia="es-MX"/>
        </w:rPr>
        <w:t>sin importar su fuente o fecha de elaboración.</w:t>
      </w:r>
      <w:r w:rsidRPr="00657B22">
        <w:rPr>
          <w:rFonts w:ascii="Palatino Linotype" w:eastAsia="Times New Roman" w:hAnsi="Palatino Linotype" w:cs="Arial"/>
          <w:i/>
          <w:highlight w:val="yellow"/>
          <w:lang w:val="es-ES_tradnl" w:eastAsia="es-MX"/>
        </w:rPr>
        <w:t xml:space="preserve"> Los documentos podrán estar en cualquier medio, sea escrito, impreso, sonoro, visual, electrónico, informático u holográfico;</w:t>
      </w:r>
    </w:p>
    <w:p w14:paraId="2B982D97" w14:textId="77777777" w:rsidR="00556EEF" w:rsidRPr="00657B22" w:rsidRDefault="00556EEF" w:rsidP="000E4788">
      <w:pPr>
        <w:spacing w:after="0" w:line="360" w:lineRule="auto"/>
        <w:ind w:left="567" w:right="616"/>
        <w:jc w:val="both"/>
        <w:rPr>
          <w:rFonts w:ascii="Palatino Linotype" w:eastAsia="Times New Roman" w:hAnsi="Palatino Linotype" w:cs="Arial"/>
          <w:i/>
          <w:highlight w:val="yellow"/>
          <w:lang w:val="es-ES_tradnl" w:eastAsia="es-MX"/>
        </w:rPr>
      </w:pPr>
      <w:r w:rsidRPr="00657B22">
        <w:rPr>
          <w:rFonts w:ascii="Palatino Linotype" w:eastAsia="Times New Roman" w:hAnsi="Palatino Linotype" w:cs="Arial"/>
          <w:i/>
          <w:highlight w:val="yellow"/>
          <w:lang w:val="es-ES_tradnl" w:eastAsia="es-MX"/>
        </w:rPr>
        <w:t>(…)”</w:t>
      </w:r>
    </w:p>
    <w:p w14:paraId="0819C4CA" w14:textId="77777777" w:rsidR="00556EEF" w:rsidRPr="00657B22" w:rsidRDefault="00556EEF" w:rsidP="000E4788">
      <w:pPr>
        <w:spacing w:after="0" w:line="360" w:lineRule="auto"/>
        <w:jc w:val="both"/>
        <w:rPr>
          <w:rFonts w:ascii="Palatino Linotype" w:eastAsia="Palatino Linotype" w:hAnsi="Palatino Linotype" w:cs="Palatino Linotype"/>
          <w:sz w:val="24"/>
          <w:szCs w:val="24"/>
          <w:highlight w:val="yellow"/>
        </w:rPr>
      </w:pPr>
    </w:p>
    <w:p w14:paraId="5F9F1F12" w14:textId="25DDF83F" w:rsidR="00556EEF" w:rsidRPr="00657B22" w:rsidRDefault="00556EEF" w:rsidP="000E4788">
      <w:pPr>
        <w:spacing w:after="0" w:line="360" w:lineRule="auto"/>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sz w:val="24"/>
          <w:szCs w:val="24"/>
          <w:highlight w:val="yellow"/>
        </w:rPr>
        <w:t>Por lo que resulta dable ordenar de ser procedente en versión pública el soporte documental que dé cuenta de los cursos</w:t>
      </w:r>
      <w:r w:rsidR="000E4788" w:rsidRPr="00657B22">
        <w:rPr>
          <w:rFonts w:ascii="Palatino Linotype" w:eastAsia="Palatino Linotype" w:hAnsi="Palatino Linotype" w:cs="Palatino Linotype"/>
          <w:sz w:val="24"/>
          <w:szCs w:val="24"/>
          <w:highlight w:val="yellow"/>
        </w:rPr>
        <w:t xml:space="preserve"> en materia de erradicación de violencia de género</w:t>
      </w:r>
      <w:r w:rsidRPr="00657B22">
        <w:rPr>
          <w:rFonts w:ascii="Palatino Linotype" w:eastAsia="Palatino Linotype" w:hAnsi="Palatino Linotype" w:cs="Palatino Linotype"/>
          <w:sz w:val="24"/>
          <w:szCs w:val="24"/>
          <w:highlight w:val="yellow"/>
        </w:rPr>
        <w:t xml:space="preserve"> realizados por los directivos </w:t>
      </w:r>
      <w:r w:rsidR="00067F0E" w:rsidRPr="00657B22">
        <w:rPr>
          <w:rFonts w:ascii="Palatino Linotype" w:eastAsia="Palatino Linotype" w:hAnsi="Palatino Linotype" w:cs="Palatino Linotype"/>
          <w:sz w:val="24"/>
          <w:szCs w:val="24"/>
          <w:highlight w:val="yellow"/>
        </w:rPr>
        <w:t>del deporte</w:t>
      </w:r>
      <w:r w:rsidRPr="00657B22">
        <w:rPr>
          <w:rFonts w:ascii="Palatino Linotype" w:eastAsia="Palatino Linotype" w:hAnsi="Palatino Linotype" w:cs="Palatino Linotype"/>
          <w:sz w:val="24"/>
          <w:szCs w:val="24"/>
          <w:highlight w:val="yellow"/>
        </w:rPr>
        <w:t xml:space="preserve"> adscrito</w:t>
      </w:r>
      <w:r w:rsidR="00067F0E" w:rsidRPr="00657B22">
        <w:rPr>
          <w:rFonts w:ascii="Palatino Linotype" w:eastAsia="Palatino Linotype" w:hAnsi="Palatino Linotype" w:cs="Palatino Linotype"/>
          <w:sz w:val="24"/>
          <w:szCs w:val="24"/>
          <w:highlight w:val="yellow"/>
        </w:rPr>
        <w:t>s</w:t>
      </w:r>
      <w:r w:rsidRPr="00657B22">
        <w:rPr>
          <w:rFonts w:ascii="Palatino Linotype" w:eastAsia="Palatino Linotype" w:hAnsi="Palatino Linotype" w:cs="Palatino Linotype"/>
          <w:sz w:val="24"/>
          <w:szCs w:val="24"/>
          <w:highlight w:val="yellow"/>
        </w:rPr>
        <w:t xml:space="preserve"> a la </w:t>
      </w:r>
      <w:r w:rsidR="00067F0E" w:rsidRPr="00657B22">
        <w:rPr>
          <w:rFonts w:ascii="Palatino Linotype" w:eastAsia="Palatino Linotype" w:hAnsi="Palatino Linotype" w:cs="Palatino Linotype"/>
          <w:sz w:val="24"/>
          <w:szCs w:val="24"/>
          <w:highlight w:val="yellow"/>
        </w:rPr>
        <w:t>Dirección General de Cultura Física y Deporte</w:t>
      </w:r>
      <w:r w:rsidRPr="00657B22">
        <w:rPr>
          <w:rFonts w:ascii="Palatino Linotype" w:eastAsia="Palatino Linotype" w:hAnsi="Palatino Linotype" w:cs="Palatino Linotype"/>
          <w:sz w:val="24"/>
          <w:szCs w:val="24"/>
          <w:highlight w:val="yellow"/>
        </w:rPr>
        <w:t xml:space="preserve"> al </w:t>
      </w:r>
      <w:r w:rsidR="00067F0E" w:rsidRPr="00657B22">
        <w:rPr>
          <w:rFonts w:ascii="Palatino Linotype" w:eastAsia="Palatino Linotype" w:hAnsi="Palatino Linotype" w:cs="Palatino Linotype"/>
          <w:sz w:val="24"/>
          <w:szCs w:val="24"/>
          <w:highlight w:val="yellow"/>
        </w:rPr>
        <w:t>diecisiete</w:t>
      </w:r>
      <w:r w:rsidRPr="00657B22">
        <w:rPr>
          <w:rFonts w:ascii="Palatino Linotype" w:eastAsia="Palatino Linotype" w:hAnsi="Palatino Linotype" w:cs="Palatino Linotype"/>
          <w:sz w:val="24"/>
          <w:szCs w:val="24"/>
          <w:highlight w:val="yellow"/>
        </w:rPr>
        <w:t xml:space="preserve"> de febrero de dos mil veinticinco. </w:t>
      </w:r>
    </w:p>
    <w:p w14:paraId="7677DD63" w14:textId="77777777" w:rsidR="00556EEF" w:rsidRPr="00657B22" w:rsidRDefault="00556EEF" w:rsidP="000E4788">
      <w:pPr>
        <w:spacing w:after="0" w:line="360" w:lineRule="auto"/>
        <w:jc w:val="both"/>
        <w:rPr>
          <w:rFonts w:ascii="Palatino Linotype" w:eastAsia="Palatino Linotype" w:hAnsi="Palatino Linotype" w:cs="Palatino Linotype"/>
          <w:sz w:val="24"/>
          <w:szCs w:val="24"/>
          <w:highlight w:val="yellow"/>
        </w:rPr>
      </w:pPr>
    </w:p>
    <w:p w14:paraId="4CC6A717" w14:textId="38A69B45" w:rsidR="00960947" w:rsidRPr="00657B22" w:rsidRDefault="000E4788" w:rsidP="000E4788">
      <w:pPr>
        <w:spacing w:after="0" w:line="360" w:lineRule="auto"/>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sz w:val="24"/>
          <w:szCs w:val="24"/>
          <w:highlight w:val="yellow"/>
        </w:rPr>
        <w:lastRenderedPageBreak/>
        <w:t>De ser el caso que al diecisiete</w:t>
      </w:r>
      <w:r w:rsidR="00556EEF" w:rsidRPr="00657B22">
        <w:rPr>
          <w:rFonts w:ascii="Palatino Linotype" w:eastAsia="Palatino Linotype" w:hAnsi="Palatino Linotype" w:cs="Palatino Linotype"/>
          <w:sz w:val="24"/>
          <w:szCs w:val="24"/>
          <w:highlight w:val="yellow"/>
        </w:rPr>
        <w:t xml:space="preserve"> de febrero de dos mil veinticinco no se cuente con los cursos </w:t>
      </w:r>
      <w:r w:rsidRPr="00657B22">
        <w:rPr>
          <w:rFonts w:ascii="Palatino Linotype" w:eastAsia="Palatino Linotype" w:hAnsi="Palatino Linotype" w:cs="Palatino Linotype"/>
          <w:sz w:val="24"/>
          <w:szCs w:val="24"/>
          <w:highlight w:val="yellow"/>
        </w:rPr>
        <w:t xml:space="preserve">mencionados, </w:t>
      </w:r>
      <w:r w:rsidR="00556EEF" w:rsidRPr="00657B22">
        <w:rPr>
          <w:rFonts w:ascii="Palatino Linotype" w:eastAsia="Palatino Linotype" w:hAnsi="Palatino Linotype" w:cs="Palatino Linotype"/>
          <w:sz w:val="24"/>
          <w:szCs w:val="24"/>
          <w:highlight w:val="yellow"/>
        </w:rPr>
        <w:t>bastara con que así lo manifieste en términos del segundo párrafo del artículo 19 de la Ley de Transparencia Local.</w:t>
      </w:r>
    </w:p>
    <w:p w14:paraId="79CF56A9" w14:textId="77777777" w:rsidR="00556EEF" w:rsidRPr="00657B22" w:rsidRDefault="00556EEF" w:rsidP="000E4788">
      <w:pPr>
        <w:spacing w:after="0" w:line="360" w:lineRule="auto"/>
        <w:jc w:val="both"/>
        <w:rPr>
          <w:rFonts w:ascii="Palatino Linotype" w:hAnsi="Palatino Linotype"/>
          <w:sz w:val="24"/>
          <w:highlight w:val="yellow"/>
        </w:rPr>
      </w:pPr>
    </w:p>
    <w:p w14:paraId="766C3914" w14:textId="77777777" w:rsidR="000E4788" w:rsidRPr="00657B22" w:rsidRDefault="000E4788" w:rsidP="000E4788">
      <w:pPr>
        <w:spacing w:after="0" w:line="360" w:lineRule="auto"/>
        <w:jc w:val="both"/>
        <w:rPr>
          <w:rFonts w:ascii="Palatino Linotype" w:eastAsia="Times New Roman" w:hAnsi="Palatino Linotype" w:cs="Arial"/>
          <w:b/>
          <w:sz w:val="28"/>
          <w:szCs w:val="24"/>
          <w:highlight w:val="yellow"/>
          <w:lang w:val="es-ES" w:eastAsia="es-ES"/>
        </w:rPr>
      </w:pPr>
      <w:r w:rsidRPr="00657B22">
        <w:rPr>
          <w:rFonts w:ascii="Palatino Linotype" w:eastAsia="Times New Roman" w:hAnsi="Palatino Linotype" w:cs="Arial"/>
          <w:b/>
          <w:sz w:val="28"/>
          <w:szCs w:val="24"/>
          <w:highlight w:val="yellow"/>
          <w:lang w:val="es-ES" w:eastAsia="es-ES"/>
        </w:rPr>
        <w:t>De la Versión Pública.</w:t>
      </w:r>
    </w:p>
    <w:p w14:paraId="30D6BDC3"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bCs/>
          <w:sz w:val="24"/>
          <w:szCs w:val="24"/>
          <w:highlight w:val="yellow"/>
        </w:rPr>
        <w:t>A este respecto, los</w:t>
      </w:r>
      <w:r w:rsidRPr="00657B22">
        <w:rPr>
          <w:rFonts w:ascii="Palatino Linotype" w:hAnsi="Palatino Linotype"/>
          <w:sz w:val="24"/>
          <w:szCs w:val="24"/>
          <w:highlight w:val="yellow"/>
        </w:rPr>
        <w:t xml:space="preserve"> artículos 3, fracciones IX, XX, XXI y XLV; 51 y 52 de la Ley de Transparencia y Acceso a la Información Pública del Estado de México y Municipios establecen:</w:t>
      </w:r>
    </w:p>
    <w:p w14:paraId="393AA14E"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cs="Arial"/>
          <w:b/>
          <w:bCs/>
          <w:i/>
          <w:noProof/>
          <w:highlight w:val="yellow"/>
        </w:rPr>
        <w:t>“</w:t>
      </w:r>
      <w:r w:rsidRPr="00657B22">
        <w:rPr>
          <w:rFonts w:ascii="Palatino Linotype" w:hAnsi="Palatino Linotype" w:cs="Arial"/>
          <w:b/>
          <w:bCs/>
          <w:i/>
          <w:highlight w:val="yellow"/>
        </w:rPr>
        <w:t xml:space="preserve">Artículo 3. </w:t>
      </w:r>
      <w:r w:rsidRPr="00657B22">
        <w:rPr>
          <w:rFonts w:ascii="Palatino Linotype" w:hAnsi="Palatino Linotype"/>
          <w:i/>
          <w:highlight w:val="yellow"/>
        </w:rPr>
        <w:t xml:space="preserve">Para los efectos de la presente Ley se entenderá por: </w:t>
      </w:r>
    </w:p>
    <w:p w14:paraId="194B0168"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b/>
          <w:i/>
          <w:highlight w:val="yellow"/>
        </w:rPr>
        <w:t>IX.</w:t>
      </w:r>
      <w:r w:rsidRPr="00657B22">
        <w:rPr>
          <w:rFonts w:ascii="Palatino Linotype" w:hAnsi="Palatino Linotype" w:cs="Arial"/>
          <w:i/>
          <w:highlight w:val="yellow"/>
        </w:rPr>
        <w:t xml:space="preserve"> </w:t>
      </w:r>
      <w:r w:rsidRPr="00657B22">
        <w:rPr>
          <w:rFonts w:ascii="Palatino Linotype" w:hAnsi="Palatino Linotype" w:cs="Arial"/>
          <w:b/>
          <w:i/>
          <w:highlight w:val="yellow"/>
        </w:rPr>
        <w:t xml:space="preserve">Datos personales: </w:t>
      </w:r>
      <w:r w:rsidRPr="00657B22">
        <w:rPr>
          <w:rFonts w:ascii="Palatino Linotype" w:hAnsi="Palatino Linotype" w:cs="Arial"/>
          <w:i/>
          <w:highlight w:val="yellow"/>
        </w:rPr>
        <w:t xml:space="preserve">La información concerniente a una persona, identificada o identificable según lo dispuesto por la Ley de Protección de Datos Personales del Estado de México; </w:t>
      </w:r>
    </w:p>
    <w:p w14:paraId="6D81C4FA"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b/>
          <w:i/>
          <w:highlight w:val="yellow"/>
        </w:rPr>
        <w:t>XX.</w:t>
      </w:r>
      <w:r w:rsidRPr="00657B22">
        <w:rPr>
          <w:rFonts w:ascii="Palatino Linotype" w:hAnsi="Palatino Linotype" w:cs="Arial"/>
          <w:i/>
          <w:highlight w:val="yellow"/>
        </w:rPr>
        <w:t xml:space="preserve"> </w:t>
      </w:r>
      <w:r w:rsidRPr="00657B22">
        <w:rPr>
          <w:rFonts w:ascii="Palatino Linotype" w:hAnsi="Palatino Linotype" w:cs="Arial"/>
          <w:b/>
          <w:i/>
          <w:highlight w:val="yellow"/>
        </w:rPr>
        <w:t>Información clasificada:</w:t>
      </w:r>
      <w:r w:rsidRPr="00657B22">
        <w:rPr>
          <w:rFonts w:ascii="Palatino Linotype" w:hAnsi="Palatino Linotype" w:cs="Arial"/>
          <w:i/>
          <w:highlight w:val="yellow"/>
        </w:rPr>
        <w:t xml:space="preserve"> Aquella considerada por la presente Ley como reservada o confidencial; </w:t>
      </w:r>
    </w:p>
    <w:p w14:paraId="266E8EA0"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b/>
          <w:i/>
          <w:highlight w:val="yellow"/>
        </w:rPr>
        <w:t>XXI.</w:t>
      </w:r>
      <w:r w:rsidRPr="00657B22">
        <w:rPr>
          <w:rFonts w:ascii="Palatino Linotype" w:hAnsi="Palatino Linotype" w:cs="Arial"/>
          <w:i/>
          <w:highlight w:val="yellow"/>
        </w:rPr>
        <w:t xml:space="preserve"> </w:t>
      </w:r>
      <w:r w:rsidRPr="00657B22">
        <w:rPr>
          <w:rFonts w:ascii="Palatino Linotype" w:hAnsi="Palatino Linotype" w:cs="Arial"/>
          <w:b/>
          <w:i/>
          <w:highlight w:val="yellow"/>
        </w:rPr>
        <w:t>Información confidencial</w:t>
      </w:r>
      <w:r w:rsidRPr="00657B22">
        <w:rPr>
          <w:rFonts w:ascii="Palatino Linotype" w:hAnsi="Palatino Linotype" w:cs="Arial"/>
          <w:i/>
          <w:highlight w:val="yellow"/>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6267DD"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b/>
          <w:i/>
          <w:highlight w:val="yellow"/>
        </w:rPr>
        <w:t>XLV. Versión pública:</w:t>
      </w:r>
      <w:r w:rsidRPr="00657B22">
        <w:rPr>
          <w:rFonts w:ascii="Palatino Linotype" w:hAnsi="Palatino Linotype" w:cs="Arial"/>
          <w:i/>
          <w:highlight w:val="yellow"/>
        </w:rPr>
        <w:t xml:space="preserve"> Documento en el que se elimine, suprime o borra la información clasificada como reservada o confidencial para permitir su acceso. </w:t>
      </w:r>
    </w:p>
    <w:p w14:paraId="2C377E06" w14:textId="77777777" w:rsidR="000E4788" w:rsidRPr="00657B22" w:rsidRDefault="000E4788" w:rsidP="000E4788">
      <w:pPr>
        <w:spacing w:after="0"/>
        <w:ind w:left="567" w:right="567"/>
        <w:jc w:val="both"/>
        <w:rPr>
          <w:rFonts w:ascii="Palatino Linotype" w:hAnsi="Palatino Linotype" w:cs="Arial"/>
          <w:i/>
          <w:highlight w:val="yellow"/>
        </w:rPr>
      </w:pPr>
    </w:p>
    <w:p w14:paraId="67EA8604"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b/>
          <w:i/>
          <w:highlight w:val="yellow"/>
        </w:rPr>
        <w:t>Artículo 51.</w:t>
      </w:r>
      <w:r w:rsidRPr="00657B22">
        <w:rPr>
          <w:rFonts w:ascii="Palatino Linotype" w:hAnsi="Palatino Linotype" w:cs="Arial"/>
          <w:i/>
          <w:highlight w:val="yellow"/>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7B22">
        <w:rPr>
          <w:rFonts w:ascii="Palatino Linotype" w:hAnsi="Palatino Linotype" w:cs="Arial"/>
          <w:b/>
          <w:i/>
          <w:highlight w:val="yellow"/>
        </w:rPr>
        <w:t xml:space="preserve">y tendrá la responsabilidad de verificar en cada caso que la misma no sea confidencial o reservada. </w:t>
      </w:r>
      <w:r w:rsidRPr="00657B22">
        <w:rPr>
          <w:rFonts w:ascii="Palatino Linotype" w:hAnsi="Palatino Linotype" w:cs="Arial"/>
          <w:i/>
          <w:highlight w:val="yellow"/>
        </w:rPr>
        <w:t xml:space="preserve">Dicha Unidad contará con las facultades internas necesarias para gestionar la atención a las solicitudes de información en los términos de la Ley General y la presente Ley. </w:t>
      </w:r>
    </w:p>
    <w:p w14:paraId="2B243F7D" w14:textId="77777777" w:rsidR="000E4788" w:rsidRPr="00657B22" w:rsidRDefault="000E4788" w:rsidP="000E4788">
      <w:pPr>
        <w:spacing w:after="0"/>
        <w:ind w:left="567" w:right="567"/>
        <w:jc w:val="both"/>
        <w:rPr>
          <w:rFonts w:ascii="Palatino Linotype" w:hAnsi="Palatino Linotype" w:cs="Arial"/>
          <w:i/>
          <w:highlight w:val="yellow"/>
        </w:rPr>
      </w:pPr>
    </w:p>
    <w:p w14:paraId="28A477CD" w14:textId="77777777" w:rsidR="000E4788" w:rsidRPr="00657B22" w:rsidRDefault="000E4788" w:rsidP="000E4788">
      <w:pPr>
        <w:spacing w:after="0"/>
        <w:ind w:left="567" w:right="567"/>
        <w:jc w:val="both"/>
        <w:rPr>
          <w:rFonts w:ascii="Palatino Linotype" w:hAnsi="Palatino Linotype" w:cs="Arial"/>
          <w:bCs/>
          <w:noProof/>
          <w:highlight w:val="yellow"/>
        </w:rPr>
      </w:pPr>
      <w:r w:rsidRPr="00657B22">
        <w:rPr>
          <w:rFonts w:ascii="Palatino Linotype" w:hAnsi="Palatino Linotype" w:cs="Arial"/>
          <w:b/>
          <w:i/>
          <w:highlight w:val="yellow"/>
        </w:rPr>
        <w:t>Artículo 52.</w:t>
      </w:r>
      <w:r w:rsidRPr="00657B22">
        <w:rPr>
          <w:rFonts w:ascii="Palatino Linotype" w:hAnsi="Palatino Linotype" w:cs="Arial"/>
          <w:i/>
          <w:highlight w:val="yellow"/>
        </w:rPr>
        <w:t xml:space="preserve"> Las solicitudes de acceso a la información y las respuestas que se les dé, incluyendo, en su caso, la información entregada, así como las resoluciones a los recursos </w:t>
      </w:r>
      <w:r w:rsidRPr="00657B22">
        <w:rPr>
          <w:rFonts w:ascii="Palatino Linotype" w:hAnsi="Palatino Linotype" w:cs="Arial"/>
          <w:i/>
          <w:highlight w:val="yellow"/>
        </w:rPr>
        <w:lastRenderedPageBreak/>
        <w:t>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57B22">
        <w:rPr>
          <w:rFonts w:ascii="Palatino Linotype" w:hAnsi="Palatino Linotype" w:cs="Arial"/>
          <w:bCs/>
          <w:i/>
          <w:noProof/>
          <w:highlight w:val="yellow"/>
        </w:rPr>
        <w:t>”</w:t>
      </w:r>
    </w:p>
    <w:p w14:paraId="4894C1B3" w14:textId="77777777" w:rsidR="000E4788" w:rsidRPr="00657B22" w:rsidRDefault="000E4788" w:rsidP="000E4788">
      <w:pPr>
        <w:spacing w:after="0" w:line="360" w:lineRule="auto"/>
        <w:jc w:val="both"/>
        <w:rPr>
          <w:rFonts w:ascii="Palatino Linotype" w:hAnsi="Palatino Linotype"/>
          <w:sz w:val="24"/>
          <w:szCs w:val="24"/>
          <w:highlight w:val="yellow"/>
        </w:rPr>
      </w:pPr>
    </w:p>
    <w:p w14:paraId="0DD7BBC9"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284BB3A3" w14:textId="77777777" w:rsidR="000E4788" w:rsidRPr="00657B22" w:rsidRDefault="000E4788" w:rsidP="000E4788">
      <w:pPr>
        <w:spacing w:after="0" w:line="360" w:lineRule="auto"/>
        <w:jc w:val="both"/>
        <w:rPr>
          <w:rFonts w:ascii="Palatino Linotype" w:hAnsi="Palatino Linotype"/>
          <w:sz w:val="24"/>
          <w:szCs w:val="24"/>
          <w:highlight w:val="yellow"/>
        </w:rPr>
      </w:pPr>
    </w:p>
    <w:p w14:paraId="7B372EBB"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0F08B6D2" w14:textId="77777777" w:rsidR="000E4788" w:rsidRPr="00657B22" w:rsidRDefault="000E4788" w:rsidP="000E4788">
      <w:pPr>
        <w:spacing w:after="0" w:line="360" w:lineRule="auto"/>
        <w:jc w:val="both"/>
        <w:rPr>
          <w:rFonts w:ascii="Palatino Linotype" w:hAnsi="Palatino Linotype"/>
          <w:sz w:val="24"/>
          <w:szCs w:val="24"/>
          <w:highlight w:val="yellow"/>
        </w:rPr>
      </w:pPr>
    </w:p>
    <w:p w14:paraId="5C5A4591" w14:textId="77777777" w:rsidR="000E4788" w:rsidRPr="00657B22" w:rsidRDefault="000E4788" w:rsidP="000E4788">
      <w:pPr>
        <w:spacing w:after="0" w:line="360" w:lineRule="auto"/>
        <w:jc w:val="both"/>
        <w:rPr>
          <w:rFonts w:ascii="Palatino Linotype" w:eastAsia="Arial Unicode MS" w:hAnsi="Palatino Linotype"/>
          <w:sz w:val="24"/>
          <w:szCs w:val="24"/>
          <w:highlight w:val="yellow"/>
        </w:rPr>
      </w:pPr>
      <w:r w:rsidRPr="00657B22">
        <w:rPr>
          <w:rFonts w:ascii="Palatino Linotype" w:eastAsia="Arial Unicode MS" w:hAnsi="Palatino Linotype"/>
          <w:sz w:val="24"/>
          <w:szCs w:val="24"/>
          <w:highlight w:val="yellow"/>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57B22">
        <w:rPr>
          <w:rFonts w:ascii="Palatino Linotype" w:eastAsia="Arial Unicode MS" w:hAnsi="Palatino Linotype"/>
          <w:color w:val="000000"/>
          <w:sz w:val="24"/>
          <w:szCs w:val="24"/>
          <w:highlight w:val="yellow"/>
        </w:rPr>
        <w:t>el Sujeto Obligado</w:t>
      </w:r>
      <w:r w:rsidRPr="00657B22">
        <w:rPr>
          <w:rFonts w:ascii="Palatino Linotype" w:eastAsia="Arial Unicode MS" w:hAnsi="Palatino Linotype"/>
          <w:sz w:val="24"/>
          <w:szCs w:val="24"/>
          <w:highlight w:val="yellow"/>
        </w:rPr>
        <w:t xml:space="preserve">, en ese contexto, todo dato personal susceptible de clasificación debe ser protegido. </w:t>
      </w:r>
    </w:p>
    <w:p w14:paraId="0E2BBD1F" w14:textId="77777777" w:rsidR="000E4788" w:rsidRPr="00657B22" w:rsidRDefault="000E4788" w:rsidP="000E4788">
      <w:pPr>
        <w:spacing w:after="0" w:line="360" w:lineRule="auto"/>
        <w:jc w:val="both"/>
        <w:rPr>
          <w:rFonts w:ascii="Palatino Linotype" w:eastAsia="Arial Unicode MS" w:hAnsi="Palatino Linotype"/>
          <w:color w:val="000000"/>
          <w:sz w:val="24"/>
          <w:szCs w:val="24"/>
          <w:highlight w:val="yellow"/>
        </w:rPr>
      </w:pPr>
    </w:p>
    <w:p w14:paraId="3F0301E3" w14:textId="77777777" w:rsidR="000E4788" w:rsidRPr="00657B22" w:rsidRDefault="000E4788" w:rsidP="000E4788">
      <w:pPr>
        <w:spacing w:after="0" w:line="360" w:lineRule="auto"/>
        <w:jc w:val="both"/>
        <w:rPr>
          <w:rFonts w:ascii="Palatino Linotype" w:hAnsi="Palatino Linotype" w:cs="Arial"/>
          <w:sz w:val="24"/>
          <w:szCs w:val="24"/>
          <w:highlight w:val="yellow"/>
        </w:rPr>
      </w:pPr>
      <w:r w:rsidRPr="00657B22">
        <w:rPr>
          <w:rFonts w:ascii="Palatino Linotype" w:hAnsi="Palatino Linotype" w:cs="Arial"/>
          <w:sz w:val="24"/>
          <w:szCs w:val="24"/>
          <w:highlight w:val="yellow"/>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16C4112" w14:textId="77777777" w:rsidR="000E4788" w:rsidRPr="00657B22" w:rsidRDefault="000E4788" w:rsidP="000E4788">
      <w:pPr>
        <w:spacing w:after="0"/>
        <w:ind w:left="567" w:right="567"/>
        <w:jc w:val="both"/>
        <w:rPr>
          <w:rFonts w:ascii="Palatino Linotype" w:hAnsi="Palatino Linotype" w:cs="Arial"/>
          <w:i/>
          <w:highlight w:val="yellow"/>
        </w:rPr>
      </w:pPr>
      <w:r w:rsidRPr="00657B22">
        <w:rPr>
          <w:rFonts w:ascii="Palatino Linotype" w:hAnsi="Palatino Linotype" w:cs="Arial"/>
          <w:i/>
          <w:highlight w:val="yellow"/>
        </w:rPr>
        <w:t>"</w:t>
      </w:r>
      <w:r w:rsidRPr="00657B22">
        <w:rPr>
          <w:rFonts w:ascii="Palatino Linotype" w:hAnsi="Palatino Linotype" w:cs="Arial"/>
          <w:b/>
          <w:i/>
          <w:highlight w:val="yellow"/>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57B22">
        <w:rPr>
          <w:rFonts w:ascii="Palatino Linotype" w:hAnsi="Palatino Linotype" w:cs="Arial"/>
          <w:i/>
          <w:highlight w:val="yellow"/>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109470C" w14:textId="77777777" w:rsidR="000E4788" w:rsidRPr="00657B22" w:rsidRDefault="000E4788" w:rsidP="000E4788">
      <w:pPr>
        <w:spacing w:after="0" w:line="360" w:lineRule="auto"/>
        <w:jc w:val="both"/>
        <w:rPr>
          <w:rFonts w:ascii="Palatino Linotype" w:hAnsi="Palatino Linotype" w:cs="Arial"/>
          <w:sz w:val="24"/>
          <w:szCs w:val="24"/>
          <w:highlight w:val="yellow"/>
        </w:rPr>
      </w:pPr>
    </w:p>
    <w:p w14:paraId="3BF78CC6" w14:textId="77777777" w:rsidR="000E4788" w:rsidRPr="00657B22" w:rsidRDefault="000E4788" w:rsidP="000E4788">
      <w:pPr>
        <w:spacing w:after="0" w:line="360" w:lineRule="auto"/>
        <w:jc w:val="both"/>
        <w:rPr>
          <w:rFonts w:ascii="Palatino Linotype" w:hAnsi="Palatino Linotype" w:cs="Arial"/>
          <w:sz w:val="24"/>
          <w:szCs w:val="24"/>
          <w:highlight w:val="yellow"/>
        </w:rPr>
      </w:pPr>
      <w:r w:rsidRPr="00657B22">
        <w:rPr>
          <w:rFonts w:ascii="Palatino Linotype" w:hAnsi="Palatino Linotype" w:cs="Arial"/>
          <w:sz w:val="24"/>
          <w:szCs w:val="24"/>
          <w:highlight w:val="yellow"/>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w:t>
      </w:r>
      <w:r w:rsidRPr="00657B22">
        <w:rPr>
          <w:rFonts w:ascii="Palatino Linotype" w:hAnsi="Palatino Linotype" w:cs="Arial"/>
          <w:sz w:val="24"/>
          <w:szCs w:val="24"/>
          <w:highlight w:val="yellow"/>
        </w:rPr>
        <w:lastRenderedPageBreak/>
        <w:t xml:space="preserve">formalidades previstas en el artículo 137, de la Ley de Transparencia y Acceso a la Información Pública del Estado de México y Municipios, así como con los numerales aplicables de los </w:t>
      </w:r>
      <w:r w:rsidRPr="00657B22">
        <w:rPr>
          <w:rFonts w:ascii="Palatino Linotype" w:hAnsi="Palatino Linotype" w:cs="Arial"/>
          <w:b/>
          <w:sz w:val="24"/>
          <w:szCs w:val="24"/>
          <w:highlight w:val="yellow"/>
        </w:rPr>
        <w:t>Lineamientos Generales en Materia de Clasificación y Desclasificación de la Información, así como para la Elaboración de Versiones Públicas</w:t>
      </w:r>
      <w:r w:rsidRPr="00657B22">
        <w:rPr>
          <w:rFonts w:ascii="Palatino Linotype" w:hAnsi="Palatino Linotype" w:cs="Arial"/>
          <w:sz w:val="24"/>
          <w:szCs w:val="24"/>
          <w:highlight w:val="yellow"/>
        </w:rPr>
        <w:t>, publicados en el Diario Oficial de la Federación en fecha quince de abril del año dos mil dieciséis, mediante Acuerdo del Consejo Nacional del Sistema Nacional de Transparencia, Acceso a la Información Pública y Protección de Datos Personales.</w:t>
      </w:r>
    </w:p>
    <w:p w14:paraId="22E0539C" w14:textId="77777777" w:rsidR="000E4788" w:rsidRPr="00657B22" w:rsidRDefault="000E4788" w:rsidP="000E4788">
      <w:pPr>
        <w:spacing w:after="0" w:line="360" w:lineRule="auto"/>
        <w:jc w:val="both"/>
        <w:rPr>
          <w:rFonts w:ascii="Palatino Linotype" w:hAnsi="Palatino Linotype" w:cs="Arial"/>
          <w:sz w:val="24"/>
          <w:szCs w:val="24"/>
          <w:highlight w:val="yellow"/>
        </w:rPr>
      </w:pPr>
    </w:p>
    <w:p w14:paraId="12F44CAF" w14:textId="77777777" w:rsidR="000E4788" w:rsidRPr="00657B22" w:rsidRDefault="000E4788" w:rsidP="000E4788">
      <w:pPr>
        <w:spacing w:after="0" w:line="360" w:lineRule="auto"/>
        <w:jc w:val="both"/>
        <w:rPr>
          <w:rFonts w:ascii="Palatino Linotype" w:hAnsi="Palatino Linotype" w:cs="Arial"/>
          <w:sz w:val="24"/>
          <w:szCs w:val="24"/>
          <w:highlight w:val="yellow"/>
        </w:rPr>
      </w:pPr>
      <w:r w:rsidRPr="00657B22">
        <w:rPr>
          <w:rFonts w:ascii="Palatino Linotype" w:hAnsi="Palatino Linotype" w:cs="Arial"/>
          <w:sz w:val="24"/>
          <w:szCs w:val="24"/>
          <w:highlight w:val="yellow"/>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12E9437" w14:textId="77777777" w:rsidR="000E4788" w:rsidRPr="00657B22" w:rsidRDefault="000E4788" w:rsidP="000E4788">
      <w:pPr>
        <w:spacing w:after="0" w:line="360" w:lineRule="auto"/>
        <w:jc w:val="both"/>
        <w:rPr>
          <w:rFonts w:ascii="Palatino Linotype" w:hAnsi="Palatino Linotype" w:cs="Arial"/>
          <w:sz w:val="24"/>
          <w:szCs w:val="24"/>
          <w:highlight w:val="yellow"/>
        </w:rPr>
      </w:pPr>
    </w:p>
    <w:p w14:paraId="32F8D620"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F3B62CB" w14:textId="77777777" w:rsidR="000E4788" w:rsidRPr="00657B22" w:rsidRDefault="000E4788" w:rsidP="000E4788">
      <w:pPr>
        <w:spacing w:after="0" w:line="360" w:lineRule="auto"/>
        <w:jc w:val="both"/>
        <w:rPr>
          <w:rFonts w:ascii="Palatino Linotype" w:eastAsia="Arial Unicode MS" w:hAnsi="Palatino Linotype"/>
          <w:sz w:val="24"/>
          <w:szCs w:val="24"/>
          <w:highlight w:val="yellow"/>
        </w:rPr>
      </w:pPr>
    </w:p>
    <w:p w14:paraId="7449BF10"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lang w:val="es-ES_tradnl"/>
        </w:rPr>
        <w:t xml:space="preserve">Por ende, en el presente caso el Sujeto Obligado debe </w:t>
      </w:r>
      <w:r w:rsidRPr="00657B22">
        <w:rPr>
          <w:rFonts w:ascii="Palatino Linotype" w:hAnsi="Palatino Linotype"/>
          <w:sz w:val="24"/>
          <w:szCs w:val="24"/>
          <w:highlight w:val="yellow"/>
        </w:rPr>
        <w:t xml:space="preserve">atender las disposiciones en materia de protección de datos, a fin de salvaguardar los datos de particulares testando </w:t>
      </w:r>
      <w:r w:rsidRPr="00657B22">
        <w:rPr>
          <w:rFonts w:ascii="Palatino Linotype" w:hAnsi="Palatino Linotype"/>
          <w:sz w:val="24"/>
          <w:szCs w:val="24"/>
          <w:highlight w:val="yellow"/>
        </w:rPr>
        <w:lastRenderedPageBreak/>
        <w:t xml:space="preserve">estos y emitir el debido Acuerdo que sustente la versión pública que se genere, ya que la clasificación de la información no se da por el simple mandato de la Ley, sino que es necesario que </w:t>
      </w:r>
      <w:r w:rsidRPr="00657B22">
        <w:rPr>
          <w:rFonts w:ascii="Palatino Linotype" w:hAnsi="Palatino Linotype"/>
          <w:sz w:val="24"/>
          <w:szCs w:val="24"/>
          <w:highlight w:val="yellow"/>
          <w:lang w:val="es-ES_tradnl"/>
        </w:rPr>
        <w:t xml:space="preserve">el Sujeto Obligado </w:t>
      </w:r>
      <w:r w:rsidRPr="00657B22">
        <w:rPr>
          <w:rFonts w:ascii="Palatino Linotype" w:hAnsi="Palatino Linotype"/>
          <w:sz w:val="24"/>
          <w:szCs w:val="24"/>
          <w:highlight w:val="yellow"/>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57B22">
        <w:rPr>
          <w:rFonts w:ascii="Palatino Linotype" w:hAnsi="Palatino Linotype"/>
          <w:sz w:val="24"/>
          <w:szCs w:val="24"/>
          <w:highlight w:val="yellow"/>
          <w:lang w:val="es-ES_tradnl"/>
        </w:rPr>
        <w:t>el Sujeto Obligado</w:t>
      </w:r>
      <w:r w:rsidRPr="00657B22">
        <w:rPr>
          <w:rFonts w:ascii="Palatino Linotype" w:hAnsi="Palatino Linotype"/>
          <w:sz w:val="24"/>
          <w:szCs w:val="24"/>
          <w:highlight w:val="yellow"/>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C33C74B" w14:textId="77777777" w:rsidR="000E4788" w:rsidRPr="00657B22" w:rsidRDefault="000E4788" w:rsidP="000E4788">
      <w:pPr>
        <w:spacing w:after="0" w:line="360" w:lineRule="auto"/>
        <w:jc w:val="both"/>
        <w:rPr>
          <w:rFonts w:ascii="Palatino Linotype" w:hAnsi="Palatino Linotype"/>
          <w:sz w:val="24"/>
          <w:szCs w:val="24"/>
          <w:highlight w:val="yellow"/>
        </w:rPr>
      </w:pPr>
    </w:p>
    <w:p w14:paraId="79715319" w14:textId="77777777" w:rsidR="000E4788" w:rsidRPr="00657B22" w:rsidRDefault="000E4788" w:rsidP="000E4788">
      <w:pPr>
        <w:spacing w:after="0" w:line="360" w:lineRule="auto"/>
        <w:jc w:val="both"/>
        <w:rPr>
          <w:rFonts w:ascii="Palatino Linotype" w:eastAsia="Calibri" w:hAnsi="Palatino Linotype"/>
          <w:sz w:val="24"/>
          <w:szCs w:val="24"/>
          <w:highlight w:val="yellow"/>
        </w:rPr>
      </w:pPr>
      <w:r w:rsidRPr="00657B22">
        <w:rPr>
          <w:rFonts w:ascii="Palatino Linotype" w:eastAsia="Calibri" w:hAnsi="Palatino Linotype"/>
          <w:sz w:val="24"/>
          <w:szCs w:val="24"/>
          <w:highlight w:val="yellow"/>
        </w:rPr>
        <w:t xml:space="preserve">Así, es que </w:t>
      </w:r>
      <w:r w:rsidRPr="00657B22">
        <w:rPr>
          <w:rFonts w:ascii="Palatino Linotype" w:hAnsi="Palatino Linotype"/>
          <w:sz w:val="24"/>
          <w:szCs w:val="24"/>
          <w:highlight w:val="yellow"/>
          <w:lang w:val="es-ES_tradnl"/>
        </w:rPr>
        <w:t xml:space="preserve">el Sujeto Obligado </w:t>
      </w:r>
      <w:r w:rsidRPr="00657B22">
        <w:rPr>
          <w:rFonts w:ascii="Palatino Linotype" w:eastAsia="Calibri" w:hAnsi="Palatino Linotype"/>
          <w:sz w:val="24"/>
          <w:szCs w:val="24"/>
          <w:highlight w:val="yellow"/>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B8DD188" w14:textId="77777777" w:rsidR="000E4788" w:rsidRPr="00657B22" w:rsidRDefault="000E4788" w:rsidP="000E4788">
      <w:pPr>
        <w:spacing w:after="0" w:line="360" w:lineRule="auto"/>
        <w:jc w:val="both"/>
        <w:rPr>
          <w:rFonts w:ascii="Palatino Linotype" w:eastAsia="Calibri" w:hAnsi="Palatino Linotype"/>
          <w:sz w:val="24"/>
          <w:szCs w:val="24"/>
          <w:highlight w:val="yellow"/>
        </w:rPr>
      </w:pPr>
    </w:p>
    <w:p w14:paraId="5AAC142A"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8E6D39"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 xml:space="preserve">“Artículo 49. </w:t>
      </w:r>
      <w:r w:rsidRPr="00657B22">
        <w:rPr>
          <w:rFonts w:ascii="Palatino Linotype" w:hAnsi="Palatino Linotype"/>
          <w:i/>
          <w:highlight w:val="yellow"/>
        </w:rPr>
        <w:t>Los Comités de Transparencia tendrán las siguientes atribuciones:</w:t>
      </w:r>
    </w:p>
    <w:p w14:paraId="7100CEA3"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VIII.</w:t>
      </w:r>
      <w:r w:rsidRPr="00657B22">
        <w:rPr>
          <w:rFonts w:ascii="Palatino Linotype" w:hAnsi="Palatino Linotype"/>
          <w:i/>
          <w:highlight w:val="yellow"/>
        </w:rPr>
        <w:t xml:space="preserve"> Aprobar, modificar o revocar la clasificación de la información;</w:t>
      </w:r>
    </w:p>
    <w:p w14:paraId="4704467D" w14:textId="77777777" w:rsidR="000E4788" w:rsidRPr="00657B22" w:rsidRDefault="000E4788" w:rsidP="000E4788">
      <w:pPr>
        <w:spacing w:after="0"/>
        <w:ind w:left="567" w:right="567"/>
        <w:jc w:val="both"/>
        <w:rPr>
          <w:rFonts w:ascii="Palatino Linotype" w:hAnsi="Palatino Linotype"/>
          <w:i/>
          <w:highlight w:val="yellow"/>
        </w:rPr>
      </w:pPr>
    </w:p>
    <w:p w14:paraId="0A110C3F"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Artículo 132.</w:t>
      </w:r>
      <w:r w:rsidRPr="00657B22">
        <w:rPr>
          <w:rFonts w:ascii="Palatino Linotype" w:hAnsi="Palatino Linotype"/>
          <w:i/>
          <w:highlight w:val="yellow"/>
        </w:rPr>
        <w:t xml:space="preserve"> La clasificación de la información se llevará a cabo en el momento en que:</w:t>
      </w:r>
    </w:p>
    <w:p w14:paraId="4B0F7067"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I.</w:t>
      </w:r>
      <w:r w:rsidRPr="00657B22">
        <w:rPr>
          <w:rFonts w:ascii="Palatino Linotype" w:hAnsi="Palatino Linotype"/>
          <w:i/>
          <w:highlight w:val="yellow"/>
        </w:rPr>
        <w:t xml:space="preserve"> Se reciba una solicitud de acceso a la información;</w:t>
      </w:r>
    </w:p>
    <w:p w14:paraId="2A57FD01"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II.</w:t>
      </w:r>
      <w:r w:rsidRPr="00657B22">
        <w:rPr>
          <w:rFonts w:ascii="Palatino Linotype" w:hAnsi="Palatino Linotype"/>
          <w:i/>
          <w:highlight w:val="yellow"/>
        </w:rPr>
        <w:t xml:space="preserve"> Se determine mediante resolución de autoridad competente; o</w:t>
      </w:r>
    </w:p>
    <w:p w14:paraId="0C91E430" w14:textId="77777777" w:rsidR="000E4788" w:rsidRPr="00657B22" w:rsidRDefault="000E4788" w:rsidP="000E4788">
      <w:pPr>
        <w:spacing w:after="0"/>
        <w:ind w:left="567" w:right="567"/>
        <w:jc w:val="both"/>
        <w:rPr>
          <w:rFonts w:ascii="Palatino Linotype" w:hAnsi="Palatino Linotype"/>
          <w:b/>
          <w:i/>
          <w:highlight w:val="yellow"/>
        </w:rPr>
      </w:pPr>
      <w:r w:rsidRPr="00657B22">
        <w:rPr>
          <w:rFonts w:ascii="Palatino Linotype" w:hAnsi="Palatino Linotype"/>
          <w:b/>
          <w:i/>
          <w:highlight w:val="yellow"/>
        </w:rPr>
        <w:t>III.</w:t>
      </w:r>
      <w:r w:rsidRPr="00657B22">
        <w:rPr>
          <w:rFonts w:ascii="Palatino Linotype" w:hAnsi="Palatino Linotype"/>
          <w:i/>
          <w:highlight w:val="yellow"/>
        </w:rPr>
        <w:t xml:space="preserve"> Se generen versiones públicas para dar cumplimiento a las obligaciones de transparencia previstas en esta Ley.</w:t>
      </w:r>
      <w:r w:rsidRPr="00657B22">
        <w:rPr>
          <w:rFonts w:ascii="Palatino Linotype" w:hAnsi="Palatino Linotype"/>
          <w:b/>
          <w:i/>
          <w:highlight w:val="yellow"/>
        </w:rPr>
        <w:t>”</w:t>
      </w:r>
    </w:p>
    <w:p w14:paraId="53EBAA3A" w14:textId="77777777" w:rsidR="000E4788" w:rsidRPr="00657B22" w:rsidRDefault="000E4788" w:rsidP="000E4788">
      <w:pPr>
        <w:spacing w:after="0"/>
        <w:ind w:right="567"/>
        <w:jc w:val="both"/>
        <w:rPr>
          <w:rFonts w:ascii="Palatino Linotype" w:hAnsi="Palatino Linotype"/>
          <w:b/>
          <w:i/>
          <w:highlight w:val="yellow"/>
        </w:rPr>
      </w:pPr>
    </w:p>
    <w:p w14:paraId="12EE5408"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“Segundo.-</w:t>
      </w:r>
      <w:r w:rsidRPr="00657B22">
        <w:rPr>
          <w:rFonts w:ascii="Palatino Linotype" w:hAnsi="Palatino Linotype"/>
          <w:i/>
          <w:highlight w:val="yellow"/>
        </w:rPr>
        <w:t xml:space="preserve"> Para efectos de los presentes Lineamientos Generales, se entenderá por:</w:t>
      </w:r>
    </w:p>
    <w:p w14:paraId="5C1A6C07"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w:t>
      </w:r>
    </w:p>
    <w:p w14:paraId="7CAF406D"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XVIII.</w:t>
      </w:r>
      <w:r w:rsidRPr="00657B22">
        <w:rPr>
          <w:rFonts w:ascii="Palatino Linotype" w:hAnsi="Palatino Linotype"/>
          <w:i/>
          <w:highlight w:val="yellow"/>
        </w:rPr>
        <w:t xml:space="preserve"> </w:t>
      </w:r>
      <w:r w:rsidRPr="00657B22">
        <w:rPr>
          <w:rFonts w:ascii="Palatino Linotype" w:hAnsi="Palatino Linotype"/>
          <w:b/>
          <w:i/>
          <w:highlight w:val="yellow"/>
        </w:rPr>
        <w:t>Versión pública:</w:t>
      </w:r>
      <w:r w:rsidRPr="00657B22">
        <w:rPr>
          <w:rFonts w:ascii="Palatino Linotype" w:hAnsi="Palatino Linotype"/>
          <w:i/>
          <w:highlight w:val="yellow"/>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478769"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Cuarto.</w:t>
      </w:r>
      <w:r w:rsidRPr="00657B22">
        <w:rPr>
          <w:rFonts w:ascii="Palatino Linotype" w:hAnsi="Palatino Linotype"/>
          <w:i/>
          <w:highlight w:val="yellow"/>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22C40D"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Los Sujetos Obligados deberán aplicar, de manera estricta, las excepciones al derecho de acceso a la información y sólo podrán invocarlas cuando acrediten su procedencia.</w:t>
      </w:r>
    </w:p>
    <w:p w14:paraId="31C7F8B2" w14:textId="77777777" w:rsidR="000E4788" w:rsidRPr="00657B22" w:rsidRDefault="000E4788" w:rsidP="000E4788">
      <w:pPr>
        <w:spacing w:after="0"/>
        <w:ind w:left="567" w:right="567"/>
        <w:jc w:val="both"/>
        <w:rPr>
          <w:rFonts w:ascii="Palatino Linotype" w:hAnsi="Palatino Linotype"/>
          <w:b/>
          <w:i/>
          <w:highlight w:val="yellow"/>
        </w:rPr>
      </w:pPr>
    </w:p>
    <w:p w14:paraId="5F9C9390"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Quinto.</w:t>
      </w:r>
      <w:r w:rsidRPr="00657B22">
        <w:rPr>
          <w:rFonts w:ascii="Palatino Linotype" w:hAnsi="Palatino Linotype"/>
          <w:i/>
          <w:highlight w:val="yellow"/>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D5DF6B" w14:textId="77777777" w:rsidR="000E4788" w:rsidRPr="00657B22" w:rsidRDefault="000E4788" w:rsidP="000E4788">
      <w:pPr>
        <w:spacing w:after="0"/>
        <w:ind w:left="567" w:right="567"/>
        <w:jc w:val="both"/>
        <w:rPr>
          <w:rFonts w:ascii="Palatino Linotype" w:hAnsi="Palatino Linotype"/>
          <w:b/>
          <w:i/>
          <w:highlight w:val="yellow"/>
        </w:rPr>
      </w:pPr>
    </w:p>
    <w:p w14:paraId="6BE8D91F"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Sexto.</w:t>
      </w:r>
      <w:r w:rsidRPr="00657B22">
        <w:rPr>
          <w:rFonts w:ascii="Palatino Linotype" w:hAnsi="Palatino Linotype"/>
          <w:i/>
          <w:highlight w:val="yellow"/>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EDE5E84"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La clasificación de información se realizará conforme a un análisis caso por caso, mediante la aplicación de la prueba de daño y de interés público.</w:t>
      </w:r>
    </w:p>
    <w:p w14:paraId="13DCC94B"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Séptimo.</w:t>
      </w:r>
      <w:r w:rsidRPr="00657B22">
        <w:rPr>
          <w:rFonts w:ascii="Palatino Linotype" w:hAnsi="Palatino Linotype"/>
          <w:i/>
          <w:highlight w:val="yellow"/>
        </w:rPr>
        <w:t xml:space="preserve"> La clasificación de la información se llevará a cabo en el momento en que:</w:t>
      </w:r>
    </w:p>
    <w:p w14:paraId="182305D6"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I.</w:t>
      </w:r>
      <w:r w:rsidRPr="00657B22">
        <w:rPr>
          <w:rFonts w:ascii="Palatino Linotype" w:hAnsi="Palatino Linotype"/>
          <w:i/>
          <w:highlight w:val="yellow"/>
        </w:rPr>
        <w:t xml:space="preserve"> Se reciba una solicitud de acceso a la información;</w:t>
      </w:r>
    </w:p>
    <w:p w14:paraId="12A39014"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II.</w:t>
      </w:r>
      <w:r w:rsidRPr="00657B22">
        <w:rPr>
          <w:rFonts w:ascii="Palatino Linotype" w:hAnsi="Palatino Linotype"/>
          <w:i/>
          <w:highlight w:val="yellow"/>
        </w:rPr>
        <w:t xml:space="preserve"> Se determine mediante resolución de autoridad competente, o</w:t>
      </w:r>
    </w:p>
    <w:p w14:paraId="27DAFE9F"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III.</w:t>
      </w:r>
      <w:r w:rsidRPr="00657B22">
        <w:rPr>
          <w:rFonts w:ascii="Palatino Linotype" w:hAnsi="Palatino Linotype"/>
          <w:i/>
          <w:highlight w:val="yellow"/>
        </w:rPr>
        <w:t xml:space="preserve"> Se generen versiones públicas para dar cumplimiento a las obligaciones de transparencia previstas en la Ley General, la Ley Federal y las correspondientes de las entidades federativas.</w:t>
      </w:r>
    </w:p>
    <w:p w14:paraId="1766EBD0"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Los titulares de las áreas deberán revisar la clasificación al momento de la recepción de una solicitud de acceso a la información, para verificar si encuadra en una causal de reserva o de confidencialidad.</w:t>
      </w:r>
    </w:p>
    <w:p w14:paraId="62713A11" w14:textId="77777777" w:rsidR="000E4788" w:rsidRPr="00657B22" w:rsidRDefault="000E4788" w:rsidP="000E4788">
      <w:pPr>
        <w:spacing w:after="0"/>
        <w:ind w:left="567" w:right="567"/>
        <w:jc w:val="both"/>
        <w:rPr>
          <w:rFonts w:ascii="Palatino Linotype" w:hAnsi="Palatino Linotype"/>
          <w:b/>
          <w:i/>
          <w:highlight w:val="yellow"/>
        </w:rPr>
      </w:pPr>
    </w:p>
    <w:p w14:paraId="2CCD7E29"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Octavo.</w:t>
      </w:r>
      <w:r w:rsidRPr="00657B22">
        <w:rPr>
          <w:rFonts w:ascii="Palatino Linotype" w:hAnsi="Palatino Linotype"/>
          <w:i/>
          <w:highlight w:val="yellow"/>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6DB885"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Para motivar la clasificación se deberán señalar las razones o circunstancias especiales que lo llevaron a concluir que el caso particular se ajusta al supuesto previsto por la norma legal invocada como fundamento.</w:t>
      </w:r>
    </w:p>
    <w:p w14:paraId="264CA70D"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En caso de referirse a información reservada, la motivación de la clasificación también deberá comprender las circunstancias que justifican el establecimiento de determinado plazo de reserva.</w:t>
      </w:r>
    </w:p>
    <w:p w14:paraId="65B1644E" w14:textId="77777777" w:rsidR="000E4788" w:rsidRPr="00657B22" w:rsidRDefault="000E4788" w:rsidP="000E4788">
      <w:pPr>
        <w:spacing w:after="0"/>
        <w:ind w:left="567" w:right="567"/>
        <w:jc w:val="both"/>
        <w:rPr>
          <w:rFonts w:ascii="Palatino Linotype" w:hAnsi="Palatino Linotype"/>
          <w:i/>
          <w:highlight w:val="yellow"/>
        </w:rPr>
      </w:pPr>
    </w:p>
    <w:p w14:paraId="6161E238"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3306F0A"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Los documentos contenidos en los archivos históricos y los identificados como históricos confidenciales no serán susceptibles de clasificación como reservados.</w:t>
      </w:r>
    </w:p>
    <w:p w14:paraId="74208D4C" w14:textId="77777777" w:rsidR="000E4788" w:rsidRPr="00657B22" w:rsidRDefault="000E4788" w:rsidP="000E4788">
      <w:pPr>
        <w:spacing w:after="0"/>
        <w:ind w:left="567" w:right="567"/>
        <w:jc w:val="both"/>
        <w:rPr>
          <w:rFonts w:ascii="Palatino Linotype" w:hAnsi="Palatino Linotype"/>
          <w:b/>
          <w:i/>
          <w:highlight w:val="yellow"/>
        </w:rPr>
      </w:pPr>
    </w:p>
    <w:p w14:paraId="1FD9A56F"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Noveno.</w:t>
      </w:r>
      <w:r w:rsidRPr="00657B22">
        <w:rPr>
          <w:rFonts w:ascii="Palatino Linotype" w:hAnsi="Palatino Linotype"/>
          <w:i/>
          <w:highlight w:val="yellow"/>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AC5170" w14:textId="77777777" w:rsidR="000E4788" w:rsidRPr="00657B22" w:rsidRDefault="000E4788" w:rsidP="000E4788">
      <w:pPr>
        <w:spacing w:after="0"/>
        <w:ind w:left="567" w:right="567"/>
        <w:jc w:val="both"/>
        <w:rPr>
          <w:rFonts w:ascii="Palatino Linotype" w:hAnsi="Palatino Linotype"/>
          <w:b/>
          <w:i/>
          <w:highlight w:val="yellow"/>
        </w:rPr>
      </w:pPr>
    </w:p>
    <w:p w14:paraId="1CBD25C8"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Décimo.</w:t>
      </w:r>
      <w:r w:rsidRPr="00657B22">
        <w:rPr>
          <w:rFonts w:ascii="Palatino Linotype" w:hAnsi="Palatino Linotype"/>
          <w:i/>
          <w:highlight w:val="yellow"/>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5F394F" w14:textId="77777777" w:rsidR="000E4788" w:rsidRPr="00657B22" w:rsidRDefault="000E4788" w:rsidP="000E4788">
      <w:pPr>
        <w:spacing w:after="0"/>
        <w:ind w:left="567" w:right="567"/>
        <w:jc w:val="both"/>
        <w:rPr>
          <w:rFonts w:ascii="Palatino Linotype" w:hAnsi="Palatino Linotype"/>
          <w:i/>
          <w:highlight w:val="yellow"/>
        </w:rPr>
      </w:pPr>
    </w:p>
    <w:p w14:paraId="23264266"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i/>
          <w:highlight w:val="yellow"/>
        </w:rPr>
        <w:t>En ausencia de los titulares de las áreas, la información será clasificada o desclasificada por la persona que lo supla, en términos de la normativa que rija la actuación del sujeto obligado.</w:t>
      </w:r>
    </w:p>
    <w:p w14:paraId="0DCE0D76" w14:textId="77777777" w:rsidR="000E4788" w:rsidRPr="00657B22" w:rsidRDefault="000E4788" w:rsidP="000E4788">
      <w:pPr>
        <w:spacing w:after="0"/>
        <w:ind w:left="567" w:right="567"/>
        <w:jc w:val="both"/>
        <w:rPr>
          <w:rFonts w:ascii="Palatino Linotype" w:hAnsi="Palatino Linotype"/>
          <w:b/>
          <w:i/>
          <w:highlight w:val="yellow"/>
        </w:rPr>
      </w:pPr>
    </w:p>
    <w:p w14:paraId="34E72981" w14:textId="77777777" w:rsidR="000E4788" w:rsidRPr="00657B22" w:rsidRDefault="000E4788" w:rsidP="000E4788">
      <w:pPr>
        <w:spacing w:after="0"/>
        <w:ind w:left="567" w:right="567"/>
        <w:jc w:val="both"/>
        <w:rPr>
          <w:rFonts w:ascii="Palatino Linotype" w:hAnsi="Palatino Linotype"/>
          <w:b/>
          <w:highlight w:val="yellow"/>
        </w:rPr>
      </w:pPr>
      <w:r w:rsidRPr="00657B22">
        <w:rPr>
          <w:rFonts w:ascii="Palatino Linotype" w:hAnsi="Palatino Linotype"/>
          <w:b/>
          <w:i/>
          <w:highlight w:val="yellow"/>
        </w:rPr>
        <w:t>Décimo primero.</w:t>
      </w:r>
      <w:r w:rsidRPr="00657B22">
        <w:rPr>
          <w:rFonts w:ascii="Palatino Linotype" w:hAnsi="Palatino Linotype"/>
          <w:i/>
          <w:highlight w:val="yellow"/>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57B22">
        <w:rPr>
          <w:rFonts w:ascii="Palatino Linotype" w:hAnsi="Palatino Linotype"/>
          <w:b/>
          <w:i/>
          <w:highlight w:val="yellow"/>
        </w:rPr>
        <w:t>”</w:t>
      </w:r>
    </w:p>
    <w:p w14:paraId="23301833" w14:textId="77777777" w:rsidR="000E4788" w:rsidRPr="00657B22" w:rsidRDefault="000E4788" w:rsidP="000E4788">
      <w:pPr>
        <w:spacing w:after="0" w:line="360" w:lineRule="auto"/>
        <w:jc w:val="both"/>
        <w:rPr>
          <w:rFonts w:ascii="Palatino Linotype" w:hAnsi="Palatino Linotype" w:cs="Arial"/>
          <w:i/>
          <w:highlight w:val="yellow"/>
        </w:rPr>
      </w:pPr>
    </w:p>
    <w:p w14:paraId="071D2A4F"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657B22">
        <w:rPr>
          <w:rFonts w:ascii="Palatino Linotype" w:hAnsi="Palatino Linotype"/>
          <w:sz w:val="24"/>
          <w:szCs w:val="24"/>
          <w:highlight w:val="yellow"/>
        </w:rPr>
        <w:lastRenderedPageBreak/>
        <w:t xml:space="preserve">Acuerdo fundado y motivado en el que </w:t>
      </w:r>
      <w:r w:rsidRPr="00657B22">
        <w:rPr>
          <w:rFonts w:ascii="Palatino Linotype" w:hAnsi="Palatino Linotype"/>
          <w:sz w:val="24"/>
          <w:szCs w:val="24"/>
          <w:highlight w:val="yellow"/>
          <w:lang w:val="es-ES_tradnl"/>
        </w:rPr>
        <w:t>el Sujeto Obligado</w:t>
      </w:r>
      <w:r w:rsidRPr="00657B22">
        <w:rPr>
          <w:rFonts w:ascii="Palatino Linotype" w:hAnsi="Palatino Linotype"/>
          <w:sz w:val="24"/>
          <w:szCs w:val="24"/>
          <w:highlight w:val="yellow"/>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4ECBAA5" w14:textId="77777777" w:rsidR="000E4788" w:rsidRPr="00657B22" w:rsidRDefault="000E4788" w:rsidP="000E4788">
      <w:pPr>
        <w:spacing w:after="0" w:line="360" w:lineRule="auto"/>
        <w:jc w:val="both"/>
        <w:rPr>
          <w:rFonts w:ascii="Palatino Linotype" w:hAnsi="Palatino Linotype"/>
          <w:sz w:val="24"/>
          <w:szCs w:val="24"/>
          <w:highlight w:val="yellow"/>
        </w:rPr>
      </w:pPr>
    </w:p>
    <w:p w14:paraId="08C10A49"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Por tanto, la fundamentación y motivación consiste en la obligación que tiene todo ente público de expresar los preceptos jurídicos aplicables al asunto motivo del acto y las razones o argumentos de su actuar.</w:t>
      </w:r>
    </w:p>
    <w:p w14:paraId="70B44ACA"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Al respecto, el máximo tribunal del país ha establecido jurisprudencia respecto a qué debe entenderse por fundamentación y motivación, en los siguientes términos:</w:t>
      </w:r>
    </w:p>
    <w:p w14:paraId="4FA61108"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t xml:space="preserve">FUNDAMENTACIÓN Y MOTIVACIÓN. </w:t>
      </w:r>
      <w:r w:rsidRPr="00657B22">
        <w:rPr>
          <w:rFonts w:ascii="Palatino Linotype" w:hAnsi="Palatino Linotype"/>
          <w:i/>
          <w:highlight w:val="yellow"/>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0E83E3E" w14:textId="77777777" w:rsidR="000E4788" w:rsidRPr="00657B22" w:rsidRDefault="000E4788" w:rsidP="000E4788">
      <w:pPr>
        <w:spacing w:after="0" w:line="360" w:lineRule="auto"/>
        <w:jc w:val="both"/>
        <w:rPr>
          <w:rFonts w:ascii="Palatino Linotype" w:hAnsi="Palatino Linotype"/>
          <w:sz w:val="24"/>
          <w:szCs w:val="24"/>
          <w:highlight w:val="yellow"/>
        </w:rPr>
      </w:pPr>
    </w:p>
    <w:p w14:paraId="58A89E4C"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CDB847"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A236080" w14:textId="77777777" w:rsidR="000E4788" w:rsidRPr="00657B22" w:rsidRDefault="000E4788" w:rsidP="000E4788">
      <w:pPr>
        <w:spacing w:after="0"/>
        <w:ind w:left="567" w:right="567"/>
        <w:jc w:val="both"/>
        <w:rPr>
          <w:rFonts w:ascii="Palatino Linotype" w:hAnsi="Palatino Linotype"/>
          <w:i/>
          <w:highlight w:val="yellow"/>
        </w:rPr>
      </w:pPr>
      <w:r w:rsidRPr="00657B22">
        <w:rPr>
          <w:rFonts w:ascii="Palatino Linotype" w:hAnsi="Palatino Linotype"/>
          <w:b/>
          <w:i/>
          <w:highlight w:val="yellow"/>
        </w:rPr>
        <w:lastRenderedPageBreak/>
        <w:t>FUNDAMENTACIÓN Y MOTIVACIÓN. EL ASPECTO FORMAL DE LA GARANTÍA Y SU FINALIDAD SE TRADUCEN EN EXPLICAR, JUSTIFICAR, POSIBILITAR LA DEFENSA Y COMUNICAR LA DECISIÓN</w:t>
      </w:r>
      <w:r w:rsidRPr="00657B22">
        <w:rPr>
          <w:rFonts w:ascii="Palatino Linotype" w:hAnsi="Palatino Linotype"/>
          <w:i/>
          <w:highlight w:val="yellow"/>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39C6C6" w14:textId="77777777" w:rsidR="000E4788" w:rsidRPr="00657B22" w:rsidRDefault="000E4788" w:rsidP="000E4788">
      <w:pPr>
        <w:spacing w:after="0" w:line="360" w:lineRule="auto"/>
        <w:jc w:val="both"/>
        <w:rPr>
          <w:rFonts w:ascii="Palatino Linotype" w:hAnsi="Palatino Linotype"/>
          <w:sz w:val="24"/>
          <w:szCs w:val="24"/>
          <w:highlight w:val="yellow"/>
        </w:rPr>
      </w:pPr>
    </w:p>
    <w:p w14:paraId="658B5D37"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E83E52B" w14:textId="77777777" w:rsidR="000E4788" w:rsidRPr="00657B22" w:rsidRDefault="000E4788" w:rsidP="000E4788">
      <w:pPr>
        <w:spacing w:after="0" w:line="360" w:lineRule="auto"/>
        <w:jc w:val="both"/>
        <w:rPr>
          <w:rFonts w:ascii="Palatino Linotype" w:hAnsi="Palatino Linotype"/>
          <w:sz w:val="24"/>
          <w:szCs w:val="24"/>
          <w:highlight w:val="yellow"/>
        </w:rPr>
      </w:pPr>
    </w:p>
    <w:p w14:paraId="14FB6277" w14:textId="77777777" w:rsidR="000E4788" w:rsidRPr="00657B22" w:rsidRDefault="000E4788" w:rsidP="000E4788">
      <w:pPr>
        <w:spacing w:after="0" w:line="360" w:lineRule="auto"/>
        <w:jc w:val="both"/>
        <w:rPr>
          <w:rFonts w:ascii="Palatino Linotype" w:hAnsi="Palatino Linotype"/>
          <w:sz w:val="24"/>
          <w:szCs w:val="24"/>
          <w:highlight w:val="yellow"/>
        </w:rPr>
      </w:pPr>
      <w:r w:rsidRPr="00657B22">
        <w:rPr>
          <w:rFonts w:ascii="Palatino Linotype" w:hAnsi="Palatino Linotype"/>
          <w:sz w:val="24"/>
          <w:szCs w:val="24"/>
          <w:highlight w:val="yellow"/>
        </w:rPr>
        <w:t>Por lo tanto, la entrega de documentos en su versión pública debe acompañarse necesariamente del Acuerdo del Comité de Transparencia del Sujeto Obligado</w:t>
      </w:r>
      <w:r w:rsidRPr="00657B22">
        <w:rPr>
          <w:rFonts w:ascii="Palatino Linotype" w:hAnsi="Palatino Linotype"/>
          <w:b/>
          <w:sz w:val="24"/>
          <w:szCs w:val="24"/>
          <w:highlight w:val="yellow"/>
        </w:rPr>
        <w:t xml:space="preserve"> </w:t>
      </w:r>
      <w:r w:rsidRPr="00657B22">
        <w:rPr>
          <w:rFonts w:ascii="Palatino Linotype" w:hAnsi="Palatino Linotype"/>
          <w:sz w:val="24"/>
          <w:szCs w:val="24"/>
          <w:highlight w:val="yellow"/>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657B22">
        <w:rPr>
          <w:rFonts w:ascii="Palatino Linotype" w:hAnsi="Palatino Linotype"/>
          <w:sz w:val="24"/>
          <w:szCs w:val="24"/>
          <w:highlight w:val="yellow"/>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FD196B" w14:textId="7FA2B321" w:rsidR="000E4788" w:rsidRPr="00657B22" w:rsidRDefault="000E4788" w:rsidP="00657B22">
      <w:pPr>
        <w:tabs>
          <w:tab w:val="left" w:pos="709"/>
        </w:tabs>
        <w:spacing w:after="0" w:line="360" w:lineRule="auto"/>
        <w:ind w:right="51"/>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sz w:val="24"/>
          <w:szCs w:val="24"/>
          <w:highlight w:val="yellow"/>
        </w:rPr>
        <w:t xml:space="preserve">En mérito de lo expuesto en líneas anteriores, resultan parcialmente fundados los motivos de inconformidad vertidos por </w:t>
      </w:r>
      <w:r w:rsidRPr="00657B22">
        <w:rPr>
          <w:rFonts w:ascii="Palatino Linotype" w:eastAsia="Palatino Linotype" w:hAnsi="Palatino Linotype" w:cs="Palatino Linotype"/>
          <w:b/>
          <w:sz w:val="24"/>
          <w:szCs w:val="24"/>
          <w:highlight w:val="yellow"/>
        </w:rPr>
        <w:t xml:space="preserve">el Recurrente, </w:t>
      </w:r>
      <w:r w:rsidRPr="00657B22">
        <w:rPr>
          <w:rFonts w:ascii="Palatino Linotype" w:eastAsia="Palatino Linotype" w:hAnsi="Palatino Linotype" w:cs="Palatino Linotype"/>
          <w:sz w:val="24"/>
          <w:szCs w:val="24"/>
          <w:highlight w:val="yellow"/>
        </w:rPr>
        <w:t xml:space="preserve">por ello con fundamento en el artículo 186 fracción III de la Ley de Transparencia y Acceso a la Información Pública del Estado de México y Municipios, se </w:t>
      </w:r>
      <w:r w:rsidRPr="00657B22">
        <w:rPr>
          <w:rFonts w:ascii="Palatino Linotype" w:eastAsia="Palatino Linotype" w:hAnsi="Palatino Linotype" w:cs="Palatino Linotype"/>
          <w:b/>
          <w:sz w:val="24"/>
          <w:szCs w:val="24"/>
          <w:highlight w:val="yellow"/>
        </w:rPr>
        <w:t xml:space="preserve">MODIFICA </w:t>
      </w:r>
      <w:r w:rsidRPr="00657B22">
        <w:rPr>
          <w:rFonts w:ascii="Palatino Linotype" w:eastAsia="Palatino Linotype" w:hAnsi="Palatino Linotype" w:cs="Palatino Linotype"/>
          <w:sz w:val="24"/>
          <w:szCs w:val="24"/>
          <w:highlight w:val="yellow"/>
        </w:rPr>
        <w:t>l</w:t>
      </w:r>
      <w:r w:rsidRPr="00657B22">
        <w:rPr>
          <w:sz w:val="24"/>
          <w:szCs w:val="24"/>
          <w:highlight w:val="yellow"/>
        </w:rPr>
        <w:t>a</w:t>
      </w:r>
      <w:r w:rsidRPr="00657B22">
        <w:rPr>
          <w:rFonts w:ascii="Palatino Linotype" w:eastAsia="Palatino Linotype" w:hAnsi="Palatino Linotype" w:cs="Palatino Linotype"/>
          <w:sz w:val="24"/>
          <w:szCs w:val="24"/>
          <w:highlight w:val="yellow"/>
        </w:rPr>
        <w:t xml:space="preserve"> respuesta a la solicitud de información </w:t>
      </w:r>
      <w:r w:rsidRPr="00657B22">
        <w:rPr>
          <w:rFonts w:ascii="Verdana" w:hAnsi="Verdana"/>
          <w:b/>
          <w:bCs/>
          <w:color w:val="FF0000"/>
          <w:highlight w:val="yellow"/>
        </w:rPr>
        <w:t> </w:t>
      </w:r>
      <w:r w:rsidR="00657B22" w:rsidRPr="00657B22">
        <w:rPr>
          <w:rFonts w:ascii="Palatino Linotype" w:hAnsi="Palatino Linotype"/>
          <w:b/>
          <w:bCs/>
          <w:sz w:val="24"/>
          <w:szCs w:val="24"/>
          <w:highlight w:val="yellow"/>
        </w:rPr>
        <w:t>00215/SECTI/IP/2025</w:t>
      </w:r>
      <w:r w:rsidRPr="00657B22">
        <w:rPr>
          <w:rFonts w:ascii="Palatino Linotype" w:eastAsia="Palatino Linotype" w:hAnsi="Palatino Linotype" w:cs="Palatino Linotype"/>
          <w:b/>
          <w:sz w:val="24"/>
          <w:szCs w:val="24"/>
          <w:highlight w:val="yellow"/>
        </w:rPr>
        <w:t xml:space="preserve">, </w:t>
      </w:r>
      <w:r w:rsidRPr="00657B22">
        <w:rPr>
          <w:rFonts w:ascii="Palatino Linotype" w:eastAsia="Palatino Linotype" w:hAnsi="Palatino Linotype" w:cs="Palatino Linotype"/>
          <w:sz w:val="24"/>
          <w:szCs w:val="24"/>
          <w:highlight w:val="yellow"/>
        </w:rPr>
        <w:t xml:space="preserve">que ha sido materia del presente fallo. </w:t>
      </w:r>
    </w:p>
    <w:p w14:paraId="5D24238B" w14:textId="77777777" w:rsidR="000E4788" w:rsidRPr="00657B22" w:rsidRDefault="000E4788" w:rsidP="00657B22">
      <w:pPr>
        <w:spacing w:after="0" w:line="360" w:lineRule="auto"/>
        <w:rPr>
          <w:rFonts w:ascii="Palatino Linotype" w:eastAsia="Palatino Linotype" w:hAnsi="Palatino Linotype" w:cs="Palatino Linotype"/>
          <w:color w:val="000000"/>
          <w:sz w:val="24"/>
          <w:szCs w:val="24"/>
          <w:highlight w:val="yellow"/>
        </w:rPr>
      </w:pPr>
    </w:p>
    <w:p w14:paraId="6B8F6C2C" w14:textId="2AC4DB77" w:rsidR="002A7167" w:rsidRPr="00657B22" w:rsidRDefault="000E4788" w:rsidP="00657B22">
      <w:pPr>
        <w:spacing w:after="0" w:line="360" w:lineRule="auto"/>
        <w:rPr>
          <w:rFonts w:ascii="Palatino Linotype" w:eastAsia="Times New Roman" w:hAnsi="Palatino Linotype" w:cs="Times New Roman"/>
          <w:b/>
          <w:bCs/>
          <w:spacing w:val="60"/>
          <w:sz w:val="32"/>
          <w:szCs w:val="24"/>
          <w:highlight w:val="yellow"/>
          <w:lang w:val="es-ES_tradnl" w:eastAsia="es-ES"/>
        </w:rPr>
      </w:pPr>
      <w:r w:rsidRPr="00657B22">
        <w:rPr>
          <w:rFonts w:ascii="Palatino Linotype" w:eastAsia="Palatino Linotype" w:hAnsi="Palatino Linotype" w:cs="Palatino Linotype"/>
          <w:color w:val="000000"/>
          <w:sz w:val="24"/>
          <w:szCs w:val="24"/>
          <w:highlight w:val="yellow"/>
        </w:rPr>
        <w:t>Por lo antes expuesto y fundado es de resolverse y,</w:t>
      </w:r>
    </w:p>
    <w:p w14:paraId="1C62598A" w14:textId="77777777" w:rsidR="00960947" w:rsidRPr="00657B22" w:rsidRDefault="00960947" w:rsidP="00657B22">
      <w:pPr>
        <w:spacing w:after="0" w:line="360" w:lineRule="auto"/>
        <w:jc w:val="center"/>
        <w:rPr>
          <w:rFonts w:ascii="Palatino Linotype" w:eastAsia="Times New Roman" w:hAnsi="Palatino Linotype" w:cs="Times New Roman"/>
          <w:b/>
          <w:bCs/>
          <w:spacing w:val="60"/>
          <w:sz w:val="28"/>
          <w:szCs w:val="24"/>
          <w:highlight w:val="yellow"/>
          <w:lang w:val="es-ES_tradnl" w:eastAsia="es-ES"/>
        </w:rPr>
      </w:pPr>
    </w:p>
    <w:p w14:paraId="05B55AA8" w14:textId="6E43DD48" w:rsidR="00D100F0" w:rsidRPr="00657B22" w:rsidRDefault="00D100F0" w:rsidP="00657B22">
      <w:pPr>
        <w:spacing w:after="0" w:line="360" w:lineRule="auto"/>
        <w:jc w:val="center"/>
        <w:rPr>
          <w:rFonts w:ascii="Palatino Linotype" w:eastAsia="Times New Roman" w:hAnsi="Palatino Linotype" w:cs="Times New Roman"/>
          <w:b/>
          <w:bCs/>
          <w:spacing w:val="60"/>
          <w:sz w:val="28"/>
          <w:szCs w:val="24"/>
          <w:highlight w:val="yellow"/>
          <w:lang w:val="es-ES_tradnl" w:eastAsia="es-ES"/>
        </w:rPr>
      </w:pPr>
      <w:r w:rsidRPr="00657B22">
        <w:rPr>
          <w:rFonts w:ascii="Palatino Linotype" w:eastAsia="Times New Roman" w:hAnsi="Palatino Linotype" w:cs="Times New Roman"/>
          <w:b/>
          <w:bCs/>
          <w:spacing w:val="60"/>
          <w:sz w:val="28"/>
          <w:szCs w:val="24"/>
          <w:highlight w:val="yellow"/>
          <w:lang w:val="es-ES_tradnl" w:eastAsia="es-ES"/>
        </w:rPr>
        <w:t>SE    RESUELVE</w:t>
      </w:r>
    </w:p>
    <w:p w14:paraId="19638DF0" w14:textId="77777777" w:rsidR="00D100F0" w:rsidRPr="00657B22" w:rsidRDefault="00D100F0" w:rsidP="00657B22">
      <w:pPr>
        <w:spacing w:after="0" w:line="360" w:lineRule="auto"/>
        <w:jc w:val="both"/>
        <w:rPr>
          <w:rFonts w:ascii="Palatino Linotype" w:eastAsia="Times New Roman" w:hAnsi="Palatino Linotype" w:cs="Times New Roman"/>
          <w:b/>
          <w:bCs/>
          <w:spacing w:val="60"/>
          <w:sz w:val="24"/>
          <w:szCs w:val="24"/>
          <w:highlight w:val="yellow"/>
          <w:lang w:val="es-ES_tradnl" w:eastAsia="es-ES"/>
        </w:rPr>
      </w:pPr>
    </w:p>
    <w:p w14:paraId="3B40B889" w14:textId="4E7B9AF2" w:rsidR="00657B22" w:rsidRPr="00657B22" w:rsidRDefault="00657B22" w:rsidP="00657B22">
      <w:pPr>
        <w:spacing w:after="0" w:line="360" w:lineRule="auto"/>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b/>
          <w:sz w:val="28"/>
          <w:szCs w:val="24"/>
          <w:highlight w:val="yellow"/>
        </w:rPr>
        <w:t>PRIMERO.</w:t>
      </w:r>
      <w:r w:rsidRPr="00657B22">
        <w:rPr>
          <w:rFonts w:ascii="Palatino Linotype" w:eastAsia="Palatino Linotype" w:hAnsi="Palatino Linotype" w:cs="Palatino Linotype"/>
          <w:sz w:val="28"/>
          <w:szCs w:val="24"/>
          <w:highlight w:val="yellow"/>
        </w:rPr>
        <w:t xml:space="preserve"> </w:t>
      </w:r>
      <w:r w:rsidRPr="00657B22">
        <w:rPr>
          <w:rFonts w:ascii="Palatino Linotype" w:eastAsia="Palatino Linotype" w:hAnsi="Palatino Linotype" w:cs="Palatino Linotype"/>
          <w:sz w:val="24"/>
          <w:szCs w:val="24"/>
          <w:highlight w:val="yellow"/>
        </w:rPr>
        <w:t xml:space="preserve">Se </w:t>
      </w:r>
      <w:r w:rsidRPr="00657B22">
        <w:rPr>
          <w:rFonts w:ascii="Palatino Linotype" w:eastAsia="Palatino Linotype" w:hAnsi="Palatino Linotype" w:cs="Palatino Linotype"/>
          <w:b/>
          <w:sz w:val="24"/>
          <w:szCs w:val="24"/>
          <w:highlight w:val="yellow"/>
        </w:rPr>
        <w:t>MODIFICA</w:t>
      </w:r>
      <w:r w:rsidRPr="00657B22">
        <w:rPr>
          <w:rFonts w:ascii="Palatino Linotype" w:eastAsia="Palatino Linotype" w:hAnsi="Palatino Linotype" w:cs="Palatino Linotype"/>
          <w:sz w:val="24"/>
          <w:szCs w:val="24"/>
          <w:highlight w:val="yellow"/>
        </w:rPr>
        <w:t xml:space="preserve"> respuesta entregada por </w:t>
      </w:r>
      <w:r w:rsidRPr="00657B22">
        <w:rPr>
          <w:rFonts w:ascii="Palatino Linotype" w:eastAsia="Palatino Linotype" w:hAnsi="Palatino Linotype" w:cs="Palatino Linotype"/>
          <w:b/>
          <w:sz w:val="24"/>
          <w:szCs w:val="24"/>
          <w:highlight w:val="yellow"/>
        </w:rPr>
        <w:t xml:space="preserve">EL SUJETO OBLIGADO, </w:t>
      </w:r>
      <w:r w:rsidRPr="00657B22">
        <w:rPr>
          <w:rFonts w:ascii="Palatino Linotype" w:eastAsia="Palatino Linotype" w:hAnsi="Palatino Linotype" w:cs="Palatino Linotype"/>
          <w:sz w:val="24"/>
          <w:szCs w:val="24"/>
          <w:highlight w:val="yellow"/>
        </w:rPr>
        <w:t>a la solicitud de información</w:t>
      </w:r>
      <w:r w:rsidRPr="00657B22">
        <w:rPr>
          <w:sz w:val="24"/>
          <w:szCs w:val="24"/>
          <w:highlight w:val="yellow"/>
        </w:rPr>
        <w:t xml:space="preserve"> con</w:t>
      </w:r>
      <w:r w:rsidRPr="00657B22">
        <w:rPr>
          <w:rFonts w:ascii="Palatino Linotype" w:eastAsia="Palatino Linotype" w:hAnsi="Palatino Linotype" w:cs="Palatino Linotype"/>
          <w:sz w:val="24"/>
          <w:szCs w:val="24"/>
          <w:highlight w:val="yellow"/>
        </w:rPr>
        <w:t xml:space="preserve"> número </w:t>
      </w:r>
      <w:r w:rsidRPr="00657B22">
        <w:rPr>
          <w:rFonts w:ascii="Palatino Linotype" w:hAnsi="Palatino Linotype"/>
          <w:b/>
          <w:bCs/>
          <w:sz w:val="24"/>
          <w:szCs w:val="24"/>
          <w:highlight w:val="yellow"/>
        </w:rPr>
        <w:t xml:space="preserve">00215/SECTI/IP/2025 </w:t>
      </w:r>
      <w:r w:rsidRPr="00657B22">
        <w:rPr>
          <w:rFonts w:ascii="Palatino Linotype" w:eastAsia="Palatino Linotype" w:hAnsi="Palatino Linotype" w:cs="Palatino Linotype"/>
          <w:sz w:val="24"/>
          <w:szCs w:val="24"/>
          <w:highlight w:val="yellow"/>
        </w:rPr>
        <w:t>por</w:t>
      </w:r>
      <w:r w:rsidRPr="00657B22">
        <w:rPr>
          <w:rFonts w:ascii="Palatino Linotype" w:eastAsia="Palatino Linotype" w:hAnsi="Palatino Linotype" w:cs="Palatino Linotype"/>
          <w:b/>
          <w:sz w:val="24"/>
          <w:szCs w:val="24"/>
          <w:highlight w:val="yellow"/>
        </w:rPr>
        <w:t xml:space="preserve"> </w:t>
      </w:r>
      <w:r w:rsidRPr="00657B22">
        <w:rPr>
          <w:rFonts w:ascii="Palatino Linotype" w:eastAsia="Palatino Linotype" w:hAnsi="Palatino Linotype" w:cs="Palatino Linotype"/>
          <w:sz w:val="24"/>
          <w:szCs w:val="24"/>
          <w:highlight w:val="yellow"/>
        </w:rPr>
        <w:t xml:space="preserve">resultar parcialmente fundados los motivos de inconformidad que arguye </w:t>
      </w:r>
      <w:r w:rsidRPr="00657B22">
        <w:rPr>
          <w:rFonts w:ascii="Palatino Linotype" w:eastAsia="Palatino Linotype" w:hAnsi="Palatino Linotype" w:cs="Palatino Linotype"/>
          <w:b/>
          <w:sz w:val="24"/>
          <w:szCs w:val="24"/>
          <w:highlight w:val="yellow"/>
        </w:rPr>
        <w:t xml:space="preserve">EL RECURRENTE, </w:t>
      </w:r>
      <w:r w:rsidRPr="00657B22">
        <w:rPr>
          <w:rFonts w:ascii="Palatino Linotype" w:eastAsia="Palatino Linotype" w:hAnsi="Palatino Linotype" w:cs="Palatino Linotype"/>
          <w:sz w:val="24"/>
          <w:szCs w:val="24"/>
          <w:highlight w:val="yellow"/>
        </w:rPr>
        <w:t xml:space="preserve">en términos del </w:t>
      </w:r>
      <w:r w:rsidRPr="00657B22">
        <w:rPr>
          <w:rFonts w:ascii="Palatino Linotype" w:eastAsia="Palatino Linotype" w:hAnsi="Palatino Linotype" w:cs="Palatino Linotype"/>
          <w:b/>
          <w:sz w:val="24"/>
          <w:szCs w:val="24"/>
          <w:highlight w:val="yellow"/>
        </w:rPr>
        <w:t xml:space="preserve">Considerando CUARTO </w:t>
      </w:r>
      <w:r w:rsidRPr="00657B22">
        <w:rPr>
          <w:rFonts w:ascii="Palatino Linotype" w:eastAsia="Palatino Linotype" w:hAnsi="Palatino Linotype" w:cs="Palatino Linotype"/>
          <w:sz w:val="24"/>
          <w:szCs w:val="24"/>
          <w:highlight w:val="yellow"/>
        </w:rPr>
        <w:t xml:space="preserve">de la presente resolución. </w:t>
      </w:r>
    </w:p>
    <w:p w14:paraId="3CF43171" w14:textId="77777777" w:rsidR="00657B22" w:rsidRPr="00657B22" w:rsidRDefault="00657B22" w:rsidP="00657B22">
      <w:pPr>
        <w:spacing w:after="0" w:line="360" w:lineRule="auto"/>
        <w:jc w:val="both"/>
        <w:rPr>
          <w:rFonts w:ascii="Palatino Linotype" w:eastAsia="Palatino Linotype" w:hAnsi="Palatino Linotype" w:cs="Palatino Linotype"/>
          <w:sz w:val="24"/>
          <w:szCs w:val="24"/>
          <w:highlight w:val="yellow"/>
        </w:rPr>
      </w:pPr>
    </w:p>
    <w:p w14:paraId="2F8B8BC6" w14:textId="33F34068" w:rsidR="00D100F0" w:rsidRPr="00657B22" w:rsidRDefault="00657B22" w:rsidP="00657B22">
      <w:pPr>
        <w:tabs>
          <w:tab w:val="left" w:pos="8647"/>
        </w:tabs>
        <w:spacing w:after="0" w:line="360" w:lineRule="auto"/>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b/>
          <w:sz w:val="28"/>
          <w:szCs w:val="24"/>
          <w:highlight w:val="yellow"/>
        </w:rPr>
        <w:t>SEGUNDO.</w:t>
      </w:r>
      <w:r w:rsidRPr="00657B22">
        <w:rPr>
          <w:rFonts w:ascii="Palatino Linotype" w:eastAsia="Palatino Linotype" w:hAnsi="Palatino Linotype" w:cs="Palatino Linotype"/>
          <w:sz w:val="28"/>
          <w:szCs w:val="24"/>
          <w:highlight w:val="yellow"/>
        </w:rPr>
        <w:t xml:space="preserve"> </w:t>
      </w:r>
      <w:r w:rsidRPr="00657B22">
        <w:rPr>
          <w:rFonts w:ascii="Palatino Linotype" w:eastAsia="Palatino Linotype" w:hAnsi="Palatino Linotype" w:cs="Palatino Linotype"/>
          <w:sz w:val="24"/>
          <w:szCs w:val="24"/>
          <w:highlight w:val="yellow"/>
        </w:rPr>
        <w:t xml:space="preserve">Se </w:t>
      </w:r>
      <w:r w:rsidRPr="00657B22">
        <w:rPr>
          <w:rFonts w:ascii="Palatino Linotype" w:eastAsia="Palatino Linotype" w:hAnsi="Palatino Linotype" w:cs="Palatino Linotype"/>
          <w:b/>
          <w:sz w:val="24"/>
          <w:szCs w:val="24"/>
          <w:highlight w:val="yellow"/>
        </w:rPr>
        <w:t>ORDENA</w:t>
      </w:r>
      <w:r w:rsidRPr="00657B22">
        <w:rPr>
          <w:rFonts w:ascii="Palatino Linotype" w:eastAsia="Palatino Linotype" w:hAnsi="Palatino Linotype" w:cs="Palatino Linotype"/>
          <w:sz w:val="24"/>
          <w:szCs w:val="24"/>
          <w:highlight w:val="yellow"/>
        </w:rPr>
        <w:t xml:space="preserve"> al </w:t>
      </w:r>
      <w:r w:rsidRPr="00657B22">
        <w:rPr>
          <w:rFonts w:ascii="Palatino Linotype" w:eastAsia="Palatino Linotype" w:hAnsi="Palatino Linotype" w:cs="Palatino Linotype"/>
          <w:b/>
          <w:sz w:val="24"/>
          <w:szCs w:val="24"/>
          <w:highlight w:val="yellow"/>
        </w:rPr>
        <w:t>SUJETO OBLIGADO</w:t>
      </w:r>
      <w:r w:rsidRPr="00657B22">
        <w:rPr>
          <w:rFonts w:ascii="Palatino Linotype" w:eastAsia="Palatino Linotype" w:hAnsi="Palatino Linotype" w:cs="Palatino Linotype"/>
          <w:sz w:val="24"/>
          <w:szCs w:val="24"/>
          <w:highlight w:val="yellow"/>
        </w:rPr>
        <w:t xml:space="preserve"> haga entrega al</w:t>
      </w:r>
      <w:r w:rsidRPr="00657B22">
        <w:rPr>
          <w:rFonts w:ascii="Palatino Linotype" w:eastAsia="Palatino Linotype" w:hAnsi="Palatino Linotype" w:cs="Palatino Linotype"/>
          <w:b/>
          <w:sz w:val="24"/>
          <w:szCs w:val="24"/>
          <w:highlight w:val="yellow"/>
        </w:rPr>
        <w:t xml:space="preserve"> RECURRENTE </w:t>
      </w:r>
      <w:r w:rsidRPr="00657B22">
        <w:rPr>
          <w:rFonts w:ascii="Palatino Linotype" w:eastAsia="Palatino Linotype" w:hAnsi="Palatino Linotype" w:cs="Palatino Linotype"/>
          <w:sz w:val="24"/>
          <w:szCs w:val="24"/>
          <w:highlight w:val="yellow"/>
        </w:rPr>
        <w:t xml:space="preserve">en términos del Considerando </w:t>
      </w:r>
      <w:r w:rsidRPr="00657B22">
        <w:rPr>
          <w:rFonts w:ascii="Palatino Linotype" w:eastAsia="Palatino Linotype" w:hAnsi="Palatino Linotype" w:cs="Palatino Linotype"/>
          <w:b/>
          <w:sz w:val="24"/>
          <w:szCs w:val="24"/>
          <w:highlight w:val="yellow"/>
        </w:rPr>
        <w:t xml:space="preserve">CUARTO </w:t>
      </w:r>
      <w:r w:rsidRPr="00657B22">
        <w:rPr>
          <w:rFonts w:ascii="Palatino Linotype" w:eastAsia="Palatino Linotype" w:hAnsi="Palatino Linotype" w:cs="Palatino Linotype"/>
          <w:sz w:val="24"/>
          <w:szCs w:val="24"/>
          <w:highlight w:val="yellow"/>
        </w:rPr>
        <w:t>de esta resolución</w:t>
      </w:r>
      <w:r w:rsidRPr="00657B22">
        <w:rPr>
          <w:rFonts w:ascii="Palatino Linotype" w:eastAsia="Palatino Linotype" w:hAnsi="Palatino Linotype" w:cs="Palatino Linotype"/>
          <w:b/>
          <w:sz w:val="24"/>
          <w:szCs w:val="24"/>
          <w:highlight w:val="yellow"/>
        </w:rPr>
        <w:t xml:space="preserve"> </w:t>
      </w:r>
      <w:r w:rsidRPr="00657B22">
        <w:rPr>
          <w:rFonts w:ascii="Palatino Linotype" w:eastAsia="Palatino Linotype" w:hAnsi="Palatino Linotype" w:cs="Palatino Linotype"/>
          <w:sz w:val="24"/>
          <w:szCs w:val="24"/>
          <w:highlight w:val="yellow"/>
        </w:rPr>
        <w:t xml:space="preserve">a través del Sistema de </w:t>
      </w:r>
      <w:r w:rsidRPr="00657B22">
        <w:rPr>
          <w:rFonts w:ascii="Palatino Linotype" w:eastAsia="Palatino Linotype" w:hAnsi="Palatino Linotype" w:cs="Palatino Linotype"/>
          <w:sz w:val="24"/>
          <w:szCs w:val="24"/>
          <w:highlight w:val="yellow"/>
        </w:rPr>
        <w:lastRenderedPageBreak/>
        <w:t xml:space="preserve">Acceso a la Información Mexiquense </w:t>
      </w:r>
      <w:r w:rsidRPr="00657B22">
        <w:rPr>
          <w:rFonts w:ascii="Palatino Linotype" w:eastAsia="Palatino Linotype" w:hAnsi="Palatino Linotype" w:cs="Palatino Linotype"/>
          <w:b/>
          <w:sz w:val="24"/>
          <w:szCs w:val="24"/>
          <w:highlight w:val="yellow"/>
        </w:rPr>
        <w:t xml:space="preserve">(SAIMEX) </w:t>
      </w:r>
      <w:r w:rsidRPr="00657B22">
        <w:rPr>
          <w:rFonts w:ascii="Palatino Linotype" w:eastAsia="Palatino Linotype" w:hAnsi="Palatino Linotype" w:cs="Palatino Linotype"/>
          <w:sz w:val="24"/>
          <w:szCs w:val="24"/>
          <w:highlight w:val="yellow"/>
        </w:rPr>
        <w:t>previa búsqueda exhaustiva y razonable en versión pública de ser procedente de lo siguiente:</w:t>
      </w:r>
    </w:p>
    <w:p w14:paraId="095A818F" w14:textId="77777777" w:rsidR="00657B22" w:rsidRPr="00657B22" w:rsidRDefault="00657B22" w:rsidP="00657B22">
      <w:pPr>
        <w:tabs>
          <w:tab w:val="left" w:pos="8647"/>
        </w:tabs>
        <w:spacing w:after="0" w:line="360" w:lineRule="auto"/>
        <w:jc w:val="both"/>
        <w:rPr>
          <w:rFonts w:ascii="Palatino Linotype" w:eastAsia="Palatino Linotype" w:hAnsi="Palatino Linotype" w:cs="Palatino Linotype"/>
          <w:sz w:val="24"/>
          <w:szCs w:val="24"/>
          <w:highlight w:val="yellow"/>
        </w:rPr>
      </w:pPr>
    </w:p>
    <w:p w14:paraId="4E333176" w14:textId="696CCBEA" w:rsidR="00657B22" w:rsidRPr="00657B22" w:rsidRDefault="00657B22" w:rsidP="00657B22">
      <w:pPr>
        <w:pStyle w:val="Prrafodelista"/>
        <w:numPr>
          <w:ilvl w:val="3"/>
          <w:numId w:val="11"/>
        </w:numPr>
        <w:spacing w:line="360" w:lineRule="auto"/>
        <w:ind w:left="1418" w:hanging="992"/>
        <w:contextualSpacing/>
        <w:jc w:val="both"/>
        <w:rPr>
          <w:rFonts w:ascii="Palatino Linotype" w:hAnsi="Palatino Linotype"/>
          <w:color w:val="000000"/>
          <w:highlight w:val="yellow"/>
        </w:rPr>
      </w:pPr>
      <w:r w:rsidRPr="00657B22">
        <w:rPr>
          <w:rFonts w:ascii="Palatino Linotype" w:eastAsia="Palatino Linotype" w:hAnsi="Palatino Linotype" w:cs="Palatino Linotype"/>
          <w:highlight w:val="yellow"/>
        </w:rPr>
        <w:t xml:space="preserve">Soporte documental que dé cuenta de los cursos en materia de erradicación de violencia de género realizados por los directivos del deporte adscritos a la Dirección General de Cultura Física y Deporte al diecisiete de febrero de dos mil veinticinco. </w:t>
      </w:r>
    </w:p>
    <w:p w14:paraId="15FA995F" w14:textId="77777777" w:rsidR="00657B22" w:rsidRPr="00657B22" w:rsidRDefault="00657B22" w:rsidP="00657B22">
      <w:pPr>
        <w:pStyle w:val="Prrafodelista"/>
        <w:spacing w:line="360" w:lineRule="auto"/>
        <w:ind w:left="1418"/>
        <w:contextualSpacing/>
        <w:jc w:val="both"/>
        <w:rPr>
          <w:rFonts w:ascii="Palatino Linotype" w:hAnsi="Palatino Linotype"/>
          <w:color w:val="000000"/>
          <w:highlight w:val="yellow"/>
        </w:rPr>
      </w:pPr>
    </w:p>
    <w:p w14:paraId="11C7D6AB" w14:textId="77777777" w:rsidR="006D39C3" w:rsidRDefault="00657B22" w:rsidP="006D39C3">
      <w:pPr>
        <w:pStyle w:val="INFOEM0"/>
        <w:spacing w:before="0" w:after="0"/>
        <w:ind w:left="708"/>
        <w:rPr>
          <w:sz w:val="24"/>
          <w:szCs w:val="24"/>
        </w:rPr>
      </w:pPr>
      <w:r w:rsidRPr="00657B22">
        <w:rPr>
          <w:szCs w:val="22"/>
          <w:highlight w:val="yellow"/>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57B22">
        <w:rPr>
          <w:b/>
          <w:szCs w:val="22"/>
          <w:highlight w:val="yellow"/>
        </w:rPr>
        <w:t>Recurrente</w:t>
      </w:r>
      <w:r w:rsidRPr="00657B22">
        <w:rPr>
          <w:sz w:val="24"/>
          <w:szCs w:val="24"/>
          <w:highlight w:val="yellow"/>
        </w:rPr>
        <w:t>.</w:t>
      </w:r>
    </w:p>
    <w:p w14:paraId="548B669E" w14:textId="77777777" w:rsidR="006D39C3" w:rsidRDefault="006D39C3" w:rsidP="006D39C3">
      <w:pPr>
        <w:pStyle w:val="INFOEM0"/>
        <w:spacing w:before="0" w:after="0"/>
        <w:ind w:left="708"/>
        <w:rPr>
          <w:rFonts w:eastAsia="Palatino Linotype" w:cs="Palatino Linotype"/>
          <w:sz w:val="24"/>
          <w:szCs w:val="24"/>
        </w:rPr>
      </w:pPr>
    </w:p>
    <w:p w14:paraId="58AAA670" w14:textId="3A832767" w:rsidR="007E6E52" w:rsidRPr="006D39C3" w:rsidRDefault="006D39C3" w:rsidP="006D39C3">
      <w:pPr>
        <w:pStyle w:val="INFOEM0"/>
        <w:spacing w:before="0" w:after="0"/>
        <w:ind w:left="708"/>
        <w:rPr>
          <w:sz w:val="24"/>
          <w:szCs w:val="24"/>
          <w:highlight w:val="yellow"/>
        </w:rPr>
      </w:pPr>
      <w:r w:rsidRPr="006D39C3">
        <w:rPr>
          <w:rFonts w:eastAsia="Palatino Linotype" w:cs="Palatino Linotype"/>
          <w:sz w:val="24"/>
          <w:szCs w:val="24"/>
          <w:highlight w:val="yellow"/>
        </w:rPr>
        <w:t>Para el caso de que El Sujeto Obligado no haya generado la información que se ordena en el punto 1 del presente Resolutivo, bastará con que lo haga del conocimiento de la Recurrente al momento de dar cumplimiento a la presente resolución.</w:t>
      </w:r>
    </w:p>
    <w:p w14:paraId="02ECB131" w14:textId="77777777" w:rsidR="006D39C3" w:rsidRDefault="006D39C3" w:rsidP="00657B22">
      <w:pPr>
        <w:spacing w:after="0" w:line="360" w:lineRule="auto"/>
        <w:jc w:val="both"/>
        <w:rPr>
          <w:rFonts w:ascii="Palatino Linotype" w:eastAsia="Palatino Linotype" w:hAnsi="Palatino Linotype" w:cs="Palatino Linotype"/>
          <w:b/>
          <w:sz w:val="28"/>
          <w:szCs w:val="28"/>
          <w:highlight w:val="yellow"/>
        </w:rPr>
      </w:pPr>
    </w:p>
    <w:p w14:paraId="09F94195" w14:textId="77777777" w:rsidR="00657B22" w:rsidRPr="00657B22" w:rsidRDefault="00657B22" w:rsidP="00657B22">
      <w:pPr>
        <w:spacing w:after="0" w:line="360" w:lineRule="auto"/>
        <w:jc w:val="both"/>
        <w:rPr>
          <w:rFonts w:ascii="Palatino Linotype" w:eastAsia="Palatino Linotype" w:hAnsi="Palatino Linotype" w:cs="Palatino Linotype"/>
          <w:sz w:val="24"/>
          <w:szCs w:val="24"/>
          <w:highlight w:val="yellow"/>
        </w:rPr>
      </w:pPr>
      <w:r w:rsidRPr="00657B22">
        <w:rPr>
          <w:rFonts w:ascii="Palatino Linotype" w:eastAsia="Palatino Linotype" w:hAnsi="Palatino Linotype" w:cs="Palatino Linotype"/>
          <w:b/>
          <w:sz w:val="28"/>
          <w:szCs w:val="28"/>
          <w:highlight w:val="yellow"/>
        </w:rPr>
        <w:t>TERCERO</w:t>
      </w:r>
      <w:r w:rsidRPr="00657B22">
        <w:rPr>
          <w:rFonts w:ascii="Palatino Linotype" w:eastAsia="Palatino Linotype" w:hAnsi="Palatino Linotype" w:cs="Palatino Linotype"/>
          <w:b/>
          <w:highlight w:val="yellow"/>
        </w:rPr>
        <w:t>.</w:t>
      </w:r>
      <w:r w:rsidRPr="00657B22">
        <w:rPr>
          <w:rFonts w:ascii="Palatino Linotype" w:eastAsia="Palatino Linotype" w:hAnsi="Palatino Linotype" w:cs="Palatino Linotype"/>
          <w:highlight w:val="yellow"/>
        </w:rPr>
        <w:t xml:space="preserve"> </w:t>
      </w:r>
      <w:r w:rsidRPr="00657B22">
        <w:rPr>
          <w:rFonts w:ascii="Palatino Linotype" w:eastAsia="Palatino Linotype" w:hAnsi="Palatino Linotype" w:cs="Palatino Linotype"/>
          <w:b/>
          <w:sz w:val="24"/>
          <w:szCs w:val="24"/>
          <w:highlight w:val="yellow"/>
        </w:rPr>
        <w:t>NOTIFÍQUESE</w:t>
      </w:r>
      <w:r w:rsidRPr="00657B22">
        <w:rPr>
          <w:rFonts w:ascii="Palatino Linotype" w:eastAsia="Palatino Linotype" w:hAnsi="Palatino Linotype" w:cs="Palatino Linotype"/>
          <w:i/>
          <w:sz w:val="24"/>
          <w:szCs w:val="24"/>
          <w:highlight w:val="yellow"/>
        </w:rPr>
        <w:t xml:space="preserve"> </w:t>
      </w:r>
      <w:r w:rsidRPr="00657B22">
        <w:rPr>
          <w:rFonts w:ascii="Palatino Linotype" w:eastAsia="Palatino Linotype" w:hAnsi="Palatino Linotype" w:cs="Palatino Linotype"/>
          <w:sz w:val="24"/>
          <w:szCs w:val="24"/>
          <w:highlight w:val="yellow"/>
        </w:rPr>
        <w:t xml:space="preserve">la presente resolución al Titular de la Unidad de Transparencia del Sujeto Obligado, </w:t>
      </w:r>
      <w:r w:rsidRPr="00657B22">
        <w:rPr>
          <w:rFonts w:ascii="Palatino Linotype" w:eastAsia="Palatino Linotype" w:hAnsi="Palatino Linotype" w:cs="Palatino Linotype"/>
          <w:b/>
          <w:sz w:val="24"/>
          <w:szCs w:val="24"/>
          <w:highlight w:val="yellow"/>
        </w:rPr>
        <w:t xml:space="preserve">vía </w:t>
      </w:r>
      <w:r w:rsidRPr="00657B22">
        <w:rPr>
          <w:rFonts w:ascii="Palatino Linotype" w:eastAsia="Palatino Linotype" w:hAnsi="Palatino Linotype" w:cs="Palatino Linotype"/>
          <w:sz w:val="24"/>
          <w:szCs w:val="24"/>
          <w:highlight w:val="yellow"/>
        </w:rPr>
        <w:t xml:space="preserve">Sistema de Acceso a la Información Mexiquense </w:t>
      </w:r>
      <w:r w:rsidRPr="00657B22">
        <w:rPr>
          <w:rFonts w:ascii="Palatino Linotype" w:eastAsia="Palatino Linotype" w:hAnsi="Palatino Linotype" w:cs="Palatino Linotype"/>
          <w:b/>
          <w:sz w:val="24"/>
          <w:szCs w:val="24"/>
          <w:highlight w:val="yellow"/>
        </w:rPr>
        <w:t>SAIMEX</w:t>
      </w:r>
      <w:r w:rsidRPr="00657B22">
        <w:rPr>
          <w:rFonts w:ascii="Palatino Linotype" w:eastAsia="Palatino Linotype" w:hAnsi="Palatino Linotype" w:cs="Palatino Linotype"/>
          <w:sz w:val="24"/>
          <w:szCs w:val="24"/>
          <w:highlight w:val="yellow"/>
        </w:rPr>
        <w:t xml:space="preserve"> para que conforme al artículo 186 último párrafo, 189 segundo párrafo y 194 de la Ley de Transparencia y Acceso a la Información Pública del Estado </w:t>
      </w:r>
      <w:r w:rsidRPr="00657B22">
        <w:rPr>
          <w:rFonts w:ascii="Palatino Linotype" w:eastAsia="Palatino Linotype" w:hAnsi="Palatino Linotype" w:cs="Palatino Linotype"/>
          <w:sz w:val="24"/>
          <w:szCs w:val="24"/>
          <w:highlight w:val="yellow"/>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55B949" w14:textId="77777777" w:rsidR="00657B22" w:rsidRPr="00657B22" w:rsidRDefault="00657B22" w:rsidP="00657B22">
      <w:pPr>
        <w:spacing w:after="0" w:line="360" w:lineRule="auto"/>
        <w:jc w:val="both"/>
        <w:rPr>
          <w:rFonts w:ascii="Palatino Linotype" w:eastAsia="Palatino Linotype" w:hAnsi="Palatino Linotype" w:cs="Palatino Linotype"/>
          <w:sz w:val="24"/>
          <w:szCs w:val="24"/>
          <w:highlight w:val="yellow"/>
        </w:rPr>
      </w:pPr>
    </w:p>
    <w:p w14:paraId="05B1FC4A" w14:textId="77777777" w:rsidR="00657B22" w:rsidRPr="00657B22" w:rsidRDefault="00657B22" w:rsidP="00657B22">
      <w:pPr>
        <w:spacing w:after="0" w:line="360" w:lineRule="auto"/>
        <w:jc w:val="both"/>
        <w:rPr>
          <w:rFonts w:ascii="Palatino Linotype" w:eastAsia="Palatino Linotype" w:hAnsi="Palatino Linotype" w:cs="Palatino Linotype"/>
          <w:highlight w:val="yellow"/>
        </w:rPr>
      </w:pPr>
      <w:r w:rsidRPr="00657B22">
        <w:rPr>
          <w:rFonts w:ascii="Palatino Linotype" w:eastAsia="Palatino Linotype" w:hAnsi="Palatino Linotype" w:cs="Palatino Linotype"/>
          <w:b/>
          <w:sz w:val="26"/>
          <w:szCs w:val="26"/>
          <w:highlight w:val="yellow"/>
        </w:rPr>
        <w:t>CUARTO.</w:t>
      </w:r>
      <w:r w:rsidRPr="00657B22">
        <w:rPr>
          <w:rFonts w:ascii="Palatino Linotype" w:eastAsia="Palatino Linotype" w:hAnsi="Palatino Linotype" w:cs="Palatino Linotype"/>
          <w:b/>
          <w:highlight w:val="yellow"/>
        </w:rPr>
        <w:t xml:space="preserve"> </w:t>
      </w:r>
      <w:r w:rsidRPr="00657B22">
        <w:rPr>
          <w:rFonts w:ascii="Palatino Linotype" w:eastAsia="Palatino Linotype" w:hAnsi="Palatino Linotype" w:cs="Palatino Linotype"/>
          <w:sz w:val="24"/>
          <w:szCs w:val="24"/>
          <w:highlight w:val="yellow"/>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286366" w14:textId="77777777" w:rsidR="00657B22" w:rsidRPr="00657B22" w:rsidRDefault="00657B22" w:rsidP="00657B22">
      <w:pPr>
        <w:spacing w:after="0" w:line="360" w:lineRule="auto"/>
        <w:jc w:val="both"/>
        <w:rPr>
          <w:rFonts w:ascii="Palatino Linotype" w:eastAsia="Palatino Linotype" w:hAnsi="Palatino Linotype" w:cs="Palatino Linotype"/>
          <w:highlight w:val="yellow"/>
        </w:rPr>
      </w:pPr>
      <w:bookmarkStart w:id="1" w:name="_gjdgxs" w:colFirst="0" w:colLast="0"/>
      <w:bookmarkEnd w:id="1"/>
    </w:p>
    <w:p w14:paraId="6F2E2D84" w14:textId="69F70B6A" w:rsidR="00D100F0" w:rsidRDefault="00657B22" w:rsidP="00657B2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57B22">
        <w:rPr>
          <w:rFonts w:ascii="Palatino Linotype" w:eastAsia="Palatino Linotype" w:hAnsi="Palatino Linotype" w:cs="Palatino Linotype"/>
          <w:b/>
          <w:noProof/>
          <w:sz w:val="28"/>
          <w:szCs w:val="28"/>
          <w:highlight w:val="yellow"/>
          <w:lang w:eastAsia="es-MX"/>
        </w:rPr>
        <mc:AlternateContent>
          <mc:Choice Requires="wps">
            <w:drawing>
              <wp:anchor distT="0" distB="0" distL="114300" distR="114300" simplePos="0" relativeHeight="251659264" behindDoc="0" locked="0" layoutInCell="1" allowOverlap="1" wp14:anchorId="457DDDAA" wp14:editId="3DBC605C">
                <wp:simplePos x="0" y="0"/>
                <wp:positionH relativeFrom="column">
                  <wp:posOffset>28818</wp:posOffset>
                </wp:positionH>
                <wp:positionV relativeFrom="paragraph">
                  <wp:posOffset>1235898</wp:posOffset>
                </wp:positionV>
                <wp:extent cx="5671226" cy="3132307"/>
                <wp:effectExtent l="0" t="0" r="24765" b="30480"/>
                <wp:wrapNone/>
                <wp:docPr id="1" name="Conector recto 1"/>
                <wp:cNvGraphicFramePr/>
                <a:graphic xmlns:a="http://schemas.openxmlformats.org/drawingml/2006/main">
                  <a:graphicData uri="http://schemas.microsoft.com/office/word/2010/wordprocessingShape">
                    <wps:wsp>
                      <wps:cNvCnPr/>
                      <wps:spPr>
                        <a:xfrm>
                          <a:off x="0" y="0"/>
                          <a:ext cx="5671226" cy="31323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8634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97.3pt" to="448.8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" strokecolor="#5b9bd5 [3204]" strokeweight=".5pt">
                <v:stroke joinstyle="miter"/>
              </v:line>
            </w:pict>
          </mc:Fallback>
        </mc:AlternateContent>
      </w:r>
      <w:r w:rsidRPr="00657B22">
        <w:rPr>
          <w:rFonts w:ascii="Palatino Linotype" w:eastAsia="Palatino Linotype" w:hAnsi="Palatino Linotype" w:cs="Palatino Linotype"/>
          <w:b/>
          <w:sz w:val="28"/>
          <w:szCs w:val="28"/>
          <w:highlight w:val="yellow"/>
        </w:rPr>
        <w:t xml:space="preserve">QUINTO. </w:t>
      </w:r>
      <w:r w:rsidRPr="00657B22">
        <w:rPr>
          <w:rFonts w:ascii="Palatino Linotype" w:eastAsia="Palatino Linotype" w:hAnsi="Palatino Linotype" w:cs="Palatino Linotype"/>
          <w:b/>
          <w:sz w:val="24"/>
          <w:szCs w:val="24"/>
          <w:highlight w:val="yellow"/>
        </w:rPr>
        <w:t xml:space="preserve">NOTIFÍQUESE </w:t>
      </w:r>
      <w:r w:rsidRPr="00657B22">
        <w:rPr>
          <w:rFonts w:ascii="Palatino Linotype" w:eastAsia="Palatino Linotype" w:hAnsi="Palatino Linotype" w:cs="Palatino Linotype"/>
          <w:sz w:val="24"/>
          <w:szCs w:val="24"/>
          <w:highlight w:val="yellow"/>
        </w:rPr>
        <w:t xml:space="preserve">la presente resolución al </w:t>
      </w:r>
      <w:r w:rsidRPr="00657B22">
        <w:rPr>
          <w:rFonts w:ascii="Palatino Linotype" w:eastAsia="Palatino Linotype" w:hAnsi="Palatino Linotype" w:cs="Palatino Linotype"/>
          <w:b/>
          <w:sz w:val="24"/>
          <w:szCs w:val="24"/>
          <w:highlight w:val="yellow"/>
        </w:rPr>
        <w:t xml:space="preserve">RECURRENTE vía </w:t>
      </w:r>
      <w:r w:rsidRPr="00657B22">
        <w:rPr>
          <w:rFonts w:ascii="Palatino Linotype" w:eastAsia="Palatino Linotype" w:hAnsi="Palatino Linotype" w:cs="Palatino Linotype"/>
          <w:sz w:val="24"/>
          <w:szCs w:val="24"/>
          <w:highlight w:val="yellow"/>
        </w:rPr>
        <w:t xml:space="preserve">Sistema de Acceso a la Información Mexiquense </w:t>
      </w:r>
      <w:r w:rsidRPr="00657B22">
        <w:rPr>
          <w:rFonts w:ascii="Palatino Linotype" w:eastAsia="Palatino Linotype" w:hAnsi="Palatino Linotype" w:cs="Palatino Linotype"/>
          <w:b/>
          <w:sz w:val="24"/>
          <w:szCs w:val="24"/>
          <w:highlight w:val="yellow"/>
        </w:rPr>
        <w:t xml:space="preserve">(SAIMEX) </w:t>
      </w:r>
      <w:r w:rsidRPr="00657B22">
        <w:rPr>
          <w:rFonts w:ascii="Palatino Linotype" w:eastAsia="Palatino Linotype" w:hAnsi="Palatino Linotype" w:cs="Palatino Linotype"/>
          <w:sz w:val="24"/>
          <w:szCs w:val="24"/>
          <w:highlight w:val="yellow"/>
        </w:rPr>
        <w:t xml:space="preserve">y hágase de su conocimiento que, </w:t>
      </w:r>
      <w:r w:rsidRPr="00657B22">
        <w:rPr>
          <w:rFonts w:ascii="Palatino Linotype" w:eastAsia="Palatino Linotype" w:hAnsi="Palatino Linotype" w:cs="Palatino Linotype"/>
          <w:color w:val="222222"/>
          <w:sz w:val="24"/>
          <w:szCs w:val="24"/>
          <w:highlight w:val="yellow"/>
        </w:rPr>
        <w:t>de conformidad con lo establecido en el artículo 196, de la Ley de Transparencia y Acceso a la Información Pública del Estado de México y Municipios.</w:t>
      </w:r>
    </w:p>
    <w:p w14:paraId="59951BC2" w14:textId="77777777" w:rsidR="00D100F0" w:rsidRDefault="00D100F0"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F4A3E65" w14:textId="77777777" w:rsidR="00657B22" w:rsidRDefault="00657B22"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487D82" w14:textId="77777777" w:rsidR="00657B22" w:rsidRDefault="00657B22"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03D5BE" w14:textId="77777777" w:rsidR="00657B22" w:rsidRDefault="00657B22"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2BBAFC" w14:textId="77777777" w:rsidR="00657B22" w:rsidRDefault="00657B22"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B10AAC" w14:textId="77777777" w:rsidR="00657B22" w:rsidRDefault="00657B22" w:rsidP="000E47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56D697" w14:textId="7CF33FFA" w:rsidR="00D100F0" w:rsidRPr="005A7C7A" w:rsidRDefault="00D100F0" w:rsidP="000E4788">
      <w:pPr>
        <w:pStyle w:val="Prrafodelista"/>
        <w:autoSpaceDE w:val="0"/>
        <w:autoSpaceDN w:val="0"/>
        <w:adjustRightInd w:val="0"/>
        <w:spacing w:line="360" w:lineRule="auto"/>
        <w:ind w:left="0"/>
        <w:jc w:val="both"/>
        <w:rPr>
          <w:rFonts w:ascii="Palatino Linotype" w:hAnsi="Palatino Linotype" w:cs="Arial"/>
        </w:rPr>
      </w:pPr>
      <w:r w:rsidRPr="005A7C7A">
        <w:rPr>
          <w:rFonts w:ascii="Palatino Linotype" w:hAnsi="Palatino Linotype" w:cs="Arial"/>
        </w:rPr>
        <w:lastRenderedPageBreak/>
        <w:t xml:space="preserve">ASÍ LO </w:t>
      </w:r>
      <w:r w:rsidR="00954328" w:rsidRPr="005A7C7A">
        <w:rPr>
          <w:rFonts w:ascii="Palatino Linotype" w:hAnsi="Palatino Linotype" w:cs="Arial"/>
        </w:rPr>
        <w:t>ACORDÓ, POR UNANIMIDAD DE VOTOS, EL PLENO DEL</w:t>
      </w:r>
      <w:r w:rsidR="00954328" w:rsidRPr="005A7C7A">
        <w:rPr>
          <w:rFonts w:ascii="Palatino Linotype" w:eastAsia="Arial Unicode MS" w:hAnsi="Palatino Linotype" w:cs="Arial"/>
        </w:rPr>
        <w:t xml:space="preserve"> INSTITUTO DE TRANSPARENCIA, ACCESO A LA INFORMACIÓN PÚBLICA Y PROTECCIÓN DE DATOS PERSONALES DEL ESTADO DE MÉXICO Y MUNICIPIOS</w:t>
      </w:r>
      <w:r w:rsidR="00954328" w:rsidRPr="005A7C7A">
        <w:rPr>
          <w:rFonts w:ascii="Palatino Linotype" w:hAnsi="Palatino Linotype" w:cs="Arial"/>
        </w:rPr>
        <w:t>, CONFORMADO POR LOS COMISIONADOS JOSÉ MARTÍNEZ VILCHIS, MARÍA DEL ROSARIO MEJÍA AYALA, SHARON CRISTINA MORALES MARTÍNEZ</w:t>
      </w:r>
      <w:r w:rsidR="00954328">
        <w:rPr>
          <w:rFonts w:ascii="Palatino Linotype" w:hAnsi="Palatino Linotype" w:cs="Arial"/>
        </w:rPr>
        <w:t xml:space="preserve">, </w:t>
      </w:r>
      <w:r w:rsidR="00954328" w:rsidRPr="005A7C7A">
        <w:rPr>
          <w:rFonts w:ascii="Palatino Linotype" w:hAnsi="Palatino Linotype" w:cs="Arial"/>
        </w:rPr>
        <w:t>LUIS GUSTAVO PARRA NORIEGA Y GUADALUPE RAMÍREZ PEÑA</w:t>
      </w:r>
      <w:r w:rsidR="008A6FE3">
        <w:rPr>
          <w:rFonts w:ascii="Palatino Linotype" w:hAnsi="Palatino Linotype" w:cs="Arial"/>
        </w:rPr>
        <w:t xml:space="preserve"> (AUSENCIA JUSTIFICADA)</w:t>
      </w:r>
      <w:r w:rsidR="00954328">
        <w:rPr>
          <w:rFonts w:ascii="Palatino Linotype" w:hAnsi="Palatino Linotype" w:cs="Arial"/>
        </w:rPr>
        <w:t xml:space="preserve">; </w:t>
      </w:r>
      <w:r w:rsidR="00954328" w:rsidRPr="005A7C7A">
        <w:rPr>
          <w:rFonts w:ascii="Palatino Linotype" w:hAnsi="Palatino Linotype" w:cs="Arial"/>
        </w:rPr>
        <w:t xml:space="preserve">EN LA </w:t>
      </w:r>
      <w:r w:rsidR="00954328">
        <w:rPr>
          <w:rFonts w:ascii="Palatino Linotype" w:hAnsi="Palatino Linotype" w:cs="Arial"/>
        </w:rPr>
        <w:t xml:space="preserve">VIGÉSIMA </w:t>
      </w:r>
      <w:r w:rsidR="008A6FE3">
        <w:rPr>
          <w:rFonts w:ascii="Palatino Linotype" w:hAnsi="Palatino Linotype" w:cs="Arial"/>
        </w:rPr>
        <w:t xml:space="preserve">CUARTA </w:t>
      </w:r>
      <w:r w:rsidR="00954328">
        <w:rPr>
          <w:rFonts w:ascii="Palatino Linotype" w:hAnsi="Palatino Linotype" w:cs="Arial"/>
        </w:rPr>
        <w:t xml:space="preserve">SESIÓN ORDINARIA, CELEBRADA EL </w:t>
      </w:r>
      <w:r w:rsidR="008A6FE3">
        <w:rPr>
          <w:rFonts w:ascii="Palatino Linotype" w:hAnsi="Palatino Linotype" w:cs="Arial"/>
        </w:rPr>
        <w:t>DOS DE JULIO</w:t>
      </w:r>
      <w:r w:rsidR="00954328">
        <w:rPr>
          <w:rFonts w:ascii="Palatino Linotype" w:hAnsi="Palatino Linotype" w:cs="Arial"/>
        </w:rPr>
        <w:t xml:space="preserve"> DE DOS MIL VEINTICINCO, </w:t>
      </w:r>
      <w:r w:rsidR="00954328" w:rsidRPr="005A7C7A">
        <w:rPr>
          <w:rFonts w:ascii="Palatino Linotype" w:hAnsi="Palatino Linotype" w:cs="Arial"/>
        </w:rPr>
        <w:t xml:space="preserve">ANTE EL SECRETARIO TÉCNICO DEL PLENO, ALEXIS TAPIA RAMÍREZ. </w:t>
      </w:r>
    </w:p>
    <w:p w14:paraId="46733506" w14:textId="28CC29B0" w:rsidR="00D100F0" w:rsidRDefault="008A6FE3" w:rsidP="000E4788">
      <w:pPr>
        <w:spacing w:after="0" w:line="360" w:lineRule="auto"/>
        <w:jc w:val="both"/>
        <w:rPr>
          <w:rFonts w:ascii="Palatino Linotype" w:hAnsi="Palatino Linotype"/>
          <w:bCs/>
          <w:sz w:val="24"/>
          <w:szCs w:val="24"/>
        </w:rPr>
      </w:pPr>
      <w:r>
        <w:rPr>
          <w:rFonts w:ascii="Palatino Linotype" w:hAnsi="Palatino Linotype"/>
          <w:bCs/>
          <w:noProof/>
          <w:sz w:val="18"/>
          <w:szCs w:val="18"/>
          <w:lang w:eastAsia="es-MX"/>
        </w:rPr>
        <mc:AlternateContent>
          <mc:Choice Requires="wps">
            <w:drawing>
              <wp:anchor distT="0" distB="0" distL="114300" distR="114300" simplePos="0" relativeHeight="251660288" behindDoc="0" locked="0" layoutInCell="1" allowOverlap="1" wp14:anchorId="3B68121D" wp14:editId="0427CA9F">
                <wp:simplePos x="0" y="0"/>
                <wp:positionH relativeFrom="column">
                  <wp:posOffset>-6247</wp:posOffset>
                </wp:positionH>
                <wp:positionV relativeFrom="paragraph">
                  <wp:posOffset>143274</wp:posOffset>
                </wp:positionV>
                <wp:extent cx="5635256" cy="4497572"/>
                <wp:effectExtent l="0" t="0" r="22860" b="36830"/>
                <wp:wrapNone/>
                <wp:docPr id="667421948" name="Conector recto 2"/>
                <wp:cNvGraphicFramePr/>
                <a:graphic xmlns:a="http://schemas.openxmlformats.org/drawingml/2006/main">
                  <a:graphicData uri="http://schemas.microsoft.com/office/word/2010/wordprocessingShape">
                    <wps:wsp>
                      <wps:cNvCnPr/>
                      <wps:spPr>
                        <a:xfrm>
                          <a:off x="0" y="0"/>
                          <a:ext cx="5635256" cy="4497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C8E5A"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1.3pt" to="443.2pt,3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" strokecolor="#5b9bd5 [3204]" strokeweight=".5pt">
                <v:stroke joinstyle="miter"/>
              </v:line>
            </w:pict>
          </mc:Fallback>
        </mc:AlternateContent>
      </w:r>
      <w:r w:rsidR="00960947">
        <w:rPr>
          <w:rFonts w:ascii="Palatino Linotype" w:hAnsi="Palatino Linotype"/>
          <w:bCs/>
          <w:sz w:val="18"/>
          <w:szCs w:val="18"/>
        </w:rPr>
        <w:t>CCR/</w:t>
      </w:r>
    </w:p>
    <w:p w14:paraId="2950B110" w14:textId="7DE37B19" w:rsidR="00D100F0" w:rsidRDefault="00D100F0" w:rsidP="000E4788">
      <w:pPr>
        <w:pStyle w:val="Prrafodelista"/>
        <w:tabs>
          <w:tab w:val="left" w:pos="1800"/>
        </w:tabs>
        <w:autoSpaceDE w:val="0"/>
        <w:autoSpaceDN w:val="0"/>
        <w:adjustRightInd w:val="0"/>
        <w:spacing w:line="360" w:lineRule="auto"/>
        <w:ind w:left="0"/>
        <w:jc w:val="both"/>
        <w:rPr>
          <w:rFonts w:ascii="Palatino Linotype" w:hAnsi="Palatino Linotype"/>
          <w:bCs/>
        </w:rPr>
      </w:pPr>
    </w:p>
    <w:p w14:paraId="5B1D3517" w14:textId="77777777" w:rsidR="003019EA" w:rsidRDefault="003019EA"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A8A8E3F" w14:textId="77777777" w:rsidR="003019EA" w:rsidRDefault="003019EA" w:rsidP="000E4788">
      <w:pPr>
        <w:pStyle w:val="Prrafodelista"/>
        <w:autoSpaceDE w:val="0"/>
        <w:autoSpaceDN w:val="0"/>
        <w:adjustRightInd w:val="0"/>
        <w:spacing w:line="360" w:lineRule="auto"/>
        <w:ind w:left="0"/>
        <w:jc w:val="both"/>
        <w:rPr>
          <w:rFonts w:ascii="Palatino Linotype" w:hAnsi="Palatino Linotype"/>
          <w:bCs/>
          <w:sz w:val="18"/>
          <w:szCs w:val="18"/>
        </w:rPr>
      </w:pPr>
    </w:p>
    <w:p w14:paraId="2D233A30" w14:textId="3B7C0FB7"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2173B5E0" w14:textId="6F151668"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1709914A" w14:textId="651780F3"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1BAC58A" w14:textId="0539221E"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7BDE8A59" w14:textId="236E740A"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F667946" w14:textId="794763DE"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42CF3C00" w14:textId="233DABAF"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FF030B1" w14:textId="0C88C128"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7566E09D" w14:textId="06C3D303"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2182C3D4" w14:textId="309F5629"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6BB93AEF" w14:textId="3C16CD13"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1C61B42" w14:textId="38108626"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6CF72B1B" w14:textId="613D99B3"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133E61A4" w14:textId="5B347C7C"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077478F" w14:textId="77777777" w:rsidR="00960947" w:rsidRDefault="00960947"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B010DB2" w14:textId="77777777" w:rsidR="00960947" w:rsidRDefault="00960947" w:rsidP="000E4788">
      <w:pPr>
        <w:pStyle w:val="Prrafodelista"/>
        <w:autoSpaceDE w:val="0"/>
        <w:autoSpaceDN w:val="0"/>
        <w:adjustRightInd w:val="0"/>
        <w:spacing w:line="360" w:lineRule="auto"/>
        <w:ind w:left="0"/>
        <w:jc w:val="both"/>
        <w:rPr>
          <w:rFonts w:ascii="Palatino Linotype" w:hAnsi="Palatino Linotype"/>
          <w:bCs/>
          <w:sz w:val="18"/>
          <w:szCs w:val="18"/>
        </w:rPr>
      </w:pPr>
    </w:p>
    <w:p w14:paraId="427729D9" w14:textId="77777777" w:rsidR="00960947" w:rsidRDefault="00960947"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7988BD3" w14:textId="1F00037F" w:rsidR="001A7216" w:rsidRDefault="001A7216"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DD7B025"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268D30A4"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118FDC12"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6FA65DF"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F22F2DA"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ACB830A"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4C6EFB69"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58AFD0BF"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6BE814EA"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41773391"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15022482"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p w14:paraId="0E3F591C" w14:textId="77777777" w:rsidR="00657B22" w:rsidRDefault="00657B22" w:rsidP="000E4788">
      <w:pPr>
        <w:pStyle w:val="Prrafodelista"/>
        <w:autoSpaceDE w:val="0"/>
        <w:autoSpaceDN w:val="0"/>
        <w:adjustRightInd w:val="0"/>
        <w:spacing w:line="360" w:lineRule="auto"/>
        <w:ind w:left="0"/>
        <w:jc w:val="both"/>
        <w:rPr>
          <w:rFonts w:ascii="Palatino Linotype" w:hAnsi="Palatino Linotype"/>
          <w:bCs/>
          <w:sz w:val="18"/>
          <w:szCs w:val="18"/>
        </w:rPr>
      </w:pPr>
    </w:p>
    <w:sectPr w:rsidR="00657B22"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C32C" w14:textId="77777777" w:rsidR="00714992" w:rsidRDefault="00714992" w:rsidP="006168E4">
      <w:pPr>
        <w:spacing w:after="0" w:line="240" w:lineRule="auto"/>
      </w:pPr>
      <w:r>
        <w:separator/>
      </w:r>
    </w:p>
  </w:endnote>
  <w:endnote w:type="continuationSeparator" w:id="0">
    <w:p w14:paraId="7E144FC9" w14:textId="77777777" w:rsidR="00714992" w:rsidRDefault="0071499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714992" w:rsidRPr="000B69FA" w:rsidRDefault="0071499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7DC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7DC7">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714992" w:rsidRPr="000B69FA" w:rsidRDefault="0071499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7D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7DC7">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2701" w14:textId="77777777" w:rsidR="00714992" w:rsidRDefault="00714992" w:rsidP="006168E4">
      <w:pPr>
        <w:spacing w:after="0" w:line="240" w:lineRule="auto"/>
      </w:pPr>
      <w:r>
        <w:separator/>
      </w:r>
    </w:p>
  </w:footnote>
  <w:footnote w:type="continuationSeparator" w:id="0">
    <w:p w14:paraId="2B20D8FE" w14:textId="77777777" w:rsidR="00714992" w:rsidRDefault="00714992" w:rsidP="006168E4">
      <w:pPr>
        <w:spacing w:after="0" w:line="240" w:lineRule="auto"/>
      </w:pPr>
      <w:r>
        <w:continuationSeparator/>
      </w:r>
    </w:p>
  </w:footnote>
  <w:footnote w:id="1">
    <w:p w14:paraId="2EA9D5F8" w14:textId="77777777" w:rsidR="00714992" w:rsidRPr="005552A8" w:rsidRDefault="00714992" w:rsidP="00883D1F">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4825B91" w14:textId="77777777" w:rsidR="00714992" w:rsidRPr="005552A8" w:rsidRDefault="00714992" w:rsidP="00883D1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714992" w:rsidRDefault="0071499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14992" w14:paraId="17981A04" w14:textId="77777777" w:rsidTr="00417FC0">
      <w:trPr>
        <w:trHeight w:val="227"/>
      </w:trPr>
      <w:tc>
        <w:tcPr>
          <w:tcW w:w="5529" w:type="dxa"/>
          <w:hideMark/>
        </w:tcPr>
        <w:p w14:paraId="0E414BC5" w14:textId="75B4D793" w:rsidR="00714992" w:rsidRDefault="0071499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83F3234" w:rsidR="00714992" w:rsidRPr="00B4142F" w:rsidRDefault="00714992" w:rsidP="00B20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02195/INFOEM/IP/RR/2025</w:t>
          </w:r>
        </w:p>
      </w:tc>
    </w:tr>
    <w:tr w:rsidR="00714992" w14:paraId="637042F0" w14:textId="77777777" w:rsidTr="00417FC0">
      <w:trPr>
        <w:trHeight w:val="242"/>
      </w:trPr>
      <w:tc>
        <w:tcPr>
          <w:tcW w:w="5529" w:type="dxa"/>
          <w:hideMark/>
        </w:tcPr>
        <w:p w14:paraId="412AD568" w14:textId="582E7AD7" w:rsidR="00714992" w:rsidRDefault="0071499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7C37A8F" w:rsidR="00714992" w:rsidRPr="00F06FED" w:rsidRDefault="00714992" w:rsidP="001B1CE0">
          <w:pPr>
            <w:spacing w:after="120" w:line="256" w:lineRule="auto"/>
            <w:ind w:left="639" w:right="214"/>
            <w:jc w:val="both"/>
            <w:rPr>
              <w:rFonts w:ascii="Palatino Linotype" w:hAnsi="Palatino Linotype" w:cs="Arial"/>
            </w:rPr>
          </w:pPr>
          <w:r w:rsidRPr="00B20E51">
            <w:rPr>
              <w:rFonts w:ascii="Palatino Linotype" w:hAnsi="Palatino Linotype" w:cs="Arial"/>
            </w:rPr>
            <w:t>Secretaría de Educación, Ciencia, Tecnología e Innovación</w:t>
          </w:r>
        </w:p>
      </w:tc>
    </w:tr>
    <w:tr w:rsidR="00714992" w14:paraId="21BFE746" w14:textId="77777777" w:rsidTr="00417FC0">
      <w:trPr>
        <w:trHeight w:val="342"/>
      </w:trPr>
      <w:tc>
        <w:tcPr>
          <w:tcW w:w="5529" w:type="dxa"/>
          <w:hideMark/>
        </w:tcPr>
        <w:p w14:paraId="64C4E314" w14:textId="1C66F8DB" w:rsidR="00714992" w:rsidRDefault="0071499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714992" w:rsidRDefault="0071499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714992" w:rsidRDefault="007149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14992" w14:paraId="385FD437" w14:textId="77777777" w:rsidTr="00417FC0">
      <w:trPr>
        <w:trHeight w:val="227"/>
      </w:trPr>
      <w:tc>
        <w:tcPr>
          <w:tcW w:w="5529" w:type="dxa"/>
          <w:hideMark/>
        </w:tcPr>
        <w:p w14:paraId="272860E8" w14:textId="23375EDF" w:rsidR="00714992" w:rsidRDefault="0071499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56E00B8" w:rsidR="00714992" w:rsidRPr="00B4142F" w:rsidRDefault="0071499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02195/INFOEM/IP/RR/2025 </w:t>
          </w:r>
        </w:p>
      </w:tc>
    </w:tr>
    <w:tr w:rsidR="00714992" w14:paraId="33FC5097" w14:textId="77777777" w:rsidTr="00417FC0">
      <w:trPr>
        <w:trHeight w:val="196"/>
      </w:trPr>
      <w:tc>
        <w:tcPr>
          <w:tcW w:w="5529" w:type="dxa"/>
          <w:hideMark/>
        </w:tcPr>
        <w:p w14:paraId="4F5D01E5" w14:textId="77777777" w:rsidR="00714992" w:rsidRDefault="0071499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9A20E59" w:rsidR="00714992" w:rsidRPr="00E93E68" w:rsidRDefault="009D7DC7" w:rsidP="009D7DC7">
          <w:pPr>
            <w:spacing w:after="120" w:line="256" w:lineRule="auto"/>
            <w:ind w:left="634" w:right="214"/>
            <w:jc w:val="both"/>
            <w:rPr>
              <w:rFonts w:ascii="Palatino Linotype" w:hAnsi="Palatino Linotype" w:cs="Arial"/>
            </w:rPr>
          </w:pPr>
          <w:r>
            <w:rPr>
              <w:rFonts w:ascii="Palatino Linotype" w:hAnsi="Palatino Linotype" w:cs="Arial"/>
            </w:rPr>
            <w:t>XXXXXXXXXXXXXXXXXXX</w:t>
          </w:r>
          <w:r w:rsidR="00714992" w:rsidRPr="00B20E51">
            <w:rPr>
              <w:rFonts w:ascii="Palatino Linotype" w:hAnsi="Palatino Linotype" w:cs="Arial"/>
            </w:rPr>
            <w:t xml:space="preserve"> </w:t>
          </w:r>
          <w:r>
            <w:rPr>
              <w:rFonts w:ascii="Palatino Linotype" w:hAnsi="Palatino Linotype" w:cs="Arial"/>
            </w:rPr>
            <w:t>XXXXXXXX</w:t>
          </w:r>
        </w:p>
      </w:tc>
    </w:tr>
    <w:tr w:rsidR="00714992" w14:paraId="178280DE" w14:textId="77777777" w:rsidTr="00417FC0">
      <w:trPr>
        <w:trHeight w:val="242"/>
      </w:trPr>
      <w:tc>
        <w:tcPr>
          <w:tcW w:w="5529" w:type="dxa"/>
          <w:hideMark/>
        </w:tcPr>
        <w:p w14:paraId="71AC708B" w14:textId="77777777" w:rsidR="00714992" w:rsidRDefault="0071499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D8304C5" w:rsidR="00714992" w:rsidRDefault="00714992" w:rsidP="001B1CE0">
          <w:pPr>
            <w:spacing w:after="120" w:line="256" w:lineRule="auto"/>
            <w:ind w:left="639" w:right="214"/>
            <w:jc w:val="both"/>
            <w:rPr>
              <w:rFonts w:ascii="Palatino Linotype" w:hAnsi="Palatino Linotype" w:cs="Arial"/>
              <w:szCs w:val="20"/>
            </w:rPr>
          </w:pPr>
          <w:r w:rsidRPr="00B20E51">
            <w:rPr>
              <w:rFonts w:ascii="Palatino Linotype" w:hAnsi="Palatino Linotype" w:cs="Arial"/>
              <w:szCs w:val="20"/>
            </w:rPr>
            <w:t>Secretaría de Educación, Ciencia, Tecnología e Innovación</w:t>
          </w:r>
        </w:p>
      </w:tc>
    </w:tr>
    <w:tr w:rsidR="00714992" w14:paraId="0518978B" w14:textId="77777777" w:rsidTr="00417FC0">
      <w:trPr>
        <w:trHeight w:val="342"/>
      </w:trPr>
      <w:tc>
        <w:tcPr>
          <w:tcW w:w="5529" w:type="dxa"/>
          <w:hideMark/>
        </w:tcPr>
        <w:p w14:paraId="04968A43" w14:textId="5F7729A7" w:rsidR="00714992" w:rsidRDefault="0071499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714992" w:rsidRDefault="0071499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714992" w:rsidRDefault="0071499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339D3"/>
    <w:multiLevelType w:val="hybridMultilevel"/>
    <w:tmpl w:val="0D0E3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A5E17"/>
    <w:multiLevelType w:val="hybridMultilevel"/>
    <w:tmpl w:val="DB04C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290578"/>
    <w:multiLevelType w:val="hybridMultilevel"/>
    <w:tmpl w:val="F934FE78"/>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4F9724A2"/>
    <w:multiLevelType w:val="hybridMultilevel"/>
    <w:tmpl w:val="8C52C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390C76"/>
    <w:multiLevelType w:val="hybridMultilevel"/>
    <w:tmpl w:val="6D5E4F10"/>
    <w:lvl w:ilvl="0" w:tplc="6712923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77584935"/>
    <w:multiLevelType w:val="hybridMultilevel"/>
    <w:tmpl w:val="39A24A2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0"/>
  </w:num>
  <w:num w:numId="5">
    <w:abstractNumId w:val="7"/>
  </w:num>
  <w:num w:numId="6">
    <w:abstractNumId w:val="8"/>
  </w:num>
  <w:num w:numId="7">
    <w:abstractNumId w:val="6"/>
  </w:num>
  <w:num w:numId="8">
    <w:abstractNumId w:val="2"/>
  </w:num>
  <w:num w:numId="9">
    <w:abstractNumId w:val="1"/>
  </w:num>
  <w:num w:numId="10">
    <w:abstractNumId w:val="4"/>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26BA9"/>
    <w:rsid w:val="000306A7"/>
    <w:rsid w:val="000308B6"/>
    <w:rsid w:val="000316DC"/>
    <w:rsid w:val="00031B3B"/>
    <w:rsid w:val="00032762"/>
    <w:rsid w:val="00032896"/>
    <w:rsid w:val="000329BE"/>
    <w:rsid w:val="00033125"/>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67F0E"/>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4788"/>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1758"/>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4643"/>
    <w:rsid w:val="001A469F"/>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B7FF0"/>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6489"/>
    <w:rsid w:val="00267074"/>
    <w:rsid w:val="00267244"/>
    <w:rsid w:val="002674D1"/>
    <w:rsid w:val="00270FD4"/>
    <w:rsid w:val="002717B7"/>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A7167"/>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2EFD"/>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718"/>
    <w:rsid w:val="0034299B"/>
    <w:rsid w:val="003430A8"/>
    <w:rsid w:val="00344259"/>
    <w:rsid w:val="003443B2"/>
    <w:rsid w:val="00344580"/>
    <w:rsid w:val="0034558E"/>
    <w:rsid w:val="003464A5"/>
    <w:rsid w:val="0035126E"/>
    <w:rsid w:val="00351CFB"/>
    <w:rsid w:val="003551AD"/>
    <w:rsid w:val="00355A06"/>
    <w:rsid w:val="00356043"/>
    <w:rsid w:val="00356E44"/>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95E"/>
    <w:rsid w:val="00436AC7"/>
    <w:rsid w:val="00437A0E"/>
    <w:rsid w:val="00442231"/>
    <w:rsid w:val="00443B76"/>
    <w:rsid w:val="00443E75"/>
    <w:rsid w:val="004444F5"/>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8A9"/>
    <w:rsid w:val="00477CC2"/>
    <w:rsid w:val="0048180A"/>
    <w:rsid w:val="00481C7A"/>
    <w:rsid w:val="004821D4"/>
    <w:rsid w:val="004836B3"/>
    <w:rsid w:val="0048464D"/>
    <w:rsid w:val="00484F88"/>
    <w:rsid w:val="00485906"/>
    <w:rsid w:val="004867DB"/>
    <w:rsid w:val="00486900"/>
    <w:rsid w:val="00487713"/>
    <w:rsid w:val="0049063B"/>
    <w:rsid w:val="004906C8"/>
    <w:rsid w:val="00491A1C"/>
    <w:rsid w:val="00491BAB"/>
    <w:rsid w:val="004929ED"/>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3FC4"/>
    <w:rsid w:val="005478DE"/>
    <w:rsid w:val="0055128B"/>
    <w:rsid w:val="0055176C"/>
    <w:rsid w:val="005520FE"/>
    <w:rsid w:val="0055211D"/>
    <w:rsid w:val="005527D6"/>
    <w:rsid w:val="00552FA7"/>
    <w:rsid w:val="00553E92"/>
    <w:rsid w:val="00554927"/>
    <w:rsid w:val="005559F5"/>
    <w:rsid w:val="00556513"/>
    <w:rsid w:val="00556EEF"/>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B81"/>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6EB6"/>
    <w:rsid w:val="00657339"/>
    <w:rsid w:val="00657B22"/>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1850"/>
    <w:rsid w:val="00682225"/>
    <w:rsid w:val="006822F4"/>
    <w:rsid w:val="00682B6F"/>
    <w:rsid w:val="00683417"/>
    <w:rsid w:val="00684130"/>
    <w:rsid w:val="00684893"/>
    <w:rsid w:val="006848B7"/>
    <w:rsid w:val="00684CBE"/>
    <w:rsid w:val="00685049"/>
    <w:rsid w:val="006869D1"/>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9C3"/>
    <w:rsid w:val="006D3CD7"/>
    <w:rsid w:val="006D3F82"/>
    <w:rsid w:val="006D5719"/>
    <w:rsid w:val="006D79B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6F7045"/>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992"/>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6EB9"/>
    <w:rsid w:val="008376C6"/>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1793"/>
    <w:rsid w:val="00874015"/>
    <w:rsid w:val="00874916"/>
    <w:rsid w:val="00876A75"/>
    <w:rsid w:val="0087786C"/>
    <w:rsid w:val="00877BF0"/>
    <w:rsid w:val="00881D76"/>
    <w:rsid w:val="00883587"/>
    <w:rsid w:val="00883D1F"/>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6FE3"/>
    <w:rsid w:val="008A75BE"/>
    <w:rsid w:val="008B00D5"/>
    <w:rsid w:val="008B14D0"/>
    <w:rsid w:val="008B1720"/>
    <w:rsid w:val="008B4658"/>
    <w:rsid w:val="008B4E07"/>
    <w:rsid w:val="008B4F31"/>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0D8D"/>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2D73"/>
    <w:rsid w:val="00954328"/>
    <w:rsid w:val="00954916"/>
    <w:rsid w:val="0095704B"/>
    <w:rsid w:val="00960947"/>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3BAC"/>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3793"/>
    <w:rsid w:val="009C451F"/>
    <w:rsid w:val="009C5A98"/>
    <w:rsid w:val="009C5C4A"/>
    <w:rsid w:val="009C5E96"/>
    <w:rsid w:val="009C6CFB"/>
    <w:rsid w:val="009C726D"/>
    <w:rsid w:val="009D317E"/>
    <w:rsid w:val="009D3186"/>
    <w:rsid w:val="009D3697"/>
    <w:rsid w:val="009D5F9E"/>
    <w:rsid w:val="009D689A"/>
    <w:rsid w:val="009D7DC7"/>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6D5"/>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797"/>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E51"/>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144"/>
    <w:rsid w:val="00B705ED"/>
    <w:rsid w:val="00B70E50"/>
    <w:rsid w:val="00B7388E"/>
    <w:rsid w:val="00B73C99"/>
    <w:rsid w:val="00B75A2C"/>
    <w:rsid w:val="00B75E7F"/>
    <w:rsid w:val="00B77272"/>
    <w:rsid w:val="00B77811"/>
    <w:rsid w:val="00B80129"/>
    <w:rsid w:val="00B80734"/>
    <w:rsid w:val="00B813AC"/>
    <w:rsid w:val="00B8376C"/>
    <w:rsid w:val="00B84260"/>
    <w:rsid w:val="00B85641"/>
    <w:rsid w:val="00B8655B"/>
    <w:rsid w:val="00B86A15"/>
    <w:rsid w:val="00B86E2E"/>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9B"/>
    <w:rsid w:val="00BA49CC"/>
    <w:rsid w:val="00BA4D1F"/>
    <w:rsid w:val="00BA5963"/>
    <w:rsid w:val="00BA7AD1"/>
    <w:rsid w:val="00BA7E0C"/>
    <w:rsid w:val="00BB0B9D"/>
    <w:rsid w:val="00BB16D2"/>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3A85"/>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1A4"/>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551"/>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399C"/>
    <w:rsid w:val="00EA44B5"/>
    <w:rsid w:val="00EA526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2B67"/>
    <w:rsid w:val="00ED35B0"/>
    <w:rsid w:val="00ED3E17"/>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966"/>
    <w:rsid w:val="00FE72EA"/>
    <w:rsid w:val="00FF0402"/>
    <w:rsid w:val="00FF2475"/>
    <w:rsid w:val="00FF2999"/>
    <w:rsid w:val="00FF3477"/>
    <w:rsid w:val="00FF4548"/>
    <w:rsid w:val="00FF4772"/>
    <w:rsid w:val="00FF5E5B"/>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68281738">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5625C-DECB-4582-933A-B220E412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8506</Words>
  <Characters>46788</Characters>
  <Application>Microsoft Office Word</Application>
  <DocSecurity>0</DocSecurity>
  <Lines>389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2018-12-04T20:35:00Z</cp:lastPrinted>
  <dcterms:created xsi:type="dcterms:W3CDTF">2025-06-30T20:01:00Z</dcterms:created>
  <dcterms:modified xsi:type="dcterms:W3CDTF">2025-07-15T17:20:00Z</dcterms:modified>
</cp:coreProperties>
</file>