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364EF"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veinte de noviembre de dos mil veinticinco. </w:t>
      </w:r>
    </w:p>
    <w:p w14:paraId="41042CE5" w14:textId="77777777" w:rsidR="00E12D72" w:rsidRPr="00317531" w:rsidRDefault="007C46EB">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317531">
        <w:rPr>
          <w:rFonts w:ascii="Palatino Linotype" w:eastAsia="Palatino Linotype" w:hAnsi="Palatino Linotype" w:cs="Palatino Linotype"/>
          <w:b/>
          <w:bCs/>
          <w:sz w:val="22"/>
          <w:szCs w:val="22"/>
        </w:rPr>
        <w:t>VISTO</w:t>
      </w:r>
      <w:r w:rsidRPr="00317531">
        <w:rPr>
          <w:rFonts w:ascii="Palatino Linotype" w:eastAsia="Palatino Linotype" w:hAnsi="Palatino Linotype" w:cs="Palatino Linotype"/>
          <w:sz w:val="22"/>
          <w:szCs w:val="22"/>
        </w:rPr>
        <w:t xml:space="preserve"> el expediente formado con motivo del recurso de revisión </w:t>
      </w:r>
      <w:r w:rsidRPr="00317531">
        <w:rPr>
          <w:rFonts w:ascii="Palatino Linotype" w:eastAsia="Palatino Linotype" w:hAnsi="Palatino Linotype" w:cs="Palatino Linotype"/>
          <w:b/>
          <w:bCs/>
          <w:sz w:val="22"/>
          <w:szCs w:val="22"/>
        </w:rPr>
        <w:t>08979/INFOEM/IP/RR/2025</w:t>
      </w:r>
      <w:r w:rsidRPr="00317531">
        <w:rPr>
          <w:rFonts w:ascii="Palatino Linotype" w:eastAsia="Palatino Linotype" w:hAnsi="Palatino Linotype" w:cs="Palatino Linotype"/>
          <w:sz w:val="22"/>
          <w:szCs w:val="22"/>
        </w:rPr>
        <w:t>, interpuesto por</w:t>
      </w:r>
      <w:r w:rsidRPr="00317531">
        <w:rPr>
          <w:rFonts w:ascii="Palatino Linotype" w:eastAsia="Palatino Linotype" w:hAnsi="Palatino Linotype" w:cs="Palatino Linotype"/>
          <w:b/>
          <w:bCs/>
          <w:sz w:val="22"/>
          <w:szCs w:val="22"/>
        </w:rPr>
        <w:t xml:space="preserve"> una persona que no proporcionó nombre o seudónimo,</w:t>
      </w:r>
      <w:r w:rsidRPr="00317531">
        <w:rPr>
          <w:rFonts w:ascii="Palatino Linotype" w:eastAsia="Palatino Linotype" w:hAnsi="Palatino Linotype" w:cs="Palatino Linotype"/>
          <w:sz w:val="22"/>
          <w:szCs w:val="22"/>
        </w:rPr>
        <w:t xml:space="preserve"> en lo sucesivo</w:t>
      </w:r>
      <w:r w:rsidRPr="00317531">
        <w:rPr>
          <w:rFonts w:ascii="Palatino Linotype" w:eastAsia="Palatino Linotype" w:hAnsi="Palatino Linotype" w:cs="Palatino Linotype"/>
          <w:b/>
          <w:bCs/>
          <w:sz w:val="22"/>
          <w:szCs w:val="22"/>
        </w:rPr>
        <w:t xml:space="preserve"> </w:t>
      </w:r>
      <w:r w:rsidRPr="00317531">
        <w:rPr>
          <w:rFonts w:ascii="Palatino Linotype" w:eastAsia="Palatino Linotype" w:hAnsi="Palatino Linotype" w:cs="Palatino Linotype"/>
          <w:sz w:val="22"/>
          <w:szCs w:val="22"/>
        </w:rPr>
        <w:t xml:space="preserve">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xml:space="preserve"> en contra de la respuesta a la solicitud de información con número de folio</w:t>
      </w:r>
      <w:r w:rsidRPr="00317531">
        <w:rPr>
          <w:rFonts w:ascii="Palatino Linotype" w:eastAsia="Palatino Linotype" w:hAnsi="Palatino Linotype" w:cs="Palatino Linotype"/>
          <w:b/>
          <w:bCs/>
          <w:sz w:val="22"/>
          <w:szCs w:val="22"/>
        </w:rPr>
        <w:t xml:space="preserve"> 03686/TOLUCA/IP/2025, </w:t>
      </w:r>
      <w:r w:rsidRPr="00317531">
        <w:rPr>
          <w:rFonts w:ascii="Palatino Linotype" w:eastAsia="Palatino Linotype" w:hAnsi="Palatino Linotype" w:cs="Palatino Linotype"/>
          <w:sz w:val="22"/>
          <w:szCs w:val="22"/>
        </w:rPr>
        <w:t xml:space="preserve">por parte del </w:t>
      </w:r>
      <w:r w:rsidRPr="00317531">
        <w:rPr>
          <w:rFonts w:ascii="Palatino Linotype" w:eastAsia="Palatino Linotype" w:hAnsi="Palatino Linotype" w:cs="Palatino Linotype"/>
          <w:b/>
          <w:bCs/>
          <w:sz w:val="22"/>
          <w:szCs w:val="22"/>
        </w:rPr>
        <w:t xml:space="preserve">Ayuntamiento de Toluca, </w:t>
      </w:r>
      <w:r w:rsidRPr="00317531">
        <w:rPr>
          <w:rFonts w:ascii="Palatino Linotype" w:eastAsia="Palatino Linotype" w:hAnsi="Palatino Linotype" w:cs="Palatino Linotype"/>
          <w:sz w:val="22"/>
          <w:szCs w:val="22"/>
        </w:rPr>
        <w:t xml:space="preserve">en lo sucesivo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 xml:space="preserve">se procede a dictar la presente resolución con base en los siguientes: </w:t>
      </w:r>
    </w:p>
    <w:p w14:paraId="583B21A2" w14:textId="77777777" w:rsidR="00E12D72" w:rsidRPr="00317531" w:rsidRDefault="007C46EB">
      <w:pPr>
        <w:spacing w:before="240" w:after="240" w:line="360" w:lineRule="auto"/>
        <w:jc w:val="center"/>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I. A N T E C E D E N T E S</w:t>
      </w:r>
    </w:p>
    <w:p w14:paraId="6F8638E3"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1" w:name="_heading=h.gjdgxs" w:colFirst="0" w:colLast="0"/>
      <w:bookmarkEnd w:id="1"/>
      <w:r w:rsidRPr="00317531">
        <w:rPr>
          <w:rFonts w:ascii="Palatino Linotype" w:eastAsia="Palatino Linotype" w:hAnsi="Palatino Linotype" w:cs="Palatino Linotype"/>
          <w:b/>
          <w:bCs/>
          <w:sz w:val="22"/>
          <w:szCs w:val="22"/>
        </w:rPr>
        <w:t>1. Solicitud de acceso a la información.</w:t>
      </w:r>
      <w:r w:rsidRPr="00317531">
        <w:rPr>
          <w:rFonts w:ascii="Palatino Linotype" w:eastAsia="Palatino Linotype" w:hAnsi="Palatino Linotype" w:cs="Palatino Linotype"/>
          <w:sz w:val="22"/>
          <w:szCs w:val="22"/>
        </w:rPr>
        <w:t xml:space="preserve"> El </w:t>
      </w:r>
      <w:r w:rsidRPr="00317531">
        <w:rPr>
          <w:rFonts w:ascii="Palatino Linotype" w:eastAsia="Palatino Linotype" w:hAnsi="Palatino Linotype" w:cs="Palatino Linotype"/>
          <w:b/>
          <w:bCs/>
          <w:sz w:val="22"/>
          <w:szCs w:val="22"/>
        </w:rPr>
        <w:t>veintiséis de junio de dos mil veinticinco,</w:t>
      </w:r>
      <w:r w:rsidRPr="00317531">
        <w:rPr>
          <w:rFonts w:ascii="Palatino Linotype" w:eastAsia="Palatino Linotype" w:hAnsi="Palatino Linotype" w:cs="Palatino Linotype"/>
          <w:sz w:val="22"/>
          <w:szCs w:val="22"/>
        </w:rPr>
        <w:t xml:space="preserve"> la parte </w:t>
      </w:r>
      <w:r w:rsidRPr="00317531">
        <w:rPr>
          <w:rFonts w:ascii="Palatino Linotype" w:eastAsia="Palatino Linotype" w:hAnsi="Palatino Linotype" w:cs="Palatino Linotype"/>
          <w:b/>
          <w:bCs/>
          <w:sz w:val="22"/>
          <w:szCs w:val="22"/>
        </w:rPr>
        <w:t xml:space="preserve">Recurrente </w:t>
      </w:r>
      <w:r w:rsidRPr="00317531">
        <w:rPr>
          <w:rFonts w:ascii="Palatino Linotype" w:eastAsia="Palatino Linotype" w:hAnsi="Palatino Linotype" w:cs="Palatino Linotype"/>
          <w:sz w:val="22"/>
          <w:szCs w:val="22"/>
        </w:rPr>
        <w:t xml:space="preserve">presentó la solicitud de acceso a la información pública ante 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a través del Sistema de Acceso a la Información Mexiquense, en lo subsecuente el </w:t>
      </w:r>
      <w:r w:rsidRPr="00317531">
        <w:rPr>
          <w:rFonts w:ascii="Palatino Linotype" w:eastAsia="Palatino Linotype" w:hAnsi="Palatino Linotype" w:cs="Palatino Linotype"/>
          <w:b/>
          <w:bCs/>
          <w:sz w:val="22"/>
          <w:szCs w:val="22"/>
        </w:rPr>
        <w:t>SAIMEX,</w:t>
      </w:r>
      <w:r w:rsidRPr="00317531">
        <w:rPr>
          <w:rFonts w:ascii="Palatino Linotype" w:eastAsia="Palatino Linotype" w:hAnsi="Palatino Linotype" w:cs="Palatino Linotype"/>
          <w:sz w:val="22"/>
          <w:szCs w:val="22"/>
        </w:rPr>
        <w:t xml:space="preserve"> mediante la cual requirió lo siguiente:</w:t>
      </w:r>
    </w:p>
    <w:p w14:paraId="0B415208" w14:textId="77777777" w:rsidR="00E12D72" w:rsidRPr="00317531" w:rsidRDefault="007C46EB">
      <w:pPr>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i/>
          <w:iCs/>
          <w:sz w:val="22"/>
          <w:szCs w:val="22"/>
        </w:rPr>
        <w:t xml:space="preserve"> “Solicito cada uno de los curriculums de todos los integrantes de la administración 2025 2027 que se encuentran en el organigrama de esa administración, con toda la documentación que acredite la alta como servidor público en versión pública</w:t>
      </w:r>
      <w:r w:rsidRPr="00317531">
        <w:rPr>
          <w:rFonts w:ascii="Palatino Linotype" w:eastAsia="Palatino Linotype" w:hAnsi="Palatino Linotype" w:cs="Palatino Linotype"/>
          <w:b/>
          <w:bCs/>
          <w:i/>
          <w:iCs/>
          <w:sz w:val="22"/>
          <w:szCs w:val="22"/>
        </w:rPr>
        <w:t>”</w:t>
      </w:r>
      <w:r w:rsidRPr="00317531">
        <w:rPr>
          <w:rFonts w:ascii="Palatino Linotype" w:eastAsia="Palatino Linotype" w:hAnsi="Palatino Linotype" w:cs="Palatino Linotype"/>
          <w:i/>
          <w:iCs/>
          <w:sz w:val="22"/>
          <w:szCs w:val="22"/>
        </w:rPr>
        <w:t xml:space="preserve"> (sic) </w:t>
      </w:r>
    </w:p>
    <w:p w14:paraId="63F4B03B"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317531">
        <w:rPr>
          <w:rFonts w:ascii="Palatino Linotype" w:eastAsia="Palatino Linotype" w:hAnsi="Palatino Linotype" w:cs="Palatino Linotype"/>
          <w:b/>
          <w:bCs/>
          <w:sz w:val="22"/>
          <w:szCs w:val="22"/>
        </w:rPr>
        <w:t>Modalidad de Entrega:</w:t>
      </w:r>
      <w:r w:rsidRPr="00317531">
        <w:rPr>
          <w:rFonts w:ascii="Palatino Linotype" w:eastAsia="Palatino Linotype" w:hAnsi="Palatino Linotype" w:cs="Palatino Linotype"/>
          <w:sz w:val="22"/>
          <w:szCs w:val="22"/>
        </w:rPr>
        <w:t xml:space="preserve"> a través del</w:t>
      </w:r>
      <w:r w:rsidRPr="00317531">
        <w:rPr>
          <w:rFonts w:ascii="Palatino Linotype" w:eastAsia="Palatino Linotype" w:hAnsi="Palatino Linotype" w:cs="Palatino Linotype"/>
          <w:b/>
          <w:bCs/>
          <w:sz w:val="22"/>
          <w:szCs w:val="22"/>
        </w:rPr>
        <w:t xml:space="preserve"> SAIMEX.</w:t>
      </w:r>
    </w:p>
    <w:p w14:paraId="3D19B188"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 xml:space="preserve">2. Respuesta. </w:t>
      </w:r>
      <w:r w:rsidRPr="00317531">
        <w:rPr>
          <w:rFonts w:ascii="Palatino Linotype" w:eastAsia="Palatino Linotype" w:hAnsi="Palatino Linotype" w:cs="Palatino Linotype"/>
          <w:sz w:val="22"/>
          <w:szCs w:val="22"/>
        </w:rPr>
        <w:t xml:space="preserve">El </w:t>
      </w:r>
      <w:r w:rsidRPr="00317531">
        <w:rPr>
          <w:rFonts w:ascii="Palatino Linotype" w:eastAsia="Palatino Linotype" w:hAnsi="Palatino Linotype" w:cs="Palatino Linotype"/>
          <w:b/>
          <w:bCs/>
          <w:sz w:val="22"/>
          <w:szCs w:val="22"/>
        </w:rPr>
        <w:t>diecisiete de julio de dos mil veinticinco,</w:t>
      </w:r>
      <w:r w:rsidRPr="00317531">
        <w:rPr>
          <w:rFonts w:ascii="Palatino Linotype" w:eastAsia="Palatino Linotype" w:hAnsi="Palatino Linotype" w:cs="Palatino Linotype"/>
          <w:sz w:val="22"/>
          <w:szCs w:val="22"/>
        </w:rPr>
        <w:t xml:space="preserve">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1DBC900A" w14:textId="77777777" w:rsidR="00E12D72" w:rsidRPr="00317531" w:rsidRDefault="007C46EB">
      <w:pPr>
        <w:spacing w:before="240" w:after="24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lastRenderedPageBreak/>
        <w:t>“…En atención a la solicitud con folio 03686/TOLUCA/IP/2025, me permito adjuntar al presente la respuesta correspondiente, Sin más por el momento, reciba un saludo...” (sic)</w:t>
      </w:r>
    </w:p>
    <w:p w14:paraId="65EE9D1B"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adjuntó lo siguiente:</w:t>
      </w:r>
    </w:p>
    <w:p w14:paraId="0E0E0DF9"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Oficio número 06010000/3721/2025, mediante el cual la Directora General de Administración refirió adjuntar la respuesta proporcionada por la Dirección de Recursos Humanos en atención a la solicitud.</w:t>
      </w:r>
    </w:p>
    <w:p w14:paraId="4C3AB1EB"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 Nota informativa número 714/2025, mediante el cual refirió que la información solicitada podía ser consultada en el portal de Información Pública de Oficio Mexiquense, IPOMEX, cuya dirección electrónica proporcionó en formato cerrado, asimismo, manifestó que la obligación de proporcionar la información no comprende el procesamiento de la misma, ni el presentarla conforme al interés del solicitante; por lo que los </w:t>
      </w:r>
      <w:r w:rsidRPr="00317531">
        <w:rPr>
          <w:rFonts w:ascii="Palatino Linotype" w:eastAsia="Palatino Linotype" w:hAnsi="Palatino Linotype" w:cs="Palatino Linotype"/>
          <w:b/>
          <w:bCs/>
          <w:sz w:val="22"/>
          <w:szCs w:val="22"/>
        </w:rPr>
        <w:t>Sujetos Obligados</w:t>
      </w:r>
      <w:r w:rsidRPr="00317531">
        <w:rPr>
          <w:rFonts w:ascii="Palatino Linotype" w:eastAsia="Palatino Linotype" w:hAnsi="Palatino Linotype" w:cs="Palatino Linotype"/>
          <w:sz w:val="22"/>
          <w:szCs w:val="22"/>
        </w:rPr>
        <w:t xml:space="preserve"> no estarán obligados a generarla, resumirla, efectuar cálculos o practicar investigaciones.</w:t>
      </w:r>
    </w:p>
    <w:p w14:paraId="02C86183"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 xml:space="preserve">3. Interposición del recurso de revisión. </w:t>
      </w:r>
      <w:r w:rsidRPr="00317531">
        <w:rPr>
          <w:rFonts w:ascii="Palatino Linotype" w:eastAsia="Palatino Linotype" w:hAnsi="Palatino Linotype" w:cs="Palatino Linotype"/>
          <w:sz w:val="22"/>
          <w:szCs w:val="22"/>
        </w:rPr>
        <w:t xml:space="preserve">Inconforme con los términos de la respuesta emitida por parte del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el </w:t>
      </w:r>
      <w:r w:rsidRPr="00317531">
        <w:rPr>
          <w:rFonts w:ascii="Palatino Linotype" w:eastAsia="Palatino Linotype" w:hAnsi="Palatino Linotype" w:cs="Palatino Linotype"/>
          <w:b/>
          <w:bCs/>
          <w:sz w:val="22"/>
          <w:szCs w:val="22"/>
        </w:rPr>
        <w:t>veintidós de julio de dos mil veinticinco,</w:t>
      </w:r>
      <w:r w:rsidRPr="00317531">
        <w:rPr>
          <w:rFonts w:ascii="Palatino Linotype" w:eastAsia="Palatino Linotype" w:hAnsi="Palatino Linotype" w:cs="Palatino Linotype"/>
          <w:sz w:val="22"/>
          <w:szCs w:val="22"/>
        </w:rPr>
        <w:t xml:space="preserve"> 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xml:space="preserve"> interpuso el recurso de revisión a través de </w:t>
      </w:r>
      <w:r w:rsidRPr="00317531">
        <w:rPr>
          <w:rFonts w:ascii="Palatino Linotype" w:eastAsia="Palatino Linotype" w:hAnsi="Palatino Linotype" w:cs="Palatino Linotype"/>
          <w:b/>
          <w:bCs/>
          <w:sz w:val="22"/>
          <w:szCs w:val="22"/>
        </w:rPr>
        <w:t xml:space="preserve">SAIMEX, </w:t>
      </w:r>
      <w:r w:rsidRPr="00317531">
        <w:rPr>
          <w:rFonts w:ascii="Palatino Linotype" w:eastAsia="Palatino Linotype" w:hAnsi="Palatino Linotype" w:cs="Palatino Linotype"/>
          <w:sz w:val="22"/>
          <w:szCs w:val="22"/>
        </w:rPr>
        <w:t xml:space="preserve">sin embargo, al corresponder con un día inhábil, se tuvo por interpuesto el </w:t>
      </w:r>
      <w:r w:rsidRPr="00317531">
        <w:rPr>
          <w:rFonts w:ascii="Palatino Linotype" w:eastAsia="Palatino Linotype" w:hAnsi="Palatino Linotype" w:cs="Palatino Linotype"/>
          <w:b/>
          <w:bCs/>
          <w:sz w:val="22"/>
          <w:szCs w:val="22"/>
        </w:rPr>
        <w:t xml:space="preserve">cuatro de agosto de dos mil veinticinco, </w:t>
      </w:r>
      <w:r w:rsidRPr="00317531">
        <w:rPr>
          <w:rFonts w:ascii="Palatino Linotype" w:eastAsia="Palatino Linotype" w:hAnsi="Palatino Linotype" w:cs="Palatino Linotype"/>
          <w:sz w:val="22"/>
          <w:szCs w:val="22"/>
        </w:rPr>
        <w:t>en donde se manifestó de la siguiente manera:</w:t>
      </w:r>
    </w:p>
    <w:p w14:paraId="5C518999" w14:textId="77777777" w:rsidR="00E12D72" w:rsidRPr="00317531" w:rsidRDefault="007C46EB">
      <w:pPr>
        <w:spacing w:before="240" w:after="240" w:line="360" w:lineRule="auto"/>
        <w:ind w:right="49"/>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 xml:space="preserve">Acto impugnado: </w:t>
      </w:r>
    </w:p>
    <w:p w14:paraId="3F189677" w14:textId="77777777" w:rsidR="00E12D72" w:rsidRPr="00317531" w:rsidRDefault="007C46EB">
      <w:pPr>
        <w:ind w:left="851" w:right="900"/>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“La negativa de la información son opacos y se exige se entregue lo solicitado” (sic)</w:t>
      </w:r>
    </w:p>
    <w:p w14:paraId="2D512295" w14:textId="77777777" w:rsidR="00E12D72" w:rsidRPr="00317531" w:rsidRDefault="007C46EB">
      <w:pPr>
        <w:spacing w:line="360" w:lineRule="auto"/>
        <w:jc w:val="both"/>
        <w:rPr>
          <w:rFonts w:ascii="Palatino Linotype" w:eastAsia="Palatino Linotype" w:hAnsi="Palatino Linotype" w:cs="Palatino Linotype"/>
          <w:sz w:val="22"/>
          <w:szCs w:val="22"/>
        </w:rPr>
      </w:pPr>
      <w:bookmarkStart w:id="3" w:name="_heading=h.30j0zll" w:colFirst="0" w:colLast="0"/>
      <w:bookmarkEnd w:id="3"/>
      <w:r w:rsidRPr="00317531">
        <w:rPr>
          <w:rFonts w:ascii="Palatino Linotype" w:eastAsia="Palatino Linotype" w:hAnsi="Palatino Linotype" w:cs="Palatino Linotype"/>
          <w:b/>
          <w:bCs/>
          <w:sz w:val="22"/>
          <w:szCs w:val="22"/>
        </w:rPr>
        <w:t>Y, Razones o motivos de inconformidad</w:t>
      </w:r>
      <w:r w:rsidRPr="00317531">
        <w:rPr>
          <w:rFonts w:ascii="Palatino Linotype" w:eastAsia="Palatino Linotype" w:hAnsi="Palatino Linotype" w:cs="Palatino Linotype"/>
          <w:sz w:val="22"/>
          <w:szCs w:val="22"/>
        </w:rPr>
        <w:t>:</w:t>
      </w:r>
    </w:p>
    <w:p w14:paraId="1CA86F52" w14:textId="77777777" w:rsidR="00E12D72" w:rsidRPr="00317531" w:rsidRDefault="007C46EB">
      <w:pPr>
        <w:tabs>
          <w:tab w:val="left" w:pos="2745"/>
        </w:tabs>
        <w:spacing w:before="240" w:after="24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“La negativa de la información son opacos y se exige se entregue lo solicitado” (sic)</w:t>
      </w:r>
    </w:p>
    <w:p w14:paraId="04C35151" w14:textId="77777777" w:rsidR="00E12D72" w:rsidRPr="00317531" w:rsidRDefault="007C46EB">
      <w:pPr>
        <w:spacing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lastRenderedPageBreak/>
        <w:t xml:space="preserve">4. Turno. </w:t>
      </w:r>
      <w:r w:rsidRPr="0031753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17531">
        <w:rPr>
          <w:rFonts w:ascii="Palatino Linotype" w:eastAsia="Palatino Linotype" w:hAnsi="Palatino Linotype" w:cs="Palatino Linotype"/>
          <w:b/>
          <w:bCs/>
          <w:sz w:val="22"/>
          <w:szCs w:val="22"/>
        </w:rPr>
        <w:t xml:space="preserve">Guadalupe Ramírez Peña, </w:t>
      </w:r>
      <w:r w:rsidRPr="00317531">
        <w:rPr>
          <w:rFonts w:ascii="Palatino Linotype" w:eastAsia="Palatino Linotype" w:hAnsi="Palatino Linotype" w:cs="Palatino Linotype"/>
          <w:sz w:val="22"/>
          <w:szCs w:val="22"/>
        </w:rPr>
        <w:t>a efecto de que analizara sobre su admisión o su desechamiento.</w:t>
      </w:r>
    </w:p>
    <w:p w14:paraId="54135090" w14:textId="77777777" w:rsidR="00E12D72" w:rsidRPr="00317531" w:rsidRDefault="007C46EB">
      <w:pPr>
        <w:spacing w:before="240" w:after="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5. Admisión del Recurso de revisión.</w:t>
      </w:r>
      <w:r w:rsidRPr="00317531">
        <w:rPr>
          <w:rFonts w:ascii="Palatino Linotype" w:eastAsia="Palatino Linotype" w:hAnsi="Palatino Linotype" w:cs="Palatino Linotype"/>
          <w:sz w:val="22"/>
          <w:szCs w:val="22"/>
        </w:rPr>
        <w:t xml:space="preserve"> El</w:t>
      </w:r>
      <w:r w:rsidRPr="00317531">
        <w:rPr>
          <w:rFonts w:ascii="Palatino Linotype" w:eastAsia="Palatino Linotype" w:hAnsi="Palatino Linotype" w:cs="Palatino Linotype"/>
          <w:b/>
          <w:bCs/>
          <w:sz w:val="22"/>
          <w:szCs w:val="22"/>
        </w:rPr>
        <w:t xml:space="preserve"> ocho de agosto dos mil veinticinco, </w:t>
      </w:r>
      <w:r w:rsidRPr="0031753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presentara su informe justificado.</w:t>
      </w:r>
    </w:p>
    <w:p w14:paraId="040690BD"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4" w:name="_heading=h.2s8eyo1" w:colFirst="0" w:colLast="0"/>
      <w:bookmarkEnd w:id="4"/>
      <w:r w:rsidRPr="00317531">
        <w:rPr>
          <w:rFonts w:ascii="Palatino Linotype" w:eastAsia="Palatino Linotype" w:hAnsi="Palatino Linotype" w:cs="Palatino Linotype"/>
          <w:b/>
          <w:bCs/>
          <w:sz w:val="22"/>
          <w:szCs w:val="22"/>
        </w:rPr>
        <w:t>6. Manifestaciones</w:t>
      </w:r>
      <w:r w:rsidRPr="00317531">
        <w:rPr>
          <w:rFonts w:ascii="Palatino Linotype" w:eastAsia="Palatino Linotype" w:hAnsi="Palatino Linotype" w:cs="Palatino Linotype"/>
          <w:sz w:val="22"/>
          <w:szCs w:val="22"/>
        </w:rPr>
        <w:t xml:space="preserve">. El </w:t>
      </w:r>
      <w:r w:rsidRPr="00317531">
        <w:rPr>
          <w:rFonts w:ascii="Palatino Linotype" w:eastAsia="Palatino Linotype" w:hAnsi="Palatino Linotype" w:cs="Palatino Linotype"/>
          <w:b/>
          <w:bCs/>
          <w:sz w:val="22"/>
          <w:szCs w:val="22"/>
        </w:rPr>
        <w:t>diecinueve y veintiuno de agosto de</w:t>
      </w:r>
      <w:r w:rsidRPr="00317531">
        <w:rPr>
          <w:rFonts w:ascii="Palatino Linotype" w:eastAsia="Palatino Linotype" w:hAnsi="Palatino Linotype" w:cs="Palatino Linotype"/>
          <w:sz w:val="22"/>
          <w:szCs w:val="22"/>
        </w:rPr>
        <w:t xml:space="preserve"> </w:t>
      </w:r>
      <w:r w:rsidRPr="00317531">
        <w:rPr>
          <w:rFonts w:ascii="Palatino Linotype" w:eastAsia="Palatino Linotype" w:hAnsi="Palatino Linotype" w:cs="Palatino Linotype"/>
          <w:b/>
          <w:bCs/>
          <w:sz w:val="22"/>
          <w:szCs w:val="22"/>
        </w:rPr>
        <w:t>dos mil veinticinco</w:t>
      </w:r>
      <w:r w:rsidRPr="00317531">
        <w:rPr>
          <w:rFonts w:ascii="Palatino Linotype" w:eastAsia="Palatino Linotype" w:hAnsi="Palatino Linotype" w:cs="Palatino Linotype"/>
          <w:sz w:val="22"/>
          <w:szCs w:val="22"/>
        </w:rPr>
        <w:t xml:space="preserve">, 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remitió, a través del SAIMEX lo siguiente:</w:t>
      </w:r>
    </w:p>
    <w:p w14:paraId="0AEB4FC5"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Escrito mediante el cual el titular de la Unidad de Transparencia, por conducto de la Dirección General de Administración ratificó la respuesta proporcionada en primera instancia.</w:t>
      </w:r>
    </w:p>
    <w:p w14:paraId="005FF962"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Oficio número 206010000/4757/2025, mediante el cual la Directora General de Administración ratificó la respuesta proporcionada en primera instancia.</w:t>
      </w:r>
    </w:p>
    <w:p w14:paraId="7CEEDCA5"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7293A10C" w14:textId="77777777" w:rsidR="00E12D72" w:rsidRPr="00317531" w:rsidRDefault="007C46EB">
      <w:pPr>
        <w:widowControl w:val="0"/>
        <w:spacing w:before="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 xml:space="preserve">7. Cierre de instrucción. </w:t>
      </w:r>
      <w:r w:rsidRPr="0031753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317531">
        <w:rPr>
          <w:rFonts w:ascii="Palatino Linotype" w:eastAsia="Palatino Linotype" w:hAnsi="Palatino Linotype" w:cs="Palatino Linotype"/>
          <w:b/>
          <w:bCs/>
          <w:sz w:val="22"/>
          <w:szCs w:val="22"/>
        </w:rPr>
        <w:t>once de noviembre de dos mil veinticinco</w:t>
      </w:r>
      <w:r w:rsidRPr="0031753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96425F" w14:textId="77777777" w:rsidR="00E12D72" w:rsidRPr="00317531" w:rsidRDefault="007C46EB">
      <w:pPr>
        <w:widowControl w:val="0"/>
        <w:spacing w:before="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8. Ampliación del término para resolver</w:t>
      </w:r>
      <w:r w:rsidRPr="00317531">
        <w:rPr>
          <w:rFonts w:ascii="Palatino Linotype" w:eastAsia="Palatino Linotype" w:hAnsi="Palatino Linotype" w:cs="Palatino Linotype"/>
          <w:sz w:val="22"/>
          <w:szCs w:val="22"/>
        </w:rPr>
        <w:t xml:space="preserve">. El </w:t>
      </w:r>
      <w:r w:rsidRPr="00317531">
        <w:rPr>
          <w:rFonts w:ascii="Palatino Linotype" w:eastAsia="Palatino Linotype" w:hAnsi="Palatino Linotype" w:cs="Palatino Linotype"/>
          <w:b/>
          <w:bCs/>
          <w:sz w:val="22"/>
          <w:szCs w:val="22"/>
        </w:rPr>
        <w:t>once de noviembre de dos mil veinticinco</w:t>
      </w:r>
      <w:r w:rsidRPr="0031753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37CF77A"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C2EC94D"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9ED81D7"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9ADA09"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AAB8FAC" w14:textId="77777777" w:rsidR="00E12D72" w:rsidRPr="00317531" w:rsidRDefault="007C46EB">
      <w:pPr>
        <w:spacing w:before="240" w:after="240" w:line="360" w:lineRule="auto"/>
        <w:jc w:val="both"/>
        <w:rPr>
          <w:rFonts w:ascii="Palatino Linotype" w:eastAsia="Palatino Linotype" w:hAnsi="Palatino Linotype" w:cs="Palatino Linotype"/>
          <w:strike/>
          <w:sz w:val="22"/>
          <w:szCs w:val="22"/>
        </w:rPr>
      </w:pPr>
      <w:r w:rsidRPr="0031753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2B36B75" w14:textId="77777777" w:rsidR="00E12D72" w:rsidRPr="00317531" w:rsidRDefault="007C46EB">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82E6DA0" w14:textId="77777777" w:rsidR="00E12D72" w:rsidRPr="00317531" w:rsidRDefault="007C46EB">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Actividad Procesal del interesado. Acciones u omisiones del interesado.</w:t>
      </w:r>
    </w:p>
    <w:p w14:paraId="5830725C" w14:textId="77777777" w:rsidR="00E12D72" w:rsidRPr="00317531" w:rsidRDefault="007C46EB">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55A00817" w14:textId="77777777" w:rsidR="00E12D72" w:rsidRPr="00317531" w:rsidRDefault="007C46EB">
      <w:pPr>
        <w:tabs>
          <w:tab w:val="left" w:pos="567"/>
        </w:tabs>
        <w:spacing w:before="240" w:after="240" w:line="360" w:lineRule="auto"/>
        <w:ind w:left="284"/>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77633DEF"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4BE306" w14:textId="77777777" w:rsidR="00E12D72" w:rsidRPr="00317531" w:rsidRDefault="007C46EB">
      <w:pPr>
        <w:spacing w:before="240" w:after="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317531">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317531">
        <w:rPr>
          <w:rFonts w:ascii="Palatino Linotype" w:eastAsia="Palatino Linotype" w:hAnsi="Palatino Linotype" w:cs="Palatino Linotype"/>
          <w:sz w:val="22"/>
          <w:szCs w:val="22"/>
        </w:rPr>
        <w:t>, visible en la Gaceta del Seminario Judicial de la Federación con el registro digital 205635.</w:t>
      </w:r>
    </w:p>
    <w:p w14:paraId="3B5137EB"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DB0AF0"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F3F677D" w14:textId="77777777" w:rsidR="00E12D72" w:rsidRPr="00317531" w:rsidRDefault="007C46EB">
      <w:pPr>
        <w:spacing w:before="120" w:after="120"/>
        <w:ind w:left="851" w:right="902"/>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 </w:t>
      </w: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sz w:val="22"/>
          <w:szCs w:val="22"/>
        </w:rPr>
        <w:t xml:space="preserve"> consultable en el Seminario Judicial de la Federación y su gaceta, con el registro digital 2002351.</w:t>
      </w:r>
    </w:p>
    <w:p w14:paraId="2E71F922" w14:textId="77777777" w:rsidR="00E12D72" w:rsidRPr="00317531" w:rsidRDefault="007C46EB">
      <w:pPr>
        <w:spacing w:before="120" w:after="120"/>
        <w:ind w:left="851" w:right="902"/>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sz w:val="22"/>
          <w:szCs w:val="22"/>
        </w:rPr>
        <w:t>, visible en el Seminario Judicial de la Federación y su gaceta, con el registro digital 2002350.</w:t>
      </w:r>
    </w:p>
    <w:p w14:paraId="656F5535"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B24B382"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A077996" w14:textId="77777777" w:rsidR="00E12D72" w:rsidRPr="00317531" w:rsidRDefault="00E12D72">
      <w:pPr>
        <w:spacing w:before="240" w:after="240" w:line="360" w:lineRule="auto"/>
        <w:jc w:val="both"/>
        <w:rPr>
          <w:rFonts w:ascii="Palatino Linotype" w:eastAsia="Palatino Linotype" w:hAnsi="Palatino Linotype" w:cs="Palatino Linotype"/>
          <w:sz w:val="22"/>
          <w:szCs w:val="22"/>
        </w:rPr>
      </w:pPr>
    </w:p>
    <w:p w14:paraId="1BD056F8" w14:textId="77777777" w:rsidR="00E12D72" w:rsidRPr="00317531" w:rsidRDefault="007C46EB">
      <w:pPr>
        <w:widowControl w:val="0"/>
        <w:spacing w:before="240" w:after="240" w:line="360" w:lineRule="auto"/>
        <w:jc w:val="center"/>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II. C O N S I D E R A N D O S</w:t>
      </w:r>
    </w:p>
    <w:p w14:paraId="22A53C04"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Primero. Competencia.</w:t>
      </w:r>
      <w:r w:rsidRPr="0031753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7FC29B7"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317531">
        <w:rPr>
          <w:rFonts w:ascii="Palatino Linotype" w:eastAsia="Palatino Linotype" w:hAnsi="Palatino Linotype" w:cs="Palatino Linotype"/>
          <w:b/>
          <w:bCs/>
          <w:sz w:val="22"/>
          <w:szCs w:val="22"/>
        </w:rPr>
        <w:t>Segundo. Oportunidad y Procedibilidad del Recurso de Revisión</w:t>
      </w:r>
      <w:r w:rsidRPr="0031753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D9172A"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 xml:space="preserve">remitió la respuesta a la solicitud de información el día </w:t>
      </w:r>
      <w:r w:rsidRPr="00317531">
        <w:rPr>
          <w:rFonts w:ascii="Palatino Linotype" w:eastAsia="Palatino Linotype" w:hAnsi="Palatino Linotype" w:cs="Palatino Linotype"/>
          <w:b/>
          <w:bCs/>
          <w:sz w:val="22"/>
          <w:szCs w:val="22"/>
        </w:rPr>
        <w:t xml:space="preserve">diecisiete de julio de dos mil veinticinco, </w:t>
      </w:r>
      <w:r w:rsidRPr="00317531">
        <w:rPr>
          <w:rFonts w:ascii="Palatino Linotype" w:eastAsia="Palatino Linotype" w:hAnsi="Palatino Linotype" w:cs="Palatino Linotype"/>
          <w:sz w:val="22"/>
          <w:szCs w:val="22"/>
        </w:rPr>
        <w:t xml:space="preserve">mientras que el recurso de revisión interpuesto por la parte </w:t>
      </w:r>
      <w:r w:rsidRPr="00317531">
        <w:rPr>
          <w:rFonts w:ascii="Palatino Linotype" w:eastAsia="Palatino Linotype" w:hAnsi="Palatino Linotype" w:cs="Palatino Linotype"/>
          <w:b/>
          <w:bCs/>
          <w:sz w:val="22"/>
          <w:szCs w:val="22"/>
        </w:rPr>
        <w:t xml:space="preserve">Recurrente, </w:t>
      </w:r>
      <w:r w:rsidRPr="00317531">
        <w:rPr>
          <w:rFonts w:ascii="Palatino Linotype" w:eastAsia="Palatino Linotype" w:hAnsi="Palatino Linotype" w:cs="Palatino Linotype"/>
          <w:sz w:val="22"/>
          <w:szCs w:val="22"/>
        </w:rPr>
        <w:t>se tuvo por presentado el día</w:t>
      </w:r>
      <w:r w:rsidRPr="00317531">
        <w:rPr>
          <w:rFonts w:ascii="Palatino Linotype" w:eastAsia="Palatino Linotype" w:hAnsi="Palatino Linotype" w:cs="Palatino Linotype"/>
          <w:b/>
          <w:bCs/>
          <w:sz w:val="22"/>
          <w:szCs w:val="22"/>
        </w:rPr>
        <w:t xml:space="preserve"> cuatro de agosto de dos mil veinticinco, </w:t>
      </w:r>
      <w:r w:rsidRPr="00317531">
        <w:rPr>
          <w:rFonts w:ascii="Palatino Linotype" w:eastAsia="Palatino Linotype" w:hAnsi="Palatino Linotype" w:cs="Palatino Linotype"/>
          <w:sz w:val="22"/>
          <w:szCs w:val="22"/>
        </w:rPr>
        <w:t>esto es, al siguiente día hábil posterior a aquel en el que tuvo conocimiento de la respuesta impugnada. En este sentido, se concluye que el presente recurso de revisión se encuentra dentro de los márgenes temporales previstos en las disposiciones legales referidas.</w:t>
      </w:r>
    </w:p>
    <w:p w14:paraId="265A7D40" w14:textId="77777777" w:rsidR="00E12D72" w:rsidRPr="00317531" w:rsidRDefault="007C46EB">
      <w:pPr>
        <w:spacing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Además, por cuanto hace a la procedibilidad del recurso de revisión, es de suma importancia señalar que la parte</w:t>
      </w:r>
      <w:r w:rsidRPr="00317531">
        <w:rPr>
          <w:rFonts w:ascii="Palatino Linotype" w:eastAsia="Palatino Linotype" w:hAnsi="Palatino Linotype" w:cs="Palatino Linotype"/>
          <w:b/>
          <w:bCs/>
          <w:sz w:val="22"/>
          <w:szCs w:val="22"/>
        </w:rPr>
        <w:t xml:space="preserve"> Recurrente</w:t>
      </w:r>
      <w:r w:rsidRPr="00317531">
        <w:rPr>
          <w:rFonts w:ascii="Palatino Linotype" w:eastAsia="Palatino Linotype" w:hAnsi="Palatino Linotype" w:cs="Palatino Linotype"/>
          <w:sz w:val="22"/>
          <w:szCs w:val="22"/>
        </w:rPr>
        <w:t xml:space="preserve">, no señaló </w:t>
      </w:r>
      <w:r w:rsidRPr="00317531">
        <w:rPr>
          <w:rFonts w:ascii="Palatino Linotype" w:eastAsia="Palatino Linotype" w:hAnsi="Palatino Linotype" w:cs="Palatino Linotype"/>
          <w:b/>
          <w:bCs/>
          <w:sz w:val="22"/>
          <w:szCs w:val="22"/>
        </w:rPr>
        <w:t>nombre o seudónimo,</w:t>
      </w:r>
      <w:r w:rsidRPr="00317531">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883D5AA"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Las solicitudes anónimas</w:t>
      </w:r>
      <w:r w:rsidRPr="00317531">
        <w:rPr>
          <w:rFonts w:ascii="Palatino Linotype" w:eastAsia="Palatino Linotype" w:hAnsi="Palatino Linotype" w:cs="Palatino Linotype"/>
          <w:i/>
          <w:iCs/>
          <w:sz w:val="22"/>
          <w:szCs w:val="22"/>
        </w:rPr>
        <w:t xml:space="preserve">, con nombre incompleto o </w:t>
      </w:r>
      <w:r w:rsidRPr="00317531">
        <w:rPr>
          <w:rFonts w:ascii="Palatino Linotype" w:eastAsia="Palatino Linotype" w:hAnsi="Palatino Linotype" w:cs="Palatino Linotype"/>
          <w:b/>
          <w:bCs/>
          <w:i/>
          <w:iCs/>
          <w:sz w:val="22"/>
          <w:szCs w:val="22"/>
        </w:rPr>
        <w:t>seudónimo</w:t>
      </w:r>
      <w:r w:rsidRPr="00317531">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74A8DDA8" w14:textId="77777777" w:rsidR="00E12D72" w:rsidRPr="00317531" w:rsidRDefault="007C46EB">
      <w:pPr>
        <w:spacing w:before="240" w:after="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317531">
        <w:rPr>
          <w:rFonts w:ascii="Palatino Linotype" w:eastAsia="Palatino Linotype" w:hAnsi="Palatino Linotype" w:cs="Palatino Linotype"/>
          <w:b/>
          <w:bCs/>
          <w:sz w:val="22"/>
          <w:szCs w:val="22"/>
        </w:rPr>
        <w:t xml:space="preserve"> SAIMEX.</w:t>
      </w:r>
    </w:p>
    <w:p w14:paraId="0D4C5C76"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xml:space="preserve"> en sus motivos de inconformidad, de acuerdo al artículo 179, fracciones I y V del ordenamiento legal citado, que a la letra dice: </w:t>
      </w:r>
    </w:p>
    <w:p w14:paraId="4583DA08" w14:textId="77777777" w:rsidR="00E12D72" w:rsidRPr="00317531" w:rsidRDefault="007C46EB">
      <w:pPr>
        <w:tabs>
          <w:tab w:val="left" w:pos="7938"/>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Artículo 179.</w:t>
      </w:r>
      <w:r w:rsidRPr="00317531">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6E504377" w14:textId="77777777" w:rsidR="00E12D72" w:rsidRPr="00317531" w:rsidRDefault="007C46EB">
      <w:pPr>
        <w:tabs>
          <w:tab w:val="left" w:pos="7938"/>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La negativa a la información solicitada;</w:t>
      </w:r>
    </w:p>
    <w:p w14:paraId="18390EEA" w14:textId="77777777" w:rsidR="00E12D72" w:rsidRPr="00317531" w:rsidRDefault="007C46EB">
      <w:pPr>
        <w:tabs>
          <w:tab w:val="left" w:pos="7938"/>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p>
    <w:p w14:paraId="5FFDE306" w14:textId="77777777" w:rsidR="00E12D72" w:rsidRPr="00317531" w:rsidRDefault="007C46EB">
      <w:pPr>
        <w:tabs>
          <w:tab w:val="left" w:pos="7938"/>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V</w:t>
      </w:r>
      <w:r w:rsidRPr="00317531">
        <w:rPr>
          <w:rFonts w:ascii="Palatino Linotype" w:eastAsia="Palatino Linotype" w:hAnsi="Palatino Linotype" w:cs="Palatino Linotype"/>
          <w:i/>
          <w:iCs/>
          <w:sz w:val="22"/>
          <w:szCs w:val="22"/>
        </w:rPr>
        <w:t>. La entrega de información incompleta</w:t>
      </w:r>
      <w:r w:rsidRPr="00317531">
        <w:rPr>
          <w:rFonts w:ascii="Palatino Linotype" w:eastAsia="Palatino Linotype" w:hAnsi="Palatino Linotype" w:cs="Palatino Linotype"/>
          <w:sz w:val="22"/>
          <w:szCs w:val="22"/>
        </w:rPr>
        <w:t>;</w:t>
      </w:r>
      <w:r w:rsidRPr="00317531">
        <w:rPr>
          <w:rFonts w:ascii="Palatino Linotype" w:eastAsia="Palatino Linotype" w:hAnsi="Palatino Linotype" w:cs="Palatino Linotype"/>
          <w:i/>
          <w:iCs/>
          <w:sz w:val="22"/>
          <w:szCs w:val="22"/>
        </w:rPr>
        <w:t>”</w:t>
      </w:r>
    </w:p>
    <w:p w14:paraId="29FB49FA" w14:textId="77777777" w:rsidR="00E12D72" w:rsidRPr="00317531" w:rsidRDefault="007C46EB">
      <w:pPr>
        <w:spacing w:before="240" w:after="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 xml:space="preserve">Tercero. Materia de la revisión. </w:t>
      </w:r>
      <w:r w:rsidRPr="0031753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17531">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317531">
        <w:rPr>
          <w:rFonts w:ascii="Palatino Linotype" w:eastAsia="Palatino Linotype" w:hAnsi="Palatino Linotype" w:cs="Palatino Linotype"/>
          <w:sz w:val="22"/>
          <w:szCs w:val="22"/>
        </w:rPr>
        <w:t xml:space="preserve">de 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o en su defecto, en caso de ser procedente, ordenar la entrega de información.</w:t>
      </w:r>
    </w:p>
    <w:p w14:paraId="2851CBC5"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6" w:name="_heading=h.2et92p0" w:colFirst="0" w:colLast="0"/>
      <w:bookmarkEnd w:id="6"/>
      <w:r w:rsidRPr="00317531">
        <w:rPr>
          <w:rFonts w:ascii="Palatino Linotype" w:eastAsia="Palatino Linotype" w:hAnsi="Palatino Linotype" w:cs="Palatino Linotype"/>
          <w:b/>
          <w:bCs/>
          <w:sz w:val="22"/>
          <w:szCs w:val="22"/>
        </w:rPr>
        <w:t xml:space="preserve">Cuarto. Estudio del asunto. </w:t>
      </w:r>
      <w:r w:rsidRPr="00317531">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5031723"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Artículo 4</w:t>
      </w:r>
      <w:r w:rsidRPr="00317531">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29B79FF"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317531">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1A41522"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317531">
        <w:rPr>
          <w:rFonts w:ascii="Palatino Linotype" w:eastAsia="Palatino Linotype" w:hAnsi="Palatino Linotype" w:cs="Palatino Linotype"/>
          <w:i/>
          <w:iCs/>
          <w:sz w:val="22"/>
          <w:szCs w:val="22"/>
        </w:rPr>
        <w:t>.”</w:t>
      </w:r>
    </w:p>
    <w:p w14:paraId="6ECBAFF6"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72A5ED0"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“Artículo 12.-</w:t>
      </w:r>
      <w:r w:rsidRPr="00317531">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F842183"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317531">
        <w:rPr>
          <w:rFonts w:ascii="Palatino Linotype" w:eastAsia="Palatino Linotype" w:hAnsi="Palatino Linotype" w:cs="Palatino Linotype"/>
          <w:i/>
          <w:iCs/>
          <w:sz w:val="22"/>
          <w:szCs w:val="22"/>
        </w:rPr>
        <w:t xml:space="preserve">. </w:t>
      </w:r>
      <w:r w:rsidRPr="00317531">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B06712A" w14:textId="77777777" w:rsidR="00E12D72" w:rsidRPr="00317531" w:rsidRDefault="007C46EB">
      <w:pPr>
        <w:spacing w:before="240" w:after="240" w:line="360" w:lineRule="auto"/>
        <w:ind w:right="-93"/>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130122D" w14:textId="77777777" w:rsidR="00E12D72" w:rsidRPr="00317531" w:rsidRDefault="007C46EB">
      <w:pPr>
        <w:spacing w:before="240" w:after="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317531">
        <w:rPr>
          <w:rFonts w:ascii="Palatino Linotype" w:eastAsia="Palatino Linotype" w:hAnsi="Palatino Linotype" w:cs="Palatino Linotype"/>
          <w:b/>
          <w:bCs/>
          <w:sz w:val="22"/>
          <w:szCs w:val="22"/>
        </w:rPr>
        <w:t xml:space="preserve"> </w:t>
      </w:r>
    </w:p>
    <w:p w14:paraId="0C3631DA"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 xml:space="preserve"> “</w:t>
      </w:r>
      <w:r w:rsidRPr="00317531">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317531">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6232215" w14:textId="77777777" w:rsidR="00E12D72" w:rsidRPr="00317531" w:rsidRDefault="007C46EB">
      <w:pPr>
        <w:spacing w:before="120" w:after="12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DF47B5" w14:textId="77777777" w:rsidR="00E12D72" w:rsidRPr="00317531" w:rsidRDefault="007C46EB">
      <w:pPr>
        <w:spacing w:before="120" w:after="12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CCEE0EA"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 xml:space="preserve">Artículo 3. </w:t>
      </w:r>
      <w:r w:rsidRPr="00317531">
        <w:rPr>
          <w:rFonts w:ascii="Palatino Linotype" w:eastAsia="Palatino Linotype" w:hAnsi="Palatino Linotype" w:cs="Palatino Linotype"/>
          <w:i/>
          <w:iCs/>
          <w:sz w:val="22"/>
          <w:szCs w:val="22"/>
        </w:rPr>
        <w:t>Para los efectos de la presente Ley se entenderá por:</w:t>
      </w:r>
    </w:p>
    <w:p w14:paraId="27975C02"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p>
    <w:p w14:paraId="74B17AE3"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XI. Documento:</w:t>
      </w:r>
      <w:r w:rsidRPr="00317531">
        <w:rPr>
          <w:rFonts w:ascii="Palatino Linotype" w:eastAsia="Palatino Linotype" w:hAnsi="Palatino Linotype" w:cs="Palatino Linotype"/>
          <w:i/>
          <w:iCs/>
          <w:sz w:val="22"/>
          <w:szCs w:val="22"/>
        </w:rPr>
        <w:t xml:space="preserve"> Los expedientes, reportes, estudios, actas</w:t>
      </w:r>
      <w:r w:rsidRPr="00317531">
        <w:rPr>
          <w:rFonts w:ascii="Palatino Linotype" w:eastAsia="Palatino Linotype" w:hAnsi="Palatino Linotype" w:cs="Palatino Linotype"/>
          <w:b/>
          <w:bCs/>
          <w:i/>
          <w:iCs/>
          <w:sz w:val="22"/>
          <w:szCs w:val="22"/>
        </w:rPr>
        <w:t>,</w:t>
      </w:r>
      <w:r w:rsidRPr="00317531">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7C43F37"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B9F86D"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sz w:val="22"/>
          <w:szCs w:val="22"/>
        </w:rPr>
        <w:t>“</w:t>
      </w:r>
      <w:r w:rsidRPr="00317531">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317531">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F7C2019"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37E84942"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654F2B36"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2939A656"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23AF046A"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C4921D0"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CA2F117"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xml:space="preserve"> requirió al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le proporcione, información consistente en lo siguiente:</w:t>
      </w:r>
    </w:p>
    <w:p w14:paraId="4207F8F7" w14:textId="77777777" w:rsidR="00E12D72" w:rsidRPr="00317531" w:rsidRDefault="007C46EB">
      <w:pPr>
        <w:spacing w:before="240" w:after="240" w:line="360" w:lineRule="auto"/>
        <w:ind w:left="284" w:right="51"/>
        <w:jc w:val="both"/>
        <w:rPr>
          <w:rFonts w:ascii="Palatino Linotype" w:eastAsia="Palatino Linotype" w:hAnsi="Palatino Linotype" w:cs="Palatino Linotype"/>
          <w:b/>
          <w:bCs/>
          <w:sz w:val="22"/>
          <w:szCs w:val="22"/>
          <w:u w:val="single"/>
        </w:rPr>
      </w:pPr>
      <w:r w:rsidRPr="00317531">
        <w:rPr>
          <w:rFonts w:ascii="Palatino Linotype" w:eastAsia="Palatino Linotype" w:hAnsi="Palatino Linotype" w:cs="Palatino Linotype"/>
          <w:sz w:val="22"/>
          <w:szCs w:val="22"/>
        </w:rPr>
        <w:t xml:space="preserve">1. Los curriculum de todos los integrantes de la administración 2025-2027 </w:t>
      </w:r>
      <w:r w:rsidRPr="00317531">
        <w:rPr>
          <w:rFonts w:ascii="Palatino Linotype" w:eastAsia="Palatino Linotype" w:hAnsi="Palatino Linotype" w:cs="Palatino Linotype"/>
          <w:b/>
          <w:bCs/>
          <w:sz w:val="22"/>
          <w:szCs w:val="22"/>
          <w:u w:val="single"/>
        </w:rPr>
        <w:t>que se encuentran en el organigrama de la administración.</w:t>
      </w:r>
    </w:p>
    <w:p w14:paraId="46E6EE14" w14:textId="77777777" w:rsidR="00E12D72" w:rsidRPr="00317531" w:rsidRDefault="007C46EB">
      <w:pPr>
        <w:spacing w:before="240" w:after="240" w:line="360" w:lineRule="auto"/>
        <w:ind w:left="284"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2. Toda la documentación que acredite el alta como servidores públicos.</w:t>
      </w:r>
    </w:p>
    <w:p w14:paraId="244840A5" w14:textId="77777777" w:rsidR="00E12D72" w:rsidRPr="00317531" w:rsidRDefault="007C46EB">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02E4C972"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E10C32D"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041C6800"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0CE7987" w14:textId="77777777" w:rsidR="00E12D72" w:rsidRPr="00317531" w:rsidRDefault="007C46EB">
      <w:pPr>
        <w:spacing w:before="280" w:after="28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En el caso particular, es de recordar que la Unidad de Transparencia turnó la solicitud a la Dirección General de Administración, como la dependencia competente para cotar con la información que es del interés de la persona solicitante.</w:t>
      </w:r>
    </w:p>
    <w:p w14:paraId="1C190C5B" w14:textId="77777777" w:rsidR="00E12D72" w:rsidRPr="00317531" w:rsidRDefault="007C46EB">
      <w:pPr>
        <w:spacing w:before="280" w:after="28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La Dirección General de Administración, la cual, de conformidad con el artículo 3.32 del Código Reglamentario de Toluca vigente, se auxilia de diversas unidades administrativas, para el cumplimiento de sus atribuciones, entre las que se encuentra la Dirección de Recursos Humanos, cuyas responsabilidades se encuentran conferidas en el artículo 3.33 del Código Reglamentario, siendo de interés para el tema que nos ocupa las siguientes:</w:t>
      </w:r>
    </w:p>
    <w:p w14:paraId="07FBD082" w14:textId="77777777" w:rsidR="00E12D72" w:rsidRPr="00317531" w:rsidRDefault="007C46EB">
      <w:pPr>
        <w:spacing w:before="280" w:after="280" w:line="360" w:lineRule="auto"/>
        <w:ind w:left="284"/>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Elaborar, operar y mejorar los procedimientos administrativos para la selección, reclutamiento, contratación, escalafón, inducción, evaluación del desempeño, capacitación, baja, comisión, licencias prejubilatorias, y desarrollo del personal al servicio del Municipio de acuerdo a lo dispuesto en la normatividad aplicable.</w:t>
      </w:r>
    </w:p>
    <w:p w14:paraId="627ACFB6" w14:textId="77777777" w:rsidR="00E12D72" w:rsidRPr="00317531" w:rsidRDefault="007C46EB">
      <w:pPr>
        <w:spacing w:before="280" w:after="280" w:line="360" w:lineRule="auto"/>
        <w:ind w:left="284"/>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Registrar, controlar y dar seguimiento a los movimientos de personal como, altas, reingresos, bajas, remociones, renuncias, retiro, cambios de categoría y adscripción, promociones, comisiones, entre otras;</w:t>
      </w:r>
    </w:p>
    <w:p w14:paraId="1C7F53B5" w14:textId="77777777" w:rsidR="00E12D72" w:rsidRPr="00317531" w:rsidRDefault="007C46EB">
      <w:pPr>
        <w:spacing w:before="280" w:after="280" w:line="360" w:lineRule="auto"/>
        <w:ind w:left="284"/>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 de los impuestos y la emisión de los CFDI correspondientes una vez realizado el pago;</w:t>
      </w:r>
    </w:p>
    <w:p w14:paraId="5BBB1162"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Como logra vislumbrarse, es la Dirección de Recursos Humanos la instancia competente para dar atención a la solicitud, al ser esta la facultada para registrar, controlar y dar seguimiento a los movimientos de personal como las altas; integrar el expediente de personal; así como de elaborar y distribuir de manera oportuna de la nómina para el pago al personal que labora en el Ayuntamiento por concepto de sueldos.</w:t>
      </w:r>
    </w:p>
    <w:p w14:paraId="3296B325"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Ahora bien, en respuesta, el servidor público habilitado de la Dirección General de Administración, manifestó que la información que es del interés de la persona solicitante puede ser consultada en el portal de Información de Oficio Mexiquense, IPOMEX, para lo cual proporcionó una dirección electrónica en formato cerrado.</w:t>
      </w:r>
    </w:p>
    <w:p w14:paraId="5A636469"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Al no estar conforme con los términos de la respuesta proporcionada, la parte </w:t>
      </w:r>
      <w:r w:rsidRPr="00317531">
        <w:rPr>
          <w:rFonts w:ascii="Palatino Linotype" w:eastAsia="Palatino Linotype" w:hAnsi="Palatino Linotype" w:cs="Palatino Linotype"/>
          <w:b/>
          <w:bCs/>
          <w:sz w:val="22"/>
          <w:szCs w:val="22"/>
        </w:rPr>
        <w:t xml:space="preserve">Recurrente </w:t>
      </w:r>
      <w:r w:rsidRPr="00317531">
        <w:rPr>
          <w:rFonts w:ascii="Palatino Linotype" w:eastAsia="Palatino Linotype" w:hAnsi="Palatino Linotype" w:cs="Palatino Linotype"/>
          <w:sz w:val="22"/>
          <w:szCs w:val="22"/>
        </w:rPr>
        <w:t>presentó el recurso de revisión que nos ocupa, donde señaló como motivo de inconformidad, la negativa de la información, por lo que reiteró su requerimiento de información.</w:t>
      </w:r>
    </w:p>
    <w:p w14:paraId="32100569"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la etapa de manifestaciones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 xml:space="preserve">ratificó en lo sustancial la respuesta proporcionada en primera instancia, mientras que la parte </w:t>
      </w:r>
      <w:r w:rsidRPr="00317531">
        <w:rPr>
          <w:rFonts w:ascii="Palatino Linotype" w:eastAsia="Palatino Linotype" w:hAnsi="Palatino Linotype" w:cs="Palatino Linotype"/>
          <w:b/>
          <w:bCs/>
          <w:sz w:val="22"/>
          <w:szCs w:val="22"/>
        </w:rPr>
        <w:t xml:space="preserve">Recurrente, </w:t>
      </w:r>
      <w:r w:rsidRPr="00317531">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2BAC4AE3" w14:textId="77777777" w:rsidR="00E12D72" w:rsidRPr="00317531" w:rsidRDefault="007C46EB">
      <w:pPr>
        <w:spacing w:before="280" w:after="28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 xml:space="preserve">en contraposición con el motivo de inconformidad alegado por la parte </w:t>
      </w:r>
      <w:r w:rsidRPr="00317531">
        <w:rPr>
          <w:rFonts w:ascii="Palatino Linotype" w:eastAsia="Palatino Linotype" w:hAnsi="Palatino Linotype" w:cs="Palatino Linotype"/>
          <w:b/>
          <w:bCs/>
          <w:sz w:val="22"/>
          <w:szCs w:val="22"/>
        </w:rPr>
        <w:t xml:space="preserve">Recurrente, </w:t>
      </w:r>
      <w:r w:rsidRPr="00317531">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BC1B3B8" w14:textId="77777777" w:rsidR="00E12D72" w:rsidRPr="00317531" w:rsidRDefault="007C46EB">
      <w:pPr>
        <w:tabs>
          <w:tab w:val="left" w:pos="709"/>
        </w:tabs>
        <w:spacing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En este tenor, es de recordar que la Dirección General de Administración proporcionó la siguiente dirección electrónica para la consulta de la información:</w:t>
      </w:r>
    </w:p>
    <w:p w14:paraId="211857BD" w14:textId="77777777" w:rsidR="00E12D72" w:rsidRPr="00317531" w:rsidRDefault="007C46EB">
      <w:pPr>
        <w:tabs>
          <w:tab w:val="left" w:pos="709"/>
        </w:tabs>
        <w:spacing w:line="360" w:lineRule="auto"/>
        <w:jc w:val="center"/>
        <w:rPr>
          <w:rFonts w:ascii="Palatino Linotype" w:eastAsia="Palatino Linotype" w:hAnsi="Palatino Linotype" w:cs="Palatino Linotype"/>
          <w:sz w:val="22"/>
          <w:szCs w:val="22"/>
        </w:rPr>
      </w:pPr>
      <w:r w:rsidRPr="00317531">
        <w:rPr>
          <w:rFonts w:ascii="Palatino Linotype" w:eastAsia="Palatino Linotype" w:hAnsi="Palatino Linotype" w:cs="Palatino Linotype"/>
          <w:noProof/>
          <w:sz w:val="22"/>
          <w:szCs w:val="22"/>
        </w:rPr>
        <w:drawing>
          <wp:inline distT="0" distB="0" distL="0" distR="0" wp14:anchorId="79FB09D3" wp14:editId="2EB4E4E8">
            <wp:extent cx="5040000" cy="649531"/>
            <wp:effectExtent l="0" t="0" r="0" b="0"/>
            <wp:docPr id="214013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40000" cy="649531"/>
                    </a:xfrm>
                    <a:prstGeom prst="rect">
                      <a:avLst/>
                    </a:prstGeom>
                    <a:ln/>
                  </pic:spPr>
                </pic:pic>
              </a:graphicData>
            </a:graphic>
          </wp:inline>
        </w:drawing>
      </w:r>
    </w:p>
    <w:p w14:paraId="3DEAA27C" w14:textId="77777777" w:rsidR="00E12D72" w:rsidRPr="00317531" w:rsidRDefault="007C46EB">
      <w:pPr>
        <w:tabs>
          <w:tab w:val="left" w:pos="709"/>
        </w:tabs>
        <w:spacing w:before="240" w:after="240" w:line="360" w:lineRule="auto"/>
        <w:jc w:val="both"/>
        <w:rPr>
          <w:rFonts w:ascii="Palatino Linotype" w:eastAsia="Palatino Linotype" w:hAnsi="Palatino Linotype" w:cs="Palatino Linotype"/>
          <w:sz w:val="22"/>
          <w:szCs w:val="22"/>
        </w:rPr>
      </w:pPr>
      <w:bookmarkStart w:id="7" w:name="_heading=h.17u084lktg4g" w:colFirst="0" w:colLast="0"/>
      <w:bookmarkEnd w:id="7"/>
      <w:r w:rsidRPr="00317531">
        <w:rPr>
          <w:rFonts w:ascii="Palatino Linotype" w:eastAsia="Palatino Linotype" w:hAnsi="Palatino Linotype" w:cs="Palatino Linotype"/>
          <w:sz w:val="22"/>
          <w:szCs w:val="22"/>
        </w:rPr>
        <w:t xml:space="preserve">Como se logra vislumbrar, la </w:t>
      </w:r>
      <w:r w:rsidRPr="00317531">
        <w:rPr>
          <w:rFonts w:ascii="Palatino Linotype" w:eastAsia="Palatino Linotype" w:hAnsi="Palatino Linotype" w:cs="Palatino Linotype"/>
          <w:sz w:val="22"/>
          <w:szCs w:val="22"/>
        </w:rPr>
        <w:tab/>
        <w:t>dirección electrónica se proporcionó a través de un documento digitalizado en formato cerrado que no permite editar, modificar o procesar su contenido, es decir, no permite la reutilización de la información o la interoperabilidad de la misma, por lo que se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razón por la cual no puede tenerse por válida la dirección electrónica proporcionada.</w:t>
      </w:r>
    </w:p>
    <w:p w14:paraId="6D684B0E" w14:textId="77777777" w:rsidR="00E12D72" w:rsidRPr="00317531" w:rsidRDefault="007C46EB">
      <w:pPr>
        <w:tabs>
          <w:tab w:val="left" w:pos="709"/>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Lo anterior se sustenta con el hecho de que la persona solicitante al no poder acceder a la información contenida en el portal de referencia, presentó el recurso de revisión que se resuelve, donde alegó la negativa de la información, por consiguiente, no puede tenerse por satisfecho el Derecho de acceso.</w:t>
      </w:r>
    </w:p>
    <w:p w14:paraId="55145A63"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este orden de ideas, es necesario que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previa búsqueda exhaustiva y razonable en los archivos del área competente, haga entrega, en versión pública de ser necesario de conformidad con el considerando siguiente, del soporte documental que atienda lo solicitado.</w:t>
      </w:r>
    </w:p>
    <w:p w14:paraId="08DC5D03"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En este tenor, no obsta mencionar que el concepto “curriculum” corresponde a una locución latina cuyo significado es “</w:t>
      </w:r>
      <w:r w:rsidRPr="00317531">
        <w:rPr>
          <w:rFonts w:ascii="Palatino Linotype" w:eastAsia="Palatino Linotype" w:hAnsi="Palatino Linotype" w:cs="Palatino Linotype"/>
          <w:i/>
          <w:iCs/>
          <w:sz w:val="22"/>
          <w:szCs w:val="22"/>
        </w:rPr>
        <w:t>carrera de vida”, Se usa como locución nominal masculina para designar la relación de los datos personales, formación académica, actividad laboral y méritos de una persona.”</w:t>
      </w:r>
      <w:r w:rsidRPr="00317531">
        <w:rPr>
          <w:rFonts w:ascii="Palatino Linotype" w:eastAsia="Palatino Linotype" w:hAnsi="Palatino Linotype" w:cs="Palatino Linotype"/>
          <w:sz w:val="22"/>
          <w:szCs w:val="22"/>
        </w:rPr>
        <w:t xml:space="preserve"> (Sic)</w:t>
      </w:r>
    </w:p>
    <w:p w14:paraId="08E8F5CA"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De la interpretación a esta definición se desprende que el currículum vitae está relacionado con la hoja de vida o carrera de vida de una persona, donde se podría apreciar la preparación académica y laboral que tiene, además de los méritos </w:t>
      </w:r>
      <w:r w:rsidRPr="00317531">
        <w:rPr>
          <w:rFonts w:ascii="Palatino Linotype" w:eastAsia="Palatino Linotype" w:hAnsi="Palatino Linotype" w:cs="Palatino Linotype"/>
          <w:b/>
          <w:bCs/>
          <w:sz w:val="22"/>
          <w:szCs w:val="22"/>
        </w:rPr>
        <w:t>obtenidos tal y como podrían ser cursos, certificaciones o capacitaciones</w:t>
      </w:r>
    </w:p>
    <w:p w14:paraId="6C29F49C"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Por su lado, la Real Academia Española, lo define como a continuación se cita: </w:t>
      </w:r>
    </w:p>
    <w:p w14:paraId="209A07A6" w14:textId="77777777" w:rsidR="00E12D72" w:rsidRPr="00317531" w:rsidRDefault="007C46EB">
      <w:pPr>
        <w:spacing w:before="240" w:after="240"/>
        <w:ind w:left="851" w:right="1127"/>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w:t>
      </w:r>
      <w:r w:rsidRPr="00317531">
        <w:rPr>
          <w:rFonts w:ascii="Palatino Linotype" w:eastAsia="Palatino Linotype" w:hAnsi="Palatino Linotype" w:cs="Palatino Linotype"/>
          <w:i/>
          <w:iCs/>
          <w:sz w:val="22"/>
          <w:szCs w:val="22"/>
        </w:rPr>
        <w:t>Relación de los títulos, honores, cargos, trabajos realizados, datos biográficos, etc, que califican a una persona</w:t>
      </w:r>
      <w:r w:rsidRPr="00317531">
        <w:rPr>
          <w:rFonts w:ascii="Palatino Linotype" w:eastAsia="Palatino Linotype" w:hAnsi="Palatino Linotype" w:cs="Palatino Linotype"/>
          <w:sz w:val="22"/>
          <w:szCs w:val="22"/>
        </w:rPr>
        <w:t>” (Sic)</w:t>
      </w:r>
    </w:p>
    <w:p w14:paraId="50243243"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Desde esta perspectiva, a través del currículum vitae se pueden conocer los estudios realizados o bien el nivel académico, así como la experiencia laboral de los servidores públicos que se encuentran adscritos a un Sujeto Obligado, información que es de carácter público de conformidad con el criterio orientador 03/2009, emitido por el entonces Instituto Federal de Acceso a la Información y Protección de Datos, IFAI, antes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17A90EB5" w14:textId="77777777" w:rsidR="00E12D72" w:rsidRPr="00317531" w:rsidRDefault="007C46EB">
      <w:pPr>
        <w:spacing w:before="120" w:after="120"/>
        <w:ind w:left="851" w:right="1127"/>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Curriculum Vitae de servidores públicos. Es obligación de los sujetos obligados otorgar acceso a versiones públicas de los mismos ante una solicitud de acceso</w:t>
      </w:r>
      <w:r w:rsidRPr="00317531">
        <w:rPr>
          <w:rFonts w:ascii="Palatino Linotype" w:eastAsia="Palatino Linotype" w:hAnsi="Palatino Linotype" w:cs="Palatino Linotype"/>
          <w:i/>
          <w:iCs/>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w:t>
      </w:r>
      <w:r w:rsidRPr="00317531">
        <w:rPr>
          <w:rFonts w:ascii="Palatino Linotype" w:eastAsia="Palatino Linotype" w:hAnsi="Palatino Linotype" w:cs="Palatino Linotype"/>
          <w:b/>
          <w:bCs/>
          <w:i/>
          <w:iCs/>
          <w:sz w:val="22"/>
          <w:szCs w:val="22"/>
        </w:rPr>
        <w:t>Si bien en el curriculum vitae se describe información de una persona relacionada con su formación académica, trayectoria profesional, datos de contacto, datos biográficos, entre otros, los cuales constituyen datos personales</w:t>
      </w:r>
      <w:r w:rsidRPr="00317531">
        <w:rPr>
          <w:rFonts w:ascii="Palatino Linotype" w:eastAsia="Palatino Linotype" w:hAnsi="Palatino Linotype" w:cs="Palatino Linotype"/>
          <w:i/>
          <w:iCs/>
          <w:sz w:val="22"/>
          <w:szCs w:val="22"/>
        </w:rPr>
        <w:t xml:space="preserve">,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317531">
        <w:rPr>
          <w:rFonts w:ascii="Palatino Linotype" w:eastAsia="Palatino Linotype" w:hAnsi="Palatino Linotype" w:cs="Palatino Linotype"/>
          <w:b/>
          <w:bCs/>
          <w:i/>
          <w:iCs/>
          <w:sz w:val="22"/>
          <w:szCs w:val="22"/>
        </w:rPr>
        <w:t>tratándose del curriculum vitae de un servidor público, una de las formas en que los ciudadanos pueden evaluar sus aptitudes para desempeñar el cargo público que le ha sido encomendado, es mediante la publicidad de ciertos datos de los ahí contenidos</w:t>
      </w:r>
      <w:r w:rsidRPr="00317531">
        <w:rPr>
          <w:rFonts w:ascii="Palatino Linotype" w:eastAsia="Palatino Linotype" w:hAnsi="Palatino Linotype" w:cs="Palatino Linotype"/>
          <w:i/>
          <w:iCs/>
          <w:sz w:val="22"/>
          <w:szCs w:val="22"/>
        </w:rPr>
        <w:t xml:space="preserve">. En esa tesitura, entre los datos personales del curriculum vitae de un servidor público </w:t>
      </w:r>
      <w:r w:rsidRPr="00317531">
        <w:rPr>
          <w:rFonts w:ascii="Palatino Linotype" w:eastAsia="Palatino Linotype" w:hAnsi="Palatino Linotype" w:cs="Palatino Linotype"/>
          <w:b/>
          <w:bCs/>
          <w:i/>
          <w:iCs/>
          <w:sz w:val="22"/>
          <w:szCs w:val="22"/>
        </w:rPr>
        <w:t>susceptibles de hacerse del conocimiento público, ante una solicitud de acceso, se encuentran los relativos a su trayectoria académica, profesional, laboral, así como todos aquellos que acrediten su capacidad, habilidades o pericia para ocupar el cargo público</w:t>
      </w:r>
      <w:r w:rsidRPr="00317531">
        <w:rPr>
          <w:rFonts w:ascii="Palatino Linotype" w:eastAsia="Palatino Linotype" w:hAnsi="Palatino Linotype" w:cs="Palatino Linotype"/>
          <w:i/>
          <w:iCs/>
          <w:sz w:val="22"/>
          <w:szCs w:val="22"/>
        </w:rPr>
        <w:t>.”</w:t>
      </w:r>
    </w:p>
    <w:p w14:paraId="4BA5EB7A"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w:t>
      </w:r>
    </w:p>
    <w:p w14:paraId="37478A3A"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Por lo que es posible determinar que el currículum vitae 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E8EA3EB"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Y, si bien es cierto que no existe disposición legal que ordene de manera expresa que los Sujetos Obligados, deban contar en sus archivos con un documento denominado “currículum vitae” de sus servidores públicos, también lo es que para el desempeño de un empleo, cargo o comisión en el servicio público sí es requisito, entre otros, presentar una solicitud del empleo, que es un documento en el que se pudiera advertir también la experiencia académica, capacitaciones o aprendizajes de un Servidor Público, por así determinarlo el artículo 47, fracción I de la Ley del Trabajo de los Servidores Públicos del Estado y Municipios, vigente en la entidad, el cual a la letra dice lo siguiente:</w:t>
      </w:r>
    </w:p>
    <w:p w14:paraId="513347D6" w14:textId="77777777" w:rsidR="00E12D72" w:rsidRPr="00317531" w:rsidRDefault="007C46EB">
      <w:pPr>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ARTÍCULO 47</w:t>
      </w:r>
      <w:r w:rsidRPr="00317531">
        <w:rPr>
          <w:rFonts w:ascii="Palatino Linotype" w:eastAsia="Palatino Linotype" w:hAnsi="Palatino Linotype" w:cs="Palatino Linotype"/>
          <w:i/>
          <w:iCs/>
          <w:sz w:val="22"/>
          <w:szCs w:val="22"/>
        </w:rPr>
        <w:t xml:space="preserve">. Para ingresar al servicio público se requiere: </w:t>
      </w:r>
    </w:p>
    <w:p w14:paraId="3757B1F0" w14:textId="77777777" w:rsidR="00E12D72" w:rsidRPr="00317531" w:rsidRDefault="007C46EB">
      <w:pPr>
        <w:spacing w:before="120" w:after="120"/>
        <w:ind w:left="851" w:right="900"/>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xml:space="preserve">. </w:t>
      </w:r>
      <w:r w:rsidRPr="00317531">
        <w:rPr>
          <w:rFonts w:ascii="Palatino Linotype" w:eastAsia="Palatino Linotype" w:hAnsi="Palatino Linotype" w:cs="Palatino Linotype"/>
          <w:b/>
          <w:bCs/>
          <w:i/>
          <w:iCs/>
          <w:sz w:val="22"/>
          <w:szCs w:val="22"/>
        </w:rPr>
        <w:t>Presentar una solicitud utilizando la forma oficial</w:t>
      </w:r>
      <w:r w:rsidRPr="00317531">
        <w:rPr>
          <w:rFonts w:ascii="Palatino Linotype" w:eastAsia="Palatino Linotype" w:hAnsi="Palatino Linotype" w:cs="Palatino Linotype"/>
          <w:i/>
          <w:iCs/>
          <w:sz w:val="22"/>
          <w:szCs w:val="22"/>
        </w:rPr>
        <w:t xml:space="preserve"> que se autorice por la institución pública o dependencia correspondiente, </w:t>
      </w:r>
      <w:r w:rsidRPr="00317531">
        <w:rPr>
          <w:rFonts w:ascii="Palatino Linotype" w:eastAsia="Palatino Linotype" w:hAnsi="Palatino Linotype" w:cs="Palatino Linotype"/>
          <w:b/>
          <w:bCs/>
          <w:i/>
          <w:iCs/>
          <w:sz w:val="22"/>
          <w:szCs w:val="22"/>
        </w:rPr>
        <w:t>a la cual se le prohíbe incluir la fotografía de quien solicita el empleo;”</w:t>
      </w:r>
    </w:p>
    <w:p w14:paraId="3A520BD2"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Por otro lado, debe apuntarse que la información curricular constituye una obligación de transparencia, pues los Sujetos Obligados cuentan con el deber de poner a disposición del público en el portal de Información Pública de Oficio Mexiquense, IPOMEX, la información curricular de sus servidores públicos, ello con la finalidad de enaltecer los principios de máxima publicidad, transparencia y certeza, como lo estipula  el artículo 92, fracción XXI de la Ley de Transparencia y Acceso a la Información Pública del Estado de México y Municipios, que es del tenor literal siguiente: </w:t>
      </w:r>
    </w:p>
    <w:p w14:paraId="789C43A3" w14:textId="77777777" w:rsidR="00E12D72" w:rsidRPr="00317531" w:rsidRDefault="007C46EB">
      <w:pPr>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Artículo 92</w:t>
      </w:r>
      <w:r w:rsidRPr="00317531">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DBC7F1" w14:textId="77777777" w:rsidR="00E12D72" w:rsidRPr="00317531" w:rsidRDefault="007C46EB">
      <w:pPr>
        <w:tabs>
          <w:tab w:val="left" w:pos="2535"/>
        </w:tabs>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i/>
          <w:iCs/>
          <w:sz w:val="22"/>
          <w:szCs w:val="22"/>
        </w:rPr>
        <w:tab/>
      </w:r>
    </w:p>
    <w:p w14:paraId="1392289E" w14:textId="77777777" w:rsidR="00E12D72" w:rsidRPr="00317531" w:rsidRDefault="007C46EB">
      <w:pPr>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XXI. La </w:t>
      </w:r>
      <w:r w:rsidRPr="00317531">
        <w:rPr>
          <w:rFonts w:ascii="Palatino Linotype" w:eastAsia="Palatino Linotype" w:hAnsi="Palatino Linotype" w:cs="Palatino Linotype"/>
          <w:b/>
          <w:bCs/>
          <w:i/>
          <w:iCs/>
          <w:sz w:val="22"/>
          <w:szCs w:val="22"/>
          <w:u w:val="single"/>
        </w:rPr>
        <w:t>información curricular</w:t>
      </w:r>
      <w:r w:rsidRPr="00317531">
        <w:rPr>
          <w:rFonts w:ascii="Palatino Linotype" w:eastAsia="Palatino Linotype" w:hAnsi="Palatino Linotype" w:cs="Palatino Linotype"/>
          <w:b/>
          <w:bCs/>
          <w:i/>
          <w:iCs/>
          <w:sz w:val="22"/>
          <w:szCs w:val="22"/>
        </w:rPr>
        <w:t>, desde el nivel de jefe de departamento o equivalente, hasta el titular del sujeto obligado</w:t>
      </w:r>
      <w:r w:rsidRPr="00317531">
        <w:rPr>
          <w:rFonts w:ascii="Palatino Linotype" w:eastAsia="Palatino Linotype" w:hAnsi="Palatino Linotype" w:cs="Palatino Linotype"/>
          <w:i/>
          <w:iCs/>
          <w:sz w:val="22"/>
          <w:szCs w:val="22"/>
        </w:rPr>
        <w:t>, así como, en su caso, las sanciones administrativas de que haya sido objeto;”</w:t>
      </w:r>
    </w:p>
    <w:p w14:paraId="692CF47C" w14:textId="77777777" w:rsidR="00E12D72" w:rsidRPr="00317531" w:rsidRDefault="007C46EB">
      <w:pP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7CAC36FF" w14:textId="77777777" w:rsidR="00E12D72" w:rsidRPr="00317531" w:rsidRDefault="007C46EB">
      <w:pPr>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 xml:space="preserve">XVII. </w:t>
      </w:r>
      <w:r w:rsidRPr="00317531">
        <w:rPr>
          <w:rFonts w:ascii="Palatino Linotype" w:eastAsia="Palatino Linotype" w:hAnsi="Palatino Linotype" w:cs="Palatino Linotype"/>
          <w:i/>
          <w:iCs/>
          <w:sz w:val="22"/>
          <w:szCs w:val="22"/>
        </w:rPr>
        <w:t xml:space="preserve">La información curricular desde el nivel de jefe de departamento o equivalente hasta el titular del sujeto obligado, así como, en su caso, las sanciones administrativas de que haya sido objeto. </w:t>
      </w:r>
    </w:p>
    <w:p w14:paraId="75C6E1CC" w14:textId="77777777" w:rsidR="00E12D72" w:rsidRPr="00317531" w:rsidRDefault="007C46EB">
      <w:pPr>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317531">
        <w:rPr>
          <w:rFonts w:ascii="Palatino Linotype" w:eastAsia="Palatino Linotype" w:hAnsi="Palatino Linotype" w:cs="Palatino Linotype"/>
          <w:i/>
          <w:iCs/>
          <w:sz w:val="22"/>
          <w:szCs w:val="22"/>
        </w:rPr>
        <w:t xml:space="preserve">. </w:t>
      </w:r>
    </w:p>
    <w:p w14:paraId="69D15767" w14:textId="77777777" w:rsidR="00E12D72" w:rsidRPr="00317531" w:rsidRDefault="007C46EB">
      <w:pPr>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 xml:space="preserve">Por cada servidor(a) público(a) se deberá especificar si ha sido acreedor a sanciones administrativas definitivas y que hayan sido aplicadas por autoridad u organismo competente. </w:t>
      </w:r>
    </w:p>
    <w:p w14:paraId="1F12F3D8" w14:textId="77777777" w:rsidR="00E12D72" w:rsidRPr="00317531" w:rsidRDefault="007C46EB">
      <w:pPr>
        <w:spacing w:before="120" w:after="120"/>
        <w:ind w:left="851" w:right="1128"/>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 xml:space="preserve">Periodo de actualización: trimestral </w:t>
      </w:r>
    </w:p>
    <w:p w14:paraId="35216EC0" w14:textId="77777777" w:rsidR="00E12D72" w:rsidRPr="00317531" w:rsidRDefault="007C46EB">
      <w:pPr>
        <w:spacing w:before="120" w:after="120"/>
        <w:ind w:left="851" w:right="1128"/>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En su caso, 15 días hábiles después de alguna modificación a la información de los servidores públicos que integran el sujeto obligado, así como su información curricular.</w:t>
      </w:r>
    </w:p>
    <w:p w14:paraId="5EA287F3" w14:textId="77777777" w:rsidR="00E12D72" w:rsidRPr="00317531" w:rsidRDefault="007C46EB">
      <w:pPr>
        <w:spacing w:before="120" w:after="120"/>
        <w:ind w:left="851" w:right="1128"/>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 xml:space="preserve">Conservar en el sitio de Internet: información vigente </w:t>
      </w:r>
    </w:p>
    <w:p w14:paraId="1C466B11" w14:textId="77777777" w:rsidR="00E12D72" w:rsidRPr="00317531" w:rsidRDefault="007C46EB">
      <w:pPr>
        <w:spacing w:before="120" w:after="120"/>
        <w:ind w:left="851" w:right="1128"/>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Aplica a: todos los sujetos obligados</w:t>
      </w:r>
      <w:r w:rsidRPr="00317531">
        <w:rPr>
          <w:rFonts w:ascii="Palatino Linotype" w:eastAsia="Palatino Linotype" w:hAnsi="Palatino Linotype" w:cs="Palatino Linotype"/>
          <w:i/>
          <w:iCs/>
          <w:sz w:val="22"/>
          <w:szCs w:val="22"/>
        </w:rPr>
        <w:t>”</w:t>
      </w:r>
    </w:p>
    <w:p w14:paraId="54863355" w14:textId="77777777" w:rsidR="00E12D72" w:rsidRPr="00317531" w:rsidRDefault="007C46EB">
      <w:pPr>
        <w:spacing w:before="120" w:after="120" w:line="360" w:lineRule="auto"/>
        <w:ind w:right="-7"/>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El Criterio adjetivo de formato, 24 establece que la información publicada se organiza mediante el formato 17, en el que se incluyen todos los campos especificados en los criterios sustantivos de contenido:</w:t>
      </w:r>
    </w:p>
    <w:p w14:paraId="3B6C1AA5" w14:textId="77777777" w:rsidR="00E12D72" w:rsidRPr="00317531" w:rsidRDefault="007C46EB">
      <w:pPr>
        <w:spacing w:before="120" w:after="120"/>
        <w:ind w:right="-7"/>
        <w:jc w:val="center"/>
        <w:rPr>
          <w:rFonts w:ascii="Palatino Linotype" w:eastAsia="Palatino Linotype" w:hAnsi="Palatino Linotype" w:cs="Palatino Linotype"/>
          <w:sz w:val="22"/>
          <w:szCs w:val="22"/>
        </w:rPr>
      </w:pPr>
      <w:r w:rsidRPr="00317531">
        <w:rPr>
          <w:rFonts w:ascii="Palatino Linotype" w:eastAsia="Palatino Linotype" w:hAnsi="Palatino Linotype" w:cs="Palatino Linotype"/>
          <w:noProof/>
          <w:sz w:val="22"/>
          <w:szCs w:val="22"/>
        </w:rPr>
        <w:drawing>
          <wp:inline distT="0" distB="0" distL="0" distR="0" wp14:anchorId="6CBE587E" wp14:editId="5D55CD29">
            <wp:extent cx="5756275" cy="2209800"/>
            <wp:effectExtent l="0" t="0" r="0" b="0"/>
            <wp:docPr id="21401318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36701"/>
                    <a:stretch>
                      <a:fillRect/>
                    </a:stretch>
                  </pic:blipFill>
                  <pic:spPr>
                    <a:xfrm>
                      <a:off x="0" y="0"/>
                      <a:ext cx="5756275" cy="2209800"/>
                    </a:xfrm>
                    <a:prstGeom prst="rect">
                      <a:avLst/>
                    </a:prstGeom>
                    <a:ln/>
                  </pic:spPr>
                </pic:pic>
              </a:graphicData>
            </a:graphic>
          </wp:inline>
        </w:drawing>
      </w:r>
    </w:p>
    <w:p w14:paraId="3D4712D2" w14:textId="77777777" w:rsidR="00E12D72" w:rsidRPr="00317531" w:rsidRDefault="007C46EB">
      <w:pPr>
        <w:spacing w:before="120" w:after="120"/>
        <w:ind w:right="-7"/>
        <w:jc w:val="center"/>
        <w:rPr>
          <w:rFonts w:ascii="Palatino Linotype" w:eastAsia="Palatino Linotype" w:hAnsi="Palatino Linotype" w:cs="Palatino Linotype"/>
          <w:sz w:val="22"/>
          <w:szCs w:val="22"/>
        </w:rPr>
      </w:pPr>
      <w:r w:rsidRPr="00317531">
        <w:rPr>
          <w:rFonts w:ascii="Palatino Linotype" w:eastAsia="Palatino Linotype" w:hAnsi="Palatino Linotype" w:cs="Palatino Linotype"/>
          <w:noProof/>
          <w:sz w:val="22"/>
          <w:szCs w:val="22"/>
        </w:rPr>
        <w:drawing>
          <wp:inline distT="0" distB="0" distL="0" distR="0" wp14:anchorId="3FAC939B" wp14:editId="5AA788DC">
            <wp:extent cx="5756275" cy="1205230"/>
            <wp:effectExtent l="0" t="0" r="0" b="0"/>
            <wp:docPr id="21401318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65477"/>
                    <a:stretch>
                      <a:fillRect/>
                    </a:stretch>
                  </pic:blipFill>
                  <pic:spPr>
                    <a:xfrm>
                      <a:off x="0" y="0"/>
                      <a:ext cx="5756275" cy="1205230"/>
                    </a:xfrm>
                    <a:prstGeom prst="rect">
                      <a:avLst/>
                    </a:prstGeom>
                    <a:ln/>
                  </pic:spPr>
                </pic:pic>
              </a:graphicData>
            </a:graphic>
          </wp:inline>
        </w:drawing>
      </w:r>
    </w:p>
    <w:p w14:paraId="6AA9C4D3" w14:textId="77777777" w:rsidR="00E12D72" w:rsidRPr="00317531" w:rsidRDefault="007C46EB">
      <w:pPr>
        <w:spacing w:before="240" w:after="240" w:line="360" w:lineRule="auto"/>
        <w:ind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Por otro lado, respecto de la documentación que acredite el alta como servidor público de todos los integrantes de la administración 2025-2027 que forman parte del organigrama, se considera que los documentos mediante los cuales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puede dar cumplimiento a la presente resolución, de manera enunciativa, más no limitativa, son los Formatos Únicos de Movimiento de Personal o FUMPs de alta, como se desprende del artículo 49 de la Ley del Trabajo de los Servidores Públicos del Estado de México y Municipios, a saber:</w:t>
      </w:r>
    </w:p>
    <w:p w14:paraId="0DF0B7E2"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“ARTÍCULO 49</w:t>
      </w:r>
      <w:r w:rsidRPr="00317531">
        <w:rPr>
          <w:rFonts w:ascii="Palatino Linotype" w:eastAsia="Palatino Linotype" w:hAnsi="Palatino Linotype" w:cs="Palatino Linotype"/>
          <w:i/>
          <w:iCs/>
          <w:sz w:val="22"/>
          <w:szCs w:val="22"/>
        </w:rPr>
        <w:t>.- Los nombramientos, contratos o formato único de Movimientos de Personal de los servidores públicos deberán contener:</w:t>
      </w:r>
    </w:p>
    <w:p w14:paraId="66CB1BC9" w14:textId="77777777" w:rsidR="00E12D72" w:rsidRPr="00317531" w:rsidRDefault="007C46EB">
      <w:pPr>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I. Nombre completo del servidor público;</w:t>
      </w:r>
    </w:p>
    <w:p w14:paraId="18F5E130" w14:textId="77777777" w:rsidR="00E12D72" w:rsidRPr="00317531" w:rsidRDefault="007C46EB">
      <w:pPr>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 xml:space="preserve">II. Cargo para el que es designado, </w:t>
      </w:r>
      <w:r w:rsidRPr="00317531">
        <w:rPr>
          <w:rFonts w:ascii="Palatino Linotype" w:eastAsia="Palatino Linotype" w:hAnsi="Palatino Linotype" w:cs="Palatino Linotype"/>
          <w:b/>
          <w:bCs/>
          <w:i/>
          <w:iCs/>
          <w:sz w:val="22"/>
          <w:szCs w:val="22"/>
          <w:u w:val="single"/>
        </w:rPr>
        <w:t>fecha de inicio de sus servicios</w:t>
      </w:r>
      <w:r w:rsidRPr="00317531">
        <w:rPr>
          <w:rFonts w:ascii="Palatino Linotype" w:eastAsia="Palatino Linotype" w:hAnsi="Palatino Linotype" w:cs="Palatino Linotype"/>
          <w:b/>
          <w:bCs/>
          <w:i/>
          <w:iCs/>
          <w:sz w:val="22"/>
          <w:szCs w:val="22"/>
        </w:rPr>
        <w:t xml:space="preserve"> y lugar de adscripción; </w:t>
      </w:r>
    </w:p>
    <w:p w14:paraId="2BCCA8E2"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III</w:t>
      </w:r>
      <w:r w:rsidRPr="00317531">
        <w:rPr>
          <w:rFonts w:ascii="Palatino Linotype" w:eastAsia="Palatino Linotype" w:hAnsi="Palatino Linotype" w:cs="Palatino Linotype"/>
          <w:i/>
          <w:iCs/>
          <w:sz w:val="22"/>
          <w:szCs w:val="22"/>
        </w:rPr>
        <w:t xml:space="preserve">. Carácter del nombramiento, ya sea de servidores públicos generales o de confianza, así como la temporalidad del mismo; </w:t>
      </w:r>
    </w:p>
    <w:p w14:paraId="6577B3A6" w14:textId="77777777" w:rsidR="00E12D72" w:rsidRPr="00317531" w:rsidRDefault="007C46EB">
      <w:pPr>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 xml:space="preserve">IV. </w:t>
      </w:r>
      <w:r w:rsidRPr="00317531">
        <w:rPr>
          <w:rFonts w:ascii="Palatino Linotype" w:eastAsia="Palatino Linotype" w:hAnsi="Palatino Linotype" w:cs="Palatino Linotype"/>
          <w:i/>
          <w:iCs/>
          <w:sz w:val="22"/>
          <w:szCs w:val="22"/>
        </w:rPr>
        <w:t>Remuneración correspondiente al puesto;</w:t>
      </w:r>
      <w:r w:rsidRPr="00317531">
        <w:rPr>
          <w:rFonts w:ascii="Palatino Linotype" w:eastAsia="Palatino Linotype" w:hAnsi="Palatino Linotype" w:cs="Palatino Linotype"/>
          <w:b/>
          <w:bCs/>
          <w:i/>
          <w:iCs/>
          <w:sz w:val="22"/>
          <w:szCs w:val="22"/>
        </w:rPr>
        <w:t xml:space="preserve"> </w:t>
      </w:r>
    </w:p>
    <w:p w14:paraId="3C33E76F"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V</w:t>
      </w:r>
      <w:r w:rsidRPr="00317531">
        <w:rPr>
          <w:rFonts w:ascii="Palatino Linotype" w:eastAsia="Palatino Linotype" w:hAnsi="Palatino Linotype" w:cs="Palatino Linotype"/>
          <w:i/>
          <w:iCs/>
          <w:sz w:val="22"/>
          <w:szCs w:val="22"/>
        </w:rPr>
        <w:t xml:space="preserve">. Jornada de trabajo; </w:t>
      </w:r>
    </w:p>
    <w:p w14:paraId="2E425807"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VI.</w:t>
      </w:r>
      <w:r w:rsidRPr="00317531">
        <w:rPr>
          <w:rFonts w:ascii="Palatino Linotype" w:eastAsia="Palatino Linotype" w:hAnsi="Palatino Linotype" w:cs="Palatino Linotype"/>
          <w:i/>
          <w:iCs/>
          <w:sz w:val="22"/>
          <w:szCs w:val="22"/>
        </w:rPr>
        <w:t xml:space="preserve"> Derogada; </w:t>
      </w:r>
    </w:p>
    <w:p w14:paraId="4237E20E"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VII.</w:t>
      </w:r>
      <w:r w:rsidRPr="00317531">
        <w:rPr>
          <w:rFonts w:ascii="Palatino Linotype" w:eastAsia="Palatino Linotype" w:hAnsi="Palatino Linotype" w:cs="Palatino Linotype"/>
          <w:i/>
          <w:iCs/>
          <w:sz w:val="22"/>
          <w:szCs w:val="22"/>
        </w:rPr>
        <w:t xml:space="preserve"> Firma del servidor público autorizado para emitir el nombramiento, contrato o formato único de Movimientos de Personal, así como el fundamento legal de esa atribución.</w:t>
      </w:r>
    </w:p>
    <w:p w14:paraId="74E800EF" w14:textId="77777777" w:rsidR="00E12D72" w:rsidRPr="00317531" w:rsidRDefault="007C46EB">
      <w:pPr>
        <w:tabs>
          <w:tab w:val="left" w:pos="709"/>
        </w:tabs>
        <w:spacing w:before="240" w:after="240" w:line="360" w:lineRule="auto"/>
        <w:jc w:val="both"/>
        <w:rPr>
          <w:rFonts w:ascii="Palatino Linotype" w:eastAsia="Palatino Linotype" w:hAnsi="Palatino Linotype" w:cs="Palatino Linotype"/>
          <w:sz w:val="22"/>
          <w:szCs w:val="22"/>
        </w:rPr>
      </w:pPr>
      <w:bookmarkStart w:id="8" w:name="_heading=h.tuyn6v192d8r" w:colFirst="0" w:colLast="0"/>
      <w:bookmarkEnd w:id="8"/>
      <w:r w:rsidRPr="00317531">
        <w:rPr>
          <w:rFonts w:ascii="Palatino Linotype" w:eastAsia="Palatino Linotype" w:hAnsi="Palatino Linotype" w:cs="Palatino Linotype"/>
          <w:sz w:val="22"/>
          <w:szCs w:val="22"/>
        </w:rPr>
        <w:t xml:space="preserve">Finalmente, dado que la persona servidora pública solicitó información de todos los servidores públicos que se encuentran en el organigrama, es oportuno mencionar que la información deberá corresponder con los servidores públicos que ostentan cargos de mandos medios y superiores, en funciones al veintiséis de junio de dos mil veinticinco, a cada una de las dependencias que integran el organigrama del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w:t>
      </w:r>
    </w:p>
    <w:p w14:paraId="0378C677" w14:textId="77777777" w:rsidR="00E12D72" w:rsidRPr="00317531" w:rsidRDefault="007C46EB">
      <w:pPr>
        <w:tabs>
          <w:tab w:val="left" w:pos="709"/>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noProof/>
          <w:sz w:val="22"/>
          <w:szCs w:val="22"/>
        </w:rPr>
        <w:drawing>
          <wp:inline distT="0" distB="0" distL="0" distR="0" wp14:anchorId="683A3ACF" wp14:editId="1CEEFDB4">
            <wp:extent cx="5612130" cy="3229610"/>
            <wp:effectExtent l="0" t="0" r="0" b="0"/>
            <wp:docPr id="214013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3229610"/>
                    </a:xfrm>
                    <a:prstGeom prst="rect">
                      <a:avLst/>
                    </a:prstGeom>
                    <a:ln/>
                  </pic:spPr>
                </pic:pic>
              </a:graphicData>
            </a:graphic>
          </wp:inline>
        </w:drawing>
      </w:r>
    </w:p>
    <w:p w14:paraId="4B627D99"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De lo hasta aquí expuesto, se concluye que los motivos de inconformidad de la parte </w:t>
      </w:r>
      <w:r w:rsidRPr="00317531">
        <w:rPr>
          <w:rFonts w:ascii="Palatino Linotype" w:eastAsia="Palatino Linotype" w:hAnsi="Palatino Linotype" w:cs="Palatino Linotype"/>
          <w:b/>
          <w:bCs/>
          <w:sz w:val="22"/>
          <w:szCs w:val="22"/>
        </w:rPr>
        <w:t xml:space="preserve">Recurrente </w:t>
      </w:r>
      <w:r w:rsidRPr="00317531">
        <w:rPr>
          <w:rFonts w:ascii="Palatino Linotype" w:eastAsia="Palatino Linotype" w:hAnsi="Palatino Linotype" w:cs="Palatino Linotype"/>
          <w:sz w:val="22"/>
          <w:szCs w:val="22"/>
        </w:rPr>
        <w:t xml:space="preserve">devienen parcialmente fundados, siendo procedente </w:t>
      </w:r>
      <w:r w:rsidRPr="00317531">
        <w:rPr>
          <w:rFonts w:ascii="Palatino Linotype" w:eastAsia="Palatino Linotype" w:hAnsi="Palatino Linotype" w:cs="Palatino Linotype"/>
          <w:i/>
          <w:iCs/>
          <w:sz w:val="22"/>
          <w:szCs w:val="22"/>
        </w:rPr>
        <w:t xml:space="preserve">Revocar </w:t>
      </w:r>
      <w:r w:rsidRPr="00317531">
        <w:rPr>
          <w:rFonts w:ascii="Palatino Linotype" w:eastAsia="Palatino Linotype" w:hAnsi="Palatino Linotype" w:cs="Palatino Linotype"/>
          <w:sz w:val="22"/>
          <w:szCs w:val="22"/>
        </w:rPr>
        <w:t xml:space="preserve">la respuesta proporcionada por el </w:t>
      </w:r>
      <w:r w:rsidRPr="00317531">
        <w:rPr>
          <w:rFonts w:ascii="Palatino Linotype" w:eastAsia="Palatino Linotype" w:hAnsi="Palatino Linotype" w:cs="Palatino Linotype"/>
          <w:b/>
          <w:bCs/>
          <w:sz w:val="22"/>
          <w:szCs w:val="22"/>
        </w:rPr>
        <w:t xml:space="preserve">Sujeto Obligado </w:t>
      </w:r>
      <w:r w:rsidRPr="00317531">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1C794388"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Quinto. Versión Pública.</w:t>
      </w:r>
      <w:r w:rsidRPr="00317531">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 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xml:space="preserve"> sin menoscabo al derecho a la protección de los datos personales de terceros.</w:t>
      </w:r>
    </w:p>
    <w:p w14:paraId="73206FED"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3E72C7CA"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Artículo 3</w:t>
      </w:r>
      <w:r w:rsidRPr="00317531">
        <w:rPr>
          <w:rFonts w:ascii="Palatino Linotype" w:eastAsia="Palatino Linotype" w:hAnsi="Palatino Linotype" w:cs="Palatino Linotype"/>
          <w:i/>
          <w:iCs/>
          <w:sz w:val="22"/>
          <w:szCs w:val="22"/>
        </w:rPr>
        <w:t>. Para los efectos de la presente Ley se entenderá por:</w:t>
      </w:r>
    </w:p>
    <w:p w14:paraId="5467716A"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p>
    <w:p w14:paraId="1F76D1F7"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IX. Datos personales</w:t>
      </w:r>
      <w:r w:rsidRPr="00317531">
        <w:rPr>
          <w:rFonts w:ascii="Palatino Linotype" w:eastAsia="Palatino Linotype" w:hAnsi="Palatino Linotype" w:cs="Palatino Linotype"/>
          <w:i/>
          <w:iCs/>
          <w:sz w:val="22"/>
          <w:szCs w:val="22"/>
        </w:rPr>
        <w:t xml:space="preserve">: La información concerniente a una persona, identificada o identificable según lo dispuesto por la Ley de Protección de Datos Personales del Estado de México; </w:t>
      </w:r>
    </w:p>
    <w:p w14:paraId="2C61BE22"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XX. Información clasificada</w:t>
      </w:r>
      <w:r w:rsidRPr="00317531">
        <w:rPr>
          <w:rFonts w:ascii="Palatino Linotype" w:eastAsia="Palatino Linotype" w:hAnsi="Palatino Linotype" w:cs="Palatino Linotype"/>
          <w:i/>
          <w:iCs/>
          <w:sz w:val="22"/>
          <w:szCs w:val="22"/>
        </w:rPr>
        <w:t>: Aquella considerada por la presente Ley como reservada o confidencial;</w:t>
      </w:r>
    </w:p>
    <w:p w14:paraId="3CC7EA2E"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XXI. Información confidencial: </w:t>
      </w:r>
      <w:r w:rsidRPr="00317531">
        <w:rPr>
          <w:rFonts w:ascii="Palatino Linotype" w:eastAsia="Palatino Linotype" w:hAnsi="Palatino Linotype" w:cs="Palatino Linotype"/>
          <w:i/>
          <w:iCs/>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C6FB9A8"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XLV. Versión pública:</w:t>
      </w:r>
      <w:r w:rsidRPr="00317531">
        <w:rPr>
          <w:rFonts w:ascii="Palatino Linotype" w:eastAsia="Palatino Linotype" w:hAnsi="Palatino Linotype" w:cs="Palatino Linotype"/>
          <w:i/>
          <w:iCs/>
          <w:sz w:val="22"/>
          <w:szCs w:val="22"/>
        </w:rPr>
        <w:t xml:space="preserve"> Documento en el que se elimine, suprime o borra la información clasificada como reservada o confidencial para permitir su acceso.</w:t>
      </w:r>
    </w:p>
    <w:p w14:paraId="45323ECB"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p>
    <w:p w14:paraId="339FC6A4"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Artículo 91.</w:t>
      </w:r>
      <w:r w:rsidRPr="00317531">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39453B4"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Artículo 132.</w:t>
      </w:r>
      <w:r w:rsidRPr="00317531">
        <w:rPr>
          <w:rFonts w:ascii="Palatino Linotype" w:eastAsia="Palatino Linotype" w:hAnsi="Palatino Linotype" w:cs="Palatino Linotype"/>
          <w:i/>
          <w:iCs/>
          <w:sz w:val="22"/>
          <w:szCs w:val="22"/>
        </w:rPr>
        <w:t xml:space="preserve"> La clasificación de la información se llevará a cabo en el momento en que:</w:t>
      </w:r>
    </w:p>
    <w:p w14:paraId="3C5BD6DD"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Se reciba una solicitud de acceso a la información;</w:t>
      </w:r>
    </w:p>
    <w:p w14:paraId="2A4EB826"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w:t>
      </w:r>
      <w:r w:rsidRPr="00317531">
        <w:rPr>
          <w:rFonts w:ascii="Palatino Linotype" w:eastAsia="Palatino Linotype" w:hAnsi="Palatino Linotype" w:cs="Palatino Linotype"/>
          <w:i/>
          <w:iCs/>
          <w:sz w:val="22"/>
          <w:szCs w:val="22"/>
        </w:rPr>
        <w:t xml:space="preserve"> Se determine mediante resolución de autoridad competente; o</w:t>
      </w:r>
    </w:p>
    <w:p w14:paraId="28FB57CF"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III.</w:t>
      </w:r>
      <w:r w:rsidRPr="00317531">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4D64570C"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w:t>
      </w:r>
    </w:p>
    <w:p w14:paraId="1D6C3FB4"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Artículo 137.</w:t>
      </w:r>
      <w:r w:rsidRPr="00317531">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CD495C9" w14:textId="77777777" w:rsidR="00E12D72" w:rsidRPr="00317531" w:rsidRDefault="007C46EB">
      <w:pPr>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w:t>
      </w:r>
    </w:p>
    <w:p w14:paraId="62831F1A"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Artículo 143</w:t>
      </w:r>
      <w:r w:rsidRPr="00317531">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5B4D158A" w14:textId="77777777" w:rsidR="00E12D72" w:rsidRPr="00317531" w:rsidRDefault="007C46EB">
      <w:pPr>
        <w:spacing w:before="120" w:after="120"/>
        <w:ind w:left="1134"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7403AF5"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228B17" w14:textId="77777777" w:rsidR="00E12D72" w:rsidRPr="00317531" w:rsidRDefault="007C46EB">
      <w:pPr>
        <w:spacing w:before="240" w:after="240" w:line="360" w:lineRule="auto"/>
        <w:ind w:right="50"/>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63ED323"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domicilio, entre otros.</w:t>
      </w:r>
    </w:p>
    <w:p w14:paraId="1336C121" w14:textId="77777777" w:rsidR="00E12D72" w:rsidRPr="00317531" w:rsidRDefault="007C46EB">
      <w:pPr>
        <w:spacing w:before="240" w:after="240" w:line="360" w:lineRule="auto"/>
        <w:ind w:right="50"/>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9BD98B"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Por cuanto hace al </w:t>
      </w:r>
      <w:r w:rsidRPr="00317531">
        <w:rPr>
          <w:rFonts w:ascii="Palatino Linotype" w:eastAsia="Palatino Linotype" w:hAnsi="Palatino Linotype" w:cs="Palatino Linotype"/>
          <w:b/>
          <w:bCs/>
          <w:sz w:val="22"/>
          <w:szCs w:val="22"/>
        </w:rPr>
        <w:t>Registro Federal de Contribuyentes, RFC</w:t>
      </w:r>
      <w:r w:rsidRPr="00317531">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13F57913"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B327DA2"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6B0A7E60" w14:textId="77777777" w:rsidR="00E12D72" w:rsidRPr="00317531" w:rsidRDefault="007C46EB">
      <w:pPr>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 “Registro Federal de Contribuyentes (RFC) de personas físicas</w:t>
      </w:r>
      <w:r w:rsidRPr="00317531">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0C9F1081"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D48E06E"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FD6C54E"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Argumento que es compartido por el Instituto Nacional de Transparencia, Acceso a la Información y Protección de Datos Personales, INAI, conforme al criterio 18/17, el cual refiere:</w:t>
      </w:r>
    </w:p>
    <w:p w14:paraId="6D5C505F" w14:textId="77777777" w:rsidR="00E12D72" w:rsidRPr="00317531" w:rsidRDefault="007C46EB">
      <w:pPr>
        <w:ind w:left="851" w:right="851"/>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 “Clave Única de Registro de Población (CURP). </w:t>
      </w:r>
      <w:r w:rsidRPr="00317531">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9844347"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215AA86" w14:textId="77777777" w:rsidR="00E12D72" w:rsidRPr="00317531" w:rsidRDefault="007C46EB">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El </w:t>
      </w:r>
      <w:r w:rsidRPr="00317531">
        <w:rPr>
          <w:rFonts w:ascii="Palatino Linotype" w:eastAsia="Palatino Linotype" w:hAnsi="Palatino Linotype" w:cs="Palatino Linotype"/>
          <w:b/>
          <w:bCs/>
          <w:sz w:val="22"/>
          <w:szCs w:val="22"/>
        </w:rPr>
        <w:t>domicilio</w:t>
      </w:r>
      <w:r w:rsidRPr="00317531">
        <w:rPr>
          <w:rFonts w:ascii="Palatino Linotype" w:eastAsia="Palatino Linotype" w:hAnsi="Palatino Linotype" w:cs="Palatino Linotype"/>
          <w:sz w:val="22"/>
          <w:szCs w:val="22"/>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43BA535" w14:textId="77777777" w:rsidR="00E12D72" w:rsidRPr="00317531" w:rsidRDefault="007C46EB">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317531">
        <w:rPr>
          <w:rFonts w:ascii="Palatino Linotype" w:eastAsia="Palatino Linotype" w:hAnsi="Palatino Linotype" w:cs="Palatino Linotype"/>
          <w:b/>
          <w:bCs/>
          <w:sz w:val="22"/>
          <w:szCs w:val="22"/>
        </w:rPr>
        <w:t xml:space="preserve">, </w:t>
      </w:r>
      <w:r w:rsidRPr="00317531">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7F3DA383" w14:textId="77777777" w:rsidR="00E12D72" w:rsidRPr="00317531" w:rsidRDefault="007C46EB">
      <w:pPr>
        <w:spacing w:before="240" w:after="240" w:line="360" w:lineRule="auto"/>
        <w:ind w:right="-93"/>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7AB6E0CE" w14:textId="77777777" w:rsidR="00E12D72" w:rsidRPr="00317531" w:rsidRDefault="007C46EB">
      <w:pPr>
        <w:spacing w:before="240" w:after="240" w:line="360" w:lineRule="auto"/>
        <w:ind w:right="-93"/>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Por lo tanto, se actualiza la clasificación del domicilio y su comprobante, de conformidad con la fracción I, del artículo 143 de la Ley de Transparencia y Acceso a la Información Pública del Estado de México y Municipios.</w:t>
      </w:r>
    </w:p>
    <w:p w14:paraId="54DB47BB" w14:textId="77777777" w:rsidR="00E12D72" w:rsidRPr="00317531" w:rsidRDefault="007C46EB">
      <w:pPr>
        <w:spacing w:before="240" w:after="240" w:line="360" w:lineRule="auto"/>
        <w:ind w:right="-93"/>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El </w:t>
      </w:r>
      <w:r w:rsidRPr="00317531">
        <w:rPr>
          <w:rFonts w:ascii="Palatino Linotype" w:eastAsia="Palatino Linotype" w:hAnsi="Palatino Linotype" w:cs="Palatino Linotype"/>
          <w:b/>
          <w:bCs/>
          <w:sz w:val="22"/>
          <w:szCs w:val="22"/>
        </w:rPr>
        <w:t>teléfono particular</w:t>
      </w:r>
      <w:r w:rsidRPr="00317531">
        <w:rPr>
          <w:rFonts w:ascii="Palatino Linotype" w:eastAsia="Palatino Linotype" w:hAnsi="Palatino Linotype" w:cs="Palatino Linotype"/>
          <w:sz w:val="22"/>
          <w:szCs w:val="22"/>
        </w:rPr>
        <w:t>, debido a que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w:t>
      </w:r>
    </w:p>
    <w:p w14:paraId="7B5BA560" w14:textId="77777777" w:rsidR="00E12D72" w:rsidRPr="00317531" w:rsidRDefault="007C46E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El </w:t>
      </w:r>
      <w:r w:rsidRPr="00317531">
        <w:rPr>
          <w:rFonts w:ascii="Palatino Linotype" w:eastAsia="Palatino Linotype" w:hAnsi="Palatino Linotype" w:cs="Palatino Linotype"/>
          <w:b/>
          <w:bCs/>
          <w:sz w:val="22"/>
          <w:szCs w:val="22"/>
        </w:rPr>
        <w:t xml:space="preserve">correo electrónico particular, </w:t>
      </w:r>
      <w:r w:rsidRPr="00317531">
        <w:rPr>
          <w:rFonts w:ascii="Palatino Linotype" w:eastAsia="Palatino Linotype" w:hAnsi="Palatino Linotype" w:cs="Palatino Linotype"/>
          <w:sz w:val="22"/>
          <w:szCs w:val="22"/>
        </w:rPr>
        <w:t>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05E448EB" w14:textId="77777777" w:rsidR="00E12D72" w:rsidRPr="00317531" w:rsidRDefault="007C46EB">
      <w:pPr>
        <w:tabs>
          <w:tab w:val="left" w:pos="4962"/>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En el mismo sentido, por cuanto hace a la </w:t>
      </w:r>
      <w:r w:rsidRPr="00317531">
        <w:rPr>
          <w:rFonts w:ascii="Palatino Linotype" w:eastAsia="Palatino Linotype" w:hAnsi="Palatino Linotype" w:cs="Palatino Linotype"/>
          <w:b/>
          <w:bCs/>
          <w:sz w:val="22"/>
          <w:szCs w:val="22"/>
        </w:rPr>
        <w:t xml:space="preserve">fotografía </w:t>
      </w:r>
      <w:r w:rsidRPr="00317531">
        <w:rPr>
          <w:rFonts w:ascii="Palatino Linotype" w:eastAsia="Palatino Linotype" w:hAnsi="Palatino Linotype" w:cs="Palatino Linotype"/>
          <w:sz w:val="22"/>
          <w:szCs w:val="22"/>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21CE085C" w14:textId="77777777" w:rsidR="00E12D72" w:rsidRPr="00317531" w:rsidRDefault="007C46EB">
      <w:pPr>
        <w:tabs>
          <w:tab w:val="left" w:pos="4962"/>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7823729B" w14:textId="77777777" w:rsidR="00E12D72" w:rsidRPr="00317531" w:rsidRDefault="007C46EB">
      <w:pPr>
        <w:tabs>
          <w:tab w:val="left" w:pos="4962"/>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02F0A590" w14:textId="77777777" w:rsidR="00E12D72" w:rsidRPr="00317531" w:rsidRDefault="007C46EB">
      <w:pPr>
        <w:tabs>
          <w:tab w:val="left" w:pos="4962"/>
        </w:tabs>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650C4586"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2D41913" w14:textId="77777777" w:rsidR="00E12D72" w:rsidRPr="00317531" w:rsidRDefault="007C46E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Respecto a las formalidades que deberá llevar el acuerdo de clasificación que deberá emitir 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3DD2ADE4" w14:textId="77777777" w:rsidR="00E12D72" w:rsidRPr="00317531" w:rsidRDefault="007C46EB">
      <w:pP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 “Quincuagésimo. </w:t>
      </w:r>
      <w:r w:rsidRPr="00317531">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665E250"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Quincuagésimo primero. </w:t>
      </w:r>
      <w:r w:rsidRPr="00317531">
        <w:rPr>
          <w:rFonts w:ascii="Palatino Linotype" w:eastAsia="Palatino Linotype" w:hAnsi="Palatino Linotype" w:cs="Palatino Linotype"/>
          <w:i/>
          <w:iCs/>
          <w:sz w:val="22"/>
          <w:szCs w:val="22"/>
        </w:rPr>
        <w:t xml:space="preserve">Toda acta del Comité de Transparencia deberá contener: </w:t>
      </w:r>
    </w:p>
    <w:p w14:paraId="1DA7F2C7"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xml:space="preserve"> El número de sesión y fecha; </w:t>
      </w:r>
    </w:p>
    <w:p w14:paraId="4F197C5B"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w:t>
      </w:r>
      <w:r w:rsidRPr="00317531">
        <w:rPr>
          <w:rFonts w:ascii="Palatino Linotype" w:eastAsia="Palatino Linotype" w:hAnsi="Palatino Linotype" w:cs="Palatino Linotype"/>
          <w:i/>
          <w:iCs/>
          <w:sz w:val="22"/>
          <w:szCs w:val="22"/>
        </w:rPr>
        <w:t xml:space="preserve">. El nombre del área que solicitó la clasificación de información; </w:t>
      </w:r>
    </w:p>
    <w:p w14:paraId="1FC49484"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III</w:t>
      </w:r>
      <w:r w:rsidRPr="00317531">
        <w:rPr>
          <w:rFonts w:ascii="Palatino Linotype" w:eastAsia="Palatino Linotype" w:hAnsi="Palatino Linotype" w:cs="Palatino Linotype"/>
          <w:i/>
          <w:iCs/>
          <w:sz w:val="22"/>
          <w:szCs w:val="22"/>
        </w:rPr>
        <w:t xml:space="preserve">. La fundamentación legal y motivación correspondiente; </w:t>
      </w:r>
    </w:p>
    <w:p w14:paraId="53823D2E"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IV</w:t>
      </w:r>
      <w:r w:rsidRPr="00317531">
        <w:rPr>
          <w:rFonts w:ascii="Palatino Linotype" w:eastAsia="Palatino Linotype" w:hAnsi="Palatino Linotype" w:cs="Palatino Linotype"/>
          <w:i/>
          <w:iCs/>
          <w:sz w:val="22"/>
          <w:szCs w:val="22"/>
        </w:rPr>
        <w:t xml:space="preserve">. La resolución o resoluciones aprobadas; y </w:t>
      </w:r>
    </w:p>
    <w:p w14:paraId="4671F483"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V</w:t>
      </w:r>
      <w:r w:rsidRPr="00317531">
        <w:rPr>
          <w:rFonts w:ascii="Palatino Linotype" w:eastAsia="Palatino Linotype" w:hAnsi="Palatino Linotype" w:cs="Palatino Linotype"/>
          <w:i/>
          <w:iCs/>
          <w:sz w:val="22"/>
          <w:szCs w:val="22"/>
        </w:rPr>
        <w:t xml:space="preserve">. La rúbrica o firma digital de cada integrante del Comité de Transparencia. </w:t>
      </w:r>
    </w:p>
    <w:p w14:paraId="1CBE2786"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45FF02AA"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63161C6E"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II</w:t>
      </w:r>
      <w:r w:rsidRPr="00317531">
        <w:rPr>
          <w:rFonts w:ascii="Palatino Linotype" w:eastAsia="Palatino Linotype" w:hAnsi="Palatino Linotype" w:cs="Palatino Linotype"/>
          <w:i/>
          <w:iCs/>
          <w:sz w:val="22"/>
          <w:szCs w:val="22"/>
        </w:rPr>
        <w:t>. Descripción de las partes o secciones reservadas, en caso de clasificación parcial</w:t>
      </w:r>
      <w:r w:rsidRPr="00317531">
        <w:rPr>
          <w:rFonts w:ascii="Palatino Linotype" w:eastAsia="Palatino Linotype" w:hAnsi="Palatino Linotype" w:cs="Palatino Linotype"/>
          <w:b/>
          <w:bCs/>
          <w:i/>
          <w:iCs/>
          <w:sz w:val="22"/>
          <w:szCs w:val="22"/>
        </w:rPr>
        <w:t xml:space="preserve">; </w:t>
      </w:r>
    </w:p>
    <w:p w14:paraId="624D9EA5"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III.</w:t>
      </w:r>
      <w:r w:rsidRPr="00317531">
        <w:rPr>
          <w:rFonts w:ascii="Palatino Linotype" w:eastAsia="Palatino Linotype" w:hAnsi="Palatino Linotype" w:cs="Palatino Linotype"/>
          <w:i/>
          <w:iCs/>
          <w:sz w:val="22"/>
          <w:szCs w:val="22"/>
        </w:rPr>
        <w:t xml:space="preserve"> El periodo por el que mantendrá su clasificación y fecha de expiración; y </w:t>
      </w:r>
    </w:p>
    <w:p w14:paraId="56CC155A"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IV.</w:t>
      </w:r>
      <w:r w:rsidRPr="00317531">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6E5C0FBC"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5CD48AAB" w14:textId="77777777" w:rsidR="00E12D72" w:rsidRPr="00317531" w:rsidRDefault="007C46EB">
      <w:pPr>
        <w:pBdr>
          <w:top w:val="nil"/>
          <w:left w:val="nil"/>
          <w:bottom w:val="nil"/>
          <w:right w:val="nil"/>
          <w:between w:val="nil"/>
        </w:pBdr>
        <w:tabs>
          <w:tab w:val="left" w:pos="993"/>
        </w:tabs>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0D8A733" w14:textId="77777777" w:rsidR="00E12D72" w:rsidRPr="00317531" w:rsidRDefault="007C46EB">
      <w:pPr>
        <w:tabs>
          <w:tab w:val="left" w:pos="993"/>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Quincuagésimo segundo</w:t>
      </w:r>
      <w:r w:rsidRPr="00317531">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2932AA3" w14:textId="77777777" w:rsidR="00E12D72" w:rsidRPr="00317531" w:rsidRDefault="007C46EB">
      <w:pPr>
        <w:tabs>
          <w:tab w:val="left" w:pos="993"/>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 xml:space="preserve">En el caso especifico de la clasificación y elaboración de versiones públicas de documentos que contengan información confidencial, las áreas de los sujetos obligados deberán: </w:t>
      </w:r>
    </w:p>
    <w:p w14:paraId="12D7AAA0" w14:textId="77777777" w:rsidR="00E12D72" w:rsidRPr="00317531" w:rsidRDefault="007C46EB">
      <w:pPr>
        <w:tabs>
          <w:tab w:val="left" w:pos="993"/>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76B975E4" w14:textId="77777777" w:rsidR="00E12D72" w:rsidRPr="00317531" w:rsidRDefault="007C46EB">
      <w:pPr>
        <w:tabs>
          <w:tab w:val="left" w:pos="993"/>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w:t>
      </w:r>
      <w:r w:rsidRPr="00317531">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3ECADC1" w14:textId="77777777" w:rsidR="00E12D72" w:rsidRPr="00317531" w:rsidRDefault="007C46EB">
      <w:pPr>
        <w:tabs>
          <w:tab w:val="left" w:pos="993"/>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III.</w:t>
      </w:r>
      <w:r w:rsidRPr="00317531">
        <w:rPr>
          <w:rFonts w:ascii="Palatino Linotype" w:eastAsia="Palatino Linotype" w:hAnsi="Palatino Linotype" w:cs="Palatino Linotype"/>
          <w:i/>
          <w:iCs/>
          <w:sz w:val="22"/>
          <w:szCs w:val="22"/>
        </w:rPr>
        <w:t xml:space="preserve"> Señalar las personas o instancias autorizadas a acceder a la información clasificada.</w:t>
      </w:r>
    </w:p>
    <w:p w14:paraId="69D29DC0" w14:textId="77777777" w:rsidR="00E12D72" w:rsidRPr="00317531" w:rsidRDefault="007C46EB">
      <w:pPr>
        <w:tabs>
          <w:tab w:val="left" w:pos="993"/>
        </w:tabs>
        <w:spacing w:before="120" w:after="120"/>
        <w:ind w:left="851" w:right="900"/>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FFACA62"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6332E033" w14:textId="77777777" w:rsidR="00E12D72" w:rsidRPr="00317531" w:rsidRDefault="007C46EB">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i/>
          <w:iCs/>
          <w:sz w:val="22"/>
          <w:szCs w:val="22"/>
        </w:rPr>
        <w:t>“</w:t>
      </w:r>
      <w:r w:rsidRPr="00317531">
        <w:rPr>
          <w:rFonts w:ascii="Palatino Linotype" w:eastAsia="Palatino Linotype" w:hAnsi="Palatino Linotype" w:cs="Palatino Linotype"/>
          <w:b/>
          <w:bCs/>
          <w:i/>
          <w:iCs/>
          <w:sz w:val="22"/>
          <w:szCs w:val="22"/>
        </w:rPr>
        <w:t xml:space="preserve">Quincuagésimo cuarto. </w:t>
      </w:r>
      <w:r w:rsidRPr="00317531">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17531">
        <w:rPr>
          <w:rFonts w:ascii="Palatino Linotype" w:eastAsia="Palatino Linotype" w:hAnsi="Palatino Linotype" w:cs="Palatino Linotype"/>
          <w:b/>
          <w:bCs/>
          <w:i/>
          <w:iCs/>
          <w:sz w:val="22"/>
          <w:szCs w:val="22"/>
        </w:rPr>
        <w:t xml:space="preserve"> </w:t>
      </w:r>
    </w:p>
    <w:p w14:paraId="31CFF31F"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 xml:space="preserve">Quincuagésimo quinto. </w:t>
      </w:r>
      <w:r w:rsidRPr="00317531">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1AECA00" w14:textId="77777777" w:rsidR="00E12D72" w:rsidRPr="00317531" w:rsidRDefault="007C46EB">
      <w:pPr>
        <w:spacing w:before="120" w:after="120"/>
        <w:ind w:left="851" w:right="902"/>
        <w:jc w:val="both"/>
        <w:rPr>
          <w:rFonts w:ascii="Palatino Linotype" w:eastAsia="Palatino Linotype" w:hAnsi="Palatino Linotype" w:cs="Palatino Linotype"/>
          <w:b/>
          <w:bCs/>
          <w:i/>
          <w:iCs/>
          <w:sz w:val="22"/>
          <w:szCs w:val="22"/>
        </w:rPr>
      </w:pPr>
      <w:r w:rsidRPr="00317531">
        <w:rPr>
          <w:rFonts w:ascii="Palatino Linotype" w:eastAsia="Palatino Linotype" w:hAnsi="Palatino Linotype" w:cs="Palatino Linotype"/>
          <w:b/>
          <w:bCs/>
          <w:i/>
          <w:iCs/>
          <w:sz w:val="22"/>
          <w:szCs w:val="22"/>
        </w:rPr>
        <w:t>...</w:t>
      </w:r>
    </w:p>
    <w:p w14:paraId="79881E64"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Quincuagésimo séptimo</w:t>
      </w:r>
      <w:r w:rsidRPr="00317531">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602CB99"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w:t>
      </w:r>
      <w:r w:rsidRPr="00317531">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6449B4BA"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w:t>
      </w:r>
      <w:r w:rsidRPr="00317531">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AA71F0E"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III</w:t>
      </w:r>
      <w:r w:rsidRPr="00317531">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85F53F8"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C2542E8" w14:textId="77777777" w:rsidR="00E12D72" w:rsidRPr="00317531" w:rsidRDefault="007C46EB">
      <w:pPr>
        <w:spacing w:before="120" w:after="120"/>
        <w:ind w:left="851" w:right="902"/>
        <w:jc w:val="both"/>
        <w:rPr>
          <w:rFonts w:ascii="Palatino Linotype" w:eastAsia="Palatino Linotype" w:hAnsi="Palatino Linotype" w:cs="Palatino Linotype"/>
          <w:i/>
          <w:iCs/>
          <w:sz w:val="22"/>
          <w:szCs w:val="22"/>
        </w:rPr>
      </w:pPr>
      <w:r w:rsidRPr="00317531">
        <w:rPr>
          <w:rFonts w:ascii="Palatino Linotype" w:eastAsia="Palatino Linotype" w:hAnsi="Palatino Linotype" w:cs="Palatino Linotype"/>
          <w:b/>
          <w:bCs/>
          <w:i/>
          <w:iCs/>
          <w:sz w:val="22"/>
          <w:szCs w:val="22"/>
        </w:rPr>
        <w:t>Quincuagésimo octavo</w:t>
      </w:r>
      <w:r w:rsidRPr="00317531">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3C84BB30"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4B0DF27C" w14:textId="77777777" w:rsidR="00E12D72" w:rsidRPr="00317531" w:rsidRDefault="00E12D72">
      <w:pPr>
        <w:spacing w:before="240" w:after="240" w:line="360" w:lineRule="auto"/>
        <w:jc w:val="both"/>
        <w:rPr>
          <w:rFonts w:ascii="Palatino Linotype" w:eastAsia="Palatino Linotype" w:hAnsi="Palatino Linotype" w:cs="Palatino Linotype"/>
          <w:sz w:val="22"/>
          <w:szCs w:val="22"/>
        </w:rPr>
      </w:pPr>
    </w:p>
    <w:p w14:paraId="711C54E9" w14:textId="77777777" w:rsidR="00E12D72" w:rsidRPr="00317531" w:rsidRDefault="007C46EB">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b/>
          <w:bCs/>
          <w:sz w:val="22"/>
          <w:szCs w:val="22"/>
        </w:rPr>
        <w:t>III. R E S U E L V E</w:t>
      </w:r>
    </w:p>
    <w:p w14:paraId="66F274FD"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317531">
        <w:rPr>
          <w:rFonts w:ascii="Palatino Linotype" w:eastAsia="Palatino Linotype" w:hAnsi="Palatino Linotype" w:cs="Palatino Linotype"/>
          <w:b/>
          <w:bCs/>
          <w:sz w:val="22"/>
          <w:szCs w:val="22"/>
        </w:rPr>
        <w:t xml:space="preserve">Primero. </w:t>
      </w:r>
      <w:r w:rsidRPr="00317531">
        <w:rPr>
          <w:rFonts w:ascii="Palatino Linotype" w:eastAsia="Palatino Linotype" w:hAnsi="Palatino Linotype" w:cs="Palatino Linotype"/>
          <w:sz w:val="22"/>
          <w:szCs w:val="22"/>
        </w:rPr>
        <w:t>Resultan</w:t>
      </w:r>
      <w:r w:rsidRPr="00317531">
        <w:rPr>
          <w:rFonts w:ascii="Palatino Linotype" w:eastAsia="Palatino Linotype" w:hAnsi="Palatino Linotype" w:cs="Palatino Linotype"/>
          <w:b/>
          <w:bCs/>
          <w:sz w:val="22"/>
          <w:szCs w:val="22"/>
        </w:rPr>
        <w:t xml:space="preserve"> fundadas</w:t>
      </w:r>
      <w:r w:rsidRPr="00317531">
        <w:rPr>
          <w:rFonts w:ascii="Palatino Linotype" w:eastAsia="Palatino Linotype" w:hAnsi="Palatino Linotype" w:cs="Palatino Linotype"/>
          <w:sz w:val="22"/>
          <w:szCs w:val="22"/>
        </w:rPr>
        <w:t xml:space="preserve"> las razones o motivos de inconformidad hechos valer por la parte</w:t>
      </w:r>
      <w:r w:rsidRPr="00317531">
        <w:rPr>
          <w:rFonts w:ascii="Palatino Linotype" w:eastAsia="Palatino Linotype" w:hAnsi="Palatino Linotype" w:cs="Palatino Linotype"/>
          <w:b/>
          <w:bCs/>
          <w:sz w:val="22"/>
          <w:szCs w:val="22"/>
        </w:rPr>
        <w:t xml:space="preserve"> Recurrente</w:t>
      </w:r>
      <w:r w:rsidRPr="00317531">
        <w:rPr>
          <w:rFonts w:ascii="Palatino Linotype" w:eastAsia="Palatino Linotype" w:hAnsi="Palatino Linotype" w:cs="Palatino Linotype"/>
          <w:sz w:val="22"/>
          <w:szCs w:val="22"/>
        </w:rPr>
        <w:t xml:space="preserve"> en el recurso de revisión </w:t>
      </w:r>
      <w:r w:rsidRPr="00317531">
        <w:rPr>
          <w:rFonts w:ascii="Palatino Linotype" w:eastAsia="Palatino Linotype" w:hAnsi="Palatino Linotype" w:cs="Palatino Linotype"/>
          <w:b/>
          <w:bCs/>
          <w:sz w:val="22"/>
          <w:szCs w:val="22"/>
        </w:rPr>
        <w:t>08979/INFOEM/IP/RR/2025</w:t>
      </w:r>
      <w:r w:rsidRPr="00317531">
        <w:rPr>
          <w:rFonts w:ascii="Palatino Linotype" w:eastAsia="Palatino Linotype" w:hAnsi="Palatino Linotype" w:cs="Palatino Linotype"/>
          <w:sz w:val="22"/>
          <w:szCs w:val="22"/>
        </w:rPr>
        <w:t xml:space="preserve">; por lo que, en términos del </w:t>
      </w:r>
      <w:r w:rsidRPr="00317531">
        <w:rPr>
          <w:rFonts w:ascii="Palatino Linotype" w:eastAsia="Palatino Linotype" w:hAnsi="Palatino Linotype" w:cs="Palatino Linotype"/>
          <w:b/>
          <w:bCs/>
          <w:sz w:val="22"/>
          <w:szCs w:val="22"/>
        </w:rPr>
        <w:t>Considerando</w:t>
      </w:r>
      <w:r w:rsidRPr="00317531">
        <w:rPr>
          <w:rFonts w:ascii="Palatino Linotype" w:eastAsia="Palatino Linotype" w:hAnsi="Palatino Linotype" w:cs="Palatino Linotype"/>
          <w:sz w:val="22"/>
          <w:szCs w:val="22"/>
        </w:rPr>
        <w:t xml:space="preserve"> </w:t>
      </w:r>
      <w:r w:rsidRPr="00317531">
        <w:rPr>
          <w:rFonts w:ascii="Palatino Linotype" w:eastAsia="Palatino Linotype" w:hAnsi="Palatino Linotype" w:cs="Palatino Linotype"/>
          <w:b/>
          <w:bCs/>
          <w:sz w:val="22"/>
          <w:szCs w:val="22"/>
        </w:rPr>
        <w:t xml:space="preserve">Cuarto </w:t>
      </w:r>
      <w:r w:rsidRPr="00317531">
        <w:rPr>
          <w:rFonts w:ascii="Palatino Linotype" w:eastAsia="Palatino Linotype" w:hAnsi="Palatino Linotype" w:cs="Palatino Linotype"/>
          <w:sz w:val="22"/>
          <w:szCs w:val="22"/>
        </w:rPr>
        <w:t xml:space="preserve">de esta resolución, se </w:t>
      </w:r>
      <w:r w:rsidRPr="00317531">
        <w:rPr>
          <w:rFonts w:ascii="Palatino Linotype" w:eastAsia="Palatino Linotype" w:hAnsi="Palatino Linotype" w:cs="Palatino Linotype"/>
          <w:b/>
          <w:bCs/>
          <w:sz w:val="22"/>
          <w:szCs w:val="22"/>
        </w:rPr>
        <w:t xml:space="preserve">Revoca </w:t>
      </w:r>
      <w:r w:rsidRPr="00317531">
        <w:rPr>
          <w:rFonts w:ascii="Palatino Linotype" w:eastAsia="Palatino Linotype" w:hAnsi="Palatino Linotype" w:cs="Palatino Linotype"/>
          <w:sz w:val="22"/>
          <w:szCs w:val="22"/>
        </w:rPr>
        <w:t xml:space="preserve">la respuesta emitida por el </w:t>
      </w:r>
      <w:r w:rsidRPr="00317531">
        <w:rPr>
          <w:rFonts w:ascii="Palatino Linotype" w:eastAsia="Palatino Linotype" w:hAnsi="Palatino Linotype" w:cs="Palatino Linotype"/>
          <w:b/>
          <w:bCs/>
          <w:sz w:val="22"/>
          <w:szCs w:val="22"/>
        </w:rPr>
        <w:t xml:space="preserve">Sujeto Obligado. </w:t>
      </w:r>
    </w:p>
    <w:p w14:paraId="7E7F01F8" w14:textId="77777777" w:rsidR="00E12D72" w:rsidRPr="00317531" w:rsidRDefault="007C46EB">
      <w:pPr>
        <w:spacing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 xml:space="preserve">Segundo. </w:t>
      </w:r>
      <w:r w:rsidRPr="00317531">
        <w:rPr>
          <w:rFonts w:ascii="Palatino Linotype" w:eastAsia="Palatino Linotype" w:hAnsi="Palatino Linotype" w:cs="Palatino Linotype"/>
          <w:sz w:val="22"/>
          <w:szCs w:val="22"/>
        </w:rPr>
        <w:t xml:space="preserve">Se </w:t>
      </w:r>
      <w:r w:rsidRPr="00317531">
        <w:rPr>
          <w:rFonts w:ascii="Palatino Linotype" w:eastAsia="Palatino Linotype" w:hAnsi="Palatino Linotype" w:cs="Palatino Linotype"/>
          <w:b/>
          <w:bCs/>
          <w:sz w:val="22"/>
          <w:szCs w:val="22"/>
        </w:rPr>
        <w:t>Ordena</w:t>
      </w:r>
      <w:r w:rsidRPr="00317531">
        <w:rPr>
          <w:rFonts w:ascii="Palatino Linotype" w:eastAsia="Palatino Linotype" w:hAnsi="Palatino Linotype" w:cs="Palatino Linotype"/>
          <w:sz w:val="22"/>
          <w:szCs w:val="22"/>
        </w:rPr>
        <w:t xml:space="preserve"> al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en términos de los Considerandos </w:t>
      </w:r>
      <w:r w:rsidRPr="00317531">
        <w:rPr>
          <w:rFonts w:ascii="Palatino Linotype" w:eastAsia="Palatino Linotype" w:hAnsi="Palatino Linotype" w:cs="Palatino Linotype"/>
          <w:b/>
          <w:bCs/>
          <w:sz w:val="22"/>
          <w:szCs w:val="22"/>
        </w:rPr>
        <w:t xml:space="preserve">Cuarto </w:t>
      </w:r>
      <w:r w:rsidRPr="00317531">
        <w:rPr>
          <w:rFonts w:ascii="Palatino Linotype" w:eastAsia="Palatino Linotype" w:hAnsi="Palatino Linotype" w:cs="Palatino Linotype"/>
          <w:sz w:val="22"/>
          <w:szCs w:val="22"/>
        </w:rPr>
        <w:t xml:space="preserve">y </w:t>
      </w:r>
      <w:r w:rsidRPr="00317531">
        <w:rPr>
          <w:rFonts w:ascii="Palatino Linotype" w:eastAsia="Palatino Linotype" w:hAnsi="Palatino Linotype" w:cs="Palatino Linotype"/>
          <w:b/>
          <w:bCs/>
          <w:sz w:val="22"/>
          <w:szCs w:val="22"/>
        </w:rPr>
        <w:t xml:space="preserve">Quinto </w:t>
      </w:r>
      <w:r w:rsidRPr="00317531">
        <w:rPr>
          <w:rFonts w:ascii="Palatino Linotype" w:eastAsia="Palatino Linotype" w:hAnsi="Palatino Linotype" w:cs="Palatino Linotype"/>
          <w:sz w:val="22"/>
          <w:szCs w:val="22"/>
        </w:rPr>
        <w:t xml:space="preserve">de esta resolución, haga entrega, vía </w:t>
      </w:r>
      <w:r w:rsidRPr="00317531">
        <w:rPr>
          <w:rFonts w:ascii="Palatino Linotype" w:eastAsia="Palatino Linotype" w:hAnsi="Palatino Linotype" w:cs="Palatino Linotype"/>
          <w:b/>
          <w:bCs/>
          <w:sz w:val="22"/>
          <w:szCs w:val="22"/>
        </w:rPr>
        <w:t>SAIMEX</w:t>
      </w:r>
      <w:r w:rsidRPr="00317531">
        <w:rPr>
          <w:rFonts w:ascii="Palatino Linotype" w:eastAsia="Palatino Linotype" w:hAnsi="Palatino Linotype" w:cs="Palatino Linotype"/>
          <w:sz w:val="22"/>
          <w:szCs w:val="22"/>
        </w:rPr>
        <w:t>, en versión pública de ser procedente, de lo siguiente:</w:t>
      </w:r>
    </w:p>
    <w:p w14:paraId="697B9528" w14:textId="77777777" w:rsidR="00E12D72" w:rsidRPr="00317531" w:rsidRDefault="007C46EB">
      <w:pPr>
        <w:tabs>
          <w:tab w:val="left" w:pos="5040"/>
        </w:tabs>
        <w:spacing w:before="240" w:after="240" w:line="360" w:lineRule="auto"/>
        <w:ind w:left="284" w:right="49"/>
        <w:jc w:val="both"/>
        <w:rPr>
          <w:rFonts w:ascii="Palatino Linotype" w:eastAsia="Palatino Linotype" w:hAnsi="Palatino Linotype" w:cs="Palatino Linotype"/>
          <w:b/>
          <w:bCs/>
          <w:sz w:val="22"/>
          <w:szCs w:val="22"/>
        </w:rPr>
      </w:pPr>
      <w:r w:rsidRPr="00317531">
        <w:rPr>
          <w:rFonts w:ascii="Palatino Linotype" w:eastAsia="Palatino Linotype" w:hAnsi="Palatino Linotype" w:cs="Palatino Linotype"/>
          <w:sz w:val="22"/>
          <w:szCs w:val="22"/>
        </w:rPr>
        <w:t>1. Documento donde conste o que dé cuenta de la información curricular de todos los servidores públicos con cargo de mando medio y superior, en funciones al veintiséis de junio de dos mil veinticinco</w:t>
      </w:r>
      <w:r w:rsidRPr="00317531">
        <w:rPr>
          <w:rFonts w:ascii="Palatino Linotype" w:eastAsia="Palatino Linotype" w:hAnsi="Palatino Linotype" w:cs="Palatino Linotype"/>
          <w:b/>
          <w:bCs/>
          <w:sz w:val="22"/>
          <w:szCs w:val="22"/>
        </w:rPr>
        <w:t>.</w:t>
      </w:r>
    </w:p>
    <w:p w14:paraId="4516085B" w14:textId="77777777" w:rsidR="00E12D72" w:rsidRPr="00317531" w:rsidRDefault="007C46EB">
      <w:pPr>
        <w:tabs>
          <w:tab w:val="left" w:pos="5040"/>
        </w:tabs>
        <w:spacing w:before="240" w:after="240" w:line="360" w:lineRule="auto"/>
        <w:ind w:left="284" w:right="49"/>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2. El o los documentos que den cuenta del alta de los servidores públicos referidos en el punto anterior.</w:t>
      </w:r>
    </w:p>
    <w:p w14:paraId="794B6951" w14:textId="77777777" w:rsidR="00E12D72" w:rsidRPr="00317531" w:rsidRDefault="007C46EB">
      <w:pPr>
        <w:tabs>
          <w:tab w:val="left" w:pos="851"/>
        </w:tabs>
        <w:spacing w:before="120" w:after="120"/>
        <w:ind w:left="284" w:right="49"/>
        <w:jc w:val="both"/>
        <w:rPr>
          <w:rFonts w:ascii="Palatino Linotype" w:eastAsia="Palatino Linotype" w:hAnsi="Palatino Linotype" w:cs="Palatino Linotype"/>
          <w:i/>
          <w:iCs/>
          <w:sz w:val="20"/>
          <w:szCs w:val="20"/>
        </w:rPr>
      </w:pPr>
      <w:r w:rsidRPr="00317531">
        <w:rPr>
          <w:rFonts w:ascii="Palatino Linotype" w:eastAsia="Palatino Linotype" w:hAnsi="Palatino Linotype" w:cs="Palatino Linotype"/>
          <w:i/>
          <w:iCs/>
          <w:sz w:val="20"/>
          <w:szCs w:val="20"/>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5D143598"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b/>
          <w:bCs/>
          <w:sz w:val="22"/>
          <w:szCs w:val="22"/>
        </w:rPr>
        <w:t xml:space="preserve">Tercero. Notifíquese, </w:t>
      </w:r>
      <w:r w:rsidRPr="00317531">
        <w:rPr>
          <w:rFonts w:ascii="Palatino Linotype" w:eastAsia="Palatino Linotype" w:hAnsi="Palatino Linotype" w:cs="Palatino Linotype"/>
          <w:sz w:val="22"/>
          <w:szCs w:val="22"/>
        </w:rPr>
        <w:t xml:space="preserve">vía </w:t>
      </w:r>
      <w:r w:rsidRPr="00317531">
        <w:rPr>
          <w:rFonts w:ascii="Palatino Linotype" w:eastAsia="Palatino Linotype" w:hAnsi="Palatino Linotype" w:cs="Palatino Linotype"/>
          <w:b/>
          <w:bCs/>
          <w:sz w:val="22"/>
          <w:szCs w:val="22"/>
        </w:rPr>
        <w:t>SAIMEX</w:t>
      </w:r>
      <w:r w:rsidRPr="00317531">
        <w:rPr>
          <w:rFonts w:ascii="Palatino Linotype" w:eastAsia="Palatino Linotype" w:hAnsi="Palatino Linotype" w:cs="Palatino Linotype"/>
          <w:sz w:val="22"/>
          <w:szCs w:val="22"/>
        </w:rPr>
        <w:t xml:space="preserve">, al Titular de la Unidad de Transparencia del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58FB15"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r w:rsidRPr="0031753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17531">
        <w:rPr>
          <w:rFonts w:ascii="Palatino Linotype" w:eastAsia="Palatino Linotype" w:hAnsi="Palatino Linotype" w:cs="Palatino Linotype"/>
          <w:b/>
          <w:bCs/>
          <w:sz w:val="22"/>
          <w:szCs w:val="22"/>
        </w:rPr>
        <w:t>Sujeto Obligado</w:t>
      </w:r>
      <w:r w:rsidRPr="0031753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FA53FED" w14:textId="77777777" w:rsidR="00E12D72" w:rsidRPr="00317531" w:rsidRDefault="007C46EB">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317531">
        <w:rPr>
          <w:rFonts w:ascii="Palatino Linotype" w:eastAsia="Palatino Linotype" w:hAnsi="Palatino Linotype" w:cs="Palatino Linotype"/>
          <w:b/>
          <w:bCs/>
          <w:sz w:val="22"/>
          <w:szCs w:val="22"/>
        </w:rPr>
        <w:t xml:space="preserve">Cuarto.  Notifíquese, </w:t>
      </w:r>
      <w:r w:rsidRPr="00317531">
        <w:rPr>
          <w:rFonts w:ascii="Palatino Linotype" w:eastAsia="Palatino Linotype" w:hAnsi="Palatino Linotype" w:cs="Palatino Linotype"/>
          <w:sz w:val="22"/>
          <w:szCs w:val="22"/>
        </w:rPr>
        <w:t xml:space="preserve">vía </w:t>
      </w:r>
      <w:r w:rsidRPr="00317531">
        <w:rPr>
          <w:rFonts w:ascii="Palatino Linotype" w:eastAsia="Palatino Linotype" w:hAnsi="Palatino Linotype" w:cs="Palatino Linotype"/>
          <w:b/>
          <w:bCs/>
          <w:sz w:val="22"/>
          <w:szCs w:val="22"/>
        </w:rPr>
        <w:t>SAIMEX</w:t>
      </w:r>
      <w:r w:rsidRPr="00317531">
        <w:rPr>
          <w:rFonts w:ascii="Palatino Linotype" w:eastAsia="Palatino Linotype" w:hAnsi="Palatino Linotype" w:cs="Palatino Linotype"/>
          <w:sz w:val="22"/>
          <w:szCs w:val="22"/>
        </w:rPr>
        <w:t xml:space="preserve">, a la parte </w:t>
      </w:r>
      <w:r w:rsidRPr="00317531">
        <w:rPr>
          <w:rFonts w:ascii="Palatino Linotype" w:eastAsia="Palatino Linotype" w:hAnsi="Palatino Linotype" w:cs="Palatino Linotype"/>
          <w:b/>
          <w:bCs/>
          <w:sz w:val="22"/>
          <w:szCs w:val="22"/>
        </w:rPr>
        <w:t>Recurrente</w:t>
      </w:r>
      <w:r w:rsidRPr="0031753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1924523" w14:textId="736BB542" w:rsidR="00E12D72" w:rsidRPr="00CA42F8" w:rsidRDefault="007C46EB">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31753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D1CCF" w:rsidRPr="00317531">
        <w:rPr>
          <w:rFonts w:ascii="Palatino Linotype" w:eastAsia="Palatino Linotype" w:hAnsi="Palatino Linotype" w:cs="Palatino Linotype"/>
          <w:sz w:val="22"/>
          <w:szCs w:val="22"/>
        </w:rPr>
        <w:t xml:space="preserve"> EMITIENDO VOTO PARTICULAR, </w:t>
      </w:r>
      <w:r w:rsidRPr="00317531">
        <w:rPr>
          <w:rFonts w:ascii="Palatino Linotype" w:eastAsia="Palatino Linotype" w:hAnsi="Palatino Linotype" w:cs="Palatino Linotype"/>
          <w:sz w:val="22"/>
          <w:szCs w:val="22"/>
        </w:rPr>
        <w:t xml:space="preserve"> EN LA CUADRAGÉSIMA PRIMERA SESIÓN ORDINARIA CELEBRADA EL VEINTE DE NOVIEMBRE DE DOS MIL VEINTICINCO, ANTE EL SECRETARIO TÉCNICO DEL PLENO ALEXIS TAPIA RAMÍREZ.</w:t>
      </w:r>
    </w:p>
    <w:p w14:paraId="3373019E"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5E11E330" w14:textId="77777777" w:rsidR="00E12D72" w:rsidRPr="00CA42F8" w:rsidRDefault="00E12D72">
      <w:pPr>
        <w:spacing w:line="360" w:lineRule="auto"/>
        <w:jc w:val="center"/>
        <w:rPr>
          <w:rFonts w:ascii="Palatino Linotype" w:eastAsia="Palatino Linotype" w:hAnsi="Palatino Linotype" w:cs="Palatino Linotype"/>
          <w:sz w:val="22"/>
          <w:szCs w:val="22"/>
        </w:rPr>
      </w:pPr>
    </w:p>
    <w:p w14:paraId="6F458BA4"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5A0AFF4C"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72F0F606"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211B4835"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2EADCED4"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5CE46FFC" w14:textId="77777777" w:rsidR="00E12D72" w:rsidRPr="00CA42F8" w:rsidRDefault="00E12D72">
      <w:pPr>
        <w:spacing w:line="360" w:lineRule="auto"/>
        <w:jc w:val="both"/>
        <w:rPr>
          <w:rFonts w:ascii="Palatino Linotype" w:eastAsia="Palatino Linotype" w:hAnsi="Palatino Linotype" w:cs="Palatino Linotype"/>
          <w:sz w:val="22"/>
          <w:szCs w:val="22"/>
        </w:rPr>
      </w:pPr>
      <w:bookmarkStart w:id="12" w:name="_GoBack"/>
      <w:bookmarkEnd w:id="12"/>
    </w:p>
    <w:p w14:paraId="42A8EFA3"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65FE18EE"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600F3EB2"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43E52382"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488FFAD5"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56969797"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6A42705E"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11DDB14D"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00E780B6"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4C418043"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07E26263" w14:textId="77777777" w:rsidR="00E12D72" w:rsidRPr="00CA42F8" w:rsidRDefault="00E12D72">
      <w:pPr>
        <w:spacing w:line="360" w:lineRule="auto"/>
        <w:jc w:val="both"/>
        <w:rPr>
          <w:rFonts w:ascii="Palatino Linotype" w:eastAsia="Palatino Linotype" w:hAnsi="Palatino Linotype" w:cs="Palatino Linotype"/>
          <w:sz w:val="22"/>
          <w:szCs w:val="22"/>
        </w:rPr>
      </w:pPr>
    </w:p>
    <w:p w14:paraId="12E518F4" w14:textId="77777777" w:rsidR="00E12D72" w:rsidRPr="00CA42F8" w:rsidRDefault="00E12D72">
      <w:pPr>
        <w:spacing w:line="360" w:lineRule="auto"/>
        <w:jc w:val="both"/>
        <w:rPr>
          <w:rFonts w:ascii="Palatino Linotype" w:eastAsia="Palatino Linotype" w:hAnsi="Palatino Linotype" w:cs="Palatino Linotype"/>
          <w:sz w:val="22"/>
          <w:szCs w:val="22"/>
        </w:rPr>
      </w:pPr>
    </w:p>
    <w:sectPr w:rsidR="00E12D72" w:rsidRPr="00CA42F8">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AFD67" w14:textId="77777777" w:rsidR="00305ED8" w:rsidRDefault="00305ED8">
      <w:r>
        <w:separator/>
      </w:r>
    </w:p>
  </w:endnote>
  <w:endnote w:type="continuationSeparator" w:id="0">
    <w:p w14:paraId="41D9C3B7" w14:textId="77777777" w:rsidR="00305ED8" w:rsidRDefault="00305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DEC391-1D20-46CA-ACE4-0A1208FA41EE}"/>
    <w:embedBold r:id="rId2" w:fontKey="{7D42A680-9F7B-4B02-BF1C-C4CD787C749E}"/>
  </w:font>
  <w:font w:name="Cambria">
    <w:panose1 w:val="02040503050406030204"/>
    <w:charset w:val="00"/>
    <w:family w:val="roman"/>
    <w:pitch w:val="variable"/>
    <w:sig w:usb0="E00006FF" w:usb1="420024FF" w:usb2="02000000" w:usb3="00000000" w:csb0="0000019F" w:csb1="00000000"/>
    <w:embedRegular r:id="rId3" w:fontKey="{CD6206E6-11A0-4A3F-BE5F-4209C299FFC9}"/>
    <w:embedBold r:id="rId4" w:fontKey="{26B9C1F1-ADC8-4A5B-9072-0FEEB65405EA}"/>
    <w:embedBoldItalic r:id="rId5" w:fontKey="{EF67225B-16B9-42D0-B90B-BC7C84B7829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00CE8B3-3FDC-411E-BDD1-A08732E7B31B}"/>
  </w:font>
  <w:font w:name="Georgia">
    <w:panose1 w:val="02040502050405020303"/>
    <w:charset w:val="00"/>
    <w:family w:val="roman"/>
    <w:pitch w:val="variable"/>
    <w:sig w:usb0="00000287" w:usb1="00000000" w:usb2="00000000" w:usb3="00000000" w:csb0="0000009F" w:csb1="00000000"/>
    <w:embedItalic r:id="rId7" w:fontKey="{D0801C51-630B-4663-B0FE-DC2AF009F6D7}"/>
  </w:font>
  <w:font w:name="Palatino Linotype">
    <w:panose1 w:val="02040502050505030304"/>
    <w:charset w:val="00"/>
    <w:family w:val="roman"/>
    <w:pitch w:val="variable"/>
    <w:sig w:usb0="E0000287" w:usb1="40000013" w:usb2="00000000" w:usb3="00000000" w:csb0="0000019F" w:csb1="00000000"/>
    <w:embedRegular r:id="rId8" w:fontKey="{0619BEB3-636F-488D-87AA-1A18E9666742}"/>
    <w:embedBold r:id="rId9" w:fontKey="{C992E94B-2776-4641-9DDE-769F53EB243E}"/>
    <w:embedItalic r:id="rId10" w:fontKey="{FD66A174-963E-4A36-9947-219FF0DBBE9E}"/>
    <w:embedBoldItalic r:id="rId11" w:fontKey="{03826998-77FD-4E0E-80E7-67E5A725F4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D82E" w14:textId="6CE95997" w:rsidR="00E12D72" w:rsidRDefault="007C46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12E49">
      <w:rPr>
        <w:rFonts w:ascii="Palatino Linotype" w:eastAsia="Palatino Linotype" w:hAnsi="Palatino Linotype" w:cs="Palatino Linotype"/>
        <w:b/>
        <w:bCs/>
        <w:noProof/>
        <w:color w:val="000000"/>
        <w:sz w:val="20"/>
        <w:szCs w:val="20"/>
      </w:rPr>
      <w:t>35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12E49">
      <w:rPr>
        <w:rFonts w:ascii="Palatino Linotype" w:eastAsia="Palatino Linotype" w:hAnsi="Palatino Linotype" w:cs="Palatino Linotype"/>
        <w:b/>
        <w:bCs/>
        <w:noProof/>
        <w:color w:val="000000"/>
        <w:sz w:val="20"/>
        <w:szCs w:val="20"/>
      </w:rPr>
      <w:t>36</w:t>
    </w:r>
    <w:r>
      <w:rPr>
        <w:rFonts w:ascii="Palatino Linotype" w:eastAsia="Palatino Linotype" w:hAnsi="Palatino Linotype" w:cs="Palatino Linotype"/>
        <w:b/>
        <w:bCs/>
        <w:color w:val="000000"/>
        <w:sz w:val="20"/>
        <w:szCs w:val="20"/>
      </w:rPr>
      <w:fldChar w:fldCharType="end"/>
    </w:r>
  </w:p>
  <w:p w14:paraId="4A054B28" w14:textId="77777777" w:rsidR="00E12D72" w:rsidRDefault="00E12D7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A6BE4" w14:textId="7958E218" w:rsidR="00E12D72" w:rsidRDefault="007C46E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12E4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12E49">
      <w:rPr>
        <w:rFonts w:ascii="Palatino Linotype" w:eastAsia="Palatino Linotype" w:hAnsi="Palatino Linotype" w:cs="Palatino Linotype"/>
        <w:b/>
        <w:bCs/>
        <w:noProof/>
        <w:color w:val="000000"/>
        <w:sz w:val="20"/>
        <w:szCs w:val="20"/>
      </w:rPr>
      <w:t>36</w:t>
    </w:r>
    <w:r>
      <w:rPr>
        <w:rFonts w:ascii="Palatino Linotype" w:eastAsia="Palatino Linotype" w:hAnsi="Palatino Linotype" w:cs="Palatino Linotype"/>
        <w:b/>
        <w:bCs/>
        <w:color w:val="000000"/>
        <w:sz w:val="20"/>
        <w:szCs w:val="20"/>
      </w:rPr>
      <w:fldChar w:fldCharType="end"/>
    </w:r>
  </w:p>
  <w:p w14:paraId="4829B9A2" w14:textId="77777777" w:rsidR="00E12D72" w:rsidRDefault="00E12D7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57D8B" w14:textId="77777777" w:rsidR="00305ED8" w:rsidRDefault="00305ED8">
      <w:r>
        <w:separator/>
      </w:r>
    </w:p>
  </w:footnote>
  <w:footnote w:type="continuationSeparator" w:id="0">
    <w:p w14:paraId="5143A628" w14:textId="77777777" w:rsidR="00305ED8" w:rsidRDefault="00305E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FF2E7" w14:textId="77777777" w:rsidR="00E12D72" w:rsidRDefault="007C46EB">
    <w:pPr>
      <w:rPr>
        <w:rFonts w:ascii="Cambria" w:eastAsia="Cambria" w:hAnsi="Cambria" w:cs="Cambria"/>
        <w:color w:val="000000"/>
      </w:rPr>
    </w:pPr>
    <w:r>
      <w:rPr>
        <w:noProof/>
      </w:rPr>
      <w:drawing>
        <wp:anchor distT="0" distB="0" distL="0" distR="0" simplePos="0" relativeHeight="251658240" behindDoc="1" locked="0" layoutInCell="1" hidden="0" allowOverlap="1" wp14:anchorId="68918430" wp14:editId="3189045F">
          <wp:simplePos x="0" y="0"/>
          <wp:positionH relativeFrom="column">
            <wp:posOffset>-1080089</wp:posOffset>
          </wp:positionH>
          <wp:positionV relativeFrom="paragraph">
            <wp:posOffset>-488259</wp:posOffset>
          </wp:positionV>
          <wp:extent cx="7809865" cy="10165715"/>
          <wp:effectExtent l="0" t="0" r="0" b="0"/>
          <wp:wrapNone/>
          <wp:docPr id="2140131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953" w:type="dxa"/>
      <w:tblInd w:w="3261" w:type="dxa"/>
      <w:tblLayout w:type="fixed"/>
      <w:tblLook w:val="0400" w:firstRow="0" w:lastRow="0" w:firstColumn="0" w:lastColumn="0" w:noHBand="0" w:noVBand="1"/>
    </w:tblPr>
    <w:tblGrid>
      <w:gridCol w:w="2489"/>
      <w:gridCol w:w="3464"/>
    </w:tblGrid>
    <w:tr w:rsidR="00E12D72" w14:paraId="1BD5DD1F" w14:textId="77777777">
      <w:tc>
        <w:tcPr>
          <w:tcW w:w="2489" w:type="dxa"/>
        </w:tcPr>
        <w:p w14:paraId="2E4667FA" w14:textId="77777777" w:rsidR="00E12D72" w:rsidRDefault="007C46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5E0FB66A" w14:textId="77777777" w:rsidR="00E12D72" w:rsidRDefault="007C46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08979/INFOEM/IP/RR/2025</w:t>
          </w:r>
        </w:p>
      </w:tc>
    </w:tr>
    <w:tr w:rsidR="00E12D72" w14:paraId="11529EFE" w14:textId="77777777">
      <w:trPr>
        <w:trHeight w:val="228"/>
      </w:trPr>
      <w:tc>
        <w:tcPr>
          <w:tcW w:w="2489" w:type="dxa"/>
          <w:vAlign w:val="center"/>
        </w:tcPr>
        <w:p w14:paraId="7690B537" w14:textId="77777777" w:rsidR="00E12D72" w:rsidRDefault="007C46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2884FFB6" w14:textId="77777777" w:rsidR="00E12D72" w:rsidRDefault="007C46E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12D72" w14:paraId="51F3110F" w14:textId="77777777">
      <w:tc>
        <w:tcPr>
          <w:tcW w:w="2489" w:type="dxa"/>
          <w:vAlign w:val="center"/>
        </w:tcPr>
        <w:p w14:paraId="29AA40C1" w14:textId="77777777" w:rsidR="00E12D72" w:rsidRDefault="007C46E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0382F4B9" w14:textId="77777777" w:rsidR="00E12D72" w:rsidRDefault="007C46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4E23A99" w14:textId="77777777" w:rsidR="00E12D72" w:rsidRDefault="007C46E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93A84" w14:textId="77777777" w:rsidR="00E12D72" w:rsidRDefault="007C46E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0798FAB" wp14:editId="02898730">
          <wp:simplePos x="0" y="0"/>
          <wp:positionH relativeFrom="column">
            <wp:posOffset>-1080131</wp:posOffset>
          </wp:positionH>
          <wp:positionV relativeFrom="paragraph">
            <wp:posOffset>-369890</wp:posOffset>
          </wp:positionV>
          <wp:extent cx="7809865" cy="10165715"/>
          <wp:effectExtent l="0" t="0" r="0" b="0"/>
          <wp:wrapNone/>
          <wp:docPr id="21401318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E12D72" w14:paraId="5EEEE0F6" w14:textId="77777777">
      <w:tc>
        <w:tcPr>
          <w:tcW w:w="2489" w:type="dxa"/>
        </w:tcPr>
        <w:p w14:paraId="78169C1D" w14:textId="77777777" w:rsidR="00E12D72" w:rsidRDefault="007C46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66FED4A" w14:textId="77777777" w:rsidR="00E12D72" w:rsidRDefault="007C46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08979/INFOEM/IP/RR/2025</w:t>
          </w:r>
        </w:p>
      </w:tc>
    </w:tr>
    <w:tr w:rsidR="00E12D72" w14:paraId="1DC185E9" w14:textId="77777777">
      <w:tc>
        <w:tcPr>
          <w:tcW w:w="2489" w:type="dxa"/>
        </w:tcPr>
        <w:p w14:paraId="0D39163C" w14:textId="77777777" w:rsidR="00E12D72" w:rsidRDefault="007C46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6216BF9B" w14:textId="77777777" w:rsidR="00E12D72" w:rsidRDefault="00E12D72">
          <w:pPr>
            <w:ind w:right="175"/>
            <w:jc w:val="both"/>
            <w:rPr>
              <w:rFonts w:ascii="Palatino Linotype" w:eastAsia="Palatino Linotype" w:hAnsi="Palatino Linotype" w:cs="Palatino Linotype"/>
              <w:b/>
              <w:bCs/>
              <w:sz w:val="22"/>
              <w:szCs w:val="22"/>
              <w:highlight w:val="yellow"/>
            </w:rPr>
          </w:pPr>
        </w:p>
      </w:tc>
    </w:tr>
    <w:tr w:rsidR="00E12D72" w14:paraId="1615F74A" w14:textId="77777777">
      <w:trPr>
        <w:trHeight w:val="228"/>
      </w:trPr>
      <w:tc>
        <w:tcPr>
          <w:tcW w:w="2489" w:type="dxa"/>
          <w:vAlign w:val="center"/>
        </w:tcPr>
        <w:p w14:paraId="243B0500" w14:textId="77777777" w:rsidR="00E12D72" w:rsidRDefault="007C46E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73BA42D" w14:textId="77777777" w:rsidR="00E12D72" w:rsidRDefault="007C46EB">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12D72" w14:paraId="2A3C6963" w14:textId="77777777">
      <w:tc>
        <w:tcPr>
          <w:tcW w:w="2489" w:type="dxa"/>
          <w:vAlign w:val="center"/>
        </w:tcPr>
        <w:p w14:paraId="63BC9A69" w14:textId="77777777" w:rsidR="00E12D72" w:rsidRDefault="007C46E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557CA7C1" w14:textId="77777777" w:rsidR="00E12D72" w:rsidRDefault="007C46E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AA3BF5F" w14:textId="77777777" w:rsidR="00E12D72" w:rsidRDefault="00E12D7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E6427"/>
    <w:multiLevelType w:val="multilevel"/>
    <w:tmpl w:val="0BD8DFE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FCB5515"/>
    <w:multiLevelType w:val="multilevel"/>
    <w:tmpl w:val="B99C4E1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D72"/>
    <w:rsid w:val="00305ED8"/>
    <w:rsid w:val="00317531"/>
    <w:rsid w:val="007C46EB"/>
    <w:rsid w:val="00CA42F8"/>
    <w:rsid w:val="00CD1CCF"/>
    <w:rsid w:val="00D428E5"/>
    <w:rsid w:val="00E12D72"/>
    <w:rsid w:val="00F12E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E5DA1"/>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2"/>
      </w:numPr>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Ay3warWgw0Kg/8PiS7lEC9Z3UQ==">CgMxLjAyDmguZGFqM2oyeG82cTY2MghoLmdqZGd4czIJaC4zZHk2dmttMgloLjMwajB6bGwyCWguMnM4ZXlvMTIIaC50eWpjd3QyCWguMmV0OTJwMDIOaC4xN3UwODRsa3RnNGcyDmgudHV5bjZ2MTkyZDhyMgloLjI2aW4xcmcyCWguMTdkcDh2dTIIaC5sbnhiejk4AHIhMThrSnBpRXZfdHhremg1NXgwNkZUUXVsd0RzZjNma2tD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10042</Words>
  <Characters>55231</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2025-11-21T20:15:00Z</cp:lastPrinted>
  <dcterms:created xsi:type="dcterms:W3CDTF">2025-12-15T01:46:00Z</dcterms:created>
  <dcterms:modified xsi:type="dcterms:W3CDTF">2025-12-15T01:46:00Z</dcterms:modified>
</cp:coreProperties>
</file>