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6D376A1F" w:rsidR="00A50615" w:rsidRPr="004D5E25" w:rsidRDefault="00C73479" w:rsidP="00761BC2">
          <w:pPr>
            <w:pStyle w:val="TtulodeTDC"/>
            <w:spacing w:before="0" w:line="360" w:lineRule="auto"/>
            <w:jc w:val="center"/>
          </w:pPr>
          <w:r w:rsidRPr="004D5E25">
            <w:rPr>
              <w:rFonts w:ascii="Palatino Linotype" w:eastAsia="Palatino Linotype" w:hAnsi="Palatino Linotype" w:cs="Palatino Linotype"/>
              <w:color w:val="000000" w:themeColor="text1"/>
              <w:sz w:val="22"/>
              <w:szCs w:val="22"/>
              <w:lang w:val="es-ES"/>
            </w:rPr>
            <w:t xml:space="preserve">RESOLUCIÓN DEL RECURSO DE REVISIÓN </w:t>
          </w:r>
          <w:r w:rsidR="001724BB" w:rsidRPr="004D5E25">
            <w:rPr>
              <w:rFonts w:ascii="Palatino Linotype" w:eastAsia="Palatino Linotype" w:hAnsi="Palatino Linotype" w:cs="Palatino Linotype"/>
              <w:color w:val="000000" w:themeColor="text1"/>
              <w:sz w:val="22"/>
              <w:szCs w:val="22"/>
              <w:lang w:val="es-ES"/>
            </w:rPr>
            <w:t>00881/INFOEM/IP/RR/2025</w:t>
          </w:r>
        </w:p>
        <w:p w14:paraId="5BB671D8" w14:textId="77777777" w:rsidR="004D5E25" w:rsidRPr="004D5E25" w:rsidRDefault="00A50615">
          <w:pPr>
            <w:pStyle w:val="TDC1"/>
            <w:tabs>
              <w:tab w:val="right" w:leader="dot" w:pos="9204"/>
            </w:tabs>
            <w:rPr>
              <w:rFonts w:asciiTheme="minorHAnsi" w:eastAsiaTheme="minorEastAsia" w:hAnsiTheme="minorHAnsi" w:cstheme="minorBidi"/>
              <w:noProof/>
              <w:color w:val="auto"/>
            </w:rPr>
          </w:pPr>
          <w:r w:rsidRPr="004D5E25">
            <w:fldChar w:fldCharType="begin"/>
          </w:r>
          <w:r w:rsidRPr="004D5E25">
            <w:instrText xml:space="preserve"> TOC \o "1-3" \h \z \u </w:instrText>
          </w:r>
          <w:r w:rsidRPr="004D5E25">
            <w:fldChar w:fldCharType="separate"/>
          </w:r>
          <w:hyperlink w:anchor="_Toc193385569" w:history="1">
            <w:r w:rsidR="004D5E25" w:rsidRPr="004D5E25">
              <w:rPr>
                <w:rStyle w:val="Hipervnculo"/>
                <w:noProof/>
              </w:rPr>
              <w:t>A N T E C E D E N T E S</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_Toc193385569 \h </w:instrText>
            </w:r>
            <w:r w:rsidR="004D5E25" w:rsidRPr="004D5E25">
              <w:rPr>
                <w:noProof/>
                <w:webHidden/>
              </w:rPr>
            </w:r>
            <w:r w:rsidR="004D5E25" w:rsidRPr="004D5E25">
              <w:rPr>
                <w:noProof/>
                <w:webHidden/>
              </w:rPr>
              <w:fldChar w:fldCharType="separate"/>
            </w:r>
            <w:r w:rsidR="003F6C99">
              <w:rPr>
                <w:noProof/>
                <w:webHidden/>
              </w:rPr>
              <w:t>2</w:t>
            </w:r>
            <w:r w:rsidR="004D5E25" w:rsidRPr="004D5E25">
              <w:rPr>
                <w:noProof/>
                <w:webHidden/>
              </w:rPr>
              <w:fldChar w:fldCharType="end"/>
            </w:r>
          </w:hyperlink>
        </w:p>
        <w:p w14:paraId="013A47B6" w14:textId="77777777" w:rsidR="004D5E25" w:rsidRPr="004D5E25" w:rsidRDefault="00FB4937">
          <w:pPr>
            <w:pStyle w:val="TDC2"/>
            <w:rPr>
              <w:rFonts w:asciiTheme="minorHAnsi" w:eastAsiaTheme="minorEastAsia" w:hAnsiTheme="minorHAnsi" w:cstheme="minorBidi"/>
              <w:noProof/>
              <w:color w:val="auto"/>
            </w:rPr>
          </w:pPr>
          <w:hyperlink w:anchor="_Toc193385570" w:history="1">
            <w:r w:rsidR="004D5E25" w:rsidRPr="004D5E25">
              <w:rPr>
                <w:rStyle w:val="Hipervnculo"/>
                <w:noProof/>
              </w:rPr>
              <w:t>I. Presentación de la solicitud</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_Toc193385570 \h </w:instrText>
            </w:r>
            <w:r w:rsidR="004D5E25" w:rsidRPr="004D5E25">
              <w:rPr>
                <w:noProof/>
                <w:webHidden/>
              </w:rPr>
            </w:r>
            <w:r w:rsidR="004D5E25" w:rsidRPr="004D5E25">
              <w:rPr>
                <w:noProof/>
                <w:webHidden/>
              </w:rPr>
              <w:fldChar w:fldCharType="separate"/>
            </w:r>
            <w:r w:rsidR="003F6C99">
              <w:rPr>
                <w:noProof/>
                <w:webHidden/>
              </w:rPr>
              <w:t>2</w:t>
            </w:r>
            <w:r w:rsidR="004D5E25" w:rsidRPr="004D5E25">
              <w:rPr>
                <w:noProof/>
                <w:webHidden/>
              </w:rPr>
              <w:fldChar w:fldCharType="end"/>
            </w:r>
          </w:hyperlink>
        </w:p>
        <w:p w14:paraId="33DDB53C" w14:textId="77777777" w:rsidR="004D5E25" w:rsidRPr="004D5E25" w:rsidRDefault="00FB4937">
          <w:pPr>
            <w:pStyle w:val="TDC2"/>
            <w:rPr>
              <w:rFonts w:asciiTheme="minorHAnsi" w:eastAsiaTheme="minorEastAsia" w:hAnsiTheme="minorHAnsi" w:cstheme="minorBidi"/>
              <w:noProof/>
              <w:color w:val="auto"/>
            </w:rPr>
          </w:pPr>
          <w:hyperlink w:anchor="_Toc193385571" w:history="1">
            <w:r w:rsidR="004D5E25" w:rsidRPr="004D5E25">
              <w:rPr>
                <w:rStyle w:val="Hipervnculo"/>
                <w:noProof/>
              </w:rPr>
              <w:t>II. Respuesta del Sujeto Obligado</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_Toc193385571 \h </w:instrText>
            </w:r>
            <w:r w:rsidR="004D5E25" w:rsidRPr="004D5E25">
              <w:rPr>
                <w:noProof/>
                <w:webHidden/>
              </w:rPr>
            </w:r>
            <w:r w:rsidR="004D5E25" w:rsidRPr="004D5E25">
              <w:rPr>
                <w:noProof/>
                <w:webHidden/>
              </w:rPr>
              <w:fldChar w:fldCharType="separate"/>
            </w:r>
            <w:r w:rsidR="003F6C99">
              <w:rPr>
                <w:noProof/>
                <w:webHidden/>
              </w:rPr>
              <w:t>3</w:t>
            </w:r>
            <w:r w:rsidR="004D5E25" w:rsidRPr="004D5E25">
              <w:rPr>
                <w:noProof/>
                <w:webHidden/>
              </w:rPr>
              <w:fldChar w:fldCharType="end"/>
            </w:r>
          </w:hyperlink>
        </w:p>
        <w:p w14:paraId="5B7E8767" w14:textId="77777777" w:rsidR="004D5E25" w:rsidRPr="004D5E25" w:rsidRDefault="00FB4937">
          <w:pPr>
            <w:pStyle w:val="TDC2"/>
            <w:rPr>
              <w:rFonts w:asciiTheme="minorHAnsi" w:eastAsiaTheme="minorEastAsia" w:hAnsiTheme="minorHAnsi" w:cstheme="minorBidi"/>
              <w:noProof/>
              <w:color w:val="auto"/>
            </w:rPr>
          </w:pPr>
          <w:hyperlink w:anchor="_Toc193385572" w:history="1">
            <w:r w:rsidR="004D5E25" w:rsidRPr="004D5E25">
              <w:rPr>
                <w:rStyle w:val="Hipervnculo"/>
                <w:noProof/>
              </w:rPr>
              <w:t>III. Interposición del Recurso de Revisión</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_Toc193385572 \h </w:instrText>
            </w:r>
            <w:r w:rsidR="004D5E25" w:rsidRPr="004D5E25">
              <w:rPr>
                <w:noProof/>
                <w:webHidden/>
              </w:rPr>
            </w:r>
            <w:r w:rsidR="004D5E25" w:rsidRPr="004D5E25">
              <w:rPr>
                <w:noProof/>
                <w:webHidden/>
              </w:rPr>
              <w:fldChar w:fldCharType="separate"/>
            </w:r>
            <w:r w:rsidR="003F6C99">
              <w:rPr>
                <w:noProof/>
                <w:webHidden/>
              </w:rPr>
              <w:t>3</w:t>
            </w:r>
            <w:r w:rsidR="004D5E25" w:rsidRPr="004D5E25">
              <w:rPr>
                <w:noProof/>
                <w:webHidden/>
              </w:rPr>
              <w:fldChar w:fldCharType="end"/>
            </w:r>
          </w:hyperlink>
        </w:p>
        <w:p w14:paraId="201D6023" w14:textId="77777777" w:rsidR="004D5E25" w:rsidRPr="004D5E25" w:rsidRDefault="00FB4937">
          <w:pPr>
            <w:pStyle w:val="TDC2"/>
            <w:rPr>
              <w:rFonts w:asciiTheme="minorHAnsi" w:eastAsiaTheme="minorEastAsia" w:hAnsiTheme="minorHAnsi" w:cstheme="minorBidi"/>
              <w:noProof/>
              <w:color w:val="auto"/>
            </w:rPr>
          </w:pPr>
          <w:hyperlink w:anchor="_Toc193385573" w:history="1">
            <w:r w:rsidR="004D5E25" w:rsidRPr="004D5E25">
              <w:rPr>
                <w:rStyle w:val="Hipervnculo"/>
                <w:noProof/>
              </w:rPr>
              <w:t>IV. Trámite del Recurso de Revisión ante este Instituto</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_Toc193385573 \h </w:instrText>
            </w:r>
            <w:r w:rsidR="004D5E25" w:rsidRPr="004D5E25">
              <w:rPr>
                <w:noProof/>
                <w:webHidden/>
              </w:rPr>
            </w:r>
            <w:r w:rsidR="004D5E25" w:rsidRPr="004D5E25">
              <w:rPr>
                <w:noProof/>
                <w:webHidden/>
              </w:rPr>
              <w:fldChar w:fldCharType="separate"/>
            </w:r>
            <w:r w:rsidR="003F6C99">
              <w:rPr>
                <w:noProof/>
                <w:webHidden/>
              </w:rPr>
              <w:t>3</w:t>
            </w:r>
            <w:r w:rsidR="004D5E25" w:rsidRPr="004D5E25">
              <w:rPr>
                <w:noProof/>
                <w:webHidden/>
              </w:rPr>
              <w:fldChar w:fldCharType="end"/>
            </w:r>
          </w:hyperlink>
        </w:p>
        <w:p w14:paraId="21FDD51D" w14:textId="77777777" w:rsidR="004D5E25" w:rsidRPr="004D5E25" w:rsidRDefault="00FB4937">
          <w:pPr>
            <w:pStyle w:val="TDC1"/>
            <w:tabs>
              <w:tab w:val="right" w:leader="dot" w:pos="9204"/>
            </w:tabs>
            <w:rPr>
              <w:rFonts w:asciiTheme="minorHAnsi" w:eastAsiaTheme="minorEastAsia" w:hAnsiTheme="minorHAnsi" w:cstheme="minorBidi"/>
              <w:noProof/>
              <w:color w:val="auto"/>
            </w:rPr>
          </w:pPr>
          <w:hyperlink w:anchor="_Toc193385574" w:history="1">
            <w:r w:rsidR="004D5E25" w:rsidRPr="004D5E25">
              <w:rPr>
                <w:rStyle w:val="Hipervnculo"/>
                <w:noProof/>
              </w:rPr>
              <w:t>C O N S I D E R A N D O S</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_Toc193385574 \h </w:instrText>
            </w:r>
            <w:r w:rsidR="004D5E25" w:rsidRPr="004D5E25">
              <w:rPr>
                <w:noProof/>
                <w:webHidden/>
              </w:rPr>
            </w:r>
            <w:r w:rsidR="004D5E25" w:rsidRPr="004D5E25">
              <w:rPr>
                <w:noProof/>
                <w:webHidden/>
              </w:rPr>
              <w:fldChar w:fldCharType="separate"/>
            </w:r>
            <w:r w:rsidR="003F6C99">
              <w:rPr>
                <w:noProof/>
                <w:webHidden/>
              </w:rPr>
              <w:t>4</w:t>
            </w:r>
            <w:r w:rsidR="004D5E25" w:rsidRPr="004D5E25">
              <w:rPr>
                <w:noProof/>
                <w:webHidden/>
              </w:rPr>
              <w:fldChar w:fldCharType="end"/>
            </w:r>
          </w:hyperlink>
        </w:p>
        <w:p w14:paraId="21E58E6E" w14:textId="77777777" w:rsidR="004D5E25" w:rsidRPr="004D5E25" w:rsidRDefault="00FB4937">
          <w:pPr>
            <w:pStyle w:val="TDC2"/>
            <w:rPr>
              <w:rFonts w:asciiTheme="minorHAnsi" w:eastAsiaTheme="minorEastAsia" w:hAnsiTheme="minorHAnsi" w:cstheme="minorBidi"/>
              <w:noProof/>
              <w:color w:val="auto"/>
            </w:rPr>
          </w:pPr>
          <w:hyperlink w:anchor="_Toc193385575" w:history="1">
            <w:r w:rsidR="004D5E25" w:rsidRPr="004D5E25">
              <w:rPr>
                <w:rStyle w:val="Hipervnculo"/>
                <w:noProof/>
              </w:rPr>
              <w:t>PRIMERO. Competencia</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_Toc193385575 \h </w:instrText>
            </w:r>
            <w:r w:rsidR="004D5E25" w:rsidRPr="004D5E25">
              <w:rPr>
                <w:noProof/>
                <w:webHidden/>
              </w:rPr>
            </w:r>
            <w:r w:rsidR="004D5E25" w:rsidRPr="004D5E25">
              <w:rPr>
                <w:noProof/>
                <w:webHidden/>
              </w:rPr>
              <w:fldChar w:fldCharType="separate"/>
            </w:r>
            <w:r w:rsidR="003F6C99">
              <w:rPr>
                <w:noProof/>
                <w:webHidden/>
              </w:rPr>
              <w:t>5</w:t>
            </w:r>
            <w:r w:rsidR="004D5E25" w:rsidRPr="004D5E25">
              <w:rPr>
                <w:noProof/>
                <w:webHidden/>
              </w:rPr>
              <w:fldChar w:fldCharType="end"/>
            </w:r>
          </w:hyperlink>
        </w:p>
        <w:p w14:paraId="7E95E414" w14:textId="77777777" w:rsidR="004D5E25" w:rsidRPr="004D5E25" w:rsidRDefault="00FB4937">
          <w:pPr>
            <w:pStyle w:val="TDC2"/>
            <w:rPr>
              <w:rFonts w:asciiTheme="minorHAnsi" w:eastAsiaTheme="minorEastAsia" w:hAnsiTheme="minorHAnsi" w:cstheme="minorBidi"/>
              <w:noProof/>
              <w:color w:val="auto"/>
            </w:rPr>
          </w:pPr>
          <w:hyperlink w:anchor="_Toc193385576" w:history="1">
            <w:r w:rsidR="004D5E25" w:rsidRPr="004D5E25">
              <w:rPr>
                <w:rStyle w:val="Hipervnculo"/>
                <w:noProof/>
              </w:rPr>
              <w:t>SEGUNDO. Causales de improcedencia y sobreseimiento</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_Toc193385576 \h </w:instrText>
            </w:r>
            <w:r w:rsidR="004D5E25" w:rsidRPr="004D5E25">
              <w:rPr>
                <w:noProof/>
                <w:webHidden/>
              </w:rPr>
            </w:r>
            <w:r w:rsidR="004D5E25" w:rsidRPr="004D5E25">
              <w:rPr>
                <w:noProof/>
                <w:webHidden/>
              </w:rPr>
              <w:fldChar w:fldCharType="separate"/>
            </w:r>
            <w:r w:rsidR="003F6C99">
              <w:rPr>
                <w:noProof/>
                <w:webHidden/>
              </w:rPr>
              <w:t>5</w:t>
            </w:r>
            <w:r w:rsidR="004D5E25" w:rsidRPr="004D5E25">
              <w:rPr>
                <w:noProof/>
                <w:webHidden/>
              </w:rPr>
              <w:fldChar w:fldCharType="end"/>
            </w:r>
          </w:hyperlink>
        </w:p>
        <w:p w14:paraId="575BD677" w14:textId="77777777" w:rsidR="004D5E25" w:rsidRPr="004D5E25" w:rsidRDefault="00FB4937">
          <w:pPr>
            <w:pStyle w:val="TDC2"/>
            <w:rPr>
              <w:rFonts w:asciiTheme="minorHAnsi" w:eastAsiaTheme="minorEastAsia" w:hAnsiTheme="minorHAnsi" w:cstheme="minorBidi"/>
              <w:noProof/>
              <w:color w:val="auto"/>
            </w:rPr>
          </w:pPr>
          <w:hyperlink w:anchor="_Toc193385577" w:history="1">
            <w:r w:rsidR="004D5E25" w:rsidRPr="004D5E25">
              <w:rPr>
                <w:rStyle w:val="Hipervnculo"/>
                <w:noProof/>
              </w:rPr>
              <w:t>TERCERO. Determinación de la Controversia.</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_Toc193385577 \h </w:instrText>
            </w:r>
            <w:r w:rsidR="004D5E25" w:rsidRPr="004D5E25">
              <w:rPr>
                <w:noProof/>
                <w:webHidden/>
              </w:rPr>
            </w:r>
            <w:r w:rsidR="004D5E25" w:rsidRPr="004D5E25">
              <w:rPr>
                <w:noProof/>
                <w:webHidden/>
              </w:rPr>
              <w:fldChar w:fldCharType="separate"/>
            </w:r>
            <w:r w:rsidR="003F6C99">
              <w:rPr>
                <w:noProof/>
                <w:webHidden/>
              </w:rPr>
              <w:t>7</w:t>
            </w:r>
            <w:r w:rsidR="004D5E25" w:rsidRPr="004D5E25">
              <w:rPr>
                <w:noProof/>
                <w:webHidden/>
              </w:rPr>
              <w:fldChar w:fldCharType="end"/>
            </w:r>
          </w:hyperlink>
        </w:p>
        <w:p w14:paraId="793F6F2A" w14:textId="77777777" w:rsidR="004D5E25" w:rsidRPr="004D5E25" w:rsidRDefault="00FB4937">
          <w:pPr>
            <w:pStyle w:val="TDC2"/>
            <w:rPr>
              <w:rFonts w:asciiTheme="minorHAnsi" w:eastAsiaTheme="minorEastAsia" w:hAnsiTheme="minorHAnsi" w:cstheme="minorBidi"/>
              <w:noProof/>
              <w:color w:val="auto"/>
            </w:rPr>
          </w:pPr>
          <w:hyperlink w:anchor="_Toc193385578" w:history="1">
            <w:r w:rsidR="004D5E25" w:rsidRPr="004D5E25">
              <w:rPr>
                <w:rStyle w:val="Hipervnculo"/>
                <w:noProof/>
              </w:rPr>
              <w:t>CUARTO. Marco normativo aplicable en materia de transparencia y acceso a la información pública</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_Toc193385578 \h </w:instrText>
            </w:r>
            <w:r w:rsidR="004D5E25" w:rsidRPr="004D5E25">
              <w:rPr>
                <w:noProof/>
                <w:webHidden/>
              </w:rPr>
            </w:r>
            <w:r w:rsidR="004D5E25" w:rsidRPr="004D5E25">
              <w:rPr>
                <w:noProof/>
                <w:webHidden/>
              </w:rPr>
              <w:fldChar w:fldCharType="separate"/>
            </w:r>
            <w:r w:rsidR="003F6C99">
              <w:rPr>
                <w:noProof/>
                <w:webHidden/>
              </w:rPr>
              <w:t>9</w:t>
            </w:r>
            <w:r w:rsidR="004D5E25" w:rsidRPr="004D5E25">
              <w:rPr>
                <w:noProof/>
                <w:webHidden/>
              </w:rPr>
              <w:fldChar w:fldCharType="end"/>
            </w:r>
          </w:hyperlink>
        </w:p>
        <w:p w14:paraId="11989998" w14:textId="77777777" w:rsidR="004D5E25" w:rsidRPr="004D5E25" w:rsidRDefault="00FB4937">
          <w:pPr>
            <w:pStyle w:val="TDC2"/>
            <w:rPr>
              <w:rFonts w:asciiTheme="minorHAnsi" w:eastAsiaTheme="minorEastAsia" w:hAnsiTheme="minorHAnsi" w:cstheme="minorBidi"/>
              <w:noProof/>
              <w:color w:val="auto"/>
            </w:rPr>
          </w:pPr>
          <w:hyperlink w:anchor="_Toc193385579" w:history="1">
            <w:r w:rsidR="004D5E25" w:rsidRPr="004D5E25">
              <w:rPr>
                <w:rStyle w:val="Hipervnculo"/>
                <w:caps/>
                <w:noProof/>
              </w:rPr>
              <w:t>Quinto.</w:t>
            </w:r>
            <w:r w:rsidR="004D5E25" w:rsidRPr="004D5E25">
              <w:rPr>
                <w:rStyle w:val="Hipervnculo"/>
                <w:noProof/>
              </w:rPr>
              <w:t xml:space="preserve"> Estudio de Fondo</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_Toc193385579 \h </w:instrText>
            </w:r>
            <w:r w:rsidR="004D5E25" w:rsidRPr="004D5E25">
              <w:rPr>
                <w:noProof/>
                <w:webHidden/>
              </w:rPr>
            </w:r>
            <w:r w:rsidR="004D5E25" w:rsidRPr="004D5E25">
              <w:rPr>
                <w:noProof/>
                <w:webHidden/>
              </w:rPr>
              <w:fldChar w:fldCharType="separate"/>
            </w:r>
            <w:r w:rsidR="003F6C99">
              <w:rPr>
                <w:noProof/>
                <w:webHidden/>
              </w:rPr>
              <w:t>10</w:t>
            </w:r>
            <w:r w:rsidR="004D5E25" w:rsidRPr="004D5E25">
              <w:rPr>
                <w:noProof/>
                <w:webHidden/>
              </w:rPr>
              <w:fldChar w:fldCharType="end"/>
            </w:r>
          </w:hyperlink>
        </w:p>
        <w:p w14:paraId="26490F19" w14:textId="77777777" w:rsidR="004D5E25" w:rsidRPr="004D5E25" w:rsidRDefault="00FB4937">
          <w:pPr>
            <w:pStyle w:val="TDC2"/>
            <w:rPr>
              <w:rFonts w:asciiTheme="minorHAnsi" w:eastAsiaTheme="minorEastAsia" w:hAnsiTheme="minorHAnsi" w:cstheme="minorBidi"/>
              <w:noProof/>
              <w:color w:val="auto"/>
            </w:rPr>
          </w:pPr>
          <w:hyperlink w:anchor="_Toc193385580" w:history="1">
            <w:r w:rsidR="004D5E25" w:rsidRPr="004D5E25">
              <w:rPr>
                <w:rStyle w:val="Hipervnculo"/>
                <w:noProof/>
                <w:lang w:eastAsia="en-US"/>
              </w:rPr>
              <w:t>SEXTO. Decisión</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_Toc193385580 \h </w:instrText>
            </w:r>
            <w:r w:rsidR="004D5E25" w:rsidRPr="004D5E25">
              <w:rPr>
                <w:noProof/>
                <w:webHidden/>
              </w:rPr>
            </w:r>
            <w:r w:rsidR="004D5E25" w:rsidRPr="004D5E25">
              <w:rPr>
                <w:noProof/>
                <w:webHidden/>
              </w:rPr>
              <w:fldChar w:fldCharType="separate"/>
            </w:r>
            <w:r w:rsidR="003F6C99">
              <w:rPr>
                <w:noProof/>
                <w:webHidden/>
              </w:rPr>
              <w:t>34</w:t>
            </w:r>
            <w:r w:rsidR="004D5E25" w:rsidRPr="004D5E25">
              <w:rPr>
                <w:noProof/>
                <w:webHidden/>
              </w:rPr>
              <w:fldChar w:fldCharType="end"/>
            </w:r>
          </w:hyperlink>
        </w:p>
        <w:p w14:paraId="5BD4F25E" w14:textId="77777777" w:rsidR="004D5E25" w:rsidRPr="004D5E25" w:rsidRDefault="00FB4937">
          <w:pPr>
            <w:pStyle w:val="TDC2"/>
            <w:rPr>
              <w:rFonts w:asciiTheme="minorHAnsi" w:eastAsiaTheme="minorEastAsia" w:hAnsiTheme="minorHAnsi" w:cstheme="minorBidi"/>
              <w:noProof/>
              <w:color w:val="auto"/>
            </w:rPr>
          </w:pPr>
          <w:hyperlink w:anchor="_Toc193385581" w:history="1">
            <w:r w:rsidR="004D5E25" w:rsidRPr="004D5E25">
              <w:rPr>
                <w:rStyle w:val="Hipervnculo"/>
                <w:rFonts w:cs="Tahoma"/>
                <w:noProof/>
              </w:rPr>
              <w:t>SÉPTIMO.</w:t>
            </w:r>
            <w:r w:rsidR="004D5E25" w:rsidRPr="004D5E25">
              <w:rPr>
                <w:rStyle w:val="Hipervnculo"/>
                <w:rFonts w:cs="Tahoma"/>
                <w:bCs/>
                <w:noProof/>
              </w:rPr>
              <w:t xml:space="preserve"> </w:t>
            </w:r>
            <w:r w:rsidR="004D5E25" w:rsidRPr="004D5E25">
              <w:rPr>
                <w:rStyle w:val="Hipervnculo"/>
                <w:rFonts w:eastAsiaTheme="majorEastAsia" w:cstheme="majorBidi"/>
                <w:bCs/>
                <w:noProof/>
                <w:lang w:eastAsia="en-US"/>
              </w:rPr>
              <w:t>Vista a la Dirección General de Protección de Datos Personales</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_Toc193385581 \h </w:instrText>
            </w:r>
            <w:r w:rsidR="004D5E25" w:rsidRPr="004D5E25">
              <w:rPr>
                <w:noProof/>
                <w:webHidden/>
              </w:rPr>
            </w:r>
            <w:r w:rsidR="004D5E25" w:rsidRPr="004D5E25">
              <w:rPr>
                <w:noProof/>
                <w:webHidden/>
              </w:rPr>
              <w:fldChar w:fldCharType="separate"/>
            </w:r>
            <w:r w:rsidR="003F6C99">
              <w:rPr>
                <w:noProof/>
                <w:webHidden/>
              </w:rPr>
              <w:t>34</w:t>
            </w:r>
            <w:r w:rsidR="004D5E25" w:rsidRPr="004D5E25">
              <w:rPr>
                <w:noProof/>
                <w:webHidden/>
              </w:rPr>
              <w:fldChar w:fldCharType="end"/>
            </w:r>
          </w:hyperlink>
        </w:p>
        <w:p w14:paraId="1362FA82" w14:textId="77777777" w:rsidR="004D5E25" w:rsidRPr="004D5E25" w:rsidRDefault="00FB4937">
          <w:pPr>
            <w:pStyle w:val="TDC1"/>
            <w:tabs>
              <w:tab w:val="right" w:leader="dot" w:pos="9204"/>
            </w:tabs>
            <w:rPr>
              <w:rFonts w:asciiTheme="minorHAnsi" w:eastAsiaTheme="minorEastAsia" w:hAnsiTheme="minorHAnsi" w:cstheme="minorBidi"/>
              <w:noProof/>
              <w:color w:val="auto"/>
            </w:rPr>
          </w:pPr>
          <w:hyperlink w:anchor="_Toc193385582" w:history="1">
            <w:r w:rsidR="004D5E25" w:rsidRPr="004D5E25">
              <w:rPr>
                <w:rStyle w:val="Hipervnculo"/>
                <w:noProof/>
                <w:lang w:eastAsia="en-US"/>
              </w:rPr>
              <w:t>R E S U E L V E</w:t>
            </w:r>
            <w:r w:rsidR="004D5E25" w:rsidRPr="004D5E25">
              <w:rPr>
                <w:noProof/>
                <w:webHidden/>
              </w:rPr>
              <w:tab/>
            </w:r>
            <w:r w:rsidR="004D5E25" w:rsidRPr="004D5E25">
              <w:rPr>
                <w:noProof/>
                <w:webHidden/>
              </w:rPr>
              <w:fldChar w:fldCharType="begin"/>
            </w:r>
            <w:r w:rsidR="004D5E25" w:rsidRPr="004D5E25">
              <w:rPr>
                <w:noProof/>
                <w:webHidden/>
              </w:rPr>
              <w:instrText xml:space="preserve"> PAGEREF _Toc193385582 \h </w:instrText>
            </w:r>
            <w:r w:rsidR="004D5E25" w:rsidRPr="004D5E25">
              <w:rPr>
                <w:noProof/>
                <w:webHidden/>
              </w:rPr>
            </w:r>
            <w:r w:rsidR="004D5E25" w:rsidRPr="004D5E25">
              <w:rPr>
                <w:noProof/>
                <w:webHidden/>
              </w:rPr>
              <w:fldChar w:fldCharType="separate"/>
            </w:r>
            <w:r w:rsidR="003F6C99">
              <w:rPr>
                <w:noProof/>
                <w:webHidden/>
              </w:rPr>
              <w:t>35</w:t>
            </w:r>
            <w:r w:rsidR="004D5E25" w:rsidRPr="004D5E25">
              <w:rPr>
                <w:noProof/>
                <w:webHidden/>
              </w:rPr>
              <w:fldChar w:fldCharType="end"/>
            </w:r>
          </w:hyperlink>
        </w:p>
        <w:p w14:paraId="47B63EDE" w14:textId="2F770A52" w:rsidR="00A50615" w:rsidRPr="004D5E25" w:rsidRDefault="00A50615" w:rsidP="00761BC2">
          <w:pPr>
            <w:spacing w:after="0" w:line="360" w:lineRule="auto"/>
          </w:pPr>
          <w:r w:rsidRPr="004D5E25">
            <w:rPr>
              <w:b/>
              <w:bCs/>
              <w:lang w:val="es-ES"/>
            </w:rPr>
            <w:fldChar w:fldCharType="end"/>
          </w:r>
        </w:p>
      </w:sdtContent>
    </w:sdt>
    <w:p w14:paraId="1C288FC1" w14:textId="35E585BF" w:rsidR="00CE58A5" w:rsidRPr="004D5E25" w:rsidRDefault="00C73479" w:rsidP="00761BC2">
      <w:pPr>
        <w:widowControl w:val="0"/>
        <w:pBdr>
          <w:top w:val="nil"/>
          <w:left w:val="nil"/>
          <w:bottom w:val="nil"/>
          <w:right w:val="nil"/>
          <w:between w:val="nil"/>
        </w:pBdr>
        <w:spacing w:after="0" w:line="360" w:lineRule="auto"/>
      </w:pPr>
      <w:r w:rsidRPr="004D5E25">
        <w:br w:type="column"/>
      </w:r>
      <w:r w:rsidR="00CE4466" w:rsidRPr="004D5E25">
        <w:lastRenderedPageBreak/>
        <w:t xml:space="preserve">Resolución del Pleno del Instituto de Transparencia, Acceso a la Información Pública y Protección de Datos Personales del Estado de México y Municipios, con domicilio en Metepec, Estado de México, de fecha </w:t>
      </w:r>
      <w:r w:rsidR="001E7F6D" w:rsidRPr="004D5E25">
        <w:t>veinte de marzo</w:t>
      </w:r>
      <w:r w:rsidR="00E87065" w:rsidRPr="004D5E25">
        <w:t xml:space="preserve"> de dos mil veinticinco</w:t>
      </w:r>
      <w:r w:rsidR="00CE4466" w:rsidRPr="004D5E25">
        <w:t>.</w:t>
      </w:r>
    </w:p>
    <w:p w14:paraId="5B1FA2B3" w14:textId="77777777" w:rsidR="00CE58A5" w:rsidRPr="004D5E25" w:rsidRDefault="00CE58A5" w:rsidP="00761BC2">
      <w:pPr>
        <w:spacing w:after="0" w:line="360" w:lineRule="auto"/>
        <w:rPr>
          <w:b/>
        </w:rPr>
      </w:pPr>
    </w:p>
    <w:p w14:paraId="67B180B8" w14:textId="63B5CA52" w:rsidR="00CE58A5" w:rsidRPr="004D5E25" w:rsidRDefault="00CE4466" w:rsidP="00761BC2">
      <w:pPr>
        <w:spacing w:after="0" w:line="360" w:lineRule="auto"/>
      </w:pPr>
      <w:r w:rsidRPr="004D5E25">
        <w:rPr>
          <w:b/>
        </w:rPr>
        <w:t>VISTO</w:t>
      </w:r>
      <w:r w:rsidRPr="004D5E25">
        <w:t xml:space="preserve"> el expediente conformado con motivo del Recurso de Revisión </w:t>
      </w:r>
      <w:r w:rsidR="001E7F6D" w:rsidRPr="00E30798">
        <w:rPr>
          <w:b/>
        </w:rPr>
        <w:t>00881/INFOEM/IP/RR/2025</w:t>
      </w:r>
      <w:r w:rsidRPr="004D5E25">
        <w:t xml:space="preserve">, interpuesto </w:t>
      </w:r>
      <w:r w:rsidR="001A54EF" w:rsidRPr="004D5E25">
        <w:t xml:space="preserve">por </w:t>
      </w:r>
      <w:r w:rsidR="00935DB5" w:rsidRPr="00935DB5">
        <w:rPr>
          <w:highlight w:val="black"/>
        </w:rPr>
        <w:t>XXXXXXXXXXXXXX</w:t>
      </w:r>
      <w:r w:rsidR="001E7F6D" w:rsidRPr="004D5E25">
        <w:t xml:space="preserve">, en adelante </w:t>
      </w:r>
      <w:r w:rsidRPr="004D5E25">
        <w:t xml:space="preserve">Recurrente o Particular, en contra de la respuesta del Sujeto Obligado, </w:t>
      </w:r>
      <w:r w:rsidR="001E7F6D" w:rsidRPr="00E30798">
        <w:rPr>
          <w:b/>
        </w:rPr>
        <w:t xml:space="preserve">Sistema Municipal para </w:t>
      </w:r>
      <w:r w:rsidR="00761BC2" w:rsidRPr="00E30798">
        <w:rPr>
          <w:b/>
        </w:rPr>
        <w:t>el Desarrollo</w:t>
      </w:r>
      <w:r w:rsidR="001E7F6D" w:rsidRPr="00E30798">
        <w:rPr>
          <w:b/>
        </w:rPr>
        <w:t xml:space="preserve"> Integral de la Familia </w:t>
      </w:r>
      <w:r w:rsidR="00761BC2" w:rsidRPr="00E30798">
        <w:rPr>
          <w:b/>
        </w:rPr>
        <w:t>de Cuautitlán</w:t>
      </w:r>
      <w:r w:rsidRPr="00E30798">
        <w:rPr>
          <w:b/>
        </w:rPr>
        <w:t>,</w:t>
      </w:r>
      <w:r w:rsidRPr="004D5E25">
        <w:t xml:space="preserve"> a la solicitud de acceso a la información </w:t>
      </w:r>
      <w:r w:rsidR="00EC3E83" w:rsidRPr="004D5E25">
        <w:rPr>
          <w:color w:val="0D0D0D"/>
        </w:rPr>
        <w:t>00006/DIFCUAUTIT/IP/2025</w:t>
      </w:r>
      <w:r w:rsidRPr="004D5E25">
        <w:t>,</w:t>
      </w:r>
      <w:r w:rsidRPr="004D5E25">
        <w:rPr>
          <w:bCs/>
        </w:rPr>
        <w:t xml:space="preserve"> se emite la presente</w:t>
      </w:r>
      <w:r w:rsidRPr="004D5E25">
        <w:t xml:space="preserve"> Resolución, con base en los Antecedentes y Considerandos que se exponen a continuación:</w:t>
      </w:r>
      <w:r w:rsidR="00935DB5">
        <w:t xml:space="preserve"> </w:t>
      </w:r>
    </w:p>
    <w:p w14:paraId="1FA40EED" w14:textId="77777777" w:rsidR="00CE58A5" w:rsidRPr="004D5E25" w:rsidRDefault="00CE58A5" w:rsidP="00761BC2">
      <w:pPr>
        <w:spacing w:after="0" w:line="360" w:lineRule="auto"/>
      </w:pPr>
    </w:p>
    <w:p w14:paraId="73DD6C24" w14:textId="6D4C9EA9" w:rsidR="00CE58A5" w:rsidRPr="004D5E25" w:rsidRDefault="00CE4466" w:rsidP="00761BC2">
      <w:pPr>
        <w:pStyle w:val="Ttulo1"/>
        <w:spacing w:before="0" w:after="0"/>
      </w:pPr>
      <w:bookmarkStart w:id="0" w:name="_Toc179975594"/>
      <w:bookmarkStart w:id="1" w:name="_Toc193385569"/>
      <w:r w:rsidRPr="004D5E25">
        <w:t>A N T E C E D E N T E S</w:t>
      </w:r>
      <w:bookmarkEnd w:id="0"/>
      <w:bookmarkEnd w:id="1"/>
    </w:p>
    <w:p w14:paraId="108A9D50" w14:textId="77777777" w:rsidR="00CE58A5" w:rsidRPr="004D5E25" w:rsidRDefault="00CE58A5" w:rsidP="00761BC2">
      <w:pPr>
        <w:spacing w:after="0" w:line="360" w:lineRule="auto"/>
      </w:pPr>
    </w:p>
    <w:p w14:paraId="30C1BFAF" w14:textId="34BE2403" w:rsidR="00CE58A5" w:rsidRPr="004D5E25" w:rsidRDefault="00CE4466" w:rsidP="00761BC2">
      <w:pPr>
        <w:pStyle w:val="Ttulo2"/>
        <w:spacing w:before="0" w:after="0"/>
      </w:pPr>
      <w:bookmarkStart w:id="2" w:name="_Toc179975595"/>
      <w:bookmarkStart w:id="3" w:name="_Toc193385570"/>
      <w:r w:rsidRPr="004D5E25">
        <w:t>I. Presentación</w:t>
      </w:r>
      <w:bookmarkEnd w:id="2"/>
      <w:r w:rsidRPr="004D5E25">
        <w:t xml:space="preserve"> </w:t>
      </w:r>
      <w:r w:rsidR="00E57161" w:rsidRPr="004D5E25">
        <w:t>de la solicitud</w:t>
      </w:r>
      <w:bookmarkEnd w:id="3"/>
    </w:p>
    <w:p w14:paraId="13E36A34" w14:textId="77777777" w:rsidR="00CE58A5" w:rsidRPr="004D5E25" w:rsidRDefault="00CE58A5" w:rsidP="00761BC2">
      <w:pPr>
        <w:tabs>
          <w:tab w:val="left" w:pos="567"/>
        </w:tabs>
        <w:spacing w:after="0" w:line="360" w:lineRule="auto"/>
      </w:pPr>
    </w:p>
    <w:p w14:paraId="166E0743" w14:textId="42654DF2" w:rsidR="00CE58A5" w:rsidRPr="004D5E25" w:rsidRDefault="00CE4466" w:rsidP="00761BC2">
      <w:pPr>
        <w:spacing w:after="0" w:line="360" w:lineRule="auto"/>
      </w:pPr>
      <w:r w:rsidRPr="004D5E25">
        <w:t xml:space="preserve">Con fecha </w:t>
      </w:r>
      <w:r w:rsidR="00EC3E83" w:rsidRPr="004D5E25">
        <w:t>diecisiete de enero de dos mil veinticinco</w:t>
      </w:r>
      <w:r w:rsidRPr="004D5E25">
        <w:t xml:space="preserve">, el Particular presentó una solicitud de acceso a la información </w:t>
      </w:r>
      <w:r w:rsidR="00412A97" w:rsidRPr="004D5E25">
        <w:t>pública a</w:t>
      </w:r>
      <w:r w:rsidRPr="004D5E25">
        <w:t xml:space="preserve"> través del Sistema de Acceso a la Información Mexiquense (SAIMEX), ante el </w:t>
      </w:r>
      <w:r w:rsidR="00B40CD5" w:rsidRPr="004D5E25">
        <w:t>Sujeto Obligado</w:t>
      </w:r>
      <w:r w:rsidRPr="004D5E25">
        <w:t xml:space="preserve">, en los siguientes términos: </w:t>
      </w:r>
    </w:p>
    <w:p w14:paraId="16195BED" w14:textId="77777777" w:rsidR="00CE58A5" w:rsidRPr="004D5E25" w:rsidRDefault="00CE58A5" w:rsidP="00761BC2">
      <w:pPr>
        <w:spacing w:after="0" w:line="360" w:lineRule="auto"/>
      </w:pPr>
    </w:p>
    <w:p w14:paraId="65E84A9E" w14:textId="77777777" w:rsidR="00CE58A5" w:rsidRPr="004D5E25" w:rsidRDefault="00CE4466" w:rsidP="00761BC2">
      <w:pPr>
        <w:tabs>
          <w:tab w:val="left" w:pos="4667"/>
        </w:tabs>
        <w:spacing w:after="0" w:line="360" w:lineRule="auto"/>
        <w:ind w:left="567" w:right="567"/>
        <w:rPr>
          <w:b/>
          <w:i/>
          <w:sz w:val="20"/>
          <w:szCs w:val="20"/>
        </w:rPr>
      </w:pPr>
      <w:r w:rsidRPr="004D5E25">
        <w:rPr>
          <w:b/>
          <w:i/>
          <w:sz w:val="20"/>
          <w:szCs w:val="20"/>
        </w:rPr>
        <w:t>“DESCRIPCIÓN CLARA Y PRECISA DE LA INFORMACIÓN SOLICITADA.</w:t>
      </w:r>
    </w:p>
    <w:p w14:paraId="1B838018" w14:textId="3C9495E8" w:rsidR="00CE58A5" w:rsidRPr="004D5E25" w:rsidRDefault="00EC3E83" w:rsidP="00761BC2">
      <w:pPr>
        <w:tabs>
          <w:tab w:val="left" w:pos="4667"/>
        </w:tabs>
        <w:spacing w:after="0" w:line="360" w:lineRule="auto"/>
        <w:ind w:left="567" w:right="567"/>
        <w:rPr>
          <w:i/>
          <w:sz w:val="20"/>
          <w:szCs w:val="20"/>
        </w:rPr>
      </w:pPr>
      <w:r w:rsidRPr="004D5E25">
        <w:rPr>
          <w:i/>
          <w:sz w:val="20"/>
          <w:szCs w:val="20"/>
        </w:rPr>
        <w:t>Requiero todos los recibos de nómina de la quincena del 1 al 15 de enero de 2025 de todos los servidores públicos del sistema</w:t>
      </w:r>
      <w:r w:rsidR="00B40CD5" w:rsidRPr="004D5E25">
        <w:rPr>
          <w:i/>
          <w:sz w:val="20"/>
          <w:szCs w:val="20"/>
        </w:rPr>
        <w:t>.</w:t>
      </w:r>
      <w:r w:rsidR="001A54EF" w:rsidRPr="004D5E25">
        <w:rPr>
          <w:i/>
          <w:sz w:val="20"/>
          <w:szCs w:val="20"/>
        </w:rPr>
        <w:t xml:space="preserve">” </w:t>
      </w:r>
      <w:r w:rsidR="001A54EF" w:rsidRPr="004D5E25">
        <w:rPr>
          <w:i/>
          <w:sz w:val="16"/>
          <w:szCs w:val="16"/>
        </w:rPr>
        <w:t>(</w:t>
      </w:r>
      <w:r w:rsidR="001A54EF" w:rsidRPr="004D5E25">
        <w:rPr>
          <w:i/>
          <w:sz w:val="20"/>
          <w:szCs w:val="20"/>
        </w:rPr>
        <w:t xml:space="preserve">Sic) </w:t>
      </w:r>
    </w:p>
    <w:p w14:paraId="039CE69D" w14:textId="77777777" w:rsidR="001A54EF" w:rsidRPr="004D5E25" w:rsidRDefault="001A54EF" w:rsidP="00761BC2">
      <w:pPr>
        <w:tabs>
          <w:tab w:val="left" w:pos="4667"/>
        </w:tabs>
        <w:spacing w:after="0" w:line="360" w:lineRule="auto"/>
        <w:ind w:left="567" w:right="567"/>
        <w:rPr>
          <w:b/>
          <w:i/>
          <w:sz w:val="20"/>
          <w:szCs w:val="20"/>
        </w:rPr>
      </w:pPr>
    </w:p>
    <w:p w14:paraId="0C1B5F6D" w14:textId="77777777" w:rsidR="00CE58A5" w:rsidRPr="004D5E25" w:rsidRDefault="00CE4466" w:rsidP="00761BC2">
      <w:pPr>
        <w:tabs>
          <w:tab w:val="left" w:pos="4667"/>
        </w:tabs>
        <w:spacing w:after="0" w:line="360" w:lineRule="auto"/>
        <w:ind w:left="567" w:right="567"/>
        <w:rPr>
          <w:b/>
          <w:i/>
          <w:sz w:val="20"/>
          <w:szCs w:val="20"/>
        </w:rPr>
      </w:pPr>
      <w:r w:rsidRPr="004D5E25">
        <w:rPr>
          <w:b/>
          <w:i/>
          <w:sz w:val="20"/>
          <w:szCs w:val="20"/>
        </w:rPr>
        <w:t>“MODALIDAD DE ENTREGA</w:t>
      </w:r>
    </w:p>
    <w:p w14:paraId="11287FA3" w14:textId="77777777" w:rsidR="00CE58A5" w:rsidRPr="004D5E25" w:rsidRDefault="00CE4466" w:rsidP="00761BC2">
      <w:pPr>
        <w:spacing w:after="0" w:line="360" w:lineRule="auto"/>
        <w:ind w:left="567" w:right="567"/>
        <w:rPr>
          <w:i/>
          <w:sz w:val="20"/>
          <w:szCs w:val="20"/>
        </w:rPr>
      </w:pPr>
      <w:r w:rsidRPr="004D5E25">
        <w:rPr>
          <w:i/>
          <w:sz w:val="20"/>
          <w:szCs w:val="20"/>
        </w:rPr>
        <w:t>A través del SAIMEX”</w:t>
      </w:r>
    </w:p>
    <w:p w14:paraId="59B55C0B" w14:textId="77777777" w:rsidR="00CE58A5" w:rsidRPr="004D5E25" w:rsidRDefault="00CE58A5" w:rsidP="00761BC2">
      <w:pPr>
        <w:spacing w:after="0" w:line="360" w:lineRule="auto"/>
        <w:rPr>
          <w:b/>
        </w:rPr>
      </w:pPr>
    </w:p>
    <w:p w14:paraId="1D98E4F2" w14:textId="7C3EC496" w:rsidR="00CE58A5" w:rsidRPr="004D5E25" w:rsidRDefault="00B40CD5" w:rsidP="00761BC2">
      <w:pPr>
        <w:pStyle w:val="Ttulo2"/>
        <w:spacing w:before="0" w:after="0"/>
      </w:pPr>
      <w:bookmarkStart w:id="4" w:name="_Toc179975597"/>
      <w:bookmarkStart w:id="5" w:name="_Toc193385571"/>
      <w:r w:rsidRPr="004D5E25">
        <w:lastRenderedPageBreak/>
        <w:t>I</w:t>
      </w:r>
      <w:r w:rsidR="001A54EF" w:rsidRPr="004D5E25">
        <w:t>I. Respuesta del Sujeto Obligado</w:t>
      </w:r>
      <w:bookmarkEnd w:id="4"/>
      <w:bookmarkEnd w:id="5"/>
    </w:p>
    <w:p w14:paraId="0D93CE51" w14:textId="77777777" w:rsidR="00CE58A5" w:rsidRPr="004D5E25" w:rsidRDefault="00CE58A5" w:rsidP="00761BC2">
      <w:pPr>
        <w:spacing w:after="0" w:line="360" w:lineRule="auto"/>
        <w:rPr>
          <w:b/>
        </w:rPr>
      </w:pPr>
    </w:p>
    <w:p w14:paraId="7A5EA7F4" w14:textId="67236C22" w:rsidR="00CE58A5" w:rsidRPr="004D5E25" w:rsidRDefault="00CE4466" w:rsidP="00761BC2">
      <w:pPr>
        <w:spacing w:after="0" w:line="360" w:lineRule="auto"/>
      </w:pPr>
      <w:r w:rsidRPr="004D5E25">
        <w:t xml:space="preserve">Con fecha </w:t>
      </w:r>
      <w:r w:rsidR="00EC3E83" w:rsidRPr="004D5E25">
        <w:t>siete de fe</w:t>
      </w:r>
      <w:r w:rsidR="00FA42AE" w:rsidRPr="004D5E25">
        <w:t>brero de dos mil veinticinco</w:t>
      </w:r>
      <w:r w:rsidRPr="004D5E25">
        <w:t xml:space="preserve">, el Sujeto Obligado notificó, a través del Sistema de Acceso a la Información Mexiquense (SAIMEX), la respuesta a la solicitud de acceso a la información pública, </w:t>
      </w:r>
      <w:r w:rsidR="00761BC2" w:rsidRPr="004D5E25">
        <w:t>por medio de la cual remitió</w:t>
      </w:r>
      <w:r w:rsidR="00FA42AE" w:rsidRPr="004D5E25">
        <w:t xml:space="preserve"> ciento ochenta y cuatro recibos de nómina del periodo solicitado, en versión pública.</w:t>
      </w:r>
    </w:p>
    <w:p w14:paraId="3355C6B8" w14:textId="77777777" w:rsidR="00B40CD5" w:rsidRPr="004D5E25" w:rsidRDefault="00B40CD5" w:rsidP="00761BC2">
      <w:pPr>
        <w:spacing w:after="0" w:line="360" w:lineRule="auto"/>
      </w:pPr>
      <w:bookmarkStart w:id="6" w:name="_GoBack"/>
      <w:bookmarkEnd w:id="6"/>
    </w:p>
    <w:p w14:paraId="2FA06B09" w14:textId="55CC6DEE" w:rsidR="00CE58A5" w:rsidRPr="004D5E25" w:rsidRDefault="00CE4466" w:rsidP="00761BC2">
      <w:pPr>
        <w:pStyle w:val="Ttulo2"/>
        <w:spacing w:before="0" w:after="0"/>
      </w:pPr>
      <w:bookmarkStart w:id="7" w:name="_Toc179975598"/>
      <w:bookmarkStart w:id="8" w:name="_Toc193385572"/>
      <w:r w:rsidRPr="004D5E25">
        <w:t>I</w:t>
      </w:r>
      <w:r w:rsidR="00BA7CA9" w:rsidRPr="004D5E25">
        <w:t>II</w:t>
      </w:r>
      <w:r w:rsidRPr="004D5E25">
        <w:t>. Interposición del Recurso de Revisión</w:t>
      </w:r>
      <w:bookmarkEnd w:id="7"/>
      <w:bookmarkEnd w:id="8"/>
    </w:p>
    <w:p w14:paraId="3837109C" w14:textId="77777777" w:rsidR="00CE58A5" w:rsidRPr="004D5E25" w:rsidRDefault="00CE58A5" w:rsidP="00761BC2">
      <w:pPr>
        <w:spacing w:after="0" w:line="360" w:lineRule="auto"/>
        <w:rPr>
          <w:b/>
        </w:rPr>
      </w:pPr>
    </w:p>
    <w:p w14:paraId="3385106E" w14:textId="22458ACF" w:rsidR="00CE58A5" w:rsidRPr="004D5E25" w:rsidRDefault="00CE4466" w:rsidP="00761BC2">
      <w:pPr>
        <w:spacing w:after="0" w:line="360" w:lineRule="auto"/>
      </w:pPr>
      <w:r w:rsidRPr="004D5E25">
        <w:t>Con fecha</w:t>
      </w:r>
      <w:r w:rsidR="00DD7C00" w:rsidRPr="004D5E25">
        <w:t xml:space="preserve"> </w:t>
      </w:r>
      <w:r w:rsidR="00FA42AE" w:rsidRPr="004D5E25">
        <w:t>siete de febrero de dos mil veinticinco</w:t>
      </w:r>
      <w:r w:rsidRPr="004D5E25">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4D5E25" w:rsidRDefault="00CE58A5" w:rsidP="00761BC2">
      <w:pPr>
        <w:spacing w:after="0" w:line="360" w:lineRule="auto"/>
      </w:pPr>
    </w:p>
    <w:p w14:paraId="70843217" w14:textId="65699748" w:rsidR="00CE58A5" w:rsidRPr="004D5E25" w:rsidRDefault="00CE4466" w:rsidP="00761BC2">
      <w:pPr>
        <w:spacing w:after="0" w:line="360" w:lineRule="auto"/>
        <w:ind w:left="567" w:right="567"/>
        <w:rPr>
          <w:i/>
          <w:sz w:val="20"/>
          <w:szCs w:val="20"/>
        </w:rPr>
      </w:pPr>
      <w:r w:rsidRPr="004D5E25">
        <w:rPr>
          <w:b/>
          <w:i/>
          <w:sz w:val="20"/>
          <w:szCs w:val="20"/>
        </w:rPr>
        <w:t>“ACTO IMPUGNADO</w:t>
      </w:r>
    </w:p>
    <w:p w14:paraId="1A82882E" w14:textId="44C7D8A0" w:rsidR="00CE58A5" w:rsidRPr="004D5E25" w:rsidRDefault="00FA42AE" w:rsidP="00761BC2">
      <w:pPr>
        <w:spacing w:after="0" w:line="360" w:lineRule="auto"/>
        <w:ind w:left="567" w:right="567"/>
        <w:rPr>
          <w:i/>
          <w:sz w:val="20"/>
          <w:szCs w:val="20"/>
        </w:rPr>
      </w:pPr>
      <w:r w:rsidRPr="004D5E25">
        <w:rPr>
          <w:i/>
          <w:color w:val="000000"/>
          <w:sz w:val="20"/>
          <w:szCs w:val="20"/>
        </w:rPr>
        <w:t>Recibos de nómina</w:t>
      </w:r>
      <w:r w:rsidR="00674D7A" w:rsidRPr="004D5E25">
        <w:rPr>
          <w:i/>
          <w:color w:val="000000"/>
          <w:sz w:val="20"/>
          <w:szCs w:val="20"/>
        </w:rPr>
        <w:t>.</w:t>
      </w:r>
      <w:r w:rsidR="00791585" w:rsidRPr="004D5E25">
        <w:rPr>
          <w:i/>
          <w:sz w:val="20"/>
          <w:szCs w:val="20"/>
        </w:rPr>
        <w:t>” (Sic.)</w:t>
      </w:r>
    </w:p>
    <w:p w14:paraId="1CAF0EE0" w14:textId="77777777" w:rsidR="00CE58A5" w:rsidRPr="004D5E25" w:rsidRDefault="00CE58A5" w:rsidP="00761BC2">
      <w:pPr>
        <w:spacing w:after="0" w:line="360" w:lineRule="auto"/>
        <w:ind w:left="567" w:right="567"/>
        <w:rPr>
          <w:i/>
          <w:sz w:val="20"/>
          <w:szCs w:val="20"/>
        </w:rPr>
      </w:pPr>
    </w:p>
    <w:p w14:paraId="02DA69C4" w14:textId="1EDDA510" w:rsidR="00CE58A5" w:rsidRPr="004D5E25" w:rsidRDefault="00CE4466" w:rsidP="00761BC2">
      <w:pPr>
        <w:spacing w:after="0" w:line="360" w:lineRule="auto"/>
        <w:ind w:left="567" w:right="567"/>
        <w:rPr>
          <w:b/>
          <w:i/>
          <w:sz w:val="20"/>
          <w:szCs w:val="20"/>
        </w:rPr>
      </w:pPr>
      <w:r w:rsidRPr="004D5E25">
        <w:rPr>
          <w:b/>
          <w:i/>
          <w:sz w:val="20"/>
          <w:szCs w:val="20"/>
        </w:rPr>
        <w:t>“RAZONES O MOTIVOS DE LA INCONFORMIDAD</w:t>
      </w:r>
    </w:p>
    <w:p w14:paraId="10183522" w14:textId="0FDB39C4" w:rsidR="00CE58A5" w:rsidRPr="004D5E25" w:rsidRDefault="00FA42AE" w:rsidP="00761BC2">
      <w:pPr>
        <w:spacing w:after="0" w:line="360" w:lineRule="auto"/>
        <w:ind w:left="567" w:right="567"/>
        <w:rPr>
          <w:i/>
          <w:sz w:val="20"/>
          <w:szCs w:val="20"/>
        </w:rPr>
      </w:pPr>
      <w:r w:rsidRPr="004D5E25">
        <w:rPr>
          <w:i/>
          <w:color w:val="000000"/>
          <w:sz w:val="20"/>
          <w:szCs w:val="20"/>
        </w:rPr>
        <w:t>Faltan todos los recibos de nómina de jefes de todas las áreas</w:t>
      </w:r>
      <w:r w:rsidR="00674D7A" w:rsidRPr="004D5E25">
        <w:rPr>
          <w:i/>
          <w:color w:val="000000"/>
          <w:sz w:val="20"/>
          <w:szCs w:val="20"/>
        </w:rPr>
        <w:t>.</w:t>
      </w:r>
      <w:r w:rsidR="00791585" w:rsidRPr="004D5E25">
        <w:rPr>
          <w:i/>
          <w:sz w:val="20"/>
          <w:szCs w:val="20"/>
        </w:rPr>
        <w:t>” (Sic.)</w:t>
      </w:r>
    </w:p>
    <w:p w14:paraId="0BBB2449" w14:textId="77777777" w:rsidR="00CE58A5" w:rsidRPr="004D5E25" w:rsidRDefault="00CE58A5" w:rsidP="00761BC2">
      <w:pPr>
        <w:spacing w:after="0" w:line="360" w:lineRule="auto"/>
      </w:pPr>
    </w:p>
    <w:p w14:paraId="256BC137" w14:textId="764B430C" w:rsidR="00CE58A5" w:rsidRPr="004D5E25" w:rsidRDefault="00674D7A" w:rsidP="00761BC2">
      <w:pPr>
        <w:pStyle w:val="Ttulo2"/>
        <w:spacing w:before="0" w:after="0"/>
      </w:pPr>
      <w:bookmarkStart w:id="9" w:name="_Toc179975599"/>
      <w:bookmarkStart w:id="10" w:name="_Toc193385573"/>
      <w:r w:rsidRPr="004D5E25">
        <w:t>I</w:t>
      </w:r>
      <w:r w:rsidR="00CE4466" w:rsidRPr="004D5E25">
        <w:t>V. Trámite del Recurso de Revisión ante este Instituto</w:t>
      </w:r>
      <w:bookmarkEnd w:id="9"/>
      <w:bookmarkEnd w:id="10"/>
    </w:p>
    <w:p w14:paraId="08451C4E" w14:textId="77777777" w:rsidR="001A54EF" w:rsidRPr="004D5E25" w:rsidRDefault="001A54EF" w:rsidP="00761BC2">
      <w:pPr>
        <w:spacing w:after="0" w:line="360" w:lineRule="auto"/>
        <w:rPr>
          <w:b/>
        </w:rPr>
      </w:pPr>
    </w:p>
    <w:p w14:paraId="31E01367" w14:textId="042B7B5A" w:rsidR="00CE58A5" w:rsidRPr="004D5E25" w:rsidRDefault="00CE4466" w:rsidP="00761BC2">
      <w:pPr>
        <w:spacing w:after="0" w:line="360" w:lineRule="auto"/>
        <w:rPr>
          <w:b/>
        </w:rPr>
      </w:pPr>
      <w:r w:rsidRPr="004D5E25">
        <w:rPr>
          <w:b/>
        </w:rPr>
        <w:t>a) Turno del Medio de Impugnación.</w:t>
      </w:r>
      <w:r w:rsidRPr="004D5E25">
        <w:t xml:space="preserve"> El </w:t>
      </w:r>
      <w:r w:rsidR="00FA42AE" w:rsidRPr="004D5E25">
        <w:t>siete de febrero de dos mil veinticinco</w:t>
      </w:r>
      <w:r w:rsidRPr="004D5E25">
        <w:t xml:space="preserve">, el Sistema de Acceso a la Información Mexiquense (SAIMEX), asignó el número de expediente </w:t>
      </w:r>
      <w:r w:rsidR="00FA42AE" w:rsidRPr="004D5E25">
        <w:rPr>
          <w:b/>
        </w:rPr>
        <w:t>00881/INFOEM/IP/RR/2025</w:t>
      </w:r>
      <w:r w:rsidRPr="004D5E25">
        <w:t xml:space="preserve">, al medio de impugnación que nos ocupa, con base en el sistema aprobado por el Pleno de este Órgano Garante y lo turnó al Comisionado Ponente Luis Gustavo </w:t>
      </w:r>
      <w:r w:rsidRPr="004D5E25">
        <w:lastRenderedPageBreak/>
        <w:t>Parra Noriega, para los efectos del artículo 185, fracción I de la Ley de Transparencia y Acceso a la Información Pública del Estado de México y Municipios.</w:t>
      </w:r>
    </w:p>
    <w:p w14:paraId="7C5527A3" w14:textId="77777777" w:rsidR="00CE58A5" w:rsidRPr="004D5E25" w:rsidRDefault="00CE58A5" w:rsidP="00761BC2">
      <w:pPr>
        <w:spacing w:after="0" w:line="360" w:lineRule="auto"/>
      </w:pPr>
    </w:p>
    <w:p w14:paraId="69DE9485" w14:textId="7993758D" w:rsidR="00CE58A5" w:rsidRPr="004D5E25" w:rsidRDefault="00CE4466" w:rsidP="00761BC2">
      <w:pPr>
        <w:spacing w:after="0" w:line="360" w:lineRule="auto"/>
      </w:pPr>
      <w:r w:rsidRPr="004D5E25">
        <w:rPr>
          <w:b/>
        </w:rPr>
        <w:t>b) Admisión del Recurso de Revisión.</w:t>
      </w:r>
      <w:r w:rsidRPr="004D5E25">
        <w:t xml:space="preserve"> El </w:t>
      </w:r>
      <w:r w:rsidR="00FA42AE" w:rsidRPr="004D5E25">
        <w:t>doce de febrero de dos mil veinticinco</w:t>
      </w:r>
      <w:r w:rsidRPr="004D5E25">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4D5E25">
        <w:t>once</w:t>
      </w:r>
      <w:r w:rsidRPr="004D5E25">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4D5E25" w:rsidRDefault="00CE58A5" w:rsidP="00761BC2">
      <w:pPr>
        <w:spacing w:after="0" w:line="360" w:lineRule="auto"/>
        <w:rPr>
          <w:b/>
        </w:rPr>
      </w:pPr>
    </w:p>
    <w:p w14:paraId="6AAC51D8" w14:textId="1388418E" w:rsidR="00372769" w:rsidRPr="004D5E25" w:rsidRDefault="00CE4466" w:rsidP="00761BC2">
      <w:pPr>
        <w:spacing w:after="0" w:line="360" w:lineRule="auto"/>
      </w:pPr>
      <w:r w:rsidRPr="004D5E25">
        <w:rPr>
          <w:b/>
          <w:color w:val="000000"/>
        </w:rPr>
        <w:t xml:space="preserve">c) </w:t>
      </w:r>
      <w:r w:rsidRPr="004D5E25">
        <w:rPr>
          <w:b/>
        </w:rPr>
        <w:t xml:space="preserve">Informe Justificado o Manifestaciones. </w:t>
      </w:r>
      <w:r w:rsidR="00FF2395" w:rsidRPr="004D5E25">
        <w:t>Las Partes fueron omisas en rendir informe justificado o manifestaciones.</w:t>
      </w:r>
    </w:p>
    <w:p w14:paraId="6FCCCC6B" w14:textId="77777777" w:rsidR="00372769" w:rsidRPr="004D5E25" w:rsidRDefault="00372769" w:rsidP="00761BC2">
      <w:pPr>
        <w:spacing w:after="0" w:line="360" w:lineRule="auto"/>
        <w:rPr>
          <w:b/>
        </w:rPr>
      </w:pPr>
    </w:p>
    <w:p w14:paraId="13E25C12" w14:textId="3A7C056B" w:rsidR="00CE58A5" w:rsidRPr="004D5E25" w:rsidRDefault="00791585" w:rsidP="00761BC2">
      <w:pPr>
        <w:spacing w:after="0" w:line="360" w:lineRule="auto"/>
        <w:rPr>
          <w:b/>
        </w:rPr>
      </w:pPr>
      <w:r w:rsidRPr="004D5E25">
        <w:rPr>
          <w:b/>
        </w:rPr>
        <w:t>e) Cierre de instrucción.</w:t>
      </w:r>
      <w:r w:rsidRPr="004D5E25">
        <w:t xml:space="preserve"> El </w:t>
      </w:r>
      <w:r w:rsidR="00FF2395" w:rsidRPr="004D5E25">
        <w:t>seis de marzo</w:t>
      </w:r>
      <w:r w:rsidR="004B77C7" w:rsidRPr="004D5E25">
        <w:t xml:space="preserve"> de dos mil veinticinco</w:t>
      </w:r>
      <w:r w:rsidRPr="004D5E25">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DF2E44B" w14:textId="77777777" w:rsidR="00CE58A5" w:rsidRPr="004D5E25" w:rsidRDefault="00CE58A5" w:rsidP="00761BC2">
      <w:pPr>
        <w:spacing w:after="0" w:line="360" w:lineRule="auto"/>
      </w:pPr>
    </w:p>
    <w:p w14:paraId="1A2D1592" w14:textId="77777777" w:rsidR="00CE58A5" w:rsidRPr="004D5E25" w:rsidRDefault="00CE4466" w:rsidP="00761BC2">
      <w:pPr>
        <w:spacing w:after="0" w:line="360" w:lineRule="auto"/>
      </w:pPr>
      <w:r w:rsidRPr="004D5E25">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4D5E25" w:rsidRDefault="00CE58A5" w:rsidP="00761BC2">
      <w:pPr>
        <w:spacing w:after="0" w:line="360" w:lineRule="auto"/>
      </w:pPr>
    </w:p>
    <w:p w14:paraId="1E06E728" w14:textId="69856E54" w:rsidR="00CE58A5" w:rsidRPr="004D5E25" w:rsidRDefault="00CE4466" w:rsidP="00761BC2">
      <w:pPr>
        <w:pStyle w:val="Ttulo1"/>
        <w:spacing w:before="0" w:after="0"/>
      </w:pPr>
      <w:bookmarkStart w:id="11" w:name="_Toc179975600"/>
      <w:bookmarkStart w:id="12" w:name="_Toc193385574"/>
      <w:r w:rsidRPr="004D5E25">
        <w:t>C O N S I D E R A N D O S</w:t>
      </w:r>
      <w:bookmarkEnd w:id="11"/>
      <w:bookmarkEnd w:id="12"/>
    </w:p>
    <w:p w14:paraId="09DEA601" w14:textId="77777777" w:rsidR="00CE58A5" w:rsidRPr="004D5E25" w:rsidRDefault="00CE58A5" w:rsidP="00761BC2">
      <w:pPr>
        <w:spacing w:after="0" w:line="360" w:lineRule="auto"/>
        <w:rPr>
          <w:b/>
        </w:rPr>
      </w:pPr>
    </w:p>
    <w:p w14:paraId="3D9317E1" w14:textId="77777777" w:rsidR="00CE58A5" w:rsidRPr="004D5E25" w:rsidRDefault="00CE4466" w:rsidP="00761BC2">
      <w:pPr>
        <w:pStyle w:val="Ttulo2"/>
        <w:spacing w:before="0" w:after="0"/>
      </w:pPr>
      <w:bookmarkStart w:id="13" w:name="_Toc179975601"/>
      <w:bookmarkStart w:id="14" w:name="_Toc193385575"/>
      <w:r w:rsidRPr="004D5E25">
        <w:lastRenderedPageBreak/>
        <w:t>PRIMERO. Competencia</w:t>
      </w:r>
      <w:bookmarkEnd w:id="13"/>
      <w:bookmarkEnd w:id="14"/>
    </w:p>
    <w:p w14:paraId="4F07F053" w14:textId="77777777" w:rsidR="00CE58A5" w:rsidRPr="004D5E25" w:rsidRDefault="00CE58A5" w:rsidP="00761BC2">
      <w:pPr>
        <w:spacing w:after="0" w:line="360" w:lineRule="auto"/>
        <w:rPr>
          <w:b/>
        </w:rPr>
      </w:pPr>
    </w:p>
    <w:p w14:paraId="7E9B74F8" w14:textId="66C66AFC" w:rsidR="00CE58A5" w:rsidRPr="004D5E25" w:rsidRDefault="00CE4466" w:rsidP="00761BC2">
      <w:pPr>
        <w:spacing w:after="0" w:line="360" w:lineRule="auto"/>
      </w:pPr>
      <w:r w:rsidRPr="004D5E25">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4D5E25">
        <w:rPr>
          <w:color w:val="000000"/>
        </w:rPr>
        <w:t>trigésimo segundo, trigésimo tercero y trigésimo cuarto</w:t>
      </w:r>
      <w:r w:rsidRPr="004D5E25">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4D5E25" w:rsidRDefault="00CE58A5" w:rsidP="00761BC2">
      <w:pPr>
        <w:spacing w:after="0" w:line="360" w:lineRule="auto"/>
      </w:pPr>
    </w:p>
    <w:p w14:paraId="250C24B5" w14:textId="77777777" w:rsidR="00CE58A5" w:rsidRPr="004D5E25" w:rsidRDefault="00CE4466" w:rsidP="00761BC2">
      <w:pPr>
        <w:pStyle w:val="Ttulo2"/>
        <w:spacing w:before="0" w:after="0"/>
      </w:pPr>
      <w:bookmarkStart w:id="15" w:name="_Toc179975602"/>
      <w:bookmarkStart w:id="16" w:name="_Toc193385576"/>
      <w:r w:rsidRPr="004D5E25">
        <w:t>SEGUNDO. Causales de improcedencia y sobreseimiento</w:t>
      </w:r>
      <w:bookmarkEnd w:id="15"/>
      <w:bookmarkEnd w:id="16"/>
    </w:p>
    <w:p w14:paraId="5DE8EFD8" w14:textId="77777777" w:rsidR="00CE58A5" w:rsidRPr="004D5E25" w:rsidRDefault="00CE58A5" w:rsidP="00761BC2">
      <w:pPr>
        <w:spacing w:after="0" w:line="360" w:lineRule="auto"/>
      </w:pPr>
    </w:p>
    <w:p w14:paraId="4C46253C" w14:textId="77777777" w:rsidR="00CE58A5" w:rsidRPr="004D5E25" w:rsidRDefault="00CE4466" w:rsidP="00761BC2">
      <w:pPr>
        <w:spacing w:after="0" w:line="360" w:lineRule="auto"/>
      </w:pPr>
      <w:r w:rsidRPr="004D5E25">
        <w:t xml:space="preserve">De las constancias que forma parte del Recurso de Revisión que se analiza, se advierte que previo al estudio del fondo de la </w:t>
      </w:r>
      <w:proofErr w:type="spellStart"/>
      <w:r w:rsidRPr="004D5E25">
        <w:rPr>
          <w:i/>
        </w:rPr>
        <w:t>litis</w:t>
      </w:r>
      <w:proofErr w:type="spellEnd"/>
      <w:r w:rsidRPr="004D5E25">
        <w:t>, es necesario estudiar las causales de improcedencia y sobreseimiento que se adviertan, para determinar lo que en Derecho proceda.</w:t>
      </w:r>
    </w:p>
    <w:p w14:paraId="42E8BF2D" w14:textId="77777777" w:rsidR="00FF2395" w:rsidRPr="004D5E25" w:rsidRDefault="00FF2395" w:rsidP="00761BC2">
      <w:pPr>
        <w:spacing w:after="0" w:line="360" w:lineRule="auto"/>
        <w:rPr>
          <w:b/>
        </w:rPr>
      </w:pPr>
    </w:p>
    <w:p w14:paraId="7548DF11" w14:textId="77777777" w:rsidR="00CE58A5" w:rsidRPr="004D5E25" w:rsidRDefault="00CE4466" w:rsidP="00761BC2">
      <w:pPr>
        <w:spacing w:after="0" w:line="360" w:lineRule="auto"/>
        <w:rPr>
          <w:b/>
        </w:rPr>
      </w:pPr>
      <w:r w:rsidRPr="004D5E25">
        <w:rPr>
          <w:b/>
        </w:rPr>
        <w:t>Causales de improcedencia</w:t>
      </w:r>
    </w:p>
    <w:p w14:paraId="088E0FD3" w14:textId="77777777" w:rsidR="00C73479" w:rsidRPr="004D5E25" w:rsidRDefault="00C73479" w:rsidP="00761BC2">
      <w:pPr>
        <w:spacing w:after="0" w:line="360" w:lineRule="auto"/>
      </w:pPr>
    </w:p>
    <w:p w14:paraId="02D368DF" w14:textId="77777777" w:rsidR="00CE58A5" w:rsidRPr="004D5E25" w:rsidRDefault="00CE4466" w:rsidP="00761BC2">
      <w:pPr>
        <w:spacing w:after="0" w:line="360" w:lineRule="auto"/>
      </w:pPr>
      <w:r w:rsidRPr="004D5E25">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4D5E25">
        <w:t>./</w:t>
      </w:r>
      <w:proofErr w:type="gramEnd"/>
      <w:r w:rsidRPr="004D5E25">
        <w:t>J. 163/2005</w:t>
      </w:r>
      <w:r w:rsidRPr="004D5E25">
        <w:rPr>
          <w:b/>
        </w:rPr>
        <w:t xml:space="preserve"> </w:t>
      </w:r>
      <w:r w:rsidRPr="004D5E25">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w:t>
      </w:r>
      <w:r w:rsidRPr="004D5E25">
        <w:lastRenderedPageBreak/>
        <w:t xml:space="preserve">la Información Pública del Estado de México y Municipios, dará lugar a que el presente Recurso de Revisión sea sobreseído. </w:t>
      </w:r>
    </w:p>
    <w:p w14:paraId="036ADEC6" w14:textId="77777777" w:rsidR="00CE58A5" w:rsidRPr="004D5E25" w:rsidRDefault="00CE58A5" w:rsidP="00761BC2">
      <w:pPr>
        <w:spacing w:after="0" w:line="360" w:lineRule="auto"/>
      </w:pPr>
    </w:p>
    <w:p w14:paraId="35F10868" w14:textId="77777777" w:rsidR="00CE58A5" w:rsidRPr="004D5E25" w:rsidRDefault="00CE4466" w:rsidP="00761BC2">
      <w:pPr>
        <w:spacing w:after="0" w:line="360" w:lineRule="auto"/>
      </w:pPr>
      <w:r w:rsidRPr="004D5E25">
        <w:t xml:space="preserve">En el presente caso, </w:t>
      </w:r>
      <w:r w:rsidRPr="004D5E25">
        <w:rPr>
          <w:b/>
        </w:rPr>
        <w:t>no se actualiza ninguna de las causales de improcedencia</w:t>
      </w:r>
      <w:r w:rsidRPr="004D5E25">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4D5E25" w:rsidRDefault="00CE58A5" w:rsidP="00761BC2">
      <w:pPr>
        <w:spacing w:after="0" w:line="360" w:lineRule="auto"/>
        <w:rPr>
          <w:b/>
        </w:rPr>
      </w:pPr>
    </w:p>
    <w:p w14:paraId="701A6972" w14:textId="2CB12B05" w:rsidR="00CE58A5" w:rsidRPr="004D5E25" w:rsidRDefault="00CE4466" w:rsidP="00761BC2">
      <w:pPr>
        <w:spacing w:after="0" w:line="360" w:lineRule="auto"/>
      </w:pPr>
      <w:r w:rsidRPr="004D5E25">
        <w:t>Asimismo, se actualiza la causal de procedencia del Recurso de Revisión señal</w:t>
      </w:r>
      <w:r w:rsidR="00D52F9F" w:rsidRPr="004D5E25">
        <w:t>ada en el</w:t>
      </w:r>
      <w:r w:rsidR="00C503C4" w:rsidRPr="004D5E25">
        <w:t xml:space="preserve"> artículo 179, fracciones </w:t>
      </w:r>
      <w:r w:rsidR="00C73479" w:rsidRPr="004D5E25">
        <w:t>V</w:t>
      </w:r>
      <w:r w:rsidRPr="004D5E25">
        <w:t xml:space="preserve">, de la Ley en cita, pues la Recurrente se inconformó </w:t>
      </w:r>
      <w:r w:rsidR="00C73479" w:rsidRPr="004D5E25">
        <w:t>de la entrega de información incompleta</w:t>
      </w:r>
      <w:r w:rsidR="00C503C4" w:rsidRPr="004D5E25">
        <w:t>.</w:t>
      </w:r>
    </w:p>
    <w:p w14:paraId="404C2A95" w14:textId="77777777" w:rsidR="00CE58A5" w:rsidRPr="004D5E25" w:rsidRDefault="00CE58A5" w:rsidP="00761BC2">
      <w:pPr>
        <w:spacing w:after="0" w:line="360" w:lineRule="auto"/>
        <w:rPr>
          <w:b/>
        </w:rPr>
      </w:pPr>
    </w:p>
    <w:p w14:paraId="74D31774" w14:textId="77777777" w:rsidR="00922619" w:rsidRPr="004D5E25" w:rsidRDefault="00922619" w:rsidP="00761BC2">
      <w:pPr>
        <w:spacing w:after="0" w:line="360" w:lineRule="auto"/>
        <w:ind w:right="-28"/>
        <w:contextualSpacing/>
        <w:rPr>
          <w:rFonts w:eastAsia="Calibri" w:cs="Tahoma"/>
          <w:b/>
          <w:color w:val="auto"/>
          <w:lang w:val="es-ES" w:eastAsia="es-ES_tradnl"/>
        </w:rPr>
      </w:pPr>
      <w:r w:rsidRPr="004D5E25">
        <w:rPr>
          <w:rFonts w:eastAsia="Calibri" w:cs="Tahoma"/>
          <w:b/>
          <w:color w:val="auto"/>
          <w:lang w:val="es-ES" w:eastAsia="es-ES_tradnl"/>
        </w:rPr>
        <w:t>Causales de sobreseimiento.</w:t>
      </w:r>
    </w:p>
    <w:p w14:paraId="46BAB4DD" w14:textId="77777777" w:rsidR="000837C4" w:rsidRPr="004D5E25" w:rsidRDefault="000837C4" w:rsidP="00761BC2">
      <w:pPr>
        <w:spacing w:after="0" w:line="360" w:lineRule="auto"/>
        <w:ind w:right="-28"/>
        <w:contextualSpacing/>
        <w:rPr>
          <w:rFonts w:eastAsia="Calibri" w:cs="Tahoma"/>
          <w:b/>
          <w:color w:val="auto"/>
          <w:lang w:val="es-ES" w:eastAsia="es-ES_tradnl"/>
        </w:rPr>
      </w:pPr>
    </w:p>
    <w:p w14:paraId="31EC419B" w14:textId="77777777" w:rsidR="000837C4" w:rsidRPr="004D5E25" w:rsidRDefault="000837C4" w:rsidP="00761BC2">
      <w:pPr>
        <w:spacing w:after="0" w:line="360" w:lineRule="auto"/>
        <w:contextualSpacing/>
        <w:rPr>
          <w:rFonts w:eastAsia="Times New Roman" w:cs="Tahoma"/>
          <w:color w:val="auto"/>
          <w:szCs w:val="24"/>
          <w:lang w:eastAsia="es-ES"/>
        </w:rPr>
      </w:pPr>
      <w:r w:rsidRPr="004D5E25">
        <w:rPr>
          <w:rFonts w:eastAsia="Times New Roman" w:cs="Tahoma"/>
          <w:color w:val="auto"/>
          <w:szCs w:val="24"/>
          <w:lang w:eastAsia="es-ES"/>
        </w:rPr>
        <w:t>Por ser de previo y especial pronunciamiento, este Instituto analiza si se actualiza alguna causal de sobreseimiento.</w:t>
      </w:r>
    </w:p>
    <w:p w14:paraId="4F9DA2C3" w14:textId="77777777" w:rsidR="000837C4" w:rsidRPr="004D5E25" w:rsidRDefault="000837C4" w:rsidP="00761BC2">
      <w:pPr>
        <w:spacing w:after="0" w:line="360" w:lineRule="auto"/>
        <w:contextualSpacing/>
        <w:rPr>
          <w:rFonts w:eastAsia="Times New Roman" w:cs="Tahoma"/>
          <w:color w:val="auto"/>
          <w:szCs w:val="24"/>
          <w:lang w:eastAsia="es-ES"/>
        </w:rPr>
      </w:pPr>
    </w:p>
    <w:p w14:paraId="6D79E94E" w14:textId="77777777" w:rsidR="000837C4" w:rsidRPr="004D5E25" w:rsidRDefault="000837C4" w:rsidP="00761BC2">
      <w:pPr>
        <w:spacing w:after="0" w:line="360" w:lineRule="auto"/>
        <w:rPr>
          <w:color w:val="000000"/>
        </w:rPr>
      </w:pPr>
      <w:r w:rsidRPr="004D5E25">
        <w:rPr>
          <w:color w:val="0D0D0D"/>
        </w:rPr>
        <w:t>Sobre el tema, e</w:t>
      </w:r>
      <w:r w:rsidRPr="004D5E25">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8F846B3" w14:textId="77777777" w:rsidR="000837C4" w:rsidRPr="004D5E25" w:rsidRDefault="000837C4" w:rsidP="00761BC2">
      <w:pPr>
        <w:spacing w:after="0" w:line="360" w:lineRule="auto"/>
        <w:rPr>
          <w:rFonts w:eastAsia="Calibri" w:cs="Tahoma"/>
          <w:color w:val="0D0D0D" w:themeColor="text1" w:themeTint="F2"/>
          <w:lang w:eastAsia="es-ES_tradnl"/>
        </w:rPr>
      </w:pPr>
    </w:p>
    <w:p w14:paraId="67BD3A7C" w14:textId="77777777" w:rsidR="000837C4" w:rsidRPr="004D5E25" w:rsidRDefault="000837C4" w:rsidP="00761BC2">
      <w:pPr>
        <w:spacing w:after="0" w:line="360" w:lineRule="auto"/>
        <w:rPr>
          <w:rFonts w:eastAsia="Calibri" w:cs="Tahoma"/>
          <w:color w:val="0D0D0D" w:themeColor="text1" w:themeTint="F2"/>
          <w:lang w:eastAsia="es-ES_tradnl"/>
        </w:rPr>
      </w:pPr>
      <w:r w:rsidRPr="004D5E25">
        <w:rPr>
          <w:rFonts w:eastAsia="Calibri" w:cs="Tahoma"/>
          <w:color w:val="0D0D0D" w:themeColor="text1" w:themeTint="F2"/>
          <w:lang w:eastAsia="es-ES_tradnl"/>
        </w:rPr>
        <w:lastRenderedPageBreak/>
        <w:t>Por tales motivos, se considera procedente entrar al fondo del presente asunto.</w:t>
      </w:r>
    </w:p>
    <w:p w14:paraId="5755F7BD" w14:textId="77777777" w:rsidR="00922619" w:rsidRPr="004D5E25" w:rsidRDefault="00922619" w:rsidP="00761BC2">
      <w:pPr>
        <w:spacing w:after="0" w:line="360" w:lineRule="auto"/>
        <w:contextualSpacing/>
        <w:rPr>
          <w:rFonts w:eastAsia="Times New Roman" w:cs="Tahoma"/>
          <w:color w:val="auto"/>
          <w:szCs w:val="24"/>
          <w:lang w:eastAsia="es-ES"/>
        </w:rPr>
      </w:pPr>
    </w:p>
    <w:p w14:paraId="1E0EBBE3" w14:textId="77777777" w:rsidR="00CE58A5" w:rsidRPr="004D5E25" w:rsidRDefault="00CE4466" w:rsidP="00761BC2">
      <w:pPr>
        <w:pStyle w:val="Ttulo2"/>
        <w:spacing w:before="0" w:after="0"/>
      </w:pPr>
      <w:bookmarkStart w:id="17" w:name="_Toc179975603"/>
      <w:bookmarkStart w:id="18" w:name="_Toc193385577"/>
      <w:r w:rsidRPr="004D5E25">
        <w:t>TERCERO. Determinación de la Controversia.</w:t>
      </w:r>
      <w:bookmarkEnd w:id="17"/>
      <w:bookmarkEnd w:id="18"/>
      <w:r w:rsidRPr="004D5E25">
        <w:t xml:space="preserve"> </w:t>
      </w:r>
    </w:p>
    <w:p w14:paraId="364AB4CE" w14:textId="77777777" w:rsidR="00CE58A5" w:rsidRPr="004D5E25" w:rsidRDefault="00CE58A5" w:rsidP="00761BC2">
      <w:pPr>
        <w:spacing w:after="0" w:line="360" w:lineRule="auto"/>
        <w:rPr>
          <w:b/>
        </w:rPr>
      </w:pPr>
    </w:p>
    <w:p w14:paraId="277AA68C" w14:textId="05E76E44" w:rsidR="00761BC2" w:rsidRPr="004D5E25" w:rsidRDefault="00CE4466" w:rsidP="00761BC2">
      <w:pPr>
        <w:widowControl w:val="0"/>
        <w:spacing w:after="0" w:line="360" w:lineRule="auto"/>
        <w:rPr>
          <w:color w:val="000000"/>
        </w:rPr>
      </w:pPr>
      <w:r w:rsidRPr="004D5E25">
        <w:t xml:space="preserve">Una vez realizado el estudio de las constancias que integran el expediente en que se actúa, se desprende que el Recurrente </w:t>
      </w:r>
      <w:r w:rsidR="000A5247" w:rsidRPr="004D5E25">
        <w:t>requirió</w:t>
      </w:r>
      <w:r w:rsidR="000A5247" w:rsidRPr="004D5E25">
        <w:rPr>
          <w:color w:val="000000"/>
        </w:rPr>
        <w:t xml:space="preserve"> </w:t>
      </w:r>
      <w:r w:rsidR="00FF2395" w:rsidRPr="004D5E25">
        <w:rPr>
          <w:color w:val="000000"/>
        </w:rPr>
        <w:t xml:space="preserve">los recibos de nómina de todo el personal, </w:t>
      </w:r>
      <w:r w:rsidR="00761BC2" w:rsidRPr="004D5E25">
        <w:rPr>
          <w:color w:val="000000"/>
        </w:rPr>
        <w:t>de</w:t>
      </w:r>
      <w:r w:rsidR="00FF2395" w:rsidRPr="004D5E25">
        <w:rPr>
          <w:color w:val="000000"/>
        </w:rPr>
        <w:t xml:space="preserve"> la primera quincena de enero de dos mil veinticinco. </w:t>
      </w:r>
    </w:p>
    <w:p w14:paraId="5FCCF554" w14:textId="77777777" w:rsidR="00761BC2" w:rsidRPr="004D5E25" w:rsidRDefault="00761BC2" w:rsidP="00761BC2">
      <w:pPr>
        <w:widowControl w:val="0"/>
        <w:spacing w:after="0" w:line="360" w:lineRule="auto"/>
        <w:rPr>
          <w:color w:val="000000"/>
        </w:rPr>
      </w:pPr>
    </w:p>
    <w:p w14:paraId="7ED7BBD1" w14:textId="6321E8B0" w:rsidR="00CE58A5" w:rsidRPr="004D5E25" w:rsidRDefault="005041FF" w:rsidP="00761BC2">
      <w:pPr>
        <w:widowControl w:val="0"/>
        <w:spacing w:after="0" w:line="360" w:lineRule="auto"/>
        <w:rPr>
          <w:color w:val="000000"/>
        </w:rPr>
      </w:pPr>
      <w:r w:rsidRPr="004D5E25">
        <w:rPr>
          <w:color w:val="000000"/>
        </w:rPr>
        <w:t>En respuesta, el Sujeto Obligado</w:t>
      </w:r>
      <w:r w:rsidR="000837C4" w:rsidRPr="004D5E25">
        <w:rPr>
          <w:color w:val="000000"/>
        </w:rPr>
        <w:t xml:space="preserve">, </w:t>
      </w:r>
      <w:r w:rsidRPr="004D5E25">
        <w:rPr>
          <w:color w:val="000000"/>
        </w:rPr>
        <w:t xml:space="preserve">remitió </w:t>
      </w:r>
      <w:r w:rsidR="00675F00" w:rsidRPr="004D5E25">
        <w:rPr>
          <w:color w:val="000000"/>
        </w:rPr>
        <w:t>la digitalización de ciento ochenta y cuatro recibos de nómina</w:t>
      </w:r>
      <w:r w:rsidR="00761BC2" w:rsidRPr="004D5E25">
        <w:rPr>
          <w:color w:val="000000"/>
        </w:rPr>
        <w:t xml:space="preserve"> del periodo requerido</w:t>
      </w:r>
      <w:r w:rsidR="000837C4" w:rsidRPr="004D5E25">
        <w:rPr>
          <w:color w:val="000000"/>
        </w:rPr>
        <w:t xml:space="preserve">; </w:t>
      </w:r>
      <w:r w:rsidR="00A7495B" w:rsidRPr="004D5E25">
        <w:rPr>
          <w:color w:val="000000"/>
        </w:rPr>
        <w:t xml:space="preserve">ante dicha respuesta, el Particular se inconformó </w:t>
      </w:r>
      <w:r w:rsidR="00675F00" w:rsidRPr="004D5E25">
        <w:rPr>
          <w:color w:val="000000"/>
        </w:rPr>
        <w:t xml:space="preserve">de la entrega incompleta de información, </w:t>
      </w:r>
      <w:r w:rsidR="00761BC2" w:rsidRPr="004D5E25">
        <w:rPr>
          <w:color w:val="000000"/>
        </w:rPr>
        <w:t>al señalar que no le entregaban la información de todos</w:t>
      </w:r>
      <w:r w:rsidR="00675F00" w:rsidRPr="004D5E25">
        <w:rPr>
          <w:color w:val="000000"/>
        </w:rPr>
        <w:t xml:space="preserve"> los jefes de las áreas, </w:t>
      </w:r>
      <w:r w:rsidR="00A7495B" w:rsidRPr="004D5E25">
        <w:rPr>
          <w:color w:val="000000"/>
        </w:rPr>
        <w:t xml:space="preserve">lo </w:t>
      </w:r>
      <w:r w:rsidR="00690DEB" w:rsidRPr="004D5E25">
        <w:rPr>
          <w:color w:val="000000"/>
        </w:rPr>
        <w:t>cual actualiza el</w:t>
      </w:r>
      <w:r w:rsidR="00A7495B" w:rsidRPr="004D5E25">
        <w:rPr>
          <w:color w:val="000000"/>
        </w:rPr>
        <w:t xml:space="preserve"> supuesto de procedencia establecido en el </w:t>
      </w:r>
      <w:r w:rsidR="00690DEB" w:rsidRPr="004D5E25">
        <w:rPr>
          <w:color w:val="000000"/>
        </w:rPr>
        <w:t xml:space="preserve">artículo 179, fracción </w:t>
      </w:r>
      <w:r w:rsidR="000837C4" w:rsidRPr="004D5E25">
        <w:rPr>
          <w:color w:val="000000"/>
        </w:rPr>
        <w:t>V,</w:t>
      </w:r>
      <w:r w:rsidR="00690DEB" w:rsidRPr="004D5E25">
        <w:rPr>
          <w:color w:val="000000"/>
        </w:rPr>
        <w:t xml:space="preserve"> </w:t>
      </w:r>
      <w:r w:rsidR="00A7495B" w:rsidRPr="004D5E25">
        <w:rPr>
          <w:color w:val="000000"/>
        </w:rPr>
        <w:t xml:space="preserve">de la Ley de </w:t>
      </w:r>
      <w:r w:rsidR="00400449" w:rsidRPr="004D5E25">
        <w:rPr>
          <w:color w:val="000000"/>
        </w:rPr>
        <w:t>trasparencia</w:t>
      </w:r>
      <w:r w:rsidR="00A7495B" w:rsidRPr="004D5E25">
        <w:rPr>
          <w:color w:val="000000"/>
        </w:rPr>
        <w:t xml:space="preserve"> local. </w:t>
      </w:r>
    </w:p>
    <w:p w14:paraId="16438AB3" w14:textId="77777777" w:rsidR="00C80616" w:rsidRPr="004D5E25" w:rsidRDefault="00C80616" w:rsidP="00761BC2">
      <w:pPr>
        <w:widowControl w:val="0"/>
        <w:spacing w:after="0" w:line="360" w:lineRule="auto"/>
        <w:rPr>
          <w:color w:val="000000"/>
        </w:rPr>
      </w:pPr>
    </w:p>
    <w:p w14:paraId="3BEF7F00" w14:textId="1B0FFF55" w:rsidR="00C80616" w:rsidRPr="004D5E25" w:rsidRDefault="00C80616" w:rsidP="00761BC2">
      <w:pPr>
        <w:spacing w:after="0" w:line="360" w:lineRule="auto"/>
        <w:rPr>
          <w:b/>
          <w:color w:val="000000"/>
          <w:lang w:eastAsia="en-US"/>
        </w:rPr>
      </w:pPr>
      <w:r w:rsidRPr="004D5E25">
        <w:rPr>
          <w:color w:val="000000"/>
          <w:lang w:eastAsia="es-ES_tradnl"/>
        </w:rPr>
        <w:t xml:space="preserve">Conforme a lo anterior, se logra vislumbrar que </w:t>
      </w:r>
      <w:r w:rsidRPr="004D5E25">
        <w:rPr>
          <w:rFonts w:eastAsia="Calibri" w:cs="Tahoma"/>
          <w:bCs/>
          <w:iCs/>
          <w:lang w:eastAsia="en-US"/>
        </w:rPr>
        <w:t>la persona</w:t>
      </w:r>
      <w:r w:rsidRPr="004D5E25">
        <w:rPr>
          <w:color w:val="000000"/>
          <w:lang w:eastAsia="es-ES_tradnl"/>
        </w:rPr>
        <w:t xml:space="preserve"> Recurrente no se agravió </w:t>
      </w:r>
      <w:r w:rsidR="00FA4FE7" w:rsidRPr="004D5E25">
        <w:rPr>
          <w:color w:val="000000"/>
          <w:lang w:eastAsia="es-ES_tradnl"/>
        </w:rPr>
        <w:t>de los recibos remitidos</w:t>
      </w:r>
      <w:r w:rsidR="00761BC2" w:rsidRPr="004D5E25">
        <w:rPr>
          <w:color w:val="000000"/>
          <w:lang w:eastAsia="es-ES_tradnl"/>
        </w:rPr>
        <w:t xml:space="preserve"> en respuesta</w:t>
      </w:r>
      <w:r w:rsidRPr="004D5E25">
        <w:rPr>
          <w:color w:val="000000"/>
          <w:lang w:eastAsia="es-ES_tradnl"/>
        </w:rPr>
        <w:t xml:space="preserve">,  </w:t>
      </w:r>
      <w:r w:rsidRPr="004D5E25">
        <w:rPr>
          <w:rFonts w:eastAsia="Calibri" w:cs="Tahoma"/>
          <w:color w:val="000000"/>
          <w:szCs w:val="24"/>
          <w:lang w:val="es-ES"/>
        </w:rPr>
        <w:t>p</w:t>
      </w:r>
      <w:proofErr w:type="spellStart"/>
      <w:r w:rsidRPr="004D5E25">
        <w:rPr>
          <w:color w:val="000000"/>
          <w:lang w:eastAsia="es-ES_tradnl"/>
        </w:rPr>
        <w:t>or</w:t>
      </w:r>
      <w:proofErr w:type="spellEnd"/>
      <w:r w:rsidRPr="004D5E25">
        <w:rPr>
          <w:color w:val="000000"/>
          <w:lang w:eastAsia="es-ES_tradnl"/>
        </w:rPr>
        <w:t xml:space="preserve"> lo que, no se hará pronunciamiento alguno, respecto a dicha información,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4D5E25">
        <w:rPr>
          <w:b/>
          <w:bCs/>
          <w:color w:val="000000"/>
          <w:lang w:eastAsia="es-ES_tradnl"/>
        </w:rPr>
        <w:t>los actos que se hayan consentido tácitamente,</w:t>
      </w:r>
      <w:r w:rsidRPr="004D5E25">
        <w:rPr>
          <w:color w:val="000000"/>
          <w:lang w:eastAsia="es-ES_tradnl"/>
        </w:rPr>
        <w:t> entendiéndose por estos cuando el agravio no se haya promovido en el plazo señalado para el efecto.</w:t>
      </w:r>
    </w:p>
    <w:p w14:paraId="6DE80108" w14:textId="77777777" w:rsidR="00C80616" w:rsidRPr="004D5E25" w:rsidRDefault="00C80616" w:rsidP="00761BC2">
      <w:pPr>
        <w:spacing w:after="0" w:line="360" w:lineRule="auto"/>
        <w:rPr>
          <w:rFonts w:cs="Times New Roman"/>
          <w:color w:val="000000"/>
          <w:lang w:eastAsia="es-ES_tradnl"/>
        </w:rPr>
      </w:pPr>
      <w:r w:rsidRPr="004D5E25">
        <w:rPr>
          <w:color w:val="000000"/>
          <w:lang w:eastAsia="es-ES_tradnl"/>
        </w:rPr>
        <w:t> </w:t>
      </w:r>
    </w:p>
    <w:p w14:paraId="787C8E88" w14:textId="77777777" w:rsidR="00C80616" w:rsidRPr="004D5E25" w:rsidRDefault="00C80616" w:rsidP="00761BC2">
      <w:pPr>
        <w:spacing w:after="0" w:line="360" w:lineRule="auto"/>
        <w:rPr>
          <w:color w:val="000000"/>
          <w:lang w:eastAsia="es-ES_tradnl"/>
        </w:rPr>
      </w:pPr>
      <w:r w:rsidRPr="004D5E25">
        <w:rPr>
          <w:color w:val="000000"/>
          <w:lang w:eastAsia="es-ES_tradnl"/>
        </w:rPr>
        <w:t>De la misma manera resulta aplicable el criterio sostenido por el Poder Judicial de la Federación de rubro </w:t>
      </w:r>
      <w:r w:rsidRPr="004D5E25">
        <w:rPr>
          <w:b/>
          <w:bCs/>
          <w:color w:val="000000"/>
          <w:lang w:eastAsia="es-ES_tradnl"/>
        </w:rPr>
        <w:t>ACTOS CONSENTIDOS TÁCITAMENTE</w:t>
      </w:r>
      <w:r w:rsidRPr="004D5E25">
        <w:rPr>
          <w:color w:val="000000"/>
          <w:lang w:eastAsia="es-ES_tradnl"/>
        </w:rPr>
        <w:t xml:space="preserve">, Tesis VI.2o. J/21, emitida en la novena época, por el Segundo Tribunal Colegiado del Sexto Circuito, publicada en la Gaceta del Semanario Judicial de la Federación en agosto de 1995, página 291, número de registro 204707, </w:t>
      </w:r>
      <w:r w:rsidRPr="004D5E25">
        <w:rPr>
          <w:color w:val="000000"/>
          <w:lang w:eastAsia="es-ES_tradnl"/>
        </w:rPr>
        <w:lastRenderedPageBreak/>
        <w:t>del que se desprende que cuando no se reclaman los actos de autoridad en la vía y plazos establecidos en la Ley, se presume que el Particular está conforme con los mismos.</w:t>
      </w:r>
    </w:p>
    <w:p w14:paraId="5D74F6B5" w14:textId="77777777" w:rsidR="00C80616" w:rsidRPr="004D5E25" w:rsidRDefault="00C80616" w:rsidP="00761BC2">
      <w:pPr>
        <w:spacing w:after="0" w:line="360" w:lineRule="auto"/>
        <w:rPr>
          <w:rFonts w:cs="Times New Roman"/>
          <w:color w:val="000000"/>
          <w:lang w:eastAsia="es-ES_tradnl"/>
        </w:rPr>
      </w:pPr>
      <w:r w:rsidRPr="004D5E25">
        <w:rPr>
          <w:color w:val="000000"/>
          <w:lang w:eastAsia="es-ES_tradnl"/>
        </w:rPr>
        <w:t> </w:t>
      </w:r>
    </w:p>
    <w:p w14:paraId="6B296EF8" w14:textId="77777777" w:rsidR="00C80616" w:rsidRPr="004D5E25" w:rsidRDefault="00C80616" w:rsidP="00761BC2">
      <w:pPr>
        <w:spacing w:after="0" w:line="360" w:lineRule="auto"/>
        <w:rPr>
          <w:color w:val="000000"/>
          <w:lang w:eastAsia="es-ES_tradnl"/>
        </w:rPr>
      </w:pPr>
      <w:r w:rsidRPr="004D5E25">
        <w:rPr>
          <w:color w:val="000000"/>
          <w:lang w:eastAsia="es-ES_tradnl"/>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2F930B8B" w14:textId="77777777" w:rsidR="00C80616" w:rsidRPr="004D5E25" w:rsidRDefault="00C80616" w:rsidP="00761BC2">
      <w:pPr>
        <w:spacing w:after="0" w:line="360" w:lineRule="auto"/>
        <w:rPr>
          <w:color w:val="000000"/>
          <w:lang w:eastAsia="es-ES_tradnl"/>
        </w:rPr>
      </w:pPr>
    </w:p>
    <w:p w14:paraId="11BA3094" w14:textId="136D39AE" w:rsidR="00C80616" w:rsidRPr="004D5E25" w:rsidRDefault="00C80616" w:rsidP="00761BC2">
      <w:pPr>
        <w:spacing w:after="0" w:line="360" w:lineRule="auto"/>
        <w:rPr>
          <w:color w:val="000000"/>
        </w:rPr>
      </w:pPr>
      <w:r w:rsidRPr="004D5E25">
        <w:rPr>
          <w:color w:val="000000"/>
          <w:lang w:eastAsia="es-ES_tradnl"/>
        </w:rPr>
        <w:t xml:space="preserve">Asimismo, resulta relevante traer a colación el Criterio de Interpretación, de la Segunda Época, con número de registro SO/001/2020, emitido por el Instituto Nacional de Transparencia, Acceso a la Información y Protección de Datos Personales, que precisa que es improcedente entrar al análisis de las partes de la respuesta del Sujeto Obligado que no fueron impugnadas por </w:t>
      </w:r>
      <w:r w:rsidRPr="004D5E25">
        <w:rPr>
          <w:rFonts w:eastAsia="Calibri" w:cs="Tahoma"/>
          <w:bCs/>
          <w:iCs/>
          <w:lang w:eastAsia="en-US"/>
        </w:rPr>
        <w:t>la persona</w:t>
      </w:r>
      <w:r w:rsidRPr="004D5E25">
        <w:rPr>
          <w:color w:val="000000"/>
          <w:lang w:eastAsia="es-ES_tradnl"/>
        </w:rPr>
        <w:t xml:space="preserve"> Recurrente; por lo que, en el presente caso, se tiene por consentido la información respecto </w:t>
      </w:r>
      <w:r w:rsidR="00FA4FE7" w:rsidRPr="004D5E25">
        <w:rPr>
          <w:color w:val="000000"/>
          <w:lang w:eastAsia="es-ES_tradnl"/>
        </w:rPr>
        <w:t>a los recibos remitidos</w:t>
      </w:r>
      <w:r w:rsidRPr="004D5E25">
        <w:rPr>
          <w:color w:val="000000"/>
          <w:lang w:eastAsia="es-ES_tradnl"/>
        </w:rPr>
        <w:t xml:space="preserve"> y  únicamente se entrará al análisis de los puntos </w:t>
      </w:r>
      <w:r w:rsidR="004E16CA" w:rsidRPr="004D5E25">
        <w:rPr>
          <w:color w:val="000000"/>
          <w:lang w:eastAsia="es-ES_tradnl"/>
        </w:rPr>
        <w:t xml:space="preserve">relativos  a </w:t>
      </w:r>
      <w:r w:rsidR="00FA4FE7" w:rsidRPr="004D5E25">
        <w:rPr>
          <w:color w:val="000000"/>
          <w:lang w:eastAsia="es-ES_tradnl"/>
        </w:rPr>
        <w:t>la entrega incompleta de la información</w:t>
      </w:r>
      <w:r w:rsidR="004E16CA" w:rsidRPr="004D5E25">
        <w:rPr>
          <w:color w:val="000000"/>
          <w:lang w:eastAsia="es-ES_tradnl"/>
        </w:rPr>
        <w:t>.</w:t>
      </w:r>
      <w:r w:rsidR="000837C4" w:rsidRPr="004D5E25">
        <w:rPr>
          <w:color w:val="000000"/>
          <w:lang w:eastAsia="es-ES_tradnl"/>
        </w:rPr>
        <w:t xml:space="preserve"> </w:t>
      </w:r>
      <w:r w:rsidR="000837C4" w:rsidRPr="004D5E25">
        <w:rPr>
          <w:color w:val="000000"/>
        </w:rPr>
        <w:t xml:space="preserve">Así las cosas, una vez admitido y notificado el Recurso de Revisión a las partes, </w:t>
      </w:r>
      <w:r w:rsidR="00FA4FE7" w:rsidRPr="004D5E25">
        <w:rPr>
          <w:color w:val="000000"/>
        </w:rPr>
        <w:t>estas fueron omisas en rendir su informe justificado o realizar manifestaciones</w:t>
      </w:r>
      <w:r w:rsidR="000837C4" w:rsidRPr="004D5E25">
        <w:rPr>
          <w:color w:val="000000"/>
        </w:rPr>
        <w:t>.</w:t>
      </w:r>
    </w:p>
    <w:p w14:paraId="4A45B611" w14:textId="77777777" w:rsidR="000837C4" w:rsidRPr="004D5E25" w:rsidRDefault="000837C4" w:rsidP="00761BC2">
      <w:pPr>
        <w:spacing w:after="0" w:line="360" w:lineRule="auto"/>
        <w:rPr>
          <w:color w:val="000000"/>
        </w:rPr>
      </w:pPr>
    </w:p>
    <w:p w14:paraId="6DC5D7CF" w14:textId="601D62D4" w:rsidR="00CE58A5" w:rsidRPr="004D5E25" w:rsidRDefault="00CE4466" w:rsidP="00761BC2">
      <w:pPr>
        <w:tabs>
          <w:tab w:val="left" w:pos="5812"/>
        </w:tabs>
        <w:spacing w:after="0" w:line="360" w:lineRule="auto"/>
      </w:pPr>
      <w:r w:rsidRPr="004D5E25">
        <w:t>Lo anterior, se desprende de las documentales que obran en los expedientes de referencia, materia de la presente resolución, consistente en: la solicitud de acceso a la información; la respuesta del Sujet</w:t>
      </w:r>
      <w:r w:rsidR="00F7286E" w:rsidRPr="004D5E25">
        <w:t xml:space="preserve">o Obligado y  el escrito </w:t>
      </w:r>
      <w:proofErr w:type="spellStart"/>
      <w:r w:rsidR="00F7286E" w:rsidRPr="004D5E25">
        <w:t>recursal</w:t>
      </w:r>
      <w:proofErr w:type="spellEnd"/>
      <w:r w:rsidRPr="004D5E25">
        <w:t>; instrumentales que se toman en cuenta a efecto de resolver el presente medio de impugnación, conforme a lo dispuesto por el artículo 185, fracción IV, de la Ley de Transparencia y Acceso a la Información Pública del Estado de México y Municipios.</w:t>
      </w:r>
    </w:p>
    <w:p w14:paraId="626551CE" w14:textId="77777777" w:rsidR="00F7286E" w:rsidRPr="004D5E25" w:rsidRDefault="00F7286E" w:rsidP="00761BC2">
      <w:pPr>
        <w:tabs>
          <w:tab w:val="left" w:pos="5812"/>
        </w:tabs>
        <w:spacing w:after="0" w:line="360" w:lineRule="auto"/>
      </w:pPr>
    </w:p>
    <w:p w14:paraId="276834F4" w14:textId="2C1ED29F" w:rsidR="00CE58A5" w:rsidRPr="004D5E25" w:rsidRDefault="00CE4466" w:rsidP="00761BC2">
      <w:pPr>
        <w:pStyle w:val="Ttulo2"/>
        <w:spacing w:before="0" w:after="0"/>
      </w:pPr>
      <w:bookmarkStart w:id="19" w:name="_Toc179975604"/>
      <w:bookmarkStart w:id="20" w:name="_Toc193385578"/>
      <w:r w:rsidRPr="004D5E25">
        <w:lastRenderedPageBreak/>
        <w:t>CUARTO. Marco normativo aplicable en materia de transparencia y acceso a la información pública</w:t>
      </w:r>
      <w:bookmarkEnd w:id="19"/>
      <w:bookmarkEnd w:id="20"/>
    </w:p>
    <w:p w14:paraId="63C42A96" w14:textId="77777777" w:rsidR="00CE58A5" w:rsidRPr="004D5E25" w:rsidRDefault="00CE58A5" w:rsidP="00761BC2">
      <w:pPr>
        <w:spacing w:after="0" w:line="360" w:lineRule="auto"/>
        <w:rPr>
          <w:color w:val="000000"/>
        </w:rPr>
      </w:pPr>
    </w:p>
    <w:p w14:paraId="77A2B44D" w14:textId="77777777" w:rsidR="00CE58A5" w:rsidRPr="004D5E25" w:rsidRDefault="00CE4466" w:rsidP="00761BC2">
      <w:pPr>
        <w:spacing w:after="0" w:line="360" w:lineRule="auto"/>
        <w:rPr>
          <w:color w:val="000000"/>
        </w:rPr>
      </w:pPr>
      <w:r w:rsidRPr="004D5E2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4D5E25" w:rsidRDefault="00CE58A5" w:rsidP="00761BC2">
      <w:pPr>
        <w:spacing w:after="0" w:line="360" w:lineRule="auto"/>
        <w:rPr>
          <w:color w:val="000000"/>
        </w:rPr>
      </w:pPr>
    </w:p>
    <w:p w14:paraId="6DE9CAE0" w14:textId="77777777" w:rsidR="00CE58A5" w:rsidRPr="004D5E25" w:rsidRDefault="00CE4466" w:rsidP="00761BC2">
      <w:pPr>
        <w:spacing w:after="0" w:line="360" w:lineRule="auto"/>
        <w:rPr>
          <w:color w:val="000000"/>
        </w:rPr>
      </w:pPr>
      <w:r w:rsidRPr="004D5E25">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4D5E25" w:rsidRDefault="00922619" w:rsidP="00761BC2">
      <w:pPr>
        <w:spacing w:after="0" w:line="360" w:lineRule="auto"/>
        <w:rPr>
          <w:color w:val="000000"/>
        </w:rPr>
      </w:pPr>
    </w:p>
    <w:p w14:paraId="7EFDC0B0" w14:textId="5473D89C" w:rsidR="00CE58A5" w:rsidRPr="004D5E25" w:rsidRDefault="00CE4466" w:rsidP="00761BC2">
      <w:pPr>
        <w:spacing w:after="0" w:line="360" w:lineRule="auto"/>
        <w:rPr>
          <w:color w:val="000000"/>
        </w:rPr>
      </w:pPr>
      <w:r w:rsidRPr="004D5E25">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4D5E25" w:rsidRDefault="00CE58A5" w:rsidP="00761BC2">
      <w:pPr>
        <w:spacing w:after="0" w:line="360" w:lineRule="auto"/>
        <w:rPr>
          <w:color w:val="000000"/>
        </w:rPr>
      </w:pPr>
    </w:p>
    <w:p w14:paraId="1B6E0455" w14:textId="77777777" w:rsidR="00CE58A5" w:rsidRPr="004D5E25" w:rsidRDefault="00CE4466" w:rsidP="00761BC2">
      <w:pPr>
        <w:spacing w:after="0" w:line="360" w:lineRule="auto"/>
        <w:rPr>
          <w:color w:val="000000"/>
        </w:rPr>
      </w:pPr>
      <w:r w:rsidRPr="004D5E25">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4D5E25" w:rsidRDefault="00CE58A5" w:rsidP="00761BC2">
      <w:pPr>
        <w:spacing w:after="0" w:line="360" w:lineRule="auto"/>
        <w:rPr>
          <w:color w:val="000000"/>
        </w:rPr>
      </w:pPr>
    </w:p>
    <w:p w14:paraId="79D71702" w14:textId="77777777" w:rsidR="00CE58A5" w:rsidRPr="004D5E25" w:rsidRDefault="00CE4466" w:rsidP="00761BC2">
      <w:pPr>
        <w:spacing w:after="0" w:line="360" w:lineRule="auto"/>
        <w:rPr>
          <w:color w:val="000000"/>
        </w:rPr>
      </w:pPr>
      <w:r w:rsidRPr="004D5E25">
        <w:rPr>
          <w:color w:val="000000"/>
        </w:rPr>
        <w:t>El artículo 12, que, quienes generen, recopilen, administren, manejen, procesen, archiven o conserven información pública serán responsables de la misma.</w:t>
      </w:r>
    </w:p>
    <w:p w14:paraId="5C34EA42" w14:textId="77777777" w:rsidR="00D51406" w:rsidRPr="004D5E25" w:rsidRDefault="00D51406" w:rsidP="00761BC2">
      <w:pPr>
        <w:spacing w:after="0" w:line="360" w:lineRule="auto"/>
        <w:rPr>
          <w:color w:val="000000"/>
        </w:rPr>
      </w:pPr>
    </w:p>
    <w:p w14:paraId="08B8B529" w14:textId="77777777" w:rsidR="00CE58A5" w:rsidRPr="004D5E25" w:rsidRDefault="00CE4466" w:rsidP="00761BC2">
      <w:pPr>
        <w:widowControl w:val="0"/>
        <w:spacing w:after="0" w:line="360" w:lineRule="auto"/>
        <w:rPr>
          <w:color w:val="000000"/>
        </w:rPr>
      </w:pPr>
      <w:r w:rsidRPr="004D5E25">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4D5E25" w:rsidRDefault="00CE58A5" w:rsidP="00761BC2">
      <w:pPr>
        <w:spacing w:after="0" w:line="360" w:lineRule="auto"/>
        <w:rPr>
          <w:color w:val="000000"/>
        </w:rPr>
      </w:pPr>
    </w:p>
    <w:p w14:paraId="7EFDFF6E" w14:textId="77777777" w:rsidR="00CE58A5" w:rsidRPr="004D5E25" w:rsidRDefault="00CE4466" w:rsidP="00761BC2">
      <w:pPr>
        <w:spacing w:after="0" w:line="360" w:lineRule="auto"/>
        <w:rPr>
          <w:color w:val="000000"/>
        </w:rPr>
      </w:pPr>
      <w:r w:rsidRPr="004D5E25">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4D5E25" w:rsidRDefault="00CE58A5" w:rsidP="00761BC2">
      <w:pPr>
        <w:spacing w:after="0" w:line="360" w:lineRule="auto"/>
      </w:pPr>
    </w:p>
    <w:p w14:paraId="1DF82A1D" w14:textId="4C40B5A6" w:rsidR="00CE58A5" w:rsidRPr="004D5E25" w:rsidRDefault="00CE4466" w:rsidP="00761BC2">
      <w:pPr>
        <w:pStyle w:val="Ttulo2"/>
        <w:spacing w:before="0" w:after="0"/>
      </w:pPr>
      <w:bookmarkStart w:id="21" w:name="_Toc179975605"/>
      <w:bookmarkStart w:id="22" w:name="_Toc193385579"/>
      <w:r w:rsidRPr="004D5E25">
        <w:rPr>
          <w:caps/>
        </w:rPr>
        <w:t>Quinto.</w:t>
      </w:r>
      <w:r w:rsidRPr="004D5E25">
        <w:t xml:space="preserve"> Estudio de Fondo</w:t>
      </w:r>
      <w:bookmarkEnd w:id="21"/>
      <w:bookmarkEnd w:id="22"/>
    </w:p>
    <w:p w14:paraId="547460E4" w14:textId="77777777" w:rsidR="00CE58A5" w:rsidRPr="004D5E25" w:rsidRDefault="00CE58A5" w:rsidP="00761BC2">
      <w:pPr>
        <w:widowControl w:val="0"/>
        <w:spacing w:after="0" w:line="360" w:lineRule="auto"/>
        <w:rPr>
          <w:color w:val="000000"/>
        </w:rPr>
      </w:pPr>
    </w:p>
    <w:p w14:paraId="400ED6EA" w14:textId="57E4C361" w:rsidR="008A6CBA" w:rsidRPr="004D5E25" w:rsidRDefault="00CE4466" w:rsidP="00761BC2">
      <w:pPr>
        <w:spacing w:after="0" w:line="360" w:lineRule="auto"/>
        <w:contextualSpacing/>
        <w:rPr>
          <w:rFonts w:eastAsia="Calibri" w:cs="Times New Roman"/>
          <w:color w:val="auto"/>
          <w:lang w:eastAsia="en-US"/>
        </w:rPr>
      </w:pPr>
      <w:r w:rsidRPr="004D5E25">
        <w:rPr>
          <w:color w:val="000000"/>
        </w:rPr>
        <w:t xml:space="preserve">Expuestas las posturas de las partes, se procede al análisis del agravio hecho valer por el Recurrente, concerniente a </w:t>
      </w:r>
      <w:r w:rsidR="004E16CA" w:rsidRPr="004D5E25">
        <w:rPr>
          <w:color w:val="000000"/>
        </w:rPr>
        <w:t xml:space="preserve">la </w:t>
      </w:r>
      <w:r w:rsidR="008A6CBA" w:rsidRPr="004D5E25">
        <w:rPr>
          <w:color w:val="000000"/>
        </w:rPr>
        <w:t>entrega de información incompleta</w:t>
      </w:r>
      <w:r w:rsidRPr="004D5E25">
        <w:t xml:space="preserve">, </w:t>
      </w:r>
      <w:r w:rsidRPr="004D5E25">
        <w:rPr>
          <w:color w:val="000000"/>
        </w:rPr>
        <w:t xml:space="preserve">para lo cual, </w:t>
      </w:r>
      <w:r w:rsidR="00F7286E" w:rsidRPr="004D5E25">
        <w:rPr>
          <w:rFonts w:eastAsia="Calibri" w:cs="Times New Roman"/>
          <w:color w:val="auto"/>
          <w:lang w:eastAsia="en-US"/>
        </w:rPr>
        <w:t>en principio es pertinente contextualizar la solicitud de información</w:t>
      </w:r>
      <w:r w:rsidR="00053BFA" w:rsidRPr="004D5E25">
        <w:rPr>
          <w:rFonts w:eastAsia="Calibri" w:cs="Times New Roman"/>
          <w:color w:val="auto"/>
          <w:lang w:eastAsia="en-US"/>
        </w:rPr>
        <w:t>.</w:t>
      </w:r>
    </w:p>
    <w:p w14:paraId="7E284D2E" w14:textId="77777777" w:rsidR="00053BFA" w:rsidRPr="004D5E25" w:rsidRDefault="00053BFA" w:rsidP="00761BC2">
      <w:pPr>
        <w:spacing w:after="0" w:line="360" w:lineRule="auto"/>
        <w:contextualSpacing/>
        <w:rPr>
          <w:rFonts w:eastAsia="Calibri" w:cs="Times New Roman"/>
          <w:color w:val="auto"/>
          <w:lang w:eastAsia="en-US"/>
        </w:rPr>
      </w:pPr>
    </w:p>
    <w:p w14:paraId="3E812981" w14:textId="77777777" w:rsidR="00053BFA" w:rsidRPr="004D5E25" w:rsidRDefault="00053BFA" w:rsidP="00761BC2">
      <w:pPr>
        <w:tabs>
          <w:tab w:val="left" w:pos="4962"/>
        </w:tabs>
        <w:spacing w:after="0" w:line="360" w:lineRule="auto"/>
        <w:contextualSpacing/>
        <w:rPr>
          <w:rFonts w:eastAsia="Times New Roman" w:cs="Times New Roman"/>
          <w:bCs/>
          <w:color w:val="auto"/>
          <w:lang w:eastAsia="es-ES"/>
        </w:rPr>
      </w:pPr>
      <w:r w:rsidRPr="004D5E25">
        <w:rPr>
          <w:rFonts w:eastAsia="Times New Roman" w:cs="Times New Roman"/>
          <w:bCs/>
          <w:color w:val="auto"/>
          <w:lang w:eastAsia="es-ES"/>
        </w:rPr>
        <w:t>Al respecto, es necesario traer a colación 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7C220576" w14:textId="77777777" w:rsidR="00053BFA" w:rsidRPr="004D5E25" w:rsidRDefault="00053BFA" w:rsidP="00761BC2">
      <w:pPr>
        <w:tabs>
          <w:tab w:val="left" w:pos="4962"/>
        </w:tabs>
        <w:spacing w:after="0" w:line="360" w:lineRule="auto"/>
        <w:contextualSpacing/>
        <w:rPr>
          <w:rFonts w:eastAsia="Calibri" w:cs="Tahoma"/>
          <w:bCs/>
        </w:rPr>
      </w:pPr>
    </w:p>
    <w:p w14:paraId="40388AA2" w14:textId="77777777" w:rsidR="00053BFA" w:rsidRPr="004D5E25" w:rsidRDefault="00053BFA" w:rsidP="00761BC2">
      <w:pPr>
        <w:spacing w:after="0" w:line="360" w:lineRule="auto"/>
        <w:contextualSpacing/>
        <w:rPr>
          <w:rFonts w:eastAsia="Calibri" w:cs="Times New Roman"/>
          <w:bCs/>
        </w:rPr>
      </w:pPr>
      <w:r w:rsidRPr="004D5E25">
        <w:rPr>
          <w:rFonts w:eastAsia="Calibri" w:cs="Times New Roman"/>
          <w:bCs/>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542B51FA" w14:textId="77777777" w:rsidR="00053BFA" w:rsidRPr="004D5E25" w:rsidRDefault="00053BFA" w:rsidP="00761BC2">
      <w:pPr>
        <w:spacing w:after="0" w:line="360" w:lineRule="auto"/>
        <w:contextualSpacing/>
        <w:rPr>
          <w:rFonts w:eastAsia="Calibri" w:cs="Times New Roman"/>
          <w:bCs/>
        </w:rPr>
      </w:pPr>
    </w:p>
    <w:p w14:paraId="1CF4B798" w14:textId="77777777" w:rsidR="00053BFA" w:rsidRPr="004D5E25" w:rsidRDefault="00053BFA" w:rsidP="00761BC2">
      <w:pPr>
        <w:spacing w:after="0" w:line="360" w:lineRule="auto"/>
        <w:contextualSpacing/>
        <w:rPr>
          <w:rFonts w:eastAsia="Calibri" w:cs="Times New Roman"/>
          <w:bCs/>
        </w:rPr>
      </w:pPr>
      <w:r w:rsidRPr="004D5E25">
        <w:rPr>
          <w:rFonts w:eastAsia="Calibri" w:cs="Times New Roman"/>
          <w:bCs/>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7333F88A" w14:textId="77777777" w:rsidR="00053BFA" w:rsidRPr="004D5E25" w:rsidRDefault="00053BFA" w:rsidP="00761BC2">
      <w:pPr>
        <w:spacing w:after="0" w:line="360" w:lineRule="auto"/>
        <w:contextualSpacing/>
        <w:rPr>
          <w:rFonts w:eastAsia="Calibri" w:cs="Times New Roman"/>
          <w:bCs/>
        </w:rPr>
      </w:pPr>
    </w:p>
    <w:p w14:paraId="2BD2BA6C" w14:textId="77777777" w:rsidR="00053BFA" w:rsidRPr="004D5E25" w:rsidRDefault="00053BFA" w:rsidP="00761BC2">
      <w:pPr>
        <w:spacing w:after="0" w:line="360" w:lineRule="auto"/>
        <w:contextualSpacing/>
        <w:rPr>
          <w:rFonts w:eastAsia="Calibri" w:cs="Times New Roman"/>
          <w:bCs/>
          <w:iCs/>
          <w:lang w:val="es-ES"/>
        </w:rPr>
      </w:pPr>
      <w:r w:rsidRPr="004D5E25">
        <w:rPr>
          <w:rFonts w:eastAsia="Calibri" w:cs="Times New Roman"/>
          <w:bCs/>
          <w:iCs/>
          <w:lang w:val="es-ES"/>
        </w:rPr>
        <w:lastRenderedPageBreak/>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4E46977A" w14:textId="77777777" w:rsidR="00053BFA" w:rsidRPr="004D5E25" w:rsidRDefault="00053BFA" w:rsidP="00761BC2">
      <w:pPr>
        <w:spacing w:after="0" w:line="360" w:lineRule="auto"/>
        <w:contextualSpacing/>
        <w:rPr>
          <w:rFonts w:eastAsia="Calibri" w:cs="Times New Roman"/>
          <w:bCs/>
        </w:rPr>
      </w:pPr>
    </w:p>
    <w:p w14:paraId="052DFFC9" w14:textId="77777777" w:rsidR="00053BFA" w:rsidRPr="004D5E25" w:rsidRDefault="00053BFA" w:rsidP="00761BC2">
      <w:pPr>
        <w:spacing w:after="0" w:line="360" w:lineRule="auto"/>
        <w:contextualSpacing/>
        <w:rPr>
          <w:rFonts w:eastAsia="Calibri" w:cs="Times New Roman"/>
          <w:b/>
          <w:bCs/>
          <w:iCs/>
          <w:lang w:val="es-ES"/>
        </w:rPr>
      </w:pPr>
      <w:r w:rsidRPr="004D5E25">
        <w:rPr>
          <w:rFonts w:eastAsia="Calibri" w:cs="Times New Roman"/>
          <w:bCs/>
          <w:iCs/>
          <w:lang w:val="es-ES"/>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4D5E25">
        <w:rPr>
          <w:rFonts w:eastAsia="Calibri" w:cs="Times New Roman"/>
          <w:b/>
          <w:bCs/>
          <w:iCs/>
          <w:lang w:val="es-ES"/>
        </w:rPr>
        <w:t>1000 Servicios Personales</w:t>
      </w:r>
      <w:r w:rsidRPr="004D5E25">
        <w:rPr>
          <w:rFonts w:eastAsia="Calibri" w:cs="Times New Roman"/>
          <w:bCs/>
          <w:iCs/>
          <w:lang w:val="es-ES"/>
        </w:rPr>
        <w:t>,</w:t>
      </w:r>
      <w:r w:rsidRPr="004D5E25">
        <w:rPr>
          <w:rFonts w:eastAsia="Calibri" w:cs="Times New Roman"/>
          <w:b/>
          <w:bCs/>
          <w:iCs/>
          <w:lang w:val="es-ES"/>
        </w:rPr>
        <w:t xml:space="preserve"> que agrupa las remuneraciones del personal al servicio de los entes públicos, tales como el sueldo, salarios, dietas, honorarios, prestaciones, obligaciones laborales, entre otras.</w:t>
      </w:r>
    </w:p>
    <w:p w14:paraId="50BA7B0A" w14:textId="77777777" w:rsidR="00053BFA" w:rsidRPr="004D5E25" w:rsidRDefault="00053BFA" w:rsidP="00761BC2">
      <w:pPr>
        <w:spacing w:after="0" w:line="360" w:lineRule="auto"/>
        <w:contextualSpacing/>
        <w:rPr>
          <w:rFonts w:eastAsia="Calibri" w:cs="Times New Roman"/>
          <w:bCs/>
        </w:rPr>
      </w:pPr>
    </w:p>
    <w:p w14:paraId="1D0F113E" w14:textId="77777777" w:rsidR="00053BFA" w:rsidRPr="004D5E25" w:rsidRDefault="00053BFA" w:rsidP="00761BC2">
      <w:pPr>
        <w:spacing w:after="0" w:line="360" w:lineRule="auto"/>
        <w:contextualSpacing/>
        <w:rPr>
          <w:rFonts w:eastAsia="Calibri" w:cs="Times New Roman"/>
          <w:bCs/>
        </w:rPr>
      </w:pPr>
      <w:r w:rsidRPr="004D5E25">
        <w:rPr>
          <w:rFonts w:eastAsia="Calibri" w:cs="Times New Roman"/>
          <w:bCs/>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4D5E25">
        <w:rPr>
          <w:rFonts w:eastAsia="Calibri" w:cs="Times New Roman"/>
          <w:b/>
          <w:bCs/>
        </w:rPr>
        <w:t>recibos de pago de salarios o las</w:t>
      </w:r>
      <w:r w:rsidRPr="004D5E25">
        <w:rPr>
          <w:rFonts w:eastAsia="Calibri" w:cs="Times New Roman"/>
          <w:bCs/>
        </w:rPr>
        <w:t xml:space="preserve"> </w:t>
      </w:r>
      <w:r w:rsidRPr="004D5E25">
        <w:rPr>
          <w:rFonts w:eastAsia="Calibri" w:cs="Times New Roman"/>
          <w:b/>
          <w:bCs/>
        </w:rPr>
        <w:t xml:space="preserve">constancias documentales del pago de sueldos, </w:t>
      </w:r>
      <w:r w:rsidRPr="004D5E25">
        <w:rPr>
          <w:rFonts w:eastAsia="Calibri" w:cs="Times New Roman"/>
          <w:bC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6152C7F" w14:textId="77777777" w:rsidR="00053BFA" w:rsidRPr="004D5E25" w:rsidRDefault="00053BFA" w:rsidP="00761BC2">
      <w:pPr>
        <w:spacing w:after="0" w:line="360" w:lineRule="auto"/>
        <w:contextualSpacing/>
        <w:rPr>
          <w:rFonts w:eastAsia="Calibri" w:cs="Times New Roman"/>
          <w:bCs/>
        </w:rPr>
      </w:pPr>
    </w:p>
    <w:p w14:paraId="5558EE16" w14:textId="77777777" w:rsidR="00053BFA" w:rsidRPr="004D5E25" w:rsidRDefault="00053BFA" w:rsidP="00761BC2">
      <w:pPr>
        <w:spacing w:after="0" w:line="360" w:lineRule="auto"/>
        <w:contextualSpacing/>
        <w:rPr>
          <w:rFonts w:eastAsia="Calibri" w:cs="Times New Roman"/>
          <w:bCs/>
        </w:rPr>
      </w:pPr>
      <w:r w:rsidRPr="004D5E25">
        <w:rPr>
          <w:rFonts w:eastAsia="Calibri" w:cs="Times New Roman"/>
          <w:bCs/>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FB295B0" w14:textId="77777777" w:rsidR="00053BFA" w:rsidRPr="004D5E25" w:rsidRDefault="00053BFA" w:rsidP="00761BC2">
      <w:pPr>
        <w:spacing w:after="0" w:line="360" w:lineRule="auto"/>
        <w:contextualSpacing/>
        <w:rPr>
          <w:rFonts w:eastAsia="Calibri" w:cs="Times New Roman"/>
          <w:bCs/>
        </w:rPr>
      </w:pPr>
    </w:p>
    <w:p w14:paraId="112556A9" w14:textId="77777777" w:rsidR="00053BFA" w:rsidRPr="004D5E25" w:rsidRDefault="00053BFA" w:rsidP="00761BC2">
      <w:pPr>
        <w:spacing w:after="0" w:line="360" w:lineRule="auto"/>
        <w:ind w:left="567" w:right="567"/>
        <w:contextualSpacing/>
        <w:rPr>
          <w:rFonts w:eastAsia="Calibri" w:cs="Times New Roman"/>
          <w:bCs/>
          <w:i/>
          <w:iCs/>
          <w:sz w:val="20"/>
          <w:szCs w:val="20"/>
          <w:lang w:val="es-ES"/>
        </w:rPr>
      </w:pPr>
      <w:r w:rsidRPr="004D5E25">
        <w:rPr>
          <w:rFonts w:eastAsia="Calibri" w:cs="Times New Roman"/>
          <w:b/>
          <w:bCs/>
          <w:i/>
          <w:iCs/>
          <w:sz w:val="20"/>
          <w:szCs w:val="20"/>
          <w:lang w:val="es-ES"/>
        </w:rPr>
        <w:t>“RECIBOS DE PAGO</w:t>
      </w:r>
      <w:r w:rsidRPr="004D5E25">
        <w:rPr>
          <w:rFonts w:eastAsia="Calibri" w:cs="Times New Roman"/>
          <w:bCs/>
          <w:i/>
          <w:iCs/>
          <w:sz w:val="20"/>
          <w:szCs w:val="20"/>
          <w:lang w:val="es-ES"/>
        </w:rPr>
        <w:t xml:space="preserve"> </w:t>
      </w:r>
      <w:r w:rsidRPr="004D5E25">
        <w:rPr>
          <w:rFonts w:eastAsia="Calibri" w:cs="Times New Roman"/>
          <w:b/>
          <w:bCs/>
          <w:i/>
          <w:iCs/>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4D5E25">
        <w:rPr>
          <w:rFonts w:eastAsia="Calibri" w:cs="Times New Roman"/>
          <w:bCs/>
          <w:i/>
          <w:iCs/>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607A3D13" w14:textId="77777777" w:rsidR="00053BFA" w:rsidRPr="004D5E25" w:rsidRDefault="00053BFA" w:rsidP="00761BC2">
      <w:pPr>
        <w:spacing w:after="0" w:line="360" w:lineRule="auto"/>
        <w:contextualSpacing/>
        <w:rPr>
          <w:rFonts w:eastAsia="Calibri" w:cs="Times New Roman"/>
          <w:b/>
          <w:bCs/>
          <w:i/>
          <w:iCs/>
          <w:lang w:val="es-ES"/>
        </w:rPr>
      </w:pPr>
    </w:p>
    <w:p w14:paraId="1457A6FA" w14:textId="70510334" w:rsidR="008A6CBA" w:rsidRPr="004D5E25" w:rsidRDefault="00053BFA" w:rsidP="00761BC2">
      <w:pPr>
        <w:spacing w:after="0" w:line="360" w:lineRule="auto"/>
        <w:contextualSpacing/>
        <w:rPr>
          <w:rFonts w:eastAsia="Calibri" w:cs="Times New Roman"/>
          <w:color w:val="auto"/>
          <w:lang w:eastAsia="en-US"/>
        </w:rPr>
      </w:pPr>
      <w:r w:rsidRPr="004D5E25">
        <w:rPr>
          <w:rFonts w:eastAsia="Calibri" w:cs="Times New Roman"/>
          <w:bCs/>
          <w:lang w:val="es-ES"/>
        </w:rPr>
        <w:t xml:space="preserve">De la tesis transcrita, se desprende que </w:t>
      </w:r>
      <w:r w:rsidRPr="004D5E25">
        <w:rPr>
          <w:rFonts w:eastAsia="Calibri" w:cs="Times New Roman"/>
          <w:b/>
          <w:bCs/>
          <w:lang w:val="es-ES"/>
        </w:rPr>
        <w:t>en materia burocrática</w:t>
      </w:r>
      <w:r w:rsidRPr="004D5E25">
        <w:rPr>
          <w:rFonts w:eastAsia="Calibri" w:cs="Times New Roman"/>
          <w:bCs/>
          <w:lang w:val="es-ES"/>
        </w:rPr>
        <w:t xml:space="preserve"> </w:t>
      </w:r>
      <w:r w:rsidRPr="004D5E25">
        <w:rPr>
          <w:rFonts w:eastAsia="Calibri" w:cs="Times New Roman"/>
          <w:b/>
          <w:bCs/>
          <w:lang w:val="es-ES"/>
        </w:rPr>
        <w:t>los recibos de pago acreditan los conceptos y montos que en ellos se insertan</w:t>
      </w:r>
      <w:r w:rsidRPr="004D5E25">
        <w:rPr>
          <w:rFonts w:eastAsia="Calibri" w:cs="Times New Roman"/>
          <w:bCs/>
          <w:lang w:val="es-ES"/>
        </w:rPr>
        <w:t>, y constituyen prueba para demostrar las percepciones y montos que reciben los servidores públicos</w:t>
      </w:r>
      <w:r w:rsidR="00761BC2" w:rsidRPr="004D5E25">
        <w:rPr>
          <w:rFonts w:eastAsia="Calibri" w:cs="Times New Roman"/>
          <w:bCs/>
          <w:lang w:val="es-ES"/>
        </w:rPr>
        <w:t>.</w:t>
      </w:r>
    </w:p>
    <w:p w14:paraId="01AD81BE" w14:textId="768BAB4F" w:rsidR="008A6CBA" w:rsidRPr="004D5E25" w:rsidRDefault="008A6CBA" w:rsidP="00761BC2">
      <w:pPr>
        <w:spacing w:after="0" w:line="360" w:lineRule="auto"/>
        <w:contextualSpacing/>
        <w:jc w:val="center"/>
        <w:rPr>
          <w:rFonts w:eastAsia="Calibri" w:cs="Times New Roman"/>
          <w:color w:val="auto"/>
          <w:lang w:eastAsia="en-US"/>
        </w:rPr>
      </w:pPr>
    </w:p>
    <w:p w14:paraId="188FFA3A" w14:textId="77777777" w:rsidR="00761BC2" w:rsidRPr="004D5E25" w:rsidRDefault="00761BC2" w:rsidP="00761BC2">
      <w:pPr>
        <w:spacing w:after="0" w:line="360" w:lineRule="auto"/>
        <w:rPr>
          <w:rFonts w:eastAsia="Calibri" w:cs="Tahoma"/>
          <w:bCs/>
        </w:rPr>
      </w:pPr>
      <w:r w:rsidRPr="004D5E25">
        <w:rPr>
          <w:rFonts w:eastAsia="Calibri" w:cs="Tahoma"/>
          <w:bCs/>
        </w:rPr>
        <w:t>Además, la Resolución Miscelánea Fiscal del ejercicio fiscal dos mil veinticinco, y la página oficial del Servicio de Administración Tributaria, precisan que un Comprobante Fiscal Digital por Internet por concepto de nómina y otras retenciones, es también conocido como Recibo de Nómina, mismo que se podrá expedir antes de la realización de los pagos correspondientes o dentro del plazo señalado en función al número de sus trabajadores, posteriores a la realización efectiva de dichos pagos, conforme a lo siguiente:</w:t>
      </w:r>
    </w:p>
    <w:p w14:paraId="667F2ED4" w14:textId="77777777" w:rsidR="00761BC2" w:rsidRPr="004D5E25" w:rsidRDefault="00761BC2" w:rsidP="00761BC2">
      <w:pPr>
        <w:spacing w:after="0" w:line="360" w:lineRule="auto"/>
        <w:rPr>
          <w:rFonts w:eastAsia="Calibri" w:cs="Tahoma"/>
          <w:bCs/>
        </w:rPr>
      </w:pPr>
    </w:p>
    <w:p w14:paraId="383457DA" w14:textId="77777777" w:rsidR="00761BC2" w:rsidRPr="004D5E25" w:rsidRDefault="00761BC2" w:rsidP="00761BC2">
      <w:pPr>
        <w:spacing w:after="0" w:line="360" w:lineRule="auto"/>
        <w:jc w:val="center"/>
        <w:rPr>
          <w:rFonts w:eastAsia="Calibri" w:cs="Tahoma"/>
          <w:bCs/>
        </w:rPr>
      </w:pPr>
      <w:r w:rsidRPr="004D5E25">
        <w:rPr>
          <w:rFonts w:eastAsia="Calibri" w:cs="Tahoma"/>
          <w:noProof/>
        </w:rPr>
        <w:lastRenderedPageBreak/>
        <w:drawing>
          <wp:inline distT="0" distB="0" distL="0" distR="0" wp14:anchorId="6AF66773" wp14:editId="09EB83FE">
            <wp:extent cx="4895850" cy="14954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212532A3" w14:textId="77777777" w:rsidR="00761BC2" w:rsidRPr="004D5E25" w:rsidRDefault="00761BC2" w:rsidP="00761BC2">
      <w:pPr>
        <w:spacing w:after="0" w:line="360" w:lineRule="auto"/>
        <w:rPr>
          <w:rFonts w:eastAsia="Calibri" w:cs="Tahoma"/>
          <w:bCs/>
        </w:rPr>
      </w:pPr>
    </w:p>
    <w:p w14:paraId="4B1B220F" w14:textId="7CDF64A6" w:rsidR="00761BC2" w:rsidRPr="004D5E25" w:rsidRDefault="00761BC2" w:rsidP="00761BC2">
      <w:pPr>
        <w:spacing w:after="0" w:line="360" w:lineRule="auto"/>
        <w:rPr>
          <w:rFonts w:eastAsia="Calibri" w:cs="Tahoma"/>
          <w:bCs/>
        </w:rPr>
      </w:pPr>
      <w:r w:rsidRPr="004D5E25">
        <w:rPr>
          <w:rFonts w:eastAsia="Calibri" w:cs="Tahoma"/>
          <w:bCs/>
        </w:rPr>
        <w:t>Asimismo, precisa que se considerará como fecha de expedición y entrega de tales comprobantes fiscales la fecha en que efectivamente se realizó el pago de dichas remuneraciones.</w:t>
      </w:r>
    </w:p>
    <w:p w14:paraId="60903D63" w14:textId="77777777" w:rsidR="00761BC2" w:rsidRPr="004D5E25" w:rsidRDefault="00761BC2" w:rsidP="00761BC2">
      <w:pPr>
        <w:spacing w:after="0" w:line="360" w:lineRule="auto"/>
        <w:contextualSpacing/>
        <w:rPr>
          <w:rFonts w:eastAsia="Calibri" w:cs="Times New Roman"/>
          <w:color w:val="auto"/>
          <w:lang w:eastAsia="en-US"/>
        </w:rPr>
      </w:pPr>
    </w:p>
    <w:p w14:paraId="2D452251" w14:textId="061B9DDD" w:rsidR="003B0222" w:rsidRPr="004D5E25" w:rsidRDefault="008A6CBA" w:rsidP="00761BC2">
      <w:pPr>
        <w:spacing w:after="0" w:line="360" w:lineRule="auto"/>
        <w:contextualSpacing/>
        <w:rPr>
          <w:rFonts w:eastAsia="Calibri" w:cs="Times New Roman"/>
          <w:color w:val="auto"/>
          <w:lang w:eastAsia="en-US"/>
        </w:rPr>
      </w:pPr>
      <w:r w:rsidRPr="004D5E25">
        <w:rPr>
          <w:rFonts w:eastAsia="Calibri" w:cs="Times New Roman"/>
          <w:color w:val="auto"/>
          <w:lang w:eastAsia="en-US"/>
        </w:rPr>
        <w:t>Conforme a lo anterior, se logra vislumbrar que la pretensión de la persona Recurrente</w:t>
      </w:r>
      <w:r w:rsidR="006E41D2" w:rsidRPr="004D5E25">
        <w:rPr>
          <w:rFonts w:eastAsia="Calibri" w:cs="Times New Roman"/>
          <w:color w:val="auto"/>
          <w:lang w:eastAsia="en-US"/>
        </w:rPr>
        <w:t>, en atención al agravio interpuesto,</w:t>
      </w:r>
      <w:r w:rsidRPr="004D5E25">
        <w:rPr>
          <w:rFonts w:eastAsia="Calibri" w:cs="Times New Roman"/>
          <w:color w:val="auto"/>
          <w:lang w:eastAsia="en-US"/>
        </w:rPr>
        <w:t xml:space="preserve"> es obtener los </w:t>
      </w:r>
      <w:r w:rsidR="0069493D" w:rsidRPr="004D5E25">
        <w:rPr>
          <w:rFonts w:eastAsia="Calibri" w:cs="Times New Roman"/>
          <w:color w:val="auto"/>
          <w:lang w:eastAsia="en-US"/>
        </w:rPr>
        <w:t xml:space="preserve">recibos de pago de los </w:t>
      </w:r>
      <w:r w:rsidR="006E41D2" w:rsidRPr="004D5E25">
        <w:rPr>
          <w:rFonts w:eastAsia="Calibri" w:cs="Times New Roman"/>
          <w:color w:val="auto"/>
          <w:lang w:eastAsia="en-US"/>
        </w:rPr>
        <w:t>jefes de área del Sujeto Obligado,</w:t>
      </w:r>
      <w:r w:rsidR="0069493D" w:rsidRPr="004D5E25">
        <w:rPr>
          <w:rFonts w:eastAsia="Calibri" w:cs="Times New Roman"/>
          <w:color w:val="auto"/>
          <w:lang w:eastAsia="en-US"/>
        </w:rPr>
        <w:t xml:space="preserve"> </w:t>
      </w:r>
      <w:r w:rsidR="006E41D2" w:rsidRPr="004D5E25">
        <w:rPr>
          <w:rFonts w:eastAsia="Calibri" w:cs="Times New Roman"/>
          <w:color w:val="auto"/>
          <w:lang w:eastAsia="en-US"/>
        </w:rPr>
        <w:t xml:space="preserve">de </w:t>
      </w:r>
      <w:r w:rsidR="0069493D" w:rsidRPr="004D5E25">
        <w:rPr>
          <w:rFonts w:eastAsia="Calibri" w:cs="Times New Roman"/>
          <w:color w:val="auto"/>
          <w:lang w:eastAsia="en-US"/>
        </w:rPr>
        <w:t xml:space="preserve">la primera quincena de enero de dos mil veinticinco. </w:t>
      </w:r>
    </w:p>
    <w:p w14:paraId="469E8C55" w14:textId="77777777" w:rsidR="0069493D" w:rsidRPr="004D5E25" w:rsidRDefault="0069493D" w:rsidP="00761BC2">
      <w:pPr>
        <w:spacing w:after="0" w:line="360" w:lineRule="auto"/>
        <w:contextualSpacing/>
        <w:rPr>
          <w:color w:val="000000"/>
          <w:lang w:val="es-ES"/>
        </w:rPr>
      </w:pPr>
    </w:p>
    <w:p w14:paraId="7C310131" w14:textId="6F3954BD" w:rsidR="008A6CBA" w:rsidRPr="004D5E25" w:rsidRDefault="008A6CBA" w:rsidP="00761BC2">
      <w:pPr>
        <w:widowControl w:val="0"/>
        <w:spacing w:after="0" w:line="360" w:lineRule="auto"/>
        <w:rPr>
          <w:color w:val="000000"/>
        </w:rPr>
      </w:pPr>
      <w:r w:rsidRPr="004D5E25">
        <w:t xml:space="preserve">Ante dicha circunstancia, es necesario precisar que </w:t>
      </w:r>
      <w:r w:rsidRPr="004D5E25">
        <w:rPr>
          <w:color w:val="000000"/>
        </w:rPr>
        <w:t xml:space="preserve">de las constancias que obran en el expediente electrónico, se logra advertir que </w:t>
      </w:r>
      <w:r w:rsidRPr="004D5E25">
        <w:t xml:space="preserve">el Sujeto Obligado </w:t>
      </w:r>
      <w:r w:rsidRPr="004D5E25">
        <w:rPr>
          <w:color w:val="000000"/>
        </w:rPr>
        <w:t>turnó la solicitud de información a la</w:t>
      </w:r>
      <w:r w:rsidR="0029439C" w:rsidRPr="004D5E25">
        <w:rPr>
          <w:color w:val="000000"/>
        </w:rPr>
        <w:t xml:space="preserve"> Unidad de Recursos Humanos, </w:t>
      </w:r>
      <w:r w:rsidRPr="004D5E25">
        <w:rPr>
          <w:color w:val="000000"/>
        </w:rPr>
        <w:t xml:space="preserve">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7F07B872" w14:textId="77777777" w:rsidR="008A6CBA" w:rsidRPr="004D5E25" w:rsidRDefault="008A6CBA" w:rsidP="00761BC2">
      <w:pPr>
        <w:widowControl w:val="0"/>
        <w:spacing w:after="0" w:line="360" w:lineRule="auto"/>
        <w:rPr>
          <w:color w:val="000000"/>
        </w:rPr>
      </w:pPr>
    </w:p>
    <w:p w14:paraId="17BFEFC9" w14:textId="77777777" w:rsidR="006E41D2" w:rsidRPr="004D5E25" w:rsidRDefault="006E41D2" w:rsidP="00761BC2">
      <w:pPr>
        <w:widowControl w:val="0"/>
        <w:spacing w:after="0" w:line="360" w:lineRule="auto"/>
        <w:rPr>
          <w:color w:val="000000"/>
        </w:rPr>
      </w:pPr>
    </w:p>
    <w:p w14:paraId="17074F09" w14:textId="59876CCE" w:rsidR="0026738C" w:rsidRPr="004D5E25" w:rsidRDefault="008A6CBA" w:rsidP="00761BC2">
      <w:pPr>
        <w:widowControl w:val="0"/>
        <w:spacing w:after="0" w:line="360" w:lineRule="auto"/>
        <w:rPr>
          <w:color w:val="000000"/>
        </w:rPr>
      </w:pPr>
      <w:r w:rsidRPr="004D5E25">
        <w:rPr>
          <w:color w:val="000000"/>
        </w:rPr>
        <w:lastRenderedPageBreak/>
        <w:t xml:space="preserve">Así a efecto de verificar que el Sujeto Obligado cumplió con el procedimiento establecido es necesario traer a colación el </w:t>
      </w:r>
      <w:r w:rsidR="00AE6258" w:rsidRPr="004D5E25">
        <w:rPr>
          <w:color w:val="000000"/>
        </w:rPr>
        <w:t xml:space="preserve"> Reglamento Interno del Organismo Público Descentralizado denominado “Sistema Municipal para el Desarrollo Integral de la Familia de Cuautitlán</w:t>
      </w:r>
      <w:r w:rsidR="00DD134F" w:rsidRPr="004D5E25">
        <w:rPr>
          <w:color w:val="000000"/>
        </w:rPr>
        <w:t xml:space="preserve"> Estado de México, mismo que en su numeral 43</w:t>
      </w:r>
      <w:r w:rsidR="002C3F8E" w:rsidRPr="004D5E25">
        <w:rPr>
          <w:color w:val="000000"/>
        </w:rPr>
        <w:t xml:space="preserve"> </w:t>
      </w:r>
      <w:r w:rsidR="00C64EB4" w:rsidRPr="004D5E25">
        <w:rPr>
          <w:color w:val="000000"/>
        </w:rPr>
        <w:t xml:space="preserve">fracción XVII, </w:t>
      </w:r>
      <w:r w:rsidR="002C3F8E" w:rsidRPr="004D5E25">
        <w:rPr>
          <w:color w:val="000000"/>
        </w:rPr>
        <w:t xml:space="preserve">contempla que corresponde al </w:t>
      </w:r>
      <w:r w:rsidR="00C64EB4" w:rsidRPr="004D5E25">
        <w:rPr>
          <w:color w:val="000000"/>
        </w:rPr>
        <w:t xml:space="preserve"> titular de Recursos Humanos, el ejercicio de diversas atribuciones, ente las que se encuentra emitir </w:t>
      </w:r>
      <w:r w:rsidR="0073371B" w:rsidRPr="004D5E25">
        <w:rPr>
          <w:color w:val="000000"/>
        </w:rPr>
        <w:t>constancias</w:t>
      </w:r>
      <w:r w:rsidR="00C64EB4" w:rsidRPr="004D5E25">
        <w:rPr>
          <w:color w:val="000000"/>
        </w:rPr>
        <w:t xml:space="preserve"> de pagos de sueldos y retenciones de impuestos a los servidores públicos</w:t>
      </w:r>
      <w:r w:rsidR="006E41D2" w:rsidRPr="004D5E25">
        <w:rPr>
          <w:color w:val="000000"/>
        </w:rPr>
        <w:t>.</w:t>
      </w:r>
    </w:p>
    <w:p w14:paraId="5550B583" w14:textId="77777777" w:rsidR="006E41D2" w:rsidRPr="004D5E25" w:rsidRDefault="006E41D2" w:rsidP="00761BC2">
      <w:pPr>
        <w:widowControl w:val="0"/>
        <w:spacing w:after="0" w:line="360" w:lineRule="auto"/>
        <w:rPr>
          <w:color w:val="000000"/>
        </w:rPr>
      </w:pPr>
    </w:p>
    <w:p w14:paraId="188F3FB6" w14:textId="494AA632" w:rsidR="008A6CBA" w:rsidRPr="004D5E25" w:rsidRDefault="008A6CBA" w:rsidP="00761BC2">
      <w:pPr>
        <w:widowControl w:val="0"/>
        <w:spacing w:after="0" w:line="360" w:lineRule="auto"/>
        <w:rPr>
          <w:color w:val="000000"/>
        </w:rPr>
      </w:pPr>
      <w:r w:rsidRPr="004D5E25">
        <w:rPr>
          <w:color w:val="000000"/>
        </w:rPr>
        <w:t xml:space="preserve">Conforme a lo anterior, se logra colegir que el Sujeto Obligado cumplió con el procedimiento de búsqueda previamente referido, toda vez que turnó la solicitud al área </w:t>
      </w:r>
      <w:r w:rsidR="0073371B" w:rsidRPr="004D5E25">
        <w:rPr>
          <w:color w:val="000000"/>
        </w:rPr>
        <w:t>encargada de emitir constancias de pagos de sueldos</w:t>
      </w:r>
      <w:r w:rsidR="00080126" w:rsidRPr="004D5E25">
        <w:rPr>
          <w:color w:val="000000"/>
        </w:rPr>
        <w:t>.</w:t>
      </w:r>
    </w:p>
    <w:p w14:paraId="7E4845D7" w14:textId="77777777" w:rsidR="008A6CBA" w:rsidRPr="004D5E25" w:rsidRDefault="008A6CBA" w:rsidP="00761BC2">
      <w:pPr>
        <w:widowControl w:val="0"/>
        <w:spacing w:after="0" w:line="360" w:lineRule="auto"/>
        <w:rPr>
          <w:color w:val="000000"/>
        </w:rPr>
      </w:pPr>
    </w:p>
    <w:p w14:paraId="32F3251B" w14:textId="74F99604" w:rsidR="00080126" w:rsidRPr="004D5E25" w:rsidRDefault="00080126" w:rsidP="00761BC2">
      <w:pPr>
        <w:widowControl w:val="0"/>
        <w:spacing w:after="0" w:line="360" w:lineRule="auto"/>
        <w:rPr>
          <w:color w:val="000000"/>
        </w:rPr>
      </w:pPr>
      <w:r w:rsidRPr="004D5E25">
        <w:rPr>
          <w:color w:val="000000"/>
        </w:rPr>
        <w:t>Ahora bien, este Instituto revisó el Portal de Información Pública de Oficio Mexiquense 4.0. del Sujeto Obligado, en la fracción VII, del artículo 92 y localizó la información del primer trimestre del año dos mil veinticinco, del cual se logra vislumbrar a los Titulares de Área del Sujeto Obligado, los cuales tuvieron alta el primero de enero de dos mil veinticinco, tal como se muestra a continuación:</w:t>
      </w:r>
    </w:p>
    <w:p w14:paraId="785F06E9" w14:textId="77777777" w:rsidR="00080126" w:rsidRPr="004D5E25" w:rsidRDefault="00080126" w:rsidP="00761BC2">
      <w:pPr>
        <w:widowControl w:val="0"/>
        <w:spacing w:after="0" w:line="360" w:lineRule="auto"/>
        <w:rPr>
          <w:color w:val="000000"/>
        </w:rPr>
      </w:pPr>
    </w:p>
    <w:p w14:paraId="3D832155" w14:textId="6FD2B0D3" w:rsidR="00080126" w:rsidRPr="004D5E25" w:rsidRDefault="00080126" w:rsidP="00761BC2">
      <w:pPr>
        <w:widowControl w:val="0"/>
        <w:spacing w:after="0" w:line="360" w:lineRule="auto"/>
        <w:rPr>
          <w:color w:val="000000"/>
        </w:rPr>
      </w:pPr>
      <w:r w:rsidRPr="004D5E25">
        <w:rPr>
          <w:noProof/>
          <w:color w:val="000000"/>
        </w:rPr>
        <w:drawing>
          <wp:inline distT="0" distB="0" distL="0" distR="0" wp14:anchorId="00D68EC9" wp14:editId="2170FDF3">
            <wp:extent cx="5850890" cy="2466975"/>
            <wp:effectExtent l="0" t="0" r="0" b="9525"/>
            <wp:docPr id="1383131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02567" name=""/>
                    <pic:cNvPicPr/>
                  </pic:nvPicPr>
                  <pic:blipFill rotWithShape="1">
                    <a:blip r:embed="rId10"/>
                    <a:srcRect t="1" b="39068"/>
                    <a:stretch/>
                  </pic:blipFill>
                  <pic:spPr bwMode="auto">
                    <a:xfrm>
                      <a:off x="0" y="0"/>
                      <a:ext cx="5850890" cy="2466975"/>
                    </a:xfrm>
                    <a:prstGeom prst="rect">
                      <a:avLst/>
                    </a:prstGeom>
                    <a:ln>
                      <a:noFill/>
                    </a:ln>
                    <a:extLst>
                      <a:ext uri="{53640926-AAD7-44D8-BBD7-CCE9431645EC}">
                        <a14:shadowObscured xmlns:a14="http://schemas.microsoft.com/office/drawing/2010/main"/>
                      </a:ext>
                    </a:extLst>
                  </pic:spPr>
                </pic:pic>
              </a:graphicData>
            </a:graphic>
          </wp:inline>
        </w:drawing>
      </w:r>
    </w:p>
    <w:p w14:paraId="21F2FF85" w14:textId="77777777" w:rsidR="00080126" w:rsidRPr="004D5E25" w:rsidRDefault="00080126" w:rsidP="00761BC2">
      <w:pPr>
        <w:widowControl w:val="0"/>
        <w:spacing w:after="0" w:line="360" w:lineRule="auto"/>
        <w:rPr>
          <w:color w:val="000000"/>
        </w:rPr>
      </w:pPr>
    </w:p>
    <w:p w14:paraId="52B451D3" w14:textId="2DCF056D" w:rsidR="00080126" w:rsidRPr="004D5E25" w:rsidRDefault="00080126" w:rsidP="00761BC2">
      <w:pPr>
        <w:widowControl w:val="0"/>
        <w:spacing w:after="0" w:line="360" w:lineRule="auto"/>
        <w:rPr>
          <w:color w:val="000000"/>
        </w:rPr>
      </w:pPr>
      <w:r w:rsidRPr="004D5E25">
        <w:rPr>
          <w:noProof/>
          <w:color w:val="000000"/>
        </w:rPr>
        <w:lastRenderedPageBreak/>
        <w:drawing>
          <wp:inline distT="0" distB="0" distL="0" distR="0" wp14:anchorId="7A0FF5F2" wp14:editId="3727F345">
            <wp:extent cx="5850890" cy="1610360"/>
            <wp:effectExtent l="0" t="0" r="0" b="8890"/>
            <wp:docPr id="507102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02567" name=""/>
                    <pic:cNvPicPr/>
                  </pic:nvPicPr>
                  <pic:blipFill rotWithShape="1">
                    <a:blip r:embed="rId10"/>
                    <a:srcRect t="60226"/>
                    <a:stretch/>
                  </pic:blipFill>
                  <pic:spPr bwMode="auto">
                    <a:xfrm>
                      <a:off x="0" y="0"/>
                      <a:ext cx="5850890" cy="1610360"/>
                    </a:xfrm>
                    <a:prstGeom prst="rect">
                      <a:avLst/>
                    </a:prstGeom>
                    <a:ln>
                      <a:noFill/>
                    </a:ln>
                    <a:extLst>
                      <a:ext uri="{53640926-AAD7-44D8-BBD7-CCE9431645EC}">
                        <a14:shadowObscured xmlns:a14="http://schemas.microsoft.com/office/drawing/2010/main"/>
                      </a:ext>
                    </a:extLst>
                  </pic:spPr>
                </pic:pic>
              </a:graphicData>
            </a:graphic>
          </wp:inline>
        </w:drawing>
      </w:r>
    </w:p>
    <w:p w14:paraId="1626BA07" w14:textId="77777777" w:rsidR="00080126" w:rsidRPr="004D5E25" w:rsidRDefault="00080126" w:rsidP="00761BC2">
      <w:pPr>
        <w:widowControl w:val="0"/>
        <w:spacing w:after="0" w:line="360" w:lineRule="auto"/>
        <w:rPr>
          <w:color w:val="000000"/>
        </w:rPr>
      </w:pPr>
    </w:p>
    <w:p w14:paraId="5E2D8888" w14:textId="1783B30E" w:rsidR="00CC608C" w:rsidRPr="004D5E25" w:rsidRDefault="00080126" w:rsidP="00761BC2">
      <w:pPr>
        <w:spacing w:after="0" w:line="360" w:lineRule="auto"/>
        <w:rPr>
          <w:color w:val="000000"/>
          <w:lang w:val="es-ES"/>
        </w:rPr>
      </w:pPr>
      <w:r w:rsidRPr="004D5E25">
        <w:rPr>
          <w:color w:val="000000"/>
          <w:lang w:val="es-ES"/>
        </w:rPr>
        <w:t>Así</w:t>
      </w:r>
      <w:r w:rsidR="000A608A" w:rsidRPr="004D5E25">
        <w:rPr>
          <w:color w:val="000000"/>
          <w:lang w:val="es-ES"/>
        </w:rPr>
        <w:t xml:space="preserve">, con el fin de </w:t>
      </w:r>
      <w:r w:rsidR="00BD3F9B" w:rsidRPr="004D5E25">
        <w:rPr>
          <w:color w:val="000000"/>
          <w:lang w:val="es-ES"/>
        </w:rPr>
        <w:t xml:space="preserve">comprobar </w:t>
      </w:r>
      <w:r w:rsidR="00E86620" w:rsidRPr="004D5E25">
        <w:rPr>
          <w:color w:val="000000"/>
          <w:lang w:val="es-ES"/>
        </w:rPr>
        <w:t>si</w:t>
      </w:r>
      <w:r w:rsidR="00BD3F9B" w:rsidRPr="004D5E25">
        <w:rPr>
          <w:color w:val="000000"/>
          <w:lang w:val="es-ES"/>
        </w:rPr>
        <w:t xml:space="preserve"> se remitió la información completa </w:t>
      </w:r>
      <w:r w:rsidRPr="004D5E25">
        <w:rPr>
          <w:color w:val="000000"/>
          <w:lang w:val="es-ES"/>
        </w:rPr>
        <w:t>de</w:t>
      </w:r>
      <w:r w:rsidR="00BD3F9B" w:rsidRPr="004D5E25">
        <w:rPr>
          <w:color w:val="000000"/>
          <w:lang w:val="es-ES"/>
        </w:rPr>
        <w:t xml:space="preserve"> los titulares de áreas, este Instituto</w:t>
      </w:r>
      <w:r w:rsidRPr="004D5E25">
        <w:rPr>
          <w:color w:val="000000"/>
          <w:lang w:val="es-ES"/>
        </w:rPr>
        <w:t>, se</w:t>
      </w:r>
      <w:r w:rsidR="00BD3F9B" w:rsidRPr="004D5E25">
        <w:rPr>
          <w:color w:val="000000"/>
          <w:lang w:val="es-ES"/>
        </w:rPr>
        <w:t xml:space="preserve"> procedió </w:t>
      </w:r>
      <w:r w:rsidRPr="004D5E25">
        <w:rPr>
          <w:color w:val="000000"/>
          <w:lang w:val="es-ES"/>
        </w:rPr>
        <w:t>al cotejo</w:t>
      </w:r>
      <w:r w:rsidR="00BD3F9B" w:rsidRPr="004D5E25">
        <w:rPr>
          <w:color w:val="000000"/>
          <w:lang w:val="es-ES"/>
        </w:rPr>
        <w:t xml:space="preserve"> de la información remitida </w:t>
      </w:r>
      <w:r w:rsidRPr="004D5E25">
        <w:rPr>
          <w:color w:val="000000"/>
          <w:lang w:val="es-ES"/>
        </w:rPr>
        <w:t>en respuesta, con la localizada en el Portal de Información Pública de Oficio Mexiquense 4.0., lo cual dio como resultado lo siguiente:</w:t>
      </w:r>
    </w:p>
    <w:p w14:paraId="13DBBEE6" w14:textId="77777777" w:rsidR="00CC608C" w:rsidRPr="004D5E25" w:rsidRDefault="00CC608C" w:rsidP="00761BC2">
      <w:pPr>
        <w:spacing w:after="0" w:line="360" w:lineRule="auto"/>
        <w:rPr>
          <w:color w:val="000000"/>
          <w:lang w:val="es-ES"/>
        </w:rPr>
      </w:pPr>
    </w:p>
    <w:tbl>
      <w:tblPr>
        <w:tblStyle w:val="Tablaconcuadrcula"/>
        <w:tblW w:w="9067" w:type="dxa"/>
        <w:tblLook w:val="04A0" w:firstRow="1" w:lastRow="0" w:firstColumn="1" w:lastColumn="0" w:noHBand="0" w:noVBand="1"/>
      </w:tblPr>
      <w:tblGrid>
        <w:gridCol w:w="4248"/>
        <w:gridCol w:w="3118"/>
        <w:gridCol w:w="1701"/>
      </w:tblGrid>
      <w:tr w:rsidR="009A1941" w:rsidRPr="004D5E25" w14:paraId="4F82C76D" w14:textId="23572F85" w:rsidTr="009A1941">
        <w:tc>
          <w:tcPr>
            <w:tcW w:w="7366" w:type="dxa"/>
            <w:gridSpan w:val="2"/>
            <w:shd w:val="clear" w:color="auto" w:fill="E7E6E6" w:themeFill="background2"/>
          </w:tcPr>
          <w:p w14:paraId="55F9F55F" w14:textId="460C7E7F" w:rsidR="009A1941" w:rsidRPr="004D5E25" w:rsidRDefault="009A1941" w:rsidP="009A1941">
            <w:pPr>
              <w:spacing w:line="360" w:lineRule="auto"/>
              <w:jc w:val="center"/>
              <w:rPr>
                <w:color w:val="000000"/>
                <w:sz w:val="20"/>
                <w:szCs w:val="20"/>
              </w:rPr>
            </w:pPr>
            <w:r w:rsidRPr="004D5E25">
              <w:rPr>
                <w:color w:val="000000"/>
                <w:sz w:val="20"/>
                <w:szCs w:val="20"/>
              </w:rPr>
              <w:t>IPOMEX</w:t>
            </w:r>
          </w:p>
        </w:tc>
        <w:tc>
          <w:tcPr>
            <w:tcW w:w="1701" w:type="dxa"/>
            <w:vMerge w:val="restart"/>
            <w:shd w:val="clear" w:color="auto" w:fill="E7E6E6" w:themeFill="background2"/>
            <w:vAlign w:val="center"/>
          </w:tcPr>
          <w:p w14:paraId="71471879" w14:textId="5FFC9A78" w:rsidR="009A1941" w:rsidRPr="004D5E25" w:rsidRDefault="009A1941" w:rsidP="009A1941">
            <w:pPr>
              <w:spacing w:line="360" w:lineRule="auto"/>
              <w:jc w:val="center"/>
              <w:rPr>
                <w:color w:val="000000"/>
                <w:sz w:val="20"/>
                <w:szCs w:val="20"/>
              </w:rPr>
            </w:pPr>
            <w:r w:rsidRPr="004D5E25">
              <w:rPr>
                <w:color w:val="000000"/>
                <w:sz w:val="20"/>
                <w:szCs w:val="20"/>
              </w:rPr>
              <w:t xml:space="preserve">Recibos </w:t>
            </w:r>
          </w:p>
        </w:tc>
      </w:tr>
      <w:tr w:rsidR="009A1941" w:rsidRPr="004D5E25" w14:paraId="4FA441F2" w14:textId="77777777" w:rsidTr="009A1941">
        <w:tc>
          <w:tcPr>
            <w:tcW w:w="4248" w:type="dxa"/>
            <w:shd w:val="clear" w:color="auto" w:fill="E7E6E6" w:themeFill="background2"/>
          </w:tcPr>
          <w:p w14:paraId="5834B6AC" w14:textId="7FBA67F1" w:rsidR="009A1941" w:rsidRPr="004D5E25" w:rsidRDefault="009A1941" w:rsidP="009A1941">
            <w:pPr>
              <w:spacing w:line="360" w:lineRule="auto"/>
              <w:jc w:val="center"/>
              <w:rPr>
                <w:color w:val="000000"/>
                <w:sz w:val="20"/>
                <w:szCs w:val="20"/>
              </w:rPr>
            </w:pPr>
            <w:r w:rsidRPr="004D5E25">
              <w:rPr>
                <w:color w:val="000000"/>
                <w:sz w:val="20"/>
                <w:szCs w:val="20"/>
              </w:rPr>
              <w:t>Cargo</w:t>
            </w:r>
          </w:p>
        </w:tc>
        <w:tc>
          <w:tcPr>
            <w:tcW w:w="3118" w:type="dxa"/>
            <w:shd w:val="clear" w:color="auto" w:fill="E7E6E6" w:themeFill="background2"/>
          </w:tcPr>
          <w:p w14:paraId="7950C07E" w14:textId="2D328156" w:rsidR="009A1941" w:rsidRPr="004D5E25" w:rsidRDefault="009A1941" w:rsidP="009A1941">
            <w:pPr>
              <w:spacing w:line="360" w:lineRule="auto"/>
              <w:jc w:val="center"/>
              <w:rPr>
                <w:color w:val="000000"/>
                <w:sz w:val="20"/>
                <w:szCs w:val="20"/>
              </w:rPr>
            </w:pPr>
            <w:r w:rsidRPr="004D5E25">
              <w:rPr>
                <w:color w:val="000000"/>
                <w:sz w:val="20"/>
                <w:szCs w:val="20"/>
              </w:rPr>
              <w:t>Nombre De Servidor Público</w:t>
            </w:r>
          </w:p>
        </w:tc>
        <w:tc>
          <w:tcPr>
            <w:tcW w:w="1701" w:type="dxa"/>
            <w:vMerge/>
            <w:shd w:val="clear" w:color="auto" w:fill="E7E6E6" w:themeFill="background2"/>
          </w:tcPr>
          <w:p w14:paraId="29F5A413" w14:textId="77777777" w:rsidR="009A1941" w:rsidRPr="004D5E25" w:rsidRDefault="009A1941" w:rsidP="009A1941">
            <w:pPr>
              <w:spacing w:line="360" w:lineRule="auto"/>
              <w:jc w:val="center"/>
              <w:rPr>
                <w:color w:val="000000"/>
                <w:sz w:val="20"/>
                <w:szCs w:val="20"/>
              </w:rPr>
            </w:pPr>
          </w:p>
        </w:tc>
      </w:tr>
      <w:tr w:rsidR="00080126" w:rsidRPr="004D5E25" w14:paraId="5A4B429E" w14:textId="3EF86592" w:rsidTr="009A1941">
        <w:tc>
          <w:tcPr>
            <w:tcW w:w="4248" w:type="dxa"/>
          </w:tcPr>
          <w:p w14:paraId="672988F8" w14:textId="319C1AFA" w:rsidR="009A1941" w:rsidRPr="004D5E25" w:rsidRDefault="00080126" w:rsidP="009A1941">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Presidente </w:t>
            </w:r>
          </w:p>
        </w:tc>
        <w:tc>
          <w:tcPr>
            <w:tcW w:w="3118" w:type="dxa"/>
          </w:tcPr>
          <w:p w14:paraId="6BC8E71F" w14:textId="555EF07D"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Diego Alberto Reyna Carrillo</w:t>
            </w:r>
          </w:p>
        </w:tc>
        <w:tc>
          <w:tcPr>
            <w:tcW w:w="1701" w:type="dxa"/>
          </w:tcPr>
          <w:p w14:paraId="155789B9" w14:textId="582DCE78" w:rsidR="00080126" w:rsidRPr="004D5E25" w:rsidRDefault="00080126" w:rsidP="009A1941">
            <w:pPr>
              <w:spacing w:line="360" w:lineRule="auto"/>
              <w:jc w:val="center"/>
              <w:rPr>
                <w:color w:val="000000"/>
                <w:sz w:val="20"/>
                <w:szCs w:val="20"/>
              </w:rPr>
            </w:pPr>
            <w:r w:rsidRPr="004D5E25">
              <w:rPr>
                <w:color w:val="000000"/>
                <w:sz w:val="20"/>
                <w:szCs w:val="20"/>
              </w:rPr>
              <w:t>No</w:t>
            </w:r>
          </w:p>
        </w:tc>
      </w:tr>
      <w:tr w:rsidR="00080126" w:rsidRPr="004D5E25" w14:paraId="01C5B53F" w14:textId="643EA20D" w:rsidTr="009A1941">
        <w:tc>
          <w:tcPr>
            <w:tcW w:w="4248" w:type="dxa"/>
          </w:tcPr>
          <w:p w14:paraId="14477B05" w14:textId="2926BCB7"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Directora</w:t>
            </w:r>
            <w:r w:rsidR="00080126" w:rsidRPr="004D5E25">
              <w:rPr>
                <w:rFonts w:eastAsia="Times New Roman" w:cs="Calibri"/>
                <w:color w:val="000000"/>
                <w:sz w:val="20"/>
                <w:szCs w:val="20"/>
              </w:rPr>
              <w:t xml:space="preserve"> General</w:t>
            </w:r>
          </w:p>
        </w:tc>
        <w:tc>
          <w:tcPr>
            <w:tcW w:w="3118" w:type="dxa"/>
          </w:tcPr>
          <w:p w14:paraId="681368F6" w14:textId="6C8289B4"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 xml:space="preserve">Martha </w:t>
            </w:r>
            <w:r w:rsidR="009A1941" w:rsidRPr="004D5E25">
              <w:rPr>
                <w:rFonts w:eastAsia="Times New Roman" w:cs="Calibri"/>
                <w:color w:val="000000"/>
                <w:sz w:val="20"/>
                <w:szCs w:val="20"/>
              </w:rPr>
              <w:t>Mónica</w:t>
            </w:r>
            <w:r w:rsidRPr="004D5E25">
              <w:rPr>
                <w:rFonts w:eastAsia="Times New Roman" w:cs="Calibri"/>
                <w:color w:val="000000"/>
                <w:sz w:val="20"/>
                <w:szCs w:val="20"/>
              </w:rPr>
              <w:t xml:space="preserve"> </w:t>
            </w:r>
            <w:r w:rsidR="009A1941" w:rsidRPr="004D5E25">
              <w:rPr>
                <w:rFonts w:eastAsia="Times New Roman" w:cs="Calibri"/>
                <w:color w:val="000000"/>
                <w:sz w:val="20"/>
                <w:szCs w:val="20"/>
              </w:rPr>
              <w:t>Vázquez</w:t>
            </w:r>
            <w:r w:rsidRPr="004D5E25">
              <w:rPr>
                <w:rFonts w:eastAsia="Times New Roman" w:cs="Calibri"/>
                <w:color w:val="000000"/>
                <w:sz w:val="20"/>
                <w:szCs w:val="20"/>
              </w:rPr>
              <w:t xml:space="preserve"> </w:t>
            </w:r>
            <w:r w:rsidR="009A1941" w:rsidRPr="004D5E25">
              <w:rPr>
                <w:rFonts w:eastAsia="Times New Roman" w:cs="Calibri"/>
                <w:color w:val="000000"/>
                <w:sz w:val="20"/>
                <w:szCs w:val="20"/>
              </w:rPr>
              <w:t>Padrón</w:t>
            </w:r>
          </w:p>
        </w:tc>
        <w:tc>
          <w:tcPr>
            <w:tcW w:w="1701" w:type="dxa"/>
          </w:tcPr>
          <w:p w14:paraId="4BAE88DF" w14:textId="520D82D8" w:rsidR="00080126" w:rsidRPr="004D5E25" w:rsidRDefault="00080126" w:rsidP="009A1941">
            <w:pPr>
              <w:spacing w:line="360" w:lineRule="auto"/>
              <w:jc w:val="center"/>
              <w:rPr>
                <w:color w:val="000000"/>
                <w:sz w:val="20"/>
                <w:szCs w:val="20"/>
              </w:rPr>
            </w:pPr>
            <w:r w:rsidRPr="004D5E25">
              <w:rPr>
                <w:color w:val="000000"/>
                <w:sz w:val="20"/>
                <w:szCs w:val="20"/>
              </w:rPr>
              <w:t>Si</w:t>
            </w:r>
          </w:p>
        </w:tc>
      </w:tr>
      <w:tr w:rsidR="00080126" w:rsidRPr="004D5E25" w14:paraId="477208E6" w14:textId="685A15F0" w:rsidTr="009A1941">
        <w:tc>
          <w:tcPr>
            <w:tcW w:w="4248" w:type="dxa"/>
          </w:tcPr>
          <w:p w14:paraId="18C6EA63" w14:textId="42E3AE1F"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 xml:space="preserve">Unidad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Psicología</w:t>
            </w:r>
          </w:p>
        </w:tc>
        <w:tc>
          <w:tcPr>
            <w:tcW w:w="3118" w:type="dxa"/>
          </w:tcPr>
          <w:p w14:paraId="7D52D44C" w14:textId="30C8B8F7" w:rsidR="00080126" w:rsidRPr="004D5E25" w:rsidRDefault="00080126" w:rsidP="009A1941">
            <w:pPr>
              <w:spacing w:line="360" w:lineRule="auto"/>
              <w:jc w:val="center"/>
              <w:rPr>
                <w:color w:val="000000"/>
                <w:sz w:val="20"/>
                <w:szCs w:val="20"/>
              </w:rPr>
            </w:pPr>
            <w:proofErr w:type="spellStart"/>
            <w:r w:rsidRPr="004D5E25">
              <w:rPr>
                <w:rFonts w:eastAsia="Times New Roman" w:cs="Calibri"/>
                <w:color w:val="000000"/>
                <w:sz w:val="20"/>
                <w:szCs w:val="20"/>
              </w:rPr>
              <w:t>Roasalio</w:t>
            </w:r>
            <w:proofErr w:type="spellEnd"/>
            <w:r w:rsidRPr="004D5E25">
              <w:rPr>
                <w:rFonts w:eastAsia="Times New Roman" w:cs="Calibri"/>
                <w:color w:val="000000"/>
                <w:sz w:val="20"/>
                <w:szCs w:val="20"/>
              </w:rPr>
              <w:t xml:space="preserve"> German </w:t>
            </w:r>
            <w:proofErr w:type="spellStart"/>
            <w:r w:rsidRPr="004D5E25">
              <w:rPr>
                <w:rFonts w:eastAsia="Times New Roman" w:cs="Calibri"/>
                <w:color w:val="000000"/>
                <w:sz w:val="20"/>
                <w:szCs w:val="20"/>
              </w:rPr>
              <w:t>Suares</w:t>
            </w:r>
            <w:proofErr w:type="spellEnd"/>
            <w:r w:rsidRPr="004D5E25">
              <w:rPr>
                <w:rFonts w:eastAsia="Times New Roman" w:cs="Calibri"/>
                <w:color w:val="000000"/>
                <w:sz w:val="20"/>
                <w:szCs w:val="20"/>
              </w:rPr>
              <w:t xml:space="preserve"> </w:t>
            </w:r>
            <w:r w:rsidR="009A1941" w:rsidRPr="004D5E25">
              <w:rPr>
                <w:rFonts w:eastAsia="Times New Roman" w:cs="Calibri"/>
                <w:color w:val="000000"/>
                <w:sz w:val="20"/>
                <w:szCs w:val="20"/>
              </w:rPr>
              <w:t>Avilés</w:t>
            </w:r>
          </w:p>
        </w:tc>
        <w:tc>
          <w:tcPr>
            <w:tcW w:w="1701" w:type="dxa"/>
          </w:tcPr>
          <w:p w14:paraId="6DA754ED" w14:textId="488635E2" w:rsidR="00080126" w:rsidRPr="004D5E25" w:rsidRDefault="00080126" w:rsidP="009A1941">
            <w:pPr>
              <w:spacing w:line="360" w:lineRule="auto"/>
              <w:jc w:val="center"/>
              <w:rPr>
                <w:color w:val="000000"/>
                <w:sz w:val="20"/>
                <w:szCs w:val="20"/>
              </w:rPr>
            </w:pPr>
            <w:r w:rsidRPr="004D5E25">
              <w:rPr>
                <w:color w:val="000000"/>
                <w:sz w:val="20"/>
                <w:szCs w:val="20"/>
              </w:rPr>
              <w:t>No</w:t>
            </w:r>
          </w:p>
        </w:tc>
      </w:tr>
      <w:tr w:rsidR="00080126" w:rsidRPr="004D5E25" w14:paraId="205A4C64" w14:textId="5A4EE5C3" w:rsidTr="009A1941">
        <w:tc>
          <w:tcPr>
            <w:tcW w:w="4248" w:type="dxa"/>
          </w:tcPr>
          <w:p w14:paraId="7CCC42AE" w14:textId="784E8C34"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Procurador</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Protección</w:t>
            </w:r>
            <w:r w:rsidR="00080126" w:rsidRPr="004D5E25">
              <w:rPr>
                <w:rFonts w:eastAsia="Times New Roman" w:cs="Calibri"/>
                <w:color w:val="000000"/>
                <w:sz w:val="20"/>
                <w:szCs w:val="20"/>
              </w:rPr>
              <w:t xml:space="preserve"> Municipal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Niñas, Niños </w:t>
            </w:r>
            <w:r w:rsidRPr="004D5E25">
              <w:rPr>
                <w:rFonts w:eastAsia="Times New Roman" w:cs="Calibri"/>
                <w:color w:val="000000"/>
                <w:sz w:val="20"/>
                <w:szCs w:val="20"/>
              </w:rPr>
              <w:t>y</w:t>
            </w:r>
            <w:r w:rsidR="00080126" w:rsidRPr="004D5E25">
              <w:rPr>
                <w:rFonts w:eastAsia="Times New Roman" w:cs="Calibri"/>
                <w:color w:val="000000"/>
                <w:sz w:val="20"/>
                <w:szCs w:val="20"/>
              </w:rPr>
              <w:t xml:space="preserve"> Adolescentes </w:t>
            </w:r>
            <w:r w:rsidRPr="004D5E25">
              <w:rPr>
                <w:rFonts w:eastAsia="Times New Roman" w:cs="Calibri"/>
                <w:color w:val="000000"/>
                <w:sz w:val="20"/>
                <w:szCs w:val="20"/>
              </w:rPr>
              <w:t>y</w:t>
            </w:r>
            <w:r w:rsidR="00080126" w:rsidRPr="004D5E25">
              <w:rPr>
                <w:rFonts w:eastAsia="Times New Roman" w:cs="Calibri"/>
                <w:color w:val="000000"/>
                <w:sz w:val="20"/>
                <w:szCs w:val="20"/>
              </w:rPr>
              <w:t xml:space="preserve"> Asistencia </w:t>
            </w:r>
            <w:r w:rsidRPr="004D5E25">
              <w:rPr>
                <w:rFonts w:eastAsia="Times New Roman" w:cs="Calibri"/>
                <w:color w:val="000000"/>
                <w:sz w:val="20"/>
                <w:szCs w:val="20"/>
              </w:rPr>
              <w:t>Jurídico</w:t>
            </w:r>
            <w:r w:rsidR="00080126" w:rsidRPr="004D5E25">
              <w:rPr>
                <w:rFonts w:eastAsia="Times New Roman" w:cs="Calibri"/>
                <w:color w:val="000000"/>
                <w:sz w:val="20"/>
                <w:szCs w:val="20"/>
              </w:rPr>
              <w:t xml:space="preserve"> Familiar</w:t>
            </w:r>
          </w:p>
        </w:tc>
        <w:tc>
          <w:tcPr>
            <w:tcW w:w="3118" w:type="dxa"/>
          </w:tcPr>
          <w:p w14:paraId="763CDB74" w14:textId="247C41E2"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José</w:t>
            </w:r>
            <w:r w:rsidR="00080126" w:rsidRPr="004D5E25">
              <w:rPr>
                <w:rFonts w:eastAsia="Times New Roman" w:cs="Calibri"/>
                <w:color w:val="000000"/>
                <w:sz w:val="20"/>
                <w:szCs w:val="20"/>
              </w:rPr>
              <w:t xml:space="preserve"> Oswaldo Lozano Valadez</w:t>
            </w:r>
          </w:p>
        </w:tc>
        <w:tc>
          <w:tcPr>
            <w:tcW w:w="1701" w:type="dxa"/>
          </w:tcPr>
          <w:p w14:paraId="17BBF2B2" w14:textId="744F38F3" w:rsidR="00080126" w:rsidRPr="004D5E25" w:rsidRDefault="00080126" w:rsidP="009A1941">
            <w:pPr>
              <w:spacing w:line="360" w:lineRule="auto"/>
              <w:jc w:val="center"/>
              <w:rPr>
                <w:color w:val="000000"/>
                <w:sz w:val="20"/>
                <w:szCs w:val="20"/>
              </w:rPr>
            </w:pPr>
            <w:r w:rsidRPr="004D5E25">
              <w:rPr>
                <w:color w:val="000000"/>
                <w:sz w:val="20"/>
                <w:szCs w:val="20"/>
              </w:rPr>
              <w:t>Si</w:t>
            </w:r>
          </w:p>
        </w:tc>
      </w:tr>
      <w:tr w:rsidR="00080126" w:rsidRPr="004D5E25" w14:paraId="52040A65" w14:textId="599CA7C3" w:rsidTr="009A1941">
        <w:tc>
          <w:tcPr>
            <w:tcW w:w="4248" w:type="dxa"/>
          </w:tcPr>
          <w:p w14:paraId="433154DF" w14:textId="458BB747"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Consejera</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Jurídica</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Apoyo </w:t>
            </w:r>
            <w:r w:rsidRPr="004D5E25">
              <w:rPr>
                <w:rFonts w:eastAsia="Times New Roman" w:cs="Calibri"/>
                <w:color w:val="000000"/>
                <w:sz w:val="20"/>
                <w:szCs w:val="20"/>
              </w:rPr>
              <w:t>a</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l</w:t>
            </w:r>
            <w:r w:rsidR="00080126" w:rsidRPr="004D5E25">
              <w:rPr>
                <w:rFonts w:eastAsia="Times New Roman" w:cs="Calibri"/>
                <w:color w:val="000000"/>
                <w:sz w:val="20"/>
                <w:szCs w:val="20"/>
              </w:rPr>
              <w:t xml:space="preserve">a Mujer </w:t>
            </w:r>
            <w:r w:rsidRPr="004D5E25">
              <w:rPr>
                <w:rFonts w:eastAsia="Times New Roman" w:cs="Calibri"/>
                <w:color w:val="000000"/>
                <w:sz w:val="20"/>
                <w:szCs w:val="20"/>
              </w:rPr>
              <w:t>y</w:t>
            </w:r>
            <w:r w:rsidR="00080126" w:rsidRPr="004D5E25">
              <w:rPr>
                <w:rFonts w:eastAsia="Times New Roman" w:cs="Calibri"/>
                <w:color w:val="000000"/>
                <w:sz w:val="20"/>
                <w:szCs w:val="20"/>
              </w:rPr>
              <w:t xml:space="preserve"> Grupo Vulnerables</w:t>
            </w:r>
          </w:p>
        </w:tc>
        <w:tc>
          <w:tcPr>
            <w:tcW w:w="3118" w:type="dxa"/>
          </w:tcPr>
          <w:p w14:paraId="5B388F28" w14:textId="303AF9F8"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 xml:space="preserve">Karen </w:t>
            </w:r>
            <w:r w:rsidR="009A1941" w:rsidRPr="004D5E25">
              <w:rPr>
                <w:rFonts w:eastAsia="Times New Roman" w:cs="Calibri"/>
                <w:color w:val="000000"/>
                <w:sz w:val="20"/>
                <w:szCs w:val="20"/>
              </w:rPr>
              <w:t>Estefanía</w:t>
            </w:r>
            <w:r w:rsidRPr="004D5E25">
              <w:rPr>
                <w:rFonts w:eastAsia="Times New Roman" w:cs="Calibri"/>
                <w:color w:val="000000"/>
                <w:sz w:val="20"/>
                <w:szCs w:val="20"/>
              </w:rPr>
              <w:t xml:space="preserve"> Ruelas Arrellano</w:t>
            </w:r>
          </w:p>
        </w:tc>
        <w:tc>
          <w:tcPr>
            <w:tcW w:w="1701" w:type="dxa"/>
          </w:tcPr>
          <w:p w14:paraId="23D8DF87" w14:textId="478F047C" w:rsidR="00080126" w:rsidRPr="004D5E25" w:rsidRDefault="00080126" w:rsidP="009A1941">
            <w:pPr>
              <w:spacing w:line="360" w:lineRule="auto"/>
              <w:jc w:val="center"/>
              <w:rPr>
                <w:color w:val="000000"/>
                <w:sz w:val="20"/>
                <w:szCs w:val="20"/>
              </w:rPr>
            </w:pPr>
            <w:r w:rsidRPr="004D5E25">
              <w:rPr>
                <w:color w:val="000000"/>
                <w:sz w:val="20"/>
                <w:szCs w:val="20"/>
              </w:rPr>
              <w:t>Si</w:t>
            </w:r>
          </w:p>
        </w:tc>
      </w:tr>
      <w:tr w:rsidR="00080126" w:rsidRPr="004D5E25" w14:paraId="34F809C2" w14:textId="38882ABD" w:rsidTr="009A1941">
        <w:tc>
          <w:tcPr>
            <w:tcW w:w="4248" w:type="dxa"/>
          </w:tcPr>
          <w:p w14:paraId="3A0FFD65" w14:textId="16552CFE"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 xml:space="preserve">Titular </w:t>
            </w:r>
            <w:r w:rsidR="009A1941" w:rsidRPr="004D5E25">
              <w:rPr>
                <w:rFonts w:eastAsia="Times New Roman" w:cs="Calibri"/>
                <w:color w:val="000000"/>
                <w:sz w:val="20"/>
                <w:szCs w:val="20"/>
              </w:rPr>
              <w:t>d</w:t>
            </w:r>
            <w:r w:rsidRPr="004D5E25">
              <w:rPr>
                <w:rFonts w:eastAsia="Times New Roman" w:cs="Calibri"/>
                <w:color w:val="000000"/>
                <w:sz w:val="20"/>
                <w:szCs w:val="20"/>
              </w:rPr>
              <w:t>e Patrimonio</w:t>
            </w:r>
          </w:p>
        </w:tc>
        <w:tc>
          <w:tcPr>
            <w:tcW w:w="3118" w:type="dxa"/>
          </w:tcPr>
          <w:p w14:paraId="3D767F3D" w14:textId="50BAE50D" w:rsidR="00080126" w:rsidRPr="004D5E25" w:rsidRDefault="009A1941" w:rsidP="009A1941">
            <w:pPr>
              <w:spacing w:line="360" w:lineRule="auto"/>
              <w:jc w:val="center"/>
              <w:rPr>
                <w:color w:val="000000"/>
                <w:sz w:val="20"/>
                <w:szCs w:val="20"/>
              </w:rPr>
            </w:pPr>
            <w:r w:rsidRPr="004D5E25">
              <w:rPr>
                <w:rFonts w:eastAsia="Times New Roman" w:cs="Calibri"/>
                <w:color w:val="000000"/>
                <w:sz w:val="20"/>
                <w:szCs w:val="20"/>
              </w:rPr>
              <w:t>Valentín</w:t>
            </w:r>
            <w:r w:rsidR="00080126" w:rsidRPr="004D5E25">
              <w:rPr>
                <w:rFonts w:eastAsia="Times New Roman" w:cs="Calibri"/>
                <w:color w:val="000000"/>
                <w:sz w:val="20"/>
                <w:szCs w:val="20"/>
              </w:rPr>
              <w:t xml:space="preserve"> Vargas Contreras</w:t>
            </w:r>
          </w:p>
        </w:tc>
        <w:tc>
          <w:tcPr>
            <w:tcW w:w="1701" w:type="dxa"/>
          </w:tcPr>
          <w:p w14:paraId="05FC23DA" w14:textId="1F571EFB" w:rsidR="00080126" w:rsidRPr="004D5E25" w:rsidRDefault="00080126" w:rsidP="009A1941">
            <w:pPr>
              <w:spacing w:line="360" w:lineRule="auto"/>
              <w:jc w:val="center"/>
              <w:rPr>
                <w:color w:val="000000"/>
                <w:sz w:val="20"/>
                <w:szCs w:val="20"/>
              </w:rPr>
            </w:pPr>
            <w:r w:rsidRPr="004D5E25">
              <w:rPr>
                <w:color w:val="000000"/>
                <w:sz w:val="20"/>
                <w:szCs w:val="20"/>
              </w:rPr>
              <w:t>Si</w:t>
            </w:r>
          </w:p>
        </w:tc>
      </w:tr>
      <w:tr w:rsidR="00080126" w:rsidRPr="004D5E25" w14:paraId="4A218D7C" w14:textId="68241C7A" w:rsidTr="009A1941">
        <w:tc>
          <w:tcPr>
            <w:tcW w:w="4248" w:type="dxa"/>
          </w:tcPr>
          <w:p w14:paraId="2A9B2DB8" w14:textId="6FF0E468"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 xml:space="preserve">Titular </w:t>
            </w:r>
            <w:r w:rsidR="009A1941" w:rsidRPr="004D5E25">
              <w:rPr>
                <w:rFonts w:eastAsia="Times New Roman" w:cs="Calibri"/>
                <w:color w:val="000000"/>
                <w:sz w:val="20"/>
                <w:szCs w:val="20"/>
              </w:rPr>
              <w:t>d</w:t>
            </w:r>
            <w:r w:rsidRPr="004D5E25">
              <w:rPr>
                <w:rFonts w:eastAsia="Times New Roman" w:cs="Calibri"/>
                <w:color w:val="000000"/>
                <w:sz w:val="20"/>
                <w:szCs w:val="20"/>
              </w:rPr>
              <w:t xml:space="preserve">e </w:t>
            </w:r>
            <w:r w:rsidR="009A1941" w:rsidRPr="004D5E25">
              <w:rPr>
                <w:rFonts w:eastAsia="Times New Roman" w:cs="Calibri"/>
                <w:color w:val="000000"/>
                <w:sz w:val="20"/>
                <w:szCs w:val="20"/>
              </w:rPr>
              <w:t>la UIPPE</w:t>
            </w:r>
          </w:p>
        </w:tc>
        <w:tc>
          <w:tcPr>
            <w:tcW w:w="3118" w:type="dxa"/>
          </w:tcPr>
          <w:p w14:paraId="0F6DA66F" w14:textId="0C244C6A"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Erick Alejandro Cordero</w:t>
            </w:r>
          </w:p>
          <w:p w14:paraId="3D307073" w14:textId="3993B623" w:rsidR="00080126" w:rsidRPr="004D5E25" w:rsidRDefault="00080126" w:rsidP="009A1941">
            <w:pPr>
              <w:spacing w:line="360" w:lineRule="auto"/>
              <w:jc w:val="center"/>
              <w:rPr>
                <w:color w:val="000000"/>
                <w:sz w:val="20"/>
                <w:szCs w:val="20"/>
              </w:rPr>
            </w:pPr>
            <w:r w:rsidRPr="004D5E25">
              <w:rPr>
                <w:rFonts w:eastAsia="Times New Roman" w:cs="Calibri"/>
                <w:color w:val="000000"/>
                <w:sz w:val="20"/>
                <w:szCs w:val="20"/>
              </w:rPr>
              <w:t>Arredondo</w:t>
            </w:r>
          </w:p>
        </w:tc>
        <w:tc>
          <w:tcPr>
            <w:tcW w:w="1701" w:type="dxa"/>
          </w:tcPr>
          <w:p w14:paraId="0656C71E" w14:textId="29EAD64C" w:rsidR="00080126" w:rsidRPr="004D5E25" w:rsidRDefault="00080126" w:rsidP="009A1941">
            <w:pPr>
              <w:spacing w:line="360" w:lineRule="auto"/>
              <w:jc w:val="center"/>
              <w:rPr>
                <w:color w:val="000000"/>
                <w:sz w:val="20"/>
                <w:szCs w:val="20"/>
              </w:rPr>
            </w:pPr>
            <w:r w:rsidRPr="004D5E25">
              <w:rPr>
                <w:color w:val="000000"/>
                <w:sz w:val="20"/>
                <w:szCs w:val="20"/>
              </w:rPr>
              <w:t>Si</w:t>
            </w:r>
          </w:p>
        </w:tc>
      </w:tr>
      <w:tr w:rsidR="00080126" w:rsidRPr="004D5E25" w14:paraId="2043A7D5" w14:textId="14D991FE" w:rsidTr="009A1941">
        <w:tc>
          <w:tcPr>
            <w:tcW w:w="4248" w:type="dxa"/>
          </w:tcPr>
          <w:p w14:paraId="043DA1BF" w14:textId="75EDD9E5"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 xml:space="preserve">Unidad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Procuración</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d</w:t>
            </w:r>
            <w:r w:rsidR="00080126" w:rsidRPr="004D5E25">
              <w:rPr>
                <w:rFonts w:eastAsia="Times New Roman" w:cs="Calibri"/>
                <w:color w:val="000000"/>
                <w:sz w:val="20"/>
                <w:szCs w:val="20"/>
              </w:rPr>
              <w:t>e Fondos</w:t>
            </w:r>
          </w:p>
        </w:tc>
        <w:tc>
          <w:tcPr>
            <w:tcW w:w="3118" w:type="dxa"/>
          </w:tcPr>
          <w:p w14:paraId="0C322A69" w14:textId="4ECCDE40"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Leslie Denisse Carrillo </w:t>
            </w:r>
            <w:r w:rsidR="009A1941" w:rsidRPr="004D5E25">
              <w:rPr>
                <w:rFonts w:eastAsia="Times New Roman" w:cs="Calibri"/>
                <w:color w:val="000000"/>
                <w:sz w:val="20"/>
                <w:szCs w:val="20"/>
              </w:rPr>
              <w:t>Alarcón</w:t>
            </w:r>
          </w:p>
        </w:tc>
        <w:tc>
          <w:tcPr>
            <w:tcW w:w="1701" w:type="dxa"/>
          </w:tcPr>
          <w:p w14:paraId="7B91B7C3" w14:textId="7F79D078"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327F9E09" w14:textId="62A0A457" w:rsidTr="009A1941">
        <w:tc>
          <w:tcPr>
            <w:tcW w:w="4248" w:type="dxa"/>
          </w:tcPr>
          <w:p w14:paraId="5E8A50BF" w14:textId="7AB11133"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 xml:space="preserve">Titular de </w:t>
            </w:r>
            <w:r w:rsidR="00080126" w:rsidRPr="004D5E25">
              <w:rPr>
                <w:rFonts w:eastAsia="Times New Roman" w:cs="Calibri"/>
                <w:color w:val="000000"/>
                <w:sz w:val="20"/>
                <w:szCs w:val="20"/>
              </w:rPr>
              <w:t>Centros Educativos</w:t>
            </w:r>
          </w:p>
        </w:tc>
        <w:tc>
          <w:tcPr>
            <w:tcW w:w="3118" w:type="dxa"/>
          </w:tcPr>
          <w:p w14:paraId="0B81979C" w14:textId="25232D94"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Marisol </w:t>
            </w:r>
            <w:r w:rsidR="009A1941" w:rsidRPr="004D5E25">
              <w:rPr>
                <w:rFonts w:eastAsia="Times New Roman" w:cs="Calibri"/>
                <w:color w:val="000000"/>
                <w:sz w:val="20"/>
                <w:szCs w:val="20"/>
              </w:rPr>
              <w:t>Martínez</w:t>
            </w:r>
            <w:r w:rsidRPr="004D5E25">
              <w:rPr>
                <w:rFonts w:eastAsia="Times New Roman" w:cs="Calibri"/>
                <w:color w:val="000000"/>
                <w:sz w:val="20"/>
                <w:szCs w:val="20"/>
              </w:rPr>
              <w:t xml:space="preserve"> </w:t>
            </w:r>
            <w:r w:rsidR="009A1941" w:rsidRPr="004D5E25">
              <w:rPr>
                <w:rFonts w:eastAsia="Times New Roman" w:cs="Calibri"/>
                <w:color w:val="000000"/>
                <w:sz w:val="20"/>
                <w:szCs w:val="20"/>
              </w:rPr>
              <w:t>Víquez</w:t>
            </w:r>
          </w:p>
        </w:tc>
        <w:tc>
          <w:tcPr>
            <w:tcW w:w="1701" w:type="dxa"/>
          </w:tcPr>
          <w:p w14:paraId="05A1FD50" w14:textId="0B2DB44C"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5C982FFD" w14:textId="25312970" w:rsidTr="009A1941">
        <w:tc>
          <w:tcPr>
            <w:tcW w:w="4248" w:type="dxa"/>
          </w:tcPr>
          <w:p w14:paraId="64DE8D0B" w14:textId="5E80BA55"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lastRenderedPageBreak/>
              <w:t xml:space="preserve">Titular </w:t>
            </w:r>
            <w:r w:rsidR="009A1941" w:rsidRPr="004D5E25">
              <w:rPr>
                <w:rFonts w:eastAsia="Times New Roman" w:cs="Calibri"/>
                <w:color w:val="000000"/>
                <w:sz w:val="20"/>
                <w:szCs w:val="20"/>
              </w:rPr>
              <w:t>d</w:t>
            </w:r>
            <w:r w:rsidRPr="004D5E25">
              <w:rPr>
                <w:rFonts w:eastAsia="Times New Roman" w:cs="Calibri"/>
                <w:color w:val="000000"/>
                <w:sz w:val="20"/>
                <w:szCs w:val="20"/>
              </w:rPr>
              <w:t xml:space="preserve">e </w:t>
            </w:r>
            <w:r w:rsidR="009A1941" w:rsidRPr="004D5E25">
              <w:rPr>
                <w:rFonts w:eastAsia="Times New Roman" w:cs="Calibri"/>
                <w:color w:val="000000"/>
                <w:sz w:val="20"/>
                <w:szCs w:val="20"/>
              </w:rPr>
              <w:t>Prevención</w:t>
            </w:r>
            <w:r w:rsidRPr="004D5E25">
              <w:rPr>
                <w:rFonts w:eastAsia="Times New Roman" w:cs="Calibri"/>
                <w:color w:val="000000"/>
                <w:sz w:val="20"/>
                <w:szCs w:val="20"/>
              </w:rPr>
              <w:t xml:space="preserve"> </w:t>
            </w:r>
            <w:r w:rsidR="009A1941" w:rsidRPr="004D5E25">
              <w:rPr>
                <w:rFonts w:eastAsia="Times New Roman" w:cs="Calibri"/>
                <w:color w:val="000000"/>
                <w:sz w:val="20"/>
                <w:szCs w:val="20"/>
              </w:rPr>
              <w:t>y</w:t>
            </w:r>
            <w:r w:rsidRPr="004D5E25">
              <w:rPr>
                <w:rFonts w:eastAsia="Times New Roman" w:cs="Calibri"/>
                <w:color w:val="000000"/>
                <w:sz w:val="20"/>
                <w:szCs w:val="20"/>
              </w:rPr>
              <w:t xml:space="preserve"> Bienestar Familiar</w:t>
            </w:r>
          </w:p>
        </w:tc>
        <w:tc>
          <w:tcPr>
            <w:tcW w:w="3118" w:type="dxa"/>
          </w:tcPr>
          <w:p w14:paraId="2539A881" w14:textId="46D61612" w:rsidR="00080126" w:rsidRPr="004D5E25" w:rsidRDefault="00080126" w:rsidP="00080126">
            <w:pPr>
              <w:spacing w:line="360" w:lineRule="auto"/>
              <w:jc w:val="center"/>
              <w:rPr>
                <w:color w:val="000000"/>
                <w:sz w:val="20"/>
                <w:szCs w:val="20"/>
              </w:rPr>
            </w:pPr>
            <w:proofErr w:type="spellStart"/>
            <w:r w:rsidRPr="004D5E25">
              <w:rPr>
                <w:rFonts w:eastAsia="Times New Roman" w:cs="Calibri"/>
                <w:color w:val="000000"/>
                <w:sz w:val="20"/>
                <w:szCs w:val="20"/>
              </w:rPr>
              <w:t>Geraldin</w:t>
            </w:r>
            <w:proofErr w:type="spellEnd"/>
            <w:r w:rsidRPr="004D5E25">
              <w:rPr>
                <w:rFonts w:eastAsia="Times New Roman" w:cs="Calibri"/>
                <w:color w:val="000000"/>
                <w:sz w:val="20"/>
                <w:szCs w:val="20"/>
              </w:rPr>
              <w:t xml:space="preserve"> </w:t>
            </w:r>
            <w:r w:rsidR="009A1941" w:rsidRPr="004D5E25">
              <w:rPr>
                <w:rFonts w:eastAsia="Times New Roman" w:cs="Calibri"/>
                <w:color w:val="000000"/>
                <w:sz w:val="20"/>
                <w:szCs w:val="20"/>
              </w:rPr>
              <w:t>Estefanía</w:t>
            </w:r>
            <w:r w:rsidRPr="004D5E25">
              <w:rPr>
                <w:rFonts w:eastAsia="Times New Roman" w:cs="Calibri"/>
                <w:color w:val="000000"/>
                <w:sz w:val="20"/>
                <w:szCs w:val="20"/>
              </w:rPr>
              <w:t xml:space="preserve"> </w:t>
            </w:r>
            <w:proofErr w:type="spellStart"/>
            <w:r w:rsidRPr="004D5E25">
              <w:rPr>
                <w:rFonts w:eastAsia="Times New Roman" w:cs="Calibri"/>
                <w:color w:val="000000"/>
                <w:sz w:val="20"/>
                <w:szCs w:val="20"/>
              </w:rPr>
              <w:t>Luevano</w:t>
            </w:r>
            <w:proofErr w:type="spellEnd"/>
            <w:r w:rsidRPr="004D5E25">
              <w:rPr>
                <w:rFonts w:eastAsia="Times New Roman" w:cs="Calibri"/>
                <w:color w:val="000000"/>
                <w:sz w:val="20"/>
                <w:szCs w:val="20"/>
              </w:rPr>
              <w:t xml:space="preserve"> Lozano</w:t>
            </w:r>
          </w:p>
        </w:tc>
        <w:tc>
          <w:tcPr>
            <w:tcW w:w="1701" w:type="dxa"/>
          </w:tcPr>
          <w:p w14:paraId="30022026" w14:textId="29D69EB6"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6594C430" w14:textId="06A77220" w:rsidTr="009A1941">
        <w:tc>
          <w:tcPr>
            <w:tcW w:w="4248" w:type="dxa"/>
          </w:tcPr>
          <w:p w14:paraId="5575E31D" w14:textId="16F20E72"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Titular De Adultos Mayores</w:t>
            </w:r>
          </w:p>
        </w:tc>
        <w:tc>
          <w:tcPr>
            <w:tcW w:w="3118" w:type="dxa"/>
          </w:tcPr>
          <w:p w14:paraId="31B01ECF" w14:textId="7338AD46"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María</w:t>
            </w:r>
            <w:r w:rsidR="00080126" w:rsidRPr="004D5E25">
              <w:rPr>
                <w:rFonts w:eastAsia="Times New Roman" w:cs="Calibri"/>
                <w:color w:val="000000"/>
                <w:sz w:val="20"/>
                <w:szCs w:val="20"/>
              </w:rPr>
              <w:t xml:space="preserve"> Alondra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l</w:t>
            </w:r>
            <w:r w:rsidR="00080126" w:rsidRPr="004D5E25">
              <w:rPr>
                <w:rFonts w:eastAsia="Times New Roman" w:cs="Calibri"/>
                <w:color w:val="000000"/>
                <w:sz w:val="20"/>
                <w:szCs w:val="20"/>
              </w:rPr>
              <w:t>a Rosa Mena</w:t>
            </w:r>
          </w:p>
        </w:tc>
        <w:tc>
          <w:tcPr>
            <w:tcW w:w="1701" w:type="dxa"/>
          </w:tcPr>
          <w:p w14:paraId="4C9AB168" w14:textId="619CFAF6"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32657360" w14:textId="456E4D89" w:rsidTr="009A1941">
        <w:tc>
          <w:tcPr>
            <w:tcW w:w="4248" w:type="dxa"/>
          </w:tcPr>
          <w:p w14:paraId="17374460" w14:textId="0963F351"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Unidad De Servicios Nutricionales</w:t>
            </w:r>
          </w:p>
        </w:tc>
        <w:tc>
          <w:tcPr>
            <w:tcW w:w="3118" w:type="dxa"/>
          </w:tcPr>
          <w:p w14:paraId="2FF849E8" w14:textId="4F636E65"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Paola </w:t>
            </w:r>
            <w:proofErr w:type="spellStart"/>
            <w:r w:rsidRPr="004D5E25">
              <w:rPr>
                <w:rFonts w:eastAsia="Times New Roman" w:cs="Calibri"/>
                <w:color w:val="000000"/>
                <w:sz w:val="20"/>
                <w:szCs w:val="20"/>
              </w:rPr>
              <w:t>Angelica</w:t>
            </w:r>
            <w:proofErr w:type="spellEnd"/>
            <w:r w:rsidRPr="004D5E25">
              <w:rPr>
                <w:rFonts w:eastAsia="Times New Roman" w:cs="Calibri"/>
                <w:color w:val="000000"/>
                <w:sz w:val="20"/>
                <w:szCs w:val="20"/>
              </w:rPr>
              <w:t xml:space="preserve"> </w:t>
            </w:r>
            <w:proofErr w:type="spellStart"/>
            <w:r w:rsidR="009A1941" w:rsidRPr="004D5E25">
              <w:rPr>
                <w:rFonts w:eastAsia="Times New Roman" w:cs="Calibri"/>
                <w:color w:val="000000"/>
                <w:sz w:val="20"/>
                <w:szCs w:val="20"/>
              </w:rPr>
              <w:t>Elizarrarás</w:t>
            </w:r>
            <w:proofErr w:type="spellEnd"/>
          </w:p>
          <w:p w14:paraId="4F7B3DC6" w14:textId="5E785CC8" w:rsidR="00080126" w:rsidRPr="004D5E25" w:rsidRDefault="00080126" w:rsidP="00080126">
            <w:pPr>
              <w:spacing w:line="360" w:lineRule="auto"/>
              <w:jc w:val="center"/>
              <w:rPr>
                <w:color w:val="000000"/>
                <w:sz w:val="20"/>
                <w:szCs w:val="20"/>
              </w:rPr>
            </w:pPr>
            <w:proofErr w:type="spellStart"/>
            <w:r w:rsidRPr="004D5E25">
              <w:rPr>
                <w:rFonts w:eastAsia="Times New Roman" w:cs="Calibri"/>
                <w:color w:val="000000"/>
                <w:sz w:val="20"/>
                <w:szCs w:val="20"/>
              </w:rPr>
              <w:t>Zerecero</w:t>
            </w:r>
            <w:proofErr w:type="spellEnd"/>
          </w:p>
        </w:tc>
        <w:tc>
          <w:tcPr>
            <w:tcW w:w="1701" w:type="dxa"/>
          </w:tcPr>
          <w:p w14:paraId="45FDBDC1" w14:textId="024BF40B"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746D672F" w14:textId="79144D17" w:rsidTr="009A1941">
        <w:tc>
          <w:tcPr>
            <w:tcW w:w="4248" w:type="dxa"/>
          </w:tcPr>
          <w:p w14:paraId="7907F0AE" w14:textId="15B2C484"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Titular de la Clínica</w:t>
            </w:r>
            <w:r w:rsidR="00080126" w:rsidRPr="004D5E25">
              <w:rPr>
                <w:rFonts w:eastAsia="Times New Roman" w:cs="Calibri"/>
                <w:color w:val="000000"/>
                <w:sz w:val="20"/>
                <w:szCs w:val="20"/>
              </w:rPr>
              <w:t xml:space="preserve"> Del </w:t>
            </w:r>
            <w:r w:rsidRPr="004D5E25">
              <w:rPr>
                <w:rFonts w:eastAsia="Times New Roman" w:cs="Calibri"/>
                <w:color w:val="000000"/>
                <w:sz w:val="20"/>
                <w:szCs w:val="20"/>
              </w:rPr>
              <w:t>Azúcar</w:t>
            </w:r>
          </w:p>
        </w:tc>
        <w:tc>
          <w:tcPr>
            <w:tcW w:w="3118" w:type="dxa"/>
          </w:tcPr>
          <w:p w14:paraId="5459B2AC" w14:textId="1EF4DC52"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Daniel Mendoza Suarez</w:t>
            </w:r>
          </w:p>
        </w:tc>
        <w:tc>
          <w:tcPr>
            <w:tcW w:w="1701" w:type="dxa"/>
          </w:tcPr>
          <w:p w14:paraId="10284861" w14:textId="668D0C03"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5443FE5D" w14:textId="7EB13541" w:rsidTr="009A1941">
        <w:tc>
          <w:tcPr>
            <w:tcW w:w="4248" w:type="dxa"/>
          </w:tcPr>
          <w:p w14:paraId="241C6DE3" w14:textId="777F781D"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Titular </w:t>
            </w:r>
            <w:r w:rsidR="009A1941" w:rsidRPr="004D5E25">
              <w:rPr>
                <w:rFonts w:eastAsia="Times New Roman" w:cs="Calibri"/>
                <w:color w:val="000000"/>
                <w:sz w:val="20"/>
                <w:szCs w:val="20"/>
              </w:rPr>
              <w:t>d</w:t>
            </w:r>
            <w:r w:rsidRPr="004D5E25">
              <w:rPr>
                <w:rFonts w:eastAsia="Times New Roman" w:cs="Calibri"/>
                <w:color w:val="000000"/>
                <w:sz w:val="20"/>
                <w:szCs w:val="20"/>
              </w:rPr>
              <w:t>e Discapacidad (</w:t>
            </w:r>
            <w:proofErr w:type="spellStart"/>
            <w:r w:rsidRPr="004D5E25">
              <w:rPr>
                <w:rFonts w:eastAsia="Times New Roman" w:cs="Calibri"/>
                <w:color w:val="000000"/>
                <w:sz w:val="20"/>
                <w:szCs w:val="20"/>
              </w:rPr>
              <w:t>Uris</w:t>
            </w:r>
            <w:proofErr w:type="spellEnd"/>
            <w:r w:rsidRPr="004D5E25">
              <w:rPr>
                <w:rFonts w:eastAsia="Times New Roman" w:cs="Calibri"/>
                <w:color w:val="000000"/>
                <w:sz w:val="20"/>
                <w:szCs w:val="20"/>
              </w:rPr>
              <w:t>)</w:t>
            </w:r>
          </w:p>
        </w:tc>
        <w:tc>
          <w:tcPr>
            <w:tcW w:w="3118" w:type="dxa"/>
          </w:tcPr>
          <w:p w14:paraId="29FF28D5" w14:textId="19779676"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Vladimir Israel Torrecillas</w:t>
            </w:r>
          </w:p>
          <w:p w14:paraId="148B5652" w14:textId="2A41226B" w:rsidR="00080126" w:rsidRPr="004D5E25" w:rsidRDefault="00080126" w:rsidP="00080126">
            <w:pPr>
              <w:spacing w:line="360" w:lineRule="auto"/>
              <w:jc w:val="center"/>
              <w:rPr>
                <w:color w:val="000000"/>
                <w:sz w:val="20"/>
                <w:szCs w:val="20"/>
              </w:rPr>
            </w:pPr>
            <w:proofErr w:type="spellStart"/>
            <w:r w:rsidRPr="004D5E25">
              <w:rPr>
                <w:rFonts w:eastAsia="Times New Roman" w:cs="Calibri"/>
                <w:color w:val="000000"/>
                <w:sz w:val="20"/>
                <w:szCs w:val="20"/>
              </w:rPr>
              <w:t>Diaz</w:t>
            </w:r>
            <w:proofErr w:type="spellEnd"/>
          </w:p>
        </w:tc>
        <w:tc>
          <w:tcPr>
            <w:tcW w:w="1701" w:type="dxa"/>
          </w:tcPr>
          <w:p w14:paraId="407B4648" w14:textId="5D537C1A"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4B5651AE" w14:textId="2A3F0EA2" w:rsidTr="009A1941">
        <w:tc>
          <w:tcPr>
            <w:tcW w:w="4248" w:type="dxa"/>
          </w:tcPr>
          <w:p w14:paraId="4F821731" w14:textId="7B31A4EE"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Directora d</w:t>
            </w:r>
            <w:r w:rsidR="00080126" w:rsidRPr="004D5E25">
              <w:rPr>
                <w:rFonts w:eastAsia="Times New Roman" w:cs="Calibri"/>
                <w:color w:val="000000"/>
                <w:sz w:val="20"/>
                <w:szCs w:val="20"/>
              </w:rPr>
              <w:t>e Salud</w:t>
            </w:r>
          </w:p>
        </w:tc>
        <w:tc>
          <w:tcPr>
            <w:tcW w:w="3118" w:type="dxa"/>
          </w:tcPr>
          <w:p w14:paraId="2DE82E35" w14:textId="12215526" w:rsidR="00080126" w:rsidRPr="004D5E25" w:rsidRDefault="00080126" w:rsidP="00080126">
            <w:pPr>
              <w:spacing w:line="360" w:lineRule="auto"/>
              <w:jc w:val="center"/>
              <w:rPr>
                <w:color w:val="000000"/>
                <w:sz w:val="20"/>
                <w:szCs w:val="20"/>
              </w:rPr>
            </w:pPr>
            <w:proofErr w:type="spellStart"/>
            <w:r w:rsidRPr="004D5E25">
              <w:rPr>
                <w:rFonts w:eastAsia="Times New Roman" w:cs="Calibri"/>
                <w:color w:val="000000"/>
                <w:sz w:val="20"/>
                <w:szCs w:val="20"/>
              </w:rPr>
              <w:t>Angelica</w:t>
            </w:r>
            <w:proofErr w:type="spellEnd"/>
            <w:r w:rsidRPr="004D5E25">
              <w:rPr>
                <w:rFonts w:eastAsia="Times New Roman" w:cs="Calibri"/>
                <w:color w:val="000000"/>
                <w:sz w:val="20"/>
                <w:szCs w:val="20"/>
              </w:rPr>
              <w:t xml:space="preserve"> </w:t>
            </w:r>
            <w:r w:rsidR="009A1941" w:rsidRPr="004D5E25">
              <w:rPr>
                <w:rFonts w:eastAsia="Times New Roman" w:cs="Calibri"/>
                <w:color w:val="000000"/>
                <w:sz w:val="20"/>
                <w:szCs w:val="20"/>
              </w:rPr>
              <w:t>Sánchez</w:t>
            </w:r>
            <w:r w:rsidRPr="004D5E25">
              <w:rPr>
                <w:rFonts w:eastAsia="Times New Roman" w:cs="Calibri"/>
                <w:color w:val="000000"/>
                <w:sz w:val="20"/>
                <w:szCs w:val="20"/>
              </w:rPr>
              <w:t xml:space="preserve"> Contreras</w:t>
            </w:r>
          </w:p>
        </w:tc>
        <w:tc>
          <w:tcPr>
            <w:tcW w:w="1701" w:type="dxa"/>
          </w:tcPr>
          <w:p w14:paraId="3F416897" w14:textId="7158A5A1"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44204A85" w14:textId="09BBC814" w:rsidTr="009A1941">
        <w:tc>
          <w:tcPr>
            <w:tcW w:w="4248" w:type="dxa"/>
          </w:tcPr>
          <w:p w14:paraId="49885E78" w14:textId="7F247F45"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 xml:space="preserve">Titular del </w:t>
            </w:r>
            <w:r w:rsidR="00080126" w:rsidRPr="004D5E25">
              <w:rPr>
                <w:rFonts w:eastAsia="Times New Roman" w:cs="Calibri"/>
                <w:color w:val="000000"/>
                <w:sz w:val="20"/>
                <w:szCs w:val="20"/>
              </w:rPr>
              <w:t xml:space="preserve">Departamento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Protección</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Atención y</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Restitución</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d</w:t>
            </w:r>
            <w:r w:rsidR="00080126" w:rsidRPr="004D5E25">
              <w:rPr>
                <w:rFonts w:eastAsia="Times New Roman" w:cs="Calibri"/>
                <w:color w:val="000000"/>
                <w:sz w:val="20"/>
                <w:szCs w:val="20"/>
              </w:rPr>
              <w:t>e Derec</w:t>
            </w:r>
            <w:r w:rsidRPr="004D5E25">
              <w:rPr>
                <w:rFonts w:eastAsia="Times New Roman" w:cs="Calibri"/>
                <w:color w:val="000000"/>
                <w:sz w:val="20"/>
                <w:szCs w:val="20"/>
              </w:rPr>
              <w:t>h</w:t>
            </w:r>
            <w:r w:rsidR="00080126" w:rsidRPr="004D5E25">
              <w:rPr>
                <w:rFonts w:eastAsia="Times New Roman" w:cs="Calibri"/>
                <w:color w:val="000000"/>
                <w:sz w:val="20"/>
                <w:szCs w:val="20"/>
              </w:rPr>
              <w:t>os Vulnerables</w:t>
            </w:r>
          </w:p>
        </w:tc>
        <w:tc>
          <w:tcPr>
            <w:tcW w:w="3118" w:type="dxa"/>
          </w:tcPr>
          <w:p w14:paraId="637EA1D1" w14:textId="6CECBD28"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Rodrigo Reyes </w:t>
            </w:r>
            <w:r w:rsidR="009A1941" w:rsidRPr="004D5E25">
              <w:rPr>
                <w:rFonts w:eastAsia="Times New Roman" w:cs="Calibri"/>
                <w:color w:val="000000"/>
                <w:sz w:val="20"/>
                <w:szCs w:val="20"/>
              </w:rPr>
              <w:t>Hernández</w:t>
            </w:r>
          </w:p>
        </w:tc>
        <w:tc>
          <w:tcPr>
            <w:tcW w:w="1701" w:type="dxa"/>
          </w:tcPr>
          <w:p w14:paraId="0C12B116" w14:textId="3D180209"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6B587BF2" w14:textId="4D13F014" w:rsidTr="009A1941">
        <w:tc>
          <w:tcPr>
            <w:tcW w:w="4248" w:type="dxa"/>
          </w:tcPr>
          <w:p w14:paraId="25D7ACA1" w14:textId="2672B8D9"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 xml:space="preserve">Unidad </w:t>
            </w:r>
            <w:r w:rsidR="00E6531B" w:rsidRPr="004D5E25">
              <w:rPr>
                <w:rFonts w:eastAsia="Times New Roman" w:cs="Calibri"/>
                <w:color w:val="000000"/>
                <w:sz w:val="20"/>
                <w:szCs w:val="20"/>
              </w:rPr>
              <w:t>d</w:t>
            </w:r>
            <w:r w:rsidR="00080126" w:rsidRPr="004D5E25">
              <w:rPr>
                <w:rFonts w:eastAsia="Times New Roman" w:cs="Calibri"/>
                <w:color w:val="000000"/>
                <w:sz w:val="20"/>
                <w:szCs w:val="20"/>
              </w:rPr>
              <w:t>e Trabajo Social</w:t>
            </w:r>
          </w:p>
        </w:tc>
        <w:tc>
          <w:tcPr>
            <w:tcW w:w="3118" w:type="dxa"/>
          </w:tcPr>
          <w:p w14:paraId="1C212513" w14:textId="7AEFC5D5" w:rsidR="00080126" w:rsidRPr="004D5E25" w:rsidRDefault="009A1941" w:rsidP="00080126">
            <w:pPr>
              <w:spacing w:line="360" w:lineRule="auto"/>
              <w:jc w:val="center"/>
              <w:rPr>
                <w:color w:val="000000"/>
                <w:sz w:val="20"/>
                <w:szCs w:val="20"/>
              </w:rPr>
            </w:pPr>
            <w:r w:rsidRPr="004D5E25">
              <w:rPr>
                <w:rFonts w:eastAsia="Times New Roman" w:cs="Calibri"/>
                <w:color w:val="000000"/>
                <w:sz w:val="20"/>
                <w:szCs w:val="20"/>
              </w:rPr>
              <w:t>Georgina Sánchez</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Buendía</w:t>
            </w:r>
          </w:p>
        </w:tc>
        <w:tc>
          <w:tcPr>
            <w:tcW w:w="1701" w:type="dxa"/>
          </w:tcPr>
          <w:p w14:paraId="3E981488" w14:textId="63976B2F"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44464D57" w14:textId="5B47C546" w:rsidTr="009A1941">
        <w:tc>
          <w:tcPr>
            <w:tcW w:w="4248" w:type="dxa"/>
          </w:tcPr>
          <w:p w14:paraId="3C97EB40" w14:textId="5705AB6F"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Unidad </w:t>
            </w:r>
            <w:r w:rsidR="0043009E" w:rsidRPr="004D5E25">
              <w:rPr>
                <w:rFonts w:eastAsia="Times New Roman" w:cs="Calibri"/>
                <w:color w:val="000000"/>
                <w:sz w:val="20"/>
                <w:szCs w:val="20"/>
              </w:rPr>
              <w:t>d</w:t>
            </w:r>
            <w:r w:rsidRPr="004D5E25">
              <w:rPr>
                <w:rFonts w:eastAsia="Times New Roman" w:cs="Calibri"/>
                <w:color w:val="000000"/>
                <w:sz w:val="20"/>
                <w:szCs w:val="20"/>
              </w:rPr>
              <w:t xml:space="preserve">e Asistencia </w:t>
            </w:r>
            <w:r w:rsidR="0043009E" w:rsidRPr="004D5E25">
              <w:rPr>
                <w:rFonts w:eastAsia="Times New Roman" w:cs="Calibri"/>
                <w:color w:val="000000"/>
                <w:sz w:val="20"/>
                <w:szCs w:val="20"/>
              </w:rPr>
              <w:t>Jurídica</w:t>
            </w:r>
            <w:r w:rsidRPr="004D5E25">
              <w:rPr>
                <w:rFonts w:eastAsia="Times New Roman" w:cs="Calibri"/>
                <w:color w:val="000000"/>
                <w:sz w:val="20"/>
                <w:szCs w:val="20"/>
              </w:rPr>
              <w:t xml:space="preserve"> Familiar</w:t>
            </w:r>
          </w:p>
        </w:tc>
        <w:tc>
          <w:tcPr>
            <w:tcW w:w="3118" w:type="dxa"/>
          </w:tcPr>
          <w:p w14:paraId="447941A1" w14:textId="6F75AE50"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Lizbeth </w:t>
            </w:r>
            <w:proofErr w:type="spellStart"/>
            <w:r w:rsidRPr="004D5E25">
              <w:rPr>
                <w:rFonts w:eastAsia="Times New Roman" w:cs="Calibri"/>
                <w:color w:val="000000"/>
                <w:sz w:val="20"/>
                <w:szCs w:val="20"/>
              </w:rPr>
              <w:t>Yoselin</w:t>
            </w:r>
            <w:proofErr w:type="spellEnd"/>
            <w:r w:rsidRPr="004D5E25">
              <w:rPr>
                <w:rFonts w:eastAsia="Times New Roman" w:cs="Calibri"/>
                <w:color w:val="000000"/>
                <w:sz w:val="20"/>
                <w:szCs w:val="20"/>
              </w:rPr>
              <w:t xml:space="preserve"> </w:t>
            </w:r>
            <w:r w:rsidR="0043009E" w:rsidRPr="004D5E25">
              <w:rPr>
                <w:rFonts w:eastAsia="Times New Roman" w:cs="Calibri"/>
                <w:color w:val="000000"/>
                <w:sz w:val="20"/>
                <w:szCs w:val="20"/>
              </w:rPr>
              <w:t>Rodríguez</w:t>
            </w:r>
          </w:p>
          <w:p w14:paraId="070E59AE" w14:textId="5C10D201" w:rsidR="00080126" w:rsidRPr="004D5E25" w:rsidRDefault="0043009E" w:rsidP="00080126">
            <w:pPr>
              <w:spacing w:line="360" w:lineRule="auto"/>
              <w:jc w:val="center"/>
              <w:rPr>
                <w:color w:val="000000"/>
                <w:sz w:val="20"/>
                <w:szCs w:val="20"/>
              </w:rPr>
            </w:pPr>
            <w:r w:rsidRPr="004D5E25">
              <w:rPr>
                <w:rFonts w:eastAsia="Times New Roman" w:cs="Calibri"/>
                <w:color w:val="000000"/>
                <w:sz w:val="20"/>
                <w:szCs w:val="20"/>
              </w:rPr>
              <w:t>García</w:t>
            </w:r>
          </w:p>
        </w:tc>
        <w:tc>
          <w:tcPr>
            <w:tcW w:w="1701" w:type="dxa"/>
          </w:tcPr>
          <w:p w14:paraId="4C9326DA" w14:textId="5AD7C73B"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3FAF4855" w14:textId="79D69E36" w:rsidTr="009A1941">
        <w:tc>
          <w:tcPr>
            <w:tcW w:w="4248" w:type="dxa"/>
          </w:tcPr>
          <w:p w14:paraId="5811DBC5" w14:textId="3EE7203E" w:rsidR="00080126" w:rsidRPr="004D5E25" w:rsidRDefault="0043009E" w:rsidP="00080126">
            <w:pPr>
              <w:spacing w:line="360" w:lineRule="auto"/>
              <w:jc w:val="center"/>
              <w:rPr>
                <w:color w:val="000000"/>
                <w:sz w:val="20"/>
                <w:szCs w:val="20"/>
              </w:rPr>
            </w:pPr>
            <w:r w:rsidRPr="004D5E25">
              <w:rPr>
                <w:rFonts w:eastAsia="Times New Roman" w:cs="Calibri"/>
                <w:color w:val="000000"/>
                <w:sz w:val="20"/>
                <w:szCs w:val="20"/>
              </w:rPr>
              <w:t>Informática</w:t>
            </w:r>
          </w:p>
        </w:tc>
        <w:tc>
          <w:tcPr>
            <w:tcW w:w="3118" w:type="dxa"/>
          </w:tcPr>
          <w:p w14:paraId="6F06C800" w14:textId="6967C563"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Edgar </w:t>
            </w:r>
            <w:r w:rsidR="0043009E" w:rsidRPr="004D5E25">
              <w:rPr>
                <w:rFonts w:eastAsia="Times New Roman" w:cs="Calibri"/>
                <w:color w:val="000000"/>
                <w:sz w:val="20"/>
                <w:szCs w:val="20"/>
              </w:rPr>
              <w:t>García</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Pellón</w:t>
            </w:r>
          </w:p>
        </w:tc>
        <w:tc>
          <w:tcPr>
            <w:tcW w:w="1701" w:type="dxa"/>
          </w:tcPr>
          <w:p w14:paraId="72339385" w14:textId="313748C2"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6DA999F4" w14:textId="268DB1AA" w:rsidTr="009A1941">
        <w:tc>
          <w:tcPr>
            <w:tcW w:w="4248" w:type="dxa"/>
          </w:tcPr>
          <w:p w14:paraId="4276B7D3" w14:textId="6FED0DA5"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Titular </w:t>
            </w:r>
            <w:r w:rsidR="0043009E" w:rsidRPr="004D5E25">
              <w:rPr>
                <w:rFonts w:eastAsia="Times New Roman" w:cs="Calibri"/>
                <w:color w:val="000000"/>
                <w:sz w:val="20"/>
                <w:szCs w:val="20"/>
              </w:rPr>
              <w:t>d</w:t>
            </w:r>
            <w:r w:rsidRPr="004D5E25">
              <w:rPr>
                <w:rFonts w:eastAsia="Times New Roman" w:cs="Calibri"/>
                <w:color w:val="000000"/>
                <w:sz w:val="20"/>
                <w:szCs w:val="20"/>
              </w:rPr>
              <w:t>e Servicios Generales</w:t>
            </w:r>
          </w:p>
        </w:tc>
        <w:tc>
          <w:tcPr>
            <w:tcW w:w="3118" w:type="dxa"/>
          </w:tcPr>
          <w:p w14:paraId="09B9E28B" w14:textId="24F3689B" w:rsidR="00080126" w:rsidRPr="004D5E25" w:rsidRDefault="00080126" w:rsidP="00080126">
            <w:pPr>
              <w:spacing w:line="360" w:lineRule="auto"/>
              <w:jc w:val="center"/>
              <w:rPr>
                <w:color w:val="000000"/>
                <w:sz w:val="20"/>
                <w:szCs w:val="20"/>
              </w:rPr>
            </w:pPr>
            <w:r w:rsidRPr="004D5E25">
              <w:rPr>
                <w:rFonts w:eastAsia="Times New Roman" w:cs="Calibri"/>
                <w:color w:val="000000"/>
                <w:sz w:val="20"/>
                <w:szCs w:val="20"/>
              </w:rPr>
              <w:t xml:space="preserve">Oscar </w:t>
            </w:r>
            <w:r w:rsidR="0043009E" w:rsidRPr="004D5E25">
              <w:rPr>
                <w:rFonts w:eastAsia="Times New Roman" w:cs="Calibri"/>
                <w:color w:val="000000"/>
                <w:sz w:val="20"/>
                <w:szCs w:val="20"/>
              </w:rPr>
              <w:t>Martínez</w:t>
            </w:r>
            <w:r w:rsidRPr="004D5E25">
              <w:rPr>
                <w:rFonts w:eastAsia="Times New Roman" w:cs="Calibri"/>
                <w:color w:val="000000"/>
                <w:sz w:val="20"/>
                <w:szCs w:val="20"/>
              </w:rPr>
              <w:t xml:space="preserve"> </w:t>
            </w:r>
            <w:proofErr w:type="spellStart"/>
            <w:r w:rsidRPr="004D5E25">
              <w:rPr>
                <w:rFonts w:eastAsia="Times New Roman" w:cs="Calibri"/>
                <w:color w:val="000000"/>
                <w:sz w:val="20"/>
                <w:szCs w:val="20"/>
              </w:rPr>
              <w:t>Bissuet</w:t>
            </w:r>
            <w:proofErr w:type="spellEnd"/>
          </w:p>
        </w:tc>
        <w:tc>
          <w:tcPr>
            <w:tcW w:w="1701" w:type="dxa"/>
          </w:tcPr>
          <w:p w14:paraId="3B34A4F8" w14:textId="25117DCB"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1240B7CC" w14:textId="77777777" w:rsidTr="009A1941">
        <w:tc>
          <w:tcPr>
            <w:tcW w:w="4248" w:type="dxa"/>
          </w:tcPr>
          <w:p w14:paraId="310938D6" w14:textId="1E640E00"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w:t>
            </w:r>
            <w:r w:rsidR="0043009E" w:rsidRPr="004D5E25">
              <w:rPr>
                <w:rFonts w:eastAsia="Times New Roman" w:cs="Calibri"/>
                <w:color w:val="000000"/>
                <w:sz w:val="20"/>
                <w:szCs w:val="20"/>
              </w:rPr>
              <w:t>d</w:t>
            </w:r>
            <w:r w:rsidRPr="004D5E25">
              <w:rPr>
                <w:rFonts w:eastAsia="Times New Roman" w:cs="Calibri"/>
                <w:color w:val="000000"/>
                <w:sz w:val="20"/>
                <w:szCs w:val="20"/>
              </w:rPr>
              <w:t>e Recursos Materiales</w:t>
            </w:r>
          </w:p>
        </w:tc>
        <w:tc>
          <w:tcPr>
            <w:tcW w:w="3118" w:type="dxa"/>
          </w:tcPr>
          <w:p w14:paraId="7998CB40" w14:textId="7AE38A69"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Daniela Pineda </w:t>
            </w:r>
            <w:proofErr w:type="spellStart"/>
            <w:r w:rsidRPr="004D5E25">
              <w:rPr>
                <w:rFonts w:eastAsia="Times New Roman" w:cs="Calibri"/>
                <w:color w:val="000000"/>
                <w:sz w:val="20"/>
                <w:szCs w:val="20"/>
              </w:rPr>
              <w:t>Diaz</w:t>
            </w:r>
            <w:proofErr w:type="spellEnd"/>
          </w:p>
        </w:tc>
        <w:tc>
          <w:tcPr>
            <w:tcW w:w="1701" w:type="dxa"/>
          </w:tcPr>
          <w:p w14:paraId="75BA3F39" w14:textId="2538ADE5"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2363F7EF" w14:textId="77777777" w:rsidTr="009A1941">
        <w:tc>
          <w:tcPr>
            <w:tcW w:w="4248" w:type="dxa"/>
          </w:tcPr>
          <w:p w14:paraId="33B91E8E" w14:textId="73A673EA"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w:t>
            </w:r>
            <w:r w:rsidR="0043009E" w:rsidRPr="004D5E25">
              <w:rPr>
                <w:rFonts w:eastAsia="Times New Roman" w:cs="Calibri"/>
                <w:color w:val="000000"/>
                <w:sz w:val="20"/>
                <w:szCs w:val="20"/>
              </w:rPr>
              <w:t>d</w:t>
            </w:r>
            <w:r w:rsidRPr="004D5E25">
              <w:rPr>
                <w:rFonts w:eastAsia="Times New Roman" w:cs="Calibri"/>
                <w:color w:val="000000"/>
                <w:sz w:val="20"/>
                <w:szCs w:val="20"/>
              </w:rPr>
              <w:t xml:space="preserve">el </w:t>
            </w:r>
            <w:r w:rsidR="0043009E" w:rsidRPr="004D5E25">
              <w:rPr>
                <w:rFonts w:eastAsia="Times New Roman" w:cs="Calibri"/>
                <w:color w:val="000000"/>
                <w:sz w:val="20"/>
                <w:szCs w:val="20"/>
              </w:rPr>
              <w:t>Área</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d</w:t>
            </w:r>
            <w:r w:rsidRPr="004D5E25">
              <w:rPr>
                <w:rFonts w:eastAsia="Times New Roman" w:cs="Calibri"/>
                <w:color w:val="000000"/>
                <w:sz w:val="20"/>
                <w:szCs w:val="20"/>
              </w:rPr>
              <w:t>e Recursos Humanos</w:t>
            </w:r>
          </w:p>
        </w:tc>
        <w:tc>
          <w:tcPr>
            <w:tcW w:w="3118" w:type="dxa"/>
          </w:tcPr>
          <w:p w14:paraId="1E168FF6" w14:textId="6E7A58E1"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José</w:t>
            </w:r>
            <w:r w:rsidR="00080126" w:rsidRPr="004D5E25">
              <w:rPr>
                <w:rFonts w:eastAsia="Times New Roman" w:cs="Calibri"/>
                <w:color w:val="000000"/>
                <w:sz w:val="20"/>
                <w:szCs w:val="20"/>
              </w:rPr>
              <w:t xml:space="preserve"> Luis Cortes </w:t>
            </w:r>
            <w:r w:rsidRPr="004D5E25">
              <w:rPr>
                <w:rFonts w:eastAsia="Times New Roman" w:cs="Calibri"/>
                <w:color w:val="000000"/>
                <w:sz w:val="20"/>
                <w:szCs w:val="20"/>
              </w:rPr>
              <w:t>Ramírez</w:t>
            </w:r>
          </w:p>
        </w:tc>
        <w:tc>
          <w:tcPr>
            <w:tcW w:w="1701" w:type="dxa"/>
          </w:tcPr>
          <w:p w14:paraId="629D9C31" w14:textId="718150CD"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25B4CF52" w14:textId="77777777" w:rsidTr="009A1941">
        <w:tc>
          <w:tcPr>
            <w:tcW w:w="4248" w:type="dxa"/>
          </w:tcPr>
          <w:p w14:paraId="7CA36928" w14:textId="696741D8"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Director de</w:t>
            </w:r>
            <w:r w:rsidR="00080126" w:rsidRPr="004D5E25">
              <w:rPr>
                <w:rFonts w:eastAsia="Times New Roman" w:cs="Calibri"/>
                <w:color w:val="000000"/>
                <w:sz w:val="20"/>
                <w:szCs w:val="20"/>
              </w:rPr>
              <w:t xml:space="preserve"> Asuntos </w:t>
            </w:r>
            <w:r w:rsidRPr="004D5E25">
              <w:rPr>
                <w:rFonts w:eastAsia="Times New Roman" w:cs="Calibri"/>
                <w:color w:val="000000"/>
                <w:sz w:val="20"/>
                <w:szCs w:val="20"/>
              </w:rPr>
              <w:t>Jurídicos</w:t>
            </w:r>
          </w:p>
        </w:tc>
        <w:tc>
          <w:tcPr>
            <w:tcW w:w="3118" w:type="dxa"/>
          </w:tcPr>
          <w:p w14:paraId="6F2107E2" w14:textId="14D739E5"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Alberto Romero  Reyes</w:t>
            </w:r>
          </w:p>
        </w:tc>
        <w:tc>
          <w:tcPr>
            <w:tcW w:w="1701" w:type="dxa"/>
          </w:tcPr>
          <w:p w14:paraId="613851C6" w14:textId="412B2C8A"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275F5089" w14:textId="77777777" w:rsidTr="009A1941">
        <w:tc>
          <w:tcPr>
            <w:tcW w:w="4248" w:type="dxa"/>
          </w:tcPr>
          <w:p w14:paraId="37FAD060" w14:textId="66B0A8EF"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Director </w:t>
            </w:r>
            <w:r w:rsidR="0043009E" w:rsidRPr="004D5E25">
              <w:rPr>
                <w:rFonts w:eastAsia="Times New Roman" w:cs="Calibri"/>
                <w:color w:val="000000"/>
                <w:sz w:val="20"/>
                <w:szCs w:val="20"/>
              </w:rPr>
              <w:t>d</w:t>
            </w:r>
            <w:r w:rsidRPr="004D5E25">
              <w:rPr>
                <w:rFonts w:eastAsia="Times New Roman" w:cs="Calibri"/>
                <w:color w:val="000000"/>
                <w:sz w:val="20"/>
                <w:szCs w:val="20"/>
              </w:rPr>
              <w:t xml:space="preserve">e </w:t>
            </w:r>
            <w:r w:rsidR="0043009E" w:rsidRPr="004D5E25">
              <w:rPr>
                <w:rFonts w:eastAsia="Times New Roman" w:cs="Calibri"/>
                <w:color w:val="000000"/>
                <w:sz w:val="20"/>
                <w:szCs w:val="20"/>
              </w:rPr>
              <w:t>Administración</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y</w:t>
            </w:r>
            <w:r w:rsidRPr="004D5E25">
              <w:rPr>
                <w:rFonts w:eastAsia="Times New Roman" w:cs="Calibri"/>
                <w:color w:val="000000"/>
                <w:sz w:val="20"/>
                <w:szCs w:val="20"/>
              </w:rPr>
              <w:t xml:space="preserve"> Finanzas</w:t>
            </w:r>
          </w:p>
        </w:tc>
        <w:tc>
          <w:tcPr>
            <w:tcW w:w="3118" w:type="dxa"/>
          </w:tcPr>
          <w:p w14:paraId="2E093891" w14:textId="3D53E9FD"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José</w:t>
            </w:r>
            <w:r w:rsidR="00080126" w:rsidRPr="004D5E25">
              <w:rPr>
                <w:rFonts w:eastAsia="Times New Roman" w:cs="Calibri"/>
                <w:color w:val="000000"/>
                <w:sz w:val="20"/>
                <w:szCs w:val="20"/>
              </w:rPr>
              <w:t xml:space="preserve"> Trinidad Pliego </w:t>
            </w:r>
            <w:proofErr w:type="spellStart"/>
            <w:r w:rsidR="00080126" w:rsidRPr="004D5E25">
              <w:rPr>
                <w:rFonts w:eastAsia="Times New Roman" w:cs="Calibri"/>
                <w:color w:val="000000"/>
                <w:sz w:val="20"/>
                <w:szCs w:val="20"/>
              </w:rPr>
              <w:t>Menez</w:t>
            </w:r>
            <w:proofErr w:type="spellEnd"/>
          </w:p>
        </w:tc>
        <w:tc>
          <w:tcPr>
            <w:tcW w:w="1701" w:type="dxa"/>
          </w:tcPr>
          <w:p w14:paraId="32CBD118" w14:textId="7DAE4691"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2B485384" w14:textId="77777777" w:rsidTr="009A1941">
        <w:tc>
          <w:tcPr>
            <w:tcW w:w="4248" w:type="dxa"/>
          </w:tcPr>
          <w:p w14:paraId="640F61E0" w14:textId="7B976D0D"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Unidad Contenciosa Laboral</w:t>
            </w:r>
          </w:p>
        </w:tc>
        <w:tc>
          <w:tcPr>
            <w:tcW w:w="3118" w:type="dxa"/>
          </w:tcPr>
          <w:p w14:paraId="44E7EE38" w14:textId="0EAAA434" w:rsidR="00080126" w:rsidRPr="004D5E25" w:rsidRDefault="00080126" w:rsidP="00080126">
            <w:pPr>
              <w:spacing w:line="360" w:lineRule="auto"/>
              <w:jc w:val="center"/>
              <w:rPr>
                <w:rFonts w:eastAsia="Times New Roman" w:cs="Calibri"/>
                <w:color w:val="000000"/>
                <w:sz w:val="20"/>
                <w:szCs w:val="20"/>
              </w:rPr>
            </w:pPr>
            <w:proofErr w:type="spellStart"/>
            <w:r w:rsidRPr="004D5E25">
              <w:rPr>
                <w:rFonts w:eastAsia="Times New Roman" w:cs="Calibri"/>
                <w:color w:val="000000"/>
                <w:sz w:val="20"/>
                <w:szCs w:val="20"/>
              </w:rPr>
              <w:t>Any</w:t>
            </w:r>
            <w:proofErr w:type="spellEnd"/>
            <w:r w:rsidRPr="004D5E25">
              <w:rPr>
                <w:rFonts w:eastAsia="Times New Roman" w:cs="Calibri"/>
                <w:color w:val="000000"/>
                <w:sz w:val="20"/>
                <w:szCs w:val="20"/>
              </w:rPr>
              <w:t xml:space="preserve"> Adriana Morales Acevedo</w:t>
            </w:r>
          </w:p>
        </w:tc>
        <w:tc>
          <w:tcPr>
            <w:tcW w:w="1701" w:type="dxa"/>
          </w:tcPr>
          <w:p w14:paraId="10AABBE7" w14:textId="560200D2"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34C46A93" w14:textId="77777777" w:rsidTr="009A1941">
        <w:tc>
          <w:tcPr>
            <w:tcW w:w="4248" w:type="dxa"/>
          </w:tcPr>
          <w:p w14:paraId="71AD04D2" w14:textId="6AC38965"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de </w:t>
            </w:r>
            <w:r w:rsidR="00080126" w:rsidRPr="004D5E25">
              <w:rPr>
                <w:rFonts w:eastAsia="Times New Roman" w:cs="Calibri"/>
                <w:color w:val="000000"/>
                <w:sz w:val="20"/>
                <w:szCs w:val="20"/>
              </w:rPr>
              <w:t>Contabilidad</w:t>
            </w:r>
          </w:p>
        </w:tc>
        <w:tc>
          <w:tcPr>
            <w:tcW w:w="3118" w:type="dxa"/>
          </w:tcPr>
          <w:p w14:paraId="0C1824B3" w14:textId="17A7D4E9"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Eduardo </w:t>
            </w:r>
            <w:r w:rsidR="0043009E" w:rsidRPr="004D5E25">
              <w:rPr>
                <w:rFonts w:eastAsia="Times New Roman" w:cs="Calibri"/>
                <w:color w:val="000000"/>
                <w:sz w:val="20"/>
                <w:szCs w:val="20"/>
              </w:rPr>
              <w:t>Iván</w:t>
            </w:r>
            <w:r w:rsidRPr="004D5E25">
              <w:rPr>
                <w:rFonts w:eastAsia="Times New Roman" w:cs="Calibri"/>
                <w:color w:val="000000"/>
                <w:sz w:val="20"/>
                <w:szCs w:val="20"/>
              </w:rPr>
              <w:t xml:space="preserve"> Cruz Zorrilla</w:t>
            </w:r>
          </w:p>
        </w:tc>
        <w:tc>
          <w:tcPr>
            <w:tcW w:w="1701" w:type="dxa"/>
          </w:tcPr>
          <w:p w14:paraId="1544A73E" w14:textId="0D554C67"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643D3AA5" w14:textId="77777777" w:rsidTr="009A1941">
        <w:tc>
          <w:tcPr>
            <w:tcW w:w="4248" w:type="dxa"/>
          </w:tcPr>
          <w:p w14:paraId="0ED4EAA8" w14:textId="670D6FAA"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 xml:space="preserve">Unidad </w:t>
            </w:r>
            <w:r w:rsidRPr="004D5E25">
              <w:rPr>
                <w:rFonts w:eastAsia="Times New Roman" w:cs="Calibri"/>
                <w:color w:val="000000"/>
                <w:sz w:val="20"/>
                <w:szCs w:val="20"/>
              </w:rPr>
              <w:t>d</w:t>
            </w:r>
            <w:r w:rsidR="00080126" w:rsidRPr="004D5E25">
              <w:rPr>
                <w:rFonts w:eastAsia="Times New Roman" w:cs="Calibri"/>
                <w:color w:val="000000"/>
                <w:sz w:val="20"/>
                <w:szCs w:val="20"/>
              </w:rPr>
              <w:t xml:space="preserve">e </w:t>
            </w:r>
            <w:r w:rsidRPr="004D5E25">
              <w:rPr>
                <w:rFonts w:eastAsia="Times New Roman" w:cs="Calibri"/>
                <w:color w:val="000000"/>
                <w:sz w:val="20"/>
                <w:szCs w:val="20"/>
              </w:rPr>
              <w:t>Auditoría</w:t>
            </w:r>
            <w:r w:rsidR="00080126" w:rsidRPr="004D5E25">
              <w:rPr>
                <w:rFonts w:eastAsia="Times New Roman" w:cs="Calibri"/>
                <w:color w:val="000000"/>
                <w:sz w:val="20"/>
                <w:szCs w:val="20"/>
              </w:rPr>
              <w:t xml:space="preserve"> </w:t>
            </w:r>
            <w:r w:rsidRPr="004D5E25">
              <w:rPr>
                <w:rFonts w:eastAsia="Times New Roman" w:cs="Calibri"/>
                <w:color w:val="000000"/>
                <w:sz w:val="20"/>
                <w:szCs w:val="20"/>
              </w:rPr>
              <w:t>y</w:t>
            </w:r>
            <w:r w:rsidR="00080126" w:rsidRPr="004D5E25">
              <w:rPr>
                <w:rFonts w:eastAsia="Times New Roman" w:cs="Calibri"/>
                <w:color w:val="000000"/>
                <w:sz w:val="20"/>
                <w:szCs w:val="20"/>
              </w:rPr>
              <w:t xml:space="preserve"> Control Interno</w:t>
            </w:r>
          </w:p>
        </w:tc>
        <w:tc>
          <w:tcPr>
            <w:tcW w:w="3118" w:type="dxa"/>
          </w:tcPr>
          <w:p w14:paraId="5E7B2271" w14:textId="5D930116"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Juan Carlos </w:t>
            </w:r>
            <w:r w:rsidR="0043009E" w:rsidRPr="004D5E25">
              <w:rPr>
                <w:rFonts w:eastAsia="Times New Roman" w:cs="Calibri"/>
                <w:color w:val="000000"/>
                <w:sz w:val="20"/>
                <w:szCs w:val="20"/>
              </w:rPr>
              <w:t>López</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Chávez</w:t>
            </w:r>
          </w:p>
        </w:tc>
        <w:tc>
          <w:tcPr>
            <w:tcW w:w="1701" w:type="dxa"/>
          </w:tcPr>
          <w:p w14:paraId="34E531A7" w14:textId="248026DA"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4944A8A3" w14:textId="77777777" w:rsidTr="009A1941">
        <w:tc>
          <w:tcPr>
            <w:tcW w:w="4248" w:type="dxa"/>
          </w:tcPr>
          <w:p w14:paraId="4A9884E3" w14:textId="5F813F51"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 xml:space="preserve">Unidad </w:t>
            </w:r>
            <w:r w:rsidRPr="004D5E25">
              <w:rPr>
                <w:rFonts w:eastAsia="Times New Roman" w:cs="Calibri"/>
                <w:color w:val="000000"/>
                <w:sz w:val="20"/>
                <w:szCs w:val="20"/>
              </w:rPr>
              <w:t>Sustanciadora</w:t>
            </w:r>
          </w:p>
        </w:tc>
        <w:tc>
          <w:tcPr>
            <w:tcW w:w="3118" w:type="dxa"/>
          </w:tcPr>
          <w:p w14:paraId="7A036E47" w14:textId="5C161FE7"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Claudia Ivette </w:t>
            </w:r>
            <w:r w:rsidR="0043009E" w:rsidRPr="004D5E25">
              <w:rPr>
                <w:rFonts w:eastAsia="Times New Roman" w:cs="Calibri"/>
                <w:color w:val="000000"/>
                <w:sz w:val="20"/>
                <w:szCs w:val="20"/>
              </w:rPr>
              <w:t>León</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Saldívar</w:t>
            </w:r>
          </w:p>
        </w:tc>
        <w:tc>
          <w:tcPr>
            <w:tcW w:w="1701" w:type="dxa"/>
          </w:tcPr>
          <w:p w14:paraId="70AA9353" w14:textId="7FEFB6C5"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5652EA3D" w14:textId="77777777" w:rsidTr="009A1941">
        <w:tc>
          <w:tcPr>
            <w:tcW w:w="4248" w:type="dxa"/>
          </w:tcPr>
          <w:p w14:paraId="348A3FAD" w14:textId="6A7D5EFD"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de la </w:t>
            </w:r>
            <w:r w:rsidR="00080126" w:rsidRPr="004D5E25">
              <w:rPr>
                <w:rFonts w:eastAsia="Times New Roman" w:cs="Calibri"/>
                <w:color w:val="000000"/>
                <w:sz w:val="20"/>
                <w:szCs w:val="20"/>
              </w:rPr>
              <w:t>Autoridad Investigadora</w:t>
            </w:r>
          </w:p>
        </w:tc>
        <w:tc>
          <w:tcPr>
            <w:tcW w:w="3118" w:type="dxa"/>
          </w:tcPr>
          <w:p w14:paraId="50BD7497" w14:textId="00F1BA9B"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Mariana Serrano Mares</w:t>
            </w:r>
          </w:p>
        </w:tc>
        <w:tc>
          <w:tcPr>
            <w:tcW w:w="1701" w:type="dxa"/>
          </w:tcPr>
          <w:p w14:paraId="0F2E9C3A" w14:textId="48D3390D"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7DCCBFE8" w14:textId="77777777" w:rsidTr="009A1941">
        <w:tc>
          <w:tcPr>
            <w:tcW w:w="4248" w:type="dxa"/>
          </w:tcPr>
          <w:p w14:paraId="7E654EEB" w14:textId="1191F3F6"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Titular </w:t>
            </w:r>
            <w:r w:rsidR="0043009E" w:rsidRPr="004D5E25">
              <w:rPr>
                <w:rFonts w:eastAsia="Times New Roman" w:cs="Calibri"/>
                <w:color w:val="000000"/>
                <w:sz w:val="20"/>
                <w:szCs w:val="20"/>
              </w:rPr>
              <w:t>d</w:t>
            </w:r>
            <w:r w:rsidRPr="004D5E25">
              <w:rPr>
                <w:rFonts w:eastAsia="Times New Roman" w:cs="Calibri"/>
                <w:color w:val="000000"/>
                <w:sz w:val="20"/>
                <w:szCs w:val="20"/>
              </w:rPr>
              <w:t xml:space="preserve">el </w:t>
            </w:r>
            <w:r w:rsidR="0043009E" w:rsidRPr="004D5E25">
              <w:rPr>
                <w:rFonts w:eastAsia="Times New Roman" w:cs="Calibri"/>
                <w:color w:val="000000"/>
                <w:sz w:val="20"/>
                <w:szCs w:val="20"/>
              </w:rPr>
              <w:t>Órgano</w:t>
            </w:r>
            <w:r w:rsidRPr="004D5E25">
              <w:rPr>
                <w:rFonts w:eastAsia="Times New Roman" w:cs="Calibri"/>
                <w:color w:val="000000"/>
                <w:sz w:val="20"/>
                <w:szCs w:val="20"/>
              </w:rPr>
              <w:t xml:space="preserve"> Interno </w:t>
            </w:r>
            <w:r w:rsidR="0043009E" w:rsidRPr="004D5E25">
              <w:rPr>
                <w:rFonts w:eastAsia="Times New Roman" w:cs="Calibri"/>
                <w:color w:val="000000"/>
                <w:sz w:val="20"/>
                <w:szCs w:val="20"/>
              </w:rPr>
              <w:t>d</w:t>
            </w:r>
            <w:r w:rsidRPr="004D5E25">
              <w:rPr>
                <w:rFonts w:eastAsia="Times New Roman" w:cs="Calibri"/>
                <w:color w:val="000000"/>
                <w:sz w:val="20"/>
                <w:szCs w:val="20"/>
              </w:rPr>
              <w:t>e Control</w:t>
            </w:r>
          </w:p>
        </w:tc>
        <w:tc>
          <w:tcPr>
            <w:tcW w:w="3118" w:type="dxa"/>
          </w:tcPr>
          <w:p w14:paraId="62C5D402" w14:textId="2FB2D4F8"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Orlando </w:t>
            </w:r>
            <w:r w:rsidR="0043009E" w:rsidRPr="004D5E25">
              <w:rPr>
                <w:rFonts w:eastAsia="Times New Roman" w:cs="Calibri"/>
                <w:color w:val="000000"/>
                <w:sz w:val="20"/>
                <w:szCs w:val="20"/>
              </w:rPr>
              <w:t>Adán</w:t>
            </w:r>
            <w:r w:rsidRPr="004D5E25">
              <w:rPr>
                <w:rFonts w:eastAsia="Times New Roman" w:cs="Calibri"/>
                <w:color w:val="000000"/>
                <w:sz w:val="20"/>
                <w:szCs w:val="20"/>
              </w:rPr>
              <w:t xml:space="preserve"> Rivero </w:t>
            </w:r>
            <w:proofErr w:type="spellStart"/>
            <w:r w:rsidRPr="004D5E25">
              <w:rPr>
                <w:rFonts w:eastAsia="Times New Roman" w:cs="Calibri"/>
                <w:color w:val="000000"/>
                <w:sz w:val="20"/>
                <w:szCs w:val="20"/>
              </w:rPr>
              <w:t>Rivero</w:t>
            </w:r>
            <w:proofErr w:type="spellEnd"/>
          </w:p>
        </w:tc>
        <w:tc>
          <w:tcPr>
            <w:tcW w:w="1701" w:type="dxa"/>
          </w:tcPr>
          <w:p w14:paraId="5A632911" w14:textId="13F1A1FA" w:rsidR="00080126" w:rsidRPr="004D5E25" w:rsidRDefault="00080126" w:rsidP="00080126">
            <w:pPr>
              <w:spacing w:line="360" w:lineRule="auto"/>
              <w:jc w:val="center"/>
              <w:rPr>
                <w:color w:val="000000"/>
                <w:sz w:val="20"/>
                <w:szCs w:val="20"/>
              </w:rPr>
            </w:pPr>
            <w:r w:rsidRPr="004D5E25">
              <w:rPr>
                <w:color w:val="000000"/>
                <w:sz w:val="20"/>
                <w:szCs w:val="20"/>
              </w:rPr>
              <w:t>Si</w:t>
            </w:r>
          </w:p>
        </w:tc>
      </w:tr>
      <w:tr w:rsidR="00080126" w:rsidRPr="004D5E25" w14:paraId="3A89026B" w14:textId="77777777" w:rsidTr="009A1941">
        <w:tc>
          <w:tcPr>
            <w:tcW w:w="4248" w:type="dxa"/>
          </w:tcPr>
          <w:p w14:paraId="04C99033" w14:textId="48DE33F8"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lastRenderedPageBreak/>
              <w:t xml:space="preserve">Archivo </w:t>
            </w:r>
            <w:r w:rsidR="0043009E" w:rsidRPr="004D5E25">
              <w:rPr>
                <w:rFonts w:eastAsia="Times New Roman" w:cs="Calibri"/>
                <w:color w:val="000000"/>
                <w:sz w:val="20"/>
                <w:szCs w:val="20"/>
              </w:rPr>
              <w:t>y</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Oficialía</w:t>
            </w:r>
            <w:r w:rsidRPr="004D5E25">
              <w:rPr>
                <w:rFonts w:eastAsia="Times New Roman" w:cs="Calibri"/>
                <w:color w:val="000000"/>
                <w:sz w:val="20"/>
                <w:szCs w:val="20"/>
              </w:rPr>
              <w:t xml:space="preserve"> </w:t>
            </w:r>
            <w:r w:rsidR="0043009E" w:rsidRPr="004D5E25">
              <w:rPr>
                <w:rFonts w:eastAsia="Times New Roman" w:cs="Calibri"/>
                <w:color w:val="000000"/>
                <w:sz w:val="20"/>
                <w:szCs w:val="20"/>
              </w:rPr>
              <w:t>d</w:t>
            </w:r>
            <w:r w:rsidRPr="004D5E25">
              <w:rPr>
                <w:rFonts w:eastAsia="Times New Roman" w:cs="Calibri"/>
                <w:color w:val="000000"/>
                <w:sz w:val="20"/>
                <w:szCs w:val="20"/>
              </w:rPr>
              <w:t>e Partes</w:t>
            </w:r>
          </w:p>
        </w:tc>
        <w:tc>
          <w:tcPr>
            <w:tcW w:w="3118" w:type="dxa"/>
          </w:tcPr>
          <w:p w14:paraId="3EFCD6B6" w14:textId="38F755EE" w:rsidR="00080126" w:rsidRPr="004D5E25" w:rsidRDefault="00080126" w:rsidP="00080126">
            <w:pPr>
              <w:spacing w:line="360" w:lineRule="auto"/>
              <w:jc w:val="center"/>
              <w:rPr>
                <w:rFonts w:eastAsia="Times New Roman" w:cs="Calibri"/>
                <w:color w:val="000000"/>
                <w:sz w:val="20"/>
                <w:szCs w:val="20"/>
              </w:rPr>
            </w:pPr>
            <w:proofErr w:type="spellStart"/>
            <w:r w:rsidRPr="004D5E25">
              <w:rPr>
                <w:rFonts w:eastAsia="Times New Roman" w:cs="Calibri"/>
                <w:color w:val="000000"/>
                <w:sz w:val="20"/>
                <w:szCs w:val="20"/>
              </w:rPr>
              <w:t>Ailyn</w:t>
            </w:r>
            <w:proofErr w:type="spellEnd"/>
            <w:r w:rsidRPr="004D5E25">
              <w:rPr>
                <w:rFonts w:eastAsia="Times New Roman" w:cs="Calibri"/>
                <w:color w:val="000000"/>
                <w:sz w:val="20"/>
                <w:szCs w:val="20"/>
              </w:rPr>
              <w:t xml:space="preserve"> Selene Villanueva </w:t>
            </w:r>
            <w:r w:rsidR="0043009E" w:rsidRPr="004D5E25">
              <w:rPr>
                <w:rFonts w:eastAsia="Times New Roman" w:cs="Calibri"/>
                <w:color w:val="000000"/>
                <w:sz w:val="20"/>
                <w:szCs w:val="20"/>
              </w:rPr>
              <w:t>Juárez</w:t>
            </w:r>
          </w:p>
        </w:tc>
        <w:tc>
          <w:tcPr>
            <w:tcW w:w="1701" w:type="dxa"/>
          </w:tcPr>
          <w:p w14:paraId="04C5CE13" w14:textId="128B5BC7"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46C5870C" w14:textId="77777777" w:rsidTr="009A1941">
        <w:tc>
          <w:tcPr>
            <w:tcW w:w="4248" w:type="dxa"/>
          </w:tcPr>
          <w:p w14:paraId="5242EB50" w14:textId="546E22C4"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Titular de Comunicación</w:t>
            </w:r>
            <w:r w:rsidR="00080126" w:rsidRPr="004D5E25">
              <w:rPr>
                <w:rFonts w:eastAsia="Times New Roman" w:cs="Calibri"/>
                <w:color w:val="000000"/>
                <w:sz w:val="20"/>
                <w:szCs w:val="20"/>
              </w:rPr>
              <w:t xml:space="preserve"> Social</w:t>
            </w:r>
          </w:p>
        </w:tc>
        <w:tc>
          <w:tcPr>
            <w:tcW w:w="3118" w:type="dxa"/>
          </w:tcPr>
          <w:p w14:paraId="46C926C6" w14:textId="6811D8ED"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Gabriela </w:t>
            </w:r>
            <w:proofErr w:type="spellStart"/>
            <w:r w:rsidRPr="004D5E25">
              <w:rPr>
                <w:rFonts w:eastAsia="Times New Roman" w:cs="Calibri"/>
                <w:color w:val="000000"/>
                <w:sz w:val="20"/>
                <w:szCs w:val="20"/>
              </w:rPr>
              <w:t>Marlen</w:t>
            </w:r>
            <w:proofErr w:type="spellEnd"/>
            <w:r w:rsidRPr="004D5E25">
              <w:rPr>
                <w:rFonts w:eastAsia="Times New Roman" w:cs="Calibri"/>
                <w:color w:val="000000"/>
                <w:sz w:val="20"/>
                <w:szCs w:val="20"/>
              </w:rPr>
              <w:t xml:space="preserve"> Moral Del </w:t>
            </w:r>
            <w:proofErr w:type="spellStart"/>
            <w:r w:rsidRPr="004D5E25">
              <w:rPr>
                <w:rFonts w:eastAsia="Times New Roman" w:cs="Calibri"/>
                <w:color w:val="000000"/>
                <w:sz w:val="20"/>
                <w:szCs w:val="20"/>
              </w:rPr>
              <w:t>Padro</w:t>
            </w:r>
            <w:proofErr w:type="spellEnd"/>
          </w:p>
        </w:tc>
        <w:tc>
          <w:tcPr>
            <w:tcW w:w="1701" w:type="dxa"/>
          </w:tcPr>
          <w:p w14:paraId="2DE1515F" w14:textId="36A60BDB" w:rsidR="00080126" w:rsidRPr="004D5E25" w:rsidRDefault="00080126" w:rsidP="00080126">
            <w:pPr>
              <w:spacing w:line="360" w:lineRule="auto"/>
              <w:jc w:val="center"/>
              <w:rPr>
                <w:color w:val="000000"/>
                <w:sz w:val="20"/>
                <w:szCs w:val="20"/>
              </w:rPr>
            </w:pPr>
            <w:r w:rsidRPr="004D5E25">
              <w:rPr>
                <w:color w:val="000000"/>
                <w:sz w:val="20"/>
                <w:szCs w:val="20"/>
              </w:rPr>
              <w:t>No</w:t>
            </w:r>
          </w:p>
        </w:tc>
      </w:tr>
      <w:tr w:rsidR="00080126" w:rsidRPr="004D5E25" w14:paraId="2CAA31E1" w14:textId="77777777" w:rsidTr="009A1941">
        <w:tc>
          <w:tcPr>
            <w:tcW w:w="4248" w:type="dxa"/>
          </w:tcPr>
          <w:p w14:paraId="1454DFF8" w14:textId="754B3CDD" w:rsidR="00080126" w:rsidRPr="004D5E25" w:rsidRDefault="00080126"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 xml:space="preserve">Secretaria Particular </w:t>
            </w:r>
            <w:r w:rsidR="0043009E" w:rsidRPr="004D5E25">
              <w:rPr>
                <w:rFonts w:eastAsia="Times New Roman" w:cs="Calibri"/>
                <w:color w:val="000000"/>
                <w:sz w:val="20"/>
                <w:szCs w:val="20"/>
              </w:rPr>
              <w:t>d</w:t>
            </w:r>
            <w:r w:rsidRPr="004D5E25">
              <w:rPr>
                <w:rFonts w:eastAsia="Times New Roman" w:cs="Calibri"/>
                <w:color w:val="000000"/>
                <w:sz w:val="20"/>
                <w:szCs w:val="20"/>
              </w:rPr>
              <w:t>e Presidencia</w:t>
            </w:r>
          </w:p>
        </w:tc>
        <w:tc>
          <w:tcPr>
            <w:tcW w:w="3118" w:type="dxa"/>
          </w:tcPr>
          <w:p w14:paraId="32DD2425" w14:textId="3A7BF18A" w:rsidR="00080126" w:rsidRPr="004D5E25" w:rsidRDefault="0043009E" w:rsidP="00080126">
            <w:pPr>
              <w:spacing w:line="360" w:lineRule="auto"/>
              <w:jc w:val="center"/>
              <w:rPr>
                <w:rFonts w:eastAsia="Times New Roman" w:cs="Calibri"/>
                <w:color w:val="000000"/>
                <w:sz w:val="20"/>
                <w:szCs w:val="20"/>
              </w:rPr>
            </w:pPr>
            <w:r w:rsidRPr="004D5E25">
              <w:rPr>
                <w:rFonts w:eastAsia="Times New Roman" w:cs="Calibri"/>
                <w:color w:val="000000"/>
                <w:sz w:val="20"/>
                <w:szCs w:val="20"/>
              </w:rPr>
              <w:t>Adriana Hernández</w:t>
            </w:r>
            <w:r w:rsidR="00080126" w:rsidRPr="004D5E25">
              <w:rPr>
                <w:rFonts w:eastAsia="Times New Roman" w:cs="Calibri"/>
                <w:color w:val="000000"/>
                <w:sz w:val="20"/>
                <w:szCs w:val="20"/>
              </w:rPr>
              <w:t xml:space="preserve"> Flores</w:t>
            </w:r>
          </w:p>
        </w:tc>
        <w:tc>
          <w:tcPr>
            <w:tcW w:w="1701" w:type="dxa"/>
          </w:tcPr>
          <w:p w14:paraId="68C07F1F" w14:textId="66F04A24" w:rsidR="00080126" w:rsidRPr="004D5E25" w:rsidRDefault="00080126" w:rsidP="00080126">
            <w:pPr>
              <w:spacing w:line="360" w:lineRule="auto"/>
              <w:jc w:val="center"/>
              <w:rPr>
                <w:color w:val="000000"/>
                <w:sz w:val="20"/>
                <w:szCs w:val="20"/>
              </w:rPr>
            </w:pPr>
            <w:r w:rsidRPr="004D5E25">
              <w:rPr>
                <w:color w:val="000000"/>
                <w:sz w:val="20"/>
                <w:szCs w:val="20"/>
              </w:rPr>
              <w:t>Si</w:t>
            </w:r>
          </w:p>
        </w:tc>
      </w:tr>
    </w:tbl>
    <w:p w14:paraId="12ED3ECE" w14:textId="77777777" w:rsidR="00CC608C" w:rsidRPr="004D5E25" w:rsidRDefault="00CC608C" w:rsidP="00761BC2">
      <w:pPr>
        <w:spacing w:after="0" w:line="360" w:lineRule="auto"/>
        <w:rPr>
          <w:color w:val="000000"/>
          <w:lang w:val="es-ES"/>
        </w:rPr>
      </w:pPr>
    </w:p>
    <w:p w14:paraId="2BD28431" w14:textId="41B337A5" w:rsidR="0043009E" w:rsidRPr="004D5E25" w:rsidRDefault="00916DDB" w:rsidP="00761BC2">
      <w:pPr>
        <w:spacing w:after="0" w:line="360" w:lineRule="auto"/>
        <w:rPr>
          <w:color w:val="000000"/>
          <w:lang w:val="es-ES"/>
        </w:rPr>
      </w:pPr>
      <w:r w:rsidRPr="004D5E25">
        <w:rPr>
          <w:color w:val="000000"/>
          <w:lang w:val="es-ES"/>
        </w:rPr>
        <w:t>Conforme a lo anterior, se logra vislumbrar que el Sujeto Obligado entregó la información, de manera incompleta</w:t>
      </w:r>
      <w:r w:rsidR="00E6531B" w:rsidRPr="004D5E25">
        <w:rPr>
          <w:color w:val="000000"/>
          <w:lang w:val="es-ES"/>
        </w:rPr>
        <w:t xml:space="preserve">, lo  cual da como resultado que el agravio sea </w:t>
      </w:r>
      <w:r w:rsidR="00E6531B" w:rsidRPr="004D5E25">
        <w:rPr>
          <w:b/>
          <w:bCs/>
          <w:color w:val="000000"/>
          <w:lang w:val="es-ES"/>
        </w:rPr>
        <w:t>FUNDADO</w:t>
      </w:r>
      <w:r w:rsidRPr="004D5E25">
        <w:rPr>
          <w:color w:val="000000"/>
          <w:lang w:val="es-ES"/>
        </w:rPr>
        <w:t>, pues omitió entregar los recibos de nómina de todos los titulares de área que entraron en funciones el primero de enero de dos mil veinticinco, tales como el Presidente del Sistema Municipal, el Titular de la Unidad de Psicología</w:t>
      </w:r>
      <w:r w:rsidR="00E6531B" w:rsidRPr="004D5E25">
        <w:rPr>
          <w:color w:val="000000"/>
          <w:lang w:val="es-ES"/>
        </w:rPr>
        <w:t>, de Trabajo Social, de Procuración de Fondos, de Discapacidad, de Salud, del Departamento de Protección, Atención y Restitución de Derechos Vulnerable, de Servicios Generales, de Contabilidad, de Auditoría y Control Interno, de la Autoridad Investigadora, Archivo y Oficialía de Partes y de Comunicación Social.</w:t>
      </w:r>
    </w:p>
    <w:p w14:paraId="3CE9DF81" w14:textId="77777777" w:rsidR="0043009E" w:rsidRPr="004D5E25" w:rsidRDefault="0043009E" w:rsidP="00761BC2">
      <w:pPr>
        <w:spacing w:after="0" w:line="360" w:lineRule="auto"/>
        <w:rPr>
          <w:color w:val="000000"/>
          <w:lang w:val="es-ES"/>
        </w:rPr>
      </w:pPr>
    </w:p>
    <w:p w14:paraId="03E17985" w14:textId="6F87189F" w:rsidR="008449FA" w:rsidRPr="004D5E25" w:rsidRDefault="00E6531B" w:rsidP="008449FA">
      <w:pPr>
        <w:spacing w:after="0" w:line="360" w:lineRule="auto"/>
        <w:rPr>
          <w:rFonts w:eastAsia="Times New Roman" w:cs="Times New Roman"/>
          <w:color w:val="auto"/>
          <w:lang w:eastAsia="es-ES"/>
        </w:rPr>
      </w:pPr>
      <w:r w:rsidRPr="004D5E25">
        <w:rPr>
          <w:color w:val="000000"/>
          <w:lang w:val="es-ES"/>
        </w:rPr>
        <w:t>De tal circunstancia, para atender el requerimiento de información, el Sujeto Obligado</w:t>
      </w:r>
      <w:r w:rsidR="008449FA" w:rsidRPr="004D5E25">
        <w:rPr>
          <w:color w:val="000000"/>
          <w:lang w:val="es-ES"/>
        </w:rPr>
        <w:t xml:space="preserve"> </w:t>
      </w:r>
      <w:r w:rsidR="008449FA" w:rsidRPr="004D5E25">
        <w:rPr>
          <w:rFonts w:eastAsia="Times New Roman" w:cs="Times New Roman"/>
          <w:color w:val="auto"/>
          <w:lang w:eastAsia="es-ES"/>
        </w:rPr>
        <w:t>deberá realizar una búsqueda exhaustiva y razonable en las unidades administrativas competentes, entre las cuales no podrá omitir a la Unidad de Recursos Humanos</w:t>
      </w:r>
      <w:r w:rsidR="008449FA" w:rsidRPr="004D5E25">
        <w:rPr>
          <w:rFonts w:eastAsia="Times New Roman" w:cs="Times New Roman"/>
          <w:bCs/>
          <w:color w:val="auto"/>
          <w:lang w:eastAsia="es-ES"/>
        </w:rPr>
        <w:t>,</w:t>
      </w:r>
      <w:r w:rsidR="008449FA" w:rsidRPr="004D5E25">
        <w:rPr>
          <w:rFonts w:eastAsia="Times New Roman" w:cs="Times New Roman"/>
          <w:b/>
          <w:color w:val="auto"/>
          <w:lang w:eastAsia="es-ES"/>
        </w:rPr>
        <w:t xml:space="preserve"> </w:t>
      </w:r>
      <w:r w:rsidR="008449FA" w:rsidRPr="004D5E25">
        <w:rPr>
          <w:rFonts w:eastAsia="Times New Roman" w:cs="Times New Roman"/>
          <w:color w:val="auto"/>
          <w:lang w:eastAsia="es-ES"/>
        </w:rPr>
        <w:t>en términos del artículo 162 de la Ley de Transparencia y Acceso a la Información Pública del Estado de México y Municipios, a efecto de que entregue los recibos de nómina faltantes;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7BFF903C" w14:textId="77777777" w:rsidR="008449FA" w:rsidRPr="004D5E25" w:rsidRDefault="008449FA" w:rsidP="008449FA">
      <w:pPr>
        <w:spacing w:after="0" w:line="360" w:lineRule="auto"/>
        <w:rPr>
          <w:rFonts w:eastAsia="Times New Roman" w:cs="Times New Roman"/>
          <w:color w:val="auto"/>
          <w:lang w:eastAsia="es-ES"/>
        </w:rPr>
      </w:pPr>
    </w:p>
    <w:p w14:paraId="164D36BD" w14:textId="77777777" w:rsidR="008449FA" w:rsidRPr="004D5E25" w:rsidRDefault="008449FA" w:rsidP="008449FA">
      <w:pPr>
        <w:spacing w:after="0" w:line="360" w:lineRule="auto"/>
        <w:rPr>
          <w:rFonts w:eastAsia="Times New Roman" w:cs="Times New Roman"/>
          <w:color w:val="auto"/>
          <w:lang w:eastAsia="es-ES"/>
        </w:rPr>
      </w:pPr>
      <w:r w:rsidRPr="004D5E25">
        <w:rPr>
          <w:rFonts w:eastAsia="Times New Roman" w:cs="Times New Roman"/>
          <w:color w:val="auto"/>
          <w:lang w:eastAsia="es-ES"/>
        </w:rPr>
        <w:t xml:space="preserve">De esta manera, el derecho de acceso a la información pública se satisface en aquellos casos en que se entregue el soporte documental en el que conste la información solicitada, sin necesidad </w:t>
      </w:r>
      <w:r w:rsidRPr="004D5E25">
        <w:rPr>
          <w:rFonts w:eastAsia="Times New Roman" w:cs="Times New Roman"/>
          <w:color w:val="auto"/>
          <w:lang w:eastAsia="es-ES"/>
        </w:rPr>
        <w:lastRenderedPageBreak/>
        <w:t xml:space="preserve">de elaborar documentos </w:t>
      </w:r>
      <w:r w:rsidRPr="004D5E25">
        <w:rPr>
          <w:rFonts w:eastAsia="Times New Roman" w:cs="Times New Roman"/>
          <w:i/>
          <w:color w:val="auto"/>
          <w:lang w:eastAsia="es-ES"/>
        </w:rPr>
        <w:t>ad hoc</w:t>
      </w:r>
      <w:r w:rsidRPr="004D5E25">
        <w:rPr>
          <w:rFonts w:eastAsia="Times New Roman" w:cs="Times New Roman"/>
          <w:color w:val="auto"/>
          <w:lang w:eastAsia="es-ES"/>
        </w:rPr>
        <w:t>; lo cual, de conformidad con en el artículo 160 de la Ley de Transparencia y Acceso a la Información Pública del Estado de México y Municipios, el cual refiere que los sujetos obligados deberán entregar la información que obre en sus archivos.</w:t>
      </w:r>
    </w:p>
    <w:p w14:paraId="2B399FF1" w14:textId="77777777" w:rsidR="008449FA" w:rsidRPr="004D5E25" w:rsidRDefault="008449FA" w:rsidP="008449FA">
      <w:pPr>
        <w:spacing w:after="0" w:line="360" w:lineRule="auto"/>
        <w:rPr>
          <w:rFonts w:eastAsia="Times New Roman" w:cs="Times New Roman"/>
          <w:b/>
          <w:color w:val="auto"/>
          <w:lang w:eastAsia="es-ES"/>
        </w:rPr>
      </w:pPr>
    </w:p>
    <w:p w14:paraId="746D46C1" w14:textId="77777777" w:rsidR="00D43425" w:rsidRPr="004D5E25" w:rsidRDefault="008449FA" w:rsidP="008449FA">
      <w:pPr>
        <w:spacing w:after="0" w:line="360" w:lineRule="auto"/>
        <w:rPr>
          <w:rFonts w:eastAsia="Times New Roman" w:cs="Times New Roman"/>
          <w:color w:val="auto"/>
          <w:lang w:eastAsia="es-ES"/>
        </w:rPr>
      </w:pPr>
      <w:r w:rsidRPr="004D5E25">
        <w:rPr>
          <w:rFonts w:eastAsia="Times New Roman" w:cs="Times New Roman"/>
          <w:color w:val="auto"/>
          <w:lang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recibos de nómina de los Titulares de Área faltantes</w:t>
      </w:r>
      <w:r w:rsidR="00D43425" w:rsidRPr="004D5E25">
        <w:rPr>
          <w:rFonts w:eastAsia="Times New Roman" w:cs="Times New Roman"/>
          <w:color w:val="auto"/>
          <w:lang w:eastAsia="es-ES"/>
        </w:rPr>
        <w:t>.</w:t>
      </w:r>
    </w:p>
    <w:p w14:paraId="03DB3B7C" w14:textId="77777777" w:rsidR="00D43425" w:rsidRPr="004D5E25" w:rsidRDefault="00D43425" w:rsidP="008449FA">
      <w:pPr>
        <w:spacing w:after="0" w:line="360" w:lineRule="auto"/>
        <w:rPr>
          <w:rFonts w:eastAsia="Times New Roman" w:cs="Times New Roman"/>
          <w:color w:val="auto"/>
          <w:lang w:eastAsia="es-ES"/>
        </w:rPr>
      </w:pPr>
    </w:p>
    <w:p w14:paraId="7E6E9D69" w14:textId="4BBF7E19" w:rsidR="00D43425" w:rsidRPr="004D5E25" w:rsidRDefault="00D43425" w:rsidP="008449FA">
      <w:pPr>
        <w:spacing w:after="0" w:line="360" w:lineRule="auto"/>
        <w:rPr>
          <w:rFonts w:eastAsia="Times New Roman" w:cs="Times New Roman"/>
          <w:color w:val="auto"/>
          <w:lang w:eastAsia="es-ES"/>
        </w:rPr>
      </w:pPr>
      <w:r w:rsidRPr="004D5E25">
        <w:t>Ahora bien, conforme a los artículos 11, 12 y 13 Bis-C de la Ley que crea los organismos públicos descentralizados de asistencia social y protección de la infancia y adolescencia, de carácter municipal, denominados "Sistemas Municipales para el Desarrollo Integral de la Familia", precisan que el cargo de Presidente del Sistema es honorífico, por lo que, en el caso que no se le hayan pagado remuneraciones deberá hacerlo del conocimiento de manera clara y precisa, en términos del artículo 19, párrafo segundo de la Ley de Transparencia y Acceso a la Información Pública del Estado de México y Municipios.</w:t>
      </w:r>
    </w:p>
    <w:p w14:paraId="4BEC8537" w14:textId="77777777" w:rsidR="00D43425" w:rsidRPr="004D5E25" w:rsidRDefault="00D43425" w:rsidP="008449FA">
      <w:pPr>
        <w:spacing w:after="0" w:line="360" w:lineRule="auto"/>
        <w:rPr>
          <w:rFonts w:eastAsia="Times New Roman" w:cs="Times New Roman"/>
          <w:color w:val="auto"/>
          <w:lang w:eastAsia="es-ES"/>
        </w:rPr>
      </w:pPr>
    </w:p>
    <w:p w14:paraId="5CB9ABA1" w14:textId="58097ECB" w:rsidR="008449FA" w:rsidRPr="004D5E25" w:rsidRDefault="008449FA" w:rsidP="008449FA">
      <w:pPr>
        <w:spacing w:after="0" w:line="360" w:lineRule="auto"/>
        <w:rPr>
          <w:rFonts w:eastAsia="Times New Roman" w:cs="Times New Roman"/>
          <w:color w:val="auto"/>
          <w:lang w:eastAsia="es-ES"/>
        </w:rPr>
      </w:pPr>
      <w:r w:rsidRPr="004D5E25">
        <w:rPr>
          <w:rFonts w:eastAsia="Times New Roman" w:cs="Times New Roman"/>
          <w:color w:val="auto"/>
          <w:lang w:eastAsia="es-ES"/>
        </w:rPr>
        <w:t xml:space="preserve"> </w:t>
      </w:r>
      <w:r w:rsidR="00D43425" w:rsidRPr="004D5E25">
        <w:rPr>
          <w:rFonts w:eastAsia="Times New Roman" w:cs="Times New Roman"/>
          <w:color w:val="auto"/>
          <w:lang w:eastAsia="es-ES"/>
        </w:rPr>
        <w:t>Ahora bien</w:t>
      </w:r>
      <w:r w:rsidRPr="004D5E25">
        <w:rPr>
          <w:rFonts w:eastAsia="Times New Roman" w:cs="Times New Roman"/>
          <w:color w:val="auto"/>
          <w:lang w:eastAsia="es-ES"/>
        </w:rPr>
        <w:t>, de la revisión de los recibos de nómina entregados, se logra vislumbrar que se clasificaron los siguientes datos:</w:t>
      </w:r>
    </w:p>
    <w:p w14:paraId="1ECE3E1D" w14:textId="77777777" w:rsidR="008449FA" w:rsidRPr="004D5E25" w:rsidRDefault="008449FA" w:rsidP="008449FA">
      <w:pPr>
        <w:spacing w:after="0" w:line="360" w:lineRule="auto"/>
        <w:rPr>
          <w:rFonts w:eastAsia="Times New Roman" w:cs="Times New Roman"/>
          <w:color w:val="auto"/>
          <w:lang w:eastAsia="es-ES"/>
        </w:rPr>
      </w:pPr>
    </w:p>
    <w:p w14:paraId="3C6BA2CF" w14:textId="77777777" w:rsidR="008449FA" w:rsidRPr="004D5E25" w:rsidRDefault="008449FA" w:rsidP="008449FA">
      <w:pPr>
        <w:numPr>
          <w:ilvl w:val="0"/>
          <w:numId w:val="31"/>
        </w:numPr>
        <w:spacing w:after="0" w:line="360" w:lineRule="auto"/>
        <w:ind w:right="-28"/>
        <w:contextualSpacing/>
      </w:pPr>
      <w:r w:rsidRPr="004D5E25">
        <w:t xml:space="preserve">Clave Única de Registro de Población (CURP); </w:t>
      </w:r>
    </w:p>
    <w:p w14:paraId="0851AD94" w14:textId="05AEAD6F" w:rsidR="008449FA" w:rsidRPr="004D5E25" w:rsidRDefault="008449FA" w:rsidP="008449FA">
      <w:pPr>
        <w:numPr>
          <w:ilvl w:val="0"/>
          <w:numId w:val="31"/>
        </w:numPr>
        <w:spacing w:after="0" w:line="360" w:lineRule="auto"/>
        <w:ind w:right="-28"/>
        <w:contextualSpacing/>
      </w:pPr>
      <w:r w:rsidRPr="004D5E25">
        <w:t>Número de seguridad social del Instituto de Seguridad Social del Estado de México y Municipios;</w:t>
      </w:r>
    </w:p>
    <w:p w14:paraId="23069B85" w14:textId="77777777" w:rsidR="008449FA" w:rsidRPr="004D5E25" w:rsidRDefault="008449FA" w:rsidP="008449FA">
      <w:pPr>
        <w:numPr>
          <w:ilvl w:val="0"/>
          <w:numId w:val="31"/>
        </w:numPr>
        <w:spacing w:after="0" w:line="360" w:lineRule="auto"/>
        <w:ind w:right="-28"/>
        <w:contextualSpacing/>
      </w:pPr>
      <w:r w:rsidRPr="004D5E25">
        <w:t xml:space="preserve">Registro Federal de Contribuyentes del servidor público (RFC); </w:t>
      </w:r>
    </w:p>
    <w:p w14:paraId="4F891009" w14:textId="77777777" w:rsidR="008449FA" w:rsidRPr="004D5E25" w:rsidRDefault="008449FA" w:rsidP="008449FA">
      <w:pPr>
        <w:numPr>
          <w:ilvl w:val="0"/>
          <w:numId w:val="31"/>
        </w:numPr>
        <w:spacing w:after="0" w:line="360" w:lineRule="auto"/>
        <w:ind w:right="-28"/>
        <w:contextualSpacing/>
      </w:pPr>
      <w:r w:rsidRPr="004D5E25">
        <w:t>Código bidimensional o QR;</w:t>
      </w:r>
    </w:p>
    <w:p w14:paraId="0BFBEE75" w14:textId="77777777" w:rsidR="008449FA" w:rsidRPr="004D5E25" w:rsidRDefault="008449FA" w:rsidP="008449FA">
      <w:pPr>
        <w:numPr>
          <w:ilvl w:val="0"/>
          <w:numId w:val="31"/>
        </w:numPr>
        <w:spacing w:after="0" w:line="360" w:lineRule="auto"/>
        <w:ind w:right="-28"/>
        <w:contextualSpacing/>
      </w:pPr>
      <w:r w:rsidRPr="004D5E25">
        <w:t>Deducciones por Ley;</w:t>
      </w:r>
    </w:p>
    <w:p w14:paraId="5AF7B9C5" w14:textId="77777777" w:rsidR="008449FA" w:rsidRPr="004D5E25" w:rsidRDefault="008449FA" w:rsidP="008449FA">
      <w:pPr>
        <w:numPr>
          <w:ilvl w:val="0"/>
          <w:numId w:val="31"/>
        </w:numPr>
        <w:spacing w:after="0" w:line="360" w:lineRule="auto"/>
        <w:ind w:right="-28"/>
        <w:contextualSpacing/>
      </w:pPr>
      <w:r w:rsidRPr="004D5E25">
        <w:t>Deducciones personales;</w:t>
      </w:r>
    </w:p>
    <w:p w14:paraId="0A3723CC" w14:textId="77777777" w:rsidR="00D43425" w:rsidRPr="004D5E25" w:rsidRDefault="00D43425" w:rsidP="00D43425">
      <w:pPr>
        <w:spacing w:after="0" w:line="360" w:lineRule="auto"/>
        <w:ind w:left="720" w:right="-28"/>
        <w:contextualSpacing/>
      </w:pPr>
    </w:p>
    <w:p w14:paraId="3815E2EA" w14:textId="77777777" w:rsidR="008449FA" w:rsidRPr="004D5E25" w:rsidRDefault="008449FA" w:rsidP="008449FA">
      <w:pPr>
        <w:numPr>
          <w:ilvl w:val="0"/>
          <w:numId w:val="31"/>
        </w:numPr>
        <w:spacing w:after="0" w:line="360" w:lineRule="auto"/>
        <w:rPr>
          <w:rFonts w:cs="Tahoma"/>
          <w:bCs/>
          <w:iCs/>
          <w:color w:val="auto"/>
        </w:rPr>
      </w:pPr>
      <w:r w:rsidRPr="004D5E25">
        <w:rPr>
          <w:rFonts w:cs="Tahoma"/>
          <w:bCs/>
          <w:iCs/>
          <w:color w:val="auto"/>
        </w:rPr>
        <w:t>Sellos digitales del emisor y del Servicio de Administración Tributaria y cadena original del complemento de certificación digital del órgano previamente señalado;</w:t>
      </w:r>
    </w:p>
    <w:p w14:paraId="3AAF0B24" w14:textId="77777777" w:rsidR="008449FA" w:rsidRPr="004D5E25" w:rsidRDefault="008449FA" w:rsidP="008449FA">
      <w:pPr>
        <w:numPr>
          <w:ilvl w:val="0"/>
          <w:numId w:val="31"/>
        </w:numPr>
        <w:spacing w:after="0" w:line="360" w:lineRule="auto"/>
        <w:rPr>
          <w:rFonts w:cs="Tahoma"/>
          <w:bCs/>
          <w:iCs/>
          <w:color w:val="auto"/>
        </w:rPr>
      </w:pPr>
      <w:r w:rsidRPr="004D5E25">
        <w:t>Cadena original del complemento de certificación digital del órgano previamente señalado;</w:t>
      </w:r>
    </w:p>
    <w:p w14:paraId="684B3FA3" w14:textId="0206D20C" w:rsidR="008449FA" w:rsidRPr="004D5E25" w:rsidRDefault="008449FA" w:rsidP="008449FA">
      <w:pPr>
        <w:numPr>
          <w:ilvl w:val="0"/>
          <w:numId w:val="31"/>
        </w:numPr>
        <w:spacing w:after="0" w:line="360" w:lineRule="auto"/>
        <w:rPr>
          <w:rFonts w:cs="Tahoma"/>
          <w:bCs/>
          <w:iCs/>
          <w:color w:val="auto"/>
        </w:rPr>
      </w:pPr>
      <w:r w:rsidRPr="004D5E25">
        <w:t>Números de serie de los certificados de sellos digitales, y</w:t>
      </w:r>
    </w:p>
    <w:p w14:paraId="29D54F12" w14:textId="64316E1B" w:rsidR="008449FA" w:rsidRPr="004D5E25" w:rsidRDefault="008449FA" w:rsidP="008449FA">
      <w:pPr>
        <w:numPr>
          <w:ilvl w:val="0"/>
          <w:numId w:val="31"/>
        </w:numPr>
        <w:spacing w:after="0" w:line="360" w:lineRule="auto"/>
        <w:rPr>
          <w:rFonts w:cs="Tahoma"/>
          <w:bCs/>
          <w:iCs/>
          <w:color w:val="auto"/>
        </w:rPr>
      </w:pPr>
      <w:r w:rsidRPr="004D5E25">
        <w:rPr>
          <w:rFonts w:cs="Tahoma"/>
          <w:bCs/>
          <w:iCs/>
          <w:color w:val="auto"/>
        </w:rPr>
        <w:t>Folio fiscal.</w:t>
      </w:r>
    </w:p>
    <w:p w14:paraId="2E70669E" w14:textId="77777777" w:rsidR="008449FA" w:rsidRPr="004D5E25" w:rsidRDefault="008449FA" w:rsidP="008449FA">
      <w:pPr>
        <w:spacing w:after="0" w:line="360" w:lineRule="auto"/>
        <w:rPr>
          <w:rFonts w:eastAsia="Times New Roman" w:cs="Times New Roman"/>
          <w:color w:val="auto"/>
          <w:lang w:eastAsia="es-ES"/>
        </w:rPr>
      </w:pPr>
    </w:p>
    <w:p w14:paraId="3D523ED7"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lang w:val="es-ES" w:eastAsia="en-U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4D5E25">
        <w:rPr>
          <w:rFonts w:eastAsia="Times New Roman" w:cs="Tahoma"/>
          <w:bCs/>
          <w:iCs/>
          <w:color w:val="auto"/>
        </w:rPr>
        <w:t xml:space="preserve"> rijan el tratamiento de datos, por razones de seguridad nacional, disposiciones de orden público, seguridad y salud públicas o para proteger los derechos de terceros.</w:t>
      </w:r>
    </w:p>
    <w:p w14:paraId="17419A45" w14:textId="77777777" w:rsidR="008449FA" w:rsidRPr="004D5E25" w:rsidRDefault="008449FA" w:rsidP="008449FA">
      <w:pPr>
        <w:tabs>
          <w:tab w:val="left" w:pos="4962"/>
        </w:tabs>
        <w:spacing w:after="0" w:line="360" w:lineRule="auto"/>
        <w:contextualSpacing/>
        <w:rPr>
          <w:rFonts w:eastAsia="Times New Roman" w:cs="Tahoma"/>
          <w:bCs/>
          <w:lang w:eastAsia="en-US"/>
        </w:rPr>
      </w:pPr>
    </w:p>
    <w:p w14:paraId="4AC80C94"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797567D" w14:textId="77777777" w:rsidR="008449FA" w:rsidRPr="004D5E25" w:rsidRDefault="008449FA" w:rsidP="008449FA">
      <w:pPr>
        <w:tabs>
          <w:tab w:val="left" w:pos="2145"/>
        </w:tabs>
        <w:spacing w:after="0" w:line="360" w:lineRule="auto"/>
        <w:contextualSpacing/>
        <w:rPr>
          <w:rFonts w:eastAsia="Times New Roman" w:cs="Tahoma"/>
          <w:bCs/>
          <w:iCs/>
          <w:color w:val="auto"/>
        </w:rPr>
      </w:pPr>
      <w:r w:rsidRPr="004D5E25">
        <w:rPr>
          <w:rFonts w:eastAsia="Times New Roman" w:cs="Tahoma"/>
          <w:bCs/>
          <w:iCs/>
          <w:color w:val="auto"/>
        </w:rPr>
        <w:tab/>
      </w:r>
    </w:p>
    <w:p w14:paraId="03DDF99E"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w:t>
      </w:r>
      <w:r w:rsidRPr="004D5E25">
        <w:rPr>
          <w:rFonts w:eastAsia="Times New Roman" w:cs="Tahoma"/>
          <w:bCs/>
          <w:iCs/>
          <w:color w:val="auto"/>
        </w:rPr>
        <w:lastRenderedPageBreak/>
        <w:t>personas, será protegida a través de un marco jurídico rígido, de tratamiento y manejo de datos personales.</w:t>
      </w:r>
    </w:p>
    <w:p w14:paraId="75BDCDC7" w14:textId="77777777" w:rsidR="008449FA" w:rsidRPr="004D5E25" w:rsidRDefault="008449FA" w:rsidP="008449FA">
      <w:pPr>
        <w:spacing w:after="0" w:line="360" w:lineRule="auto"/>
        <w:contextualSpacing/>
        <w:rPr>
          <w:rFonts w:eastAsia="Times New Roman" w:cs="Tahoma"/>
          <w:bCs/>
          <w:iCs/>
          <w:color w:val="auto"/>
        </w:rPr>
      </w:pPr>
    </w:p>
    <w:p w14:paraId="0D8C5204"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B332DB5" w14:textId="77777777" w:rsidR="008449FA" w:rsidRPr="004D5E25" w:rsidRDefault="008449FA" w:rsidP="008449FA">
      <w:pPr>
        <w:spacing w:after="0" w:line="360" w:lineRule="auto"/>
        <w:contextualSpacing/>
        <w:rPr>
          <w:rFonts w:eastAsia="Times New Roman" w:cs="Tahoma"/>
          <w:bCs/>
          <w:iCs/>
          <w:color w:val="auto"/>
        </w:rPr>
      </w:pPr>
    </w:p>
    <w:p w14:paraId="556D52D1"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E0F0280" w14:textId="77777777" w:rsidR="008449FA" w:rsidRPr="004D5E25" w:rsidRDefault="008449FA" w:rsidP="008449FA">
      <w:pPr>
        <w:spacing w:after="0" w:line="360" w:lineRule="auto"/>
        <w:contextualSpacing/>
        <w:rPr>
          <w:rFonts w:eastAsia="Times New Roman" w:cs="Tahoma"/>
          <w:bCs/>
          <w:iCs/>
          <w:color w:val="auto"/>
        </w:rPr>
      </w:pPr>
    </w:p>
    <w:p w14:paraId="00DFDBE5"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703892E" w14:textId="77777777" w:rsidR="008449FA" w:rsidRPr="004D5E25" w:rsidRDefault="008449FA" w:rsidP="008449FA">
      <w:pPr>
        <w:spacing w:after="0" w:line="360" w:lineRule="auto"/>
        <w:contextualSpacing/>
        <w:rPr>
          <w:rFonts w:eastAsia="Times New Roman" w:cs="Tahoma"/>
          <w:bCs/>
          <w:iCs/>
          <w:color w:val="auto"/>
        </w:rPr>
      </w:pPr>
    </w:p>
    <w:p w14:paraId="4DB26AE6"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En términos de lo expuesto, la documentación y aquellos datos que se consideren confidenciales, serán una limitante del derecho de acceso a la información, siempre y cuando:</w:t>
      </w:r>
    </w:p>
    <w:p w14:paraId="50BBDFF2" w14:textId="77777777" w:rsidR="008449FA" w:rsidRPr="004D5E25" w:rsidRDefault="008449FA" w:rsidP="008449FA">
      <w:pPr>
        <w:spacing w:after="0" w:line="360" w:lineRule="auto"/>
        <w:contextualSpacing/>
        <w:rPr>
          <w:rFonts w:eastAsia="Times New Roman" w:cs="Tahoma"/>
          <w:bCs/>
          <w:iCs/>
          <w:color w:val="auto"/>
        </w:rPr>
      </w:pPr>
    </w:p>
    <w:p w14:paraId="528B15BD" w14:textId="77777777" w:rsidR="008449FA" w:rsidRPr="004D5E25" w:rsidRDefault="008449FA" w:rsidP="008449FA">
      <w:pPr>
        <w:numPr>
          <w:ilvl w:val="0"/>
          <w:numId w:val="22"/>
        </w:numPr>
        <w:spacing w:after="0" w:line="360" w:lineRule="auto"/>
        <w:contextualSpacing/>
        <w:rPr>
          <w:rFonts w:eastAsia="Times New Roman" w:cs="Tahoma"/>
          <w:bCs/>
          <w:iCs/>
          <w:color w:val="auto"/>
        </w:rPr>
      </w:pPr>
      <w:r w:rsidRPr="004D5E25">
        <w:rPr>
          <w:rFonts w:eastAsia="Times New Roman" w:cs="Tahoma"/>
          <w:bCs/>
          <w:iCs/>
          <w:color w:val="auto"/>
        </w:rPr>
        <w:t xml:space="preserve">Se trate de datos personales o información privada; esto es, información concerniente a una persona física o jurídico colectiva y que esta sea identificada o identificable. </w:t>
      </w:r>
    </w:p>
    <w:p w14:paraId="3CCDD0CC" w14:textId="77777777" w:rsidR="008449FA" w:rsidRPr="004D5E25" w:rsidRDefault="008449FA" w:rsidP="008449FA">
      <w:pPr>
        <w:spacing w:after="0" w:line="360" w:lineRule="auto"/>
        <w:ind w:left="720"/>
        <w:contextualSpacing/>
        <w:rPr>
          <w:rFonts w:eastAsia="Times New Roman" w:cs="Tahoma"/>
          <w:bCs/>
          <w:iCs/>
          <w:color w:val="auto"/>
        </w:rPr>
      </w:pPr>
    </w:p>
    <w:p w14:paraId="3ECFF37B" w14:textId="77777777" w:rsidR="008449FA" w:rsidRPr="004D5E25" w:rsidRDefault="008449FA" w:rsidP="008449FA">
      <w:pPr>
        <w:numPr>
          <w:ilvl w:val="0"/>
          <w:numId w:val="22"/>
        </w:numPr>
        <w:spacing w:after="0" w:line="360" w:lineRule="auto"/>
        <w:contextualSpacing/>
        <w:rPr>
          <w:rFonts w:eastAsia="Times New Roman" w:cs="Tahoma"/>
          <w:bCs/>
          <w:iCs/>
          <w:color w:val="auto"/>
        </w:rPr>
      </w:pPr>
      <w:r w:rsidRPr="004D5E25">
        <w:rPr>
          <w:rFonts w:eastAsia="Times New Roman" w:cs="Tahoma"/>
          <w:bCs/>
          <w:iCs/>
          <w:color w:val="auto"/>
        </w:rPr>
        <w:t xml:space="preserve">Para la difusión de los datos, se requiera el consentimiento del titular. </w:t>
      </w:r>
    </w:p>
    <w:p w14:paraId="405C0806"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C313355" w14:textId="77777777" w:rsidR="00E6531B" w:rsidRPr="004D5E25" w:rsidRDefault="00E6531B" w:rsidP="00761BC2">
      <w:pPr>
        <w:spacing w:after="0" w:line="360" w:lineRule="auto"/>
        <w:rPr>
          <w:rFonts w:eastAsia="Calibri" w:cs="Tahoma"/>
          <w:color w:val="auto"/>
          <w:szCs w:val="20"/>
          <w:lang w:eastAsia="es-ES"/>
        </w:rPr>
      </w:pPr>
    </w:p>
    <w:p w14:paraId="1609733B"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lang w:val="es-E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4D5E25">
        <w:rPr>
          <w:rFonts w:eastAsia="Times New Roman" w:cs="Tahoma"/>
          <w:bCs/>
          <w:iCs/>
          <w:color w:val="auto"/>
        </w:rPr>
        <w:t xml:space="preserve"> rijan el tratamiento de datos, por razones de seguridad nacional, disposiciones de orden público, seguridad y salud públicas o para proteger los derechos de terceros.</w:t>
      </w:r>
    </w:p>
    <w:p w14:paraId="039657C2" w14:textId="77777777" w:rsidR="008449FA" w:rsidRPr="004D5E25" w:rsidRDefault="008449FA" w:rsidP="008449FA">
      <w:pPr>
        <w:tabs>
          <w:tab w:val="left" w:pos="4962"/>
        </w:tabs>
        <w:spacing w:after="0" w:line="360" w:lineRule="auto"/>
        <w:contextualSpacing/>
        <w:rPr>
          <w:rFonts w:eastAsia="Times New Roman" w:cs="Tahoma"/>
          <w:bCs/>
        </w:rPr>
      </w:pPr>
    </w:p>
    <w:p w14:paraId="39B15F3B"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649F2549" w14:textId="77777777" w:rsidR="008449FA" w:rsidRPr="004D5E25" w:rsidRDefault="008449FA" w:rsidP="008449FA">
      <w:pPr>
        <w:tabs>
          <w:tab w:val="left" w:pos="2145"/>
        </w:tabs>
        <w:spacing w:after="0" w:line="360" w:lineRule="auto"/>
        <w:contextualSpacing/>
        <w:rPr>
          <w:rFonts w:eastAsia="Times New Roman" w:cs="Tahoma"/>
          <w:bCs/>
          <w:iCs/>
          <w:color w:val="auto"/>
        </w:rPr>
      </w:pPr>
      <w:r w:rsidRPr="004D5E25">
        <w:rPr>
          <w:rFonts w:eastAsia="Times New Roman" w:cs="Tahoma"/>
          <w:bCs/>
          <w:iCs/>
          <w:color w:val="auto"/>
        </w:rPr>
        <w:tab/>
      </w:r>
    </w:p>
    <w:p w14:paraId="48664CF7"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w:t>
      </w:r>
      <w:r w:rsidRPr="004D5E25">
        <w:rPr>
          <w:rFonts w:eastAsia="Times New Roman" w:cs="Tahoma"/>
          <w:bCs/>
          <w:iCs/>
          <w:color w:val="auto"/>
        </w:rPr>
        <w:lastRenderedPageBreak/>
        <w:t>personas, será protegida a través de un marco jurídico rígido, de tratamiento y manejo de datos personales.</w:t>
      </w:r>
    </w:p>
    <w:p w14:paraId="17A38BB4" w14:textId="77777777" w:rsidR="008449FA" w:rsidRPr="004D5E25" w:rsidRDefault="008449FA" w:rsidP="008449FA">
      <w:pPr>
        <w:spacing w:after="0" w:line="360" w:lineRule="auto"/>
        <w:contextualSpacing/>
        <w:rPr>
          <w:rFonts w:eastAsia="Times New Roman" w:cs="Tahoma"/>
          <w:bCs/>
          <w:iCs/>
          <w:color w:val="auto"/>
        </w:rPr>
      </w:pPr>
    </w:p>
    <w:p w14:paraId="78334869"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26DE40C" w14:textId="77777777" w:rsidR="008449FA" w:rsidRPr="004D5E25" w:rsidRDefault="008449FA" w:rsidP="008449FA">
      <w:pPr>
        <w:spacing w:after="0" w:line="360" w:lineRule="auto"/>
        <w:contextualSpacing/>
        <w:rPr>
          <w:rFonts w:eastAsia="Times New Roman" w:cs="Tahoma"/>
          <w:bCs/>
          <w:iCs/>
          <w:color w:val="auto"/>
        </w:rPr>
      </w:pPr>
    </w:p>
    <w:p w14:paraId="2CD27C99"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202C410" w14:textId="77777777" w:rsidR="008449FA" w:rsidRPr="004D5E25" w:rsidRDefault="008449FA" w:rsidP="008449FA">
      <w:pPr>
        <w:spacing w:after="0" w:line="360" w:lineRule="auto"/>
        <w:contextualSpacing/>
        <w:rPr>
          <w:rFonts w:eastAsia="Times New Roman" w:cs="Tahoma"/>
          <w:bCs/>
          <w:iCs/>
          <w:color w:val="auto"/>
        </w:rPr>
      </w:pPr>
    </w:p>
    <w:p w14:paraId="5F28626B"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B547D16" w14:textId="77777777" w:rsidR="008449FA" w:rsidRPr="004D5E25" w:rsidRDefault="008449FA" w:rsidP="008449FA">
      <w:pPr>
        <w:spacing w:after="0" w:line="360" w:lineRule="auto"/>
        <w:contextualSpacing/>
        <w:rPr>
          <w:rFonts w:eastAsia="Times New Roman" w:cs="Tahoma"/>
          <w:bCs/>
          <w:iCs/>
          <w:color w:val="auto"/>
        </w:rPr>
      </w:pPr>
    </w:p>
    <w:p w14:paraId="634F8324"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t>En términos de lo expuesto, la documentación y aquellos datos que se consideren confidenciales, serán una limitante del derecho de acceso a la información, siempre y cuando:</w:t>
      </w:r>
    </w:p>
    <w:p w14:paraId="7C66E739" w14:textId="77777777" w:rsidR="008449FA" w:rsidRPr="004D5E25" w:rsidRDefault="008449FA" w:rsidP="008449FA">
      <w:pPr>
        <w:spacing w:after="0" w:line="360" w:lineRule="auto"/>
        <w:contextualSpacing/>
        <w:rPr>
          <w:rFonts w:eastAsia="Times New Roman" w:cs="Tahoma"/>
          <w:bCs/>
          <w:iCs/>
          <w:color w:val="auto"/>
        </w:rPr>
      </w:pPr>
    </w:p>
    <w:p w14:paraId="12C16C2C" w14:textId="77777777" w:rsidR="008449FA" w:rsidRPr="004D5E25" w:rsidRDefault="008449FA" w:rsidP="008449FA">
      <w:pPr>
        <w:numPr>
          <w:ilvl w:val="0"/>
          <w:numId w:val="33"/>
        </w:numPr>
        <w:spacing w:after="0" w:line="360" w:lineRule="auto"/>
        <w:contextualSpacing/>
        <w:rPr>
          <w:rFonts w:eastAsia="Times New Roman" w:cs="Tahoma"/>
          <w:bCs/>
          <w:iCs/>
          <w:color w:val="auto"/>
        </w:rPr>
      </w:pPr>
      <w:r w:rsidRPr="004D5E25">
        <w:rPr>
          <w:rFonts w:eastAsia="Times New Roman" w:cs="Tahoma"/>
          <w:bCs/>
          <w:iCs/>
          <w:color w:val="auto"/>
        </w:rPr>
        <w:t xml:space="preserve">Se trate de datos personales o información privada; esto es, información concerniente a una persona física o jurídico colectiva y que esta sea identificada o identificable. </w:t>
      </w:r>
    </w:p>
    <w:p w14:paraId="69DF3FE6" w14:textId="77777777" w:rsidR="008449FA" w:rsidRPr="004D5E25" w:rsidRDefault="008449FA" w:rsidP="008449FA">
      <w:pPr>
        <w:numPr>
          <w:ilvl w:val="0"/>
          <w:numId w:val="33"/>
        </w:numPr>
        <w:spacing w:after="0" w:line="360" w:lineRule="auto"/>
        <w:contextualSpacing/>
        <w:rPr>
          <w:rFonts w:eastAsia="Times New Roman" w:cs="Tahoma"/>
          <w:bCs/>
          <w:iCs/>
          <w:color w:val="auto"/>
        </w:rPr>
      </w:pPr>
      <w:r w:rsidRPr="004D5E25">
        <w:rPr>
          <w:rFonts w:eastAsia="Times New Roman" w:cs="Tahoma"/>
          <w:bCs/>
          <w:iCs/>
          <w:color w:val="auto"/>
        </w:rPr>
        <w:t xml:space="preserve">Para la difusión de los datos, se requiera el consentimiento del titular. </w:t>
      </w:r>
    </w:p>
    <w:p w14:paraId="34A340AF" w14:textId="77777777" w:rsidR="008449FA" w:rsidRPr="004D5E25" w:rsidRDefault="008449FA" w:rsidP="008449FA">
      <w:pPr>
        <w:spacing w:after="0" w:line="360" w:lineRule="auto"/>
        <w:contextualSpacing/>
        <w:rPr>
          <w:rFonts w:eastAsia="Times New Roman" w:cs="Tahoma"/>
          <w:bCs/>
          <w:iCs/>
          <w:color w:val="auto"/>
        </w:rPr>
      </w:pPr>
    </w:p>
    <w:p w14:paraId="75F54327" w14:textId="77777777" w:rsidR="008449FA" w:rsidRPr="004D5E25" w:rsidRDefault="008449FA" w:rsidP="008449FA">
      <w:pPr>
        <w:spacing w:after="0" w:line="360" w:lineRule="auto"/>
        <w:contextualSpacing/>
        <w:rPr>
          <w:rFonts w:eastAsia="Times New Roman" w:cs="Tahoma"/>
          <w:bCs/>
          <w:iCs/>
          <w:color w:val="auto"/>
        </w:rPr>
      </w:pPr>
      <w:r w:rsidRPr="004D5E25">
        <w:rPr>
          <w:rFonts w:eastAsia="Times New Roman" w:cs="Tahoma"/>
          <w:bCs/>
          <w:iCs/>
          <w:color w:val="auto"/>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4441FFB5" w14:textId="77777777" w:rsidR="00412A97" w:rsidRPr="004D5E25" w:rsidRDefault="00412A97" w:rsidP="00761BC2">
      <w:pPr>
        <w:spacing w:after="0" w:line="360" w:lineRule="auto"/>
        <w:rPr>
          <w:rFonts w:cs="Tahoma"/>
          <w:bCs/>
          <w:iCs/>
        </w:rPr>
      </w:pPr>
    </w:p>
    <w:p w14:paraId="6198A385" w14:textId="77777777" w:rsidR="008449FA" w:rsidRPr="004D5E25" w:rsidRDefault="008449FA" w:rsidP="008449FA">
      <w:pPr>
        <w:numPr>
          <w:ilvl w:val="0"/>
          <w:numId w:val="29"/>
        </w:numPr>
        <w:spacing w:after="0" w:line="360" w:lineRule="auto"/>
        <w:contextualSpacing/>
        <w:rPr>
          <w:rFonts w:eastAsia="Times New Roman" w:cs="Tahoma"/>
          <w:b/>
          <w:bCs/>
          <w:iCs/>
          <w:color w:val="auto"/>
          <w:lang w:val="es-ES_tradnl"/>
        </w:rPr>
      </w:pPr>
      <w:r w:rsidRPr="004D5E25">
        <w:rPr>
          <w:rFonts w:eastAsiaTheme="minorHAnsi" w:cs="Tahoma"/>
          <w:b/>
          <w:bCs/>
          <w:iCs/>
          <w:color w:val="auto"/>
        </w:rPr>
        <w:t>C</w:t>
      </w:r>
      <w:r w:rsidRPr="004D5E25">
        <w:rPr>
          <w:rFonts w:eastAsiaTheme="minorHAnsi" w:cs="Tahoma"/>
          <w:b/>
          <w:bCs/>
          <w:iCs/>
          <w:color w:val="auto"/>
          <w:lang w:val="es-ES_tradnl"/>
        </w:rPr>
        <w:t>lave Única de Registro de Población (CURP)</w:t>
      </w:r>
    </w:p>
    <w:p w14:paraId="37C6194E" w14:textId="77777777" w:rsidR="008449FA" w:rsidRPr="004D5E25" w:rsidRDefault="008449FA" w:rsidP="008449FA">
      <w:pPr>
        <w:spacing w:after="0" w:line="360" w:lineRule="auto"/>
        <w:rPr>
          <w:rFonts w:eastAsiaTheme="minorHAnsi" w:cs="Tahoma"/>
          <w:bCs/>
          <w:iCs/>
          <w:color w:val="auto"/>
        </w:rPr>
      </w:pPr>
    </w:p>
    <w:p w14:paraId="45C5A611"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A80C71F" w14:textId="77777777" w:rsidR="008449FA" w:rsidRPr="004D5E25" w:rsidRDefault="008449FA" w:rsidP="008449FA">
      <w:pPr>
        <w:spacing w:after="0" w:line="360" w:lineRule="auto"/>
        <w:rPr>
          <w:rFonts w:eastAsiaTheme="minorHAnsi" w:cs="Tahoma"/>
          <w:bCs/>
          <w:iCs/>
          <w:color w:val="auto"/>
        </w:rPr>
      </w:pPr>
    </w:p>
    <w:p w14:paraId="4963CE26"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4E85223" w14:textId="77777777" w:rsidR="008449FA" w:rsidRPr="004D5E25" w:rsidRDefault="008449FA" w:rsidP="008449FA">
      <w:pPr>
        <w:spacing w:after="0" w:line="360" w:lineRule="auto"/>
        <w:rPr>
          <w:rFonts w:eastAsiaTheme="minorHAnsi" w:cs="Tahoma"/>
          <w:bCs/>
          <w:iCs/>
          <w:color w:val="auto"/>
        </w:rPr>
      </w:pPr>
    </w:p>
    <w:p w14:paraId="2FA3C363"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En ese orden de ideas, la Secretaría de Gobernación en las direcciones </w:t>
      </w:r>
      <w:hyperlink r:id="rId11" w:history="1">
        <w:r w:rsidRPr="004D5E25">
          <w:rPr>
            <w:rFonts w:eastAsiaTheme="minorHAnsi" w:cs="Tahoma"/>
            <w:bCs/>
            <w:iCs/>
            <w:color w:val="auto"/>
            <w:u w:val="single"/>
          </w:rPr>
          <w:t>https://consultas.curp.gob.mx/CurpSP/html/informacionecurpPS.html</w:t>
        </w:r>
      </w:hyperlink>
      <w:r w:rsidRPr="004D5E25">
        <w:rPr>
          <w:rFonts w:eastAsiaTheme="minorHAnsi" w:cs="Tahoma"/>
          <w:bCs/>
          <w:iCs/>
          <w:color w:val="auto"/>
        </w:rPr>
        <w:t xml:space="preserve"> y </w:t>
      </w:r>
      <w:hyperlink r:id="rId12" w:history="1">
        <w:r w:rsidRPr="004D5E25">
          <w:rPr>
            <w:rFonts w:eastAsiaTheme="minorHAnsi" w:cs="Tahoma"/>
            <w:bCs/>
            <w:iCs/>
            <w:color w:val="auto"/>
            <w:u w:val="single"/>
          </w:rPr>
          <w:t>https://www.gob.mx/segob/renapo/acciones-y-programas/clave-unica-de-registro-de-poblacion-curp-142226</w:t>
        </w:r>
      </w:hyperlink>
      <w:r w:rsidRPr="004D5E25">
        <w:rPr>
          <w:rFonts w:eastAsiaTheme="minorHAnsi" w:cs="Tahoma"/>
          <w:bCs/>
          <w:iCs/>
          <w:color w:val="auto"/>
        </w:rPr>
        <w:t xml:space="preserve"> (consultadas el diecisiete de mayo de dos mil veintitrés), estableció que la Clave Única del Registro de Población, es un instrumento de registro que se asigna a todas </w:t>
      </w:r>
      <w:r w:rsidRPr="004D5E25">
        <w:rPr>
          <w:rFonts w:eastAsiaTheme="minorHAnsi" w:cs="Tahoma"/>
          <w:bCs/>
          <w:iCs/>
          <w:color w:val="auto"/>
        </w:rPr>
        <w:lastRenderedPageBreak/>
        <w:t xml:space="preserve">las personas que viven en el territorio nacional, así como a los mexicanos que residen en el extranjero y se compone de dieciocho elementos, representados por letras y números, que </w:t>
      </w:r>
      <w:r w:rsidRPr="004D5E25">
        <w:rPr>
          <w:rFonts w:eastAsiaTheme="minorHAnsi" w:cs="Tahoma"/>
          <w:b/>
          <w:bCs/>
          <w:iCs/>
          <w:color w:val="auto"/>
        </w:rPr>
        <w:t>se generan a partir de los datos contenidos en el documento probatorio de la identidad</w:t>
      </w:r>
      <w:r w:rsidRPr="004D5E25">
        <w:rPr>
          <w:rFonts w:eastAsiaTheme="minorHAnsi" w:cs="Tahoma"/>
          <w:bCs/>
          <w:iCs/>
          <w:color w:val="auto"/>
        </w:rPr>
        <w:t xml:space="preserve"> </w:t>
      </w:r>
      <w:r w:rsidRPr="004D5E25">
        <w:rPr>
          <w:rFonts w:eastAsiaTheme="minorHAnsi" w:cs="Tahoma"/>
          <w:b/>
          <w:bCs/>
          <w:iCs/>
          <w:color w:val="auto"/>
        </w:rPr>
        <w:t xml:space="preserve">del interesado </w:t>
      </w:r>
      <w:r w:rsidRPr="004D5E25">
        <w:rPr>
          <w:rFonts w:eastAsiaTheme="minorHAnsi" w:cs="Tahoma"/>
          <w:bCs/>
          <w:iCs/>
          <w:color w:val="auto"/>
        </w:rPr>
        <w:t>(acta de nacimiento, carta de naturalización o documento migratorio) de la siguiente forma:</w:t>
      </w:r>
    </w:p>
    <w:p w14:paraId="388B690F" w14:textId="77777777" w:rsidR="008449FA" w:rsidRPr="004D5E25" w:rsidRDefault="008449FA" w:rsidP="008449FA">
      <w:pPr>
        <w:spacing w:after="0" w:line="360" w:lineRule="auto"/>
        <w:rPr>
          <w:rFonts w:eastAsiaTheme="minorHAnsi" w:cs="Tahoma"/>
          <w:bCs/>
          <w:iCs/>
          <w:color w:val="auto"/>
        </w:rPr>
      </w:pPr>
    </w:p>
    <w:p w14:paraId="574A31D9" w14:textId="77777777" w:rsidR="008449FA" w:rsidRPr="004D5E25" w:rsidRDefault="008449FA" w:rsidP="008449FA">
      <w:pPr>
        <w:numPr>
          <w:ilvl w:val="0"/>
          <w:numId w:val="34"/>
        </w:numPr>
        <w:spacing w:after="0" w:line="360" w:lineRule="auto"/>
        <w:rPr>
          <w:rFonts w:eastAsiaTheme="minorHAnsi" w:cs="Tahoma"/>
          <w:bCs/>
          <w:iCs/>
          <w:color w:val="auto"/>
        </w:rPr>
      </w:pPr>
      <w:r w:rsidRPr="004D5E25">
        <w:rPr>
          <w:rFonts w:eastAsiaTheme="minorHAnsi" w:cs="Tahoma"/>
          <w:bCs/>
          <w:iCs/>
          <w:color w:val="auto"/>
        </w:rPr>
        <w:t>El primero y segundo apellidos, así como al nombre de pila;</w:t>
      </w:r>
    </w:p>
    <w:p w14:paraId="54674406" w14:textId="77777777" w:rsidR="008449FA" w:rsidRPr="004D5E25" w:rsidRDefault="008449FA" w:rsidP="008449FA">
      <w:pPr>
        <w:numPr>
          <w:ilvl w:val="0"/>
          <w:numId w:val="34"/>
        </w:numPr>
        <w:spacing w:after="0" w:line="360" w:lineRule="auto"/>
        <w:rPr>
          <w:rFonts w:eastAsiaTheme="minorHAnsi" w:cs="Tahoma"/>
          <w:bCs/>
          <w:iCs/>
          <w:color w:val="auto"/>
        </w:rPr>
      </w:pPr>
      <w:r w:rsidRPr="004D5E25">
        <w:rPr>
          <w:rFonts w:eastAsiaTheme="minorHAnsi" w:cs="Tahoma"/>
          <w:bCs/>
          <w:iCs/>
          <w:color w:val="auto"/>
        </w:rPr>
        <w:t>La fecha de nacimiento;</w:t>
      </w:r>
    </w:p>
    <w:p w14:paraId="18A96D21" w14:textId="77777777" w:rsidR="008449FA" w:rsidRPr="004D5E25" w:rsidRDefault="008449FA" w:rsidP="008449FA">
      <w:pPr>
        <w:numPr>
          <w:ilvl w:val="0"/>
          <w:numId w:val="34"/>
        </w:numPr>
        <w:spacing w:after="0" w:line="360" w:lineRule="auto"/>
        <w:rPr>
          <w:rFonts w:eastAsiaTheme="minorHAnsi" w:cs="Tahoma"/>
          <w:bCs/>
          <w:iCs/>
          <w:color w:val="auto"/>
        </w:rPr>
      </w:pPr>
      <w:r w:rsidRPr="004D5E25">
        <w:rPr>
          <w:rFonts w:eastAsiaTheme="minorHAnsi" w:cs="Tahoma"/>
          <w:bCs/>
          <w:iCs/>
          <w:color w:val="auto"/>
        </w:rPr>
        <w:t>El sexo, y</w:t>
      </w:r>
    </w:p>
    <w:p w14:paraId="36CC4163" w14:textId="77777777" w:rsidR="008449FA" w:rsidRPr="004D5E25" w:rsidRDefault="008449FA" w:rsidP="008449FA">
      <w:pPr>
        <w:numPr>
          <w:ilvl w:val="0"/>
          <w:numId w:val="34"/>
        </w:numPr>
        <w:spacing w:after="0" w:line="360" w:lineRule="auto"/>
        <w:rPr>
          <w:rFonts w:eastAsiaTheme="minorHAnsi" w:cs="Tahoma"/>
          <w:bCs/>
          <w:iCs/>
          <w:color w:val="auto"/>
        </w:rPr>
      </w:pPr>
      <w:r w:rsidRPr="004D5E25">
        <w:rPr>
          <w:rFonts w:eastAsiaTheme="minorHAnsi" w:cs="Tahoma"/>
          <w:bCs/>
          <w:iCs/>
          <w:color w:val="auto"/>
        </w:rPr>
        <w:t>La entidad federativa de nacimiento.</w:t>
      </w:r>
    </w:p>
    <w:p w14:paraId="54F547DC" w14:textId="77777777" w:rsidR="008449FA" w:rsidRPr="004D5E25" w:rsidRDefault="008449FA" w:rsidP="008449FA">
      <w:pPr>
        <w:spacing w:after="0" w:line="360" w:lineRule="auto"/>
        <w:rPr>
          <w:rFonts w:eastAsiaTheme="minorHAnsi" w:cs="Tahoma"/>
          <w:bCs/>
          <w:iCs/>
          <w:color w:val="auto"/>
        </w:rPr>
      </w:pPr>
    </w:p>
    <w:p w14:paraId="60D2950B"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Los dos últimos elementos de la Clave Única de Registro de Población evitan la duplicidad de la Clave y garantizan su correcta integración.</w:t>
      </w:r>
    </w:p>
    <w:p w14:paraId="09ACA3D6" w14:textId="77777777" w:rsidR="008449FA" w:rsidRPr="004D5E25" w:rsidRDefault="008449FA" w:rsidP="008449FA">
      <w:pPr>
        <w:spacing w:after="0" w:line="360" w:lineRule="auto"/>
        <w:rPr>
          <w:rFonts w:eastAsiaTheme="minorHAnsi" w:cs="Tahoma"/>
          <w:bCs/>
          <w:iCs/>
          <w:color w:val="auto"/>
        </w:rPr>
      </w:pPr>
    </w:p>
    <w:p w14:paraId="3F15FE3E"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9C75E86" w14:textId="77777777" w:rsidR="008449FA" w:rsidRPr="004D5E25" w:rsidRDefault="008449FA" w:rsidP="008449FA">
      <w:pPr>
        <w:spacing w:after="0" w:line="360" w:lineRule="auto"/>
        <w:rPr>
          <w:rFonts w:eastAsiaTheme="minorHAnsi" w:cs="Tahoma"/>
          <w:bCs/>
          <w:iCs/>
          <w:color w:val="auto"/>
        </w:rPr>
      </w:pPr>
    </w:p>
    <w:p w14:paraId="008217E5"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Situación que se robustece, con el </w:t>
      </w:r>
      <w:r w:rsidRPr="004D5E25">
        <w:rPr>
          <w:rFonts w:eastAsia="Calibri" w:cs="Tahoma"/>
          <w:bCs/>
          <w:iCs/>
          <w:color w:val="auto"/>
          <w:lang w:val="es-ES" w:eastAsia="en-US"/>
        </w:rPr>
        <w:t xml:space="preserve">Criterio de Interpretación, de la Segunda Época, con número de registro </w:t>
      </w:r>
      <w:r w:rsidRPr="004D5E25">
        <w:rPr>
          <w:rFonts w:eastAsia="Calibri" w:cs="Tahoma"/>
          <w:bCs/>
          <w:iCs/>
          <w:color w:val="auto"/>
          <w:lang w:eastAsia="en-US"/>
        </w:rPr>
        <w:t>SO/018/2017</w:t>
      </w:r>
      <w:r w:rsidRPr="004D5E25">
        <w:rPr>
          <w:rFonts w:eastAsiaTheme="minorHAnsi" w:cs="Tahoma"/>
          <w:bCs/>
          <w:iCs/>
          <w:color w:val="auto"/>
        </w:rPr>
        <w:t>, emitido por el Instituto Nacional de Transparencia, Acceso a la Información y Protección de Datos Personales, que establece lo siguiente:</w:t>
      </w:r>
    </w:p>
    <w:p w14:paraId="19DB5E2C" w14:textId="77777777" w:rsidR="008449FA" w:rsidRPr="004D5E25" w:rsidRDefault="008449FA" w:rsidP="008449FA">
      <w:pPr>
        <w:spacing w:after="0" w:line="360" w:lineRule="auto"/>
        <w:rPr>
          <w:rFonts w:eastAsiaTheme="minorHAnsi" w:cs="Tahoma"/>
          <w:bCs/>
          <w:iCs/>
          <w:color w:val="auto"/>
        </w:rPr>
      </w:pPr>
    </w:p>
    <w:p w14:paraId="0FB87762" w14:textId="77777777" w:rsidR="008449FA" w:rsidRPr="004D5E25" w:rsidRDefault="008449FA" w:rsidP="008449FA">
      <w:pPr>
        <w:spacing w:after="0" w:line="360" w:lineRule="auto"/>
        <w:ind w:left="567" w:right="567"/>
        <w:contextualSpacing/>
        <w:rPr>
          <w:rFonts w:eastAsiaTheme="minorHAnsi" w:cs="Tahoma"/>
          <w:bCs/>
          <w:i/>
          <w:iCs/>
          <w:color w:val="auto"/>
          <w:sz w:val="18"/>
          <w:szCs w:val="18"/>
        </w:rPr>
      </w:pPr>
      <w:r w:rsidRPr="004D5E25">
        <w:rPr>
          <w:rFonts w:eastAsiaTheme="minorHAnsi" w:cs="Tahoma"/>
          <w:b/>
          <w:bCs/>
          <w:i/>
          <w:iCs/>
          <w:color w:val="auto"/>
          <w:sz w:val="20"/>
          <w:szCs w:val="20"/>
        </w:rPr>
        <w:t xml:space="preserve">“Clave Única de Registro de Población (CURP). </w:t>
      </w:r>
      <w:r w:rsidRPr="004D5E25">
        <w:rPr>
          <w:rFonts w:eastAsiaTheme="minorHAnsi" w:cs="Tahoma"/>
          <w:bCs/>
          <w:i/>
          <w:iCs/>
          <w:color w:val="auto"/>
          <w:sz w:val="20"/>
          <w:szCs w:val="20"/>
        </w:rPr>
        <w:t xml:space="preserve">La Clave Única de Registro de Población se integra por datos personales que sólo conciernen al particular titular de la misma, como lo son su </w:t>
      </w:r>
      <w:r w:rsidRPr="004D5E25">
        <w:rPr>
          <w:rFonts w:eastAsiaTheme="minorHAnsi" w:cs="Tahoma"/>
          <w:bCs/>
          <w:i/>
          <w:iCs/>
          <w:color w:val="auto"/>
          <w:sz w:val="20"/>
          <w:szCs w:val="20"/>
        </w:rPr>
        <w:lastRenderedPageBreak/>
        <w:t xml:space="preserve">nombre, apellidos, fecha de nacimiento, lugar de nacimiento y sexo. Dichos datos, constituyen información que distingue plenamente a una persona física del resto de los habitantes del país, por lo que la CURP está considerada como información confidencial.” </w:t>
      </w:r>
    </w:p>
    <w:p w14:paraId="32C8AED3" w14:textId="77777777" w:rsidR="008449FA" w:rsidRPr="004D5E25" w:rsidRDefault="008449FA" w:rsidP="008449FA">
      <w:pPr>
        <w:spacing w:after="0" w:line="360" w:lineRule="auto"/>
        <w:rPr>
          <w:rFonts w:eastAsiaTheme="minorHAnsi" w:cs="Tahoma"/>
          <w:bCs/>
          <w:i/>
          <w:iCs/>
          <w:color w:val="auto"/>
        </w:rPr>
      </w:pPr>
    </w:p>
    <w:p w14:paraId="57E7AA08"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De acuerdo con lo anterior, resulta procedente la clasificación de </w:t>
      </w:r>
      <w:r w:rsidRPr="004D5E25">
        <w:rPr>
          <w:rFonts w:eastAsiaTheme="minorHAnsi" w:cs="Tahoma"/>
          <w:b/>
          <w:bCs/>
          <w:iCs/>
          <w:color w:val="auto"/>
        </w:rPr>
        <w:t>la Clave Única de Registro de Población</w:t>
      </w:r>
      <w:r w:rsidRPr="004D5E25">
        <w:rPr>
          <w:rFonts w:eastAsiaTheme="minorHAnsi" w:cs="Tahoma"/>
          <w:bCs/>
          <w:iCs/>
          <w:color w:val="auto"/>
        </w:rPr>
        <w:t xml:space="preserve">, por tratarse de un dato personal confidencial, en términos del artículo 143, fracción I, de la Ley de Transparencia y Acceso a la Información Pública del Estado de México y Municipios. </w:t>
      </w:r>
    </w:p>
    <w:p w14:paraId="6D72E123" w14:textId="77777777" w:rsidR="008449FA" w:rsidRPr="004D5E25" w:rsidRDefault="008449FA" w:rsidP="008449FA">
      <w:pPr>
        <w:numPr>
          <w:ilvl w:val="0"/>
          <w:numId w:val="29"/>
        </w:numPr>
        <w:spacing w:after="0" w:line="360" w:lineRule="auto"/>
        <w:contextualSpacing/>
        <w:rPr>
          <w:rFonts w:eastAsiaTheme="minorHAnsi" w:cs="Tahoma"/>
          <w:b/>
          <w:bCs/>
          <w:iCs/>
          <w:color w:val="auto"/>
          <w:lang w:val="es-ES_tradnl"/>
        </w:rPr>
      </w:pPr>
      <w:r w:rsidRPr="004D5E25">
        <w:rPr>
          <w:rFonts w:eastAsiaTheme="minorHAnsi" w:cs="Tahoma"/>
          <w:b/>
          <w:bCs/>
          <w:iCs/>
          <w:color w:val="auto"/>
          <w:lang w:val="es-ES_tradnl"/>
        </w:rPr>
        <w:t>Registro Federal de Contribuyentes (RFC)</w:t>
      </w:r>
    </w:p>
    <w:p w14:paraId="6B33F758" w14:textId="77777777" w:rsidR="008449FA" w:rsidRPr="004D5E25" w:rsidRDefault="008449FA" w:rsidP="008449FA">
      <w:pPr>
        <w:spacing w:after="0" w:line="360" w:lineRule="auto"/>
        <w:rPr>
          <w:rFonts w:eastAsiaTheme="minorHAnsi" w:cs="Tahoma"/>
          <w:bCs/>
          <w:iCs/>
          <w:color w:val="auto"/>
        </w:rPr>
      </w:pPr>
    </w:p>
    <w:p w14:paraId="43A4E015"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7355BE0" w14:textId="77777777" w:rsidR="008449FA" w:rsidRPr="004D5E25" w:rsidRDefault="008449FA" w:rsidP="008449FA">
      <w:pPr>
        <w:spacing w:after="0" w:line="360" w:lineRule="auto"/>
        <w:rPr>
          <w:rFonts w:eastAsiaTheme="minorHAnsi" w:cs="Tahoma"/>
          <w:bCs/>
          <w:iCs/>
          <w:color w:val="auto"/>
        </w:rPr>
      </w:pPr>
    </w:p>
    <w:p w14:paraId="45125679"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De acuerdo a lo establecido en el artículo en comento, esta clave se compone de trece caracteres alfanuméricos, con datos obtenidos de los apellidos, nombre(s), fecha de nacimiento del titular, más una </w:t>
      </w:r>
      <w:proofErr w:type="spellStart"/>
      <w:r w:rsidRPr="004D5E25">
        <w:rPr>
          <w:rFonts w:eastAsiaTheme="minorHAnsi" w:cs="Tahoma"/>
          <w:bCs/>
          <w:iCs/>
          <w:color w:val="auto"/>
        </w:rPr>
        <w:t>homoclave</w:t>
      </w:r>
      <w:proofErr w:type="spellEnd"/>
      <w:r w:rsidRPr="004D5E25">
        <w:rPr>
          <w:rFonts w:eastAsiaTheme="minorHAnsi" w:cs="Tahoma"/>
          <w:bCs/>
          <w:iCs/>
          <w:color w:val="auto"/>
        </w:rPr>
        <w:t xml:space="preserve"> que establece el sistema automático del Servicio de Administración Tributaria.</w:t>
      </w:r>
    </w:p>
    <w:p w14:paraId="6B8C3F57" w14:textId="77777777" w:rsidR="008449FA" w:rsidRPr="004D5E25" w:rsidRDefault="008449FA" w:rsidP="008449FA">
      <w:pPr>
        <w:spacing w:after="0" w:line="360" w:lineRule="auto"/>
        <w:rPr>
          <w:rFonts w:eastAsiaTheme="minorHAnsi" w:cs="Tahoma"/>
          <w:bCs/>
          <w:iCs/>
          <w:color w:val="auto"/>
        </w:rPr>
      </w:pPr>
    </w:p>
    <w:p w14:paraId="7E66CF35"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92825F4" w14:textId="77777777" w:rsidR="008449FA" w:rsidRPr="004D5E25" w:rsidRDefault="008449FA" w:rsidP="008449FA">
      <w:pPr>
        <w:spacing w:after="0" w:line="360" w:lineRule="auto"/>
        <w:rPr>
          <w:rFonts w:eastAsiaTheme="minorHAnsi" w:cs="Tahoma"/>
          <w:bCs/>
          <w:iCs/>
          <w:color w:val="auto"/>
        </w:rPr>
      </w:pPr>
    </w:p>
    <w:p w14:paraId="2444EBAB"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311B36D" w14:textId="77777777" w:rsidR="008449FA" w:rsidRPr="004D5E25" w:rsidRDefault="008449FA" w:rsidP="008449FA">
      <w:pPr>
        <w:spacing w:after="0" w:line="360" w:lineRule="auto"/>
        <w:rPr>
          <w:rFonts w:eastAsiaTheme="minorHAnsi" w:cs="Tahoma"/>
          <w:bCs/>
          <w:iCs/>
          <w:color w:val="auto"/>
        </w:rPr>
      </w:pPr>
    </w:p>
    <w:p w14:paraId="591D07D5"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Lo anterior, resulta congruente con el </w:t>
      </w:r>
      <w:r w:rsidRPr="004D5E25">
        <w:rPr>
          <w:rFonts w:eastAsia="Calibri" w:cs="Tahoma"/>
          <w:bCs/>
          <w:iCs/>
          <w:color w:val="auto"/>
          <w:lang w:val="es-ES" w:eastAsia="en-US"/>
        </w:rPr>
        <w:t xml:space="preserve">Criterio de Interpretación, de la Segunda Época, con número de registro </w:t>
      </w:r>
      <w:r w:rsidRPr="004D5E25">
        <w:rPr>
          <w:rFonts w:eastAsia="Calibri" w:cs="Tahoma"/>
          <w:bCs/>
          <w:iCs/>
          <w:color w:val="auto"/>
          <w:lang w:eastAsia="en-US"/>
        </w:rPr>
        <w:t xml:space="preserve">SO/019/2017, </w:t>
      </w:r>
      <w:r w:rsidRPr="004D5E25">
        <w:rPr>
          <w:rFonts w:eastAsiaTheme="minorHAnsi" w:cs="Tahoma"/>
          <w:bCs/>
          <w:iCs/>
          <w:color w:val="auto"/>
        </w:rPr>
        <w:t>emitido por el Instituto Nacional de Transparencia, Acceso a la Información y Protección de Datos Personales, en el cual se señala lo siguiente:</w:t>
      </w:r>
    </w:p>
    <w:p w14:paraId="49C248CD" w14:textId="77777777" w:rsidR="008449FA" w:rsidRPr="004D5E25" w:rsidRDefault="008449FA" w:rsidP="008449FA">
      <w:pPr>
        <w:spacing w:after="0" w:line="360" w:lineRule="auto"/>
        <w:rPr>
          <w:rFonts w:eastAsiaTheme="minorHAnsi" w:cs="Tahoma"/>
          <w:bCs/>
          <w:iCs/>
          <w:color w:val="auto"/>
        </w:rPr>
      </w:pPr>
    </w:p>
    <w:p w14:paraId="3D6FC9D3" w14:textId="77777777" w:rsidR="008449FA" w:rsidRPr="004D5E25" w:rsidRDefault="008449FA" w:rsidP="008449FA">
      <w:pPr>
        <w:spacing w:after="0" w:line="360" w:lineRule="auto"/>
        <w:ind w:left="567" w:right="567"/>
        <w:contextualSpacing/>
        <w:rPr>
          <w:rFonts w:eastAsiaTheme="minorHAnsi" w:cs="Tahoma"/>
          <w:bCs/>
          <w:i/>
          <w:iCs/>
          <w:color w:val="auto"/>
          <w:sz w:val="18"/>
          <w:szCs w:val="18"/>
        </w:rPr>
      </w:pPr>
      <w:r w:rsidRPr="004D5E25">
        <w:rPr>
          <w:rFonts w:eastAsiaTheme="minorHAnsi" w:cs="Tahoma"/>
          <w:b/>
          <w:bCs/>
          <w:i/>
          <w:iCs/>
          <w:color w:val="auto"/>
          <w:sz w:val="20"/>
          <w:szCs w:val="20"/>
        </w:rPr>
        <w:t>“Registro Federal de Contribuyentes (RFC) de personas físicas.</w:t>
      </w:r>
      <w:r w:rsidRPr="004D5E25">
        <w:rPr>
          <w:rFonts w:eastAsiaTheme="minorHAnsi" w:cs="Tahoma"/>
          <w:bCs/>
          <w:i/>
          <w:iCs/>
          <w:color w:val="auto"/>
          <w:sz w:val="20"/>
          <w:szCs w:val="20"/>
        </w:rPr>
        <w:t xml:space="preserve"> El RFC es una clave de carácter fiscal, única e irrepetible, que permite identificar al titular, su edad y fecha de nacimiento, por lo que es un dato personal de carácter confidencial.”</w:t>
      </w:r>
    </w:p>
    <w:p w14:paraId="049E65F8" w14:textId="77777777" w:rsidR="008449FA" w:rsidRPr="004D5E25" w:rsidRDefault="008449FA" w:rsidP="008449FA">
      <w:pPr>
        <w:spacing w:after="0" w:line="360" w:lineRule="auto"/>
        <w:rPr>
          <w:rFonts w:eastAsiaTheme="minorHAnsi" w:cs="Tahoma"/>
          <w:bCs/>
          <w:iCs/>
          <w:color w:val="auto"/>
        </w:rPr>
      </w:pPr>
    </w:p>
    <w:p w14:paraId="4BBA850E"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D8F3923" w14:textId="77777777" w:rsidR="008449FA" w:rsidRPr="004D5E25" w:rsidRDefault="008449FA" w:rsidP="008449FA">
      <w:pPr>
        <w:spacing w:after="0" w:line="360" w:lineRule="auto"/>
        <w:rPr>
          <w:rFonts w:eastAsiaTheme="minorHAnsi" w:cs="Tahoma"/>
          <w:bCs/>
          <w:iCs/>
          <w:color w:val="FF0000"/>
        </w:rPr>
      </w:pPr>
    </w:p>
    <w:p w14:paraId="0A8FBF65" w14:textId="77777777" w:rsidR="008449FA" w:rsidRPr="004D5E25" w:rsidRDefault="008449FA" w:rsidP="008449FA">
      <w:pPr>
        <w:numPr>
          <w:ilvl w:val="0"/>
          <w:numId w:val="29"/>
        </w:numPr>
        <w:spacing w:after="0" w:line="360" w:lineRule="auto"/>
        <w:contextualSpacing/>
        <w:rPr>
          <w:rFonts w:eastAsia="Calibri" w:cs="Tahoma"/>
          <w:b/>
          <w:bCs/>
          <w:iCs/>
          <w:color w:val="auto"/>
          <w:lang w:eastAsia="en-US"/>
        </w:rPr>
      </w:pPr>
      <w:r w:rsidRPr="004D5E25">
        <w:rPr>
          <w:rFonts w:eastAsia="Calibri" w:cs="Tahoma"/>
          <w:b/>
          <w:bCs/>
          <w:iCs/>
          <w:color w:val="auto"/>
          <w:lang w:eastAsia="en-US"/>
        </w:rPr>
        <w:t xml:space="preserve">Código bidimensional o </w:t>
      </w:r>
      <w:proofErr w:type="spellStart"/>
      <w:r w:rsidRPr="004D5E25">
        <w:rPr>
          <w:rFonts w:eastAsia="Calibri" w:cs="Tahoma"/>
          <w:b/>
          <w:bCs/>
          <w:iCs/>
          <w:color w:val="auto"/>
          <w:lang w:eastAsia="en-US"/>
        </w:rPr>
        <w:t>Qr</w:t>
      </w:r>
      <w:proofErr w:type="spellEnd"/>
    </w:p>
    <w:p w14:paraId="47AE4AB3" w14:textId="77777777" w:rsidR="008449FA" w:rsidRPr="004D5E25" w:rsidRDefault="008449FA" w:rsidP="008449FA">
      <w:pPr>
        <w:spacing w:after="0" w:line="360" w:lineRule="auto"/>
        <w:rPr>
          <w:rFonts w:eastAsia="Calibri" w:cs="Tahoma"/>
          <w:b/>
          <w:bCs/>
          <w:iCs/>
          <w:color w:val="auto"/>
          <w:lang w:eastAsia="en-US"/>
        </w:rPr>
      </w:pPr>
    </w:p>
    <w:p w14:paraId="04749A09" w14:textId="77777777" w:rsidR="008449FA" w:rsidRPr="004D5E25" w:rsidRDefault="008449FA" w:rsidP="008449FA">
      <w:pPr>
        <w:spacing w:after="0" w:line="360" w:lineRule="auto"/>
        <w:rPr>
          <w:rFonts w:eastAsia="Calibri" w:cs="Tahoma"/>
          <w:bCs/>
          <w:color w:val="auto"/>
          <w:lang w:eastAsia="en-US"/>
        </w:rPr>
      </w:pPr>
      <w:r w:rsidRPr="004D5E25">
        <w:rPr>
          <w:rFonts w:eastAsia="Calibri" w:cs="Tahoma"/>
          <w:bCs/>
          <w:color w:val="auto"/>
          <w:lang w:eastAsia="en-US"/>
        </w:rPr>
        <w:t xml:space="preserve">En principio, resulta necesario señalar que los comprobantes fiscales digitales por Internet, deben de incluir un código bidimensional conforme al formato </w:t>
      </w:r>
      <w:r w:rsidRPr="004D5E25">
        <w:rPr>
          <w:rFonts w:eastAsia="Calibri" w:cs="Tahoma"/>
          <w:bCs/>
          <w:i/>
          <w:color w:val="auto"/>
          <w:lang w:eastAsia="en-US"/>
        </w:rPr>
        <w:t xml:space="preserve">QR </w:t>
      </w:r>
      <w:proofErr w:type="spellStart"/>
      <w:r w:rsidRPr="004D5E25">
        <w:rPr>
          <w:rFonts w:eastAsia="Calibri" w:cs="Tahoma"/>
          <w:bCs/>
          <w:i/>
          <w:color w:val="auto"/>
          <w:lang w:eastAsia="en-US"/>
        </w:rPr>
        <w:t>Code</w:t>
      </w:r>
      <w:proofErr w:type="spellEnd"/>
      <w:r w:rsidRPr="004D5E25">
        <w:rPr>
          <w:rFonts w:eastAsia="Calibri" w:cs="Tahoma"/>
          <w:bCs/>
          <w:i/>
          <w:color w:val="auto"/>
          <w:lang w:eastAsia="en-US"/>
        </w:rPr>
        <w:t xml:space="preserve"> (Quick Response </w:t>
      </w:r>
      <w:proofErr w:type="spellStart"/>
      <w:r w:rsidRPr="004D5E25">
        <w:rPr>
          <w:rFonts w:eastAsia="Calibri" w:cs="Tahoma"/>
          <w:bCs/>
          <w:i/>
          <w:color w:val="auto"/>
          <w:lang w:eastAsia="en-US"/>
        </w:rPr>
        <w:t>Code</w:t>
      </w:r>
      <w:proofErr w:type="spellEnd"/>
      <w:r w:rsidRPr="004D5E25">
        <w:rPr>
          <w:rFonts w:eastAsia="Calibri" w:cs="Tahoma"/>
          <w:bCs/>
          <w:i/>
          <w:color w:val="auto"/>
          <w:lang w:eastAsia="en-US"/>
        </w:rPr>
        <w:t>)</w:t>
      </w:r>
      <w:r w:rsidRPr="004D5E25">
        <w:rPr>
          <w:rFonts w:eastAsia="Calibri" w:cs="Tahoma"/>
          <w:bCs/>
          <w:color w:val="auto"/>
          <w:lang w:eastAsia="en-US"/>
        </w:rPr>
        <w:t xml:space="preserve">, el cual contiene el Registro Federal de Contribuyentes del receptor, del emisor, o de ambos; lo </w:t>
      </w:r>
      <w:r w:rsidRPr="004D5E25">
        <w:rPr>
          <w:rFonts w:eastAsia="Calibri" w:cs="Tahoma"/>
          <w:bCs/>
          <w:color w:val="auto"/>
          <w:lang w:eastAsia="en-US"/>
        </w:rPr>
        <w:lastRenderedPageBreak/>
        <w:t xml:space="preserve">anterior, conforme al Anexo 20 de la Segunda Resolución de modificación a la Resolución Miscelánea Fiscal para el 2017, localizada en la página electrónica  </w:t>
      </w:r>
      <w:hyperlink r:id="rId13" w:history="1">
        <w:r w:rsidRPr="004D5E25">
          <w:rPr>
            <w:rFonts w:eastAsia="Calibri" w:cs="Tahoma"/>
            <w:bCs/>
            <w:color w:val="auto"/>
            <w:u w:val="single"/>
            <w:lang w:eastAsia="en-US"/>
          </w:rPr>
          <w:t>http://dof.gob.mx/nota_detalle.php?codigo=5492254&amp;fecha=28/07/2017</w:t>
        </w:r>
      </w:hyperlink>
      <w:r w:rsidRPr="004D5E25">
        <w:rPr>
          <w:rFonts w:eastAsia="Calibri" w:cs="Tahoma"/>
          <w:bCs/>
          <w:color w:val="auto"/>
          <w:lang w:eastAsia="en-US"/>
        </w:rPr>
        <w:t>. Incluso con la captura de dicho código, a través de la aplicación móvil del Servicio de Administración Tributaria, permite el acceso al Registro Federal de Contribuyentes, como del Sujeto Obligado, como de los servidores públicos.</w:t>
      </w:r>
    </w:p>
    <w:p w14:paraId="0845F90E" w14:textId="77777777" w:rsidR="008449FA" w:rsidRPr="004D5E25" w:rsidRDefault="008449FA" w:rsidP="008449FA">
      <w:pPr>
        <w:spacing w:after="0" w:line="360" w:lineRule="auto"/>
        <w:rPr>
          <w:rFonts w:eastAsia="Calibri" w:cs="Tahoma"/>
          <w:bCs/>
          <w:color w:val="auto"/>
          <w:lang w:eastAsia="en-US"/>
        </w:rPr>
      </w:pPr>
    </w:p>
    <w:p w14:paraId="7F7040E2" w14:textId="77777777" w:rsidR="008449FA" w:rsidRPr="004D5E25" w:rsidRDefault="008449FA" w:rsidP="008449FA">
      <w:pPr>
        <w:spacing w:after="0" w:line="360" w:lineRule="auto"/>
        <w:rPr>
          <w:rFonts w:eastAsia="Calibri" w:cs="Tahoma"/>
          <w:bCs/>
          <w:color w:val="auto"/>
          <w:lang w:eastAsia="en-US"/>
        </w:rPr>
      </w:pPr>
      <w:r w:rsidRPr="004D5E25">
        <w:rPr>
          <w:rFonts w:eastAsia="Calibri" w:cs="Tahoma"/>
          <w:bCs/>
          <w:color w:val="auto"/>
          <w:lang w:eastAsia="en-U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10762427" w14:textId="77777777" w:rsidR="008449FA" w:rsidRPr="004D5E25" w:rsidRDefault="008449FA" w:rsidP="008449FA">
      <w:pPr>
        <w:spacing w:after="0" w:line="360" w:lineRule="auto"/>
        <w:rPr>
          <w:rFonts w:eastAsia="Calibri" w:cs="Tahoma"/>
          <w:bCs/>
          <w:color w:val="FF0000"/>
          <w:lang w:eastAsia="en-US"/>
        </w:rPr>
      </w:pPr>
    </w:p>
    <w:p w14:paraId="1F559DFF" w14:textId="77777777" w:rsidR="008449FA" w:rsidRPr="004D5E25" w:rsidRDefault="008449FA" w:rsidP="008449FA">
      <w:pPr>
        <w:numPr>
          <w:ilvl w:val="0"/>
          <w:numId w:val="29"/>
        </w:numPr>
        <w:spacing w:after="0" w:line="360" w:lineRule="auto"/>
        <w:contextualSpacing/>
        <w:rPr>
          <w:rFonts w:eastAsia="Times New Roman" w:cs="Tahoma"/>
          <w:b/>
          <w:bCs/>
          <w:iCs/>
          <w:color w:val="auto"/>
        </w:rPr>
      </w:pPr>
      <w:r w:rsidRPr="004D5E25">
        <w:rPr>
          <w:rFonts w:eastAsiaTheme="minorHAnsi" w:cs="Tahoma"/>
          <w:b/>
          <w:bCs/>
          <w:iCs/>
          <w:color w:val="auto"/>
        </w:rPr>
        <w:t>Número de seguridad social del Instituto de Seguridad Social del Estado de México y Municipios.</w:t>
      </w:r>
    </w:p>
    <w:p w14:paraId="329B1176" w14:textId="77777777" w:rsidR="008449FA" w:rsidRPr="004D5E25" w:rsidRDefault="008449FA" w:rsidP="008449FA">
      <w:pPr>
        <w:spacing w:after="0" w:line="360" w:lineRule="auto"/>
        <w:rPr>
          <w:rFonts w:eastAsiaTheme="minorHAnsi" w:cs="Tahoma"/>
          <w:b/>
          <w:bCs/>
          <w:iCs/>
          <w:color w:val="auto"/>
        </w:rPr>
      </w:pPr>
    </w:p>
    <w:p w14:paraId="01F99CD6"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0025D5C" w14:textId="77777777" w:rsidR="008449FA" w:rsidRPr="004D5E25" w:rsidRDefault="008449FA" w:rsidP="008449FA">
      <w:pPr>
        <w:spacing w:after="0" w:line="360" w:lineRule="auto"/>
        <w:rPr>
          <w:rFonts w:eastAsiaTheme="minorHAnsi" w:cs="Tahoma"/>
          <w:bCs/>
          <w:iCs/>
          <w:color w:val="auto"/>
        </w:rPr>
      </w:pPr>
    </w:p>
    <w:p w14:paraId="55C4854A"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w:t>
      </w:r>
      <w:r w:rsidRPr="004D5E25">
        <w:rPr>
          <w:rFonts w:eastAsiaTheme="minorHAnsi" w:cs="Tahoma"/>
          <w:bCs/>
          <w:iCs/>
          <w:color w:val="auto"/>
        </w:rPr>
        <w:lastRenderedPageBreak/>
        <w:t xml:space="preserve">datos personales </w:t>
      </w:r>
      <w:r w:rsidRPr="004D5E25">
        <w:rPr>
          <w:rFonts w:eastAsiaTheme="minorHAnsi" w:cs="Tahoma"/>
          <w:b/>
          <w:bCs/>
          <w:iCs/>
          <w:color w:val="auto"/>
        </w:rPr>
        <w:t>y se le asigna una clave para hacer identificable al trabajador con el objetivo de poder proporcionar los servicios que brinda el Instituto de Seguridad Social del Estado de México y Municipios.</w:t>
      </w:r>
    </w:p>
    <w:p w14:paraId="6F3A43D1" w14:textId="77777777" w:rsidR="008449FA" w:rsidRPr="004D5E25" w:rsidRDefault="008449FA" w:rsidP="008449FA">
      <w:pPr>
        <w:spacing w:after="0" w:line="360" w:lineRule="auto"/>
        <w:rPr>
          <w:rFonts w:eastAsiaTheme="minorHAnsi" w:cs="Tahoma"/>
          <w:bCs/>
          <w:iCs/>
          <w:color w:val="auto"/>
        </w:rPr>
      </w:pPr>
    </w:p>
    <w:p w14:paraId="2948A442"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62D25137" w14:textId="77777777" w:rsidR="008449FA" w:rsidRPr="004D5E25" w:rsidRDefault="008449FA" w:rsidP="008449FA">
      <w:pPr>
        <w:spacing w:after="0" w:line="360" w:lineRule="auto"/>
        <w:rPr>
          <w:rFonts w:eastAsiaTheme="minorHAnsi" w:cs="Tahoma"/>
          <w:bCs/>
          <w:iCs/>
          <w:color w:val="auto"/>
        </w:rPr>
      </w:pPr>
    </w:p>
    <w:p w14:paraId="398291A2" w14:textId="77777777" w:rsidR="008449FA" w:rsidRPr="004D5E25" w:rsidRDefault="008449FA" w:rsidP="008449FA">
      <w:pPr>
        <w:spacing w:after="0" w:line="360" w:lineRule="auto"/>
        <w:rPr>
          <w:rFonts w:eastAsiaTheme="minorHAnsi" w:cs="Tahoma"/>
          <w:bCs/>
          <w:iCs/>
          <w:color w:val="auto"/>
        </w:rPr>
      </w:pPr>
      <w:r w:rsidRPr="004D5E25">
        <w:rPr>
          <w:rFonts w:eastAsiaTheme="minorHAnsi" w:cs="Tahoma"/>
          <w:bCs/>
          <w:iCs/>
          <w:color w:val="auto"/>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7D27FD5" w14:textId="77777777" w:rsidR="00412A97" w:rsidRPr="004D5E25" w:rsidRDefault="00412A97" w:rsidP="00761BC2">
      <w:pPr>
        <w:spacing w:after="0" w:line="360" w:lineRule="auto"/>
        <w:rPr>
          <w:rFonts w:cs="Tahoma"/>
          <w:b/>
        </w:rPr>
      </w:pPr>
    </w:p>
    <w:p w14:paraId="13716DEE" w14:textId="77777777" w:rsidR="00321E72" w:rsidRPr="004D5E25" w:rsidRDefault="00321E72" w:rsidP="00321E72">
      <w:pPr>
        <w:numPr>
          <w:ilvl w:val="0"/>
          <w:numId w:val="35"/>
        </w:numPr>
        <w:spacing w:after="0" w:line="360" w:lineRule="auto"/>
        <w:contextualSpacing/>
        <w:rPr>
          <w:rFonts w:eastAsia="Calibri" w:cs="Times New Roman"/>
          <w:b/>
          <w:bCs/>
          <w:lang w:eastAsia="en-US"/>
        </w:rPr>
      </w:pPr>
      <w:r w:rsidRPr="004D5E25">
        <w:rPr>
          <w:rFonts w:eastAsia="Calibri" w:cs="Times New Roman"/>
          <w:b/>
          <w:bCs/>
          <w:lang w:eastAsia="en-US"/>
        </w:rPr>
        <w:t xml:space="preserve">Deducciones por Ley </w:t>
      </w:r>
    </w:p>
    <w:p w14:paraId="0193009B" w14:textId="77777777" w:rsidR="00321E72" w:rsidRPr="004D5E25" w:rsidRDefault="00321E72" w:rsidP="00321E72">
      <w:pPr>
        <w:spacing w:after="0" w:line="360" w:lineRule="auto"/>
        <w:ind w:left="720"/>
        <w:contextualSpacing/>
        <w:rPr>
          <w:rFonts w:eastAsia="Calibri" w:cs="Times New Roman"/>
          <w:b/>
          <w:bCs/>
          <w:lang w:eastAsia="en-US"/>
        </w:rPr>
      </w:pPr>
    </w:p>
    <w:p w14:paraId="7F8AF62C" w14:textId="73599E33" w:rsidR="00321E72" w:rsidRPr="004D5E25" w:rsidRDefault="00321E72" w:rsidP="00321E72">
      <w:pPr>
        <w:spacing w:after="0" w:line="360" w:lineRule="auto"/>
        <w:rPr>
          <w:rFonts w:eastAsia="Calibri" w:cs="Times New Roman"/>
          <w:lang w:eastAsia="en-US"/>
        </w:rPr>
      </w:pPr>
      <w:r w:rsidRPr="004D5E25">
        <w:rPr>
          <w:rFonts w:eastAsia="Calibri" w:cs="Times New Roman"/>
          <w:lang w:eastAsia="en-US"/>
        </w:rPr>
        <w:t>Sobre dichos datos,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 (días no laborados).</w:t>
      </w:r>
    </w:p>
    <w:p w14:paraId="1112FB36" w14:textId="77777777" w:rsidR="00321E72" w:rsidRPr="004D5E25" w:rsidRDefault="00321E72" w:rsidP="00321E72">
      <w:pPr>
        <w:spacing w:after="0" w:line="360" w:lineRule="auto"/>
        <w:rPr>
          <w:rFonts w:eastAsia="Calibri" w:cs="Times New Roman"/>
          <w:lang w:eastAsia="en-US"/>
        </w:rPr>
      </w:pPr>
    </w:p>
    <w:p w14:paraId="14D81B22" w14:textId="77777777" w:rsidR="00D43425" w:rsidRPr="004D5E25" w:rsidRDefault="00D43425" w:rsidP="00321E72">
      <w:pPr>
        <w:spacing w:after="0" w:line="360" w:lineRule="auto"/>
        <w:rPr>
          <w:rFonts w:eastAsia="Calibri" w:cs="Times New Roman"/>
          <w:lang w:eastAsia="en-US"/>
        </w:rPr>
      </w:pPr>
    </w:p>
    <w:p w14:paraId="203C03FC" w14:textId="77777777" w:rsidR="00321E72" w:rsidRPr="004D5E25" w:rsidRDefault="00321E72" w:rsidP="00321E72">
      <w:pPr>
        <w:spacing w:after="0" w:line="360" w:lineRule="auto"/>
        <w:rPr>
          <w:color w:val="000000"/>
        </w:rPr>
      </w:pPr>
      <w:r w:rsidRPr="004D5E25">
        <w:rPr>
          <w:rFonts w:eastAsia="Calibri" w:cs="Times New Roman"/>
          <w:lang w:eastAsia="en-US"/>
        </w:rPr>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3971AB52" w14:textId="77777777" w:rsidR="00321E72" w:rsidRPr="004D5E25" w:rsidRDefault="00321E72" w:rsidP="00321E72">
      <w:pPr>
        <w:spacing w:after="0" w:line="360" w:lineRule="auto"/>
        <w:rPr>
          <w:rFonts w:eastAsia="Calibri" w:cs="Times New Roman"/>
          <w:lang w:eastAsia="en-US"/>
        </w:rPr>
      </w:pPr>
    </w:p>
    <w:p w14:paraId="58C63B49" w14:textId="77777777" w:rsidR="00321E72" w:rsidRPr="004D5E25" w:rsidRDefault="00321E72" w:rsidP="00321E72">
      <w:pPr>
        <w:spacing w:after="0" w:line="360" w:lineRule="auto"/>
        <w:rPr>
          <w:rFonts w:eastAsia="Calibri" w:cs="Times New Roman"/>
          <w:lang w:eastAsia="en-US"/>
        </w:rPr>
      </w:pPr>
      <w:r w:rsidRPr="004D5E25">
        <w:rPr>
          <w:rFonts w:eastAsia="Calibri" w:cs="Times New Roman"/>
          <w:lang w:eastAsia="en-US"/>
        </w:rPr>
        <w:t xml:space="preserve">Como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del Trabajo de Servidores Públicos del Estado de México y Municipios (descuentos por faltas o inasistencias). </w:t>
      </w:r>
    </w:p>
    <w:p w14:paraId="47DD38D5" w14:textId="77777777" w:rsidR="00321E72" w:rsidRPr="004D5E25" w:rsidRDefault="00321E72" w:rsidP="00321E72">
      <w:pPr>
        <w:spacing w:after="0" w:line="360" w:lineRule="auto"/>
        <w:rPr>
          <w:rFonts w:eastAsia="Calibri" w:cs="Times New Roman"/>
          <w:lang w:eastAsia="en-US"/>
        </w:rPr>
      </w:pPr>
    </w:p>
    <w:p w14:paraId="0CDA3101" w14:textId="5017106C" w:rsidR="00321E72" w:rsidRPr="004D5E25" w:rsidRDefault="00321E72" w:rsidP="00321E72">
      <w:pPr>
        <w:spacing w:after="0" w:line="360" w:lineRule="auto"/>
        <w:rPr>
          <w:rFonts w:eastAsia="Calibri" w:cs="Times New Roman"/>
          <w:lang w:eastAsia="en-US"/>
        </w:rPr>
      </w:pPr>
      <w:r w:rsidRPr="004D5E25">
        <w:rPr>
          <w:rFonts w:eastAsia="Calibri" w:cs="Times New Roman"/>
          <w:lang w:eastAsia="en-US"/>
        </w:rPr>
        <w:t xml:space="preserve">Por tal circunstancia y toda vez, que las deducciones por Ley, son de carácter obligatorio y ayuda a rendir cuentas, de que el Ayuntamiento de </w:t>
      </w:r>
      <w:proofErr w:type="spellStart"/>
      <w:r w:rsidRPr="004D5E25">
        <w:rPr>
          <w:rFonts w:eastAsia="Calibri" w:cs="Times New Roman"/>
          <w:lang w:eastAsia="en-US"/>
        </w:rPr>
        <w:t>Jiquipilco</w:t>
      </w:r>
      <w:proofErr w:type="spellEnd"/>
      <w:r w:rsidRPr="004D5E25">
        <w:rPr>
          <w:rFonts w:eastAsia="Calibri" w:cs="Times New Roman"/>
          <w:lang w:eastAsia="en-US"/>
        </w:rPr>
        <w:t xml:space="preserve"> cumple con sus funciones de patrón, al retener determinado monto del sueldo de los servidores públicos, es que se considera que son de naturaleza pública y, por lo tanto, no procede su clasificación en términos del artículo 143, fracción I, de la Ley de Transparencia y Acceso a la Información Pública del Estado de México y Municipios, por lo que, deberá dejar visible el monto y concepto de las mismas. </w:t>
      </w:r>
    </w:p>
    <w:p w14:paraId="29969CE0" w14:textId="77777777" w:rsidR="00321E72" w:rsidRPr="004D5E25" w:rsidRDefault="00321E72" w:rsidP="00321E72">
      <w:pPr>
        <w:spacing w:after="0" w:line="360" w:lineRule="auto"/>
        <w:rPr>
          <w:rFonts w:eastAsia="Calibri" w:cs="Times New Roman"/>
          <w:color w:val="000000"/>
          <w:lang w:eastAsia="en-US"/>
        </w:rPr>
      </w:pPr>
    </w:p>
    <w:p w14:paraId="120D08FB" w14:textId="77777777" w:rsidR="00321E72" w:rsidRPr="004D5E25" w:rsidRDefault="00321E72" w:rsidP="00321E72">
      <w:pPr>
        <w:numPr>
          <w:ilvl w:val="0"/>
          <w:numId w:val="35"/>
        </w:numPr>
        <w:spacing w:after="0" w:line="360" w:lineRule="auto"/>
        <w:jc w:val="left"/>
        <w:rPr>
          <w:rFonts w:eastAsia="Calibri" w:cs="Times New Roman"/>
          <w:b/>
          <w:color w:val="000000"/>
          <w:lang w:eastAsia="en-US"/>
        </w:rPr>
      </w:pPr>
      <w:r w:rsidRPr="004D5E25">
        <w:rPr>
          <w:rFonts w:eastAsia="Calibri" w:cs="Times New Roman"/>
          <w:b/>
          <w:color w:val="000000"/>
          <w:lang w:eastAsia="en-US"/>
        </w:rPr>
        <w:t>Deducciones personales</w:t>
      </w:r>
    </w:p>
    <w:p w14:paraId="191E433A" w14:textId="77777777" w:rsidR="00321E72" w:rsidRPr="004D5E25" w:rsidRDefault="00321E72" w:rsidP="00321E72">
      <w:pPr>
        <w:spacing w:after="0" w:line="360" w:lineRule="auto"/>
        <w:ind w:left="720"/>
        <w:rPr>
          <w:rFonts w:eastAsia="Calibri" w:cs="Times New Roman"/>
          <w:b/>
          <w:color w:val="000000"/>
          <w:lang w:eastAsia="en-US"/>
        </w:rPr>
      </w:pPr>
    </w:p>
    <w:p w14:paraId="3905CAD5" w14:textId="77777777" w:rsidR="00321E72" w:rsidRPr="004D5E25" w:rsidRDefault="00321E72" w:rsidP="00321E72">
      <w:pPr>
        <w:spacing w:after="0" w:line="360" w:lineRule="auto"/>
        <w:rPr>
          <w:rFonts w:eastAsia="Calibri" w:cs="Times New Roman"/>
          <w:color w:val="000000"/>
          <w:lang w:eastAsia="en-US"/>
        </w:rPr>
      </w:pPr>
      <w:r w:rsidRPr="004D5E25">
        <w:rPr>
          <w:rFonts w:eastAsia="Calibri" w:cs="Times New Roman"/>
          <w:color w:val="000000"/>
          <w:lang w:eastAsia="en-US"/>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2E432126" w14:textId="77777777" w:rsidR="00321E72" w:rsidRPr="004D5E25" w:rsidRDefault="00321E72" w:rsidP="00321E72">
      <w:pPr>
        <w:spacing w:after="0" w:line="360" w:lineRule="auto"/>
        <w:rPr>
          <w:rFonts w:eastAsia="Calibri" w:cs="Times New Roman"/>
          <w:color w:val="000000"/>
          <w:lang w:eastAsia="en-US"/>
        </w:rPr>
      </w:pPr>
    </w:p>
    <w:p w14:paraId="21F1993E" w14:textId="77777777" w:rsidR="00D43425" w:rsidRPr="004D5E25" w:rsidRDefault="00D43425" w:rsidP="00321E72">
      <w:pPr>
        <w:spacing w:after="0" w:line="360" w:lineRule="auto"/>
        <w:rPr>
          <w:rFonts w:eastAsia="Calibri" w:cs="Times New Roman"/>
          <w:color w:val="000000"/>
          <w:lang w:eastAsia="en-US"/>
        </w:rPr>
      </w:pPr>
    </w:p>
    <w:p w14:paraId="65A2C7C9" w14:textId="77777777" w:rsidR="00D43425" w:rsidRPr="004D5E25" w:rsidRDefault="00D43425" w:rsidP="00321E72">
      <w:pPr>
        <w:spacing w:after="0" w:line="360" w:lineRule="auto"/>
        <w:rPr>
          <w:rFonts w:eastAsia="Calibri" w:cs="Times New Roman"/>
          <w:color w:val="000000"/>
          <w:lang w:eastAsia="en-US"/>
        </w:rPr>
      </w:pPr>
    </w:p>
    <w:p w14:paraId="4F86873F" w14:textId="77777777" w:rsidR="00D43425" w:rsidRPr="004D5E25" w:rsidRDefault="00D43425" w:rsidP="00321E72">
      <w:pPr>
        <w:spacing w:after="0" w:line="360" w:lineRule="auto"/>
        <w:rPr>
          <w:rFonts w:eastAsia="Calibri" w:cs="Times New Roman"/>
          <w:color w:val="000000"/>
          <w:lang w:eastAsia="en-US"/>
        </w:rPr>
      </w:pPr>
    </w:p>
    <w:p w14:paraId="605B8B7D" w14:textId="77777777" w:rsidR="00321E72" w:rsidRPr="004D5E25" w:rsidRDefault="00321E72" w:rsidP="00321E72">
      <w:pPr>
        <w:spacing w:after="0" w:line="360" w:lineRule="auto"/>
        <w:rPr>
          <w:rFonts w:eastAsia="Calibri" w:cs="Times New Roman"/>
          <w:color w:val="000000"/>
          <w:lang w:eastAsia="en-US"/>
        </w:rPr>
      </w:pPr>
      <w:r w:rsidRPr="004D5E25">
        <w:rPr>
          <w:rFonts w:eastAsia="Calibri" w:cs="Times New Roman"/>
          <w:color w:val="000000"/>
          <w:lang w:eastAsia="en-US"/>
        </w:rPr>
        <w:t xml:space="preserve">Asimismo, hay otras que se generan con motivo de una sentencia judicial, como es la pensión alimenticia que periódicamente se retira de la cuenta de un empleado, a efecto de que sea entregado a un tercero.  </w:t>
      </w:r>
    </w:p>
    <w:p w14:paraId="33032EB3" w14:textId="77777777" w:rsidR="00321E72" w:rsidRPr="004D5E25" w:rsidRDefault="00321E72" w:rsidP="00321E72">
      <w:pPr>
        <w:spacing w:after="0" w:line="360" w:lineRule="auto"/>
        <w:rPr>
          <w:rFonts w:eastAsia="Calibri" w:cs="Times New Roman"/>
          <w:color w:val="000000"/>
          <w:lang w:eastAsia="en-US"/>
        </w:rPr>
      </w:pPr>
    </w:p>
    <w:p w14:paraId="1C235F46" w14:textId="77777777" w:rsidR="00321E72" w:rsidRPr="004D5E25" w:rsidRDefault="00321E72" w:rsidP="00321E72">
      <w:pPr>
        <w:spacing w:after="0" w:line="360" w:lineRule="auto"/>
        <w:rPr>
          <w:rFonts w:eastAsia="Calibri" w:cs="Times New Roman"/>
          <w:color w:val="000000"/>
          <w:lang w:eastAsia="en-US"/>
        </w:rPr>
      </w:pPr>
      <w:r w:rsidRPr="004D5E25">
        <w:rPr>
          <w:rFonts w:eastAsia="Calibri" w:cs="Times New Roman"/>
          <w:color w:val="000000"/>
          <w:lang w:eastAsia="en-US"/>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140AB688" w14:textId="77777777" w:rsidR="00321E72" w:rsidRPr="004D5E25" w:rsidRDefault="00321E72" w:rsidP="00321E72">
      <w:pPr>
        <w:spacing w:after="0" w:line="360" w:lineRule="auto"/>
        <w:rPr>
          <w:rFonts w:eastAsia="Calibri" w:cs="Times New Roman"/>
          <w:color w:val="000000"/>
          <w:lang w:eastAsia="en-US"/>
        </w:rPr>
      </w:pPr>
    </w:p>
    <w:p w14:paraId="7A09386C" w14:textId="20815328" w:rsidR="00321E72" w:rsidRPr="004D5E25" w:rsidRDefault="00321E72" w:rsidP="00321E72">
      <w:pPr>
        <w:spacing w:after="0" w:line="360" w:lineRule="auto"/>
        <w:rPr>
          <w:rFonts w:eastAsia="Calibri" w:cs="Times New Roman"/>
          <w:b/>
          <w:bCs/>
          <w:color w:val="000000"/>
          <w:lang w:eastAsia="en-US"/>
        </w:rPr>
      </w:pPr>
      <w:r w:rsidRPr="004D5E25">
        <w:rPr>
          <w:rFonts w:eastAsia="Calibri" w:cs="Times New Roman"/>
          <w:color w:val="000000"/>
          <w:lang w:eastAsia="en-US"/>
        </w:rPr>
        <w:t>Así, dichas deducciones reflejan el destino que un servidor público da a su patrimonio y, por lo tanto, resulta procedente clasificar el monto y concepto de las deducciones personales, en términos del artículo 143, fracción I, de la Ley de Transparencia y Acceso a la Información Pública del Estado de México y Municipios.</w:t>
      </w:r>
    </w:p>
    <w:p w14:paraId="7C8816DD" w14:textId="77777777" w:rsidR="008449FA" w:rsidRPr="004D5E25" w:rsidRDefault="008449FA" w:rsidP="00761BC2">
      <w:pPr>
        <w:spacing w:after="0" w:line="360" w:lineRule="auto"/>
        <w:rPr>
          <w:rFonts w:cs="Tahoma"/>
          <w:b/>
        </w:rPr>
      </w:pPr>
    </w:p>
    <w:p w14:paraId="417EE598" w14:textId="491B2A95" w:rsidR="00412A97" w:rsidRPr="004D5E25" w:rsidRDefault="00412A97" w:rsidP="00761BC2">
      <w:pPr>
        <w:pStyle w:val="Prrafodelista"/>
        <w:numPr>
          <w:ilvl w:val="0"/>
          <w:numId w:val="20"/>
        </w:numPr>
        <w:spacing w:line="360" w:lineRule="auto"/>
        <w:rPr>
          <w:rFonts w:cs="Tahoma"/>
          <w:b/>
          <w:szCs w:val="22"/>
        </w:rPr>
      </w:pPr>
      <w:r w:rsidRPr="004D5E25">
        <w:rPr>
          <w:rFonts w:cs="Tahoma"/>
          <w:b/>
          <w:bCs/>
          <w:szCs w:val="22"/>
        </w:rPr>
        <w:t>Sellos digitales del emisor y del Servicio de Administración Tributaria y cadena original del complemento de certificación digital del órgano previamente señalado; así como sus respectivos números de serie de los certificados de sellos digitales</w:t>
      </w:r>
      <w:r w:rsidR="00321E72" w:rsidRPr="004D5E25">
        <w:rPr>
          <w:rFonts w:cs="Tahoma"/>
          <w:b/>
          <w:bCs/>
          <w:szCs w:val="22"/>
        </w:rPr>
        <w:t xml:space="preserve"> y </w:t>
      </w:r>
      <w:r w:rsidRPr="004D5E25">
        <w:rPr>
          <w:rFonts w:cs="Tahoma"/>
          <w:b/>
          <w:bCs/>
          <w:szCs w:val="22"/>
        </w:rPr>
        <w:t>folio fiscal.</w:t>
      </w:r>
    </w:p>
    <w:p w14:paraId="3C3AE28B" w14:textId="77777777" w:rsidR="00412A97" w:rsidRPr="004D5E25" w:rsidRDefault="00412A97" w:rsidP="00761BC2">
      <w:pPr>
        <w:spacing w:after="0" w:line="360" w:lineRule="auto"/>
        <w:ind w:right="-93"/>
        <w:rPr>
          <w:rFonts w:cs="Tahoma"/>
          <w:b/>
        </w:rPr>
      </w:pPr>
    </w:p>
    <w:p w14:paraId="3A11BEAC" w14:textId="77777777" w:rsidR="00412A97" w:rsidRPr="004D5E25" w:rsidRDefault="00412A97" w:rsidP="00761BC2">
      <w:pPr>
        <w:spacing w:after="0" w:line="360" w:lineRule="auto"/>
        <w:ind w:right="-91"/>
        <w:rPr>
          <w:rFonts w:eastAsia="Calibri" w:cs="Tahoma"/>
          <w:bCs/>
          <w:lang w:val="es-ES" w:eastAsia="en-US"/>
        </w:rPr>
      </w:pPr>
      <w:r w:rsidRPr="004D5E25">
        <w:rPr>
          <w:rFonts w:eastAsia="Calibri" w:cs="Tahoma"/>
          <w:bCs/>
          <w:lang w:val="es-ES" w:eastAsia="en-US"/>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w:t>
      </w:r>
      <w:r w:rsidRPr="004D5E25">
        <w:rPr>
          <w:rFonts w:eastAsia="Calibri" w:cs="Tahoma"/>
          <w:bCs/>
          <w:lang w:val="es-ES" w:eastAsia="en-US"/>
        </w:rPr>
        <w:lastRenderedPageBreak/>
        <w:t>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5CC8D99" w14:textId="77777777" w:rsidR="00412A97" w:rsidRPr="004D5E25" w:rsidRDefault="00412A97" w:rsidP="00761BC2">
      <w:pPr>
        <w:spacing w:after="0" w:line="360" w:lineRule="auto"/>
        <w:ind w:right="-91"/>
        <w:rPr>
          <w:rFonts w:eastAsia="Calibri" w:cs="Tahoma"/>
          <w:bCs/>
          <w:lang w:val="es-ES" w:eastAsia="en-US"/>
        </w:rPr>
      </w:pPr>
    </w:p>
    <w:p w14:paraId="2360FA81" w14:textId="77777777" w:rsidR="00412A97" w:rsidRPr="004D5E25" w:rsidRDefault="00412A97" w:rsidP="00761BC2">
      <w:pPr>
        <w:spacing w:after="0" w:line="360" w:lineRule="auto"/>
        <w:ind w:right="-91"/>
        <w:rPr>
          <w:rFonts w:eastAsia="Calibri" w:cs="Tahoma"/>
          <w:bCs/>
          <w:lang w:val="es-ES" w:eastAsia="en-US"/>
        </w:rPr>
      </w:pPr>
      <w:r w:rsidRPr="004D5E25">
        <w:rPr>
          <w:rFonts w:eastAsia="Calibri" w:cs="Tahoma"/>
          <w:bCs/>
          <w:lang w:val="es-ES" w:eastAsia="en-US"/>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A76EB1F" w14:textId="77777777" w:rsidR="00412A97" w:rsidRPr="004D5E25" w:rsidRDefault="00412A97" w:rsidP="00761BC2">
      <w:pPr>
        <w:spacing w:after="0" w:line="360" w:lineRule="auto"/>
        <w:ind w:right="-91"/>
        <w:rPr>
          <w:rFonts w:eastAsia="Calibri" w:cs="Tahoma"/>
          <w:bCs/>
          <w:lang w:val="es-ES" w:eastAsia="en-US"/>
        </w:rPr>
      </w:pPr>
    </w:p>
    <w:p w14:paraId="1F26F050"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“Elementos utilizados en la generación de Sellos Digitales:</w:t>
      </w:r>
    </w:p>
    <w:p w14:paraId="33DDDDB1"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w:t>
      </w:r>
      <w:r w:rsidRPr="004D5E25">
        <w:rPr>
          <w:rFonts w:eastAsia="Calibri" w:cs="Tahoma"/>
          <w:bCs/>
          <w:i/>
          <w:sz w:val="20"/>
          <w:szCs w:val="20"/>
          <w:lang w:val="es-ES" w:eastAsia="en-US"/>
        </w:rPr>
        <w:tab/>
        <w:t>Cadena Original, el elemento a sellar, en este caso de un comprobante fiscal digital a través de Internet.</w:t>
      </w:r>
    </w:p>
    <w:p w14:paraId="618EA4B8"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w:t>
      </w:r>
      <w:r w:rsidRPr="004D5E25">
        <w:rPr>
          <w:rFonts w:eastAsia="Calibri" w:cs="Tahoma"/>
          <w:bCs/>
          <w:i/>
          <w:sz w:val="20"/>
          <w:szCs w:val="20"/>
          <w:lang w:val="es-ES" w:eastAsia="en-US"/>
        </w:rPr>
        <w:tab/>
        <w:t>Certificado de Sello Digital y su correspondiente clave privada.</w:t>
      </w:r>
    </w:p>
    <w:p w14:paraId="38520362"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w:t>
      </w:r>
      <w:r w:rsidRPr="004D5E25">
        <w:rPr>
          <w:rFonts w:eastAsia="Calibri" w:cs="Tahoma"/>
          <w:bCs/>
          <w:i/>
          <w:sz w:val="20"/>
          <w:szCs w:val="20"/>
          <w:lang w:val="es-ES" w:eastAsia="en-US"/>
        </w:rPr>
        <w:tab/>
        <w:t>Algoritmos de criptografía de clave pública para firma electrónica avanzada.</w:t>
      </w:r>
    </w:p>
    <w:p w14:paraId="3D588697"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w:t>
      </w:r>
      <w:r w:rsidRPr="004D5E25">
        <w:rPr>
          <w:rFonts w:eastAsia="Calibri" w:cs="Tahoma"/>
          <w:bCs/>
          <w:i/>
          <w:sz w:val="20"/>
          <w:szCs w:val="20"/>
          <w:lang w:val="es-ES" w:eastAsia="en-US"/>
        </w:rPr>
        <w:tab/>
        <w:t>Especificaciones de conversión de la firma electrónica avanzada a Base 64.</w:t>
      </w:r>
    </w:p>
    <w:p w14:paraId="08302D58"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Para la generación de sellos digitales se utiliza criptografía de clave pública aplicada a una cadena original.</w:t>
      </w:r>
    </w:p>
    <w:p w14:paraId="3B483E51" w14:textId="77777777" w:rsidR="00412A97" w:rsidRPr="004D5E25" w:rsidRDefault="00412A97" w:rsidP="00761BC2">
      <w:pPr>
        <w:spacing w:after="0" w:line="360" w:lineRule="auto"/>
        <w:ind w:left="567" w:right="539"/>
        <w:rPr>
          <w:rFonts w:eastAsia="Calibri" w:cs="Tahoma"/>
          <w:bCs/>
          <w:i/>
          <w:sz w:val="20"/>
          <w:szCs w:val="20"/>
          <w:lang w:val="es-ES" w:eastAsia="en-US"/>
        </w:rPr>
      </w:pPr>
    </w:p>
    <w:p w14:paraId="5D8B8FDA"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Criptografía de la Clave Pública</w:t>
      </w:r>
    </w:p>
    <w:p w14:paraId="4E1A83A6" w14:textId="77777777" w:rsidR="00412A97" w:rsidRPr="004D5E25" w:rsidRDefault="00412A97" w:rsidP="00761BC2">
      <w:pPr>
        <w:spacing w:after="0" w:line="360" w:lineRule="auto"/>
        <w:ind w:left="567" w:right="539"/>
        <w:rPr>
          <w:rFonts w:eastAsia="Calibri" w:cs="Tahoma"/>
          <w:bCs/>
          <w:i/>
          <w:sz w:val="20"/>
          <w:szCs w:val="20"/>
          <w:lang w:val="es-ES" w:eastAsia="en-US"/>
        </w:rPr>
      </w:pPr>
      <w:r w:rsidRPr="004D5E25">
        <w:rPr>
          <w:rFonts w:eastAsia="Calibri" w:cs="Tahoma"/>
          <w:bCs/>
          <w:i/>
          <w:sz w:val="20"/>
          <w:szCs w:val="20"/>
          <w:lang w:val="es-ES" w:eastAsia="en-US"/>
        </w:rPr>
        <w:t xml:space="preserve">La criptografía de Clave Pública se basa en la generación de una pareja de números muy grandes relacionados íntimamente entre sí, de tal manera que una operación de </w:t>
      </w:r>
      <w:proofErr w:type="spellStart"/>
      <w:r w:rsidRPr="004D5E25">
        <w:rPr>
          <w:rFonts w:eastAsia="Calibri" w:cs="Tahoma"/>
          <w:bCs/>
          <w:i/>
          <w:sz w:val="20"/>
          <w:szCs w:val="20"/>
          <w:lang w:val="es-ES" w:eastAsia="en-US"/>
        </w:rPr>
        <w:t>encripción</w:t>
      </w:r>
      <w:proofErr w:type="spellEnd"/>
      <w:r w:rsidRPr="004D5E25">
        <w:rPr>
          <w:rFonts w:eastAsia="Calibri" w:cs="Tahoma"/>
          <w:bCs/>
          <w:i/>
          <w:sz w:val="20"/>
          <w:szCs w:val="20"/>
          <w:lang w:val="es-ES" w:eastAsia="en-US"/>
        </w:rPr>
        <w:t xml:space="preserve"> sobre un mensaje tomando como clave de </w:t>
      </w:r>
      <w:proofErr w:type="spellStart"/>
      <w:r w:rsidRPr="004D5E25">
        <w:rPr>
          <w:rFonts w:eastAsia="Calibri" w:cs="Tahoma"/>
          <w:bCs/>
          <w:i/>
          <w:sz w:val="20"/>
          <w:szCs w:val="20"/>
          <w:lang w:val="es-ES" w:eastAsia="en-US"/>
        </w:rPr>
        <w:t>encripción</w:t>
      </w:r>
      <w:proofErr w:type="spellEnd"/>
      <w:r w:rsidRPr="004D5E25">
        <w:rPr>
          <w:rFonts w:eastAsia="Calibri" w:cs="Tahoma"/>
          <w:bCs/>
          <w:i/>
          <w:sz w:val="20"/>
          <w:szCs w:val="20"/>
          <w:lang w:val="es-ES" w:eastAsia="en-US"/>
        </w:rPr>
        <w:t xml:space="preserve"> a uno de los dos números, produce un mensaje alterado en su significado que solo puede ser devuelto a su estado original mediante la operación de descripción correspondiente tomando como clave de descripción al otro número de la pareja.”</w:t>
      </w:r>
    </w:p>
    <w:p w14:paraId="6A394EE5" w14:textId="77777777" w:rsidR="00412A97" w:rsidRPr="004D5E25" w:rsidRDefault="00412A97" w:rsidP="00761BC2">
      <w:pPr>
        <w:spacing w:after="0" w:line="360" w:lineRule="auto"/>
        <w:ind w:right="-91"/>
        <w:rPr>
          <w:rFonts w:eastAsia="Calibri" w:cs="Tahoma"/>
          <w:bCs/>
          <w:lang w:val="es-ES" w:eastAsia="en-US"/>
        </w:rPr>
      </w:pPr>
    </w:p>
    <w:p w14:paraId="3C26D6A4" w14:textId="77777777" w:rsidR="00D43425" w:rsidRPr="004D5E25" w:rsidRDefault="00D43425" w:rsidP="00761BC2">
      <w:pPr>
        <w:spacing w:after="0" w:line="360" w:lineRule="auto"/>
        <w:ind w:right="-91"/>
        <w:rPr>
          <w:rFonts w:eastAsia="Calibri" w:cs="Tahoma"/>
          <w:bCs/>
          <w:lang w:val="es-ES" w:eastAsia="en-US"/>
        </w:rPr>
      </w:pPr>
    </w:p>
    <w:p w14:paraId="33948DFE" w14:textId="77777777" w:rsidR="00412A97" w:rsidRPr="004D5E25" w:rsidRDefault="00412A97" w:rsidP="00761BC2">
      <w:pPr>
        <w:spacing w:after="0" w:line="360" w:lineRule="auto"/>
        <w:rPr>
          <w:rFonts w:eastAsia="Calibri" w:cs="Tahoma"/>
          <w:bCs/>
          <w:lang w:val="es-ES" w:eastAsia="en-US"/>
        </w:rPr>
      </w:pPr>
      <w:r w:rsidRPr="004D5E25">
        <w:rPr>
          <w:rFonts w:eastAsia="Calibri" w:cs="Tahoma"/>
          <w:bCs/>
          <w:lang w:val="es-ES" w:eastAsia="en-U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65182B34" w14:textId="77777777" w:rsidR="00412A97" w:rsidRPr="004D5E25" w:rsidRDefault="00412A97" w:rsidP="00761BC2">
      <w:pPr>
        <w:spacing w:after="0" w:line="360" w:lineRule="auto"/>
        <w:rPr>
          <w:rFonts w:eastAsia="Calibri" w:cs="Tahoma"/>
          <w:bCs/>
          <w:lang w:val="es-ES" w:eastAsia="en-US"/>
        </w:rPr>
      </w:pPr>
    </w:p>
    <w:p w14:paraId="1C055578" w14:textId="77777777" w:rsidR="00321E72" w:rsidRPr="004D5E25" w:rsidRDefault="00321E72" w:rsidP="00321E72">
      <w:pPr>
        <w:spacing w:after="0" w:line="360" w:lineRule="auto"/>
      </w:pPr>
      <w:r w:rsidRPr="004D5E25">
        <w:rPr>
          <w:color w:val="000000"/>
        </w:rPr>
        <w:t>Cabe señalar que, en algunos casos, las</w:t>
      </w:r>
      <w:r w:rsidRPr="004D5E25">
        <w:t xml:space="preserve"> cadenas originales y sellos digitales, se pueden conformar de datos confidenciales, tales como el Registro Federal de Contribuyentes o la Clave Única de Registro de Población o las deducciones personales; por lo que, en su caso actualizarían actualiza la clasificación, en términos del artículo 143, fracción I, de la Ley de la materia.</w:t>
      </w:r>
    </w:p>
    <w:p w14:paraId="5BF33356" w14:textId="77777777" w:rsidR="00321E72" w:rsidRPr="004D5E25" w:rsidRDefault="00321E72" w:rsidP="00761BC2">
      <w:pPr>
        <w:spacing w:after="0" w:line="360" w:lineRule="auto"/>
        <w:rPr>
          <w:rFonts w:eastAsia="Calibri" w:cs="Tahoma"/>
          <w:bCs/>
          <w:lang w:val="es-ES" w:eastAsia="en-US"/>
        </w:rPr>
      </w:pPr>
    </w:p>
    <w:p w14:paraId="6B3E533D" w14:textId="77777777" w:rsidR="00412A97" w:rsidRPr="004D5E25" w:rsidRDefault="00412A97" w:rsidP="00761BC2">
      <w:pPr>
        <w:spacing w:after="0" w:line="360" w:lineRule="auto"/>
        <w:rPr>
          <w:rFonts w:eastAsia="Calibri" w:cs="Tahoma"/>
          <w:bCs/>
          <w:lang w:val="es-ES" w:eastAsia="en-US"/>
        </w:rPr>
      </w:pPr>
      <w:r w:rsidRPr="004D5E25">
        <w:rPr>
          <w:rFonts w:eastAsia="Calibri" w:cs="Tahoma"/>
          <w:bCs/>
          <w:lang w:val="es-ES" w:eastAsia="en-U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(página electrónica </w:t>
      </w:r>
      <w:hyperlink r:id="rId14" w:history="1">
        <w:r w:rsidRPr="004D5E25">
          <w:rPr>
            <w:rStyle w:val="Hipervnculo"/>
            <w:rFonts w:eastAsia="Calibri" w:cs="Tahoma"/>
            <w:bCs/>
            <w:lang w:eastAsia="en-US"/>
          </w:rPr>
          <w:t>https://portalanterior.ine.mx/archivos2/tutoriales/sistemas/ApoyoInstitucional/SIF/docs/candidatos/folioFiscalFactura.pdf</w:t>
        </w:r>
      </w:hyperlink>
      <w:r w:rsidRPr="004D5E25">
        <w:rPr>
          <w:rFonts w:eastAsia="Calibri" w:cs="Tahoma"/>
          <w:bCs/>
          <w:lang w:val="es-ES" w:eastAsia="en-US"/>
        </w:rPr>
        <w:t>), en la cual se advierte que únicamente se encuentra conformado por números, se muestra a continuación:</w:t>
      </w:r>
    </w:p>
    <w:p w14:paraId="510C33D6" w14:textId="77777777" w:rsidR="00412A97" w:rsidRPr="004D5E25" w:rsidRDefault="00412A97" w:rsidP="00761BC2">
      <w:pPr>
        <w:spacing w:after="0" w:line="360" w:lineRule="auto"/>
        <w:rPr>
          <w:rFonts w:eastAsia="Calibri" w:cs="Tahoma"/>
          <w:bCs/>
          <w:lang w:val="es-ES" w:eastAsia="en-US"/>
        </w:rPr>
      </w:pPr>
    </w:p>
    <w:p w14:paraId="5C2D6924" w14:textId="77777777" w:rsidR="00412A97" w:rsidRPr="004D5E25" w:rsidRDefault="00412A97" w:rsidP="00761BC2">
      <w:pPr>
        <w:spacing w:after="0" w:line="360" w:lineRule="auto"/>
        <w:rPr>
          <w:rFonts w:eastAsia="Calibri" w:cs="Tahoma"/>
          <w:bCs/>
          <w:lang w:val="es-ES" w:eastAsia="en-US"/>
        </w:rPr>
      </w:pPr>
      <w:r w:rsidRPr="004D5E25">
        <w:rPr>
          <w:noProof/>
        </w:rPr>
        <mc:AlternateContent>
          <mc:Choice Requires="wps">
            <w:drawing>
              <wp:anchor distT="0" distB="0" distL="114300" distR="114300" simplePos="0" relativeHeight="251659264" behindDoc="0" locked="0" layoutInCell="1" allowOverlap="1" wp14:anchorId="3FD9C5D7" wp14:editId="6C13186B">
                <wp:simplePos x="0" y="0"/>
                <wp:positionH relativeFrom="column">
                  <wp:posOffset>162560</wp:posOffset>
                </wp:positionH>
                <wp:positionV relativeFrom="paragraph">
                  <wp:posOffset>866140</wp:posOffset>
                </wp:positionV>
                <wp:extent cx="3457575" cy="219075"/>
                <wp:effectExtent l="19050" t="19050" r="28575" b="28575"/>
                <wp:wrapNone/>
                <wp:docPr id="19" name="Rectángulo 19"/>
                <wp:cNvGraphicFramePr/>
                <a:graphic xmlns:a="http://schemas.openxmlformats.org/drawingml/2006/main">
                  <a:graphicData uri="http://schemas.microsoft.com/office/word/2010/wordprocessingShape">
                    <wps:wsp>
                      <wps:cNvSpPr/>
                      <wps:spPr>
                        <a:xfrm>
                          <a:off x="0" y="0"/>
                          <a:ext cx="3457575" cy="2190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63B01E" id="Rectángulo 19" o:spid="_x0000_s1026" style="position:absolute;margin-left:12.8pt;margin-top:68.2pt;width:27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" filled="f" strokecolor="windowText" strokeweight="2.25pt"/>
            </w:pict>
          </mc:Fallback>
        </mc:AlternateContent>
      </w:r>
      <w:r w:rsidRPr="004D5E25">
        <w:rPr>
          <w:noProof/>
        </w:rPr>
        <w:drawing>
          <wp:inline distT="0" distB="0" distL="0" distR="0" wp14:anchorId="0F3AE750" wp14:editId="61C89FE2">
            <wp:extent cx="5437410" cy="10572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6959" cy="1061076"/>
                    </a:xfrm>
                    <a:prstGeom prst="rect">
                      <a:avLst/>
                    </a:prstGeom>
                  </pic:spPr>
                </pic:pic>
              </a:graphicData>
            </a:graphic>
          </wp:inline>
        </w:drawing>
      </w:r>
    </w:p>
    <w:p w14:paraId="55276018" w14:textId="77777777" w:rsidR="00412A97" w:rsidRPr="004D5E25" w:rsidRDefault="00412A97" w:rsidP="00761BC2">
      <w:pPr>
        <w:spacing w:after="0" w:line="360" w:lineRule="auto"/>
        <w:rPr>
          <w:rFonts w:eastAsia="Calibri" w:cs="Tahoma"/>
          <w:bCs/>
          <w:lang w:val="es-ES" w:eastAsia="en-US"/>
        </w:rPr>
      </w:pPr>
    </w:p>
    <w:p w14:paraId="629E66A3" w14:textId="77777777" w:rsidR="00412A97" w:rsidRPr="004D5E25" w:rsidRDefault="00412A97" w:rsidP="00761BC2">
      <w:pPr>
        <w:spacing w:after="0" w:line="360" w:lineRule="auto"/>
        <w:rPr>
          <w:rFonts w:eastAsia="Calibri" w:cs="Tahoma"/>
          <w:bCs/>
          <w:lang w:val="es-ES" w:eastAsia="en-US"/>
        </w:rPr>
      </w:pPr>
      <w:r w:rsidRPr="004D5E25">
        <w:rPr>
          <w:rFonts w:eastAsia="Calibri" w:cs="Tahoma"/>
          <w:bCs/>
          <w:lang w:val="es-ES" w:eastAsia="en-US"/>
        </w:rPr>
        <w:lastRenderedPageBreak/>
        <w:t xml:space="preserve">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w:t>
      </w:r>
      <w:r w:rsidRPr="004D5E25">
        <w:rPr>
          <w:rFonts w:eastAsia="Calibri" w:cs="Tahoma"/>
          <w:b/>
          <w:bCs/>
          <w:lang w:val="es-ES" w:eastAsia="en-US"/>
        </w:rPr>
        <w:t>Máxime que permite corroborar la legitimidad a la factura, pues amparan la utilización de los certificados de sellos digitales válidos.</w:t>
      </w:r>
    </w:p>
    <w:p w14:paraId="71D466F6" w14:textId="77777777" w:rsidR="00412A97" w:rsidRPr="004D5E25" w:rsidRDefault="00412A97" w:rsidP="00761BC2">
      <w:pPr>
        <w:spacing w:after="0" w:line="360" w:lineRule="auto"/>
        <w:rPr>
          <w:rFonts w:eastAsia="Calibri" w:cs="Tahoma"/>
          <w:bCs/>
          <w:lang w:val="es-ES" w:eastAsia="en-US"/>
        </w:rPr>
      </w:pPr>
    </w:p>
    <w:p w14:paraId="7C7ECCD8" w14:textId="77777777" w:rsidR="00412A97" w:rsidRPr="004D5E25" w:rsidRDefault="00412A97" w:rsidP="00761BC2">
      <w:pPr>
        <w:spacing w:after="0" w:line="360" w:lineRule="auto"/>
        <w:rPr>
          <w:rFonts w:eastAsia="Calibri" w:cs="Tahoma"/>
          <w:bCs/>
          <w:lang w:val="es-ES" w:eastAsia="en-US"/>
        </w:rPr>
      </w:pPr>
      <w:r w:rsidRPr="004D5E25">
        <w:rPr>
          <w:rFonts w:eastAsia="Calibri" w:cs="Tahoma"/>
          <w:bCs/>
          <w:lang w:val="es-ES" w:eastAsia="en-US"/>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278586D0" w14:textId="77777777" w:rsidR="00412A97" w:rsidRPr="004D5E25" w:rsidRDefault="00412A97" w:rsidP="00761BC2">
      <w:pPr>
        <w:spacing w:after="0" w:line="360" w:lineRule="auto"/>
        <w:rPr>
          <w:rFonts w:eastAsia="Calibri" w:cs="Tahoma"/>
          <w:bCs/>
          <w:lang w:val="es-ES" w:eastAsia="en-US"/>
        </w:rPr>
      </w:pPr>
    </w:p>
    <w:p w14:paraId="48919548" w14:textId="77777777" w:rsidR="00412A97" w:rsidRPr="004D5E25" w:rsidRDefault="00412A97" w:rsidP="00761BC2">
      <w:pPr>
        <w:spacing w:after="0" w:line="360" w:lineRule="auto"/>
        <w:rPr>
          <w:rFonts w:eastAsia="Calibri" w:cs="Tahoma"/>
          <w:bCs/>
          <w:lang w:val="es-ES" w:eastAsia="en-US"/>
        </w:rPr>
      </w:pPr>
      <w:r w:rsidRPr="004D5E25">
        <w:rPr>
          <w:noProof/>
        </w:rPr>
        <w:drawing>
          <wp:inline distT="0" distB="0" distL="0" distR="0" wp14:anchorId="68AA874D" wp14:editId="71158BE2">
            <wp:extent cx="5457825" cy="15621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2787"/>
                    <a:stretch/>
                  </pic:blipFill>
                  <pic:spPr bwMode="auto">
                    <a:xfrm>
                      <a:off x="0" y="0"/>
                      <a:ext cx="5457825" cy="1562100"/>
                    </a:xfrm>
                    <a:prstGeom prst="rect">
                      <a:avLst/>
                    </a:prstGeom>
                    <a:ln>
                      <a:noFill/>
                    </a:ln>
                    <a:extLst>
                      <a:ext uri="{53640926-AAD7-44D8-BBD7-CCE9431645EC}">
                        <a14:shadowObscured xmlns:a14="http://schemas.microsoft.com/office/drawing/2010/main"/>
                      </a:ext>
                    </a:extLst>
                  </pic:spPr>
                </pic:pic>
              </a:graphicData>
            </a:graphic>
          </wp:inline>
        </w:drawing>
      </w:r>
    </w:p>
    <w:p w14:paraId="1418BC15" w14:textId="77777777" w:rsidR="00412A97" w:rsidRPr="004D5E25" w:rsidRDefault="00412A97" w:rsidP="00761BC2">
      <w:pPr>
        <w:spacing w:after="0" w:line="360" w:lineRule="auto"/>
        <w:rPr>
          <w:b/>
          <w:u w:val="single"/>
          <w:lang w:val="es-ES"/>
        </w:rPr>
      </w:pPr>
    </w:p>
    <w:p w14:paraId="13F42BB4" w14:textId="77777777" w:rsidR="00412A97" w:rsidRPr="004D5E25" w:rsidRDefault="00412A97" w:rsidP="00761BC2">
      <w:pPr>
        <w:spacing w:after="0" w:line="360" w:lineRule="auto"/>
        <w:rPr>
          <w:lang w:val="es-ES"/>
        </w:rPr>
      </w:pPr>
      <w:r w:rsidRPr="004D5E25">
        <w:rPr>
          <w:lang w:val="es-ES"/>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w:t>
      </w:r>
      <w:r w:rsidRPr="004D5E25">
        <w:rPr>
          <w:lang w:val="es-ES"/>
        </w:rPr>
        <w:lastRenderedPageBreak/>
        <w:t>aplicable, sin necesidad algún dato personal, por lo que, tampoco actualiza la clasificación, en términos del artículo 143, fracción I de la Ley de la materia.</w:t>
      </w:r>
    </w:p>
    <w:p w14:paraId="5CBE6A2A" w14:textId="77777777" w:rsidR="00321E72" w:rsidRPr="004D5E25" w:rsidRDefault="00321E72" w:rsidP="00761BC2">
      <w:pPr>
        <w:spacing w:after="0" w:line="360" w:lineRule="auto"/>
        <w:contextualSpacing/>
        <w:rPr>
          <w:rFonts w:cs="Tahoma"/>
          <w:bCs/>
          <w:iCs/>
          <w:lang w:val="es-ES_tradnl"/>
        </w:rPr>
      </w:pPr>
    </w:p>
    <w:p w14:paraId="16FC8559" w14:textId="42026BF2" w:rsidR="00412A97" w:rsidRPr="004D5E25" w:rsidRDefault="00412A97" w:rsidP="00761BC2">
      <w:pPr>
        <w:spacing w:after="0" w:line="360" w:lineRule="auto"/>
        <w:contextualSpacing/>
        <w:rPr>
          <w:rFonts w:eastAsia="Calibri"/>
        </w:rPr>
      </w:pPr>
      <w:r w:rsidRPr="004D5E25">
        <w:rPr>
          <w:rFonts w:cs="Tahoma"/>
          <w:bCs/>
          <w:iCs/>
          <w:lang w:val="es-ES_tradnl"/>
        </w:rPr>
        <w:t>Conforme a lo anterior, deberá entregar los documentos faltantes en versión pública, tomando en consideración el análisis realizado en párrafos anteriores; a</w:t>
      </w:r>
      <w:r w:rsidRPr="004D5E25">
        <w:rPr>
          <w:rFonts w:cs="Tahoma"/>
          <w:bCs/>
          <w:iCs/>
          <w:lang w:val="es-ES"/>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9468BE" w14:textId="77777777" w:rsidR="00412A97" w:rsidRPr="004D5E25" w:rsidRDefault="00412A97" w:rsidP="00761BC2">
      <w:pPr>
        <w:widowControl w:val="0"/>
        <w:autoSpaceDE w:val="0"/>
        <w:autoSpaceDN w:val="0"/>
        <w:adjustRightInd w:val="0"/>
        <w:spacing w:after="0" w:line="360" w:lineRule="auto"/>
        <w:contextualSpacing/>
      </w:pPr>
      <w:r w:rsidRPr="004D5E25">
        <w:t xml:space="preserve"> </w:t>
      </w:r>
    </w:p>
    <w:p w14:paraId="088330D2" w14:textId="77777777" w:rsidR="00412A97" w:rsidRPr="004D5E25" w:rsidRDefault="00412A97" w:rsidP="00761BC2">
      <w:pPr>
        <w:pStyle w:val="Ttulo2"/>
        <w:spacing w:before="0" w:after="0"/>
        <w:jc w:val="both"/>
        <w:rPr>
          <w:szCs w:val="22"/>
          <w:lang w:eastAsia="en-US"/>
        </w:rPr>
      </w:pPr>
      <w:bookmarkStart w:id="23" w:name="_Toc187856550"/>
      <w:bookmarkStart w:id="24" w:name="_Toc193385580"/>
      <w:r w:rsidRPr="004D5E25">
        <w:rPr>
          <w:szCs w:val="22"/>
          <w:lang w:eastAsia="en-US"/>
        </w:rPr>
        <w:t>SEXTO. Decisión</w:t>
      </w:r>
      <w:bookmarkEnd w:id="23"/>
      <w:bookmarkEnd w:id="24"/>
    </w:p>
    <w:p w14:paraId="2BF49C11" w14:textId="77777777" w:rsidR="00412A97" w:rsidRPr="004D5E25" w:rsidRDefault="00412A97" w:rsidP="00761BC2">
      <w:pPr>
        <w:spacing w:after="0" w:line="360" w:lineRule="auto"/>
        <w:contextualSpacing/>
        <w:rPr>
          <w:rFonts w:eastAsia="Calibri" w:cs="Tahoma"/>
          <w:b/>
          <w:lang w:eastAsia="en-US"/>
        </w:rPr>
      </w:pPr>
    </w:p>
    <w:p w14:paraId="6213FF5B" w14:textId="77777777" w:rsidR="00412A97" w:rsidRPr="004D5E25" w:rsidRDefault="00412A97" w:rsidP="00761BC2">
      <w:pPr>
        <w:spacing w:after="0" w:line="360" w:lineRule="auto"/>
        <w:rPr>
          <w:rFonts w:cs="Tahoma"/>
        </w:rPr>
      </w:pPr>
      <w:r w:rsidRPr="004D5E25">
        <w:rPr>
          <w:rFonts w:cs="Tahoma"/>
        </w:rPr>
        <w:t xml:space="preserve">Con fundamento en el artículo 186, fracción III, de la Ley de Transparencia y Acceso a la Información Pública del Estado de México y Municipios, este Instituto considera procedente </w:t>
      </w:r>
      <w:r w:rsidRPr="004D5E25">
        <w:rPr>
          <w:b/>
          <w:bCs/>
        </w:rPr>
        <w:t>MODIFICAR</w:t>
      </w:r>
      <w:r w:rsidRPr="004D5E25">
        <w:rPr>
          <w:rFonts w:cs="Tahoma"/>
        </w:rPr>
        <w:t xml:space="preserve"> la respuesta otorgada por el Sujeto Obligado, a efecto de que entregue, la información faltante.</w:t>
      </w:r>
    </w:p>
    <w:p w14:paraId="629BADE6" w14:textId="77777777" w:rsidR="00321E72" w:rsidRPr="004D5E25" w:rsidRDefault="00321E72" w:rsidP="00321E72">
      <w:pPr>
        <w:pStyle w:val="Ttulo2"/>
        <w:rPr>
          <w:rFonts w:eastAsiaTheme="majorEastAsia" w:cstheme="majorBidi"/>
          <w:bCs/>
          <w:color w:val="auto"/>
          <w:szCs w:val="22"/>
          <w:lang w:eastAsia="en-US"/>
        </w:rPr>
      </w:pPr>
      <w:bookmarkStart w:id="25" w:name="_Toc193385581"/>
      <w:r w:rsidRPr="004D5E25">
        <w:rPr>
          <w:rFonts w:cs="Tahoma"/>
        </w:rPr>
        <w:t>SÉPTIMO.</w:t>
      </w:r>
      <w:r w:rsidRPr="004D5E25">
        <w:rPr>
          <w:rFonts w:cs="Tahoma"/>
          <w:b w:val="0"/>
          <w:bCs/>
        </w:rPr>
        <w:t xml:space="preserve"> </w:t>
      </w:r>
      <w:r w:rsidRPr="004D5E25">
        <w:rPr>
          <w:rFonts w:eastAsiaTheme="majorEastAsia" w:cstheme="majorBidi"/>
          <w:bCs/>
          <w:color w:val="auto"/>
          <w:szCs w:val="22"/>
          <w:lang w:eastAsia="en-US"/>
        </w:rPr>
        <w:t>Vista a la Dirección General de Protección de Datos Personales</w:t>
      </w:r>
      <w:bookmarkEnd w:id="25"/>
    </w:p>
    <w:p w14:paraId="096B3184" w14:textId="77777777" w:rsidR="00321E72" w:rsidRPr="004D5E25" w:rsidRDefault="00321E72" w:rsidP="00321E72">
      <w:pPr>
        <w:spacing w:after="0" w:line="360" w:lineRule="auto"/>
        <w:rPr>
          <w:rFonts w:eastAsiaTheme="minorHAnsi" w:cs="Tahoma"/>
          <w:bCs/>
          <w:iCs/>
          <w:lang w:eastAsia="en-US"/>
        </w:rPr>
      </w:pPr>
    </w:p>
    <w:p w14:paraId="70574A13" w14:textId="2F25C207" w:rsidR="00321E72" w:rsidRPr="004D5E25" w:rsidRDefault="00321E72" w:rsidP="00321E72">
      <w:pPr>
        <w:spacing w:after="0" w:line="360" w:lineRule="auto"/>
        <w:rPr>
          <w:rFonts w:eastAsiaTheme="minorHAnsi" w:cs="Tahoma"/>
          <w:bCs/>
          <w:iCs/>
          <w:lang w:eastAsia="en-US"/>
        </w:rPr>
      </w:pPr>
      <w:r w:rsidRPr="004D5E25">
        <w:rPr>
          <w:rFonts w:eastAsiaTheme="minorHAnsi" w:cs="Tahoma"/>
          <w:bCs/>
          <w:iCs/>
          <w:lang w:eastAsia="en-US"/>
        </w:rPr>
        <w:t xml:space="preserve">Ahora bien, toda vez que, en los recibos de nómina entregados en respuesta, dejó visible el concepto de deducciones personales, circunstancias que vulneran lo previsto en el artículo 143, </w:t>
      </w:r>
      <w:r w:rsidRPr="004D5E25">
        <w:rPr>
          <w:rFonts w:eastAsiaTheme="minorHAnsi" w:cs="Tahoma"/>
          <w:bCs/>
          <w:iCs/>
          <w:lang w:eastAsia="en-US"/>
        </w:rPr>
        <w:lastRenderedPageBreak/>
        <w:t>fracción I, de la Ley de Transparencia y Acceso a la Información Pública del Estado de México y Municipios, se considera, que el Ente Recurrido, inobservó la Ley de Transparencia y Acceso a la Información Pública del Estado de México y Municipios y la Ley de Protección de Datos Personales en Posesión de Sujetos Obligados del Estado de México y Municipios.</w:t>
      </w:r>
    </w:p>
    <w:p w14:paraId="5FC1B2C9" w14:textId="77777777" w:rsidR="00321E72" w:rsidRPr="004D5E25" w:rsidRDefault="00321E72" w:rsidP="00321E72">
      <w:pPr>
        <w:spacing w:after="0" w:line="360" w:lineRule="auto"/>
        <w:rPr>
          <w:rFonts w:eastAsiaTheme="minorHAnsi" w:cs="Tahoma"/>
          <w:bCs/>
          <w:iCs/>
          <w:lang w:eastAsia="en-US"/>
        </w:rPr>
      </w:pPr>
      <w:r w:rsidRPr="004D5E25">
        <w:rPr>
          <w:rFonts w:eastAsiaTheme="minorHAnsi" w:cs="Tahoma"/>
          <w:bCs/>
          <w:iCs/>
          <w:lang w:eastAsia="en-US"/>
        </w:rPr>
        <w:t> </w:t>
      </w:r>
    </w:p>
    <w:p w14:paraId="24BB91BB" w14:textId="56914E7A" w:rsidR="00321E72" w:rsidRPr="004D5E25" w:rsidRDefault="00321E72" w:rsidP="00761BC2">
      <w:pPr>
        <w:spacing w:after="0" w:line="360" w:lineRule="auto"/>
        <w:rPr>
          <w:rFonts w:eastAsiaTheme="minorHAnsi" w:cs="Tahoma"/>
          <w:bCs/>
          <w:iCs/>
          <w:lang w:eastAsia="en-US"/>
        </w:rPr>
      </w:pPr>
      <w:r w:rsidRPr="004D5E25">
        <w:rPr>
          <w:rFonts w:eastAsiaTheme="minorHAnsi" w:cs="Tahoma"/>
          <w:bCs/>
          <w:iCs/>
          <w:lang w:eastAsia="en-US"/>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0813B4C4" w14:textId="77777777" w:rsidR="00321E72" w:rsidRPr="004D5E25" w:rsidRDefault="00321E72" w:rsidP="00761BC2">
      <w:pPr>
        <w:spacing w:after="0" w:line="360" w:lineRule="auto"/>
        <w:rPr>
          <w:rFonts w:cs="Tahoma"/>
        </w:rPr>
      </w:pPr>
    </w:p>
    <w:p w14:paraId="6B62A73D" w14:textId="77777777" w:rsidR="00412A97" w:rsidRPr="004D5E25" w:rsidRDefault="00412A97" w:rsidP="00761BC2">
      <w:pPr>
        <w:spacing w:after="0" w:line="360" w:lineRule="auto"/>
        <w:contextualSpacing/>
        <w:rPr>
          <w:rFonts w:eastAsia="Calibri" w:cs="Tahoma"/>
          <w:b/>
          <w:bCs/>
          <w:lang w:eastAsia="en-US"/>
        </w:rPr>
      </w:pPr>
      <w:r w:rsidRPr="004D5E25">
        <w:rPr>
          <w:rFonts w:eastAsia="Calibri" w:cs="Tahoma"/>
          <w:b/>
          <w:bCs/>
          <w:lang w:eastAsia="en-US"/>
        </w:rPr>
        <w:t>Términos de la Resolución para conocimiento del Particular.</w:t>
      </w:r>
    </w:p>
    <w:p w14:paraId="42B6B331" w14:textId="77777777" w:rsidR="00412A97" w:rsidRPr="004D5E25" w:rsidRDefault="00412A97" w:rsidP="00761BC2">
      <w:pPr>
        <w:spacing w:after="0" w:line="360" w:lineRule="auto"/>
        <w:contextualSpacing/>
        <w:rPr>
          <w:rFonts w:eastAsia="Calibri" w:cs="Tahoma"/>
          <w:b/>
          <w:bCs/>
          <w:lang w:eastAsia="en-US"/>
        </w:rPr>
      </w:pPr>
    </w:p>
    <w:p w14:paraId="51978E37" w14:textId="25BF4718" w:rsidR="00412A97" w:rsidRPr="004D5E25" w:rsidRDefault="00412A97" w:rsidP="00761BC2">
      <w:pPr>
        <w:spacing w:after="0" w:line="360" w:lineRule="auto"/>
        <w:rPr>
          <w:rFonts w:eastAsia="Calibri" w:cs="Tahoma"/>
          <w:bCs/>
          <w:iCs/>
          <w:lang w:eastAsia="en-US"/>
        </w:rPr>
      </w:pPr>
      <w:r w:rsidRPr="004D5E25">
        <w:t>Se le hace del conocimiento a la persona Recurrente que, en el presente asunto, se le da la razón parcialmente, pues el Sujeto Obligado si bien proporcionó parte de la información solicitada, lo cierto es que omitió remitir los recibos de todos los servidores públicos titulares de las áreas por lo que, deberá remitir los faltantes vía SAIMEX</w:t>
      </w:r>
      <w:r w:rsidR="009B14FE" w:rsidRPr="004D5E25">
        <w:t>; l</w:t>
      </w:r>
      <w:r w:rsidRPr="004D5E25">
        <w:rPr>
          <w:rFonts w:eastAsia="Calibri" w:cs="Tahoma"/>
          <w:bCs/>
          <w:iCs/>
          <w:lang w:eastAsia="en-US"/>
        </w:rPr>
        <w:t>a labor de</w:t>
      </w:r>
      <w:r w:rsidR="009B14FE" w:rsidRPr="004D5E25">
        <w:rPr>
          <w:rFonts w:eastAsia="Calibri" w:cs="Tahoma"/>
          <w:bCs/>
          <w:iCs/>
          <w:lang w:eastAsia="en-US"/>
        </w:rPr>
        <w:t xml:space="preserve"> este</w:t>
      </w:r>
      <w:r w:rsidRPr="004D5E25">
        <w:rPr>
          <w:rFonts w:eastAsia="Calibri" w:cs="Tahoma"/>
          <w:bCs/>
          <w:iCs/>
          <w:lang w:eastAsia="en-US"/>
        </w:rPr>
        <w:t xml:space="preserve"> Instituto, es apoyar a la población a acceder a la información pública y garantizar la protección de sus datos personales.</w:t>
      </w:r>
    </w:p>
    <w:p w14:paraId="32C43E17" w14:textId="77777777" w:rsidR="009B14FE" w:rsidRPr="004D5E25" w:rsidRDefault="009B14FE" w:rsidP="00761BC2">
      <w:pPr>
        <w:spacing w:after="0" w:line="360" w:lineRule="auto"/>
        <w:rPr>
          <w:rFonts w:eastAsia="Calibri" w:cs="Tahoma"/>
          <w:bCs/>
          <w:iCs/>
          <w:lang w:eastAsia="en-US"/>
        </w:rPr>
      </w:pPr>
    </w:p>
    <w:p w14:paraId="7C13A06D" w14:textId="77777777" w:rsidR="00412A97" w:rsidRPr="004D5E25" w:rsidRDefault="00412A97" w:rsidP="00761BC2">
      <w:pPr>
        <w:spacing w:after="0" w:line="360" w:lineRule="auto"/>
        <w:contextualSpacing/>
        <w:rPr>
          <w:rFonts w:eastAsia="Calibri" w:cstheme="minorBidi"/>
          <w:lang w:eastAsia="en-US"/>
        </w:rPr>
      </w:pPr>
      <w:r w:rsidRPr="004D5E25">
        <w:rPr>
          <w:rFonts w:eastAsia="Calibri" w:cstheme="minorBidi"/>
          <w:lang w:eastAsia="en-US"/>
        </w:rPr>
        <w:t>Por lo expuesto y fundado, este Pleno:</w:t>
      </w:r>
    </w:p>
    <w:p w14:paraId="17FE8191" w14:textId="77777777" w:rsidR="00412A97" w:rsidRPr="004D5E25" w:rsidRDefault="00412A97" w:rsidP="00761BC2">
      <w:pPr>
        <w:spacing w:after="0" w:line="360" w:lineRule="auto"/>
        <w:contextualSpacing/>
        <w:rPr>
          <w:rFonts w:eastAsia="Calibri" w:cstheme="minorBidi"/>
          <w:b/>
          <w:bCs/>
          <w:lang w:eastAsia="en-US"/>
        </w:rPr>
      </w:pPr>
    </w:p>
    <w:p w14:paraId="19BD56D8" w14:textId="77777777" w:rsidR="00412A97" w:rsidRPr="004D5E25" w:rsidRDefault="00412A97" w:rsidP="00321E72">
      <w:pPr>
        <w:pStyle w:val="Ttulo1"/>
        <w:spacing w:before="0" w:after="0"/>
        <w:rPr>
          <w:sz w:val="22"/>
          <w:szCs w:val="22"/>
          <w:lang w:eastAsia="en-US"/>
        </w:rPr>
      </w:pPr>
      <w:bookmarkStart w:id="26" w:name="_Toc187856551"/>
      <w:bookmarkStart w:id="27" w:name="_Toc193385582"/>
      <w:r w:rsidRPr="004D5E25">
        <w:rPr>
          <w:sz w:val="22"/>
          <w:szCs w:val="22"/>
          <w:lang w:eastAsia="en-US"/>
        </w:rPr>
        <w:t>R E S U E L V E</w:t>
      </w:r>
      <w:bookmarkEnd w:id="26"/>
      <w:bookmarkEnd w:id="27"/>
    </w:p>
    <w:p w14:paraId="0FB954AB" w14:textId="77777777" w:rsidR="00412A97" w:rsidRPr="004D5E25" w:rsidRDefault="00412A97" w:rsidP="00761BC2">
      <w:pPr>
        <w:spacing w:after="0" w:line="360" w:lineRule="auto"/>
        <w:contextualSpacing/>
        <w:rPr>
          <w:rFonts w:eastAsia="Calibri" w:cstheme="minorBidi"/>
          <w:lang w:eastAsia="en-US"/>
        </w:rPr>
      </w:pPr>
    </w:p>
    <w:p w14:paraId="53F1E070" w14:textId="04F53040" w:rsidR="00412A97" w:rsidRPr="004D5E25" w:rsidRDefault="00412A97" w:rsidP="00761BC2">
      <w:pPr>
        <w:spacing w:after="0" w:line="360" w:lineRule="auto"/>
      </w:pPr>
      <w:r w:rsidRPr="004D5E25">
        <w:rPr>
          <w:rFonts w:eastAsia="Calibri" w:cs="Tahoma"/>
          <w:b/>
          <w:iCs/>
          <w:lang w:eastAsia="en-US"/>
        </w:rPr>
        <w:lastRenderedPageBreak/>
        <w:t>PRIMERO.</w:t>
      </w:r>
      <w:r w:rsidRPr="004D5E25">
        <w:rPr>
          <w:rFonts w:eastAsia="Calibri" w:cs="Tahoma"/>
          <w:bCs/>
          <w:iCs/>
          <w:lang w:eastAsia="en-US"/>
        </w:rPr>
        <w:t xml:space="preserve"> </w:t>
      </w:r>
      <w:r w:rsidRPr="004D5E25">
        <w:t xml:space="preserve">Se </w:t>
      </w:r>
      <w:r w:rsidRPr="004D5E25">
        <w:rPr>
          <w:b/>
        </w:rPr>
        <w:t xml:space="preserve">MODIFICA </w:t>
      </w:r>
      <w:r w:rsidRPr="004D5E25">
        <w:t xml:space="preserve">la respuesta entregada por el Sistema Municipal para el Desarrollo Integral de la Familia </w:t>
      </w:r>
      <w:r w:rsidR="00321E72" w:rsidRPr="004D5E25">
        <w:t>de Cuautitlán</w:t>
      </w:r>
      <w:r w:rsidRPr="004D5E25">
        <w:t>, a la solicitud de información</w:t>
      </w:r>
      <w:r w:rsidRPr="004D5E25">
        <w:rPr>
          <w:rFonts w:cs="Tahoma"/>
        </w:rPr>
        <w:t xml:space="preserve"> </w:t>
      </w:r>
      <w:r w:rsidRPr="004D5E25">
        <w:rPr>
          <w:rFonts w:cs="Tahoma"/>
          <w:bCs/>
        </w:rPr>
        <w:t>00006/DIFCUAUTIT/IP/2025</w:t>
      </w:r>
      <w:r w:rsidRPr="004D5E25">
        <w:rPr>
          <w:bCs/>
          <w:color w:val="000000"/>
        </w:rPr>
        <w:t>,</w:t>
      </w:r>
      <w:r w:rsidRPr="004D5E25">
        <w:t xml:space="preserve"> por resultar parcialmente </w:t>
      </w:r>
      <w:r w:rsidRPr="004D5E25">
        <w:rPr>
          <w:b/>
          <w:bCs/>
        </w:rPr>
        <w:t>FUNDADAS</w:t>
      </w:r>
      <w:r w:rsidRPr="004D5E25">
        <w:rPr>
          <w:b/>
        </w:rPr>
        <w:t xml:space="preserve"> </w:t>
      </w:r>
      <w:r w:rsidRPr="004D5E25">
        <w:t>las razones o motivos de inconformidad hechos valer por la persona Recurrente, en términos de los considerandos QUINTO y SEXTO de la presente Resolución.</w:t>
      </w:r>
    </w:p>
    <w:p w14:paraId="013C0AFF" w14:textId="77777777" w:rsidR="00412A97" w:rsidRPr="004D5E25" w:rsidRDefault="00412A97" w:rsidP="00761BC2">
      <w:pPr>
        <w:spacing w:after="0" w:line="360" w:lineRule="auto"/>
        <w:contextualSpacing/>
        <w:rPr>
          <w:rFonts w:eastAsia="Calibri" w:cs="Tahoma"/>
          <w:bCs/>
          <w:iCs/>
          <w:lang w:eastAsia="en-US"/>
        </w:rPr>
      </w:pPr>
    </w:p>
    <w:p w14:paraId="777E9819" w14:textId="77777777" w:rsidR="00412A97" w:rsidRPr="004D5E25" w:rsidRDefault="00412A97" w:rsidP="00761BC2">
      <w:pPr>
        <w:spacing w:after="0" w:line="360" w:lineRule="auto"/>
        <w:ind w:right="-30"/>
        <w:textAlignment w:val="baseline"/>
        <w:rPr>
          <w:lang w:eastAsia="en-US"/>
        </w:rPr>
      </w:pPr>
      <w:r w:rsidRPr="004D5E25">
        <w:rPr>
          <w:b/>
          <w:lang w:eastAsia="en-US"/>
        </w:rPr>
        <w:t xml:space="preserve">SEGUNDO. </w:t>
      </w:r>
      <w:r w:rsidRPr="004D5E25">
        <w:rPr>
          <w:lang w:eastAsia="en-US"/>
        </w:rPr>
        <w:t xml:space="preserve">Se </w:t>
      </w:r>
      <w:r w:rsidRPr="004D5E25">
        <w:rPr>
          <w:b/>
          <w:lang w:eastAsia="en-US"/>
        </w:rPr>
        <w:t>ORDENA</w:t>
      </w:r>
      <w:r w:rsidRPr="004D5E25">
        <w:rPr>
          <w:lang w:eastAsia="en-US"/>
        </w:rPr>
        <w:t xml:space="preserve"> al Sujeto Obligado</w:t>
      </w:r>
      <w:r w:rsidRPr="004D5E25">
        <w:rPr>
          <w:b/>
          <w:lang w:eastAsia="en-US"/>
        </w:rPr>
        <w:t xml:space="preserve">, </w:t>
      </w:r>
      <w:r w:rsidRPr="004D5E25">
        <w:rPr>
          <w:lang w:eastAsia="en-US"/>
        </w:rPr>
        <w:t>a efecto de que previa búsqueda exhaustiva y razonable en los archivos de las unidades administrativas competentes, entregue a través del Sistema de Acceso a la Información Mexiquense (SAIMEX), en versión pública, lo siguiente:</w:t>
      </w:r>
    </w:p>
    <w:p w14:paraId="4E9DF184" w14:textId="77777777" w:rsidR="00412A97" w:rsidRPr="004D5E25" w:rsidRDefault="00412A97" w:rsidP="00761BC2">
      <w:pPr>
        <w:spacing w:after="0" w:line="360" w:lineRule="auto"/>
        <w:ind w:right="-30"/>
        <w:textAlignment w:val="baseline"/>
        <w:rPr>
          <w:lang w:eastAsia="en-US"/>
        </w:rPr>
      </w:pPr>
    </w:p>
    <w:p w14:paraId="7C6689C3" w14:textId="2FD38F80" w:rsidR="00321E72" w:rsidRPr="004D5E25" w:rsidRDefault="00412A97" w:rsidP="00761BC2">
      <w:pPr>
        <w:pStyle w:val="Prrafodelista"/>
        <w:numPr>
          <w:ilvl w:val="0"/>
          <w:numId w:val="30"/>
        </w:numPr>
        <w:spacing w:line="360" w:lineRule="auto"/>
        <w:ind w:right="-30"/>
        <w:textAlignment w:val="baseline"/>
        <w:rPr>
          <w:szCs w:val="22"/>
          <w:lang w:eastAsia="en-US"/>
        </w:rPr>
      </w:pPr>
      <w:r w:rsidRPr="004D5E25">
        <w:rPr>
          <w:szCs w:val="22"/>
          <w:lang w:eastAsia="en-US"/>
        </w:rPr>
        <w:t xml:space="preserve">Los recibos de nómina </w:t>
      </w:r>
      <w:r w:rsidR="00321E72" w:rsidRPr="004D5E25">
        <w:rPr>
          <w:szCs w:val="22"/>
          <w:lang w:eastAsia="en-US"/>
        </w:rPr>
        <w:t>de la primera quincena de enero de dos mil veinticinco, de los titulares de unidades administrativas faltantes conforme a lo establecido en el Considerando QUINTO.</w:t>
      </w:r>
    </w:p>
    <w:p w14:paraId="72706CB1" w14:textId="77777777" w:rsidR="00412A97" w:rsidRPr="004D5E25" w:rsidRDefault="00412A97" w:rsidP="00761BC2">
      <w:pPr>
        <w:spacing w:after="0" w:line="360" w:lineRule="auto"/>
        <w:ind w:right="-30"/>
        <w:textAlignment w:val="baseline"/>
        <w:rPr>
          <w:lang w:eastAsia="en-US"/>
        </w:rPr>
      </w:pPr>
    </w:p>
    <w:p w14:paraId="5E06AB93" w14:textId="77777777" w:rsidR="00412A97" w:rsidRPr="004D5E25" w:rsidRDefault="00412A97" w:rsidP="00761BC2">
      <w:pPr>
        <w:spacing w:after="0" w:line="360" w:lineRule="auto"/>
        <w:rPr>
          <w:rFonts w:cs="Tahoma"/>
          <w:bCs/>
          <w:iCs/>
          <w:lang w:eastAsia="en-US"/>
        </w:rPr>
      </w:pPr>
      <w:r w:rsidRPr="004D5E25">
        <w:rPr>
          <w:rFonts w:cs="Tahoma"/>
          <w:bCs/>
          <w:iCs/>
          <w:lang w:eastAsia="en-US"/>
        </w:rPr>
        <w:t>Además,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40F1082F" w14:textId="77777777" w:rsidR="00412A97" w:rsidRPr="004D5E25" w:rsidRDefault="00412A97" w:rsidP="00761BC2">
      <w:pPr>
        <w:spacing w:after="0" w:line="360" w:lineRule="auto"/>
        <w:rPr>
          <w:rFonts w:cs="Tahoma"/>
          <w:bCs/>
          <w:iCs/>
          <w:lang w:eastAsia="en-US"/>
        </w:rPr>
      </w:pPr>
    </w:p>
    <w:p w14:paraId="050BE33A" w14:textId="3054AF63" w:rsidR="00321E72" w:rsidRPr="004D5E25" w:rsidRDefault="00321E72" w:rsidP="00321E72">
      <w:pPr>
        <w:widowControl w:val="0"/>
        <w:spacing w:after="0" w:line="360" w:lineRule="auto"/>
        <w:contextualSpacing/>
        <w:rPr>
          <w:rFonts w:cs="Tahoma"/>
        </w:rPr>
      </w:pPr>
      <w:r w:rsidRPr="004D5E25">
        <w:rPr>
          <w:rFonts w:cs="Tahoma"/>
        </w:rPr>
        <w:t xml:space="preserve">Para el supuesto, de </w:t>
      </w:r>
      <w:r w:rsidRPr="004D5E25">
        <w:rPr>
          <w:rFonts w:eastAsia="Calibri" w:cs="Tahoma"/>
          <w:bCs/>
          <w:iCs/>
          <w:color w:val="auto"/>
          <w:lang w:val="es-ES"/>
        </w:rPr>
        <w:t xml:space="preserve">que no cuente con </w:t>
      </w:r>
      <w:r w:rsidR="00D43425" w:rsidRPr="004D5E25">
        <w:rPr>
          <w:rFonts w:eastAsia="Calibri" w:cs="Tahoma"/>
          <w:bCs/>
          <w:iCs/>
          <w:color w:val="auto"/>
          <w:lang w:val="es-ES"/>
        </w:rPr>
        <w:t xml:space="preserve">el recibo de nómina </w:t>
      </w:r>
      <w:r w:rsidRPr="004D5E25">
        <w:rPr>
          <w:rFonts w:eastAsia="Calibri" w:cs="Tahoma"/>
          <w:bCs/>
          <w:iCs/>
          <w:color w:val="auto"/>
          <w:lang w:val="es-ES"/>
        </w:rPr>
        <w:t xml:space="preserve">del Presidente del </w:t>
      </w:r>
      <w:r w:rsidRPr="004D5E25">
        <w:rPr>
          <w:rFonts w:cs="Tahoma"/>
        </w:rPr>
        <w:t>Sistema Municipal para el Desarrollo Integral de la Familia, al ser un cargo honorífico, deberá hacerlo del conocimiento del Recurrente de manera clara y precisa.</w:t>
      </w:r>
    </w:p>
    <w:p w14:paraId="7F80EEE0" w14:textId="77777777" w:rsidR="00321E72" w:rsidRPr="004D5E25" w:rsidRDefault="00321E72" w:rsidP="00761BC2">
      <w:pPr>
        <w:spacing w:after="0" w:line="360" w:lineRule="auto"/>
        <w:rPr>
          <w:rFonts w:cs="Tahoma"/>
          <w:bCs/>
          <w:iCs/>
          <w:lang w:eastAsia="en-US"/>
        </w:rPr>
      </w:pPr>
    </w:p>
    <w:p w14:paraId="5BC5E261" w14:textId="38267231" w:rsidR="00412A97" w:rsidRPr="004D5E25" w:rsidRDefault="00412A97" w:rsidP="009B14FE">
      <w:pPr>
        <w:spacing w:after="0" w:line="360" w:lineRule="auto"/>
        <w:ind w:right="-28"/>
        <w:rPr>
          <w:color w:val="000000"/>
        </w:rPr>
      </w:pPr>
      <w:r w:rsidRPr="004D5E25">
        <w:rPr>
          <w:b/>
        </w:rPr>
        <w:t xml:space="preserve">TERCERO. NOTIFÍQUESE VÍA SAIMEX </w:t>
      </w:r>
      <w:r w:rsidRPr="004D5E25">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4D5E25">
        <w:lastRenderedPageBreak/>
        <w:t>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9B14FE" w:rsidRPr="004D5E25">
        <w:t xml:space="preserve"> </w:t>
      </w:r>
      <w:r w:rsidRPr="004D5E25">
        <w:rPr>
          <w:color w:val="000000"/>
        </w:rPr>
        <w:t>De conformidad con el artículo 198 de la Ley referida, de considerarlo procedente, el Sujeto Obligado de manera fundada y motivada, podrá solicitar una ampliación de plazo para el cumplimiento de la presente resolución.</w:t>
      </w:r>
    </w:p>
    <w:p w14:paraId="518A804C" w14:textId="77777777" w:rsidR="00412A97" w:rsidRPr="004D5E25" w:rsidRDefault="00412A97" w:rsidP="00761BC2">
      <w:pPr>
        <w:spacing w:after="0" w:line="360" w:lineRule="auto"/>
        <w:rPr>
          <w:color w:val="000000"/>
        </w:rPr>
      </w:pPr>
    </w:p>
    <w:p w14:paraId="4968D460" w14:textId="24C5DD1D" w:rsidR="00412A97" w:rsidRPr="004D5E25" w:rsidRDefault="00412A97" w:rsidP="00761BC2">
      <w:pPr>
        <w:spacing w:after="0" w:line="360" w:lineRule="auto"/>
        <w:ind w:right="-93"/>
        <w:rPr>
          <w:color w:val="000000"/>
          <w:lang w:eastAsia="en-US"/>
        </w:rPr>
      </w:pPr>
      <w:r w:rsidRPr="004D5E25">
        <w:rPr>
          <w:b/>
          <w:bCs/>
          <w:color w:val="000000"/>
          <w:lang w:eastAsia="en-US"/>
        </w:rPr>
        <w:t xml:space="preserve">CUARTO. </w:t>
      </w:r>
      <w:r w:rsidRPr="004D5E25">
        <w:rPr>
          <w:b/>
        </w:rPr>
        <w:t>NOTIFÍQUESE VÍA SAIMEX</w:t>
      </w:r>
      <w:r w:rsidRPr="004D5E25">
        <w:rPr>
          <w:color w:val="000000"/>
          <w:lang w:eastAsia="en-US"/>
        </w:rPr>
        <w:t xml:space="preserve"> a la </w:t>
      </w:r>
      <w:r w:rsidR="009B14FE" w:rsidRPr="004D5E25">
        <w:rPr>
          <w:color w:val="000000"/>
          <w:lang w:eastAsia="en-US"/>
        </w:rPr>
        <w:t>persona</w:t>
      </w:r>
      <w:r w:rsidRPr="004D5E25">
        <w:rPr>
          <w:color w:val="000000"/>
          <w:lang w:eastAsia="en-US"/>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2039384" w14:textId="77777777" w:rsidR="009B14FE" w:rsidRPr="004D5E25" w:rsidRDefault="009B14FE" w:rsidP="00761BC2">
      <w:pPr>
        <w:spacing w:after="0" w:line="360" w:lineRule="auto"/>
        <w:ind w:right="-93"/>
        <w:rPr>
          <w:color w:val="000000"/>
          <w:lang w:eastAsia="en-US"/>
        </w:rPr>
      </w:pPr>
    </w:p>
    <w:p w14:paraId="42714D80" w14:textId="60B521FB" w:rsidR="009B14FE" w:rsidRPr="004D5E25" w:rsidRDefault="009B14FE" w:rsidP="009B14FE">
      <w:pPr>
        <w:spacing w:after="0" w:line="360" w:lineRule="auto"/>
        <w:contextualSpacing/>
        <w:rPr>
          <w:rFonts w:cs="Tahoma"/>
          <w:bCs/>
        </w:rPr>
      </w:pPr>
      <w:r w:rsidRPr="004D5E25">
        <w:rPr>
          <w:b/>
          <w:bCs/>
          <w:color w:val="000000"/>
          <w:lang w:eastAsia="en-US"/>
        </w:rPr>
        <w:t xml:space="preserve">QUINTO. </w:t>
      </w:r>
      <w:r w:rsidRPr="004D5E25">
        <w:rPr>
          <w:rFonts w:cs="Tahoma"/>
        </w:rPr>
        <w:t>G</w:t>
      </w:r>
      <w:r w:rsidRPr="004D5E25">
        <w:rPr>
          <w:rFonts w:cs="Tahoma"/>
          <w:bCs/>
        </w:rPr>
        <w:t xml:space="preserve">írese oficio a la Dirección General de Protección de Datos Personales de este Instituto, con fundamento en lo dispuesto en el artículo 24, fracciones XI, XII y XIII del Reglamento Interior del Instituto de Transparencia, Acceso a la Información Pública y Protección de Datos Personales del Estado de México y Municipios, en términos de lo dispuesto en el Considerando </w:t>
      </w:r>
      <w:r w:rsidRPr="004D5E25">
        <w:rPr>
          <w:rFonts w:cs="Tahoma"/>
          <w:b/>
        </w:rPr>
        <w:t>SÉPTIMO</w:t>
      </w:r>
      <w:r w:rsidRPr="004D5E25">
        <w:rPr>
          <w:rFonts w:cs="Tahoma"/>
          <w:bCs/>
        </w:rPr>
        <w:t xml:space="preserve"> de la presente Resolución.</w:t>
      </w:r>
    </w:p>
    <w:p w14:paraId="4086A4D8" w14:textId="77777777" w:rsidR="009B14FE" w:rsidRPr="004D5E25" w:rsidRDefault="009B14FE" w:rsidP="00761BC2">
      <w:pPr>
        <w:spacing w:after="0" w:line="360" w:lineRule="auto"/>
        <w:ind w:right="-93"/>
        <w:rPr>
          <w:rFonts w:cs="Tahoma"/>
          <w:lang w:eastAsia="en-US"/>
        </w:rPr>
      </w:pPr>
    </w:p>
    <w:p w14:paraId="34E6C5B6" w14:textId="3875E376" w:rsidR="00412A97" w:rsidRDefault="00412A97" w:rsidP="00761BC2">
      <w:pPr>
        <w:spacing w:after="0" w:line="360" w:lineRule="auto"/>
        <w:contextualSpacing/>
        <w:rPr>
          <w:rFonts w:eastAsia="Calibri" w:cstheme="minorBidi"/>
          <w:lang w:eastAsia="en-US"/>
        </w:rPr>
      </w:pPr>
      <w:r w:rsidRPr="004D5E25">
        <w:rPr>
          <w:rFonts w:eastAsia="Calibri" w:cstheme="minorBidi"/>
          <w:lang w:eastAsia="en-US"/>
        </w:rPr>
        <w:t xml:space="preserve">ASÍ LO RESUELVE, POR </w:t>
      </w:r>
      <w:r w:rsidRPr="00E30798">
        <w:rPr>
          <w:rFonts w:eastAsia="Calibri" w:cstheme="minorBidi"/>
          <w:b/>
          <w:lang w:eastAsia="en-US"/>
        </w:rPr>
        <w:t xml:space="preserve">UNANIMIDAD </w:t>
      </w:r>
      <w:r w:rsidRPr="004D5E25">
        <w:rPr>
          <w:rFonts w:eastAsia="Calibri" w:cstheme="minorBidi"/>
          <w:lang w:eastAsia="en-US"/>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D5E25">
        <w:rPr>
          <w:rFonts w:eastAsia="Calibri" w:cstheme="minorBidi"/>
          <w:lang w:eastAsia="en-US"/>
        </w:rPr>
        <w:t xml:space="preserve"> CON VOTO PARTICULAR CONCURRENTE</w:t>
      </w:r>
      <w:r w:rsidRPr="004D5E25">
        <w:rPr>
          <w:rFonts w:eastAsia="Calibri" w:cstheme="minorBidi"/>
          <w:lang w:eastAsia="en-US"/>
        </w:rPr>
        <w:t xml:space="preserve"> Y GUADALUPE RAMÍREZ PEÑA</w:t>
      </w:r>
      <w:r w:rsidR="004D5E25">
        <w:rPr>
          <w:rFonts w:eastAsia="Calibri" w:cstheme="minorBidi"/>
          <w:lang w:eastAsia="en-US"/>
        </w:rPr>
        <w:t xml:space="preserve"> CON VOTO PARTICULAR CONCURRENTE</w:t>
      </w:r>
      <w:r w:rsidRPr="004D5E25">
        <w:rPr>
          <w:rFonts w:eastAsia="Calibri" w:cstheme="minorBidi"/>
          <w:lang w:eastAsia="en-US"/>
        </w:rPr>
        <w:t xml:space="preserve">, EN LA DÉCIMA SESIÓN ORDINARIA, CELEBRADA EL </w:t>
      </w:r>
      <w:r w:rsidRPr="004D5E25">
        <w:rPr>
          <w:rFonts w:eastAsia="Calibri" w:cstheme="minorBidi"/>
          <w:lang w:eastAsia="en-US"/>
        </w:rPr>
        <w:lastRenderedPageBreak/>
        <w:t>VEINTE DE MARZO DE DOS MIL VEINTICINCO, ANTE EL SECRETARIO TÉCNICO DEL PLENO, ALEXIS TAPIA RAMÍREZ.</w:t>
      </w:r>
    </w:p>
    <w:p w14:paraId="1741A45B" w14:textId="77777777" w:rsidR="00D43425" w:rsidRDefault="00D43425" w:rsidP="00761BC2">
      <w:pPr>
        <w:spacing w:after="0" w:line="360" w:lineRule="auto"/>
        <w:contextualSpacing/>
        <w:rPr>
          <w:rFonts w:eastAsia="Calibri" w:cstheme="minorBidi"/>
          <w:lang w:eastAsia="en-US"/>
        </w:rPr>
      </w:pPr>
    </w:p>
    <w:p w14:paraId="5200D139" w14:textId="77777777" w:rsidR="00405268" w:rsidRDefault="00405268" w:rsidP="00761BC2">
      <w:pPr>
        <w:spacing w:after="0" w:line="360" w:lineRule="auto"/>
        <w:contextualSpacing/>
        <w:rPr>
          <w:rFonts w:eastAsia="Calibri" w:cstheme="minorBidi"/>
          <w:lang w:eastAsia="en-US"/>
        </w:rPr>
      </w:pPr>
    </w:p>
    <w:p w14:paraId="046755D2" w14:textId="77777777" w:rsidR="00405268" w:rsidRDefault="00405268" w:rsidP="00761BC2">
      <w:pPr>
        <w:spacing w:after="0" w:line="360" w:lineRule="auto"/>
        <w:contextualSpacing/>
        <w:rPr>
          <w:rFonts w:eastAsia="Calibri" w:cstheme="minorBidi"/>
          <w:lang w:eastAsia="en-US"/>
        </w:rPr>
      </w:pPr>
    </w:p>
    <w:p w14:paraId="0B54122A" w14:textId="77777777" w:rsidR="00405268" w:rsidRDefault="00405268" w:rsidP="00761BC2">
      <w:pPr>
        <w:spacing w:after="0" w:line="360" w:lineRule="auto"/>
        <w:contextualSpacing/>
        <w:rPr>
          <w:rFonts w:eastAsia="Calibri" w:cstheme="minorBidi"/>
          <w:lang w:eastAsia="en-US"/>
        </w:rPr>
      </w:pPr>
    </w:p>
    <w:p w14:paraId="33498391" w14:textId="77777777" w:rsidR="00405268" w:rsidRDefault="00405268" w:rsidP="00761BC2">
      <w:pPr>
        <w:spacing w:after="0" w:line="360" w:lineRule="auto"/>
        <w:contextualSpacing/>
        <w:rPr>
          <w:rFonts w:eastAsia="Calibri" w:cstheme="minorBidi"/>
          <w:lang w:eastAsia="en-US"/>
        </w:rPr>
      </w:pPr>
    </w:p>
    <w:p w14:paraId="26490EE5" w14:textId="77777777" w:rsidR="00405268" w:rsidRDefault="00405268" w:rsidP="00761BC2">
      <w:pPr>
        <w:spacing w:after="0" w:line="360" w:lineRule="auto"/>
        <w:contextualSpacing/>
        <w:rPr>
          <w:rFonts w:eastAsia="Calibri" w:cstheme="minorBidi"/>
          <w:lang w:eastAsia="en-US"/>
        </w:rPr>
      </w:pPr>
    </w:p>
    <w:p w14:paraId="5BCD2A07" w14:textId="77777777" w:rsidR="00405268" w:rsidRDefault="00405268" w:rsidP="00761BC2">
      <w:pPr>
        <w:spacing w:after="0" w:line="360" w:lineRule="auto"/>
        <w:contextualSpacing/>
        <w:rPr>
          <w:rFonts w:eastAsia="Calibri" w:cstheme="minorBidi"/>
          <w:lang w:eastAsia="en-US"/>
        </w:rPr>
      </w:pPr>
    </w:p>
    <w:p w14:paraId="68D22947" w14:textId="77777777" w:rsidR="00405268" w:rsidRDefault="00405268" w:rsidP="00761BC2">
      <w:pPr>
        <w:spacing w:after="0" w:line="360" w:lineRule="auto"/>
        <w:contextualSpacing/>
        <w:rPr>
          <w:rFonts w:eastAsia="Calibri" w:cstheme="minorBidi"/>
          <w:lang w:eastAsia="en-US"/>
        </w:rPr>
      </w:pPr>
    </w:p>
    <w:p w14:paraId="618687B8" w14:textId="77777777" w:rsidR="00405268" w:rsidRDefault="00405268" w:rsidP="00761BC2">
      <w:pPr>
        <w:spacing w:after="0" w:line="360" w:lineRule="auto"/>
        <w:contextualSpacing/>
        <w:rPr>
          <w:rFonts w:eastAsia="Calibri" w:cstheme="minorBidi"/>
          <w:lang w:eastAsia="en-US"/>
        </w:rPr>
      </w:pPr>
    </w:p>
    <w:p w14:paraId="01119283" w14:textId="77777777" w:rsidR="00405268" w:rsidRDefault="00405268" w:rsidP="00761BC2">
      <w:pPr>
        <w:spacing w:after="0" w:line="360" w:lineRule="auto"/>
        <w:contextualSpacing/>
        <w:rPr>
          <w:rFonts w:eastAsia="Calibri" w:cstheme="minorBidi"/>
          <w:lang w:eastAsia="en-US"/>
        </w:rPr>
      </w:pPr>
    </w:p>
    <w:p w14:paraId="1A2E57F3" w14:textId="77777777" w:rsidR="00405268" w:rsidRDefault="00405268" w:rsidP="00761BC2">
      <w:pPr>
        <w:spacing w:after="0" w:line="360" w:lineRule="auto"/>
        <w:contextualSpacing/>
        <w:rPr>
          <w:rFonts w:eastAsia="Calibri" w:cstheme="minorBidi"/>
          <w:lang w:eastAsia="en-US"/>
        </w:rPr>
      </w:pPr>
    </w:p>
    <w:p w14:paraId="7EF0CD22" w14:textId="77777777" w:rsidR="00405268" w:rsidRDefault="00405268" w:rsidP="00761BC2">
      <w:pPr>
        <w:spacing w:after="0" w:line="360" w:lineRule="auto"/>
        <w:contextualSpacing/>
        <w:rPr>
          <w:rFonts w:eastAsia="Calibri" w:cstheme="minorBidi"/>
          <w:lang w:eastAsia="en-US"/>
        </w:rPr>
      </w:pPr>
    </w:p>
    <w:p w14:paraId="76FA7E1B" w14:textId="77777777" w:rsidR="00405268" w:rsidRDefault="00405268" w:rsidP="00761BC2">
      <w:pPr>
        <w:spacing w:after="0" w:line="360" w:lineRule="auto"/>
        <w:contextualSpacing/>
        <w:rPr>
          <w:rFonts w:eastAsia="Calibri" w:cstheme="minorBidi"/>
          <w:lang w:eastAsia="en-US"/>
        </w:rPr>
      </w:pPr>
    </w:p>
    <w:p w14:paraId="02C4D7DC" w14:textId="77777777" w:rsidR="00405268" w:rsidRDefault="00405268" w:rsidP="00761BC2">
      <w:pPr>
        <w:spacing w:after="0" w:line="360" w:lineRule="auto"/>
        <w:contextualSpacing/>
        <w:rPr>
          <w:rFonts w:eastAsia="Calibri" w:cstheme="minorBidi"/>
          <w:lang w:eastAsia="en-US"/>
        </w:rPr>
      </w:pPr>
    </w:p>
    <w:p w14:paraId="5499C4C0" w14:textId="77777777" w:rsidR="00405268" w:rsidRDefault="00405268" w:rsidP="00761BC2">
      <w:pPr>
        <w:spacing w:after="0" w:line="360" w:lineRule="auto"/>
        <w:contextualSpacing/>
        <w:rPr>
          <w:rFonts w:eastAsia="Calibri" w:cstheme="minorBidi"/>
          <w:lang w:eastAsia="en-US"/>
        </w:rPr>
      </w:pPr>
    </w:p>
    <w:p w14:paraId="2A1DCB93" w14:textId="77777777" w:rsidR="00405268" w:rsidRDefault="00405268" w:rsidP="00761BC2">
      <w:pPr>
        <w:spacing w:after="0" w:line="360" w:lineRule="auto"/>
        <w:contextualSpacing/>
        <w:rPr>
          <w:rFonts w:eastAsia="Calibri" w:cstheme="minorBidi"/>
          <w:lang w:eastAsia="en-US"/>
        </w:rPr>
      </w:pPr>
    </w:p>
    <w:p w14:paraId="54179E5E" w14:textId="77777777" w:rsidR="00405268" w:rsidRDefault="00405268" w:rsidP="00761BC2">
      <w:pPr>
        <w:spacing w:after="0" w:line="360" w:lineRule="auto"/>
        <w:contextualSpacing/>
        <w:rPr>
          <w:rFonts w:eastAsia="Calibri" w:cstheme="minorBidi"/>
          <w:lang w:eastAsia="en-US"/>
        </w:rPr>
      </w:pPr>
    </w:p>
    <w:p w14:paraId="29235F6E" w14:textId="77777777" w:rsidR="00405268" w:rsidRDefault="00405268" w:rsidP="00761BC2">
      <w:pPr>
        <w:spacing w:after="0" w:line="360" w:lineRule="auto"/>
        <w:contextualSpacing/>
        <w:rPr>
          <w:rFonts w:eastAsia="Calibri" w:cstheme="minorBidi"/>
          <w:lang w:eastAsia="en-US"/>
        </w:rPr>
      </w:pPr>
    </w:p>
    <w:p w14:paraId="4D10CC49" w14:textId="77777777" w:rsidR="00405268" w:rsidRDefault="00405268" w:rsidP="00761BC2">
      <w:pPr>
        <w:spacing w:after="0" w:line="360" w:lineRule="auto"/>
        <w:contextualSpacing/>
        <w:rPr>
          <w:rFonts w:eastAsia="Calibri" w:cstheme="minorBidi"/>
          <w:lang w:eastAsia="en-US"/>
        </w:rPr>
      </w:pPr>
    </w:p>
    <w:p w14:paraId="1879F7BF" w14:textId="77777777" w:rsidR="00405268" w:rsidRDefault="00405268" w:rsidP="00761BC2">
      <w:pPr>
        <w:spacing w:after="0" w:line="360" w:lineRule="auto"/>
        <w:contextualSpacing/>
        <w:rPr>
          <w:rFonts w:eastAsia="Calibri" w:cstheme="minorBidi"/>
          <w:lang w:eastAsia="en-US"/>
        </w:rPr>
      </w:pPr>
    </w:p>
    <w:p w14:paraId="1A220B18" w14:textId="77777777" w:rsidR="00405268" w:rsidRDefault="00405268" w:rsidP="00761BC2">
      <w:pPr>
        <w:spacing w:after="0" w:line="360" w:lineRule="auto"/>
        <w:contextualSpacing/>
        <w:rPr>
          <w:rFonts w:eastAsia="Calibri" w:cstheme="minorBidi"/>
          <w:lang w:eastAsia="en-US"/>
        </w:rPr>
      </w:pPr>
    </w:p>
    <w:p w14:paraId="27104DBE" w14:textId="77777777" w:rsidR="00405268" w:rsidRDefault="00405268" w:rsidP="00761BC2">
      <w:pPr>
        <w:spacing w:after="0" w:line="360" w:lineRule="auto"/>
        <w:contextualSpacing/>
        <w:rPr>
          <w:rFonts w:eastAsia="Calibri" w:cstheme="minorBidi"/>
          <w:lang w:eastAsia="en-US"/>
        </w:rPr>
      </w:pPr>
    </w:p>
    <w:p w14:paraId="37834A71" w14:textId="77777777" w:rsidR="00405268" w:rsidRDefault="00405268" w:rsidP="00761BC2">
      <w:pPr>
        <w:spacing w:after="0" w:line="360" w:lineRule="auto"/>
        <w:contextualSpacing/>
        <w:rPr>
          <w:rFonts w:eastAsia="Calibri" w:cstheme="minorBidi"/>
          <w:lang w:eastAsia="en-US"/>
        </w:rPr>
      </w:pPr>
    </w:p>
    <w:p w14:paraId="42CB916A" w14:textId="77777777" w:rsidR="00405268" w:rsidRDefault="00405268" w:rsidP="00761BC2">
      <w:pPr>
        <w:spacing w:after="0" w:line="360" w:lineRule="auto"/>
        <w:contextualSpacing/>
        <w:rPr>
          <w:rFonts w:eastAsia="Calibri" w:cstheme="minorBidi"/>
          <w:lang w:eastAsia="en-US"/>
        </w:rPr>
      </w:pPr>
    </w:p>
    <w:p w14:paraId="16966A79" w14:textId="77777777" w:rsidR="00405268" w:rsidRDefault="00405268" w:rsidP="00761BC2">
      <w:pPr>
        <w:spacing w:after="0" w:line="360" w:lineRule="auto"/>
        <w:contextualSpacing/>
        <w:rPr>
          <w:rFonts w:eastAsia="Calibri" w:cstheme="minorBidi"/>
          <w:lang w:eastAsia="en-US"/>
        </w:rPr>
      </w:pPr>
    </w:p>
    <w:p w14:paraId="237F6B11" w14:textId="77777777" w:rsidR="00405268" w:rsidRPr="001570EC" w:rsidRDefault="00405268" w:rsidP="00761BC2">
      <w:pPr>
        <w:spacing w:after="0" w:line="360" w:lineRule="auto"/>
        <w:contextualSpacing/>
        <w:rPr>
          <w:rFonts w:eastAsia="Calibri" w:cstheme="minorBidi"/>
          <w:lang w:eastAsia="en-US"/>
        </w:rPr>
      </w:pPr>
    </w:p>
    <w:sectPr w:rsidR="00405268" w:rsidRPr="001570EC" w:rsidSect="00CE4466">
      <w:headerReference w:type="even" r:id="rId17"/>
      <w:headerReference w:type="default" r:id="rId18"/>
      <w:footerReference w:type="even" r:id="rId19"/>
      <w:footerReference w:type="default" r:id="rId20"/>
      <w:headerReference w:type="first" r:id="rId21"/>
      <w:footerReference w:type="first" r:id="rId22"/>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96D62" w14:textId="77777777" w:rsidR="00A71F11" w:rsidRDefault="00A71F11">
      <w:pPr>
        <w:spacing w:after="0" w:line="240" w:lineRule="auto"/>
      </w:pPr>
      <w:r>
        <w:separator/>
      </w:r>
    </w:p>
  </w:endnote>
  <w:endnote w:type="continuationSeparator" w:id="0">
    <w:p w14:paraId="20A201F3" w14:textId="77777777" w:rsidR="00A71F11" w:rsidRDefault="00A7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557FE3" w:rsidRDefault="00557FE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F6C99">
      <w:rPr>
        <w:b/>
        <w:noProof/>
        <w:color w:val="000000"/>
        <w:sz w:val="24"/>
        <w:szCs w:val="24"/>
      </w:rPr>
      <w:t>39</w:t>
    </w:r>
    <w:r>
      <w:rPr>
        <w:b/>
        <w:color w:val="000000"/>
        <w:sz w:val="24"/>
        <w:szCs w:val="24"/>
      </w:rPr>
      <w:fldChar w:fldCharType="end"/>
    </w:r>
  </w:p>
  <w:p w14:paraId="547C391C" w14:textId="77777777" w:rsidR="00557FE3" w:rsidRDefault="00557FE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557FE3" w:rsidRDefault="00557FE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B4937">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B4937">
      <w:rPr>
        <w:b/>
        <w:noProof/>
        <w:color w:val="000000"/>
        <w:sz w:val="24"/>
        <w:szCs w:val="24"/>
      </w:rPr>
      <w:t>39</w:t>
    </w:r>
    <w:r>
      <w:rPr>
        <w:b/>
        <w:color w:val="000000"/>
        <w:sz w:val="24"/>
        <w:szCs w:val="24"/>
      </w:rPr>
      <w:fldChar w:fldCharType="end"/>
    </w:r>
  </w:p>
  <w:p w14:paraId="021EE9EB" w14:textId="77777777" w:rsidR="00557FE3" w:rsidRDefault="00557FE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557FE3" w:rsidRDefault="00557FE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B493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B4937">
      <w:rPr>
        <w:b/>
        <w:noProof/>
        <w:color w:val="000000"/>
        <w:sz w:val="24"/>
        <w:szCs w:val="24"/>
      </w:rPr>
      <w:t>39</w:t>
    </w:r>
    <w:r>
      <w:rPr>
        <w:b/>
        <w:color w:val="000000"/>
        <w:sz w:val="24"/>
        <w:szCs w:val="24"/>
      </w:rPr>
      <w:fldChar w:fldCharType="end"/>
    </w:r>
  </w:p>
  <w:p w14:paraId="23D55011" w14:textId="77777777" w:rsidR="00557FE3" w:rsidRDefault="00557F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5883" w14:textId="77777777" w:rsidR="00A71F11" w:rsidRDefault="00A71F11">
      <w:pPr>
        <w:spacing w:after="0" w:line="240" w:lineRule="auto"/>
      </w:pPr>
      <w:r>
        <w:separator/>
      </w:r>
    </w:p>
  </w:footnote>
  <w:footnote w:type="continuationSeparator" w:id="0">
    <w:p w14:paraId="078831CB" w14:textId="77777777" w:rsidR="00A71F11" w:rsidRDefault="00A71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557FE3" w:rsidRDefault="00557FE3">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57FE3" w14:paraId="4913F089" w14:textId="77777777">
      <w:trPr>
        <w:trHeight w:val="141"/>
      </w:trPr>
      <w:tc>
        <w:tcPr>
          <w:tcW w:w="2404" w:type="dxa"/>
        </w:tcPr>
        <w:p w14:paraId="1D800919" w14:textId="77777777" w:rsidR="00557FE3" w:rsidRDefault="00557FE3">
          <w:pPr>
            <w:tabs>
              <w:tab w:val="right" w:pos="8838"/>
            </w:tabs>
            <w:ind w:right="-105"/>
            <w:rPr>
              <w:b/>
            </w:rPr>
          </w:pPr>
          <w:r>
            <w:rPr>
              <w:b/>
            </w:rPr>
            <w:t>Recurso de Revisión:</w:t>
          </w:r>
        </w:p>
      </w:tc>
      <w:tc>
        <w:tcPr>
          <w:tcW w:w="3587" w:type="dxa"/>
        </w:tcPr>
        <w:p w14:paraId="53E9BD67" w14:textId="77777777" w:rsidR="00557FE3" w:rsidRDefault="00557FE3">
          <w:pPr>
            <w:tabs>
              <w:tab w:val="right" w:pos="8838"/>
            </w:tabs>
            <w:ind w:left="-28" w:right="683"/>
          </w:pPr>
          <w:r>
            <w:t>04196/INFOEM/IP/RR/2020</w:t>
          </w:r>
        </w:p>
      </w:tc>
    </w:tr>
    <w:tr w:rsidR="00557FE3" w14:paraId="515F523A" w14:textId="77777777">
      <w:trPr>
        <w:trHeight w:val="276"/>
      </w:trPr>
      <w:tc>
        <w:tcPr>
          <w:tcW w:w="2404" w:type="dxa"/>
        </w:tcPr>
        <w:p w14:paraId="1CFF82A0" w14:textId="77777777" w:rsidR="00557FE3" w:rsidRDefault="00557FE3">
          <w:pPr>
            <w:tabs>
              <w:tab w:val="right" w:pos="8838"/>
            </w:tabs>
            <w:ind w:right="-105"/>
            <w:rPr>
              <w:b/>
            </w:rPr>
          </w:pPr>
          <w:r>
            <w:rPr>
              <w:b/>
            </w:rPr>
            <w:t>Sujeto Obligado:</w:t>
          </w:r>
        </w:p>
      </w:tc>
      <w:tc>
        <w:tcPr>
          <w:tcW w:w="3587" w:type="dxa"/>
        </w:tcPr>
        <w:p w14:paraId="1142F936" w14:textId="77777777" w:rsidR="00557FE3" w:rsidRDefault="00557FE3">
          <w:pPr>
            <w:tabs>
              <w:tab w:val="right" w:pos="8838"/>
            </w:tabs>
            <w:ind w:right="116"/>
          </w:pPr>
          <w:r>
            <w:t>Ayuntamiento de Chapultepec</w:t>
          </w:r>
        </w:p>
      </w:tc>
    </w:tr>
    <w:tr w:rsidR="00557FE3" w14:paraId="69080D23" w14:textId="77777777">
      <w:trPr>
        <w:trHeight w:val="276"/>
      </w:trPr>
      <w:tc>
        <w:tcPr>
          <w:tcW w:w="2404" w:type="dxa"/>
        </w:tcPr>
        <w:p w14:paraId="50E24B18" w14:textId="77777777" w:rsidR="00557FE3" w:rsidRDefault="00557FE3">
          <w:pPr>
            <w:tabs>
              <w:tab w:val="right" w:pos="8838"/>
            </w:tabs>
            <w:ind w:right="-105"/>
            <w:rPr>
              <w:b/>
            </w:rPr>
          </w:pPr>
          <w:r>
            <w:rPr>
              <w:b/>
            </w:rPr>
            <w:t>Comisionado Ponente:</w:t>
          </w:r>
        </w:p>
      </w:tc>
      <w:tc>
        <w:tcPr>
          <w:tcW w:w="3587" w:type="dxa"/>
        </w:tcPr>
        <w:p w14:paraId="1467B143" w14:textId="77777777" w:rsidR="00557FE3" w:rsidRDefault="00557FE3">
          <w:pPr>
            <w:tabs>
              <w:tab w:val="right" w:pos="8838"/>
            </w:tabs>
            <w:ind w:right="-32"/>
          </w:pPr>
          <w:r>
            <w:t>Luis Gustavo Parra Noriega</w:t>
          </w:r>
        </w:p>
      </w:tc>
    </w:tr>
  </w:tbl>
  <w:p w14:paraId="74ECE196" w14:textId="77777777" w:rsidR="00557FE3" w:rsidRDefault="00FB4937">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507B7709" w:rsidR="00557FE3" w:rsidRDefault="00FB4937">
    <w:pPr>
      <w:rPr>
        <w:sz w:val="16"/>
        <w:szCs w:val="16"/>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7.25pt;margin-top:-124.05pt;width:663.5pt;height:12in;z-index:-251659776;mso-wrap-edited:f;mso-width-percent:0;mso-height-percent:0;mso-position-horizontal-relative:margin;mso-position-vertical-relative:margin;mso-width-percent:0;mso-height-percent:0">
          <v:imagedata r:id="rId1" o:title="image2"/>
          <w10:wrap anchorx="margin" anchory="margin"/>
        </v:shape>
      </w:pict>
    </w:r>
  </w:p>
  <w:tbl>
    <w:tblPr>
      <w:tblStyle w:val="a"/>
      <w:tblW w:w="7088"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557FE3" w14:paraId="087E2B73" w14:textId="77777777" w:rsidTr="00761BC2">
      <w:trPr>
        <w:trHeight w:val="141"/>
      </w:trPr>
      <w:tc>
        <w:tcPr>
          <w:tcW w:w="2404" w:type="dxa"/>
        </w:tcPr>
        <w:p w14:paraId="44594EC4" w14:textId="77777777" w:rsidR="00557FE3" w:rsidRDefault="00557FE3">
          <w:pPr>
            <w:tabs>
              <w:tab w:val="right" w:pos="8838"/>
            </w:tabs>
            <w:ind w:left="-395" w:right="-105" w:firstLine="395"/>
            <w:rPr>
              <w:b/>
            </w:rPr>
          </w:pPr>
          <w:r>
            <w:rPr>
              <w:b/>
            </w:rPr>
            <w:t>Recurso de Revisión:</w:t>
          </w:r>
        </w:p>
      </w:tc>
      <w:tc>
        <w:tcPr>
          <w:tcW w:w="4684" w:type="dxa"/>
        </w:tcPr>
        <w:p w14:paraId="312F8E98" w14:textId="1F4BBEDA" w:rsidR="00557FE3" w:rsidRDefault="00557FE3" w:rsidP="00672439">
          <w:pPr>
            <w:tabs>
              <w:tab w:val="right" w:pos="8838"/>
            </w:tabs>
            <w:ind w:left="-28" w:right="454"/>
          </w:pPr>
          <w:r>
            <w:t>00881/INFOEM/IP/RR/2025</w:t>
          </w:r>
        </w:p>
      </w:tc>
    </w:tr>
    <w:tr w:rsidR="00557FE3" w14:paraId="31D07777" w14:textId="77777777" w:rsidTr="00761BC2">
      <w:trPr>
        <w:trHeight w:val="276"/>
      </w:trPr>
      <w:tc>
        <w:tcPr>
          <w:tcW w:w="2404" w:type="dxa"/>
        </w:tcPr>
        <w:p w14:paraId="6B55802A" w14:textId="77777777" w:rsidR="00557FE3" w:rsidRDefault="00557FE3">
          <w:pPr>
            <w:tabs>
              <w:tab w:val="right" w:pos="8838"/>
            </w:tabs>
            <w:ind w:right="-105"/>
            <w:rPr>
              <w:b/>
            </w:rPr>
          </w:pPr>
          <w:r>
            <w:rPr>
              <w:b/>
            </w:rPr>
            <w:t>Sujeto Obligado:</w:t>
          </w:r>
        </w:p>
      </w:tc>
      <w:tc>
        <w:tcPr>
          <w:tcW w:w="4684" w:type="dxa"/>
        </w:tcPr>
        <w:p w14:paraId="4A22BD99" w14:textId="7A88992F" w:rsidR="00557FE3" w:rsidRDefault="00557FE3" w:rsidP="00761BC2">
          <w:pPr>
            <w:tabs>
              <w:tab w:val="left" w:pos="3158"/>
              <w:tab w:val="left" w:pos="4292"/>
              <w:tab w:val="right" w:pos="8838"/>
            </w:tabs>
            <w:ind w:right="601"/>
            <w:jc w:val="left"/>
          </w:pPr>
          <w:r>
            <w:t xml:space="preserve">Sistema Municipal </w:t>
          </w:r>
          <w:r w:rsidR="00F9077E">
            <w:t>p</w:t>
          </w:r>
          <w:r>
            <w:t>ara el Desarrollo Integral de la Familia</w:t>
          </w:r>
          <w:r w:rsidR="00761BC2">
            <w:t xml:space="preserve"> </w:t>
          </w:r>
          <w:r>
            <w:t>de Cuautitlán</w:t>
          </w:r>
        </w:p>
      </w:tc>
    </w:tr>
    <w:tr w:rsidR="00557FE3" w14:paraId="161D40C6" w14:textId="77777777" w:rsidTr="00761BC2">
      <w:trPr>
        <w:trHeight w:val="276"/>
      </w:trPr>
      <w:tc>
        <w:tcPr>
          <w:tcW w:w="2404" w:type="dxa"/>
        </w:tcPr>
        <w:p w14:paraId="2583E4C0" w14:textId="77777777" w:rsidR="00557FE3" w:rsidRDefault="00557FE3">
          <w:pPr>
            <w:tabs>
              <w:tab w:val="right" w:pos="8838"/>
            </w:tabs>
            <w:ind w:right="-105"/>
            <w:rPr>
              <w:b/>
            </w:rPr>
          </w:pPr>
          <w:r>
            <w:rPr>
              <w:b/>
            </w:rPr>
            <w:t>Comisionado Ponente:</w:t>
          </w:r>
        </w:p>
      </w:tc>
      <w:tc>
        <w:tcPr>
          <w:tcW w:w="4684" w:type="dxa"/>
        </w:tcPr>
        <w:p w14:paraId="4FEB6F64" w14:textId="77777777" w:rsidR="00557FE3" w:rsidRDefault="00557FE3">
          <w:pPr>
            <w:tabs>
              <w:tab w:val="right" w:pos="8838"/>
            </w:tabs>
            <w:ind w:right="454"/>
          </w:pPr>
          <w:r>
            <w:t>Luis Gustavo Parra Noriega</w:t>
          </w:r>
        </w:p>
      </w:tc>
    </w:tr>
  </w:tbl>
  <w:p w14:paraId="7B4A9F8D" w14:textId="1CE32126" w:rsidR="00557FE3" w:rsidRDefault="00557FE3">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B66174C" w:rsidR="00557FE3" w:rsidRDefault="00557FE3">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557FE3" w14:paraId="11A312BD" w14:textId="77777777" w:rsidTr="00CE4466">
      <w:trPr>
        <w:trHeight w:val="1546"/>
      </w:trPr>
      <w:tc>
        <w:tcPr>
          <w:tcW w:w="2127" w:type="dxa"/>
          <w:shd w:val="clear" w:color="auto" w:fill="auto"/>
        </w:tcPr>
        <w:p w14:paraId="02785A7F" w14:textId="77777777" w:rsidR="00557FE3" w:rsidRDefault="00557FE3">
          <w:pPr>
            <w:tabs>
              <w:tab w:val="right" w:pos="4273"/>
            </w:tabs>
            <w:rPr>
              <w:rFonts w:ascii="Garamond" w:eastAsia="Garamond" w:hAnsi="Garamond" w:cs="Garamond"/>
              <w:sz w:val="16"/>
              <w:szCs w:val="16"/>
            </w:rPr>
          </w:pPr>
        </w:p>
      </w:tc>
      <w:tc>
        <w:tcPr>
          <w:tcW w:w="7087" w:type="dxa"/>
          <w:shd w:val="clear" w:color="auto" w:fill="auto"/>
        </w:tcPr>
        <w:p w14:paraId="5E345BDA" w14:textId="77777777" w:rsidR="00557FE3" w:rsidRDefault="00557FE3">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557FE3" w14:paraId="4D093FE8" w14:textId="77777777">
            <w:trPr>
              <w:trHeight w:val="141"/>
            </w:trPr>
            <w:tc>
              <w:tcPr>
                <w:tcW w:w="2404" w:type="dxa"/>
                <w:vAlign w:val="bottom"/>
              </w:tcPr>
              <w:p w14:paraId="19B4B05D" w14:textId="77777777" w:rsidR="00557FE3" w:rsidRDefault="00557FE3">
                <w:pPr>
                  <w:tabs>
                    <w:tab w:val="right" w:pos="8838"/>
                  </w:tabs>
                  <w:ind w:right="-105"/>
                  <w:rPr>
                    <w:b/>
                  </w:rPr>
                </w:pPr>
                <w:r>
                  <w:rPr>
                    <w:b/>
                  </w:rPr>
                  <w:t>Recurso de Revisión:</w:t>
                </w:r>
              </w:p>
            </w:tc>
            <w:tc>
              <w:tcPr>
                <w:tcW w:w="3975" w:type="dxa"/>
              </w:tcPr>
              <w:p w14:paraId="43DE950F" w14:textId="6AB7E243" w:rsidR="00557FE3" w:rsidRDefault="00557FE3">
                <w:pPr>
                  <w:tabs>
                    <w:tab w:val="right" w:pos="8838"/>
                  </w:tabs>
                  <w:ind w:left="-28" w:right="-107"/>
                </w:pPr>
                <w:r>
                  <w:t>00881/INFOEM/IP/RR/2025</w:t>
                </w:r>
              </w:p>
            </w:tc>
          </w:tr>
          <w:tr w:rsidR="00557FE3" w14:paraId="073EAE42" w14:textId="77777777">
            <w:trPr>
              <w:trHeight w:val="141"/>
            </w:trPr>
            <w:tc>
              <w:tcPr>
                <w:tcW w:w="2404" w:type="dxa"/>
              </w:tcPr>
              <w:p w14:paraId="76E590DA" w14:textId="77777777" w:rsidR="00557FE3" w:rsidRDefault="00557FE3">
                <w:pPr>
                  <w:tabs>
                    <w:tab w:val="right" w:pos="8838"/>
                  </w:tabs>
                  <w:ind w:right="-105"/>
                  <w:rPr>
                    <w:b/>
                  </w:rPr>
                </w:pPr>
                <w:r>
                  <w:rPr>
                    <w:b/>
                  </w:rPr>
                  <w:t>Recurrente:</w:t>
                </w:r>
              </w:p>
            </w:tc>
            <w:tc>
              <w:tcPr>
                <w:tcW w:w="3975" w:type="dxa"/>
              </w:tcPr>
              <w:p w14:paraId="5FF2F8C6" w14:textId="01290DB3" w:rsidR="00557FE3" w:rsidRDefault="00935DB5">
                <w:pPr>
                  <w:tabs>
                    <w:tab w:val="right" w:pos="8838"/>
                  </w:tabs>
                  <w:ind w:right="-107"/>
                </w:pPr>
                <w:r w:rsidRPr="00935DB5">
                  <w:rPr>
                    <w:highlight w:val="black"/>
                  </w:rPr>
                  <w:t>XXXXXXXXXXXXXX</w:t>
                </w:r>
              </w:p>
            </w:tc>
          </w:tr>
          <w:tr w:rsidR="00557FE3" w14:paraId="009C2510" w14:textId="77777777">
            <w:trPr>
              <w:trHeight w:val="276"/>
            </w:trPr>
            <w:tc>
              <w:tcPr>
                <w:tcW w:w="2404" w:type="dxa"/>
              </w:tcPr>
              <w:p w14:paraId="0AAFC3CA" w14:textId="77777777" w:rsidR="00557FE3" w:rsidRDefault="00557FE3">
                <w:pPr>
                  <w:tabs>
                    <w:tab w:val="right" w:pos="8838"/>
                  </w:tabs>
                  <w:ind w:right="-105"/>
                  <w:rPr>
                    <w:b/>
                  </w:rPr>
                </w:pPr>
                <w:r>
                  <w:rPr>
                    <w:b/>
                  </w:rPr>
                  <w:t>Sujeto Obligado:</w:t>
                </w:r>
              </w:p>
            </w:tc>
            <w:tc>
              <w:tcPr>
                <w:tcW w:w="3975" w:type="dxa"/>
              </w:tcPr>
              <w:p w14:paraId="6139AF75" w14:textId="542A9BBC" w:rsidR="00557FE3" w:rsidRDefault="00557FE3">
                <w:pPr>
                  <w:tabs>
                    <w:tab w:val="right" w:pos="8838"/>
                  </w:tabs>
                  <w:ind w:right="33"/>
                </w:pPr>
                <w:r w:rsidRPr="001724BB">
                  <w:t xml:space="preserve">Sistema Municipal </w:t>
                </w:r>
                <w:r w:rsidR="00412A97">
                  <w:t>p</w:t>
                </w:r>
                <w:r w:rsidRPr="001724BB">
                  <w:t xml:space="preserve">ara el </w:t>
                </w:r>
              </w:p>
              <w:p w14:paraId="78465EF2" w14:textId="77777777" w:rsidR="00557FE3" w:rsidRDefault="00557FE3">
                <w:pPr>
                  <w:tabs>
                    <w:tab w:val="right" w:pos="8838"/>
                  </w:tabs>
                  <w:ind w:right="33"/>
                </w:pPr>
                <w:r w:rsidRPr="001724BB">
                  <w:t>Desarrollo Integral de la Familia</w:t>
                </w:r>
              </w:p>
              <w:p w14:paraId="13F6DD80" w14:textId="33862D49" w:rsidR="00557FE3" w:rsidRDefault="00412A97" w:rsidP="001724BB">
                <w:pPr>
                  <w:tabs>
                    <w:tab w:val="right" w:pos="8838"/>
                  </w:tabs>
                  <w:ind w:right="33"/>
                </w:pPr>
                <w:r w:rsidRPr="001724BB">
                  <w:t xml:space="preserve">de </w:t>
                </w:r>
                <w:r>
                  <w:t>Cuautitlán</w:t>
                </w:r>
              </w:p>
            </w:tc>
          </w:tr>
          <w:tr w:rsidR="00557FE3" w14:paraId="7A4EADF6" w14:textId="77777777">
            <w:trPr>
              <w:trHeight w:val="276"/>
            </w:trPr>
            <w:tc>
              <w:tcPr>
                <w:tcW w:w="2404" w:type="dxa"/>
              </w:tcPr>
              <w:p w14:paraId="014674B7" w14:textId="77777777" w:rsidR="00557FE3" w:rsidRDefault="00557FE3">
                <w:pPr>
                  <w:tabs>
                    <w:tab w:val="right" w:pos="8838"/>
                  </w:tabs>
                  <w:ind w:right="-105"/>
                  <w:rPr>
                    <w:b/>
                  </w:rPr>
                </w:pPr>
                <w:r>
                  <w:rPr>
                    <w:b/>
                  </w:rPr>
                  <w:t>Comisionado Ponente:</w:t>
                </w:r>
              </w:p>
            </w:tc>
            <w:tc>
              <w:tcPr>
                <w:tcW w:w="3975" w:type="dxa"/>
              </w:tcPr>
              <w:p w14:paraId="06F82FCE" w14:textId="77777777" w:rsidR="00557FE3" w:rsidRDefault="00557FE3">
                <w:pPr>
                  <w:tabs>
                    <w:tab w:val="right" w:pos="8838"/>
                  </w:tabs>
                  <w:ind w:right="-107"/>
                </w:pPr>
                <w:r>
                  <w:t>Luis Gustavo Parra Noriega</w:t>
                </w:r>
              </w:p>
            </w:tc>
          </w:tr>
        </w:tbl>
        <w:p w14:paraId="3774A9CE" w14:textId="77777777" w:rsidR="00557FE3" w:rsidRDefault="00557FE3">
          <w:pPr>
            <w:tabs>
              <w:tab w:val="right" w:pos="8838"/>
            </w:tabs>
            <w:ind w:left="-28"/>
            <w:rPr>
              <w:rFonts w:ascii="Arial" w:eastAsia="Arial" w:hAnsi="Arial" w:cs="Arial"/>
              <w:b/>
            </w:rPr>
          </w:pPr>
        </w:p>
      </w:tc>
    </w:tr>
  </w:tbl>
  <w:p w14:paraId="38129A67" w14:textId="248B6D27" w:rsidR="00557FE3" w:rsidRDefault="00557FE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B6C09"/>
    <w:multiLevelType w:val="hybridMultilevel"/>
    <w:tmpl w:val="CDFA8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A60E1"/>
    <w:multiLevelType w:val="hybridMultilevel"/>
    <w:tmpl w:val="47BAF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A130F"/>
    <w:multiLevelType w:val="hybridMultilevel"/>
    <w:tmpl w:val="E23CD3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42C5454B"/>
    <w:multiLevelType w:val="hybridMultilevel"/>
    <w:tmpl w:val="0B3EC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5F46A4"/>
    <w:multiLevelType w:val="hybridMultilevel"/>
    <w:tmpl w:val="C6A43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D1153E8"/>
    <w:multiLevelType w:val="hybridMultilevel"/>
    <w:tmpl w:val="53C8722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4455817"/>
    <w:multiLevelType w:val="multilevel"/>
    <w:tmpl w:val="7CC2B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
  </w:num>
  <w:num w:numId="5">
    <w:abstractNumId w:val="4"/>
  </w:num>
  <w:num w:numId="6">
    <w:abstractNumId w:val="31"/>
  </w:num>
  <w:num w:numId="7">
    <w:abstractNumId w:val="5"/>
  </w:num>
  <w:num w:numId="8">
    <w:abstractNumId w:val="19"/>
  </w:num>
  <w:num w:numId="9">
    <w:abstractNumId w:val="13"/>
  </w:num>
  <w:num w:numId="10">
    <w:abstractNumId w:val="20"/>
  </w:num>
  <w:num w:numId="11">
    <w:abstractNumId w:val="16"/>
  </w:num>
  <w:num w:numId="12">
    <w:abstractNumId w:val="6"/>
  </w:num>
  <w:num w:numId="13">
    <w:abstractNumId w:val="0"/>
  </w:num>
  <w:num w:numId="14">
    <w:abstractNumId w:val="10"/>
  </w:num>
  <w:num w:numId="15">
    <w:abstractNumId w:val="11"/>
  </w:num>
  <w:num w:numId="16">
    <w:abstractNumId w:val="26"/>
  </w:num>
  <w:num w:numId="17">
    <w:abstractNumId w:val="25"/>
  </w:num>
  <w:num w:numId="18">
    <w:abstractNumId w:val="8"/>
  </w:num>
  <w:num w:numId="19">
    <w:abstractNumId w:val="15"/>
  </w:num>
  <w:num w:numId="20">
    <w:abstractNumId w:val="24"/>
  </w:num>
  <w:num w:numId="21">
    <w:abstractNumId w:val="3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3"/>
  </w:num>
  <w:num w:numId="26">
    <w:abstractNumId w:val="9"/>
  </w:num>
  <w:num w:numId="27">
    <w:abstractNumId w:val="14"/>
  </w:num>
  <w:num w:numId="28">
    <w:abstractNumId w:val="2"/>
  </w:num>
  <w:num w:numId="29">
    <w:abstractNumId w:val="7"/>
  </w:num>
  <w:num w:numId="30">
    <w:abstractNumId w:val="17"/>
  </w:num>
  <w:num w:numId="31">
    <w:abstractNumId w:val="28"/>
  </w:num>
  <w:num w:numId="32">
    <w:abstractNumId w:val="18"/>
  </w:num>
  <w:num w:numId="33">
    <w:abstractNumId w:val="21"/>
  </w:num>
  <w:num w:numId="34">
    <w:abstractNumId w:val="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274C2"/>
    <w:rsid w:val="00030A14"/>
    <w:rsid w:val="0003121B"/>
    <w:rsid w:val="000333F3"/>
    <w:rsid w:val="000352B7"/>
    <w:rsid w:val="00053BFA"/>
    <w:rsid w:val="00061E62"/>
    <w:rsid w:val="000620C8"/>
    <w:rsid w:val="000678E8"/>
    <w:rsid w:val="00080126"/>
    <w:rsid w:val="000837C4"/>
    <w:rsid w:val="0008574F"/>
    <w:rsid w:val="000A5247"/>
    <w:rsid w:val="000A608A"/>
    <w:rsid w:val="000B085A"/>
    <w:rsid w:val="000C03C1"/>
    <w:rsid w:val="000C30C0"/>
    <w:rsid w:val="000C455C"/>
    <w:rsid w:val="000D14DC"/>
    <w:rsid w:val="000E51A2"/>
    <w:rsid w:val="000F1C66"/>
    <w:rsid w:val="001112B3"/>
    <w:rsid w:val="00116267"/>
    <w:rsid w:val="00123ED6"/>
    <w:rsid w:val="00152404"/>
    <w:rsid w:val="001544A8"/>
    <w:rsid w:val="00167299"/>
    <w:rsid w:val="00171DF4"/>
    <w:rsid w:val="001724BB"/>
    <w:rsid w:val="00175DE6"/>
    <w:rsid w:val="001A043A"/>
    <w:rsid w:val="001A3FA2"/>
    <w:rsid w:val="001A4D72"/>
    <w:rsid w:val="001A518F"/>
    <w:rsid w:val="001A54EF"/>
    <w:rsid w:val="001B2B90"/>
    <w:rsid w:val="001C3D22"/>
    <w:rsid w:val="001D0269"/>
    <w:rsid w:val="001E3BEF"/>
    <w:rsid w:val="001E7F6D"/>
    <w:rsid w:val="001F1666"/>
    <w:rsid w:val="001F7131"/>
    <w:rsid w:val="00201106"/>
    <w:rsid w:val="00205EE3"/>
    <w:rsid w:val="00213165"/>
    <w:rsid w:val="00227BE3"/>
    <w:rsid w:val="00247679"/>
    <w:rsid w:val="0026093C"/>
    <w:rsid w:val="0026142D"/>
    <w:rsid w:val="0026738C"/>
    <w:rsid w:val="00267D04"/>
    <w:rsid w:val="00271EEF"/>
    <w:rsid w:val="0027405F"/>
    <w:rsid w:val="0027513C"/>
    <w:rsid w:val="00275206"/>
    <w:rsid w:val="002812BA"/>
    <w:rsid w:val="00281A8C"/>
    <w:rsid w:val="0029439C"/>
    <w:rsid w:val="002A1E5F"/>
    <w:rsid w:val="002A4B9F"/>
    <w:rsid w:val="002B3613"/>
    <w:rsid w:val="002B77FE"/>
    <w:rsid w:val="002C3F8E"/>
    <w:rsid w:val="002D0172"/>
    <w:rsid w:val="002D4685"/>
    <w:rsid w:val="002E62A2"/>
    <w:rsid w:val="0030191A"/>
    <w:rsid w:val="00321E72"/>
    <w:rsid w:val="00321F56"/>
    <w:rsid w:val="003313D5"/>
    <w:rsid w:val="00352DFA"/>
    <w:rsid w:val="00355945"/>
    <w:rsid w:val="00361D2A"/>
    <w:rsid w:val="00372769"/>
    <w:rsid w:val="00375A00"/>
    <w:rsid w:val="0038068D"/>
    <w:rsid w:val="0038597C"/>
    <w:rsid w:val="003A6BE7"/>
    <w:rsid w:val="003B0222"/>
    <w:rsid w:val="003D1D15"/>
    <w:rsid w:val="003F6C99"/>
    <w:rsid w:val="00400449"/>
    <w:rsid w:val="00405268"/>
    <w:rsid w:val="00412A97"/>
    <w:rsid w:val="00416366"/>
    <w:rsid w:val="0043009E"/>
    <w:rsid w:val="00432851"/>
    <w:rsid w:val="0045203D"/>
    <w:rsid w:val="00464E39"/>
    <w:rsid w:val="0046624D"/>
    <w:rsid w:val="00480823"/>
    <w:rsid w:val="00482F65"/>
    <w:rsid w:val="004952B7"/>
    <w:rsid w:val="004B2592"/>
    <w:rsid w:val="004B503B"/>
    <w:rsid w:val="004B77C7"/>
    <w:rsid w:val="004C4B87"/>
    <w:rsid w:val="004D37D8"/>
    <w:rsid w:val="004D5E25"/>
    <w:rsid w:val="004D6AC0"/>
    <w:rsid w:val="004E16CA"/>
    <w:rsid w:val="00500D89"/>
    <w:rsid w:val="005041FF"/>
    <w:rsid w:val="00510781"/>
    <w:rsid w:val="00515931"/>
    <w:rsid w:val="00543995"/>
    <w:rsid w:val="0055591F"/>
    <w:rsid w:val="00557FE3"/>
    <w:rsid w:val="005A42D8"/>
    <w:rsid w:val="005B20FA"/>
    <w:rsid w:val="005B5E7C"/>
    <w:rsid w:val="005C4CEA"/>
    <w:rsid w:val="005D7AEB"/>
    <w:rsid w:val="00600C74"/>
    <w:rsid w:val="00603C0C"/>
    <w:rsid w:val="0060513D"/>
    <w:rsid w:val="006269DD"/>
    <w:rsid w:val="006420F0"/>
    <w:rsid w:val="00647460"/>
    <w:rsid w:val="0064764C"/>
    <w:rsid w:val="006515E5"/>
    <w:rsid w:val="0065522B"/>
    <w:rsid w:val="006613EA"/>
    <w:rsid w:val="00670439"/>
    <w:rsid w:val="00672439"/>
    <w:rsid w:val="00674D7A"/>
    <w:rsid w:val="00675F00"/>
    <w:rsid w:val="006819BC"/>
    <w:rsid w:val="0068258C"/>
    <w:rsid w:val="00687F86"/>
    <w:rsid w:val="00690DEB"/>
    <w:rsid w:val="0069493D"/>
    <w:rsid w:val="006C4DBF"/>
    <w:rsid w:val="006D4068"/>
    <w:rsid w:val="006E41D2"/>
    <w:rsid w:val="006E46EA"/>
    <w:rsid w:val="006E6C38"/>
    <w:rsid w:val="0073371B"/>
    <w:rsid w:val="00750C88"/>
    <w:rsid w:val="007514D5"/>
    <w:rsid w:val="00752F6F"/>
    <w:rsid w:val="00760CA6"/>
    <w:rsid w:val="00761BC2"/>
    <w:rsid w:val="0076362A"/>
    <w:rsid w:val="0078202B"/>
    <w:rsid w:val="00791585"/>
    <w:rsid w:val="007A54F7"/>
    <w:rsid w:val="007D30CD"/>
    <w:rsid w:val="007F4736"/>
    <w:rsid w:val="008022FE"/>
    <w:rsid w:val="00802E3A"/>
    <w:rsid w:val="008061A1"/>
    <w:rsid w:val="00827EA8"/>
    <w:rsid w:val="00836753"/>
    <w:rsid w:val="008449FA"/>
    <w:rsid w:val="00850D54"/>
    <w:rsid w:val="00862C79"/>
    <w:rsid w:val="00876057"/>
    <w:rsid w:val="008854E3"/>
    <w:rsid w:val="00895704"/>
    <w:rsid w:val="00897C88"/>
    <w:rsid w:val="008A6CBA"/>
    <w:rsid w:val="008B1792"/>
    <w:rsid w:val="008B760A"/>
    <w:rsid w:val="008C369E"/>
    <w:rsid w:val="008D36B7"/>
    <w:rsid w:val="008F4066"/>
    <w:rsid w:val="00901916"/>
    <w:rsid w:val="0090345F"/>
    <w:rsid w:val="00916DDB"/>
    <w:rsid w:val="00921B80"/>
    <w:rsid w:val="00922619"/>
    <w:rsid w:val="00931903"/>
    <w:rsid w:val="00933D31"/>
    <w:rsid w:val="009354C9"/>
    <w:rsid w:val="00935DB5"/>
    <w:rsid w:val="0093706C"/>
    <w:rsid w:val="00944EC0"/>
    <w:rsid w:val="0098702F"/>
    <w:rsid w:val="009A0999"/>
    <w:rsid w:val="009A1941"/>
    <w:rsid w:val="009B14FE"/>
    <w:rsid w:val="009C3A65"/>
    <w:rsid w:val="009D5DFC"/>
    <w:rsid w:val="009E143C"/>
    <w:rsid w:val="009F177B"/>
    <w:rsid w:val="009F4781"/>
    <w:rsid w:val="00A012C4"/>
    <w:rsid w:val="00A169B3"/>
    <w:rsid w:val="00A31D29"/>
    <w:rsid w:val="00A340DF"/>
    <w:rsid w:val="00A3628B"/>
    <w:rsid w:val="00A36580"/>
    <w:rsid w:val="00A50615"/>
    <w:rsid w:val="00A6353E"/>
    <w:rsid w:val="00A71F11"/>
    <w:rsid w:val="00A7495B"/>
    <w:rsid w:val="00A876A7"/>
    <w:rsid w:val="00AA681D"/>
    <w:rsid w:val="00AB525A"/>
    <w:rsid w:val="00AE6258"/>
    <w:rsid w:val="00AE68DB"/>
    <w:rsid w:val="00AF1546"/>
    <w:rsid w:val="00B12E36"/>
    <w:rsid w:val="00B2250B"/>
    <w:rsid w:val="00B40CD5"/>
    <w:rsid w:val="00B439A5"/>
    <w:rsid w:val="00B44943"/>
    <w:rsid w:val="00B46A70"/>
    <w:rsid w:val="00B574FD"/>
    <w:rsid w:val="00B662E6"/>
    <w:rsid w:val="00B663EA"/>
    <w:rsid w:val="00B91BCB"/>
    <w:rsid w:val="00B97C98"/>
    <w:rsid w:val="00BA1C09"/>
    <w:rsid w:val="00BA599A"/>
    <w:rsid w:val="00BA7CA9"/>
    <w:rsid w:val="00BC37F6"/>
    <w:rsid w:val="00BD3F9B"/>
    <w:rsid w:val="00BD5CCE"/>
    <w:rsid w:val="00BD76D4"/>
    <w:rsid w:val="00BE685F"/>
    <w:rsid w:val="00BF371C"/>
    <w:rsid w:val="00BF4381"/>
    <w:rsid w:val="00C13CA5"/>
    <w:rsid w:val="00C23341"/>
    <w:rsid w:val="00C4170A"/>
    <w:rsid w:val="00C503C4"/>
    <w:rsid w:val="00C54A79"/>
    <w:rsid w:val="00C6112D"/>
    <w:rsid w:val="00C64EB4"/>
    <w:rsid w:val="00C73479"/>
    <w:rsid w:val="00C7383A"/>
    <w:rsid w:val="00C74055"/>
    <w:rsid w:val="00C776C5"/>
    <w:rsid w:val="00C80616"/>
    <w:rsid w:val="00CA016E"/>
    <w:rsid w:val="00CA79CD"/>
    <w:rsid w:val="00CC1DAD"/>
    <w:rsid w:val="00CC263D"/>
    <w:rsid w:val="00CC608C"/>
    <w:rsid w:val="00CE19BD"/>
    <w:rsid w:val="00CE3B03"/>
    <w:rsid w:val="00CE4466"/>
    <w:rsid w:val="00CE58A5"/>
    <w:rsid w:val="00CF024F"/>
    <w:rsid w:val="00CF0CB5"/>
    <w:rsid w:val="00CF6EC8"/>
    <w:rsid w:val="00D21192"/>
    <w:rsid w:val="00D213E4"/>
    <w:rsid w:val="00D43425"/>
    <w:rsid w:val="00D4464F"/>
    <w:rsid w:val="00D44EDE"/>
    <w:rsid w:val="00D457C1"/>
    <w:rsid w:val="00D51406"/>
    <w:rsid w:val="00D52F9F"/>
    <w:rsid w:val="00D7798F"/>
    <w:rsid w:val="00D93ABD"/>
    <w:rsid w:val="00DB2ADC"/>
    <w:rsid w:val="00DB2DF7"/>
    <w:rsid w:val="00DB2E59"/>
    <w:rsid w:val="00DD134F"/>
    <w:rsid w:val="00DD7C00"/>
    <w:rsid w:val="00DE3BBD"/>
    <w:rsid w:val="00DF6F15"/>
    <w:rsid w:val="00DF7037"/>
    <w:rsid w:val="00E03F94"/>
    <w:rsid w:val="00E27D46"/>
    <w:rsid w:val="00E30798"/>
    <w:rsid w:val="00E51F39"/>
    <w:rsid w:val="00E57161"/>
    <w:rsid w:val="00E624D4"/>
    <w:rsid w:val="00E6531B"/>
    <w:rsid w:val="00E6706F"/>
    <w:rsid w:val="00E73EE5"/>
    <w:rsid w:val="00E763D9"/>
    <w:rsid w:val="00E86620"/>
    <w:rsid w:val="00E87065"/>
    <w:rsid w:val="00EA18B6"/>
    <w:rsid w:val="00EC2F43"/>
    <w:rsid w:val="00EC3E83"/>
    <w:rsid w:val="00EC4EBA"/>
    <w:rsid w:val="00ED280F"/>
    <w:rsid w:val="00F01C4C"/>
    <w:rsid w:val="00F03AF0"/>
    <w:rsid w:val="00F04222"/>
    <w:rsid w:val="00F1744F"/>
    <w:rsid w:val="00F44355"/>
    <w:rsid w:val="00F44F11"/>
    <w:rsid w:val="00F64A35"/>
    <w:rsid w:val="00F7286E"/>
    <w:rsid w:val="00F84B60"/>
    <w:rsid w:val="00F8647F"/>
    <w:rsid w:val="00F9077E"/>
    <w:rsid w:val="00FA42AE"/>
    <w:rsid w:val="00FA4FE7"/>
    <w:rsid w:val="00FB4937"/>
    <w:rsid w:val="00FB5127"/>
    <w:rsid w:val="00FB5BD5"/>
    <w:rsid w:val="00FB6A6B"/>
    <w:rsid w:val="00FC14F1"/>
    <w:rsid w:val="00FD0C0D"/>
    <w:rsid w:val="00FF2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character" w:customStyle="1" w:styleId="Ttulo1Car">
    <w:name w:val="Título 1 Car"/>
    <w:basedOn w:val="Fuentedeprrafopredeter"/>
    <w:link w:val="Ttulo1"/>
    <w:uiPriority w:val="9"/>
    <w:rsid w:val="00412A97"/>
    <w:rPr>
      <w:b/>
      <w:color w:val="000000" w:themeColor="text1"/>
      <w:sz w:val="24"/>
      <w:szCs w:val="48"/>
    </w:rPr>
  </w:style>
  <w:style w:type="character" w:customStyle="1" w:styleId="Ttulo2Car">
    <w:name w:val="Título 2 Car"/>
    <w:basedOn w:val="Fuentedeprrafopredeter"/>
    <w:link w:val="Ttulo2"/>
    <w:uiPriority w:val="9"/>
    <w:rsid w:val="00412A97"/>
    <w:rPr>
      <w:b/>
      <w:color w:val="000000" w:themeColor="text1"/>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729">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97007269">
      <w:bodyDiv w:val="1"/>
      <w:marLeft w:val="0"/>
      <w:marRight w:val="0"/>
      <w:marTop w:val="0"/>
      <w:marBottom w:val="0"/>
      <w:divBdr>
        <w:top w:val="none" w:sz="0" w:space="0" w:color="auto"/>
        <w:left w:val="none" w:sz="0" w:space="0" w:color="auto"/>
        <w:bottom w:val="none" w:sz="0" w:space="0" w:color="auto"/>
        <w:right w:val="none" w:sz="0" w:space="0" w:color="auto"/>
      </w:divBdr>
    </w:div>
    <w:div w:id="202982074">
      <w:bodyDiv w:val="1"/>
      <w:marLeft w:val="0"/>
      <w:marRight w:val="0"/>
      <w:marTop w:val="0"/>
      <w:marBottom w:val="0"/>
      <w:divBdr>
        <w:top w:val="none" w:sz="0" w:space="0" w:color="auto"/>
        <w:left w:val="none" w:sz="0" w:space="0" w:color="auto"/>
        <w:bottom w:val="none" w:sz="0" w:space="0" w:color="auto"/>
        <w:right w:val="none" w:sz="0" w:space="0" w:color="auto"/>
      </w:divBdr>
    </w:div>
    <w:div w:id="237787743">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76028800">
      <w:bodyDiv w:val="1"/>
      <w:marLeft w:val="0"/>
      <w:marRight w:val="0"/>
      <w:marTop w:val="0"/>
      <w:marBottom w:val="0"/>
      <w:divBdr>
        <w:top w:val="none" w:sz="0" w:space="0" w:color="auto"/>
        <w:left w:val="none" w:sz="0" w:space="0" w:color="auto"/>
        <w:bottom w:val="none" w:sz="0" w:space="0" w:color="auto"/>
        <w:right w:val="none" w:sz="0" w:space="0" w:color="auto"/>
      </w:divBdr>
    </w:div>
    <w:div w:id="818108560">
      <w:bodyDiv w:val="1"/>
      <w:marLeft w:val="0"/>
      <w:marRight w:val="0"/>
      <w:marTop w:val="0"/>
      <w:marBottom w:val="0"/>
      <w:divBdr>
        <w:top w:val="none" w:sz="0" w:space="0" w:color="auto"/>
        <w:left w:val="none" w:sz="0" w:space="0" w:color="auto"/>
        <w:bottom w:val="none" w:sz="0" w:space="0" w:color="auto"/>
        <w:right w:val="none" w:sz="0" w:space="0" w:color="auto"/>
      </w:divBdr>
    </w:div>
    <w:div w:id="891160039">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05148688">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3838188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69583247">
      <w:bodyDiv w:val="1"/>
      <w:marLeft w:val="0"/>
      <w:marRight w:val="0"/>
      <w:marTop w:val="0"/>
      <w:marBottom w:val="0"/>
      <w:divBdr>
        <w:top w:val="none" w:sz="0" w:space="0" w:color="auto"/>
        <w:left w:val="none" w:sz="0" w:space="0" w:color="auto"/>
        <w:bottom w:val="none" w:sz="0" w:space="0" w:color="auto"/>
        <w:right w:val="none" w:sz="0" w:space="0" w:color="auto"/>
      </w:divBdr>
    </w:div>
    <w:div w:id="1339455883">
      <w:bodyDiv w:val="1"/>
      <w:marLeft w:val="0"/>
      <w:marRight w:val="0"/>
      <w:marTop w:val="0"/>
      <w:marBottom w:val="0"/>
      <w:divBdr>
        <w:top w:val="none" w:sz="0" w:space="0" w:color="auto"/>
        <w:left w:val="none" w:sz="0" w:space="0" w:color="auto"/>
        <w:bottom w:val="none" w:sz="0" w:space="0" w:color="auto"/>
        <w:right w:val="none" w:sz="0" w:space="0" w:color="auto"/>
      </w:divBdr>
    </w:div>
    <w:div w:id="1384715083">
      <w:bodyDiv w:val="1"/>
      <w:marLeft w:val="0"/>
      <w:marRight w:val="0"/>
      <w:marTop w:val="0"/>
      <w:marBottom w:val="0"/>
      <w:divBdr>
        <w:top w:val="none" w:sz="0" w:space="0" w:color="auto"/>
        <w:left w:val="none" w:sz="0" w:space="0" w:color="auto"/>
        <w:bottom w:val="none" w:sz="0" w:space="0" w:color="auto"/>
        <w:right w:val="none" w:sz="0" w:space="0" w:color="auto"/>
      </w:divBdr>
    </w:div>
    <w:div w:id="1415476036">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78954045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22887335">
      <w:bodyDiv w:val="1"/>
      <w:marLeft w:val="0"/>
      <w:marRight w:val="0"/>
      <w:marTop w:val="0"/>
      <w:marBottom w:val="0"/>
      <w:divBdr>
        <w:top w:val="none" w:sz="0" w:space="0" w:color="auto"/>
        <w:left w:val="none" w:sz="0" w:space="0" w:color="auto"/>
        <w:bottom w:val="none" w:sz="0" w:space="0" w:color="auto"/>
        <w:right w:val="none" w:sz="0" w:space="0" w:color="auto"/>
      </w:divBdr>
    </w:div>
    <w:div w:id="1986156417">
      <w:bodyDiv w:val="1"/>
      <w:marLeft w:val="0"/>
      <w:marRight w:val="0"/>
      <w:marTop w:val="0"/>
      <w:marBottom w:val="0"/>
      <w:divBdr>
        <w:top w:val="none" w:sz="0" w:space="0" w:color="auto"/>
        <w:left w:val="none" w:sz="0" w:space="0" w:color="auto"/>
        <w:bottom w:val="none" w:sz="0" w:space="0" w:color="auto"/>
        <w:right w:val="none" w:sz="0" w:space="0" w:color="auto"/>
      </w:divBdr>
    </w:div>
    <w:div w:id="212306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f.gob.mx/nota_detalle.php?codigo=5492254&amp;fecha=28/07/2017"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s.curp.gob.mx/CurpSP/html/informacionecurpP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ortalanterior.ine.mx/archivos2/tutoriales/sistemas/ApoyoInstitucional/SIF/docs/candidatos/folioFiscalFactura.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43319F-1C85-4B38-9799-83A8CB2D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9719</Words>
  <Characters>53460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5</cp:revision>
  <cp:lastPrinted>2025-03-21T18:38:00Z</cp:lastPrinted>
  <dcterms:created xsi:type="dcterms:W3CDTF">2025-03-21T18:37:00Z</dcterms:created>
  <dcterms:modified xsi:type="dcterms:W3CDTF">2025-04-08T20:25:00Z</dcterms:modified>
</cp:coreProperties>
</file>