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045CA" w14:textId="77777777" w:rsidR="005B36D9" w:rsidRDefault="005B36D9">
      <w:pPr>
        <w:widowControl w:val="0"/>
        <w:pBdr>
          <w:top w:val="nil"/>
          <w:left w:val="nil"/>
          <w:bottom w:val="nil"/>
          <w:right w:val="nil"/>
          <w:between w:val="nil"/>
        </w:pBdr>
        <w:spacing w:line="276" w:lineRule="auto"/>
      </w:pPr>
      <w:bookmarkStart w:id="0" w:name="_GoBack"/>
      <w:bookmarkEnd w:id="0"/>
    </w:p>
    <w:p w14:paraId="090229C8" w14:textId="77777777" w:rsidR="005B36D9" w:rsidRDefault="005B36D9">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sdt>
      <w:sdtPr>
        <w:rPr>
          <w:lang w:val="es-ES" w:eastAsia="es-ES_tradnl"/>
        </w:rPr>
        <w:id w:val="842586350"/>
        <w:docPartObj>
          <w:docPartGallery w:val="Table of Contents"/>
          <w:docPartUnique/>
        </w:docPartObj>
      </w:sdtPr>
      <w:sdtEndPr>
        <w:rPr>
          <w:b/>
          <w:bCs/>
        </w:rPr>
      </w:sdtEndPr>
      <w:sdtContent>
        <w:p w14:paraId="3FA6C5B3" w14:textId="32AC5A98" w:rsidR="002608A0" w:rsidRPr="002608A0" w:rsidRDefault="002608A0">
          <w:pPr>
            <w:pStyle w:val="TtulodeTDC"/>
            <w:rPr>
              <w:rFonts w:ascii="Palatino Linotype" w:hAnsi="Palatino Linotype"/>
              <w:sz w:val="22"/>
              <w:szCs w:val="22"/>
            </w:rPr>
          </w:pPr>
          <w:r w:rsidRPr="002608A0">
            <w:rPr>
              <w:rFonts w:ascii="Palatino Linotype" w:hAnsi="Palatino Linotype"/>
              <w:sz w:val="22"/>
              <w:szCs w:val="22"/>
              <w:lang w:val="es-ES"/>
            </w:rPr>
            <w:t>Tabla de contenido</w:t>
          </w:r>
        </w:p>
        <w:p w14:paraId="41C1FC7B" w14:textId="6D4408F6" w:rsidR="00A90E21" w:rsidRDefault="002608A0">
          <w:pPr>
            <w:pStyle w:val="TDC1"/>
            <w:rPr>
              <w:rFonts w:asciiTheme="minorHAnsi" w:eastAsiaTheme="minorEastAsia" w:hAnsiTheme="minorHAnsi" w:cstheme="minorBidi"/>
              <w:noProof/>
              <w:sz w:val="22"/>
              <w:szCs w:val="22"/>
              <w:lang w:eastAsia="es-MX"/>
            </w:rPr>
          </w:pPr>
          <w:r w:rsidRPr="002608A0">
            <w:rPr>
              <w:rFonts w:ascii="Palatino Linotype" w:hAnsi="Palatino Linotype"/>
              <w:sz w:val="22"/>
              <w:szCs w:val="22"/>
            </w:rPr>
            <w:fldChar w:fldCharType="begin"/>
          </w:r>
          <w:r w:rsidRPr="002608A0">
            <w:rPr>
              <w:rFonts w:ascii="Palatino Linotype" w:hAnsi="Palatino Linotype"/>
              <w:sz w:val="22"/>
              <w:szCs w:val="22"/>
            </w:rPr>
            <w:instrText xml:space="preserve"> TOC \o "1-3" \h \z \u </w:instrText>
          </w:r>
          <w:r w:rsidRPr="002608A0">
            <w:rPr>
              <w:rFonts w:ascii="Palatino Linotype" w:hAnsi="Palatino Linotype"/>
              <w:sz w:val="22"/>
              <w:szCs w:val="22"/>
            </w:rPr>
            <w:fldChar w:fldCharType="separate"/>
          </w:r>
          <w:hyperlink w:anchor="_Toc205476469" w:history="1">
            <w:r w:rsidR="00A90E21" w:rsidRPr="0019463E">
              <w:rPr>
                <w:rStyle w:val="Hipervnculo"/>
                <w:noProof/>
              </w:rPr>
              <w:t>A N T E C E D E N T E S</w:t>
            </w:r>
            <w:r w:rsidR="00A90E21">
              <w:rPr>
                <w:noProof/>
                <w:webHidden/>
              </w:rPr>
              <w:tab/>
            </w:r>
            <w:r w:rsidR="00A90E21">
              <w:rPr>
                <w:noProof/>
                <w:webHidden/>
              </w:rPr>
              <w:fldChar w:fldCharType="begin"/>
            </w:r>
            <w:r w:rsidR="00A90E21">
              <w:rPr>
                <w:noProof/>
                <w:webHidden/>
              </w:rPr>
              <w:instrText xml:space="preserve"> PAGEREF _Toc205476469 \h </w:instrText>
            </w:r>
            <w:r w:rsidR="00A90E21">
              <w:rPr>
                <w:noProof/>
                <w:webHidden/>
              </w:rPr>
            </w:r>
            <w:r w:rsidR="00A90E21">
              <w:rPr>
                <w:noProof/>
                <w:webHidden/>
              </w:rPr>
              <w:fldChar w:fldCharType="separate"/>
            </w:r>
            <w:r w:rsidR="000D4FDD">
              <w:rPr>
                <w:noProof/>
                <w:webHidden/>
              </w:rPr>
              <w:t>2</w:t>
            </w:r>
            <w:r w:rsidR="00A90E21">
              <w:rPr>
                <w:noProof/>
                <w:webHidden/>
              </w:rPr>
              <w:fldChar w:fldCharType="end"/>
            </w:r>
          </w:hyperlink>
        </w:p>
        <w:p w14:paraId="49FFD8F1" w14:textId="079CAC14"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0" w:history="1">
            <w:r w:rsidR="00A90E21" w:rsidRPr="0019463E">
              <w:rPr>
                <w:rStyle w:val="Hipervnculo"/>
                <w:noProof/>
              </w:rPr>
              <w:t>I. Presentación de la solicitud de información</w:t>
            </w:r>
            <w:r w:rsidR="00A90E21">
              <w:rPr>
                <w:noProof/>
                <w:webHidden/>
              </w:rPr>
              <w:tab/>
            </w:r>
            <w:r w:rsidR="00A90E21">
              <w:rPr>
                <w:noProof/>
                <w:webHidden/>
              </w:rPr>
              <w:fldChar w:fldCharType="begin"/>
            </w:r>
            <w:r w:rsidR="00A90E21">
              <w:rPr>
                <w:noProof/>
                <w:webHidden/>
              </w:rPr>
              <w:instrText xml:space="preserve"> PAGEREF _Toc205476470 \h </w:instrText>
            </w:r>
            <w:r w:rsidR="00A90E21">
              <w:rPr>
                <w:noProof/>
                <w:webHidden/>
              </w:rPr>
            </w:r>
            <w:r w:rsidR="00A90E21">
              <w:rPr>
                <w:noProof/>
                <w:webHidden/>
              </w:rPr>
              <w:fldChar w:fldCharType="separate"/>
            </w:r>
            <w:r w:rsidR="000D4FDD">
              <w:rPr>
                <w:noProof/>
                <w:webHidden/>
              </w:rPr>
              <w:t>2</w:t>
            </w:r>
            <w:r w:rsidR="00A90E21">
              <w:rPr>
                <w:noProof/>
                <w:webHidden/>
              </w:rPr>
              <w:fldChar w:fldCharType="end"/>
            </w:r>
          </w:hyperlink>
        </w:p>
        <w:p w14:paraId="773282B8" w14:textId="3A9BDF7A"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1" w:history="1">
            <w:r w:rsidR="00A90E21" w:rsidRPr="0019463E">
              <w:rPr>
                <w:rStyle w:val="Hipervnculo"/>
                <w:noProof/>
              </w:rPr>
              <w:t>II.  Respuesta del Sujeto Obligado</w:t>
            </w:r>
            <w:r w:rsidR="00A90E21">
              <w:rPr>
                <w:noProof/>
                <w:webHidden/>
              </w:rPr>
              <w:tab/>
            </w:r>
            <w:r w:rsidR="00A90E21">
              <w:rPr>
                <w:noProof/>
                <w:webHidden/>
              </w:rPr>
              <w:fldChar w:fldCharType="begin"/>
            </w:r>
            <w:r w:rsidR="00A90E21">
              <w:rPr>
                <w:noProof/>
                <w:webHidden/>
              </w:rPr>
              <w:instrText xml:space="preserve"> PAGEREF _Toc205476471 \h </w:instrText>
            </w:r>
            <w:r w:rsidR="00A90E21">
              <w:rPr>
                <w:noProof/>
                <w:webHidden/>
              </w:rPr>
            </w:r>
            <w:r w:rsidR="00A90E21">
              <w:rPr>
                <w:noProof/>
                <w:webHidden/>
              </w:rPr>
              <w:fldChar w:fldCharType="separate"/>
            </w:r>
            <w:r w:rsidR="000D4FDD">
              <w:rPr>
                <w:noProof/>
                <w:webHidden/>
              </w:rPr>
              <w:t>3</w:t>
            </w:r>
            <w:r w:rsidR="00A90E21">
              <w:rPr>
                <w:noProof/>
                <w:webHidden/>
              </w:rPr>
              <w:fldChar w:fldCharType="end"/>
            </w:r>
          </w:hyperlink>
        </w:p>
        <w:p w14:paraId="67CDBFA2" w14:textId="0AE4050E"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2" w:history="1">
            <w:r w:rsidR="00A90E21" w:rsidRPr="0019463E">
              <w:rPr>
                <w:rStyle w:val="Hipervnculo"/>
                <w:noProof/>
              </w:rPr>
              <w:t>III. Interposición del Recurso de Revisión</w:t>
            </w:r>
            <w:r w:rsidR="00A90E21">
              <w:rPr>
                <w:noProof/>
                <w:webHidden/>
              </w:rPr>
              <w:tab/>
            </w:r>
            <w:r w:rsidR="00A90E21">
              <w:rPr>
                <w:noProof/>
                <w:webHidden/>
              </w:rPr>
              <w:fldChar w:fldCharType="begin"/>
            </w:r>
            <w:r w:rsidR="00A90E21">
              <w:rPr>
                <w:noProof/>
                <w:webHidden/>
              </w:rPr>
              <w:instrText xml:space="preserve"> PAGEREF _Toc205476472 \h </w:instrText>
            </w:r>
            <w:r w:rsidR="00A90E21">
              <w:rPr>
                <w:noProof/>
                <w:webHidden/>
              </w:rPr>
            </w:r>
            <w:r w:rsidR="00A90E21">
              <w:rPr>
                <w:noProof/>
                <w:webHidden/>
              </w:rPr>
              <w:fldChar w:fldCharType="separate"/>
            </w:r>
            <w:r w:rsidR="000D4FDD">
              <w:rPr>
                <w:noProof/>
                <w:webHidden/>
              </w:rPr>
              <w:t>3</w:t>
            </w:r>
            <w:r w:rsidR="00A90E21">
              <w:rPr>
                <w:noProof/>
                <w:webHidden/>
              </w:rPr>
              <w:fldChar w:fldCharType="end"/>
            </w:r>
          </w:hyperlink>
        </w:p>
        <w:p w14:paraId="5B3D8E2E" w14:textId="44468F2C"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3" w:history="1">
            <w:r w:rsidR="00A90E21" w:rsidRPr="0019463E">
              <w:rPr>
                <w:rStyle w:val="Hipervnculo"/>
                <w:noProof/>
              </w:rPr>
              <w:t>IV. Trámite del Recurso de Revisión ante el Instituto</w:t>
            </w:r>
            <w:r w:rsidR="00A90E21">
              <w:rPr>
                <w:noProof/>
                <w:webHidden/>
              </w:rPr>
              <w:tab/>
            </w:r>
            <w:r w:rsidR="00A90E21">
              <w:rPr>
                <w:noProof/>
                <w:webHidden/>
              </w:rPr>
              <w:fldChar w:fldCharType="begin"/>
            </w:r>
            <w:r w:rsidR="00A90E21">
              <w:rPr>
                <w:noProof/>
                <w:webHidden/>
              </w:rPr>
              <w:instrText xml:space="preserve"> PAGEREF _Toc205476473 \h </w:instrText>
            </w:r>
            <w:r w:rsidR="00A90E21">
              <w:rPr>
                <w:noProof/>
                <w:webHidden/>
              </w:rPr>
            </w:r>
            <w:r w:rsidR="00A90E21">
              <w:rPr>
                <w:noProof/>
                <w:webHidden/>
              </w:rPr>
              <w:fldChar w:fldCharType="separate"/>
            </w:r>
            <w:r w:rsidR="000D4FDD">
              <w:rPr>
                <w:noProof/>
                <w:webHidden/>
              </w:rPr>
              <w:t>4</w:t>
            </w:r>
            <w:r w:rsidR="00A90E21">
              <w:rPr>
                <w:noProof/>
                <w:webHidden/>
              </w:rPr>
              <w:fldChar w:fldCharType="end"/>
            </w:r>
          </w:hyperlink>
        </w:p>
        <w:p w14:paraId="63845CDD" w14:textId="3577E14B" w:rsidR="00A90E21" w:rsidRDefault="00FB7AB2">
          <w:pPr>
            <w:pStyle w:val="TDC1"/>
            <w:rPr>
              <w:rFonts w:asciiTheme="minorHAnsi" w:eastAsiaTheme="minorEastAsia" w:hAnsiTheme="minorHAnsi" w:cstheme="minorBidi"/>
              <w:noProof/>
              <w:sz w:val="22"/>
              <w:szCs w:val="22"/>
              <w:lang w:eastAsia="es-MX"/>
            </w:rPr>
          </w:pPr>
          <w:hyperlink w:anchor="_Toc205476474" w:history="1">
            <w:r w:rsidR="00A90E21" w:rsidRPr="0019463E">
              <w:rPr>
                <w:rStyle w:val="Hipervnculo"/>
                <w:noProof/>
              </w:rPr>
              <w:t>C O N S I D E R A N D O S</w:t>
            </w:r>
            <w:r w:rsidR="00A90E21">
              <w:rPr>
                <w:noProof/>
                <w:webHidden/>
              </w:rPr>
              <w:tab/>
            </w:r>
            <w:r w:rsidR="00A90E21">
              <w:rPr>
                <w:noProof/>
                <w:webHidden/>
              </w:rPr>
              <w:fldChar w:fldCharType="begin"/>
            </w:r>
            <w:r w:rsidR="00A90E21">
              <w:rPr>
                <w:noProof/>
                <w:webHidden/>
              </w:rPr>
              <w:instrText xml:space="preserve"> PAGEREF _Toc205476474 \h </w:instrText>
            </w:r>
            <w:r w:rsidR="00A90E21">
              <w:rPr>
                <w:noProof/>
                <w:webHidden/>
              </w:rPr>
            </w:r>
            <w:r w:rsidR="00A90E21">
              <w:rPr>
                <w:noProof/>
                <w:webHidden/>
              </w:rPr>
              <w:fldChar w:fldCharType="separate"/>
            </w:r>
            <w:r w:rsidR="000D4FDD">
              <w:rPr>
                <w:noProof/>
                <w:webHidden/>
              </w:rPr>
              <w:t>6</w:t>
            </w:r>
            <w:r w:rsidR="00A90E21">
              <w:rPr>
                <w:noProof/>
                <w:webHidden/>
              </w:rPr>
              <w:fldChar w:fldCharType="end"/>
            </w:r>
          </w:hyperlink>
        </w:p>
        <w:p w14:paraId="67EB888A" w14:textId="61C1DE4D"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5" w:history="1">
            <w:r w:rsidR="00A90E21" w:rsidRPr="0019463E">
              <w:rPr>
                <w:rStyle w:val="Hipervnculo"/>
                <w:noProof/>
              </w:rPr>
              <w:t>PRIMERO. Competencia</w:t>
            </w:r>
            <w:r w:rsidR="00A90E21">
              <w:rPr>
                <w:noProof/>
                <w:webHidden/>
              </w:rPr>
              <w:tab/>
            </w:r>
            <w:r w:rsidR="00A90E21">
              <w:rPr>
                <w:noProof/>
                <w:webHidden/>
              </w:rPr>
              <w:fldChar w:fldCharType="begin"/>
            </w:r>
            <w:r w:rsidR="00A90E21">
              <w:rPr>
                <w:noProof/>
                <w:webHidden/>
              </w:rPr>
              <w:instrText xml:space="preserve"> PAGEREF _Toc205476475 \h </w:instrText>
            </w:r>
            <w:r w:rsidR="00A90E21">
              <w:rPr>
                <w:noProof/>
                <w:webHidden/>
              </w:rPr>
            </w:r>
            <w:r w:rsidR="00A90E21">
              <w:rPr>
                <w:noProof/>
                <w:webHidden/>
              </w:rPr>
              <w:fldChar w:fldCharType="separate"/>
            </w:r>
            <w:r w:rsidR="000D4FDD">
              <w:rPr>
                <w:noProof/>
                <w:webHidden/>
              </w:rPr>
              <w:t>6</w:t>
            </w:r>
            <w:r w:rsidR="00A90E21">
              <w:rPr>
                <w:noProof/>
                <w:webHidden/>
              </w:rPr>
              <w:fldChar w:fldCharType="end"/>
            </w:r>
          </w:hyperlink>
        </w:p>
        <w:p w14:paraId="51E1F272" w14:textId="16F6B54E"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6" w:history="1">
            <w:r w:rsidR="00A90E21" w:rsidRPr="0019463E">
              <w:rPr>
                <w:rStyle w:val="Hipervnculo"/>
                <w:noProof/>
              </w:rPr>
              <w:t>SEGUNDO. Causales de improcedencia</w:t>
            </w:r>
            <w:r w:rsidR="00A90E21">
              <w:rPr>
                <w:noProof/>
                <w:webHidden/>
              </w:rPr>
              <w:tab/>
            </w:r>
            <w:r w:rsidR="00A90E21">
              <w:rPr>
                <w:noProof/>
                <w:webHidden/>
              </w:rPr>
              <w:fldChar w:fldCharType="begin"/>
            </w:r>
            <w:r w:rsidR="00A90E21">
              <w:rPr>
                <w:noProof/>
                <w:webHidden/>
              </w:rPr>
              <w:instrText xml:space="preserve"> PAGEREF _Toc205476476 \h </w:instrText>
            </w:r>
            <w:r w:rsidR="00A90E21">
              <w:rPr>
                <w:noProof/>
                <w:webHidden/>
              </w:rPr>
            </w:r>
            <w:r w:rsidR="00A90E21">
              <w:rPr>
                <w:noProof/>
                <w:webHidden/>
              </w:rPr>
              <w:fldChar w:fldCharType="separate"/>
            </w:r>
            <w:r w:rsidR="000D4FDD">
              <w:rPr>
                <w:noProof/>
                <w:webHidden/>
              </w:rPr>
              <w:t>6</w:t>
            </w:r>
            <w:r w:rsidR="00A90E21">
              <w:rPr>
                <w:noProof/>
                <w:webHidden/>
              </w:rPr>
              <w:fldChar w:fldCharType="end"/>
            </w:r>
          </w:hyperlink>
        </w:p>
        <w:p w14:paraId="641ED0DC" w14:textId="497940F0"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7" w:history="1">
            <w:r w:rsidR="00A90E21" w:rsidRPr="0019463E">
              <w:rPr>
                <w:rStyle w:val="Hipervnculo"/>
                <w:noProof/>
              </w:rPr>
              <w:t>TERCERO. Causales de sobreseimiento</w:t>
            </w:r>
            <w:r w:rsidR="00A90E21">
              <w:rPr>
                <w:noProof/>
                <w:webHidden/>
              </w:rPr>
              <w:tab/>
            </w:r>
            <w:r w:rsidR="00A90E21">
              <w:rPr>
                <w:noProof/>
                <w:webHidden/>
              </w:rPr>
              <w:fldChar w:fldCharType="begin"/>
            </w:r>
            <w:r w:rsidR="00A90E21">
              <w:rPr>
                <w:noProof/>
                <w:webHidden/>
              </w:rPr>
              <w:instrText xml:space="preserve"> PAGEREF _Toc205476477 \h </w:instrText>
            </w:r>
            <w:r w:rsidR="00A90E21">
              <w:rPr>
                <w:noProof/>
                <w:webHidden/>
              </w:rPr>
            </w:r>
            <w:r w:rsidR="00A90E21">
              <w:rPr>
                <w:noProof/>
                <w:webHidden/>
              </w:rPr>
              <w:fldChar w:fldCharType="separate"/>
            </w:r>
            <w:r w:rsidR="000D4FDD">
              <w:rPr>
                <w:noProof/>
                <w:webHidden/>
              </w:rPr>
              <w:t>8</w:t>
            </w:r>
            <w:r w:rsidR="00A90E21">
              <w:rPr>
                <w:noProof/>
                <w:webHidden/>
              </w:rPr>
              <w:fldChar w:fldCharType="end"/>
            </w:r>
          </w:hyperlink>
        </w:p>
        <w:p w14:paraId="0D3F72C6" w14:textId="31DDED36" w:rsidR="00A90E21" w:rsidRDefault="00FB7AB2">
          <w:pPr>
            <w:pStyle w:val="TDC2"/>
            <w:tabs>
              <w:tab w:val="right" w:leader="dot" w:pos="9034"/>
            </w:tabs>
            <w:rPr>
              <w:rFonts w:asciiTheme="minorHAnsi" w:eastAsiaTheme="minorEastAsia" w:hAnsiTheme="minorHAnsi" w:cstheme="minorBidi"/>
              <w:noProof/>
              <w:sz w:val="22"/>
              <w:szCs w:val="22"/>
              <w:lang w:eastAsia="es-MX"/>
            </w:rPr>
          </w:pPr>
          <w:hyperlink w:anchor="_Toc205476478" w:history="1">
            <w:r w:rsidR="00A90E21" w:rsidRPr="0019463E">
              <w:rPr>
                <w:rStyle w:val="Hipervnculo"/>
                <w:noProof/>
              </w:rPr>
              <w:t>CUARTO. Decisión</w:t>
            </w:r>
            <w:r w:rsidR="00A90E21">
              <w:rPr>
                <w:noProof/>
                <w:webHidden/>
              </w:rPr>
              <w:tab/>
            </w:r>
            <w:r w:rsidR="00A90E21">
              <w:rPr>
                <w:noProof/>
                <w:webHidden/>
              </w:rPr>
              <w:fldChar w:fldCharType="begin"/>
            </w:r>
            <w:r w:rsidR="00A90E21">
              <w:rPr>
                <w:noProof/>
                <w:webHidden/>
              </w:rPr>
              <w:instrText xml:space="preserve"> PAGEREF _Toc205476478 \h </w:instrText>
            </w:r>
            <w:r w:rsidR="00A90E21">
              <w:rPr>
                <w:noProof/>
                <w:webHidden/>
              </w:rPr>
            </w:r>
            <w:r w:rsidR="00A90E21">
              <w:rPr>
                <w:noProof/>
                <w:webHidden/>
              </w:rPr>
              <w:fldChar w:fldCharType="separate"/>
            </w:r>
            <w:r w:rsidR="000D4FDD">
              <w:rPr>
                <w:noProof/>
                <w:webHidden/>
              </w:rPr>
              <w:t>18</w:t>
            </w:r>
            <w:r w:rsidR="00A90E21">
              <w:rPr>
                <w:noProof/>
                <w:webHidden/>
              </w:rPr>
              <w:fldChar w:fldCharType="end"/>
            </w:r>
          </w:hyperlink>
        </w:p>
        <w:p w14:paraId="5622CA27" w14:textId="6019B7C7" w:rsidR="00A90E21" w:rsidRDefault="00FB7AB2">
          <w:pPr>
            <w:pStyle w:val="TDC1"/>
            <w:rPr>
              <w:rFonts w:asciiTheme="minorHAnsi" w:eastAsiaTheme="minorEastAsia" w:hAnsiTheme="minorHAnsi" w:cstheme="minorBidi"/>
              <w:noProof/>
              <w:sz w:val="22"/>
              <w:szCs w:val="22"/>
              <w:lang w:eastAsia="es-MX"/>
            </w:rPr>
          </w:pPr>
          <w:hyperlink w:anchor="_Toc205476479" w:history="1">
            <w:r w:rsidR="00A90E21" w:rsidRPr="0019463E">
              <w:rPr>
                <w:rStyle w:val="Hipervnculo"/>
                <w:noProof/>
              </w:rPr>
              <w:t>R E S U E L V E</w:t>
            </w:r>
            <w:r w:rsidR="00A90E21">
              <w:rPr>
                <w:noProof/>
                <w:webHidden/>
              </w:rPr>
              <w:tab/>
            </w:r>
            <w:r w:rsidR="00A90E21">
              <w:rPr>
                <w:noProof/>
                <w:webHidden/>
              </w:rPr>
              <w:fldChar w:fldCharType="begin"/>
            </w:r>
            <w:r w:rsidR="00A90E21">
              <w:rPr>
                <w:noProof/>
                <w:webHidden/>
              </w:rPr>
              <w:instrText xml:space="preserve"> PAGEREF _Toc205476479 \h </w:instrText>
            </w:r>
            <w:r w:rsidR="00A90E21">
              <w:rPr>
                <w:noProof/>
                <w:webHidden/>
              </w:rPr>
            </w:r>
            <w:r w:rsidR="00A90E21">
              <w:rPr>
                <w:noProof/>
                <w:webHidden/>
              </w:rPr>
              <w:fldChar w:fldCharType="separate"/>
            </w:r>
            <w:r w:rsidR="000D4FDD">
              <w:rPr>
                <w:noProof/>
                <w:webHidden/>
              </w:rPr>
              <w:t>19</w:t>
            </w:r>
            <w:r w:rsidR="00A90E21">
              <w:rPr>
                <w:noProof/>
                <w:webHidden/>
              </w:rPr>
              <w:fldChar w:fldCharType="end"/>
            </w:r>
          </w:hyperlink>
        </w:p>
        <w:p w14:paraId="7BFB4249" w14:textId="172CF47F" w:rsidR="002608A0" w:rsidRDefault="002608A0">
          <w:r w:rsidRPr="002608A0">
            <w:rPr>
              <w:rFonts w:ascii="Palatino Linotype" w:hAnsi="Palatino Linotype"/>
              <w:b/>
              <w:bCs/>
              <w:sz w:val="22"/>
              <w:szCs w:val="22"/>
              <w:lang w:val="es-ES"/>
            </w:rPr>
            <w:fldChar w:fldCharType="end"/>
          </w:r>
        </w:p>
      </w:sdtContent>
    </w:sdt>
    <w:p w14:paraId="1DA8D2D8" w14:textId="77777777" w:rsidR="005B36D9" w:rsidRDefault="002608A0">
      <w:pPr>
        <w:spacing w:line="360" w:lineRule="auto"/>
        <w:jc w:val="both"/>
        <w:rPr>
          <w:rFonts w:ascii="Palatino Linotype" w:eastAsia="Palatino Linotype" w:hAnsi="Palatino Linotype" w:cs="Palatino Linotype"/>
          <w:color w:val="000000"/>
          <w:sz w:val="22"/>
          <w:szCs w:val="22"/>
        </w:rPr>
      </w:pPr>
      <w:r>
        <w:br w:type="column"/>
      </w:r>
    </w:p>
    <w:p w14:paraId="70AD75A4" w14:textId="77777777"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seis de agosto de dos mil veinticinco. </w:t>
      </w:r>
    </w:p>
    <w:p w14:paraId="4987183A" w14:textId="77777777" w:rsidR="005B36D9" w:rsidRDefault="005B36D9">
      <w:pPr>
        <w:spacing w:line="360" w:lineRule="auto"/>
        <w:ind w:left="708" w:hanging="708"/>
        <w:jc w:val="both"/>
        <w:rPr>
          <w:rFonts w:ascii="Palatino Linotype" w:eastAsia="Palatino Linotype" w:hAnsi="Palatino Linotype" w:cs="Palatino Linotype"/>
          <w:color w:val="000000"/>
          <w:sz w:val="22"/>
          <w:szCs w:val="22"/>
        </w:rPr>
      </w:pPr>
    </w:p>
    <w:p w14:paraId="5EB94874" w14:textId="0E2E5962"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9A44E2">
        <w:rPr>
          <w:rFonts w:ascii="Palatino Linotype" w:eastAsia="Palatino Linotype" w:hAnsi="Palatino Linotype" w:cs="Palatino Linotype"/>
          <w:b/>
          <w:color w:val="000000"/>
          <w:sz w:val="22"/>
          <w:szCs w:val="22"/>
        </w:rPr>
        <w:t>06191/INFOEM/IP/RR/2025</w:t>
      </w:r>
      <w:r w:rsidRPr="00B12164">
        <w:rPr>
          <w:rFonts w:ascii="Palatino Linotype" w:eastAsia="Palatino Linotype" w:hAnsi="Palatino Linotype" w:cs="Palatino Linotype"/>
          <w:bCs/>
          <w:color w:val="000000"/>
          <w:sz w:val="22"/>
          <w:szCs w:val="22"/>
        </w:rPr>
        <w:t xml:space="preserve">, interpuesto por </w:t>
      </w:r>
      <w:r w:rsidR="00FB7AB2">
        <w:rPr>
          <w:b/>
          <w:highlight w:val="black"/>
        </w:rPr>
        <w:t>XXXXXXXXXXXXXXXXXXXX</w:t>
      </w:r>
      <w:r w:rsidRPr="00B12164">
        <w:rPr>
          <w:rFonts w:ascii="Palatino Linotype" w:eastAsia="Palatino Linotype" w:hAnsi="Palatino Linotype" w:cs="Palatino Linotype"/>
          <w:bCs/>
          <w:color w:val="000000"/>
          <w:sz w:val="22"/>
          <w:szCs w:val="22"/>
        </w:rPr>
        <w:t xml:space="preserve">, en lo sucesivo persona </w:t>
      </w:r>
      <w:r w:rsidRPr="00B12164">
        <w:rPr>
          <w:rFonts w:ascii="Palatino Linotype" w:eastAsia="Palatino Linotype" w:hAnsi="Palatino Linotype" w:cs="Palatino Linotype"/>
          <w:bCs/>
          <w:color w:val="0D0D0D"/>
          <w:sz w:val="22"/>
          <w:szCs w:val="22"/>
        </w:rPr>
        <w:t>Recurrente o Particular</w:t>
      </w:r>
      <w:r w:rsidRPr="00B12164">
        <w:rPr>
          <w:rFonts w:ascii="Palatino Linotype" w:eastAsia="Palatino Linotype" w:hAnsi="Palatino Linotype" w:cs="Palatino Linotype"/>
          <w:bCs/>
          <w:color w:val="000000"/>
          <w:sz w:val="22"/>
          <w:szCs w:val="22"/>
        </w:rPr>
        <w:t>, en contra de la falta de respuesta del Sujeto Obligado</w:t>
      </w:r>
      <w:r w:rsidRPr="009A44E2">
        <w:rPr>
          <w:rFonts w:ascii="Palatino Linotype" w:eastAsia="Palatino Linotype" w:hAnsi="Palatino Linotype" w:cs="Palatino Linotype"/>
          <w:b/>
          <w:color w:val="000000"/>
          <w:sz w:val="22"/>
          <w:szCs w:val="22"/>
        </w:rPr>
        <w:t xml:space="preserve">, </w:t>
      </w:r>
      <w:r w:rsidRPr="009A44E2">
        <w:rPr>
          <w:rFonts w:ascii="Palatino Linotype" w:eastAsia="Palatino Linotype" w:hAnsi="Palatino Linotype" w:cs="Palatino Linotype"/>
          <w:b/>
          <w:sz w:val="22"/>
          <w:szCs w:val="22"/>
        </w:rPr>
        <w:t xml:space="preserve">Sistema Municipal para el Desarrollo Integral de la Familia de Temamatla, </w:t>
      </w:r>
      <w:r>
        <w:rPr>
          <w:rFonts w:ascii="Palatino Linotype" w:eastAsia="Palatino Linotype" w:hAnsi="Palatino Linotype" w:cs="Palatino Linotype"/>
          <w:color w:val="000000"/>
          <w:sz w:val="22"/>
          <w:szCs w:val="22"/>
        </w:rPr>
        <w:t>se emite la presente Resolución, con base en los antecedentes y considerandos que se exponen a continuación:</w:t>
      </w:r>
    </w:p>
    <w:p w14:paraId="051D6CC0" w14:textId="77777777" w:rsidR="005B36D9" w:rsidRDefault="005B36D9">
      <w:pPr>
        <w:pStyle w:val="Subttulo"/>
        <w:spacing w:after="0" w:line="360" w:lineRule="auto"/>
        <w:rPr>
          <w:rFonts w:ascii="Palatino Linotype" w:eastAsia="Palatino Linotype" w:hAnsi="Palatino Linotype" w:cs="Palatino Linotype"/>
        </w:rPr>
      </w:pPr>
    </w:p>
    <w:p w14:paraId="54E1B6B9" w14:textId="77777777" w:rsidR="005B36D9" w:rsidRDefault="002608A0">
      <w:pPr>
        <w:pStyle w:val="Ttulo1"/>
      </w:pPr>
      <w:bookmarkStart w:id="1" w:name="_heading=h.9dus0q8nj9i5" w:colFirst="0" w:colLast="0"/>
      <w:bookmarkStart w:id="2" w:name="_Toc205476469"/>
      <w:bookmarkEnd w:id="1"/>
      <w:r>
        <w:t>A N T E C E D E N T E S</w:t>
      </w:r>
      <w:bookmarkEnd w:id="2"/>
    </w:p>
    <w:p w14:paraId="722BC127" w14:textId="77777777" w:rsidR="005B36D9" w:rsidRDefault="005B36D9">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139DEF3B" w14:textId="77777777" w:rsidR="005B36D9" w:rsidRDefault="002608A0">
      <w:pPr>
        <w:pStyle w:val="Ttulo2"/>
      </w:pPr>
      <w:bookmarkStart w:id="3" w:name="_heading=h.wapyhzdhz70z" w:colFirst="0" w:colLast="0"/>
      <w:bookmarkStart w:id="4" w:name="_Toc205476470"/>
      <w:bookmarkEnd w:id="3"/>
      <w:r>
        <w:t>I. Presentación de la solicitud de información</w:t>
      </w:r>
      <w:bookmarkEnd w:id="4"/>
    </w:p>
    <w:p w14:paraId="2CEF59DD" w14:textId="77777777" w:rsidR="005B36D9" w:rsidRDefault="005B36D9">
      <w:pPr>
        <w:tabs>
          <w:tab w:val="left" w:pos="567"/>
        </w:tabs>
        <w:spacing w:line="360" w:lineRule="auto"/>
        <w:jc w:val="both"/>
        <w:rPr>
          <w:rFonts w:ascii="Palatino Linotype" w:eastAsia="Palatino Linotype" w:hAnsi="Palatino Linotype" w:cs="Palatino Linotype"/>
          <w:sz w:val="22"/>
          <w:szCs w:val="22"/>
        </w:rPr>
      </w:pPr>
    </w:p>
    <w:p w14:paraId="75574C4C"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seis de mayo de dos mil veinticinco</w:t>
      </w:r>
      <w:r>
        <w:rPr>
          <w:rFonts w:ascii="Palatino Linotype" w:eastAsia="Palatino Linotype" w:hAnsi="Palatino Linotype" w:cs="Palatino Linotype"/>
          <w:sz w:val="22"/>
          <w:szCs w:val="22"/>
        </w:rPr>
        <w:t>, el Particular presentó una solicitud de acceso a la información pública, a través del Sistema de Acceso a la Información Mexiquense, en lo sucesivo el SAIMEX, ante el Sistema Municipal para el Desarrollo Integral de la Familia de Temamatla, en los siguientes términos:</w:t>
      </w:r>
    </w:p>
    <w:p w14:paraId="3116F7B8"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592A2E46" w14:textId="77777777" w:rsidR="005B36D9" w:rsidRDefault="002608A0">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Folio de la solicitud: 00028/DIFTEMAMATLA/IP/2025</w:t>
      </w:r>
    </w:p>
    <w:p w14:paraId="423E2ADE" w14:textId="77777777" w:rsidR="005B36D9" w:rsidRDefault="002608A0">
      <w:pPr>
        <w:tabs>
          <w:tab w:val="left" w:pos="567"/>
        </w:tabs>
        <w:spacing w:line="360" w:lineRule="auto"/>
        <w:ind w:left="567" w:right="709"/>
        <w:jc w:val="both"/>
        <w:rPr>
          <w:rFonts w:ascii="Palatino Linotype" w:eastAsia="Palatino Linotype" w:hAnsi="Palatino Linotype" w:cs="Palatino Linotype"/>
          <w:b/>
        </w:rPr>
      </w:pPr>
      <w:r>
        <w:rPr>
          <w:rFonts w:ascii="Palatino Linotype" w:eastAsia="Palatino Linotype" w:hAnsi="Palatino Linotype" w:cs="Palatino Linotype"/>
          <w:b/>
        </w:rPr>
        <w:t>DESCRIPCIÓN CLARA Y PRECISA DE LA INFORMACIÓN SOLICITADA</w:t>
      </w:r>
    </w:p>
    <w:p w14:paraId="65FF4EA7" w14:textId="77777777" w:rsidR="005B36D9" w:rsidRDefault="002608A0">
      <w:pPr>
        <w:tabs>
          <w:tab w:val="left" w:pos="4667"/>
        </w:tabs>
        <w:spacing w:line="360"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“Quiero saber el </w:t>
      </w:r>
      <w:proofErr w:type="spellStart"/>
      <w:r>
        <w:rPr>
          <w:rFonts w:ascii="Palatino Linotype" w:eastAsia="Palatino Linotype" w:hAnsi="Palatino Linotype" w:cs="Palatino Linotype"/>
          <w:i/>
        </w:rPr>
        <w:t>porque</w:t>
      </w:r>
      <w:proofErr w:type="spellEnd"/>
      <w:r>
        <w:rPr>
          <w:rFonts w:ascii="Palatino Linotype" w:eastAsia="Palatino Linotype" w:hAnsi="Palatino Linotype" w:cs="Palatino Linotype"/>
          <w:i/>
        </w:rPr>
        <w:t xml:space="preserve"> la presidenta del SMDIF Temamatla es honorífica.” (Sic.)</w:t>
      </w:r>
    </w:p>
    <w:p w14:paraId="0E794BDD" w14:textId="77777777" w:rsidR="005B36D9" w:rsidRDefault="005B36D9">
      <w:pPr>
        <w:tabs>
          <w:tab w:val="left" w:pos="4667"/>
        </w:tabs>
        <w:spacing w:line="360" w:lineRule="auto"/>
        <w:ind w:left="567" w:right="709"/>
        <w:jc w:val="both"/>
        <w:rPr>
          <w:rFonts w:ascii="Palatino Linotype" w:eastAsia="Palatino Linotype" w:hAnsi="Palatino Linotype" w:cs="Palatino Linotype"/>
          <w:b/>
        </w:rPr>
      </w:pPr>
    </w:p>
    <w:p w14:paraId="29A035C9" w14:textId="6A2791D4" w:rsidR="005B36D9" w:rsidRPr="00B12164" w:rsidRDefault="002608A0" w:rsidP="00B12164">
      <w:pPr>
        <w:tabs>
          <w:tab w:val="left" w:pos="4667"/>
        </w:tabs>
        <w:spacing w:line="360" w:lineRule="auto"/>
        <w:ind w:left="567" w:right="70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MODALIDAD DE ENTREGA </w:t>
      </w:r>
      <w:r>
        <w:rPr>
          <w:rFonts w:ascii="Palatino Linotype" w:eastAsia="Palatino Linotype" w:hAnsi="Palatino Linotype" w:cs="Palatino Linotype"/>
          <w:i/>
        </w:rPr>
        <w:t>“A través del SAIMEX.”</w:t>
      </w:r>
    </w:p>
    <w:p w14:paraId="023C25EF" w14:textId="77777777" w:rsidR="005B36D9" w:rsidRDefault="002608A0">
      <w:pPr>
        <w:pStyle w:val="Ttulo2"/>
      </w:pPr>
      <w:bookmarkStart w:id="5" w:name="_heading=h.rceuyua14hln" w:colFirst="0" w:colLast="0"/>
      <w:bookmarkStart w:id="6" w:name="_Toc205476471"/>
      <w:bookmarkEnd w:id="5"/>
      <w:r>
        <w:t>II.  Respuesta del Sujeto Obligado</w:t>
      </w:r>
      <w:bookmarkEnd w:id="6"/>
    </w:p>
    <w:p w14:paraId="5887E0FE"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6FCF5FB1" w14:textId="77777777"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14:paraId="0196FDF8" w14:textId="77777777"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sz w:val="22"/>
          <w:szCs w:val="22"/>
        </w:rPr>
        <w:t xml:space="preserve"> Sistema Municipal para el Desarrollo Integral de la Familia de Temamatla</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1899BF87"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5D556CDE" w14:textId="77777777" w:rsidR="005B36D9" w:rsidRDefault="002608A0">
      <w:pPr>
        <w:pStyle w:val="Ttulo2"/>
      </w:pPr>
      <w:bookmarkStart w:id="7" w:name="_heading=h.56pc13xshifx" w:colFirst="0" w:colLast="0"/>
      <w:bookmarkStart w:id="8" w:name="_Toc205476472"/>
      <w:bookmarkEnd w:id="7"/>
      <w:r>
        <w:t>III. Interposición del Recurso de Revisión</w:t>
      </w:r>
      <w:bookmarkEnd w:id="8"/>
    </w:p>
    <w:p w14:paraId="313E6949" w14:textId="77777777" w:rsidR="005B36D9" w:rsidRDefault="005B36D9">
      <w:pPr>
        <w:spacing w:line="360" w:lineRule="auto"/>
        <w:jc w:val="both"/>
        <w:rPr>
          <w:rFonts w:ascii="Palatino Linotype" w:eastAsia="Palatino Linotype" w:hAnsi="Palatino Linotype" w:cs="Palatino Linotype"/>
          <w:b/>
          <w:color w:val="000000"/>
          <w:sz w:val="22"/>
          <w:szCs w:val="22"/>
        </w:rPr>
      </w:pPr>
    </w:p>
    <w:p w14:paraId="4259F594"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veintinueve de mayo de dos mil veinticinco, la parte Recurrente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102F035D"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76A0BD08" w14:textId="77777777" w:rsidR="005B36D9" w:rsidRDefault="002608A0">
      <w:pP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ACTO IMPUGNADO</w:t>
      </w:r>
    </w:p>
    <w:p w14:paraId="0F80C93B" w14:textId="77777777" w:rsidR="005B36D9" w:rsidRDefault="002608A0">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he recibido una respuesta”</w:t>
      </w:r>
    </w:p>
    <w:p w14:paraId="5AB49082" w14:textId="77777777" w:rsidR="005B36D9" w:rsidRDefault="005B36D9">
      <w:pPr>
        <w:spacing w:line="360" w:lineRule="auto"/>
        <w:ind w:right="567"/>
        <w:jc w:val="both"/>
        <w:rPr>
          <w:rFonts w:ascii="Palatino Linotype" w:eastAsia="Palatino Linotype" w:hAnsi="Palatino Linotype" w:cs="Palatino Linotype"/>
          <w:i/>
          <w:color w:val="000000"/>
        </w:rPr>
      </w:pPr>
    </w:p>
    <w:p w14:paraId="5C18AE48" w14:textId="77777777" w:rsidR="005B36D9" w:rsidRDefault="002608A0">
      <w:pPr>
        <w:spacing w:line="360" w:lineRule="auto"/>
        <w:ind w:left="567" w:right="567"/>
        <w:rPr>
          <w:rFonts w:ascii="Palatino Linotype" w:eastAsia="Palatino Linotype" w:hAnsi="Palatino Linotype" w:cs="Palatino Linotype"/>
          <w:b/>
          <w:i/>
        </w:rPr>
      </w:pPr>
      <w:r>
        <w:rPr>
          <w:rFonts w:ascii="Palatino Linotype" w:eastAsia="Palatino Linotype" w:hAnsi="Palatino Linotype" w:cs="Palatino Linotype"/>
          <w:b/>
        </w:rPr>
        <w:t>RAZONES O MOTIVOS DE LA INCONFORMIDAD</w:t>
      </w:r>
    </w:p>
    <w:p w14:paraId="39E2DEF1" w14:textId="77777777" w:rsidR="005B36D9" w:rsidRDefault="002608A0">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 xml:space="preserve">“No he recibido una respuesta” </w:t>
      </w:r>
    </w:p>
    <w:p w14:paraId="4F8F94C6" w14:textId="77777777" w:rsidR="005B36D9" w:rsidRDefault="005B36D9">
      <w:pPr>
        <w:spacing w:line="360" w:lineRule="auto"/>
        <w:ind w:left="567" w:right="567"/>
        <w:rPr>
          <w:rFonts w:ascii="Palatino Linotype" w:eastAsia="Palatino Linotype" w:hAnsi="Palatino Linotype" w:cs="Palatino Linotype"/>
          <w:i/>
          <w:color w:val="000000"/>
          <w:sz w:val="22"/>
          <w:szCs w:val="22"/>
        </w:rPr>
      </w:pPr>
    </w:p>
    <w:p w14:paraId="524B45DF" w14:textId="77777777" w:rsidR="005B36D9" w:rsidRDefault="002608A0">
      <w:pPr>
        <w:pStyle w:val="Ttulo2"/>
      </w:pPr>
      <w:bookmarkStart w:id="9" w:name="_heading=h.ar7ie1xs24gr" w:colFirst="0" w:colLast="0"/>
      <w:bookmarkStart w:id="10" w:name="_Toc205476473"/>
      <w:bookmarkEnd w:id="9"/>
      <w:r>
        <w:lastRenderedPageBreak/>
        <w:t>IV. Trámite del Recurso de Revisión ante el Instituto</w:t>
      </w:r>
      <w:bookmarkEnd w:id="10"/>
    </w:p>
    <w:p w14:paraId="2CC462F7" w14:textId="77777777" w:rsidR="005B36D9" w:rsidRDefault="005B36D9">
      <w:pPr>
        <w:spacing w:line="360" w:lineRule="auto"/>
        <w:jc w:val="both"/>
        <w:rPr>
          <w:rFonts w:ascii="Palatino Linotype" w:eastAsia="Palatino Linotype" w:hAnsi="Palatino Linotype" w:cs="Palatino Linotype"/>
          <w:b/>
          <w:color w:val="000000"/>
          <w:sz w:val="22"/>
          <w:szCs w:val="22"/>
        </w:rPr>
      </w:pPr>
    </w:p>
    <w:p w14:paraId="0515673D" w14:textId="77777777"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veintinueve de mayo de dos mil veinticinco, el Sistema de Acceso a la Información Mexiquense (SAIMEX), asignó el número de expediente </w:t>
      </w:r>
      <w:r>
        <w:rPr>
          <w:rFonts w:ascii="Palatino Linotype" w:eastAsia="Palatino Linotype" w:hAnsi="Palatino Linotype" w:cs="Palatino Linotype"/>
          <w:b/>
          <w:color w:val="000000"/>
          <w:sz w:val="22"/>
          <w:szCs w:val="22"/>
        </w:rPr>
        <w:t>06191/INFOEM/IP/RR/2025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12649E8" w14:textId="77777777" w:rsidR="005B36D9" w:rsidRDefault="005B36D9">
      <w:pPr>
        <w:spacing w:line="360" w:lineRule="auto"/>
        <w:jc w:val="both"/>
        <w:rPr>
          <w:rFonts w:ascii="Palatino Linotype" w:eastAsia="Palatino Linotype" w:hAnsi="Palatino Linotype" w:cs="Palatino Linotype"/>
          <w:b/>
          <w:color w:val="000000"/>
          <w:sz w:val="22"/>
          <w:szCs w:val="22"/>
        </w:rPr>
      </w:pPr>
    </w:p>
    <w:p w14:paraId="54EE0C57" w14:textId="77777777"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b) Admisión del Recurso de Revisión. </w:t>
      </w:r>
      <w:r>
        <w:rPr>
          <w:rFonts w:ascii="Palatino Linotype" w:eastAsia="Palatino Linotype" w:hAnsi="Palatino Linotype" w:cs="Palatino Linotype"/>
          <w:color w:val="000000"/>
          <w:sz w:val="22"/>
          <w:szCs w:val="22"/>
        </w:rPr>
        <w:t>El tres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seis del mismo mes y año, a través del Sistema de Acceso a la Información Mexiquense (SAIMEX), en el que se les otorgó un plazo de siete días hábiles posteriores a la misma, para que manifestaran lo que a su derecho conviniera y formularan alegatos.</w:t>
      </w:r>
    </w:p>
    <w:p w14:paraId="4B5C5540"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303F4474"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 xml:space="preserve">Informe Justificado. </w:t>
      </w:r>
      <w:r>
        <w:rPr>
          <w:rFonts w:ascii="Palatino Linotype" w:eastAsia="Palatino Linotype" w:hAnsi="Palatino Linotype" w:cs="Palatino Linotype"/>
          <w:sz w:val="22"/>
          <w:szCs w:val="22"/>
        </w:rPr>
        <w:t>El diecinueve de junio de dos mil veinticuatro, se recibió, a través del SAIMEX, el Informe Justificado del Sujeto Obligado, a través del oficio suscrito por la Presidenta Honorífica del SMDIF y dirigido a la Titular de la Unidad de Transparencia, por medio del cual mencionó lo siguiente:</w:t>
      </w:r>
    </w:p>
    <w:p w14:paraId="0631E592" w14:textId="77777777" w:rsidR="005B36D9" w:rsidRDefault="005B36D9">
      <w:pPr>
        <w:spacing w:line="360" w:lineRule="auto"/>
        <w:jc w:val="both"/>
        <w:rPr>
          <w:rFonts w:ascii="Palatino Linotype" w:eastAsia="Palatino Linotype" w:hAnsi="Palatino Linotype" w:cs="Palatino Linotype"/>
          <w:sz w:val="22"/>
          <w:szCs w:val="22"/>
        </w:rPr>
      </w:pPr>
    </w:p>
    <w:p w14:paraId="4340B3D5" w14:textId="77777777" w:rsidR="005B36D9" w:rsidRDefault="002608A0">
      <w:pPr>
        <w:spacing w:line="360" w:lineRule="auto"/>
        <w:ind w:left="708"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“Me permito responder a su solicitud y aclarar que el cargo que actualmente desempeño </w:t>
      </w:r>
      <w:proofErr w:type="spellStart"/>
      <w:r>
        <w:rPr>
          <w:rFonts w:ascii="Palatino Linotype" w:eastAsia="Palatino Linotype" w:hAnsi="Palatino Linotype" w:cs="Palatino Linotype"/>
          <w:i/>
        </w:rPr>
        <w:t>comо</w:t>
      </w:r>
      <w:proofErr w:type="spellEnd"/>
      <w:r>
        <w:rPr>
          <w:rFonts w:ascii="Palatino Linotype" w:eastAsia="Palatino Linotype" w:hAnsi="Palatino Linotype" w:cs="Palatino Linotype"/>
          <w:i/>
        </w:rPr>
        <w:t xml:space="preserve"> Presidenta del Sistema Para el Desarrollo Integral de la Familia (DIF) Municipal de Temamatla es de carácter honorifico.</w:t>
      </w:r>
    </w:p>
    <w:p w14:paraId="243FC926" w14:textId="77777777" w:rsidR="005B36D9" w:rsidRDefault="002608A0">
      <w:pPr>
        <w:spacing w:line="360" w:lineRule="auto"/>
        <w:ind w:left="708" w:right="53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Mi participación en este organismo </w:t>
      </w:r>
      <w:r>
        <w:rPr>
          <w:rFonts w:ascii="Palatino Linotype" w:eastAsia="Palatino Linotype" w:hAnsi="Palatino Linotype" w:cs="Palatino Linotype"/>
          <w:b/>
          <w:i/>
        </w:rPr>
        <w:t>no constituye una relación laboral ni implica el cobro de remuneración, sueldo, compensación o beneficio económico alguno</w:t>
      </w:r>
      <w:r>
        <w:rPr>
          <w:rFonts w:ascii="Palatino Linotype" w:eastAsia="Palatino Linotype" w:hAnsi="Palatino Linotype" w:cs="Palatino Linotype"/>
          <w:i/>
        </w:rPr>
        <w:t>. Todas las actividades que realizo en el DIF se llevan a acabo de forma voluntaria y sin percepción de recurso público, como parte del compromiso social con la comunidad.</w:t>
      </w:r>
    </w:p>
    <w:p w14:paraId="3E147752" w14:textId="77777777" w:rsidR="005B36D9" w:rsidRDefault="002608A0">
      <w:pPr>
        <w:spacing w:line="360" w:lineRule="auto"/>
        <w:ind w:left="708" w:right="539"/>
        <w:jc w:val="both"/>
        <w:rPr>
          <w:rFonts w:ascii="Palatino Linotype" w:eastAsia="Palatino Linotype" w:hAnsi="Palatino Linotype" w:cs="Palatino Linotype"/>
          <w:i/>
        </w:rPr>
      </w:pPr>
      <w:r>
        <w:rPr>
          <w:rFonts w:ascii="Palatino Linotype" w:eastAsia="Palatino Linotype" w:hAnsi="Palatino Linotype" w:cs="Palatino Linotype"/>
          <w:i/>
        </w:rPr>
        <w:t>...” (Énfasis añadido)</w:t>
      </w:r>
    </w:p>
    <w:p w14:paraId="32324754" w14:textId="77777777" w:rsidR="005B36D9" w:rsidRDefault="005B36D9">
      <w:pPr>
        <w:spacing w:line="360" w:lineRule="auto"/>
        <w:jc w:val="both"/>
        <w:rPr>
          <w:rFonts w:ascii="Palatino Linotype" w:eastAsia="Palatino Linotype" w:hAnsi="Palatino Linotype" w:cs="Palatino Linotype"/>
          <w:sz w:val="22"/>
          <w:szCs w:val="22"/>
        </w:rPr>
      </w:pPr>
    </w:p>
    <w:p w14:paraId="4DE72061"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d) Vista del Informe Justificado. </w:t>
      </w:r>
      <w:r>
        <w:rPr>
          <w:rFonts w:ascii="Palatino Linotype" w:eastAsia="Palatino Linotype" w:hAnsi="Palatino Linotype" w:cs="Palatino Linotype"/>
          <w:sz w:val="22"/>
          <w:szCs w:val="22"/>
        </w:rPr>
        <w:t>El quince de julio de dos mil veinticinco, se dictó acuerdo mediante el cual se puso a la vista del Particular el Informe Justificado, entregado por el Sujeto Obligado, así como el documento adjunto, el cual fue notificado a las partes, a través del SAIMEX.</w:t>
      </w:r>
    </w:p>
    <w:p w14:paraId="36D2124A" w14:textId="77777777" w:rsidR="005B36D9" w:rsidRDefault="005B36D9">
      <w:pPr>
        <w:spacing w:line="360" w:lineRule="auto"/>
        <w:jc w:val="both"/>
        <w:rPr>
          <w:rFonts w:ascii="Palatino Linotype" w:eastAsia="Palatino Linotype" w:hAnsi="Palatino Linotype" w:cs="Palatino Linotype"/>
          <w:sz w:val="22"/>
          <w:szCs w:val="22"/>
        </w:rPr>
      </w:pPr>
    </w:p>
    <w:p w14:paraId="34146DAF"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e) Manifestaciones de la parte Recurrente. </w:t>
      </w:r>
      <w:r>
        <w:rPr>
          <w:rFonts w:ascii="Palatino Linotype" w:eastAsia="Palatino Linotype" w:hAnsi="Palatino Linotype" w:cs="Palatino Linotype"/>
          <w:sz w:val="22"/>
          <w:szCs w:val="22"/>
        </w:rPr>
        <w:t xml:space="preserve">De las constancias que obran en el SAIMEX, se advierte que la parte Recurrente no añadió manifestaciones. </w:t>
      </w:r>
    </w:p>
    <w:p w14:paraId="0EC0B363" w14:textId="77777777" w:rsidR="005B36D9" w:rsidRDefault="005B36D9">
      <w:pPr>
        <w:spacing w:line="360" w:lineRule="auto"/>
        <w:jc w:val="both"/>
        <w:rPr>
          <w:rFonts w:ascii="Palatino Linotype" w:eastAsia="Palatino Linotype" w:hAnsi="Palatino Linotype" w:cs="Palatino Linotype"/>
          <w:sz w:val="22"/>
          <w:szCs w:val="22"/>
        </w:rPr>
      </w:pPr>
    </w:p>
    <w:p w14:paraId="11AE8428"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f) Ampliación de plazo para resolver. </w:t>
      </w:r>
      <w:r>
        <w:rPr>
          <w:rFonts w:ascii="Palatino Linotype" w:eastAsia="Palatino Linotype" w:hAnsi="Palatino Linotype" w:cs="Palatino Linotype"/>
          <w:sz w:val="22"/>
          <w:szCs w:val="22"/>
        </w:rPr>
        <w:t>El quince de julio 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el mismo día, mediante el Sistema de Acceso a la Información Mexiquense (SAIMEX).</w:t>
      </w:r>
    </w:p>
    <w:p w14:paraId="6F10A5EE" w14:textId="77777777" w:rsidR="005B36D9" w:rsidRDefault="005B36D9">
      <w:pPr>
        <w:spacing w:line="360" w:lineRule="auto"/>
        <w:jc w:val="both"/>
        <w:rPr>
          <w:rFonts w:ascii="Palatino Linotype" w:eastAsia="Palatino Linotype" w:hAnsi="Palatino Linotype" w:cs="Palatino Linotype"/>
          <w:b/>
          <w:sz w:val="22"/>
          <w:szCs w:val="22"/>
        </w:rPr>
      </w:pPr>
    </w:p>
    <w:p w14:paraId="6CBA8C86" w14:textId="77777777" w:rsidR="005B36D9" w:rsidRDefault="002608A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g) Cierre de instrucción. </w:t>
      </w:r>
      <w:r>
        <w:rPr>
          <w:rFonts w:ascii="Palatino Linotype" w:eastAsia="Palatino Linotype" w:hAnsi="Palatino Linotype" w:cs="Palatino Linotype"/>
          <w:sz w:val="22"/>
          <w:szCs w:val="22"/>
        </w:rPr>
        <w:t xml:space="preserve">El cuatro de agosto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w:t>
      </w:r>
      <w:r>
        <w:rPr>
          <w:rFonts w:ascii="Palatino Linotype" w:eastAsia="Palatino Linotype" w:hAnsi="Palatino Linotype" w:cs="Palatino Linotype"/>
          <w:sz w:val="22"/>
          <w:szCs w:val="22"/>
        </w:rPr>
        <w:lastRenderedPageBreak/>
        <w:t xml:space="preserve">Estado de México y Municipios; acto que fue notificado a las partes el mismo día, a través del Sistema de Acceso a la Información Mexiquense (SAIMEX). </w:t>
      </w:r>
    </w:p>
    <w:p w14:paraId="4BADF4A1" w14:textId="77777777" w:rsidR="005B36D9" w:rsidRDefault="005B36D9">
      <w:pPr>
        <w:spacing w:line="360" w:lineRule="auto"/>
        <w:jc w:val="both"/>
        <w:rPr>
          <w:rFonts w:ascii="Palatino Linotype" w:eastAsia="Palatino Linotype" w:hAnsi="Palatino Linotype" w:cs="Palatino Linotype"/>
          <w:b/>
          <w:sz w:val="22"/>
          <w:szCs w:val="22"/>
        </w:rPr>
      </w:pPr>
    </w:p>
    <w:p w14:paraId="6B8E9961" w14:textId="77777777" w:rsidR="005B36D9" w:rsidRDefault="002608A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589F16B9"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6A37940A" w14:textId="77777777" w:rsidR="005B36D9" w:rsidRDefault="002608A0">
      <w:pPr>
        <w:pStyle w:val="Ttulo1"/>
      </w:pPr>
      <w:bookmarkStart w:id="11" w:name="_heading=h.85ggcaz8un6w" w:colFirst="0" w:colLast="0"/>
      <w:bookmarkStart w:id="12" w:name="_Toc205476474"/>
      <w:bookmarkEnd w:id="11"/>
      <w:r>
        <w:t>C O N S I D E R A N D O S</w:t>
      </w:r>
      <w:bookmarkEnd w:id="12"/>
    </w:p>
    <w:p w14:paraId="713745DB" w14:textId="77777777" w:rsidR="005B36D9" w:rsidRDefault="005B36D9">
      <w:pPr>
        <w:spacing w:line="360" w:lineRule="auto"/>
        <w:jc w:val="both"/>
        <w:rPr>
          <w:rFonts w:ascii="Palatino Linotype" w:eastAsia="Palatino Linotype" w:hAnsi="Palatino Linotype" w:cs="Palatino Linotype"/>
          <w:b/>
          <w:sz w:val="22"/>
          <w:szCs w:val="22"/>
        </w:rPr>
      </w:pPr>
    </w:p>
    <w:p w14:paraId="707FD6EB" w14:textId="77777777" w:rsidR="005B36D9" w:rsidRDefault="002608A0">
      <w:pPr>
        <w:pStyle w:val="Ttulo2"/>
      </w:pPr>
      <w:bookmarkStart w:id="13" w:name="_heading=h.31v5havkl1d3" w:colFirst="0" w:colLast="0"/>
      <w:bookmarkStart w:id="14" w:name="_Toc205476475"/>
      <w:bookmarkEnd w:id="13"/>
      <w:r>
        <w:t>PRIMERO. Competencia</w:t>
      </w:r>
      <w:bookmarkEnd w:id="14"/>
    </w:p>
    <w:p w14:paraId="7364F904" w14:textId="77777777" w:rsidR="005B36D9" w:rsidRDefault="005B36D9">
      <w:pPr>
        <w:spacing w:line="360" w:lineRule="auto"/>
        <w:jc w:val="both"/>
        <w:rPr>
          <w:rFonts w:ascii="Palatino Linotype" w:eastAsia="Palatino Linotype" w:hAnsi="Palatino Linotype" w:cs="Palatino Linotype"/>
          <w:b/>
          <w:sz w:val="22"/>
          <w:szCs w:val="22"/>
        </w:rPr>
      </w:pPr>
    </w:p>
    <w:p w14:paraId="61BDCB35" w14:textId="3206D9E1" w:rsidR="005B36D9" w:rsidRDefault="002608A0">
      <w:pPr>
        <w:spacing w:line="360" w:lineRule="auto"/>
        <w:jc w:val="both"/>
        <w:rPr>
          <w:rFonts w:ascii="Palatino Linotype" w:eastAsia="Palatino Linotype" w:hAnsi="Palatino Linotype" w:cs="Palatino Linotype"/>
          <w:color w:val="000000"/>
          <w:sz w:val="22"/>
          <w:szCs w:val="22"/>
        </w:rPr>
      </w:pPr>
      <w:r w:rsidRPr="002608A0">
        <w:rPr>
          <w:rFonts w:ascii="Palatino Linotype" w:eastAsia="Palatino Linotype" w:hAnsi="Palatino Linotype" w:cs="Palatino Linotype"/>
          <w:color w:val="000000"/>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090B44B" w14:textId="77777777" w:rsidR="002608A0" w:rsidRDefault="002608A0">
      <w:pPr>
        <w:spacing w:line="360" w:lineRule="auto"/>
        <w:jc w:val="both"/>
        <w:rPr>
          <w:rFonts w:ascii="Palatino Linotype" w:eastAsia="Palatino Linotype" w:hAnsi="Palatino Linotype" w:cs="Palatino Linotype"/>
          <w:color w:val="000000"/>
          <w:sz w:val="22"/>
          <w:szCs w:val="22"/>
        </w:rPr>
      </w:pPr>
    </w:p>
    <w:p w14:paraId="4929928F" w14:textId="77777777" w:rsidR="005B36D9" w:rsidRDefault="002608A0">
      <w:pPr>
        <w:pStyle w:val="Ttulo2"/>
      </w:pPr>
      <w:bookmarkStart w:id="15" w:name="_heading=h.ff8j6ctkm6ed" w:colFirst="0" w:colLast="0"/>
      <w:bookmarkStart w:id="16" w:name="_Toc205476476"/>
      <w:bookmarkEnd w:id="15"/>
      <w:r>
        <w:t>SEGUNDO. Causales de improcedencia</w:t>
      </w:r>
      <w:bookmarkEnd w:id="16"/>
      <w:r>
        <w:t xml:space="preserve"> </w:t>
      </w:r>
    </w:p>
    <w:p w14:paraId="5AE85DC7" w14:textId="77777777" w:rsidR="005B36D9" w:rsidRDefault="005B36D9">
      <w:pPr>
        <w:spacing w:line="360" w:lineRule="auto"/>
        <w:jc w:val="both"/>
        <w:rPr>
          <w:rFonts w:ascii="Palatino Linotype" w:eastAsia="Palatino Linotype" w:hAnsi="Palatino Linotype" w:cs="Palatino Linotype"/>
          <w:sz w:val="22"/>
          <w:szCs w:val="22"/>
        </w:rPr>
      </w:pPr>
    </w:p>
    <w:p w14:paraId="1F626F5D"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1E5714FC" w14:textId="77777777" w:rsidR="005B36D9" w:rsidRDefault="005B36D9">
      <w:pPr>
        <w:spacing w:line="360" w:lineRule="auto"/>
        <w:jc w:val="both"/>
        <w:rPr>
          <w:rFonts w:ascii="Palatino Linotype" w:eastAsia="Palatino Linotype" w:hAnsi="Palatino Linotype" w:cs="Palatino Linotype"/>
          <w:sz w:val="22"/>
          <w:szCs w:val="22"/>
        </w:rPr>
      </w:pPr>
    </w:p>
    <w:p w14:paraId="0DCCC4FE" w14:textId="77777777" w:rsidR="005B36D9" w:rsidRDefault="002608A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03ADF5A8" w14:textId="77777777" w:rsidR="005B36D9" w:rsidRDefault="005B36D9">
      <w:pPr>
        <w:spacing w:line="360" w:lineRule="auto"/>
        <w:jc w:val="both"/>
        <w:rPr>
          <w:rFonts w:ascii="Palatino Linotype" w:eastAsia="Palatino Linotype" w:hAnsi="Palatino Linotype" w:cs="Palatino Linotype"/>
          <w:sz w:val="22"/>
          <w:szCs w:val="22"/>
        </w:rPr>
      </w:pPr>
    </w:p>
    <w:p w14:paraId="43B5D60B"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1E13DB0" w14:textId="77777777" w:rsidR="005B36D9" w:rsidRDefault="005B36D9">
      <w:pPr>
        <w:spacing w:line="360" w:lineRule="auto"/>
        <w:jc w:val="both"/>
        <w:rPr>
          <w:rFonts w:ascii="Palatino Linotype" w:eastAsia="Palatino Linotype" w:hAnsi="Palatino Linotype" w:cs="Palatino Linotype"/>
          <w:sz w:val="22"/>
          <w:szCs w:val="22"/>
        </w:rPr>
      </w:pPr>
    </w:p>
    <w:p w14:paraId="29084CAD"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E72441E" w14:textId="77777777" w:rsidR="005B36D9" w:rsidRDefault="005B36D9">
      <w:pPr>
        <w:spacing w:line="360" w:lineRule="auto"/>
        <w:jc w:val="both"/>
        <w:rPr>
          <w:rFonts w:ascii="Palatino Linotype" w:eastAsia="Palatino Linotype" w:hAnsi="Palatino Linotype" w:cs="Palatino Linotype"/>
          <w:sz w:val="22"/>
          <w:szCs w:val="22"/>
        </w:rPr>
      </w:pPr>
    </w:p>
    <w:p w14:paraId="40AC0060"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 xml:space="preserve">en </w:t>
      </w:r>
      <w:r>
        <w:rPr>
          <w:rFonts w:ascii="Palatino Linotype" w:eastAsia="Palatino Linotype" w:hAnsi="Palatino Linotype" w:cs="Palatino Linotype"/>
          <w:sz w:val="22"/>
          <w:szCs w:val="22"/>
          <w:u w:val="single"/>
        </w:rPr>
        <w:lastRenderedPageBreak/>
        <w:t>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19735AC" w14:textId="77777777" w:rsidR="005B36D9" w:rsidRDefault="005B36D9">
      <w:pPr>
        <w:spacing w:line="360" w:lineRule="auto"/>
        <w:jc w:val="both"/>
        <w:rPr>
          <w:rFonts w:ascii="Palatino Linotype" w:eastAsia="Palatino Linotype" w:hAnsi="Palatino Linotype" w:cs="Palatino Linotype"/>
          <w:sz w:val="22"/>
          <w:szCs w:val="22"/>
        </w:rPr>
      </w:pPr>
    </w:p>
    <w:p w14:paraId="40F2D64F"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3F1471D6" w14:textId="77777777" w:rsidR="005B36D9" w:rsidRDefault="005B36D9">
      <w:pPr>
        <w:spacing w:line="360" w:lineRule="auto"/>
        <w:jc w:val="both"/>
        <w:rPr>
          <w:rFonts w:ascii="Palatino Linotype" w:eastAsia="Palatino Linotype" w:hAnsi="Palatino Linotype" w:cs="Palatino Linotype"/>
          <w:sz w:val="22"/>
          <w:szCs w:val="22"/>
        </w:rPr>
      </w:pPr>
    </w:p>
    <w:p w14:paraId="0E5FF01E" w14:textId="77777777" w:rsidR="005B36D9" w:rsidRDefault="002608A0">
      <w:pPr>
        <w:pStyle w:val="Ttulo2"/>
        <w:jc w:val="both"/>
      </w:pPr>
      <w:bookmarkStart w:id="17" w:name="_heading=h.z3bjee9z4sgr" w:colFirst="0" w:colLast="0"/>
      <w:bookmarkStart w:id="18" w:name="_Toc205476477"/>
      <w:bookmarkEnd w:id="17"/>
      <w:r>
        <w:t>TERCERO. Causales de sobreseimiento</w:t>
      </w:r>
      <w:bookmarkEnd w:id="18"/>
    </w:p>
    <w:p w14:paraId="118B6C6B" w14:textId="77777777" w:rsidR="005B36D9" w:rsidRDefault="005B36D9">
      <w:pPr>
        <w:spacing w:line="360" w:lineRule="auto"/>
        <w:jc w:val="both"/>
        <w:rPr>
          <w:rFonts w:ascii="Palatino Linotype" w:eastAsia="Palatino Linotype" w:hAnsi="Palatino Linotype" w:cs="Palatino Linotype"/>
          <w:color w:val="0D0D0D"/>
          <w:sz w:val="22"/>
          <w:szCs w:val="22"/>
        </w:rPr>
      </w:pPr>
    </w:p>
    <w:p w14:paraId="2CCAFD38" w14:textId="77777777" w:rsidR="005B36D9" w:rsidRDefault="002608A0">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0261179A" w14:textId="77777777" w:rsidR="005B36D9" w:rsidRDefault="005B36D9">
      <w:pPr>
        <w:spacing w:line="360" w:lineRule="auto"/>
        <w:jc w:val="both"/>
        <w:rPr>
          <w:rFonts w:ascii="Palatino Linotype" w:eastAsia="Palatino Linotype" w:hAnsi="Palatino Linotype" w:cs="Palatino Linotype"/>
          <w:color w:val="0D0D0D"/>
          <w:sz w:val="22"/>
          <w:szCs w:val="22"/>
        </w:rPr>
      </w:pPr>
    </w:p>
    <w:p w14:paraId="61D322A5" w14:textId="77777777" w:rsidR="005B36D9" w:rsidRDefault="002608A0">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modificado o revocado el Recurso de Revisión, o bien, sobreviniera alguna causal de improcedencia.</w:t>
      </w:r>
    </w:p>
    <w:p w14:paraId="7BE4FA84" w14:textId="77777777" w:rsidR="005B36D9" w:rsidRDefault="005B36D9">
      <w:pPr>
        <w:spacing w:line="360" w:lineRule="auto"/>
        <w:jc w:val="both"/>
        <w:rPr>
          <w:rFonts w:ascii="Palatino Linotype" w:eastAsia="Palatino Linotype" w:hAnsi="Palatino Linotype" w:cs="Palatino Linotype"/>
          <w:color w:val="0D0D0D"/>
          <w:sz w:val="22"/>
          <w:szCs w:val="22"/>
        </w:rPr>
      </w:pPr>
    </w:p>
    <w:p w14:paraId="1A6BA459" w14:textId="77777777" w:rsidR="005B36D9" w:rsidRDefault="002608A0">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Ahora bien, por lo que hace a la fracción V, del artículo 192, de la Ley de la materia, es de señalar que el Sistema Municipal para el Desarrollo Integral de la Familia de Temamatla, </w:t>
      </w:r>
      <w:r>
        <w:rPr>
          <w:rFonts w:ascii="Palatino Linotype" w:eastAsia="Palatino Linotype" w:hAnsi="Palatino Linotype" w:cs="Palatino Linotype"/>
          <w:color w:val="0D0D0D"/>
          <w:sz w:val="22"/>
          <w:szCs w:val="22"/>
        </w:rPr>
        <w:lastRenderedPageBreak/>
        <w:t>emitió respuesta, durante la sustanciación del Medio de Impugnación, por lo que, se estima procedente entrar al estudio de dicha causal de sobreseimiento, para lo cual, es necesario precisar que la parte Solicitante requirió conocer el motivo por el cual la presidenta del Sistema Municipal DIF (SMDIF) de Temamatla tiene el carácter de honorífica.</w:t>
      </w:r>
    </w:p>
    <w:p w14:paraId="2E8CB0B1" w14:textId="77777777" w:rsidR="005B36D9" w:rsidRDefault="005B36D9">
      <w:pPr>
        <w:tabs>
          <w:tab w:val="left" w:pos="4962"/>
        </w:tabs>
        <w:spacing w:line="360" w:lineRule="auto"/>
        <w:jc w:val="both"/>
        <w:rPr>
          <w:rFonts w:ascii="Palatino Linotype" w:eastAsia="Palatino Linotype" w:hAnsi="Palatino Linotype" w:cs="Palatino Linotype"/>
          <w:color w:val="000000"/>
          <w:sz w:val="22"/>
          <w:szCs w:val="22"/>
        </w:rPr>
      </w:pPr>
    </w:p>
    <w:p w14:paraId="66633F47" w14:textId="77777777" w:rsidR="005B36D9" w:rsidRDefault="002608A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Ante la falta de respuesta del Ente Recurrido, la parte </w:t>
      </w:r>
      <w:r>
        <w:rPr>
          <w:rFonts w:ascii="Palatino Linotype" w:eastAsia="Palatino Linotype" w:hAnsi="Palatino Linotype" w:cs="Palatino Linotype"/>
          <w:sz w:val="22"/>
          <w:szCs w:val="22"/>
        </w:rPr>
        <w:t>Recurrente</w:t>
      </w:r>
      <w:r>
        <w:rPr>
          <w:rFonts w:ascii="Palatino Linotype" w:eastAsia="Palatino Linotype" w:hAnsi="Palatino Linotype" w:cs="Palatino Linotype"/>
          <w:color w:val="000000"/>
          <w:sz w:val="22"/>
          <w:szCs w:val="22"/>
        </w:rPr>
        <w:t xml:space="preserve"> se inconformó por la falta de </w:t>
      </w:r>
      <w:proofErr w:type="spellStart"/>
      <w:r>
        <w:rPr>
          <w:rFonts w:ascii="Palatino Linotype" w:eastAsia="Palatino Linotype" w:hAnsi="Palatino Linotype" w:cs="Palatino Linotype"/>
          <w:color w:val="000000"/>
          <w:sz w:val="22"/>
          <w:szCs w:val="22"/>
        </w:rPr>
        <w:t>de</w:t>
      </w:r>
      <w:proofErr w:type="spellEnd"/>
      <w:r>
        <w:rPr>
          <w:rFonts w:ascii="Palatino Linotype" w:eastAsia="Palatino Linotype" w:hAnsi="Palatino Linotype" w:cs="Palatino Linotype"/>
          <w:color w:val="000000"/>
          <w:sz w:val="22"/>
          <w:szCs w:val="22"/>
        </w:rPr>
        <w:t xml:space="preserve"> respuesta a una solicitud de acceso a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el Recurso de Revisión a las partes, el Sujeto Obligado, mediante informe justificado, informó a través de la Presidenta Honorífica del SMDIF que su cargo es de carácter honorífico, porque no implica una relación laboral ni el pago de remuneración alguna, y que las actividades que realiza las lleva a cabo de manera voluntaria como parte de su compromiso social con la comunidad.</w:t>
      </w:r>
    </w:p>
    <w:p w14:paraId="087F83DA" w14:textId="77777777" w:rsidR="005B36D9" w:rsidRDefault="005B36D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EF1FBBE"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4536EAE" w14:textId="77777777" w:rsidR="005B36D9" w:rsidRDefault="005B36D9">
      <w:pPr>
        <w:spacing w:line="360" w:lineRule="auto"/>
        <w:jc w:val="both"/>
        <w:rPr>
          <w:rFonts w:ascii="Palatino Linotype" w:eastAsia="Palatino Linotype" w:hAnsi="Palatino Linotype" w:cs="Palatino Linotype"/>
          <w:sz w:val="22"/>
          <w:szCs w:val="22"/>
        </w:rPr>
      </w:pPr>
    </w:p>
    <w:p w14:paraId="4FC9EE10"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Sistema Municipal para el Desarrollo Integral de la Familia de Temamatla a la solicitud de información.</w:t>
      </w:r>
    </w:p>
    <w:p w14:paraId="10BEC863" w14:textId="77777777" w:rsidR="005B36D9" w:rsidRDefault="005B36D9">
      <w:pPr>
        <w:spacing w:line="360" w:lineRule="auto"/>
        <w:jc w:val="both"/>
        <w:rPr>
          <w:rFonts w:ascii="Palatino Linotype" w:eastAsia="Palatino Linotype" w:hAnsi="Palatino Linotype" w:cs="Palatino Linotype"/>
          <w:sz w:val="22"/>
          <w:szCs w:val="22"/>
        </w:rPr>
      </w:pPr>
    </w:p>
    <w:p w14:paraId="021A3903"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309E0A9" w14:textId="77777777" w:rsidR="005B36D9" w:rsidRDefault="005B36D9">
      <w:pPr>
        <w:spacing w:line="360" w:lineRule="auto"/>
        <w:jc w:val="both"/>
        <w:rPr>
          <w:rFonts w:ascii="Palatino Linotype" w:eastAsia="Palatino Linotype" w:hAnsi="Palatino Linotype" w:cs="Palatino Linotype"/>
          <w:sz w:val="22"/>
          <w:szCs w:val="22"/>
        </w:rPr>
      </w:pPr>
    </w:p>
    <w:p w14:paraId="6CFC928E" w14:textId="77777777" w:rsidR="005B36D9" w:rsidRDefault="002608A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308F364A" w14:textId="77777777" w:rsidR="005B36D9" w:rsidRDefault="005B36D9">
      <w:pPr>
        <w:spacing w:line="360" w:lineRule="auto"/>
        <w:ind w:left="720"/>
        <w:jc w:val="both"/>
        <w:rPr>
          <w:rFonts w:ascii="Palatino Linotype" w:eastAsia="Palatino Linotype" w:hAnsi="Palatino Linotype" w:cs="Palatino Linotype"/>
          <w:sz w:val="22"/>
          <w:szCs w:val="22"/>
        </w:rPr>
      </w:pPr>
    </w:p>
    <w:p w14:paraId="01229385" w14:textId="77777777" w:rsidR="005B36D9" w:rsidRDefault="002608A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2682189B" w14:textId="77777777" w:rsidR="005B36D9" w:rsidRDefault="005B36D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7F6AA21" w14:textId="77777777" w:rsidR="005B36D9" w:rsidRDefault="002608A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7CE9A5B0" w14:textId="77777777" w:rsidR="005B36D9" w:rsidRDefault="005B36D9">
      <w:pPr>
        <w:spacing w:line="360" w:lineRule="auto"/>
        <w:jc w:val="both"/>
        <w:rPr>
          <w:rFonts w:ascii="Palatino Linotype" w:eastAsia="Palatino Linotype" w:hAnsi="Palatino Linotype" w:cs="Palatino Linotype"/>
          <w:sz w:val="22"/>
          <w:szCs w:val="22"/>
        </w:rPr>
      </w:pPr>
    </w:p>
    <w:p w14:paraId="2A865676"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EAFBAB7" w14:textId="77777777" w:rsidR="005B36D9" w:rsidRDefault="005B36D9">
      <w:pPr>
        <w:spacing w:line="360" w:lineRule="auto"/>
        <w:jc w:val="both"/>
        <w:rPr>
          <w:rFonts w:ascii="Palatino Linotype" w:eastAsia="Palatino Linotype" w:hAnsi="Palatino Linotype" w:cs="Palatino Linotype"/>
          <w:sz w:val="22"/>
          <w:szCs w:val="22"/>
        </w:rPr>
      </w:pPr>
    </w:p>
    <w:p w14:paraId="369AF41E"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19403A1" w14:textId="77777777" w:rsidR="005B36D9" w:rsidRDefault="005B36D9">
      <w:pPr>
        <w:spacing w:line="360" w:lineRule="auto"/>
        <w:jc w:val="both"/>
        <w:rPr>
          <w:rFonts w:ascii="Palatino Linotype" w:eastAsia="Palatino Linotype" w:hAnsi="Palatino Linotype" w:cs="Palatino Linotype"/>
          <w:sz w:val="22"/>
          <w:szCs w:val="22"/>
        </w:rPr>
      </w:pPr>
    </w:p>
    <w:p w14:paraId="565C246F"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7EE945C" w14:textId="77777777" w:rsidR="005B36D9" w:rsidRDefault="005B36D9">
      <w:pPr>
        <w:spacing w:line="360" w:lineRule="auto"/>
        <w:jc w:val="both"/>
        <w:rPr>
          <w:rFonts w:ascii="Palatino Linotype" w:eastAsia="Palatino Linotype" w:hAnsi="Palatino Linotype" w:cs="Palatino Linotype"/>
          <w:sz w:val="22"/>
          <w:szCs w:val="22"/>
        </w:rPr>
      </w:pPr>
    </w:p>
    <w:p w14:paraId="06BE65B1" w14:textId="77777777" w:rsidR="005B36D9" w:rsidRDefault="002608A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14FE9BA" w14:textId="77777777" w:rsidR="005B36D9" w:rsidRDefault="005B36D9">
      <w:pPr>
        <w:spacing w:line="360" w:lineRule="auto"/>
        <w:ind w:left="720"/>
        <w:jc w:val="both"/>
        <w:rPr>
          <w:rFonts w:ascii="Palatino Linotype" w:eastAsia="Palatino Linotype" w:hAnsi="Palatino Linotype" w:cs="Palatino Linotype"/>
          <w:sz w:val="22"/>
          <w:szCs w:val="22"/>
        </w:rPr>
      </w:pPr>
    </w:p>
    <w:p w14:paraId="01C667C8" w14:textId="77777777" w:rsidR="005B36D9" w:rsidRDefault="002608A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38803A7" w14:textId="77777777" w:rsidR="005B36D9" w:rsidRDefault="005B36D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400E6A8" w14:textId="77777777" w:rsidR="005B36D9" w:rsidRDefault="002608A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319D5C00" w14:textId="77777777" w:rsidR="005B36D9" w:rsidRDefault="005B36D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CDF42D7" w14:textId="77777777" w:rsidR="005B36D9" w:rsidRDefault="002608A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C141FF4" w14:textId="77777777" w:rsidR="005B36D9" w:rsidRDefault="005B36D9">
      <w:pPr>
        <w:spacing w:line="360" w:lineRule="auto"/>
        <w:rPr>
          <w:rFonts w:ascii="Palatino Linotype" w:eastAsia="Palatino Linotype" w:hAnsi="Palatino Linotype" w:cs="Palatino Linotype"/>
          <w:sz w:val="22"/>
          <w:szCs w:val="22"/>
        </w:rPr>
      </w:pPr>
    </w:p>
    <w:p w14:paraId="4B1A9235" w14:textId="77777777" w:rsidR="005B36D9" w:rsidRDefault="002608A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567C86E" w14:textId="77777777" w:rsidR="005B36D9" w:rsidRDefault="005B36D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9810140" w14:textId="77777777" w:rsidR="005B36D9" w:rsidRDefault="002608A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519AD32" w14:textId="77777777" w:rsidR="005B36D9" w:rsidRDefault="005B36D9">
      <w:pPr>
        <w:spacing w:line="360" w:lineRule="auto"/>
        <w:jc w:val="both"/>
        <w:rPr>
          <w:rFonts w:ascii="Palatino Linotype" w:eastAsia="Palatino Linotype" w:hAnsi="Palatino Linotype" w:cs="Palatino Linotype"/>
          <w:sz w:val="22"/>
          <w:szCs w:val="22"/>
        </w:rPr>
      </w:pPr>
    </w:p>
    <w:p w14:paraId="351632CD"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Sistema Municipal para el Desarrollo Integral de la Familia de Temamatla, no había registrado respuesta al requerimiento de acceso a la información, el cual se presentó, el seis de mayo de dos mil veinticinco.</w:t>
      </w:r>
    </w:p>
    <w:p w14:paraId="2FA7C1EF" w14:textId="77777777" w:rsidR="005B36D9" w:rsidRDefault="005B36D9">
      <w:pPr>
        <w:spacing w:line="360" w:lineRule="auto"/>
        <w:jc w:val="both"/>
        <w:rPr>
          <w:rFonts w:ascii="Palatino Linotype" w:eastAsia="Palatino Linotype" w:hAnsi="Palatino Linotype" w:cs="Palatino Linotype"/>
          <w:sz w:val="22"/>
          <w:szCs w:val="22"/>
        </w:rPr>
      </w:pPr>
    </w:p>
    <w:p w14:paraId="51C7B109" w14:textId="77777777" w:rsidR="005B36D9" w:rsidRDefault="002608A0">
      <w:pPr>
        <w:spacing w:line="360" w:lineRule="auto"/>
        <w:jc w:val="both"/>
        <w:rPr>
          <w:rFonts w:ascii="Palatino Linotype" w:eastAsia="Palatino Linotype" w:hAnsi="Palatino Linotype" w:cs="Palatino Linotype"/>
          <w:sz w:val="22"/>
          <w:szCs w:val="22"/>
        </w:rPr>
      </w:pPr>
      <w:bookmarkStart w:id="19" w:name="_heading=h.y4kfgssre0e6" w:colFirst="0" w:colLast="0"/>
      <w:bookmarkEnd w:id="19"/>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seis de mayo y feneció el veintisiete de mayo de dos mil veinticinco; lo anterior, sin contar los días, diez, once, diecisiete, dieciocho, veinticuatro y veinticinco de mayo de dos mil veinticinco, de conformidad con los artículo, 3°, fracción X y 159,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74DF7D7C" w14:textId="77777777" w:rsidR="005B36D9" w:rsidRDefault="005B36D9">
      <w:pPr>
        <w:spacing w:line="360" w:lineRule="auto"/>
        <w:jc w:val="both"/>
        <w:rPr>
          <w:rFonts w:ascii="Palatino Linotype" w:eastAsia="Palatino Linotype" w:hAnsi="Palatino Linotype" w:cs="Palatino Linotype"/>
          <w:sz w:val="22"/>
          <w:szCs w:val="22"/>
        </w:rPr>
      </w:pPr>
    </w:p>
    <w:p w14:paraId="3CDDE85F"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2E4884EC" w14:textId="77777777" w:rsidR="005B36D9" w:rsidRDefault="005B36D9" w:rsidP="00B12164">
      <w:pPr>
        <w:spacing w:line="360" w:lineRule="auto"/>
        <w:rPr>
          <w:rFonts w:ascii="Palatino Linotype" w:eastAsia="Palatino Linotype" w:hAnsi="Palatino Linotype" w:cs="Palatino Linotype"/>
          <w:sz w:val="22"/>
          <w:szCs w:val="22"/>
        </w:rPr>
      </w:pPr>
    </w:p>
    <w:p w14:paraId="2F202189" w14:textId="77777777" w:rsidR="005B36D9" w:rsidRDefault="002608A0">
      <w:pPr>
        <w:spacing w:line="360" w:lineRule="auto"/>
        <w:jc w:val="center"/>
        <w:rPr>
          <w:rFonts w:ascii="Palatino Linotype" w:eastAsia="Palatino Linotype" w:hAnsi="Palatino Linotype" w:cs="Palatino Linotype"/>
          <w:sz w:val="22"/>
          <w:szCs w:val="22"/>
        </w:rPr>
      </w:pPr>
      <w:r>
        <w:rPr>
          <w:noProof/>
          <w:lang w:eastAsia="es-MX"/>
        </w:rPr>
        <w:drawing>
          <wp:anchor distT="0" distB="0" distL="114300" distR="114300" simplePos="0" relativeHeight="251658240" behindDoc="0" locked="0" layoutInCell="1" hidden="0" allowOverlap="1" wp14:anchorId="24832D53" wp14:editId="576E95A7">
            <wp:simplePos x="0" y="0"/>
            <wp:positionH relativeFrom="column">
              <wp:posOffset>1201420</wp:posOffset>
            </wp:positionH>
            <wp:positionV relativeFrom="paragraph">
              <wp:posOffset>0</wp:posOffset>
            </wp:positionV>
            <wp:extent cx="3333750" cy="1657350"/>
            <wp:effectExtent l="0" t="0" r="0" b="0"/>
            <wp:wrapSquare wrapText="bothSides" distT="0" distB="0" distL="114300" distR="114300"/>
            <wp:docPr id="566961060"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9"/>
                    <a:srcRect/>
                    <a:stretch>
                      <a:fillRect/>
                    </a:stretch>
                  </pic:blipFill>
                  <pic:spPr>
                    <a:xfrm>
                      <a:off x="0" y="0"/>
                      <a:ext cx="3333750" cy="1657350"/>
                    </a:xfrm>
                    <a:prstGeom prst="rect">
                      <a:avLst/>
                    </a:prstGeom>
                    <a:ln/>
                  </pic:spPr>
                </pic:pic>
              </a:graphicData>
            </a:graphic>
          </wp:anchor>
        </w:drawing>
      </w:r>
    </w:p>
    <w:p w14:paraId="7EB34966" w14:textId="77777777" w:rsidR="005B36D9" w:rsidRDefault="005B36D9">
      <w:pPr>
        <w:spacing w:line="360" w:lineRule="auto"/>
        <w:jc w:val="both"/>
        <w:rPr>
          <w:rFonts w:ascii="Palatino Linotype" w:eastAsia="Palatino Linotype" w:hAnsi="Palatino Linotype" w:cs="Palatino Linotype"/>
          <w:sz w:val="22"/>
          <w:szCs w:val="22"/>
        </w:rPr>
      </w:pPr>
    </w:p>
    <w:p w14:paraId="3F13DCF1"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780FF25F"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16D22B23"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17CDA4AD"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473334D9"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127F44EC"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Sistema Municipal para el Desarrollo Integral de la Familia de Temamatla, no emitió respuesta para dar contestación a la solicitud de acceso a la información pública, dentro de los plazos establecidos en el artículo 163, de la Ley de Transparencia y Acceso a la Información Pública del Estado de México y Municipios, pues tenía hasta el veintisiete de  mayo de dos mil veinticinco, para realizar dicha situación, por lo que es evidente que el agravio es </w:t>
      </w:r>
      <w:r>
        <w:rPr>
          <w:rFonts w:ascii="Palatino Linotype" w:eastAsia="Palatino Linotype" w:hAnsi="Palatino Linotype" w:cs="Palatino Linotype"/>
          <w:b/>
          <w:sz w:val="22"/>
          <w:szCs w:val="22"/>
        </w:rPr>
        <w:t>FUNDADO</w:t>
      </w:r>
      <w:r>
        <w:rPr>
          <w:rFonts w:ascii="Palatino Linotype" w:eastAsia="Palatino Linotype" w:hAnsi="Palatino Linotype" w:cs="Palatino Linotype"/>
          <w:sz w:val="22"/>
          <w:szCs w:val="22"/>
        </w:rPr>
        <w:t xml:space="preserve">. </w:t>
      </w:r>
    </w:p>
    <w:p w14:paraId="3783CE47"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568D4AA4" w14:textId="5ED144E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durante la substanciación del Medio de Impugnación, el Ente Recurrido emitió </w:t>
      </w:r>
      <w:r w:rsidR="00B12164">
        <w:rPr>
          <w:rFonts w:ascii="Palatino Linotype" w:eastAsia="Palatino Linotype" w:hAnsi="Palatino Linotype" w:cs="Palatino Linotype"/>
          <w:sz w:val="22"/>
          <w:szCs w:val="22"/>
        </w:rPr>
        <w:t>contestación</w:t>
      </w:r>
      <w:r>
        <w:rPr>
          <w:rFonts w:ascii="Palatino Linotype" w:eastAsia="Palatino Linotype" w:hAnsi="Palatino Linotype" w:cs="Palatino Linotype"/>
          <w:sz w:val="22"/>
          <w:szCs w:val="22"/>
        </w:rPr>
        <w:t>, por lo que se procede a su análisis, para lo cual es necesario contextualizar la solicitud de información.</w:t>
      </w:r>
    </w:p>
    <w:p w14:paraId="05754F0C"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00662E32" w14:textId="3906CFF0"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es de señalar que el artículo 85</w:t>
      </w:r>
      <w:r w:rsidR="00B12164">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fracción I</w:t>
      </w:r>
      <w:r w:rsidR="00B12164">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del Bando Municipal del Ayuntamiento de Temamatla, señala que, para el estudio, despacho y planeación de los asuntos de los organismos públicos descentralizados, el Ayuntamiento contará con dos instituciones, y una de ellas, es el Sistema Municipal para el Desarrollo Integral de la Familia del Municipio de Temamatla.</w:t>
      </w:r>
    </w:p>
    <w:p w14:paraId="6B06D56E"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0036CFAF" w14:textId="73D00B39"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Aunado a ello, de conformidad con los artículos 11, fracción II</w:t>
      </w:r>
      <w:r w:rsidR="00B12164">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y 12 de la Ley que crea los Organismos Públicos Descentralizados de Asistencia Social, de carácter Municipal, denominados “Sistemas Municipales para el Desarrollo Integral de la Familia”</w:t>
      </w:r>
      <w:r w:rsidR="00B12164">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establecen que dentro de los Órganos Superiores de los Organismos se encuentra la Presidencia, cuya titularidad es designada por la persona que designe la persona titular de la Presidencia Municipal, por lo que se advierte que dentro de la estructura del Sujeto Obligado </w:t>
      </w:r>
      <w:r>
        <w:rPr>
          <w:rFonts w:ascii="Palatino Linotype" w:eastAsia="Palatino Linotype" w:hAnsi="Palatino Linotype" w:cs="Palatino Linotype"/>
          <w:b/>
          <w:sz w:val="22"/>
          <w:szCs w:val="22"/>
        </w:rPr>
        <w:t>se cuenta con una persona titular de la Presidencia</w:t>
      </w:r>
      <w:r>
        <w:rPr>
          <w:rFonts w:ascii="Palatino Linotype" w:eastAsia="Palatino Linotype" w:hAnsi="Palatino Linotype" w:cs="Palatino Linotype"/>
          <w:sz w:val="22"/>
          <w:szCs w:val="22"/>
        </w:rPr>
        <w:t xml:space="preserve">. </w:t>
      </w:r>
    </w:p>
    <w:p w14:paraId="51CA0BAB"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4F2E8792"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contexto, se debe recordar que la pretensión de la persona Recurrente es conocer las razones o motivos por los que la presidenta del Sujeto Obligado es honorífica, al respecto, si bien, en un primer momento no hubo respuesta por parte del Sujeto Obligado, en un ejercicio posterior, durante la substanciación del Recurso de Revisión remitió una contestación a la solicitud formulada. </w:t>
      </w:r>
    </w:p>
    <w:p w14:paraId="4713DC35"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5FF3B3DF"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Cabe señalar que el cuestionamiento formulado mediante la solicitud de información corresponde a un derecho de petición, puesto que </w:t>
      </w:r>
      <w:r>
        <w:rPr>
          <w:rFonts w:ascii="Palatino Linotype" w:eastAsia="Palatino Linotype" w:hAnsi="Palatino Linotype" w:cs="Palatino Linotype"/>
          <w:b/>
          <w:sz w:val="22"/>
          <w:szCs w:val="22"/>
        </w:rPr>
        <w:t>corresponde a un cuestionamiento cuya respuesta requiere un procesamiento de la información,</w:t>
      </w:r>
      <w:r>
        <w:rPr>
          <w:rFonts w:ascii="Palatino Linotype" w:eastAsia="Palatino Linotype" w:hAnsi="Palatino Linotype" w:cs="Palatino Linotype"/>
          <w:sz w:val="22"/>
          <w:szCs w:val="22"/>
        </w:rPr>
        <w:t xml:space="preserve"> lo cual, es inatendible en el ejercicio del derecho de acceso a la información pública y a la transparencia;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23484AF4" w14:textId="77777777" w:rsidR="005B36D9" w:rsidRDefault="005B36D9">
      <w:pPr>
        <w:spacing w:line="360" w:lineRule="auto"/>
        <w:jc w:val="both"/>
        <w:rPr>
          <w:rFonts w:ascii="Palatino Linotype" w:eastAsia="Palatino Linotype" w:hAnsi="Palatino Linotype" w:cs="Palatino Linotype"/>
          <w:sz w:val="22"/>
          <w:szCs w:val="22"/>
        </w:rPr>
      </w:pPr>
    </w:p>
    <w:p w14:paraId="27703D6C"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colige que los sujetos obligados únicamente están constreñidos a proporcionar </w:t>
      </w:r>
      <w:r>
        <w:rPr>
          <w:rFonts w:ascii="Palatino Linotype" w:eastAsia="Palatino Linotype" w:hAnsi="Palatino Linotype" w:cs="Palatino Linotype"/>
          <w:b/>
          <w:sz w:val="22"/>
          <w:szCs w:val="22"/>
        </w:rPr>
        <w:t>la documentación que obre en sus archivos</w:t>
      </w:r>
      <w:r>
        <w:rPr>
          <w:rFonts w:ascii="Palatino Linotype" w:eastAsia="Palatino Linotype" w:hAnsi="Palatino Linotype" w:cs="Palatino Linotype"/>
          <w:sz w:val="22"/>
          <w:szCs w:val="22"/>
        </w:rPr>
        <w:t>; por lo que, no están obligados a generar o elaborar documentos </w:t>
      </w:r>
      <w:r>
        <w:rPr>
          <w:rFonts w:ascii="Palatino Linotype" w:eastAsia="Palatino Linotype" w:hAnsi="Palatino Linotype" w:cs="Palatino Linotype"/>
          <w:i/>
          <w:sz w:val="22"/>
          <w:szCs w:val="22"/>
        </w:rPr>
        <w:t>ad hoc, </w:t>
      </w:r>
      <w:r>
        <w:rPr>
          <w:rFonts w:ascii="Palatino Linotype" w:eastAsia="Palatino Linotype" w:hAnsi="Palatino Linotype" w:cs="Palatino Linotype"/>
          <w:sz w:val="22"/>
          <w:szCs w:val="22"/>
        </w:rPr>
        <w:t xml:space="preserve">como es el caso de proporcionar respuesta a un cuestionamiento. </w:t>
      </w:r>
    </w:p>
    <w:p w14:paraId="17F1165A" w14:textId="77777777" w:rsidR="005B36D9" w:rsidRDefault="005B36D9">
      <w:pPr>
        <w:tabs>
          <w:tab w:val="left" w:pos="4962"/>
        </w:tabs>
        <w:spacing w:line="360" w:lineRule="auto"/>
        <w:jc w:val="both"/>
        <w:rPr>
          <w:rFonts w:ascii="Palatino Linotype" w:eastAsia="Palatino Linotype" w:hAnsi="Palatino Linotype" w:cs="Palatino Linotype"/>
          <w:sz w:val="22"/>
          <w:szCs w:val="22"/>
        </w:rPr>
      </w:pPr>
    </w:p>
    <w:p w14:paraId="16F3446D"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resulta posible atraer al estudio el criterio orientador 03/17 del entonces llamado Instituto Nacional de Transparencia, Acceso a la Información y Protección de Datos Personales: </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en el que se precisa que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los Sujetos Obligados deben dar acceso a </w:t>
      </w:r>
      <w:r>
        <w:rPr>
          <w:rFonts w:ascii="Palatino Linotype" w:eastAsia="Palatino Linotype" w:hAnsi="Palatino Linotype" w:cs="Palatino Linotype"/>
          <w:sz w:val="22"/>
          <w:szCs w:val="22"/>
        </w:rPr>
        <w:lastRenderedPageBreak/>
        <w:t>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Por ello, los Sujetos Obligados únicamente se encuentran obligados a proporcionar los documentos que den cuenta de la información solicitada, como obren en sus archivos, sin tener que elaborarlos a las necesidades de la parte Recurrente.</w:t>
      </w:r>
    </w:p>
    <w:p w14:paraId="0D94D940" w14:textId="77777777" w:rsidR="005B36D9" w:rsidRDefault="005B36D9">
      <w:pPr>
        <w:tabs>
          <w:tab w:val="left" w:pos="4962"/>
        </w:tabs>
        <w:spacing w:line="360" w:lineRule="auto"/>
        <w:jc w:val="both"/>
        <w:rPr>
          <w:rFonts w:ascii="Palatino Linotype" w:eastAsia="Palatino Linotype" w:hAnsi="Palatino Linotype" w:cs="Palatino Linotype"/>
          <w:color w:val="000000"/>
          <w:sz w:val="22"/>
          <w:szCs w:val="22"/>
        </w:rPr>
      </w:pPr>
    </w:p>
    <w:p w14:paraId="225F22F3" w14:textId="77777777" w:rsidR="005B36D9" w:rsidRDefault="002608A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pues, lo solicitado en el punto de análisis, tiene otra naturaleza, y puede tratarse de una consulta que implica el ejercicio de un derecho de petición y no de acceso a la información pública.</w:t>
      </w:r>
    </w:p>
    <w:p w14:paraId="36CC8EAF" w14:textId="77777777" w:rsidR="005B36D9" w:rsidRDefault="005B36D9">
      <w:pPr>
        <w:tabs>
          <w:tab w:val="left" w:pos="4962"/>
        </w:tabs>
        <w:spacing w:line="360" w:lineRule="auto"/>
        <w:jc w:val="both"/>
        <w:rPr>
          <w:rFonts w:ascii="Palatino Linotype" w:eastAsia="Palatino Linotype" w:hAnsi="Palatino Linotype" w:cs="Palatino Linotype"/>
          <w:color w:val="000000"/>
          <w:sz w:val="22"/>
          <w:szCs w:val="22"/>
        </w:rPr>
      </w:pPr>
    </w:p>
    <w:p w14:paraId="608A9136" w14:textId="77777777" w:rsidR="005B36D9" w:rsidRDefault="002608A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tenor, por lo que respecta a la definición del derecho de petición se tiene que el Doctor Ignacio Burgoa Orihuela refiere que </w:t>
      </w:r>
      <w:r>
        <w:rPr>
          <w:rFonts w:ascii="Palatino Linotype" w:eastAsia="Palatino Linotype" w:hAnsi="Palatino Linotype" w:cs="Palatino Linotype"/>
          <w:i/>
          <w:color w:val="000000"/>
          <w:sz w:val="22"/>
          <w:szCs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3EF1A2F4" w14:textId="77777777" w:rsidR="005B36D9" w:rsidRDefault="005B36D9">
      <w:pPr>
        <w:tabs>
          <w:tab w:val="left" w:pos="4962"/>
        </w:tabs>
        <w:spacing w:line="360" w:lineRule="auto"/>
        <w:jc w:val="both"/>
        <w:rPr>
          <w:rFonts w:ascii="Palatino Linotype" w:eastAsia="Palatino Linotype" w:hAnsi="Palatino Linotype" w:cs="Palatino Linotype"/>
          <w:color w:val="000000"/>
          <w:sz w:val="22"/>
          <w:szCs w:val="22"/>
        </w:rPr>
      </w:pPr>
    </w:p>
    <w:p w14:paraId="5705386A" w14:textId="77777777" w:rsidR="005B36D9" w:rsidRDefault="002608A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otra parte, el derecho de acceso a la información pública, es aquel, en el que, las personas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7E52292C" w14:textId="77777777" w:rsidR="005B36D9" w:rsidRDefault="005B36D9">
      <w:pPr>
        <w:spacing w:line="360" w:lineRule="auto"/>
        <w:jc w:val="both"/>
        <w:rPr>
          <w:rFonts w:ascii="Palatino Linotype" w:eastAsia="Palatino Linotype" w:hAnsi="Palatino Linotype" w:cs="Palatino Linotype"/>
          <w:sz w:val="22"/>
          <w:szCs w:val="22"/>
        </w:rPr>
      </w:pPr>
    </w:p>
    <w:p w14:paraId="3102880D" w14:textId="77777777" w:rsidR="005B36D9" w:rsidRDefault="002608A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En consecuencia, lo solicitado en el punto de análisis no pertenece al derecho de acceso a la información sino al derecho de petición, ya que de derivan cuestionamientos, cuya única respuesta implica que se procese la información y se emita un pronunciamiento específico</w:t>
      </w:r>
      <w:r>
        <w:rPr>
          <w:rFonts w:ascii="Palatino Linotype" w:eastAsia="Palatino Linotype" w:hAnsi="Palatino Linotype" w:cs="Palatino Linotype"/>
          <w:b/>
          <w:color w:val="000000"/>
          <w:sz w:val="22"/>
          <w:szCs w:val="22"/>
        </w:rPr>
        <w:t>; por lo que, corresponde a una consulta.</w:t>
      </w:r>
    </w:p>
    <w:p w14:paraId="492A395B" w14:textId="77777777" w:rsidR="005B36D9" w:rsidRDefault="005B36D9">
      <w:pPr>
        <w:spacing w:line="360" w:lineRule="auto"/>
        <w:jc w:val="both"/>
        <w:rPr>
          <w:rFonts w:ascii="Palatino Linotype" w:eastAsia="Palatino Linotype" w:hAnsi="Palatino Linotype" w:cs="Palatino Linotype"/>
          <w:sz w:val="22"/>
          <w:szCs w:val="22"/>
        </w:rPr>
      </w:pPr>
    </w:p>
    <w:p w14:paraId="73E741B4" w14:textId="77777777" w:rsidR="005B36D9" w:rsidRDefault="002608A0">
      <w:pPr>
        <w:tabs>
          <w:tab w:val="left" w:pos="4962"/>
        </w:tabs>
        <w:spacing w:line="360" w:lineRule="auto"/>
        <w:jc w:val="both"/>
        <w:rPr>
          <w:rFonts w:ascii="Palatino Linotype" w:eastAsia="Palatino Linotype" w:hAnsi="Palatino Linotype" w:cs="Palatino Linotype"/>
          <w:sz w:val="22"/>
          <w:szCs w:val="22"/>
        </w:rPr>
      </w:pPr>
      <w:bookmarkStart w:id="20" w:name="_heading=h.ferhr1d3bxge" w:colFirst="0" w:colLast="0"/>
      <w:bookmarkEnd w:id="20"/>
      <w:r>
        <w:rPr>
          <w:rFonts w:ascii="Palatino Linotype" w:eastAsia="Palatino Linotype" w:hAnsi="Palatino Linotype" w:cs="Palatino Linotype"/>
          <w:sz w:val="22"/>
          <w:szCs w:val="22"/>
        </w:rPr>
        <w:t xml:space="preserve">Sin menoscabo de lo anterior, cabe mencionar que si bien en un primer momento el </w:t>
      </w:r>
      <w:proofErr w:type="spellStart"/>
      <w:r>
        <w:rPr>
          <w:rFonts w:ascii="Palatino Linotype" w:eastAsia="Palatino Linotype" w:hAnsi="Palatino Linotype" w:cs="Palatino Linotype"/>
          <w:sz w:val="22"/>
          <w:szCs w:val="22"/>
        </w:rPr>
        <w:t>Suejto</w:t>
      </w:r>
      <w:proofErr w:type="spellEnd"/>
      <w:r>
        <w:rPr>
          <w:rFonts w:ascii="Palatino Linotype" w:eastAsia="Palatino Linotype" w:hAnsi="Palatino Linotype" w:cs="Palatino Linotype"/>
          <w:sz w:val="22"/>
          <w:szCs w:val="22"/>
        </w:rPr>
        <w:t xml:space="preserve"> Obligado omitió dar respuesta, en un acto posterior rindió informe justificado en el que se pronunció la Presidente Honorífica del Sujeto Obligado, ante lo cual cabe mencionar que, es oportuno hacer referencia al </w:t>
      </w:r>
      <w:r>
        <w:rPr>
          <w:rFonts w:ascii="Palatino Linotype" w:eastAsia="Palatino Linotype" w:hAnsi="Palatino Linotype" w:cs="Palatino Linotype"/>
          <w:b/>
          <w:sz w:val="22"/>
          <w:szCs w:val="22"/>
        </w:rPr>
        <w:t>procedimiento de búsqueda que deben de seguir los Sujetos Obligados para localizar la información</w:t>
      </w:r>
      <w:r>
        <w:rPr>
          <w:rFonts w:ascii="Palatino Linotype" w:eastAsia="Palatino Linotype" w:hAnsi="Palatino Linotype" w:cs="Palatino Linotype"/>
          <w:sz w:val="22"/>
          <w:szCs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09D09AF1" w14:textId="77777777" w:rsidR="005B36D9" w:rsidRDefault="005B36D9">
      <w:pPr>
        <w:spacing w:line="360" w:lineRule="auto"/>
        <w:jc w:val="both"/>
        <w:rPr>
          <w:rFonts w:ascii="Palatino Linotype" w:eastAsia="Palatino Linotype" w:hAnsi="Palatino Linotype" w:cs="Palatino Linotype"/>
          <w:sz w:val="22"/>
          <w:szCs w:val="22"/>
        </w:rPr>
      </w:pPr>
    </w:p>
    <w:p w14:paraId="69BF8238" w14:textId="0ECC2EB4" w:rsidR="005B36D9" w:rsidRPr="00B12164" w:rsidRDefault="002608A0" w:rsidP="00B1216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y de lo plasmado en párrafos anteriores, </w:t>
      </w:r>
      <w:r>
        <w:rPr>
          <w:rFonts w:ascii="Palatino Linotype" w:eastAsia="Palatino Linotype" w:hAnsi="Palatino Linotype" w:cs="Palatino Linotype"/>
          <w:color w:val="000000"/>
          <w:sz w:val="22"/>
          <w:szCs w:val="22"/>
        </w:rPr>
        <w:t>se advierte que el Sujeto Obligado cumplió con el procedimiento de búsqueda referido, pues turnó la solicitud de información al área competente de conocer lo solicitado.</w:t>
      </w:r>
      <w:bookmarkStart w:id="21" w:name="_heading=h.w1esr6ti4hca" w:colFirst="0" w:colLast="0"/>
      <w:bookmarkEnd w:id="21"/>
      <w:r w:rsidR="00B12164">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Ahora bien, en Informe Justificado, la Presidenta </w:t>
      </w:r>
      <w:r>
        <w:rPr>
          <w:rFonts w:ascii="Palatino Linotype" w:eastAsia="Palatino Linotype" w:hAnsi="Palatino Linotype" w:cs="Palatino Linotype"/>
          <w:sz w:val="22"/>
          <w:szCs w:val="22"/>
        </w:rPr>
        <w:t>Honorífica</w:t>
      </w:r>
      <w:r>
        <w:rPr>
          <w:rFonts w:ascii="Palatino Linotype" w:eastAsia="Palatino Linotype" w:hAnsi="Palatino Linotype" w:cs="Palatino Linotype"/>
          <w:color w:val="000000"/>
          <w:sz w:val="22"/>
          <w:szCs w:val="22"/>
        </w:rPr>
        <w:t xml:space="preserve"> del Sujeto Obligado, señaló lo siguiente:</w:t>
      </w:r>
    </w:p>
    <w:p w14:paraId="72F38465" w14:textId="77777777" w:rsidR="005B36D9" w:rsidRDefault="005B36D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032AFFAC" w14:textId="77777777" w:rsidR="005B36D9" w:rsidRDefault="002608A0">
      <w:pPr>
        <w:pBdr>
          <w:top w:val="nil"/>
          <w:left w:val="nil"/>
          <w:bottom w:val="nil"/>
          <w:right w:val="nil"/>
          <w:between w:val="nil"/>
        </w:pBdr>
        <w:spacing w:line="360" w:lineRule="auto"/>
        <w:ind w:right="-2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487012F7" wp14:editId="3953506F">
            <wp:extent cx="4848625" cy="1121869"/>
            <wp:effectExtent l="0" t="0" r="3175" b="0"/>
            <wp:docPr id="5669610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t="11371" b="23953"/>
                    <a:stretch/>
                  </pic:blipFill>
                  <pic:spPr bwMode="auto">
                    <a:xfrm>
                      <a:off x="0" y="0"/>
                      <a:ext cx="4928233" cy="1140289"/>
                    </a:xfrm>
                    <a:prstGeom prst="rect">
                      <a:avLst/>
                    </a:prstGeom>
                    <a:ln>
                      <a:noFill/>
                    </a:ln>
                    <a:extLst>
                      <a:ext uri="{53640926-AAD7-44D8-BBD7-CCE9431645EC}">
                        <a14:shadowObscured xmlns:a14="http://schemas.microsoft.com/office/drawing/2010/main"/>
                      </a:ext>
                    </a:extLst>
                  </pic:spPr>
                </pic:pic>
              </a:graphicData>
            </a:graphic>
          </wp:inline>
        </w:drawing>
      </w:r>
    </w:p>
    <w:p w14:paraId="239F0908" w14:textId="77777777" w:rsidR="005B36D9" w:rsidRDefault="005B36D9">
      <w:pPr>
        <w:spacing w:line="360" w:lineRule="auto"/>
        <w:ind w:right="-28"/>
        <w:jc w:val="both"/>
        <w:rPr>
          <w:rFonts w:ascii="Palatino Linotype" w:eastAsia="Palatino Linotype" w:hAnsi="Palatino Linotype" w:cs="Palatino Linotype"/>
          <w:color w:val="000000"/>
          <w:sz w:val="22"/>
          <w:szCs w:val="22"/>
        </w:rPr>
      </w:pPr>
    </w:p>
    <w:p w14:paraId="272A3D72" w14:textId="739B355D" w:rsidR="005B36D9" w:rsidRDefault="002608A0">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este sentido, se advierte que en un ejercicio de máxima publicidad el Sujeto Obligado realizó un documento ad hoc, con la finalidad de expresar las razones o motivos por lo que la Presidenta del Sujeto Obligado tiene el carácter de honoraria, con lo que colmó la solicitud de información</w:t>
      </w:r>
      <w:r w:rsidR="00E43222">
        <w:rPr>
          <w:rFonts w:ascii="Palatino Linotype" w:eastAsia="Palatino Linotype" w:hAnsi="Palatino Linotype" w:cs="Palatino Linotype"/>
          <w:color w:val="000000"/>
          <w:sz w:val="22"/>
          <w:szCs w:val="22"/>
        </w:rPr>
        <w:t>; a saber, que no tenía una relación laboral con el Organismos Público Descentralizado, al no recibir un sueldo y retribución, y que las funciones que realizaba las hacía de manera voluntaria, sin recibir algún recurso público, como parte del compromiso social de la comunidad.</w:t>
      </w:r>
    </w:p>
    <w:p w14:paraId="1A83F81D" w14:textId="77777777" w:rsidR="005B36D9" w:rsidRDefault="005B36D9">
      <w:pPr>
        <w:spacing w:line="360" w:lineRule="auto"/>
        <w:ind w:right="-28"/>
        <w:jc w:val="both"/>
        <w:rPr>
          <w:rFonts w:ascii="Palatino Linotype" w:eastAsia="Palatino Linotype" w:hAnsi="Palatino Linotype" w:cs="Palatino Linotype"/>
          <w:color w:val="000000"/>
          <w:sz w:val="22"/>
          <w:szCs w:val="22"/>
        </w:rPr>
      </w:pPr>
    </w:p>
    <w:p w14:paraId="53D21EC4" w14:textId="77777777" w:rsidR="005B36D9" w:rsidRDefault="002608A0">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esta manera, se advierte que sí bien el Sujeto Obligado no dio respuesta, en un acto posterior rindió informe justificado y en un acto de máxima publicidad explicó los motivos por los que la Presidenta es honoraria, por lo que colmó lo solicitado, a pesar de tratarse de una petición, en consecuencia, se considera que la impugnación que se dirime ha quedado sin materia.</w:t>
      </w:r>
    </w:p>
    <w:p w14:paraId="3EF321D1" w14:textId="77777777" w:rsidR="005B36D9" w:rsidRDefault="005B36D9">
      <w:pPr>
        <w:spacing w:line="360" w:lineRule="auto"/>
        <w:ind w:right="-28"/>
        <w:jc w:val="both"/>
        <w:rPr>
          <w:rFonts w:ascii="Palatino Linotype" w:eastAsia="Palatino Linotype" w:hAnsi="Palatino Linotype" w:cs="Palatino Linotype"/>
          <w:color w:val="000000"/>
          <w:sz w:val="22"/>
          <w:szCs w:val="22"/>
        </w:rPr>
      </w:pPr>
    </w:p>
    <w:p w14:paraId="106515E3" w14:textId="77777777" w:rsidR="005B36D9" w:rsidRDefault="002608A0">
      <w:pPr>
        <w:pStyle w:val="Ttulo2"/>
      </w:pPr>
      <w:bookmarkStart w:id="22" w:name="_heading=h.3thh1bf5gvpb" w:colFirst="0" w:colLast="0"/>
      <w:bookmarkStart w:id="23" w:name="_Toc205476478"/>
      <w:bookmarkEnd w:id="22"/>
      <w:r>
        <w:t>CUARTO. Decisión</w:t>
      </w:r>
      <w:bookmarkEnd w:id="23"/>
    </w:p>
    <w:p w14:paraId="11055978" w14:textId="77777777" w:rsidR="005B36D9" w:rsidRDefault="005B36D9">
      <w:pPr>
        <w:spacing w:line="360" w:lineRule="auto"/>
        <w:jc w:val="both"/>
        <w:rPr>
          <w:rFonts w:ascii="Palatino Linotype" w:eastAsia="Palatino Linotype" w:hAnsi="Palatino Linotype" w:cs="Palatino Linotype"/>
          <w:sz w:val="22"/>
          <w:szCs w:val="22"/>
        </w:rPr>
      </w:pPr>
    </w:p>
    <w:p w14:paraId="15460652"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lo dispuesto en el artículo 186, fracción I, de la Ley de Transparencia y Acceso a la Información Pública del Estado de México y Municipios, se considera procedente </w:t>
      </w:r>
      <w:r>
        <w:rPr>
          <w:rFonts w:ascii="Palatino Linotype" w:eastAsia="Palatino Linotype" w:hAnsi="Palatino Linotype" w:cs="Palatino Linotype"/>
          <w:b/>
          <w:sz w:val="22"/>
          <w:szCs w:val="22"/>
        </w:rPr>
        <w:t xml:space="preserve">SOBRESEER </w:t>
      </w:r>
      <w:r>
        <w:rPr>
          <w:rFonts w:ascii="Palatino Linotype" w:eastAsia="Palatino Linotype" w:hAnsi="Palatino Linotype" w:cs="Palatino Linotype"/>
          <w:sz w:val="22"/>
          <w:szCs w:val="22"/>
        </w:rPr>
        <w:t xml:space="preserve">el Recurso de Revisión </w:t>
      </w:r>
      <w:r>
        <w:rPr>
          <w:rFonts w:ascii="Palatino Linotype" w:eastAsia="Palatino Linotype" w:hAnsi="Palatino Linotype" w:cs="Palatino Linotype"/>
          <w:b/>
          <w:sz w:val="22"/>
          <w:szCs w:val="22"/>
        </w:rPr>
        <w:t>06191/INFOEM/IP/RR/2025</w:t>
      </w:r>
      <w:r>
        <w:rPr>
          <w:rFonts w:ascii="Palatino Linotype" w:eastAsia="Palatino Linotype" w:hAnsi="Palatino Linotype" w:cs="Palatino Linotype"/>
          <w:sz w:val="22"/>
          <w:szCs w:val="22"/>
        </w:rPr>
        <w:t>, en virtud de que se actualiza la hipótesis normativa prevista en la fracción V, del artículo 192, del citado ordenamiento legal.</w:t>
      </w:r>
    </w:p>
    <w:p w14:paraId="3A6D3455" w14:textId="77777777" w:rsidR="005B36D9" w:rsidRDefault="005B36D9">
      <w:pPr>
        <w:spacing w:line="360" w:lineRule="auto"/>
        <w:jc w:val="both"/>
        <w:rPr>
          <w:rFonts w:ascii="Palatino Linotype" w:eastAsia="Palatino Linotype" w:hAnsi="Palatino Linotype" w:cs="Palatino Linotype"/>
          <w:sz w:val="22"/>
          <w:szCs w:val="22"/>
        </w:rPr>
      </w:pPr>
    </w:p>
    <w:p w14:paraId="0A7D71BB" w14:textId="77777777" w:rsidR="005B36D9" w:rsidRDefault="002608A0">
      <w:pP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Términos de la Resolución para conocimiento de la parte Recurrente.</w:t>
      </w:r>
    </w:p>
    <w:p w14:paraId="0980C60A" w14:textId="77777777" w:rsidR="005B36D9" w:rsidRDefault="005B36D9">
      <w:pPr>
        <w:spacing w:line="360" w:lineRule="auto"/>
        <w:jc w:val="both"/>
        <w:rPr>
          <w:rFonts w:ascii="Palatino Linotype" w:eastAsia="Palatino Linotype" w:hAnsi="Palatino Linotype" w:cs="Palatino Linotype"/>
          <w:sz w:val="22"/>
          <w:szCs w:val="22"/>
          <w:u w:val="single"/>
        </w:rPr>
      </w:pPr>
    </w:p>
    <w:p w14:paraId="2C3A1C77" w14:textId="77777777" w:rsidR="005B36D9" w:rsidRDefault="002608A0">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u w:val="single"/>
        </w:rPr>
        <w:lastRenderedPageBreak/>
        <w:t>Se le hace del conocimiento al Particular, que, en el presente caso, se le concedió la razón, pues el Sujeto Obligado no había dado respuesta en los plazos establecidos en la normatividad, no obstante, durante la sustanciación del Medio de Impugnación proporcionó la información tal y como se solicitó, lo cual dejó sin materia, ello en un ejercicio de máxima publicidad, a pesar de que se trata de una consulta o petición que resulta inatendible en el ejercicio del derecho de acceso a la información y transparencia.</w:t>
      </w:r>
    </w:p>
    <w:p w14:paraId="4C62C8DD" w14:textId="77777777" w:rsidR="005B36D9" w:rsidRDefault="005B36D9">
      <w:pPr>
        <w:spacing w:line="360" w:lineRule="auto"/>
        <w:jc w:val="both"/>
        <w:rPr>
          <w:rFonts w:ascii="Palatino Linotype" w:eastAsia="Palatino Linotype" w:hAnsi="Palatino Linotype" w:cs="Palatino Linotype"/>
          <w:sz w:val="22"/>
          <w:szCs w:val="22"/>
          <w:u w:val="single"/>
        </w:rPr>
      </w:pPr>
    </w:p>
    <w:p w14:paraId="04C092A4" w14:textId="77777777" w:rsidR="005B36D9" w:rsidRDefault="002608A0">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u w:val="single"/>
        </w:rPr>
        <w:t xml:space="preserve"> Finalmente, la labor de este Instituto, es apoyar a la población a acceder a la información pública y garantizar la protección de sus datos personales.</w:t>
      </w:r>
    </w:p>
    <w:p w14:paraId="6AC65493" w14:textId="77777777" w:rsidR="005B36D9" w:rsidRDefault="005B36D9">
      <w:pPr>
        <w:spacing w:line="360" w:lineRule="auto"/>
        <w:jc w:val="both"/>
        <w:rPr>
          <w:rFonts w:ascii="Palatino Linotype" w:eastAsia="Palatino Linotype" w:hAnsi="Palatino Linotype" w:cs="Palatino Linotype"/>
          <w:color w:val="000000"/>
          <w:sz w:val="22"/>
          <w:szCs w:val="22"/>
        </w:rPr>
      </w:pPr>
    </w:p>
    <w:p w14:paraId="55A771AE"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13C0F7CE" w14:textId="77777777" w:rsidR="005B36D9" w:rsidRDefault="005B36D9">
      <w:pPr>
        <w:spacing w:line="360" w:lineRule="auto"/>
        <w:jc w:val="both"/>
        <w:rPr>
          <w:rFonts w:ascii="Palatino Linotype" w:eastAsia="Palatino Linotype" w:hAnsi="Palatino Linotype" w:cs="Palatino Linotype"/>
          <w:sz w:val="22"/>
          <w:szCs w:val="22"/>
        </w:rPr>
      </w:pPr>
    </w:p>
    <w:p w14:paraId="6CEF5A46" w14:textId="77777777" w:rsidR="005B36D9" w:rsidRDefault="002608A0">
      <w:pPr>
        <w:pStyle w:val="Ttulo1"/>
      </w:pPr>
      <w:bookmarkStart w:id="24" w:name="_heading=h.ux7ufddqfa7o" w:colFirst="0" w:colLast="0"/>
      <w:bookmarkStart w:id="25" w:name="_Toc205476479"/>
      <w:bookmarkEnd w:id="24"/>
      <w:r>
        <w:t>R E S U E L V E</w:t>
      </w:r>
      <w:bookmarkEnd w:id="25"/>
    </w:p>
    <w:p w14:paraId="3567115D" w14:textId="77777777" w:rsidR="005B36D9" w:rsidRDefault="005B36D9">
      <w:pPr>
        <w:spacing w:line="360" w:lineRule="auto"/>
        <w:jc w:val="both"/>
        <w:rPr>
          <w:rFonts w:ascii="Palatino Linotype" w:eastAsia="Palatino Linotype" w:hAnsi="Palatino Linotype" w:cs="Palatino Linotype"/>
          <w:b/>
          <w:sz w:val="22"/>
          <w:szCs w:val="22"/>
        </w:rPr>
      </w:pPr>
    </w:p>
    <w:p w14:paraId="4E11DFD8"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w:t>
      </w:r>
      <w:r>
        <w:rPr>
          <w:rFonts w:ascii="Palatino Linotype" w:eastAsia="Palatino Linotype" w:hAnsi="Palatino Linotype" w:cs="Palatino Linotype"/>
          <w:sz w:val="22"/>
          <w:szCs w:val="22"/>
        </w:rPr>
        <w:t xml:space="preserve">. Se </w:t>
      </w:r>
      <w:r>
        <w:rPr>
          <w:rFonts w:ascii="Palatino Linotype" w:eastAsia="Palatino Linotype" w:hAnsi="Palatino Linotype" w:cs="Palatino Linotype"/>
          <w:b/>
          <w:sz w:val="22"/>
          <w:szCs w:val="22"/>
        </w:rPr>
        <w:t xml:space="preserve">SOBRESEE </w:t>
      </w:r>
      <w:r>
        <w:rPr>
          <w:rFonts w:ascii="Palatino Linotype" w:eastAsia="Palatino Linotype" w:hAnsi="Palatino Linotype" w:cs="Palatino Linotype"/>
          <w:sz w:val="22"/>
          <w:szCs w:val="22"/>
        </w:rPr>
        <w:t xml:space="preserve">el Recurso de Revisión 06191/INFOEM/IP/RR/2025, en términos del artículo 192, fracción V, de la Ley de Transparencia y Acceso a la Información Pública del Estado de México y Municipios, porque el Sujeto Obligado, al dar respuesta a la solicitud, mediante Informe Justificado, el Medio de Impugnación quedó sin materia, de conformidad con los Considerandos TERCERO y CUARTO de la presente Resolución.    </w:t>
      </w:r>
    </w:p>
    <w:p w14:paraId="1EC5511D" w14:textId="77777777" w:rsidR="005B36D9" w:rsidRDefault="005B36D9">
      <w:pPr>
        <w:spacing w:line="360" w:lineRule="auto"/>
        <w:jc w:val="both"/>
        <w:rPr>
          <w:rFonts w:ascii="Palatino Linotype" w:eastAsia="Palatino Linotype" w:hAnsi="Palatino Linotype" w:cs="Palatino Linotype"/>
          <w:sz w:val="22"/>
          <w:szCs w:val="22"/>
        </w:rPr>
      </w:pPr>
    </w:p>
    <w:p w14:paraId="12C591BE"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SEGUNDO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NOTIFÍQUESE POR SAIMEX</w:t>
      </w:r>
      <w:r>
        <w:rPr>
          <w:rFonts w:ascii="Palatino Linotype" w:eastAsia="Palatino Linotype" w:hAnsi="Palatino Linotype" w:cs="Palatino Linotype"/>
          <w:sz w:val="22"/>
          <w:szCs w:val="22"/>
        </w:rPr>
        <w:t xml:space="preserve"> la presente resolución al Titular de la Unidad de Transparencia del Sujeto Obligado.</w:t>
      </w:r>
    </w:p>
    <w:p w14:paraId="4074CF16" w14:textId="77777777" w:rsidR="005B36D9" w:rsidRDefault="005B36D9">
      <w:pPr>
        <w:spacing w:line="360" w:lineRule="auto"/>
        <w:jc w:val="both"/>
        <w:rPr>
          <w:rFonts w:ascii="Palatino Linotype" w:eastAsia="Palatino Linotype" w:hAnsi="Palatino Linotype" w:cs="Palatino Linotype"/>
          <w:sz w:val="22"/>
          <w:szCs w:val="22"/>
        </w:rPr>
      </w:pPr>
    </w:p>
    <w:p w14:paraId="5C394726"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NOTIFÍQUESE POR SAIMEX</w:t>
      </w:r>
      <w:r>
        <w:rPr>
          <w:rFonts w:ascii="Palatino Linotype" w:eastAsia="Palatino Linotype" w:hAnsi="Palatino Linotype" w:cs="Palatino Linotype"/>
          <w:sz w:val="22"/>
          <w:szCs w:val="22"/>
        </w:rPr>
        <w:t xml:space="preserve"> a la persona Recurrente la presente Resolución, asimismo, se hace de su conocimiento que de conformidad con lo establecido en el artículo </w:t>
      </w:r>
      <w:r>
        <w:rPr>
          <w:rFonts w:ascii="Palatino Linotype" w:eastAsia="Palatino Linotype" w:hAnsi="Palatino Linotype" w:cs="Palatino Linotype"/>
          <w:sz w:val="22"/>
          <w:szCs w:val="22"/>
        </w:rPr>
        <w:lastRenderedPageBreak/>
        <w:t>196 de la Ley de Transparencia y Acceso a la Información Pública del Estado de México y Municipios podrá promover el Juicio de Amparo en los términos de las leyes aplicables.</w:t>
      </w:r>
    </w:p>
    <w:p w14:paraId="1C6B5393" w14:textId="77777777" w:rsidR="005B36D9" w:rsidRDefault="005B36D9">
      <w:pPr>
        <w:spacing w:line="360" w:lineRule="auto"/>
        <w:jc w:val="both"/>
        <w:rPr>
          <w:rFonts w:ascii="Palatino Linotype" w:eastAsia="Palatino Linotype" w:hAnsi="Palatino Linotype" w:cs="Palatino Linotype"/>
          <w:b/>
          <w:sz w:val="22"/>
          <w:szCs w:val="22"/>
        </w:rPr>
      </w:pPr>
    </w:p>
    <w:p w14:paraId="5C71EEEA" w14:textId="77777777" w:rsidR="005B36D9" w:rsidRDefault="002608A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DE AGOSTO DE DOS MIL VEINTICINCO, ANTE EL SECRETARIO TÉCNICO DEL PLENO, ALEXIS TAPIA RAMÍREZ.</w:t>
      </w:r>
    </w:p>
    <w:p w14:paraId="19E76FE9" w14:textId="77777777" w:rsidR="005B36D9" w:rsidRDefault="005B36D9">
      <w:pPr>
        <w:spacing w:line="360" w:lineRule="auto"/>
        <w:jc w:val="both"/>
        <w:rPr>
          <w:rFonts w:ascii="Palatino Linotype" w:eastAsia="Palatino Linotype" w:hAnsi="Palatino Linotype" w:cs="Palatino Linotype"/>
          <w:sz w:val="22"/>
          <w:szCs w:val="22"/>
        </w:rPr>
      </w:pPr>
    </w:p>
    <w:p w14:paraId="5EBCFC82" w14:textId="77777777" w:rsidR="005B36D9" w:rsidRDefault="005B36D9">
      <w:pPr>
        <w:spacing w:line="360" w:lineRule="auto"/>
        <w:jc w:val="both"/>
        <w:rPr>
          <w:rFonts w:ascii="Palatino Linotype" w:eastAsia="Palatino Linotype" w:hAnsi="Palatino Linotype" w:cs="Palatino Linotype"/>
          <w:sz w:val="22"/>
          <w:szCs w:val="22"/>
        </w:rPr>
      </w:pPr>
    </w:p>
    <w:p w14:paraId="132FF047" w14:textId="77777777" w:rsidR="005B36D9" w:rsidRDefault="005B36D9">
      <w:pPr>
        <w:spacing w:line="360" w:lineRule="auto"/>
        <w:jc w:val="both"/>
        <w:rPr>
          <w:rFonts w:ascii="Palatino Linotype" w:eastAsia="Palatino Linotype" w:hAnsi="Palatino Linotype" w:cs="Palatino Linotype"/>
          <w:sz w:val="22"/>
          <w:szCs w:val="22"/>
        </w:rPr>
      </w:pPr>
    </w:p>
    <w:p w14:paraId="3121A098" w14:textId="77777777" w:rsidR="005B36D9" w:rsidRDefault="005B36D9">
      <w:pPr>
        <w:spacing w:line="360" w:lineRule="auto"/>
        <w:jc w:val="both"/>
        <w:rPr>
          <w:rFonts w:ascii="Palatino Linotype" w:eastAsia="Palatino Linotype" w:hAnsi="Palatino Linotype" w:cs="Palatino Linotype"/>
          <w:sz w:val="22"/>
          <w:szCs w:val="22"/>
        </w:rPr>
      </w:pPr>
    </w:p>
    <w:p w14:paraId="721AC806" w14:textId="77777777" w:rsidR="005B36D9" w:rsidRDefault="005B36D9">
      <w:pPr>
        <w:spacing w:line="360" w:lineRule="auto"/>
        <w:jc w:val="both"/>
        <w:rPr>
          <w:rFonts w:ascii="Palatino Linotype" w:eastAsia="Palatino Linotype" w:hAnsi="Palatino Linotype" w:cs="Palatino Linotype"/>
          <w:sz w:val="22"/>
          <w:szCs w:val="22"/>
        </w:rPr>
      </w:pPr>
    </w:p>
    <w:p w14:paraId="08788219" w14:textId="77777777" w:rsidR="005B36D9" w:rsidRDefault="005B36D9">
      <w:pPr>
        <w:spacing w:line="360" w:lineRule="auto"/>
        <w:jc w:val="both"/>
        <w:rPr>
          <w:rFonts w:ascii="Palatino Linotype" w:eastAsia="Palatino Linotype" w:hAnsi="Palatino Linotype" w:cs="Palatino Linotype"/>
          <w:sz w:val="22"/>
          <w:szCs w:val="22"/>
        </w:rPr>
      </w:pPr>
    </w:p>
    <w:p w14:paraId="1223AC90" w14:textId="77777777" w:rsidR="005B36D9" w:rsidRDefault="005B36D9">
      <w:pPr>
        <w:spacing w:line="360" w:lineRule="auto"/>
        <w:jc w:val="both"/>
        <w:rPr>
          <w:rFonts w:ascii="Palatino Linotype" w:eastAsia="Palatino Linotype" w:hAnsi="Palatino Linotype" w:cs="Palatino Linotype"/>
          <w:sz w:val="22"/>
          <w:szCs w:val="22"/>
        </w:rPr>
      </w:pPr>
    </w:p>
    <w:p w14:paraId="7D9FBB9E" w14:textId="77777777" w:rsidR="005B36D9" w:rsidRDefault="005B36D9">
      <w:pPr>
        <w:spacing w:line="360" w:lineRule="auto"/>
        <w:jc w:val="both"/>
        <w:rPr>
          <w:rFonts w:ascii="Palatino Linotype" w:eastAsia="Palatino Linotype" w:hAnsi="Palatino Linotype" w:cs="Palatino Linotype"/>
          <w:b/>
          <w:sz w:val="22"/>
          <w:szCs w:val="22"/>
        </w:rPr>
      </w:pPr>
    </w:p>
    <w:p w14:paraId="73ED9C26" w14:textId="77777777" w:rsidR="005B36D9" w:rsidRDefault="005B36D9">
      <w:pPr>
        <w:spacing w:line="360" w:lineRule="auto"/>
        <w:jc w:val="both"/>
        <w:rPr>
          <w:rFonts w:ascii="Palatino Linotype" w:eastAsia="Palatino Linotype" w:hAnsi="Palatino Linotype" w:cs="Palatino Linotype"/>
          <w:sz w:val="22"/>
          <w:szCs w:val="22"/>
        </w:rPr>
      </w:pPr>
    </w:p>
    <w:p w14:paraId="7D8C5277" w14:textId="77777777" w:rsidR="005B36D9" w:rsidRDefault="005B36D9">
      <w:pPr>
        <w:spacing w:line="360" w:lineRule="auto"/>
        <w:jc w:val="both"/>
        <w:rPr>
          <w:rFonts w:ascii="Palatino Linotype" w:eastAsia="Palatino Linotype" w:hAnsi="Palatino Linotype" w:cs="Palatino Linotype"/>
          <w:sz w:val="22"/>
          <w:szCs w:val="22"/>
        </w:rPr>
      </w:pPr>
    </w:p>
    <w:p w14:paraId="0B449865" w14:textId="77777777" w:rsidR="005B36D9" w:rsidRDefault="005B36D9">
      <w:pPr>
        <w:spacing w:line="360" w:lineRule="auto"/>
        <w:jc w:val="both"/>
        <w:rPr>
          <w:rFonts w:ascii="Palatino Linotype" w:eastAsia="Palatino Linotype" w:hAnsi="Palatino Linotype" w:cs="Palatino Linotype"/>
          <w:sz w:val="22"/>
          <w:szCs w:val="22"/>
        </w:rPr>
      </w:pPr>
    </w:p>
    <w:p w14:paraId="6197033A" w14:textId="77777777" w:rsidR="005B36D9" w:rsidRDefault="005B36D9">
      <w:pPr>
        <w:spacing w:line="360" w:lineRule="auto"/>
        <w:ind w:right="-93"/>
        <w:jc w:val="both"/>
        <w:rPr>
          <w:rFonts w:ascii="Palatino Linotype" w:eastAsia="Palatino Linotype" w:hAnsi="Palatino Linotype" w:cs="Palatino Linotype"/>
          <w:sz w:val="22"/>
          <w:szCs w:val="22"/>
        </w:rPr>
      </w:pPr>
    </w:p>
    <w:p w14:paraId="7963AC2C" w14:textId="77777777" w:rsidR="005B36D9" w:rsidRDefault="005B36D9">
      <w:pPr>
        <w:spacing w:line="360" w:lineRule="auto"/>
        <w:jc w:val="both"/>
        <w:rPr>
          <w:rFonts w:ascii="Palatino Linotype" w:eastAsia="Palatino Linotype" w:hAnsi="Palatino Linotype" w:cs="Palatino Linotype"/>
          <w:sz w:val="22"/>
          <w:szCs w:val="22"/>
        </w:rPr>
      </w:pPr>
    </w:p>
    <w:p w14:paraId="7FD10798" w14:textId="77777777" w:rsidR="005B36D9" w:rsidRDefault="005B36D9">
      <w:pPr>
        <w:spacing w:line="360" w:lineRule="auto"/>
        <w:jc w:val="both"/>
        <w:rPr>
          <w:rFonts w:ascii="Palatino Linotype" w:eastAsia="Palatino Linotype" w:hAnsi="Palatino Linotype" w:cs="Palatino Linotype"/>
          <w:sz w:val="22"/>
          <w:szCs w:val="22"/>
        </w:rPr>
      </w:pPr>
    </w:p>
    <w:p w14:paraId="111D5CEA" w14:textId="77777777" w:rsidR="005B36D9" w:rsidRDefault="005B36D9">
      <w:pPr>
        <w:spacing w:line="360" w:lineRule="auto"/>
        <w:rPr>
          <w:rFonts w:ascii="Palatino Linotype" w:eastAsia="Palatino Linotype" w:hAnsi="Palatino Linotype" w:cs="Palatino Linotype"/>
          <w:sz w:val="22"/>
          <w:szCs w:val="22"/>
        </w:rPr>
      </w:pPr>
    </w:p>
    <w:p w14:paraId="2E8238E0" w14:textId="77777777" w:rsidR="005B36D9" w:rsidRDefault="005B36D9">
      <w:pPr>
        <w:spacing w:line="360" w:lineRule="auto"/>
        <w:rPr>
          <w:rFonts w:ascii="Palatino Linotype" w:eastAsia="Palatino Linotype" w:hAnsi="Palatino Linotype" w:cs="Palatino Linotype"/>
          <w:sz w:val="22"/>
          <w:szCs w:val="22"/>
        </w:rPr>
      </w:pPr>
    </w:p>
    <w:p w14:paraId="54CCC83C" w14:textId="77777777" w:rsidR="005B36D9" w:rsidRDefault="005B36D9">
      <w:pPr>
        <w:spacing w:line="360" w:lineRule="auto"/>
        <w:rPr>
          <w:rFonts w:ascii="Palatino Linotype" w:eastAsia="Palatino Linotype" w:hAnsi="Palatino Linotype" w:cs="Palatino Linotype"/>
          <w:sz w:val="22"/>
          <w:szCs w:val="22"/>
        </w:rPr>
      </w:pPr>
    </w:p>
    <w:p w14:paraId="4F2A7DFD" w14:textId="77777777" w:rsidR="005B36D9" w:rsidRDefault="005B36D9">
      <w:pPr>
        <w:spacing w:line="360" w:lineRule="auto"/>
        <w:rPr>
          <w:rFonts w:ascii="Palatino Linotype" w:eastAsia="Palatino Linotype" w:hAnsi="Palatino Linotype" w:cs="Palatino Linotype"/>
          <w:sz w:val="22"/>
          <w:szCs w:val="22"/>
        </w:rPr>
      </w:pPr>
    </w:p>
    <w:p w14:paraId="2C3024BC" w14:textId="77777777" w:rsidR="005B36D9" w:rsidRDefault="005B36D9">
      <w:pPr>
        <w:spacing w:line="360" w:lineRule="auto"/>
        <w:rPr>
          <w:rFonts w:ascii="Palatino Linotype" w:eastAsia="Palatino Linotype" w:hAnsi="Palatino Linotype" w:cs="Palatino Linotype"/>
          <w:sz w:val="22"/>
          <w:szCs w:val="22"/>
        </w:rPr>
      </w:pPr>
    </w:p>
    <w:p w14:paraId="4DFE0142" w14:textId="77777777" w:rsidR="005B36D9" w:rsidRDefault="005B36D9">
      <w:pPr>
        <w:spacing w:line="360" w:lineRule="auto"/>
        <w:jc w:val="both"/>
        <w:rPr>
          <w:rFonts w:ascii="Palatino Linotype" w:eastAsia="Palatino Linotype" w:hAnsi="Palatino Linotype" w:cs="Palatino Linotype"/>
          <w:color w:val="000000"/>
          <w:sz w:val="22"/>
          <w:szCs w:val="22"/>
        </w:rPr>
      </w:pPr>
    </w:p>
    <w:sectPr w:rsidR="005B36D9">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CB694" w14:textId="77777777" w:rsidR="00A7004D" w:rsidRDefault="00A7004D">
      <w:r>
        <w:separator/>
      </w:r>
    </w:p>
  </w:endnote>
  <w:endnote w:type="continuationSeparator" w:id="0">
    <w:p w14:paraId="23E59095" w14:textId="77777777" w:rsidR="00A7004D" w:rsidRDefault="00A70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A2A442F-0D82-4931-A1A9-AD818AB81D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E3ADFEA-E418-4CCC-848F-6A78BA6E1FA9}"/>
    <w:embedBold r:id="rId3" w:fontKey="{2CC8EA62-C391-44F4-9E3E-9059CF484E6E}"/>
    <w:embedItalic r:id="rId4" w:fontKey="{D24B148B-E48F-49E9-8DA3-114CA2D213DE}"/>
    <w:embedBoldItalic r:id="rId5" w:fontKey="{0C1EAACF-44A3-4A9D-8B34-7473E4CE720D}"/>
  </w:font>
  <w:font w:name="Calibri">
    <w:panose1 w:val="020F0502020204030204"/>
    <w:charset w:val="00"/>
    <w:family w:val="swiss"/>
    <w:pitch w:val="variable"/>
    <w:sig w:usb0="E4002EFF" w:usb1="C200247B" w:usb2="00000009" w:usb3="00000000" w:csb0="000001FF" w:csb1="00000000"/>
    <w:embedRegular r:id="rId6" w:fontKey="{573DA290-0519-4495-B87C-D80F8FF88860}"/>
    <w:embedBold r:id="rId7" w:fontKey="{90E46C60-3E11-42A0-84BC-C6B5B0435815}"/>
  </w:font>
  <w:font w:name="Century Gothic">
    <w:panose1 w:val="020B0502020202020204"/>
    <w:charset w:val="00"/>
    <w:family w:val="swiss"/>
    <w:pitch w:val="variable"/>
    <w:sig w:usb0="00000287" w:usb1="00000000" w:usb2="00000000" w:usb3="00000000" w:csb0="0000009F" w:csb1="00000000"/>
    <w:embedRegular r:id="rId8" w:fontKey="{C30E2B80-D2C1-455E-97DF-DDB8BC592222}"/>
  </w:font>
  <w:font w:name="Segoe UI">
    <w:panose1 w:val="020B0502040204020203"/>
    <w:charset w:val="00"/>
    <w:family w:val="swiss"/>
    <w:pitch w:val="variable"/>
    <w:sig w:usb0="E4002EFF" w:usb1="C000E47F" w:usb2="00000009" w:usb3="00000000" w:csb0="000001FF" w:csb1="00000000"/>
    <w:embedRegular r:id="rId9" w:fontKey="{A146FC28-A6D6-4697-9D59-7D1EDF7AF05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B2A2F952-1584-4E43-A1C2-330BE6E342F3}"/>
  </w:font>
  <w:font w:name="Tahoma">
    <w:panose1 w:val="020B0604030504040204"/>
    <w:charset w:val="00"/>
    <w:family w:val="swiss"/>
    <w:pitch w:val="variable"/>
    <w:sig w:usb0="E1002EFF" w:usb1="C000605B" w:usb2="00000029" w:usb3="00000000" w:csb0="000101FF" w:csb1="00000000"/>
    <w:embedBold r:id="rId11" w:fontKey="{E211E61E-A0B5-43EC-95C1-7708038ECC92}"/>
  </w:font>
  <w:font w:name="Garamond">
    <w:panose1 w:val="02020404030301010803"/>
    <w:charset w:val="00"/>
    <w:family w:val="roman"/>
    <w:pitch w:val="variable"/>
    <w:sig w:usb0="00000287" w:usb1="00000000" w:usb2="00000000" w:usb3="00000000" w:csb0="0000009F" w:csb1="00000000"/>
    <w:embedRegular r:id="rId12" w:fontKey="{000888AF-9E0B-4915-AD82-3A530F795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C24AB" w14:textId="77777777" w:rsidR="005B36D9" w:rsidRDefault="005B36D9">
    <w:pPr>
      <w:pBdr>
        <w:top w:val="nil"/>
        <w:left w:val="nil"/>
        <w:bottom w:val="nil"/>
        <w:right w:val="nil"/>
        <w:between w:val="nil"/>
      </w:pBdr>
      <w:tabs>
        <w:tab w:val="center" w:pos="4419"/>
        <w:tab w:val="right" w:pos="8838"/>
      </w:tabs>
      <w:jc w:val="right"/>
      <w:rPr>
        <w:color w:val="000000"/>
        <w:sz w:val="26"/>
        <w:szCs w:val="26"/>
      </w:rPr>
    </w:pPr>
  </w:p>
  <w:p w14:paraId="56F7A03E" w14:textId="4C45F799" w:rsidR="005B36D9" w:rsidRDefault="002608A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B7AB2">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B7AB2">
      <w:rPr>
        <w:b/>
        <w:noProof/>
        <w:color w:val="000000"/>
        <w:sz w:val="24"/>
        <w:szCs w:val="24"/>
      </w:rPr>
      <w:t>21</w:t>
    </w:r>
    <w:r>
      <w:rPr>
        <w:b/>
        <w:color w:val="000000"/>
        <w:sz w:val="24"/>
        <w:szCs w:val="24"/>
      </w:rPr>
      <w:fldChar w:fldCharType="end"/>
    </w:r>
  </w:p>
  <w:p w14:paraId="74CB487B" w14:textId="77777777" w:rsidR="005B36D9" w:rsidRDefault="005B36D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7A54E" w14:textId="77777777" w:rsidR="005B36D9" w:rsidRDefault="005B36D9">
    <w:pPr>
      <w:pBdr>
        <w:top w:val="nil"/>
        <w:left w:val="nil"/>
        <w:bottom w:val="nil"/>
        <w:right w:val="nil"/>
        <w:between w:val="nil"/>
      </w:pBdr>
      <w:tabs>
        <w:tab w:val="center" w:pos="4419"/>
        <w:tab w:val="right" w:pos="8838"/>
      </w:tabs>
      <w:jc w:val="right"/>
      <w:rPr>
        <w:color w:val="000000"/>
      </w:rPr>
    </w:pPr>
  </w:p>
  <w:p w14:paraId="714D5303" w14:textId="77777777" w:rsidR="005B36D9" w:rsidRDefault="002608A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B7AB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B7AB2">
      <w:rPr>
        <w:b/>
        <w:noProof/>
        <w:color w:val="000000"/>
        <w:sz w:val="24"/>
        <w:szCs w:val="24"/>
      </w:rPr>
      <w:t>21</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DDC03" w14:textId="77777777" w:rsidR="00A7004D" w:rsidRDefault="00A7004D">
      <w:r>
        <w:separator/>
      </w:r>
    </w:p>
  </w:footnote>
  <w:footnote w:type="continuationSeparator" w:id="0">
    <w:p w14:paraId="6F58E072" w14:textId="77777777" w:rsidR="00A7004D" w:rsidRDefault="00A70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C80FC" w14:textId="77777777" w:rsidR="005B36D9" w:rsidRDefault="005B36D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6692" w:type="dxa"/>
      <w:tblInd w:w="2375" w:type="dxa"/>
      <w:tblBorders>
        <w:top w:val="nil"/>
        <w:left w:val="nil"/>
        <w:bottom w:val="nil"/>
        <w:right w:val="nil"/>
        <w:insideH w:val="nil"/>
        <w:insideV w:val="nil"/>
      </w:tblBorders>
      <w:tblLayout w:type="fixed"/>
      <w:tblLook w:val="0400" w:firstRow="0" w:lastRow="0" w:firstColumn="0" w:lastColumn="0" w:noHBand="0" w:noVBand="1"/>
    </w:tblPr>
    <w:tblGrid>
      <w:gridCol w:w="2582"/>
      <w:gridCol w:w="4110"/>
    </w:tblGrid>
    <w:tr w:rsidR="005B36D9" w14:paraId="3EB2F5E7" w14:textId="77777777">
      <w:trPr>
        <w:trHeight w:val="147"/>
      </w:trPr>
      <w:tc>
        <w:tcPr>
          <w:tcW w:w="2582" w:type="dxa"/>
        </w:tcPr>
        <w:p w14:paraId="707D3104"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0" w:type="dxa"/>
        </w:tcPr>
        <w:p w14:paraId="0DCE4ED5"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06191/INFOEM/IP/RR/2025</w:t>
          </w:r>
        </w:p>
      </w:tc>
    </w:tr>
    <w:tr w:rsidR="005B36D9" w14:paraId="21A47ECB" w14:textId="77777777">
      <w:trPr>
        <w:trHeight w:val="147"/>
      </w:trPr>
      <w:tc>
        <w:tcPr>
          <w:tcW w:w="2582" w:type="dxa"/>
        </w:tcPr>
        <w:p w14:paraId="7290856B"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0" w:type="dxa"/>
        </w:tcPr>
        <w:p w14:paraId="2D5B464B"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Temamatla</w:t>
          </w:r>
        </w:p>
      </w:tc>
    </w:tr>
    <w:tr w:rsidR="005B36D9" w14:paraId="5A2A24A9" w14:textId="77777777">
      <w:trPr>
        <w:trHeight w:val="141"/>
      </w:trPr>
      <w:tc>
        <w:tcPr>
          <w:tcW w:w="2582" w:type="dxa"/>
        </w:tcPr>
        <w:p w14:paraId="3EA0F987"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0" w:type="dxa"/>
        </w:tcPr>
        <w:p w14:paraId="40918A55"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2A74B400" w14:textId="77777777" w:rsidR="005B36D9" w:rsidRDefault="005B36D9">
          <w:pPr>
            <w:tabs>
              <w:tab w:val="left" w:pos="1735"/>
              <w:tab w:val="right" w:pos="8838"/>
            </w:tabs>
            <w:spacing w:line="276" w:lineRule="auto"/>
            <w:ind w:left="-28"/>
            <w:jc w:val="both"/>
            <w:rPr>
              <w:rFonts w:ascii="Palatino Linotype" w:eastAsia="Palatino Linotype" w:hAnsi="Palatino Linotype" w:cs="Palatino Linotype"/>
              <w:sz w:val="22"/>
              <w:szCs w:val="22"/>
            </w:rPr>
          </w:pPr>
        </w:p>
      </w:tc>
    </w:tr>
  </w:tbl>
  <w:p w14:paraId="1DCD5E3C" w14:textId="77777777" w:rsidR="005B36D9" w:rsidRDefault="00FB7AB2">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4F409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9A2F5" w14:textId="77777777" w:rsidR="005B36D9" w:rsidRDefault="00FB7AB2">
    <w:r>
      <w:rPr>
        <w:rFonts w:ascii="Palatino Linotype" w:eastAsia="Palatino Linotype" w:hAnsi="Palatino Linotype" w:cs="Palatino Linotype"/>
        <w:b/>
        <w:sz w:val="22"/>
        <w:szCs w:val="22"/>
      </w:rPr>
      <w:pict w14:anchorId="3E9E9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0"/>
      <w:tblpPr w:leftFromText="141" w:rightFromText="141" w:vertAnchor="page" w:horzAnchor="margin" w:tblpY="55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89"/>
      <w:gridCol w:w="2539"/>
      <w:gridCol w:w="3832"/>
    </w:tblGrid>
    <w:tr w:rsidR="005B36D9" w14:paraId="539F6531" w14:textId="77777777">
      <w:trPr>
        <w:trHeight w:val="488"/>
      </w:trPr>
      <w:tc>
        <w:tcPr>
          <w:tcW w:w="2689" w:type="dxa"/>
          <w:vAlign w:val="bottom"/>
        </w:tcPr>
        <w:p w14:paraId="559D5470" w14:textId="77777777" w:rsidR="005B36D9" w:rsidRDefault="005B36D9">
          <w:pPr>
            <w:tabs>
              <w:tab w:val="right" w:pos="8838"/>
            </w:tabs>
            <w:ind w:right="-105"/>
            <w:rPr>
              <w:rFonts w:ascii="Palatino Linotype" w:eastAsia="Palatino Linotype" w:hAnsi="Palatino Linotype" w:cs="Palatino Linotype"/>
              <w:b/>
              <w:sz w:val="22"/>
              <w:szCs w:val="22"/>
            </w:rPr>
          </w:pPr>
        </w:p>
      </w:tc>
      <w:tc>
        <w:tcPr>
          <w:tcW w:w="2539" w:type="dxa"/>
          <w:vAlign w:val="bottom"/>
        </w:tcPr>
        <w:p w14:paraId="0FBD38D0" w14:textId="77777777" w:rsidR="005B36D9" w:rsidRDefault="002608A0">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vAlign w:val="bottom"/>
        </w:tcPr>
        <w:p w14:paraId="69393B28" w14:textId="77777777" w:rsidR="005B36D9" w:rsidRPr="00B12164" w:rsidRDefault="002608A0">
          <w:pPr>
            <w:tabs>
              <w:tab w:val="right" w:pos="8838"/>
            </w:tabs>
            <w:spacing w:line="276" w:lineRule="auto"/>
            <w:ind w:left="-28" w:right="39"/>
            <w:jc w:val="both"/>
            <w:rPr>
              <w:rFonts w:ascii="Palatino Linotype" w:eastAsia="Palatino Linotype" w:hAnsi="Palatino Linotype" w:cs="Palatino Linotype"/>
              <w:bCs/>
              <w:sz w:val="22"/>
              <w:szCs w:val="22"/>
            </w:rPr>
          </w:pPr>
          <w:r w:rsidRPr="00B12164">
            <w:rPr>
              <w:rFonts w:ascii="Palatino Linotype" w:eastAsia="Palatino Linotype" w:hAnsi="Palatino Linotype" w:cs="Palatino Linotype"/>
              <w:bCs/>
              <w:sz w:val="22"/>
              <w:szCs w:val="22"/>
            </w:rPr>
            <w:t>06191/INFOEM/IP/RR/2025</w:t>
          </w:r>
        </w:p>
      </w:tc>
    </w:tr>
    <w:tr w:rsidR="005B36D9" w14:paraId="4C83A11E" w14:textId="77777777">
      <w:trPr>
        <w:trHeight w:val="124"/>
      </w:trPr>
      <w:tc>
        <w:tcPr>
          <w:tcW w:w="2689" w:type="dxa"/>
        </w:tcPr>
        <w:p w14:paraId="24F9E5B7" w14:textId="77777777" w:rsidR="005B36D9" w:rsidRDefault="005B36D9">
          <w:pPr>
            <w:tabs>
              <w:tab w:val="right" w:pos="8838"/>
            </w:tabs>
            <w:ind w:right="-105"/>
            <w:rPr>
              <w:rFonts w:ascii="Palatino Linotype" w:eastAsia="Palatino Linotype" w:hAnsi="Palatino Linotype" w:cs="Palatino Linotype"/>
              <w:b/>
              <w:sz w:val="22"/>
              <w:szCs w:val="22"/>
            </w:rPr>
          </w:pPr>
        </w:p>
      </w:tc>
      <w:tc>
        <w:tcPr>
          <w:tcW w:w="2539" w:type="dxa"/>
        </w:tcPr>
        <w:p w14:paraId="21EE59F3" w14:textId="77777777" w:rsidR="005B36D9" w:rsidRDefault="002608A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832" w:type="dxa"/>
        </w:tcPr>
        <w:p w14:paraId="4FFD8928" w14:textId="732E335E" w:rsidR="005B36D9" w:rsidRDefault="00FB7AB2">
          <w:pPr>
            <w:tabs>
              <w:tab w:val="right" w:pos="8838"/>
            </w:tabs>
            <w:spacing w:line="276" w:lineRule="auto"/>
            <w:ind w:right="39"/>
            <w:jc w:val="both"/>
            <w:rPr>
              <w:rFonts w:ascii="Palatino Linotype" w:eastAsia="Palatino Linotype" w:hAnsi="Palatino Linotype" w:cs="Palatino Linotype"/>
              <w:sz w:val="22"/>
              <w:szCs w:val="22"/>
            </w:rPr>
          </w:pPr>
          <w:r>
            <w:rPr>
              <w:b/>
              <w:highlight w:val="black"/>
            </w:rPr>
            <w:t>XXXXXXXXXXXXXXXXXXXX</w:t>
          </w:r>
        </w:p>
      </w:tc>
    </w:tr>
    <w:tr w:rsidR="005B36D9" w14:paraId="1AE5F294" w14:textId="77777777">
      <w:trPr>
        <w:trHeight w:val="245"/>
      </w:trPr>
      <w:tc>
        <w:tcPr>
          <w:tcW w:w="2689" w:type="dxa"/>
        </w:tcPr>
        <w:p w14:paraId="70C8D0B7" w14:textId="77777777" w:rsidR="005B36D9" w:rsidRDefault="005B36D9">
          <w:pPr>
            <w:tabs>
              <w:tab w:val="right" w:pos="8838"/>
            </w:tabs>
            <w:ind w:right="-105"/>
            <w:rPr>
              <w:rFonts w:ascii="Palatino Linotype" w:eastAsia="Palatino Linotype" w:hAnsi="Palatino Linotype" w:cs="Palatino Linotype"/>
              <w:b/>
              <w:sz w:val="22"/>
              <w:szCs w:val="22"/>
            </w:rPr>
          </w:pPr>
        </w:p>
      </w:tc>
      <w:tc>
        <w:tcPr>
          <w:tcW w:w="2539" w:type="dxa"/>
        </w:tcPr>
        <w:p w14:paraId="62FBEDFF" w14:textId="77777777" w:rsidR="005B36D9" w:rsidRDefault="002608A0">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tcPr>
        <w:p w14:paraId="75E630AA" w14:textId="77777777" w:rsidR="005B36D9" w:rsidRDefault="002608A0">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Temamatla</w:t>
          </w:r>
        </w:p>
      </w:tc>
    </w:tr>
    <w:tr w:rsidR="005B36D9" w14:paraId="61C3C160" w14:textId="77777777">
      <w:trPr>
        <w:trHeight w:val="245"/>
      </w:trPr>
      <w:tc>
        <w:tcPr>
          <w:tcW w:w="2689" w:type="dxa"/>
        </w:tcPr>
        <w:p w14:paraId="0297E552" w14:textId="77777777" w:rsidR="005B36D9" w:rsidRDefault="005B36D9">
          <w:pPr>
            <w:tabs>
              <w:tab w:val="right" w:pos="8838"/>
            </w:tabs>
            <w:ind w:right="-105"/>
            <w:rPr>
              <w:rFonts w:ascii="Palatino Linotype" w:eastAsia="Palatino Linotype" w:hAnsi="Palatino Linotype" w:cs="Palatino Linotype"/>
              <w:b/>
              <w:sz w:val="22"/>
              <w:szCs w:val="22"/>
            </w:rPr>
          </w:pPr>
        </w:p>
      </w:tc>
      <w:tc>
        <w:tcPr>
          <w:tcW w:w="2539" w:type="dxa"/>
        </w:tcPr>
        <w:p w14:paraId="18452E31" w14:textId="77777777" w:rsidR="005B36D9" w:rsidRDefault="002608A0">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832" w:type="dxa"/>
        </w:tcPr>
        <w:p w14:paraId="3109D882" w14:textId="77777777" w:rsidR="005B36D9" w:rsidRDefault="002608A0">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DDE6B06" w14:textId="77777777" w:rsidR="005B36D9" w:rsidRDefault="005B36D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14BD8"/>
    <w:multiLevelType w:val="multilevel"/>
    <w:tmpl w:val="D638D35A"/>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626D68"/>
    <w:multiLevelType w:val="multilevel"/>
    <w:tmpl w:val="F3964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6D9"/>
    <w:rsid w:val="000D4FDD"/>
    <w:rsid w:val="002608A0"/>
    <w:rsid w:val="00262AB4"/>
    <w:rsid w:val="003140C2"/>
    <w:rsid w:val="004843C8"/>
    <w:rsid w:val="005B36D9"/>
    <w:rsid w:val="0065194F"/>
    <w:rsid w:val="009A44E2"/>
    <w:rsid w:val="00A7004D"/>
    <w:rsid w:val="00A90E21"/>
    <w:rsid w:val="00B12164"/>
    <w:rsid w:val="00C17E86"/>
    <w:rsid w:val="00E43222"/>
    <w:rsid w:val="00FB7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09066"/>
  <w15:docId w15:val="{4B6AEC83-2DB5-484E-B58E-D143FF4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rPr>
      <w:lang w:eastAsia="es-MX"/>
    </w:r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swBuDx0z51QAqRGq35Gp/rAlcg==">CgMxLjAyDmguOWR1czBxOG5qOWk1Mg5oLndhcHloemRoejcwejIOaC5yY2V1eXVhMTRobG4yDmguNTZwYzEzeHNoaWZ4Mg5oLmFyN2llMXhzMjRncjIOaC44NWdnY2F6OHVuNncyDmguMzF2NWhhdmtsMWQzMg5oLmZmOGo2Y3RrbTZlZDIOaC56M2JqZWU5ejRzZ3IyDmgueTRrZmdzc3JlMGU2Mg5oLmZlcmhyMWQzYnhnZTIOaC53MWVzcjZ0aTRoY2EyDmguM3RoaDFiZjVndnBiMg5oLnV4N3VmZGRxZmE3bzgAciExU3ZnQjZGMkp4cVdGNWRobEdjYncwb0REUjcyckZ3OX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59E2ED-5A92-452D-BA49-D904EDBC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4509</Words>
  <Characters>24804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Infoem-401</cp:lastModifiedBy>
  <cp:revision>5</cp:revision>
  <cp:lastPrinted>2025-08-08T06:09:00Z</cp:lastPrinted>
  <dcterms:created xsi:type="dcterms:W3CDTF">2025-08-08T06:09:00Z</dcterms:created>
  <dcterms:modified xsi:type="dcterms:W3CDTF">2025-09-25T21:13:00Z</dcterms:modified>
</cp:coreProperties>
</file>