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5A4C" w14:textId="77777777" w:rsidR="00A16422" w:rsidRPr="00DD2CF2" w:rsidRDefault="00A16422" w:rsidP="00B8181F">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62B1CF01" w14:textId="1DDE6CA3" w:rsidR="00A16422" w:rsidRPr="00444D59" w:rsidRDefault="00A16422" w:rsidP="00444D59">
          <w:pPr>
            <w:pStyle w:val="TtuloTDC"/>
            <w:spacing w:before="0" w:line="360" w:lineRule="auto"/>
            <w:contextualSpacing/>
            <w:jc w:val="center"/>
            <w:rPr>
              <w:rFonts w:ascii="Palatino Linotype" w:hAnsi="Palatino Linotype"/>
              <w:color w:val="auto"/>
              <w:sz w:val="22"/>
              <w:szCs w:val="22"/>
            </w:rPr>
          </w:pPr>
          <w:r w:rsidRPr="00444D59">
            <w:rPr>
              <w:rFonts w:ascii="Palatino Linotype" w:hAnsi="Palatino Linotype"/>
              <w:color w:val="auto"/>
              <w:sz w:val="22"/>
              <w:szCs w:val="22"/>
              <w:lang w:val="es-ES"/>
            </w:rPr>
            <w:t xml:space="preserve">RESOLUCIÓN DEL RECURSO DE REVISIÓN </w:t>
          </w:r>
          <w:r w:rsidRPr="00444D59">
            <w:rPr>
              <w:rFonts w:ascii="Palatino Linotype" w:hAnsi="Palatino Linotype"/>
              <w:color w:val="auto"/>
              <w:sz w:val="22"/>
              <w:szCs w:val="22"/>
            </w:rPr>
            <w:t xml:space="preserve">06781/INFOEM/IP/RR/2025 </w:t>
          </w:r>
        </w:p>
        <w:p w14:paraId="5A5F3872" w14:textId="77777777" w:rsidR="00A16422" w:rsidRPr="00444D59" w:rsidRDefault="00A16422" w:rsidP="00444D59">
          <w:pPr>
            <w:pStyle w:val="TtuloTDC"/>
            <w:spacing w:before="0" w:line="360" w:lineRule="auto"/>
            <w:contextualSpacing/>
            <w:rPr>
              <w:rFonts w:ascii="Palatino Linotype" w:hAnsi="Palatino Linotype"/>
              <w:color w:val="auto"/>
              <w:sz w:val="22"/>
              <w:szCs w:val="22"/>
            </w:rPr>
          </w:pPr>
        </w:p>
        <w:p w14:paraId="035D3668" w14:textId="5526AA70" w:rsidR="0014011B" w:rsidRPr="0014011B" w:rsidRDefault="00A16422">
          <w:pPr>
            <w:pStyle w:val="TDC1"/>
            <w:tabs>
              <w:tab w:val="right" w:leader="dot" w:pos="8828"/>
            </w:tabs>
            <w:rPr>
              <w:rFonts w:cstheme="minorBidi"/>
              <w:noProof/>
            </w:rPr>
          </w:pPr>
          <w:r w:rsidRPr="00444D59">
            <w:rPr>
              <w:rFonts w:ascii="Palatino Linotype" w:eastAsia="Palatino Linotype" w:hAnsi="Palatino Linotype" w:cs="Palatino Linotype"/>
              <w:color w:val="000000" w:themeColor="text1"/>
            </w:rPr>
            <w:fldChar w:fldCharType="begin"/>
          </w:r>
          <w:r w:rsidRPr="00444D59">
            <w:rPr>
              <w:rFonts w:ascii="Palatino Linotype" w:hAnsi="Palatino Linotype"/>
            </w:rPr>
            <w:instrText xml:space="preserve"> TOC \o "1-3" \h \z \u </w:instrText>
          </w:r>
          <w:r w:rsidRPr="00444D59">
            <w:rPr>
              <w:rFonts w:ascii="Palatino Linotype" w:eastAsia="Palatino Linotype" w:hAnsi="Palatino Linotype" w:cs="Palatino Linotype"/>
              <w:color w:val="000000" w:themeColor="text1"/>
            </w:rPr>
            <w:fldChar w:fldCharType="separate"/>
          </w:r>
          <w:hyperlink w:anchor="_Toc205480729" w:history="1">
            <w:r w:rsidR="0014011B" w:rsidRPr="0014011B">
              <w:rPr>
                <w:rStyle w:val="Hipervnculo"/>
                <w:rFonts w:ascii="Palatino Linotype" w:hAnsi="Palatino Linotype"/>
                <w:bCs/>
                <w:noProof/>
              </w:rPr>
              <w:t>A N T E C E D E N T E S</w:t>
            </w:r>
            <w:r w:rsidR="0014011B" w:rsidRPr="0014011B">
              <w:rPr>
                <w:noProof/>
                <w:webHidden/>
              </w:rPr>
              <w:tab/>
            </w:r>
            <w:r w:rsidR="0014011B" w:rsidRPr="0014011B">
              <w:rPr>
                <w:noProof/>
                <w:webHidden/>
              </w:rPr>
              <w:fldChar w:fldCharType="begin"/>
            </w:r>
            <w:r w:rsidR="0014011B" w:rsidRPr="0014011B">
              <w:rPr>
                <w:noProof/>
                <w:webHidden/>
              </w:rPr>
              <w:instrText xml:space="preserve"> PAGEREF _Toc205480729 \h </w:instrText>
            </w:r>
            <w:r w:rsidR="0014011B" w:rsidRPr="0014011B">
              <w:rPr>
                <w:noProof/>
                <w:webHidden/>
              </w:rPr>
            </w:r>
            <w:r w:rsidR="0014011B" w:rsidRPr="0014011B">
              <w:rPr>
                <w:noProof/>
                <w:webHidden/>
              </w:rPr>
              <w:fldChar w:fldCharType="separate"/>
            </w:r>
            <w:r w:rsidR="00842492">
              <w:rPr>
                <w:noProof/>
                <w:webHidden/>
              </w:rPr>
              <w:t>2</w:t>
            </w:r>
            <w:r w:rsidR="0014011B" w:rsidRPr="0014011B">
              <w:rPr>
                <w:noProof/>
                <w:webHidden/>
              </w:rPr>
              <w:fldChar w:fldCharType="end"/>
            </w:r>
          </w:hyperlink>
        </w:p>
        <w:p w14:paraId="29FCF1A3" w14:textId="1B3B1946" w:rsidR="0014011B" w:rsidRPr="0014011B" w:rsidRDefault="0014011B">
          <w:pPr>
            <w:pStyle w:val="TDC2"/>
            <w:tabs>
              <w:tab w:val="right" w:leader="dot" w:pos="8828"/>
            </w:tabs>
            <w:rPr>
              <w:rFonts w:cstheme="minorBidi"/>
              <w:noProof/>
            </w:rPr>
          </w:pPr>
          <w:hyperlink w:anchor="_Toc205480730" w:history="1">
            <w:r w:rsidRPr="0014011B">
              <w:rPr>
                <w:rStyle w:val="Hipervnculo"/>
                <w:rFonts w:ascii="Palatino Linotype" w:hAnsi="Palatino Linotype"/>
                <w:bCs/>
                <w:noProof/>
              </w:rPr>
              <w:t>I. Presentación de la solicitud de información</w:t>
            </w:r>
            <w:r w:rsidRPr="0014011B">
              <w:rPr>
                <w:noProof/>
                <w:webHidden/>
              </w:rPr>
              <w:tab/>
            </w:r>
            <w:r w:rsidRPr="0014011B">
              <w:rPr>
                <w:noProof/>
                <w:webHidden/>
              </w:rPr>
              <w:fldChar w:fldCharType="begin"/>
            </w:r>
            <w:r w:rsidRPr="0014011B">
              <w:rPr>
                <w:noProof/>
                <w:webHidden/>
              </w:rPr>
              <w:instrText xml:space="preserve"> PAGEREF _Toc205480730 \h </w:instrText>
            </w:r>
            <w:r w:rsidRPr="0014011B">
              <w:rPr>
                <w:noProof/>
                <w:webHidden/>
              </w:rPr>
            </w:r>
            <w:r w:rsidRPr="0014011B">
              <w:rPr>
                <w:noProof/>
                <w:webHidden/>
              </w:rPr>
              <w:fldChar w:fldCharType="separate"/>
            </w:r>
            <w:r w:rsidR="00842492">
              <w:rPr>
                <w:noProof/>
                <w:webHidden/>
              </w:rPr>
              <w:t>2</w:t>
            </w:r>
            <w:r w:rsidRPr="0014011B">
              <w:rPr>
                <w:noProof/>
                <w:webHidden/>
              </w:rPr>
              <w:fldChar w:fldCharType="end"/>
            </w:r>
          </w:hyperlink>
        </w:p>
        <w:p w14:paraId="67CEBEBC" w14:textId="0EE23815" w:rsidR="0014011B" w:rsidRPr="0014011B" w:rsidRDefault="0014011B">
          <w:pPr>
            <w:pStyle w:val="TDC2"/>
            <w:tabs>
              <w:tab w:val="right" w:leader="dot" w:pos="8828"/>
            </w:tabs>
            <w:rPr>
              <w:rFonts w:cstheme="minorBidi"/>
              <w:noProof/>
            </w:rPr>
          </w:pPr>
          <w:hyperlink w:anchor="_Toc205480731" w:history="1">
            <w:r w:rsidRPr="0014011B">
              <w:rPr>
                <w:rStyle w:val="Hipervnculo"/>
                <w:rFonts w:ascii="Palatino Linotype" w:hAnsi="Palatino Linotype"/>
                <w:bCs/>
                <w:noProof/>
              </w:rPr>
              <w:t>II. Respuesta del Sujeto Obligado</w:t>
            </w:r>
            <w:r w:rsidRPr="0014011B">
              <w:rPr>
                <w:noProof/>
                <w:webHidden/>
              </w:rPr>
              <w:tab/>
            </w:r>
            <w:r w:rsidRPr="0014011B">
              <w:rPr>
                <w:noProof/>
                <w:webHidden/>
              </w:rPr>
              <w:fldChar w:fldCharType="begin"/>
            </w:r>
            <w:r w:rsidRPr="0014011B">
              <w:rPr>
                <w:noProof/>
                <w:webHidden/>
              </w:rPr>
              <w:instrText xml:space="preserve"> PAGEREF _Toc205480731 \h </w:instrText>
            </w:r>
            <w:r w:rsidRPr="0014011B">
              <w:rPr>
                <w:noProof/>
                <w:webHidden/>
              </w:rPr>
            </w:r>
            <w:r w:rsidRPr="0014011B">
              <w:rPr>
                <w:noProof/>
                <w:webHidden/>
              </w:rPr>
              <w:fldChar w:fldCharType="separate"/>
            </w:r>
            <w:r w:rsidR="00842492">
              <w:rPr>
                <w:noProof/>
                <w:webHidden/>
              </w:rPr>
              <w:t>3</w:t>
            </w:r>
            <w:r w:rsidRPr="0014011B">
              <w:rPr>
                <w:noProof/>
                <w:webHidden/>
              </w:rPr>
              <w:fldChar w:fldCharType="end"/>
            </w:r>
          </w:hyperlink>
        </w:p>
        <w:p w14:paraId="0178238E" w14:textId="48A4E073" w:rsidR="0014011B" w:rsidRPr="0014011B" w:rsidRDefault="0014011B">
          <w:pPr>
            <w:pStyle w:val="TDC2"/>
            <w:tabs>
              <w:tab w:val="right" w:leader="dot" w:pos="8828"/>
            </w:tabs>
            <w:rPr>
              <w:rFonts w:cstheme="minorBidi"/>
              <w:noProof/>
            </w:rPr>
          </w:pPr>
          <w:hyperlink w:anchor="_Toc205480732" w:history="1">
            <w:r w:rsidRPr="0014011B">
              <w:rPr>
                <w:rStyle w:val="Hipervnculo"/>
                <w:rFonts w:ascii="Palatino Linotype" w:hAnsi="Palatino Linotype"/>
                <w:bCs/>
                <w:noProof/>
              </w:rPr>
              <w:t>III. Interposición del Recurso de Revisión</w:t>
            </w:r>
            <w:r w:rsidRPr="0014011B">
              <w:rPr>
                <w:noProof/>
                <w:webHidden/>
              </w:rPr>
              <w:tab/>
            </w:r>
            <w:r w:rsidRPr="0014011B">
              <w:rPr>
                <w:noProof/>
                <w:webHidden/>
              </w:rPr>
              <w:fldChar w:fldCharType="begin"/>
            </w:r>
            <w:r w:rsidRPr="0014011B">
              <w:rPr>
                <w:noProof/>
                <w:webHidden/>
              </w:rPr>
              <w:instrText xml:space="preserve"> PAGEREF _Toc205480732 \h </w:instrText>
            </w:r>
            <w:r w:rsidRPr="0014011B">
              <w:rPr>
                <w:noProof/>
                <w:webHidden/>
              </w:rPr>
            </w:r>
            <w:r w:rsidRPr="0014011B">
              <w:rPr>
                <w:noProof/>
                <w:webHidden/>
              </w:rPr>
              <w:fldChar w:fldCharType="separate"/>
            </w:r>
            <w:r w:rsidR="00842492">
              <w:rPr>
                <w:noProof/>
                <w:webHidden/>
              </w:rPr>
              <w:t>3</w:t>
            </w:r>
            <w:r w:rsidRPr="0014011B">
              <w:rPr>
                <w:noProof/>
                <w:webHidden/>
              </w:rPr>
              <w:fldChar w:fldCharType="end"/>
            </w:r>
          </w:hyperlink>
        </w:p>
        <w:p w14:paraId="78F8B3EF" w14:textId="4F741B07" w:rsidR="0014011B" w:rsidRPr="0014011B" w:rsidRDefault="0014011B">
          <w:pPr>
            <w:pStyle w:val="TDC2"/>
            <w:tabs>
              <w:tab w:val="right" w:leader="dot" w:pos="8828"/>
            </w:tabs>
            <w:rPr>
              <w:rFonts w:cstheme="minorBidi"/>
              <w:noProof/>
            </w:rPr>
          </w:pPr>
          <w:hyperlink w:anchor="_Toc205480733" w:history="1">
            <w:r w:rsidRPr="0014011B">
              <w:rPr>
                <w:rStyle w:val="Hipervnculo"/>
                <w:rFonts w:ascii="Palatino Linotype" w:hAnsi="Palatino Linotype"/>
                <w:bCs/>
                <w:noProof/>
              </w:rPr>
              <w:t xml:space="preserve">IV. </w:t>
            </w:r>
            <w:r w:rsidRPr="0014011B">
              <w:rPr>
                <w:rStyle w:val="Hipervnculo"/>
                <w:rFonts w:ascii="Palatino Linotype" w:eastAsia="Batang" w:hAnsi="Palatino Linotype"/>
                <w:bCs/>
                <w:noProof/>
              </w:rPr>
              <w:t xml:space="preserve">Trámite del </w:t>
            </w:r>
            <w:r w:rsidRPr="0014011B">
              <w:rPr>
                <w:rStyle w:val="Hipervnculo"/>
                <w:rFonts w:ascii="Palatino Linotype" w:hAnsi="Palatino Linotype"/>
                <w:bCs/>
                <w:noProof/>
              </w:rPr>
              <w:t xml:space="preserve">Recurso de Revisión </w:t>
            </w:r>
            <w:r w:rsidRPr="0014011B">
              <w:rPr>
                <w:rStyle w:val="Hipervnculo"/>
                <w:rFonts w:ascii="Palatino Linotype" w:eastAsia="Batang" w:hAnsi="Palatino Linotype"/>
                <w:bCs/>
                <w:noProof/>
              </w:rPr>
              <w:t>ante este Instituto</w:t>
            </w:r>
            <w:r w:rsidRPr="0014011B">
              <w:rPr>
                <w:noProof/>
                <w:webHidden/>
              </w:rPr>
              <w:tab/>
            </w:r>
            <w:r w:rsidRPr="0014011B">
              <w:rPr>
                <w:noProof/>
                <w:webHidden/>
              </w:rPr>
              <w:fldChar w:fldCharType="begin"/>
            </w:r>
            <w:r w:rsidRPr="0014011B">
              <w:rPr>
                <w:noProof/>
                <w:webHidden/>
              </w:rPr>
              <w:instrText xml:space="preserve"> PAGEREF _Toc205480733 \h </w:instrText>
            </w:r>
            <w:r w:rsidRPr="0014011B">
              <w:rPr>
                <w:noProof/>
                <w:webHidden/>
              </w:rPr>
            </w:r>
            <w:r w:rsidRPr="0014011B">
              <w:rPr>
                <w:noProof/>
                <w:webHidden/>
              </w:rPr>
              <w:fldChar w:fldCharType="separate"/>
            </w:r>
            <w:r w:rsidR="00842492">
              <w:rPr>
                <w:noProof/>
                <w:webHidden/>
              </w:rPr>
              <w:t>4</w:t>
            </w:r>
            <w:r w:rsidRPr="0014011B">
              <w:rPr>
                <w:noProof/>
                <w:webHidden/>
              </w:rPr>
              <w:fldChar w:fldCharType="end"/>
            </w:r>
          </w:hyperlink>
        </w:p>
        <w:p w14:paraId="781BBE40" w14:textId="3D3F0F77" w:rsidR="0014011B" w:rsidRPr="0014011B" w:rsidRDefault="0014011B">
          <w:pPr>
            <w:pStyle w:val="TDC1"/>
            <w:tabs>
              <w:tab w:val="right" w:leader="dot" w:pos="8828"/>
            </w:tabs>
            <w:rPr>
              <w:rFonts w:cstheme="minorBidi"/>
              <w:noProof/>
            </w:rPr>
          </w:pPr>
          <w:hyperlink w:anchor="_Toc205480734" w:history="1">
            <w:r w:rsidRPr="0014011B">
              <w:rPr>
                <w:rStyle w:val="Hipervnculo"/>
                <w:rFonts w:ascii="Palatino Linotype" w:hAnsi="Palatino Linotype"/>
                <w:bCs/>
                <w:noProof/>
              </w:rPr>
              <w:t>C O N S I D E R A N D O S</w:t>
            </w:r>
            <w:r w:rsidRPr="0014011B">
              <w:rPr>
                <w:noProof/>
                <w:webHidden/>
              </w:rPr>
              <w:tab/>
            </w:r>
            <w:r w:rsidRPr="0014011B">
              <w:rPr>
                <w:noProof/>
                <w:webHidden/>
              </w:rPr>
              <w:fldChar w:fldCharType="begin"/>
            </w:r>
            <w:r w:rsidRPr="0014011B">
              <w:rPr>
                <w:noProof/>
                <w:webHidden/>
              </w:rPr>
              <w:instrText xml:space="preserve"> PAGEREF _Toc205480734 \h </w:instrText>
            </w:r>
            <w:r w:rsidRPr="0014011B">
              <w:rPr>
                <w:noProof/>
                <w:webHidden/>
              </w:rPr>
            </w:r>
            <w:r w:rsidRPr="0014011B">
              <w:rPr>
                <w:noProof/>
                <w:webHidden/>
              </w:rPr>
              <w:fldChar w:fldCharType="separate"/>
            </w:r>
            <w:r w:rsidR="00842492">
              <w:rPr>
                <w:noProof/>
                <w:webHidden/>
              </w:rPr>
              <w:t>5</w:t>
            </w:r>
            <w:r w:rsidRPr="0014011B">
              <w:rPr>
                <w:noProof/>
                <w:webHidden/>
              </w:rPr>
              <w:fldChar w:fldCharType="end"/>
            </w:r>
          </w:hyperlink>
        </w:p>
        <w:p w14:paraId="5B5E8E51" w14:textId="587461D5" w:rsidR="0014011B" w:rsidRPr="0014011B" w:rsidRDefault="0014011B">
          <w:pPr>
            <w:pStyle w:val="TDC2"/>
            <w:tabs>
              <w:tab w:val="right" w:leader="dot" w:pos="8828"/>
            </w:tabs>
            <w:rPr>
              <w:rFonts w:cstheme="minorBidi"/>
              <w:noProof/>
            </w:rPr>
          </w:pPr>
          <w:hyperlink w:anchor="_Toc205480735" w:history="1">
            <w:r w:rsidRPr="0014011B">
              <w:rPr>
                <w:rStyle w:val="Hipervnculo"/>
                <w:rFonts w:ascii="Palatino Linotype" w:hAnsi="Palatino Linotype"/>
                <w:bCs/>
                <w:noProof/>
              </w:rPr>
              <w:t>PRIMERO. Competencia</w:t>
            </w:r>
            <w:r w:rsidRPr="0014011B">
              <w:rPr>
                <w:noProof/>
                <w:webHidden/>
              </w:rPr>
              <w:tab/>
            </w:r>
            <w:r w:rsidRPr="0014011B">
              <w:rPr>
                <w:noProof/>
                <w:webHidden/>
              </w:rPr>
              <w:fldChar w:fldCharType="begin"/>
            </w:r>
            <w:r w:rsidRPr="0014011B">
              <w:rPr>
                <w:noProof/>
                <w:webHidden/>
              </w:rPr>
              <w:instrText xml:space="preserve"> PAGEREF _Toc205480735 \h </w:instrText>
            </w:r>
            <w:r w:rsidRPr="0014011B">
              <w:rPr>
                <w:noProof/>
                <w:webHidden/>
              </w:rPr>
            </w:r>
            <w:r w:rsidRPr="0014011B">
              <w:rPr>
                <w:noProof/>
                <w:webHidden/>
              </w:rPr>
              <w:fldChar w:fldCharType="separate"/>
            </w:r>
            <w:r w:rsidR="00842492">
              <w:rPr>
                <w:noProof/>
                <w:webHidden/>
              </w:rPr>
              <w:t>5</w:t>
            </w:r>
            <w:r w:rsidRPr="0014011B">
              <w:rPr>
                <w:noProof/>
                <w:webHidden/>
              </w:rPr>
              <w:fldChar w:fldCharType="end"/>
            </w:r>
          </w:hyperlink>
        </w:p>
        <w:p w14:paraId="55869703" w14:textId="5D8E3046" w:rsidR="0014011B" w:rsidRPr="0014011B" w:rsidRDefault="0014011B">
          <w:pPr>
            <w:pStyle w:val="TDC2"/>
            <w:tabs>
              <w:tab w:val="right" w:leader="dot" w:pos="8828"/>
            </w:tabs>
            <w:rPr>
              <w:rFonts w:cstheme="minorBidi"/>
              <w:noProof/>
            </w:rPr>
          </w:pPr>
          <w:hyperlink w:anchor="_Toc205480736" w:history="1">
            <w:r w:rsidRPr="0014011B">
              <w:rPr>
                <w:rStyle w:val="Hipervnculo"/>
                <w:rFonts w:ascii="Palatino Linotype" w:eastAsia="Calibri" w:hAnsi="Palatino Linotype"/>
                <w:bCs/>
                <w:noProof/>
                <w:lang w:val="es-ES"/>
              </w:rPr>
              <w:t xml:space="preserve">SEGUNDO. </w:t>
            </w:r>
            <w:r w:rsidRPr="0014011B">
              <w:rPr>
                <w:rStyle w:val="Hipervnculo"/>
                <w:rFonts w:ascii="Palatino Linotype" w:hAnsi="Palatino Linotype"/>
                <w:bCs/>
                <w:noProof/>
                <w:lang w:val="es-ES"/>
              </w:rPr>
              <w:t>Causales de improcedencia y sobreseimiento</w:t>
            </w:r>
            <w:r w:rsidRPr="0014011B">
              <w:rPr>
                <w:noProof/>
                <w:webHidden/>
              </w:rPr>
              <w:tab/>
            </w:r>
            <w:r w:rsidRPr="0014011B">
              <w:rPr>
                <w:noProof/>
                <w:webHidden/>
              </w:rPr>
              <w:fldChar w:fldCharType="begin"/>
            </w:r>
            <w:r w:rsidRPr="0014011B">
              <w:rPr>
                <w:noProof/>
                <w:webHidden/>
              </w:rPr>
              <w:instrText xml:space="preserve"> PAGEREF _Toc205480736 \h </w:instrText>
            </w:r>
            <w:r w:rsidRPr="0014011B">
              <w:rPr>
                <w:noProof/>
                <w:webHidden/>
              </w:rPr>
            </w:r>
            <w:r w:rsidRPr="0014011B">
              <w:rPr>
                <w:noProof/>
                <w:webHidden/>
              </w:rPr>
              <w:fldChar w:fldCharType="separate"/>
            </w:r>
            <w:r w:rsidR="00842492">
              <w:rPr>
                <w:noProof/>
                <w:webHidden/>
              </w:rPr>
              <w:t>5</w:t>
            </w:r>
            <w:r w:rsidRPr="0014011B">
              <w:rPr>
                <w:noProof/>
                <w:webHidden/>
              </w:rPr>
              <w:fldChar w:fldCharType="end"/>
            </w:r>
          </w:hyperlink>
        </w:p>
        <w:p w14:paraId="275C22E9" w14:textId="28BA664A" w:rsidR="0014011B" w:rsidRPr="0014011B" w:rsidRDefault="0014011B">
          <w:pPr>
            <w:pStyle w:val="TDC2"/>
            <w:tabs>
              <w:tab w:val="right" w:leader="dot" w:pos="8828"/>
            </w:tabs>
            <w:rPr>
              <w:rFonts w:cstheme="minorBidi"/>
              <w:noProof/>
            </w:rPr>
          </w:pPr>
          <w:hyperlink w:anchor="_Toc205480737" w:history="1">
            <w:r w:rsidRPr="0014011B">
              <w:rPr>
                <w:rStyle w:val="Hipervnculo"/>
                <w:rFonts w:ascii="Palatino Linotype" w:eastAsia="Calibri" w:hAnsi="Palatino Linotype"/>
                <w:bCs/>
                <w:noProof/>
                <w:lang w:val="es-ES" w:eastAsia="es-ES_tradnl"/>
              </w:rPr>
              <w:t>TERCERO. Determinación de la Controversia</w:t>
            </w:r>
            <w:r w:rsidRPr="0014011B">
              <w:rPr>
                <w:noProof/>
                <w:webHidden/>
              </w:rPr>
              <w:tab/>
            </w:r>
            <w:r w:rsidRPr="0014011B">
              <w:rPr>
                <w:noProof/>
                <w:webHidden/>
              </w:rPr>
              <w:fldChar w:fldCharType="begin"/>
            </w:r>
            <w:r w:rsidRPr="0014011B">
              <w:rPr>
                <w:noProof/>
                <w:webHidden/>
              </w:rPr>
              <w:instrText xml:space="preserve"> PAGEREF _Toc205480737 \h </w:instrText>
            </w:r>
            <w:r w:rsidRPr="0014011B">
              <w:rPr>
                <w:noProof/>
                <w:webHidden/>
              </w:rPr>
            </w:r>
            <w:r w:rsidRPr="0014011B">
              <w:rPr>
                <w:noProof/>
                <w:webHidden/>
              </w:rPr>
              <w:fldChar w:fldCharType="separate"/>
            </w:r>
            <w:r w:rsidR="00842492">
              <w:rPr>
                <w:noProof/>
                <w:webHidden/>
              </w:rPr>
              <w:t>7</w:t>
            </w:r>
            <w:r w:rsidRPr="0014011B">
              <w:rPr>
                <w:noProof/>
                <w:webHidden/>
              </w:rPr>
              <w:fldChar w:fldCharType="end"/>
            </w:r>
          </w:hyperlink>
        </w:p>
        <w:p w14:paraId="14B40FCD" w14:textId="31149D09" w:rsidR="0014011B" w:rsidRPr="0014011B" w:rsidRDefault="0014011B">
          <w:pPr>
            <w:pStyle w:val="TDC2"/>
            <w:tabs>
              <w:tab w:val="right" w:leader="dot" w:pos="8828"/>
            </w:tabs>
            <w:rPr>
              <w:rFonts w:cstheme="minorBidi"/>
              <w:noProof/>
            </w:rPr>
          </w:pPr>
          <w:hyperlink w:anchor="_Toc205480738" w:history="1">
            <w:r w:rsidRPr="0014011B">
              <w:rPr>
                <w:rStyle w:val="Hipervnculo"/>
                <w:rFonts w:ascii="Palatino Linotype" w:hAnsi="Palatino Linotype"/>
                <w:bCs/>
                <w:noProof/>
                <w:lang w:val="es-ES"/>
              </w:rPr>
              <w:t xml:space="preserve">CUARTO. </w:t>
            </w:r>
            <w:r w:rsidRPr="0014011B">
              <w:rPr>
                <w:rStyle w:val="Hipervnculo"/>
                <w:rFonts w:ascii="Palatino Linotype" w:hAnsi="Palatino Linotype"/>
                <w:bCs/>
                <w:noProof/>
              </w:rPr>
              <w:t>Marco normativo aplicable en materia de transparencia y acceso a la información pública</w:t>
            </w:r>
            <w:r w:rsidRPr="0014011B">
              <w:rPr>
                <w:noProof/>
                <w:webHidden/>
              </w:rPr>
              <w:tab/>
            </w:r>
            <w:r w:rsidRPr="0014011B">
              <w:rPr>
                <w:noProof/>
                <w:webHidden/>
              </w:rPr>
              <w:fldChar w:fldCharType="begin"/>
            </w:r>
            <w:r w:rsidRPr="0014011B">
              <w:rPr>
                <w:noProof/>
                <w:webHidden/>
              </w:rPr>
              <w:instrText xml:space="preserve"> PAGEREF _Toc205480738 \h </w:instrText>
            </w:r>
            <w:r w:rsidRPr="0014011B">
              <w:rPr>
                <w:noProof/>
                <w:webHidden/>
              </w:rPr>
            </w:r>
            <w:r w:rsidRPr="0014011B">
              <w:rPr>
                <w:noProof/>
                <w:webHidden/>
              </w:rPr>
              <w:fldChar w:fldCharType="separate"/>
            </w:r>
            <w:r w:rsidR="00842492">
              <w:rPr>
                <w:noProof/>
                <w:webHidden/>
              </w:rPr>
              <w:t>8</w:t>
            </w:r>
            <w:r w:rsidRPr="0014011B">
              <w:rPr>
                <w:noProof/>
                <w:webHidden/>
              </w:rPr>
              <w:fldChar w:fldCharType="end"/>
            </w:r>
          </w:hyperlink>
        </w:p>
        <w:p w14:paraId="5ACEE611" w14:textId="6F624A27" w:rsidR="0014011B" w:rsidRPr="0014011B" w:rsidRDefault="0014011B">
          <w:pPr>
            <w:pStyle w:val="TDC2"/>
            <w:tabs>
              <w:tab w:val="right" w:leader="dot" w:pos="8828"/>
            </w:tabs>
            <w:rPr>
              <w:rFonts w:cstheme="minorBidi"/>
              <w:noProof/>
            </w:rPr>
          </w:pPr>
          <w:hyperlink w:anchor="_Toc205480739" w:history="1">
            <w:r w:rsidRPr="0014011B">
              <w:rPr>
                <w:rStyle w:val="Hipervnculo"/>
                <w:rFonts w:ascii="Palatino Linotype" w:hAnsi="Palatino Linotype"/>
                <w:bCs/>
                <w:noProof/>
                <w:lang w:val="es-ES"/>
              </w:rPr>
              <w:t>QUINTO. Estudio de Fondo</w:t>
            </w:r>
            <w:r w:rsidRPr="0014011B">
              <w:rPr>
                <w:noProof/>
                <w:webHidden/>
              </w:rPr>
              <w:tab/>
            </w:r>
            <w:r w:rsidRPr="0014011B">
              <w:rPr>
                <w:noProof/>
                <w:webHidden/>
              </w:rPr>
              <w:fldChar w:fldCharType="begin"/>
            </w:r>
            <w:r w:rsidRPr="0014011B">
              <w:rPr>
                <w:noProof/>
                <w:webHidden/>
              </w:rPr>
              <w:instrText xml:space="preserve"> PAGEREF _Toc205480739 \h </w:instrText>
            </w:r>
            <w:r w:rsidRPr="0014011B">
              <w:rPr>
                <w:noProof/>
                <w:webHidden/>
              </w:rPr>
            </w:r>
            <w:r w:rsidRPr="0014011B">
              <w:rPr>
                <w:noProof/>
                <w:webHidden/>
              </w:rPr>
              <w:fldChar w:fldCharType="separate"/>
            </w:r>
            <w:r w:rsidR="00842492">
              <w:rPr>
                <w:noProof/>
                <w:webHidden/>
              </w:rPr>
              <w:t>9</w:t>
            </w:r>
            <w:r w:rsidRPr="0014011B">
              <w:rPr>
                <w:noProof/>
                <w:webHidden/>
              </w:rPr>
              <w:fldChar w:fldCharType="end"/>
            </w:r>
          </w:hyperlink>
        </w:p>
        <w:p w14:paraId="4E5CF5AA" w14:textId="7398D0E2" w:rsidR="0014011B" w:rsidRPr="0014011B" w:rsidRDefault="0014011B">
          <w:pPr>
            <w:pStyle w:val="TDC2"/>
            <w:tabs>
              <w:tab w:val="right" w:leader="dot" w:pos="8828"/>
            </w:tabs>
            <w:rPr>
              <w:rFonts w:cstheme="minorBidi"/>
              <w:noProof/>
            </w:rPr>
          </w:pPr>
          <w:hyperlink w:anchor="_Toc205480740" w:history="1">
            <w:r w:rsidRPr="0014011B">
              <w:rPr>
                <w:rStyle w:val="Hipervnculo"/>
                <w:rFonts w:ascii="Palatino Linotype" w:hAnsi="Palatino Linotype"/>
                <w:bCs/>
                <w:noProof/>
              </w:rPr>
              <w:t>SEXTO. Decisión</w:t>
            </w:r>
            <w:r w:rsidRPr="0014011B">
              <w:rPr>
                <w:noProof/>
                <w:webHidden/>
              </w:rPr>
              <w:tab/>
            </w:r>
            <w:r w:rsidRPr="0014011B">
              <w:rPr>
                <w:noProof/>
                <w:webHidden/>
              </w:rPr>
              <w:fldChar w:fldCharType="begin"/>
            </w:r>
            <w:r w:rsidRPr="0014011B">
              <w:rPr>
                <w:noProof/>
                <w:webHidden/>
              </w:rPr>
              <w:instrText xml:space="preserve"> PAGEREF _Toc205480740 \h </w:instrText>
            </w:r>
            <w:r w:rsidRPr="0014011B">
              <w:rPr>
                <w:noProof/>
                <w:webHidden/>
              </w:rPr>
            </w:r>
            <w:r w:rsidRPr="0014011B">
              <w:rPr>
                <w:noProof/>
                <w:webHidden/>
              </w:rPr>
              <w:fldChar w:fldCharType="separate"/>
            </w:r>
            <w:r w:rsidR="00842492">
              <w:rPr>
                <w:noProof/>
                <w:webHidden/>
              </w:rPr>
              <w:t>19</w:t>
            </w:r>
            <w:r w:rsidRPr="0014011B">
              <w:rPr>
                <w:noProof/>
                <w:webHidden/>
              </w:rPr>
              <w:fldChar w:fldCharType="end"/>
            </w:r>
          </w:hyperlink>
        </w:p>
        <w:p w14:paraId="5F494C47" w14:textId="3217B542" w:rsidR="0014011B" w:rsidRPr="0014011B" w:rsidRDefault="0014011B">
          <w:pPr>
            <w:pStyle w:val="TDC1"/>
            <w:tabs>
              <w:tab w:val="right" w:leader="dot" w:pos="8828"/>
            </w:tabs>
            <w:rPr>
              <w:rFonts w:cstheme="minorBidi"/>
              <w:noProof/>
            </w:rPr>
          </w:pPr>
          <w:hyperlink w:anchor="_Toc205480741" w:history="1">
            <w:r w:rsidRPr="0014011B">
              <w:rPr>
                <w:rStyle w:val="Hipervnculo"/>
                <w:rFonts w:ascii="Palatino Linotype" w:eastAsia="Calibri" w:hAnsi="Palatino Linotype"/>
                <w:bCs/>
                <w:noProof/>
              </w:rPr>
              <w:t>R E S U E L V E</w:t>
            </w:r>
            <w:r w:rsidRPr="0014011B">
              <w:rPr>
                <w:noProof/>
                <w:webHidden/>
              </w:rPr>
              <w:tab/>
            </w:r>
            <w:r w:rsidRPr="0014011B">
              <w:rPr>
                <w:noProof/>
                <w:webHidden/>
              </w:rPr>
              <w:fldChar w:fldCharType="begin"/>
            </w:r>
            <w:r w:rsidRPr="0014011B">
              <w:rPr>
                <w:noProof/>
                <w:webHidden/>
              </w:rPr>
              <w:instrText xml:space="preserve"> PAGEREF _Toc205480741 \h </w:instrText>
            </w:r>
            <w:r w:rsidRPr="0014011B">
              <w:rPr>
                <w:noProof/>
                <w:webHidden/>
              </w:rPr>
            </w:r>
            <w:r w:rsidRPr="0014011B">
              <w:rPr>
                <w:noProof/>
                <w:webHidden/>
              </w:rPr>
              <w:fldChar w:fldCharType="separate"/>
            </w:r>
            <w:r w:rsidR="00842492">
              <w:rPr>
                <w:noProof/>
                <w:webHidden/>
              </w:rPr>
              <w:t>20</w:t>
            </w:r>
            <w:r w:rsidRPr="0014011B">
              <w:rPr>
                <w:noProof/>
                <w:webHidden/>
              </w:rPr>
              <w:fldChar w:fldCharType="end"/>
            </w:r>
          </w:hyperlink>
        </w:p>
        <w:p w14:paraId="5AB8E0FA" w14:textId="2D36ACF6" w:rsidR="00A16422" w:rsidRPr="00B8181F" w:rsidRDefault="00A16422" w:rsidP="00444D59">
          <w:pPr>
            <w:spacing w:line="360" w:lineRule="auto"/>
            <w:contextualSpacing/>
            <w:jc w:val="both"/>
            <w:rPr>
              <w:rFonts w:ascii="Palatino Linotype" w:hAnsi="Palatino Linotype" w:cs="Tahoma"/>
              <w:bCs/>
              <w:sz w:val="22"/>
              <w:szCs w:val="22"/>
            </w:rPr>
          </w:pPr>
          <w:r w:rsidRPr="00444D59">
            <w:rPr>
              <w:rFonts w:ascii="Palatino Linotype" w:hAnsi="Palatino Linotype"/>
              <w:sz w:val="22"/>
              <w:szCs w:val="22"/>
              <w:lang w:val="es-ES"/>
            </w:rPr>
            <w:fldChar w:fldCharType="end"/>
          </w:r>
        </w:p>
      </w:sdtContent>
    </w:sdt>
    <w:p w14:paraId="019BBD7A" w14:textId="77777777" w:rsidR="00A16422" w:rsidRPr="00B8181F" w:rsidRDefault="00A16422" w:rsidP="00B8181F">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4EC09EF3" w14:textId="77777777" w:rsidR="00A16422" w:rsidRPr="00B8181F" w:rsidRDefault="00A16422" w:rsidP="00B8181F">
      <w:pPr>
        <w:spacing w:line="360" w:lineRule="auto"/>
        <w:contextualSpacing/>
        <w:jc w:val="both"/>
        <w:rPr>
          <w:rFonts w:ascii="Palatino Linotype" w:hAnsi="Palatino Linotype" w:cs="Tahoma"/>
          <w:bCs/>
          <w:sz w:val="22"/>
          <w:szCs w:val="22"/>
        </w:rPr>
      </w:pPr>
    </w:p>
    <w:p w14:paraId="4E9EC1DF" w14:textId="0B68B562" w:rsidR="00A16422" w:rsidRPr="00B8181F" w:rsidRDefault="00A16422" w:rsidP="00B8181F">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9F35CD" w:rsidRPr="00B8181F">
        <w:rPr>
          <w:rFonts w:ascii="Palatino Linotype" w:hAnsi="Palatino Linotype" w:cs="Tahoma"/>
          <w:bCs/>
          <w:sz w:val="22"/>
          <w:szCs w:val="22"/>
        </w:rPr>
        <w:t>seis de agosto</w:t>
      </w:r>
      <w:r w:rsidRPr="00B8181F">
        <w:rPr>
          <w:rFonts w:ascii="Palatino Linotype" w:hAnsi="Palatino Linotype" w:cs="Tahoma"/>
          <w:bCs/>
          <w:sz w:val="22"/>
          <w:szCs w:val="22"/>
        </w:rPr>
        <w:t xml:space="preserve"> de dos mil veinticinco.</w:t>
      </w:r>
    </w:p>
    <w:p w14:paraId="3B80550A" w14:textId="77777777" w:rsidR="00A16422" w:rsidRPr="00B8181F" w:rsidRDefault="00A16422" w:rsidP="00B8181F">
      <w:pPr>
        <w:spacing w:line="360" w:lineRule="auto"/>
        <w:contextualSpacing/>
        <w:rPr>
          <w:rFonts w:ascii="Palatino Linotype" w:hAnsi="Palatino Linotype" w:cs="Tahoma"/>
          <w:bCs/>
          <w:sz w:val="22"/>
          <w:szCs w:val="22"/>
        </w:rPr>
      </w:pPr>
    </w:p>
    <w:p w14:paraId="454B2FFB" w14:textId="78401ADA" w:rsidR="00A16422" w:rsidRPr="00B8181F" w:rsidRDefault="00A16422" w:rsidP="00B8181F">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C1244B">
        <w:rPr>
          <w:rFonts w:ascii="Palatino Linotype" w:eastAsia="Batang" w:hAnsi="Palatino Linotype" w:cs="Tahoma"/>
          <w:b/>
          <w:sz w:val="22"/>
          <w:szCs w:val="22"/>
          <w:lang w:val="es-ES_tradnl"/>
        </w:rPr>
        <w:t>06781/INFOEM/IP/RR/2025,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 xml:space="preserve">interpuesto por </w:t>
      </w:r>
      <w:r w:rsidR="003815D2" w:rsidRPr="003815D2">
        <w:rPr>
          <w:rFonts w:ascii="Palatino Linotype" w:eastAsia="Calibri" w:hAnsi="Palatino Linotype" w:cs="Tahoma"/>
          <w:sz w:val="22"/>
          <w:szCs w:val="22"/>
          <w:highlight w:val="black"/>
          <w:lang w:eastAsia="en-US"/>
        </w:rPr>
        <w:t>XXXXXXXXXXXXXXXXXXXXXXXX</w:t>
      </w:r>
      <w:r w:rsidRPr="00B8181F">
        <w:rPr>
          <w:rFonts w:ascii="Palatino Linotype" w:hAnsi="Palatino Linotype" w:cs="Tahoma"/>
          <w:bCs/>
          <w:color w:val="0D0D0D" w:themeColor="text1" w:themeTint="F2"/>
          <w:sz w:val="22"/>
          <w:szCs w:val="22"/>
        </w:rPr>
        <w:t xml:space="preserve">, en lo sucesivo el Recurrente o Particular, en contra de la respuesta del Sujeto Obligado, </w:t>
      </w:r>
      <w:r w:rsidRPr="00C1244B">
        <w:rPr>
          <w:rFonts w:ascii="Palatino Linotype" w:hAnsi="Palatino Linotype" w:cs="Tahoma"/>
          <w:b/>
          <w:color w:val="0D0D0D" w:themeColor="text1" w:themeTint="F2"/>
          <w:sz w:val="22"/>
          <w:szCs w:val="22"/>
        </w:rPr>
        <w:t>Ayuntamiento de Villa del Carbón</w:t>
      </w:r>
      <w:r w:rsidRPr="00B8181F">
        <w:rPr>
          <w:rFonts w:ascii="Palatino Linotype" w:hAnsi="Palatino Linotype" w:cs="Tahoma"/>
          <w:bCs/>
          <w:color w:val="0D0D0D" w:themeColor="text1" w:themeTint="F2"/>
          <w:sz w:val="22"/>
          <w:szCs w:val="22"/>
        </w:rPr>
        <w:t xml:space="preserve">, a la solicitud de acceso a la información pública </w:t>
      </w:r>
      <w:r w:rsidRPr="00B8181F">
        <w:rPr>
          <w:rFonts w:ascii="Palatino Linotype" w:hAnsi="Palatino Linotype"/>
          <w:bCs/>
          <w:sz w:val="22"/>
          <w:szCs w:val="22"/>
        </w:rPr>
        <w:t xml:space="preserve">00135/VICARBO/IP/2025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707C97BB" w14:textId="77777777" w:rsidR="00A16422" w:rsidRPr="00B8181F" w:rsidRDefault="00A16422" w:rsidP="00B8181F">
      <w:pPr>
        <w:tabs>
          <w:tab w:val="center" w:pos="4522"/>
          <w:tab w:val="left" w:pos="7245"/>
        </w:tabs>
        <w:spacing w:line="360" w:lineRule="auto"/>
        <w:contextualSpacing/>
        <w:jc w:val="center"/>
        <w:rPr>
          <w:rFonts w:ascii="Palatino Linotype" w:hAnsi="Palatino Linotype" w:cs="Tahoma"/>
          <w:b/>
          <w:sz w:val="22"/>
          <w:szCs w:val="22"/>
        </w:rPr>
      </w:pPr>
    </w:p>
    <w:p w14:paraId="76D5E22F" w14:textId="77777777" w:rsidR="00A16422" w:rsidRPr="00B8181F" w:rsidRDefault="00A16422" w:rsidP="00B8181F">
      <w:pPr>
        <w:pStyle w:val="Ttulo1"/>
        <w:spacing w:before="0" w:after="0" w:line="360" w:lineRule="auto"/>
        <w:contextualSpacing/>
        <w:jc w:val="center"/>
        <w:rPr>
          <w:rFonts w:ascii="Palatino Linotype" w:hAnsi="Palatino Linotype"/>
          <w:b/>
          <w:bCs/>
          <w:color w:val="auto"/>
          <w:sz w:val="22"/>
          <w:szCs w:val="22"/>
        </w:rPr>
      </w:pPr>
      <w:bookmarkStart w:id="1" w:name="_Toc205480729"/>
      <w:r w:rsidRPr="00B8181F">
        <w:rPr>
          <w:rFonts w:ascii="Palatino Linotype" w:hAnsi="Palatino Linotype"/>
          <w:b/>
          <w:bCs/>
          <w:color w:val="auto"/>
          <w:sz w:val="22"/>
          <w:szCs w:val="22"/>
        </w:rPr>
        <w:t>A N T E C E D E N T E S</w:t>
      </w:r>
      <w:bookmarkEnd w:id="1"/>
    </w:p>
    <w:p w14:paraId="06530BA8" w14:textId="77777777" w:rsidR="00A16422" w:rsidRPr="00B8181F" w:rsidRDefault="00A16422" w:rsidP="00B8181F">
      <w:pPr>
        <w:pStyle w:val="Prrafodelista"/>
        <w:tabs>
          <w:tab w:val="left" w:pos="567"/>
        </w:tabs>
        <w:spacing w:line="360" w:lineRule="auto"/>
        <w:ind w:left="567"/>
        <w:jc w:val="both"/>
        <w:rPr>
          <w:rFonts w:ascii="Palatino Linotype" w:hAnsi="Palatino Linotype" w:cs="Tahoma"/>
          <w:sz w:val="22"/>
          <w:szCs w:val="22"/>
        </w:rPr>
      </w:pPr>
    </w:p>
    <w:p w14:paraId="3AF2D2C5" w14:textId="504F1199" w:rsidR="00A16422" w:rsidRPr="00B8181F" w:rsidRDefault="00A16422" w:rsidP="00B8181F">
      <w:pPr>
        <w:pStyle w:val="Ttulo2"/>
        <w:spacing w:before="0" w:after="0" w:line="360" w:lineRule="auto"/>
        <w:contextualSpacing/>
        <w:rPr>
          <w:rFonts w:ascii="Palatino Linotype" w:hAnsi="Palatino Linotype"/>
          <w:b/>
          <w:bCs/>
          <w:color w:val="auto"/>
          <w:sz w:val="22"/>
          <w:szCs w:val="22"/>
        </w:rPr>
      </w:pPr>
      <w:bookmarkStart w:id="2" w:name="_Toc205480730"/>
      <w:r w:rsidRPr="00B8181F">
        <w:rPr>
          <w:rFonts w:ascii="Palatino Linotype" w:hAnsi="Palatino Linotype"/>
          <w:b/>
          <w:bCs/>
          <w:color w:val="auto"/>
          <w:sz w:val="22"/>
          <w:szCs w:val="22"/>
        </w:rPr>
        <w:t>I. Presentación de la solicitud de información</w:t>
      </w:r>
      <w:bookmarkEnd w:id="2"/>
    </w:p>
    <w:p w14:paraId="108CA5E3" w14:textId="77777777" w:rsidR="00A16422" w:rsidRPr="00B8181F" w:rsidRDefault="00A16422" w:rsidP="00B8181F">
      <w:pPr>
        <w:pStyle w:val="Prrafodelista"/>
        <w:tabs>
          <w:tab w:val="left" w:pos="567"/>
        </w:tabs>
        <w:spacing w:line="360" w:lineRule="auto"/>
        <w:ind w:left="0"/>
        <w:jc w:val="both"/>
        <w:rPr>
          <w:rFonts w:ascii="Palatino Linotype" w:hAnsi="Palatino Linotype" w:cs="Tahoma"/>
          <w:sz w:val="22"/>
          <w:szCs w:val="22"/>
        </w:rPr>
      </w:pPr>
    </w:p>
    <w:p w14:paraId="7EC4B287" w14:textId="364CB548" w:rsidR="00A16422" w:rsidRPr="00B8181F" w:rsidRDefault="00A16422" w:rsidP="00B8181F">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 xml:space="preserve">Con fecha veintidós de mayo de dos mil veinticinco, el Particular presentó </w:t>
      </w:r>
      <w:r w:rsidR="00A1737F" w:rsidRPr="00B8181F">
        <w:rPr>
          <w:rFonts w:ascii="Palatino Linotype" w:hAnsi="Palatino Linotype" w:cs="Tahoma"/>
          <w:sz w:val="22"/>
          <w:szCs w:val="22"/>
        </w:rPr>
        <w:t>una</w:t>
      </w:r>
      <w:r w:rsidRPr="00B8181F">
        <w:rPr>
          <w:rFonts w:ascii="Palatino Linotype" w:hAnsi="Palatino Linotype" w:cs="Tahoma"/>
          <w:sz w:val="22"/>
          <w:szCs w:val="22"/>
        </w:rPr>
        <w:t xml:space="preserve"> solicitud</w:t>
      </w:r>
      <w:r w:rsidR="00A1737F" w:rsidRPr="00B8181F">
        <w:rPr>
          <w:rFonts w:ascii="Palatino Linotype" w:hAnsi="Palatino Linotype" w:cs="Tahoma"/>
          <w:sz w:val="22"/>
          <w:szCs w:val="22"/>
        </w:rPr>
        <w:t xml:space="preserve"> </w:t>
      </w:r>
      <w:r w:rsidRPr="00B8181F">
        <w:rPr>
          <w:rFonts w:ascii="Palatino Linotype" w:hAnsi="Palatino Linotype" w:cs="Tahoma"/>
          <w:sz w:val="22"/>
          <w:szCs w:val="22"/>
        </w:rPr>
        <w:t xml:space="preserve">de acceso a la información pública, a través del Sistema de Acceso a la Información Mexiquense, en lo sucesivo </w:t>
      </w:r>
      <w:r w:rsidRPr="00B8181F">
        <w:rPr>
          <w:rFonts w:ascii="Palatino Linotype" w:hAnsi="Palatino Linotype" w:cs="Tahoma"/>
          <w:sz w:val="22"/>
          <w:szCs w:val="22"/>
          <w:lang w:val="es-ES"/>
        </w:rPr>
        <w:t>el SAIME</w:t>
      </w:r>
      <w:r w:rsidR="00A1737F" w:rsidRPr="00B8181F">
        <w:rPr>
          <w:rFonts w:ascii="Palatino Linotype" w:hAnsi="Palatino Linotype" w:cs="Tahoma"/>
          <w:sz w:val="22"/>
          <w:szCs w:val="22"/>
          <w:lang w:val="es-ES"/>
        </w:rPr>
        <w:t>X</w:t>
      </w:r>
      <w:r w:rsidRPr="00B8181F">
        <w:rPr>
          <w:rFonts w:ascii="Palatino Linotype" w:hAnsi="Palatino Linotype" w:cs="Tahoma"/>
          <w:sz w:val="22"/>
          <w:szCs w:val="22"/>
        </w:rPr>
        <w:t>, ante el Ayuntamiento de Villa del Carbón,</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5B01E6AB" w14:textId="77777777" w:rsidR="00A16422" w:rsidRPr="00B8181F" w:rsidRDefault="00A16422" w:rsidP="00B8181F">
      <w:pPr>
        <w:pStyle w:val="Prrafodelista"/>
        <w:tabs>
          <w:tab w:val="left" w:pos="567"/>
        </w:tabs>
        <w:spacing w:line="360" w:lineRule="auto"/>
        <w:ind w:left="0"/>
        <w:jc w:val="both"/>
        <w:rPr>
          <w:rFonts w:ascii="Palatino Linotype" w:hAnsi="Palatino Linotype" w:cs="Tahoma"/>
          <w:sz w:val="22"/>
          <w:szCs w:val="22"/>
        </w:rPr>
      </w:pPr>
    </w:p>
    <w:p w14:paraId="20F0048E" w14:textId="77777777" w:rsidR="00A16422" w:rsidRPr="00B8181F" w:rsidRDefault="00A16422" w:rsidP="00B8181F">
      <w:pPr>
        <w:pStyle w:val="Prrafodelista"/>
        <w:tabs>
          <w:tab w:val="left" w:pos="567"/>
        </w:tabs>
        <w:spacing w:line="360" w:lineRule="auto"/>
        <w:ind w:left="567" w:right="567"/>
        <w:jc w:val="both"/>
        <w:rPr>
          <w:rFonts w:ascii="Palatino Linotype" w:hAnsi="Palatino Linotype" w:cs="Tahoma"/>
          <w:b/>
          <w:bCs/>
          <w:i/>
          <w:iCs/>
        </w:rPr>
      </w:pPr>
      <w:r w:rsidRPr="00B8181F">
        <w:rPr>
          <w:rFonts w:ascii="Palatino Linotype" w:hAnsi="Palatino Linotype" w:cs="Tahoma"/>
          <w:b/>
          <w:bCs/>
          <w:i/>
          <w:iCs/>
        </w:rPr>
        <w:t>“DESCRIPCIÓN CLARA Y PRECISA DE LA INFORMACIÓN SOLICITADA</w:t>
      </w:r>
    </w:p>
    <w:p w14:paraId="32EB7129" w14:textId="02A0EA9F" w:rsidR="00A16422" w:rsidRPr="00B8181F" w:rsidRDefault="00492A26" w:rsidP="00B8181F">
      <w:pPr>
        <w:spacing w:line="360" w:lineRule="auto"/>
        <w:ind w:left="567" w:right="567"/>
        <w:contextualSpacing/>
        <w:jc w:val="both"/>
        <w:rPr>
          <w:rFonts w:ascii="Palatino Linotype" w:hAnsi="Palatino Linotype" w:cs="Tahoma"/>
          <w:b/>
          <w:bCs/>
          <w:i/>
          <w:iCs/>
        </w:rPr>
      </w:pPr>
      <w:r w:rsidRPr="00B8181F">
        <w:rPr>
          <w:rFonts w:ascii="Palatino Linotype" w:hAnsi="Palatino Linotype"/>
          <w:i/>
          <w:iCs/>
          <w:lang w:eastAsia="es-MX"/>
        </w:rPr>
        <w:t xml:space="preserve">Solicito información que incluya evidencia documental de los formatos PBRM programados en el año fiscal 2025 de la Dirección, Coordinación de Asuntos Indígenas o su equivalente en el que se incluyan el techo presupuestal asignado a la unidad administrativa, así como la asignación de recursos ejercidos para cada una de las acciones programadas en el que se incluya el estado que guarda con relación a su cumplimiento. documentos que genera la UIPPE y deben estar dentro de su archivo. solicito se me </w:t>
      </w:r>
      <w:proofErr w:type="spellStart"/>
      <w:r w:rsidRPr="00B8181F">
        <w:rPr>
          <w:rFonts w:ascii="Palatino Linotype" w:hAnsi="Palatino Linotype"/>
          <w:i/>
          <w:iCs/>
          <w:lang w:eastAsia="es-MX"/>
        </w:rPr>
        <w:t>de</w:t>
      </w:r>
      <w:proofErr w:type="spellEnd"/>
      <w:r w:rsidRPr="00B8181F">
        <w:rPr>
          <w:rFonts w:ascii="Palatino Linotype" w:hAnsi="Palatino Linotype"/>
          <w:i/>
          <w:iCs/>
          <w:lang w:eastAsia="es-MX"/>
        </w:rPr>
        <w:t xml:space="preserve"> respuesta a través de SAIMEX.</w:t>
      </w:r>
      <w:r w:rsidR="00A16422" w:rsidRPr="00B8181F">
        <w:rPr>
          <w:rFonts w:ascii="Palatino Linotype" w:hAnsi="Palatino Linotype" w:cs="Tahoma"/>
          <w:b/>
          <w:bCs/>
          <w:i/>
          <w:iCs/>
        </w:rPr>
        <w:t xml:space="preserve">” </w:t>
      </w:r>
      <w:r w:rsidR="00A16422" w:rsidRPr="00B8181F">
        <w:rPr>
          <w:rFonts w:ascii="Palatino Linotype" w:hAnsi="Palatino Linotype" w:cs="Tahoma"/>
          <w:i/>
          <w:iCs/>
        </w:rPr>
        <w:t>(Sic)</w:t>
      </w:r>
    </w:p>
    <w:p w14:paraId="0D6106DE" w14:textId="77777777" w:rsidR="00A16422" w:rsidRPr="00B8181F" w:rsidRDefault="00A16422" w:rsidP="00B8181F">
      <w:pPr>
        <w:pStyle w:val="Prrafodelista"/>
        <w:tabs>
          <w:tab w:val="left" w:pos="567"/>
        </w:tabs>
        <w:spacing w:line="360" w:lineRule="auto"/>
        <w:ind w:left="567" w:right="567"/>
        <w:jc w:val="both"/>
        <w:rPr>
          <w:rFonts w:ascii="Palatino Linotype" w:hAnsi="Palatino Linotype" w:cs="Tahoma"/>
          <w:i/>
          <w:sz w:val="22"/>
          <w:szCs w:val="22"/>
        </w:rPr>
      </w:pPr>
    </w:p>
    <w:p w14:paraId="5E512560" w14:textId="77777777" w:rsidR="00A16422" w:rsidRPr="00B8181F" w:rsidRDefault="00A16422" w:rsidP="00B8181F">
      <w:pPr>
        <w:tabs>
          <w:tab w:val="left" w:pos="4667"/>
        </w:tabs>
        <w:spacing w:line="360" w:lineRule="auto"/>
        <w:ind w:left="567" w:right="567"/>
        <w:contextualSpacing/>
        <w:jc w:val="both"/>
        <w:rPr>
          <w:rFonts w:ascii="Palatino Linotype" w:hAnsi="Palatino Linotype" w:cs="Tahoma"/>
          <w:bCs/>
          <w:i/>
          <w:sz w:val="22"/>
          <w:szCs w:val="22"/>
        </w:rPr>
      </w:pPr>
      <w:r w:rsidRPr="00B8181F">
        <w:rPr>
          <w:rFonts w:ascii="Palatino Linotype" w:hAnsi="Palatino Linotype" w:cs="Tahoma"/>
          <w:b/>
          <w:bCs/>
          <w:i/>
          <w:sz w:val="22"/>
          <w:szCs w:val="22"/>
        </w:rPr>
        <w:t xml:space="preserve">Modalidad de Entrega:  </w:t>
      </w:r>
      <w:r w:rsidRPr="00B8181F">
        <w:rPr>
          <w:rFonts w:ascii="Palatino Linotype" w:hAnsi="Palatino Linotype" w:cs="Tahoma"/>
          <w:bCs/>
          <w:i/>
          <w:sz w:val="22"/>
          <w:szCs w:val="22"/>
        </w:rPr>
        <w:t>A través de SAIMEX.</w:t>
      </w:r>
    </w:p>
    <w:p w14:paraId="6A13AC96" w14:textId="77777777" w:rsidR="00A16422" w:rsidRPr="00B8181F" w:rsidRDefault="00A16422" w:rsidP="00B8181F">
      <w:pPr>
        <w:tabs>
          <w:tab w:val="left" w:pos="4667"/>
        </w:tabs>
        <w:spacing w:line="360" w:lineRule="auto"/>
        <w:ind w:right="567"/>
        <w:contextualSpacing/>
        <w:jc w:val="both"/>
        <w:rPr>
          <w:rFonts w:ascii="Palatino Linotype" w:hAnsi="Palatino Linotype" w:cs="Tahoma"/>
          <w:sz w:val="22"/>
          <w:szCs w:val="22"/>
        </w:rPr>
      </w:pPr>
    </w:p>
    <w:p w14:paraId="0FD0F918" w14:textId="75DB9349" w:rsidR="00A16422" w:rsidRPr="00B8181F" w:rsidRDefault="00A16422" w:rsidP="00B8181F">
      <w:pPr>
        <w:pStyle w:val="Ttulo2"/>
        <w:spacing w:before="0" w:after="0" w:line="360" w:lineRule="auto"/>
        <w:contextualSpacing/>
        <w:rPr>
          <w:rFonts w:ascii="Palatino Linotype" w:hAnsi="Palatino Linotype"/>
          <w:b/>
          <w:bCs/>
          <w:color w:val="auto"/>
          <w:sz w:val="22"/>
          <w:szCs w:val="22"/>
        </w:rPr>
      </w:pPr>
      <w:bookmarkStart w:id="3" w:name="_Toc205480731"/>
      <w:r w:rsidRPr="00B8181F">
        <w:rPr>
          <w:rFonts w:ascii="Palatino Linotype" w:hAnsi="Palatino Linotype"/>
          <w:b/>
          <w:bCs/>
          <w:color w:val="auto"/>
          <w:sz w:val="22"/>
          <w:szCs w:val="22"/>
        </w:rPr>
        <w:t>II. Respuesta del Sujeto Obligado</w:t>
      </w:r>
      <w:bookmarkEnd w:id="3"/>
    </w:p>
    <w:p w14:paraId="5EF0D832" w14:textId="77777777" w:rsidR="00A16422" w:rsidRPr="00B8181F" w:rsidRDefault="00A16422" w:rsidP="00B8181F">
      <w:pPr>
        <w:tabs>
          <w:tab w:val="left" w:pos="4667"/>
        </w:tabs>
        <w:spacing w:line="360" w:lineRule="auto"/>
        <w:ind w:right="567"/>
        <w:contextualSpacing/>
        <w:jc w:val="both"/>
        <w:rPr>
          <w:rFonts w:ascii="Palatino Linotype" w:hAnsi="Palatino Linotype" w:cs="Tahoma"/>
          <w:b/>
          <w:bCs/>
          <w:sz w:val="22"/>
          <w:szCs w:val="22"/>
        </w:rPr>
      </w:pPr>
    </w:p>
    <w:p w14:paraId="64C0A471" w14:textId="6E659D4E"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 xml:space="preserve">Con fecha </w:t>
      </w:r>
      <w:r w:rsidR="00A1737F" w:rsidRPr="00B8181F">
        <w:rPr>
          <w:rFonts w:ascii="Palatino Linotype" w:hAnsi="Palatino Linotype" w:cs="Tahoma"/>
          <w:bCs/>
          <w:sz w:val="22"/>
          <w:szCs w:val="22"/>
        </w:rPr>
        <w:t xml:space="preserve">diez de junio </w:t>
      </w:r>
      <w:r w:rsidRPr="00B8181F">
        <w:rPr>
          <w:rFonts w:ascii="Palatino Linotype" w:hAnsi="Palatino Linotype" w:cs="Tahoma"/>
          <w:bCs/>
          <w:sz w:val="22"/>
          <w:szCs w:val="22"/>
        </w:rPr>
        <w:t>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 dio respuesta a la solicitud de acceso a la información a través del SAIMEX,</w:t>
      </w:r>
      <w:bookmarkStart w:id="4" w:name="_Hlk201128022"/>
      <w:r w:rsidR="00A1737F" w:rsidRPr="00B8181F">
        <w:rPr>
          <w:rFonts w:ascii="Palatino Linotype" w:hAnsi="Palatino Linotype" w:cs="Tahoma"/>
          <w:sz w:val="22"/>
          <w:szCs w:val="22"/>
        </w:rPr>
        <w:t xml:space="preserve"> a través del</w:t>
      </w:r>
      <w:r w:rsidRPr="00B8181F">
        <w:rPr>
          <w:rFonts w:ascii="Palatino Linotype" w:hAnsi="Palatino Linotype" w:cs="Tahoma"/>
          <w:sz w:val="22"/>
          <w:szCs w:val="22"/>
        </w:rPr>
        <w:t xml:space="preserve"> </w:t>
      </w:r>
      <w:r w:rsidR="00A1737F" w:rsidRPr="00B8181F">
        <w:rPr>
          <w:rFonts w:ascii="Palatino Linotype" w:hAnsi="Palatino Linotype" w:cs="Tahoma"/>
          <w:sz w:val="22"/>
          <w:szCs w:val="22"/>
        </w:rPr>
        <w:t>o</w:t>
      </w:r>
      <w:r w:rsidRPr="00B8181F">
        <w:rPr>
          <w:rFonts w:ascii="Palatino Linotype" w:hAnsi="Palatino Linotype" w:cs="Tahoma"/>
          <w:sz w:val="22"/>
          <w:szCs w:val="22"/>
        </w:rPr>
        <w:t>ficio número UIPPE/UT/0</w:t>
      </w:r>
      <w:r w:rsidR="00A1737F" w:rsidRPr="00B8181F">
        <w:rPr>
          <w:rFonts w:ascii="Palatino Linotype" w:hAnsi="Palatino Linotype" w:cs="Tahoma"/>
          <w:sz w:val="22"/>
          <w:szCs w:val="22"/>
        </w:rPr>
        <w:t>20/2025</w:t>
      </w:r>
      <w:r w:rsidRPr="00B8181F">
        <w:rPr>
          <w:rFonts w:ascii="Palatino Linotype" w:hAnsi="Palatino Linotype" w:cs="Tahoma"/>
          <w:sz w:val="22"/>
          <w:szCs w:val="22"/>
        </w:rPr>
        <w:t xml:space="preserve">, del </w:t>
      </w:r>
      <w:r w:rsidR="00A1737F" w:rsidRPr="00B8181F">
        <w:rPr>
          <w:rFonts w:ascii="Palatino Linotype" w:hAnsi="Palatino Linotype" w:cs="Tahoma"/>
          <w:sz w:val="22"/>
          <w:szCs w:val="22"/>
        </w:rPr>
        <w:t xml:space="preserve">tres de junio </w:t>
      </w:r>
      <w:r w:rsidRPr="00B8181F">
        <w:rPr>
          <w:rFonts w:ascii="Palatino Linotype" w:hAnsi="Palatino Linotype" w:cs="Tahoma"/>
          <w:sz w:val="22"/>
          <w:szCs w:val="22"/>
        </w:rPr>
        <w:t xml:space="preserve">de la presente anualidad, suscrito por la Titular de la Unidad de Transparencia, dirigido a la Titular de la Unidad de Información Planeación, Programación y Evaluación, a través del cual </w:t>
      </w:r>
      <w:r w:rsidR="00A1737F" w:rsidRPr="00B8181F">
        <w:rPr>
          <w:rFonts w:ascii="Palatino Linotype" w:hAnsi="Palatino Linotype" w:cs="Tahoma"/>
          <w:sz w:val="22"/>
          <w:szCs w:val="22"/>
        </w:rPr>
        <w:t>manifiesta y expone esencialmente lo siguiente:</w:t>
      </w:r>
    </w:p>
    <w:p w14:paraId="4D715F70"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rPr>
      </w:pPr>
    </w:p>
    <w:p w14:paraId="461D7B62" w14:textId="74D33A78" w:rsidR="00A16422" w:rsidRPr="00B8181F" w:rsidRDefault="00A1737F" w:rsidP="00B8181F">
      <w:pPr>
        <w:pStyle w:val="Prrafodelista"/>
        <w:tabs>
          <w:tab w:val="left" w:pos="567"/>
        </w:tabs>
        <w:spacing w:line="360" w:lineRule="auto"/>
        <w:ind w:left="567" w:right="567"/>
        <w:jc w:val="both"/>
        <w:rPr>
          <w:rFonts w:ascii="Palatino Linotype" w:hAnsi="Palatino Linotype" w:cs="Tahoma"/>
          <w:i/>
          <w:iCs/>
        </w:rPr>
      </w:pPr>
      <w:r w:rsidRPr="00B8181F">
        <w:rPr>
          <w:rFonts w:ascii="Palatino Linotype" w:hAnsi="Palatino Linotype" w:cs="Tahoma"/>
          <w:i/>
          <w:iCs/>
        </w:rPr>
        <w:t xml:space="preserve">… Al respecto con fundamento en el artículo 8º de la Constitución Política de los Estados Unidos Mexicanos, artículo 11, </w:t>
      </w:r>
      <w:r w:rsidR="00A16422" w:rsidRPr="00B8181F">
        <w:rPr>
          <w:rFonts w:ascii="Palatino Linotype" w:hAnsi="Palatino Linotype" w:cs="Tahoma"/>
          <w:i/>
          <w:iCs/>
        </w:rPr>
        <w:t xml:space="preserve">155 fracción III, IV y V y 159 de </w:t>
      </w:r>
      <w:r w:rsidRPr="00B8181F">
        <w:rPr>
          <w:rFonts w:ascii="Palatino Linotype" w:hAnsi="Palatino Linotype" w:cs="Tahoma"/>
          <w:i/>
          <w:iCs/>
        </w:rPr>
        <w:t xml:space="preserve">Ley de </w:t>
      </w:r>
      <w:r w:rsidR="00A16422" w:rsidRPr="00B8181F">
        <w:rPr>
          <w:rFonts w:ascii="Palatino Linotype" w:hAnsi="Palatino Linotype" w:cs="Tahoma"/>
          <w:i/>
          <w:iCs/>
        </w:rPr>
        <w:t>Transparencia y acceso a la Información Pública del Estado de México y Municipios,</w:t>
      </w:r>
      <w:r w:rsidRPr="00B8181F">
        <w:rPr>
          <w:rFonts w:ascii="Palatino Linotype" w:hAnsi="Palatino Linotype" w:cs="Tahoma"/>
          <w:i/>
          <w:iCs/>
        </w:rPr>
        <w:t xml:space="preserve"> solicito respetuosamente se</w:t>
      </w:r>
      <w:r w:rsidR="00A16422" w:rsidRPr="00B8181F">
        <w:rPr>
          <w:rFonts w:ascii="Palatino Linotype" w:hAnsi="Palatino Linotype" w:cs="Tahoma"/>
          <w:i/>
          <w:iCs/>
        </w:rPr>
        <w:t xml:space="preserve"> cumpla con lo establecido en la misma</w:t>
      </w:r>
      <w:proofErr w:type="gramStart"/>
      <w:r w:rsidR="00A16422" w:rsidRPr="00B8181F">
        <w:rPr>
          <w:rFonts w:ascii="Palatino Linotype" w:hAnsi="Palatino Linotype" w:cs="Tahoma"/>
          <w:i/>
          <w:iCs/>
        </w:rPr>
        <w:t>…”(</w:t>
      </w:r>
      <w:proofErr w:type="gramEnd"/>
      <w:r w:rsidR="00A16422" w:rsidRPr="00B8181F">
        <w:rPr>
          <w:rFonts w:ascii="Palatino Linotype" w:hAnsi="Palatino Linotype" w:cs="Tahoma"/>
          <w:i/>
          <w:iCs/>
        </w:rPr>
        <w:t>Sic)</w:t>
      </w:r>
    </w:p>
    <w:bookmarkEnd w:id="4"/>
    <w:p w14:paraId="0D50F82E" w14:textId="77777777" w:rsidR="00A16422" w:rsidRPr="00B8181F" w:rsidRDefault="00A16422" w:rsidP="00B8181F">
      <w:pPr>
        <w:pStyle w:val="Ttulo2"/>
        <w:spacing w:before="0" w:after="0" w:line="360" w:lineRule="auto"/>
        <w:contextualSpacing/>
        <w:rPr>
          <w:rFonts w:ascii="Palatino Linotype" w:hAnsi="Palatino Linotype"/>
          <w:b/>
          <w:bCs/>
          <w:color w:val="auto"/>
          <w:sz w:val="20"/>
          <w:szCs w:val="20"/>
        </w:rPr>
      </w:pPr>
    </w:p>
    <w:p w14:paraId="764DAE4F" w14:textId="304F862F" w:rsidR="00A16422" w:rsidRPr="00B8181F" w:rsidRDefault="00A16422" w:rsidP="00B8181F">
      <w:pPr>
        <w:pStyle w:val="Ttulo2"/>
        <w:spacing w:before="0" w:after="0" w:line="360" w:lineRule="auto"/>
        <w:contextualSpacing/>
        <w:rPr>
          <w:rFonts w:ascii="Palatino Linotype" w:hAnsi="Palatino Linotype"/>
          <w:b/>
          <w:bCs/>
          <w:color w:val="auto"/>
          <w:sz w:val="22"/>
          <w:szCs w:val="22"/>
        </w:rPr>
      </w:pPr>
      <w:bookmarkStart w:id="5" w:name="_Toc205480732"/>
      <w:r w:rsidRPr="00B8181F">
        <w:rPr>
          <w:rFonts w:ascii="Palatino Linotype" w:hAnsi="Palatino Linotype"/>
          <w:b/>
          <w:bCs/>
          <w:color w:val="auto"/>
          <w:sz w:val="22"/>
          <w:szCs w:val="22"/>
        </w:rPr>
        <w:t>III. Interposición del Recurso de Revisión</w:t>
      </w:r>
      <w:bookmarkEnd w:id="5"/>
    </w:p>
    <w:p w14:paraId="1D251658"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rPr>
      </w:pPr>
    </w:p>
    <w:p w14:paraId="32D6FB5F" w14:textId="0349AD21"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A1737F" w:rsidRPr="00B8181F">
        <w:rPr>
          <w:rFonts w:ascii="Palatino Linotype" w:hAnsi="Palatino Linotype" w:cs="Tahoma"/>
          <w:sz w:val="22"/>
          <w:szCs w:val="22"/>
        </w:rPr>
        <w:t xml:space="preserve">diez de junio </w:t>
      </w:r>
      <w:r w:rsidRPr="00B8181F">
        <w:rPr>
          <w:rFonts w:ascii="Palatino Linotype" w:hAnsi="Palatino Linotype" w:cs="Tahoma"/>
          <w:sz w:val="22"/>
          <w:szCs w:val="22"/>
        </w:rPr>
        <w:t>de dos mil veinticinco, se recibi</w:t>
      </w:r>
      <w:r w:rsidR="00A1737F" w:rsidRPr="00B8181F">
        <w:rPr>
          <w:rFonts w:ascii="Palatino Linotype" w:hAnsi="Palatino Linotype" w:cs="Tahoma"/>
          <w:sz w:val="22"/>
          <w:szCs w:val="22"/>
        </w:rPr>
        <w:t xml:space="preserve">ó </w:t>
      </w:r>
      <w:r w:rsidRPr="00B8181F">
        <w:rPr>
          <w:rFonts w:ascii="Palatino Linotype" w:hAnsi="Palatino Linotype" w:cs="Tahoma"/>
          <w:sz w:val="22"/>
          <w:szCs w:val="22"/>
        </w:rPr>
        <w:t xml:space="preserve">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w:t>
      </w:r>
      <w:r w:rsidR="00A1737F" w:rsidRPr="00B8181F">
        <w:rPr>
          <w:rFonts w:ascii="Palatino Linotype" w:hAnsi="Palatino Linotype" w:cs="Tahoma"/>
          <w:sz w:val="22"/>
          <w:szCs w:val="22"/>
        </w:rPr>
        <w:t>e</w:t>
      </w:r>
      <w:r w:rsidRPr="00B8181F">
        <w:rPr>
          <w:rFonts w:ascii="Palatino Linotype" w:hAnsi="Palatino Linotype" w:cs="Tahoma"/>
          <w:sz w:val="22"/>
          <w:szCs w:val="22"/>
        </w:rPr>
        <w:t>l Recurso de Revisión interpuesto por la parte Recurrente, en contra de la respuesta del Ayuntamiento de Villa del Carbón, en los siguientes términos</w:t>
      </w:r>
      <w:r w:rsidRPr="00B8181F">
        <w:rPr>
          <w:rFonts w:ascii="Palatino Linotype" w:hAnsi="Palatino Linotype" w:cs="Tahoma"/>
          <w:sz w:val="22"/>
          <w:szCs w:val="22"/>
          <w:lang w:val="es-ES"/>
        </w:rPr>
        <w:t>:</w:t>
      </w:r>
    </w:p>
    <w:p w14:paraId="7C763756"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lang w:val="es-ES"/>
        </w:rPr>
      </w:pPr>
    </w:p>
    <w:p w14:paraId="529B190F" w14:textId="77777777" w:rsidR="00A16422" w:rsidRPr="00B8181F" w:rsidRDefault="00A16422" w:rsidP="00B8181F">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“ACTO IMPUGNADO</w:t>
      </w:r>
    </w:p>
    <w:p w14:paraId="31D33B10" w14:textId="0E727CBB" w:rsidR="00A16422" w:rsidRPr="00B8181F" w:rsidRDefault="00A1737F" w:rsidP="00B8181F">
      <w:pPr>
        <w:autoSpaceDE w:val="0"/>
        <w:autoSpaceDN w:val="0"/>
        <w:adjustRightInd w:val="0"/>
        <w:spacing w:line="360" w:lineRule="auto"/>
        <w:ind w:left="567" w:right="567"/>
        <w:contextualSpacing/>
        <w:jc w:val="both"/>
        <w:rPr>
          <w:rFonts w:ascii="Palatino Linotype" w:hAnsi="Palatino Linotype" w:cs="Tahoma"/>
          <w:i/>
        </w:rPr>
      </w:pPr>
      <w:r w:rsidRPr="00B8181F">
        <w:rPr>
          <w:rFonts w:ascii="Palatino Linotype" w:hAnsi="Palatino Linotype" w:cs="Tahoma"/>
          <w:i/>
        </w:rPr>
        <w:t>la falta de respuesta</w:t>
      </w:r>
      <w:r w:rsidR="00A16422" w:rsidRPr="00B8181F">
        <w:rPr>
          <w:rFonts w:ascii="Palatino Linotype" w:hAnsi="Palatino Linotype" w:cs="Tahoma"/>
          <w:i/>
        </w:rPr>
        <w:t>.” (Sic.)</w:t>
      </w:r>
    </w:p>
    <w:p w14:paraId="0F8DB207" w14:textId="77777777" w:rsidR="00A16422" w:rsidRPr="00B8181F" w:rsidRDefault="00A16422" w:rsidP="00B8181F">
      <w:pPr>
        <w:autoSpaceDE w:val="0"/>
        <w:autoSpaceDN w:val="0"/>
        <w:adjustRightInd w:val="0"/>
        <w:spacing w:line="360" w:lineRule="auto"/>
        <w:ind w:left="567" w:right="567"/>
        <w:contextualSpacing/>
        <w:jc w:val="both"/>
        <w:rPr>
          <w:rFonts w:ascii="Palatino Linotype" w:hAnsi="Palatino Linotype" w:cs="Tahoma"/>
          <w:b/>
          <w:bCs/>
          <w:i/>
        </w:rPr>
      </w:pPr>
    </w:p>
    <w:p w14:paraId="49F36885" w14:textId="77777777" w:rsidR="00A16422" w:rsidRPr="00B8181F" w:rsidRDefault="00A16422" w:rsidP="00B8181F">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“RAZONES O MOTIVOS DE LA INCONFORMIDAD</w:t>
      </w:r>
    </w:p>
    <w:p w14:paraId="307335FD" w14:textId="5927D67E" w:rsidR="00A16422" w:rsidRPr="00B8181F" w:rsidRDefault="00A1737F" w:rsidP="00B8181F">
      <w:pPr>
        <w:autoSpaceDE w:val="0"/>
        <w:autoSpaceDN w:val="0"/>
        <w:adjustRightInd w:val="0"/>
        <w:spacing w:line="360" w:lineRule="auto"/>
        <w:ind w:left="567" w:right="567"/>
        <w:contextualSpacing/>
        <w:jc w:val="both"/>
        <w:rPr>
          <w:rFonts w:ascii="Palatino Linotype" w:hAnsi="Palatino Linotype" w:cs="Tahoma"/>
          <w:i/>
        </w:rPr>
      </w:pPr>
      <w:r w:rsidRPr="00B8181F">
        <w:rPr>
          <w:rFonts w:ascii="Palatino Linotype" w:hAnsi="Palatino Linotype" w:cs="Tahoma"/>
          <w:i/>
        </w:rPr>
        <w:t xml:space="preserve">el sujeto obligado no respondió mi solicitud de </w:t>
      </w:r>
      <w:proofErr w:type="spellStart"/>
      <w:r w:rsidRPr="00B8181F">
        <w:rPr>
          <w:rFonts w:ascii="Palatino Linotype" w:hAnsi="Palatino Linotype" w:cs="Tahoma"/>
          <w:i/>
        </w:rPr>
        <w:t>informacion</w:t>
      </w:r>
      <w:proofErr w:type="spellEnd"/>
      <w:r w:rsidRPr="00B8181F">
        <w:rPr>
          <w:rFonts w:ascii="Palatino Linotype" w:hAnsi="Palatino Linotype" w:cs="Tahoma"/>
          <w:i/>
        </w:rPr>
        <w:t xml:space="preserve"> pública</w:t>
      </w:r>
      <w:r w:rsidR="00A16422" w:rsidRPr="00B8181F">
        <w:rPr>
          <w:rFonts w:ascii="Palatino Linotype" w:hAnsi="Palatino Linotype" w:cs="Tahoma"/>
          <w:i/>
        </w:rPr>
        <w:t xml:space="preserve">.” (Sic) </w:t>
      </w:r>
    </w:p>
    <w:p w14:paraId="114D4967" w14:textId="77777777" w:rsidR="00A16422" w:rsidRPr="00B8181F" w:rsidRDefault="00A16422" w:rsidP="00B8181F">
      <w:pPr>
        <w:spacing w:line="360" w:lineRule="auto"/>
        <w:contextualSpacing/>
        <w:jc w:val="both"/>
        <w:rPr>
          <w:rFonts w:ascii="Palatino Linotype" w:hAnsi="Palatino Linotype" w:cs="Tahoma"/>
          <w:b/>
          <w:sz w:val="22"/>
          <w:szCs w:val="22"/>
        </w:rPr>
      </w:pPr>
    </w:p>
    <w:p w14:paraId="5D05AC63" w14:textId="1E7907C7" w:rsidR="00A16422" w:rsidRPr="00B8181F" w:rsidRDefault="00A16422" w:rsidP="00B8181F">
      <w:pPr>
        <w:pStyle w:val="Ttulo2"/>
        <w:spacing w:before="0" w:after="0" w:line="360" w:lineRule="auto"/>
        <w:contextualSpacing/>
        <w:rPr>
          <w:rFonts w:ascii="Palatino Linotype" w:eastAsia="Batang" w:hAnsi="Palatino Linotype"/>
          <w:b/>
          <w:bCs/>
          <w:color w:val="auto"/>
          <w:sz w:val="22"/>
          <w:szCs w:val="22"/>
        </w:rPr>
      </w:pPr>
      <w:bookmarkStart w:id="6" w:name="_Toc205480733"/>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3DB3461B" w14:textId="77777777" w:rsidR="00A16422" w:rsidRPr="00B8181F" w:rsidRDefault="00A16422" w:rsidP="00B8181F">
      <w:pPr>
        <w:spacing w:line="360" w:lineRule="auto"/>
        <w:contextualSpacing/>
        <w:jc w:val="both"/>
        <w:rPr>
          <w:rFonts w:ascii="Palatino Linotype" w:eastAsia="Batang" w:hAnsi="Palatino Linotype" w:cs="Tahoma"/>
          <w:b/>
          <w:bCs/>
          <w:sz w:val="22"/>
          <w:szCs w:val="22"/>
        </w:rPr>
      </w:pPr>
    </w:p>
    <w:p w14:paraId="2195421E" w14:textId="242C15CA" w:rsidR="00A16422" w:rsidRPr="00B8181F" w:rsidRDefault="00A16422" w:rsidP="00B8181F">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fecha </w:t>
      </w:r>
      <w:r w:rsidR="00A1737F" w:rsidRPr="00B8181F">
        <w:rPr>
          <w:rFonts w:ascii="Palatino Linotype" w:hAnsi="Palatino Linotype" w:cs="Tahoma"/>
          <w:sz w:val="22"/>
          <w:szCs w:val="22"/>
        </w:rPr>
        <w:t xml:space="preserve">diez de junio </w:t>
      </w:r>
      <w:r w:rsidRPr="00B8181F">
        <w:rPr>
          <w:rFonts w:ascii="Palatino Linotype" w:hAnsi="Palatino Linotype" w:cs="Tahoma"/>
          <w:sz w:val="22"/>
          <w:szCs w:val="22"/>
        </w:rPr>
        <w:t>de dos mil veinticinco</w:t>
      </w:r>
      <w:r w:rsidRPr="00B8181F">
        <w:rPr>
          <w:rFonts w:ascii="Palatino Linotype" w:eastAsia="Batang" w:hAnsi="Palatino Linotype" w:cs="Tahoma"/>
          <w:bCs/>
          <w:sz w:val="22"/>
          <w:szCs w:val="22"/>
          <w:lang w:val="es-ES_tradnl"/>
        </w:rPr>
        <w:t xml:space="preserve">, el SAIMEX, asignó </w:t>
      </w:r>
      <w:r w:rsidR="00A1737F" w:rsidRPr="00B8181F">
        <w:rPr>
          <w:rFonts w:ascii="Palatino Linotype" w:eastAsia="Batang" w:hAnsi="Palatino Linotype" w:cs="Tahoma"/>
          <w:bCs/>
          <w:sz w:val="22"/>
          <w:szCs w:val="22"/>
          <w:lang w:val="es-ES_tradnl"/>
        </w:rPr>
        <w:t>e</w:t>
      </w:r>
      <w:r w:rsidRPr="00B8181F">
        <w:rPr>
          <w:rFonts w:ascii="Palatino Linotype" w:eastAsia="Batang" w:hAnsi="Palatino Linotype" w:cs="Tahoma"/>
          <w:bCs/>
          <w:sz w:val="22"/>
          <w:szCs w:val="22"/>
          <w:lang w:val="es-ES_tradnl"/>
        </w:rPr>
        <w:t xml:space="preserve">l número de expediente </w:t>
      </w:r>
      <w:r w:rsidRPr="00B8181F">
        <w:rPr>
          <w:rFonts w:ascii="Palatino Linotype" w:eastAsia="Batang" w:hAnsi="Palatino Linotype" w:cs="Tahoma"/>
          <w:b/>
          <w:sz w:val="22"/>
          <w:szCs w:val="22"/>
          <w:lang w:val="es-ES_tradnl"/>
        </w:rPr>
        <w:t>0</w:t>
      </w:r>
      <w:r w:rsidR="00A1737F" w:rsidRPr="00B8181F">
        <w:rPr>
          <w:rFonts w:ascii="Palatino Linotype" w:eastAsia="Batang" w:hAnsi="Palatino Linotype" w:cs="Tahoma"/>
          <w:b/>
          <w:sz w:val="22"/>
          <w:szCs w:val="22"/>
          <w:lang w:val="es-ES_tradnl"/>
        </w:rPr>
        <w:t>6781</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7616373C" w14:textId="77777777" w:rsidR="00A16422" w:rsidRPr="00B8181F" w:rsidRDefault="00A16422" w:rsidP="00B8181F">
      <w:pPr>
        <w:spacing w:line="360" w:lineRule="auto"/>
        <w:contextualSpacing/>
        <w:jc w:val="both"/>
        <w:rPr>
          <w:rFonts w:ascii="Palatino Linotype" w:eastAsia="Batang" w:hAnsi="Palatino Linotype" w:cs="Tahoma"/>
          <w:b/>
          <w:bCs/>
          <w:sz w:val="22"/>
          <w:szCs w:val="22"/>
        </w:rPr>
      </w:pPr>
    </w:p>
    <w:p w14:paraId="4D51FDCB" w14:textId="142489FD" w:rsidR="00A16422" w:rsidRPr="00B8181F" w:rsidRDefault="00A16422" w:rsidP="00B8181F">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A1737F" w:rsidRPr="00B8181F">
        <w:rPr>
          <w:rFonts w:ascii="Palatino Linotype" w:eastAsia="Batang" w:hAnsi="Palatino Linotype" w:cs="Tahoma"/>
          <w:bCs/>
          <w:sz w:val="22"/>
          <w:szCs w:val="22"/>
          <w:lang w:val="es-ES_tradnl"/>
        </w:rPr>
        <w:t xml:space="preserve">trece de junio </w:t>
      </w:r>
      <w:r w:rsidRPr="00B8181F">
        <w:rPr>
          <w:rFonts w:ascii="Palatino Linotype" w:eastAsia="Batang" w:hAnsi="Palatino Linotype" w:cs="Tahoma"/>
          <w:bCs/>
          <w:sz w:val="22"/>
          <w:szCs w:val="22"/>
          <w:lang w:val="es-ES_tradnl"/>
        </w:rPr>
        <w:t xml:space="preserve">de dos mil veinticinco, se acordó la admisión del Recurso de Revisión, interpuesto por el Recurrente, en contra del Sujeto Obligado, en términos del artículo 185, fracciones I y II, de la Ley de Transparencia y Acceso a la Información Pública del Estado de México y Municipios, </w:t>
      </w:r>
      <w:r w:rsidR="0035347C" w:rsidRPr="00B8181F">
        <w:rPr>
          <w:rFonts w:ascii="Palatino Linotype" w:eastAsia="Batang" w:hAnsi="Palatino Linotype" w:cs="Tahoma"/>
          <w:bCs/>
          <w:sz w:val="22"/>
          <w:szCs w:val="22"/>
          <w:lang w:val="es-ES_tradnl"/>
        </w:rPr>
        <w:t>e</w:t>
      </w:r>
      <w:r w:rsidRPr="00B8181F">
        <w:rPr>
          <w:rFonts w:ascii="Palatino Linotype" w:eastAsia="Batang" w:hAnsi="Palatino Linotype" w:cs="Tahoma"/>
          <w:bCs/>
          <w:sz w:val="22"/>
          <w:szCs w:val="22"/>
          <w:lang w:val="es-ES_tradnl"/>
        </w:rPr>
        <w:t>l cual fue notificado a las partes</w:t>
      </w:r>
      <w:r w:rsidR="0035347C" w:rsidRPr="00B8181F">
        <w:rPr>
          <w:rFonts w:ascii="Palatino Linotype" w:eastAsia="Batang" w:hAnsi="Palatino Linotype" w:cs="Tahoma"/>
          <w:bCs/>
          <w:sz w:val="22"/>
          <w:szCs w:val="22"/>
          <w:lang w:val="es-ES_tradnl"/>
        </w:rPr>
        <w:t xml:space="preserve"> el mismo día</w:t>
      </w:r>
      <w:r w:rsidRPr="00B8181F">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5D823E78" w14:textId="77777777" w:rsidR="00A16422" w:rsidRPr="00B8181F" w:rsidRDefault="00A16422" w:rsidP="00B8181F">
      <w:pPr>
        <w:spacing w:line="360" w:lineRule="auto"/>
        <w:contextualSpacing/>
        <w:jc w:val="both"/>
        <w:rPr>
          <w:rFonts w:ascii="Palatino Linotype" w:eastAsia="Batang" w:hAnsi="Palatino Linotype" w:cs="Tahoma"/>
          <w:bCs/>
          <w:sz w:val="22"/>
          <w:szCs w:val="22"/>
          <w:lang w:val="es-ES_tradnl"/>
        </w:rPr>
      </w:pPr>
    </w:p>
    <w:p w14:paraId="68A366BF"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bCs/>
          <w:sz w:val="22"/>
          <w:szCs w:val="22"/>
        </w:rPr>
      </w:pPr>
      <w:r w:rsidRPr="00B8181F">
        <w:rPr>
          <w:rFonts w:ascii="Palatino Linotype" w:hAnsi="Palatino Linotype" w:cs="Tahoma"/>
          <w:b/>
          <w:sz w:val="22"/>
          <w:szCs w:val="22"/>
        </w:rPr>
        <w:t xml:space="preserve">c) Informe Justificado o Manifestaciones. </w:t>
      </w:r>
      <w:r w:rsidRPr="00B8181F">
        <w:rPr>
          <w:rFonts w:ascii="Palatino Linotype" w:hAnsi="Palatino Linotype" w:cs="Tahoma"/>
          <w:bCs/>
          <w:sz w:val="22"/>
          <w:szCs w:val="22"/>
        </w:rPr>
        <w:t>Las partes fueron omisas en realizar manifestaciones o alegatos.</w:t>
      </w:r>
    </w:p>
    <w:p w14:paraId="5FA98F77"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rPr>
      </w:pPr>
    </w:p>
    <w:p w14:paraId="2BF9946A" w14:textId="4A6A3B2C"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hAnsi="Palatino Linotype" w:cs="Tahoma"/>
          <w:b/>
          <w:sz w:val="22"/>
          <w:szCs w:val="22"/>
        </w:rPr>
        <w:t xml:space="preserve">d) </w:t>
      </w:r>
      <w:bookmarkStart w:id="7" w:name="_Hlk145410441"/>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9F35CD" w:rsidRPr="00B8181F">
        <w:rPr>
          <w:rFonts w:ascii="Palatino Linotype" w:hAnsi="Palatino Linotype" w:cs="Tahoma"/>
          <w:bCs/>
          <w:sz w:val="22"/>
          <w:szCs w:val="22"/>
        </w:rPr>
        <w:t>diecisiete</w:t>
      </w:r>
      <w:r w:rsidR="0035347C" w:rsidRPr="00B8181F">
        <w:rPr>
          <w:rFonts w:ascii="Palatino Linotype" w:hAnsi="Palatino Linotype" w:cs="Tahoma"/>
          <w:bCs/>
          <w:sz w:val="22"/>
          <w:szCs w:val="22"/>
        </w:rPr>
        <w:t xml:space="preserve"> </w:t>
      </w:r>
      <w:r w:rsidRPr="00B8181F">
        <w:rPr>
          <w:rFonts w:ascii="Palatino Linotype" w:hAnsi="Palatino Linotype" w:cs="Tahoma"/>
          <w:bCs/>
          <w:sz w:val="22"/>
          <w:szCs w:val="22"/>
        </w:rPr>
        <w:t>de julio de dos mil veinticinco, al no existir diligencias pendientes por desahogar, se emitió el acuerdo por medio del cual se declaró cerrada la instrucción y se determinó pasar</w:t>
      </w:r>
      <w:r w:rsidR="0035347C" w:rsidRPr="00B8181F">
        <w:rPr>
          <w:rFonts w:ascii="Palatino Linotype" w:hAnsi="Palatino Linotype" w:cs="Tahoma"/>
          <w:bCs/>
          <w:sz w:val="22"/>
          <w:szCs w:val="22"/>
        </w:rPr>
        <w:t xml:space="preserve"> e</w:t>
      </w:r>
      <w:r w:rsidRPr="00B8181F">
        <w:rPr>
          <w:rFonts w:ascii="Palatino Linotype" w:hAnsi="Palatino Linotype" w:cs="Tahoma"/>
          <w:bCs/>
          <w:sz w:val="22"/>
          <w:szCs w:val="22"/>
        </w:rPr>
        <w:t xml:space="preserv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20BF6633"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b/>
          <w:sz w:val="22"/>
          <w:szCs w:val="22"/>
          <w:lang w:val="es-ES"/>
        </w:rPr>
      </w:pPr>
    </w:p>
    <w:p w14:paraId="69C07523" w14:textId="77777777" w:rsidR="00A16422" w:rsidRPr="00B8181F" w:rsidRDefault="00A16422" w:rsidP="00B8181F">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75AABEA" w14:textId="77777777" w:rsidR="00A16422" w:rsidRPr="00B8181F" w:rsidRDefault="00A16422" w:rsidP="00B8181F">
      <w:pPr>
        <w:pStyle w:val="Ttulo1"/>
        <w:spacing w:before="0" w:after="0" w:line="360" w:lineRule="auto"/>
        <w:contextualSpacing/>
        <w:jc w:val="center"/>
        <w:rPr>
          <w:rFonts w:ascii="Palatino Linotype" w:hAnsi="Palatino Linotype"/>
          <w:b/>
          <w:bCs/>
          <w:color w:val="auto"/>
          <w:sz w:val="22"/>
          <w:szCs w:val="22"/>
        </w:rPr>
      </w:pPr>
    </w:p>
    <w:p w14:paraId="0C81EE94" w14:textId="77777777" w:rsidR="00A16422" w:rsidRPr="00B8181F" w:rsidRDefault="00A16422" w:rsidP="00B8181F">
      <w:pPr>
        <w:pStyle w:val="Ttulo1"/>
        <w:spacing w:before="0" w:after="0" w:line="360" w:lineRule="auto"/>
        <w:contextualSpacing/>
        <w:jc w:val="center"/>
        <w:rPr>
          <w:rFonts w:ascii="Palatino Linotype" w:hAnsi="Palatino Linotype"/>
          <w:b/>
          <w:bCs/>
          <w:color w:val="auto"/>
          <w:sz w:val="22"/>
          <w:szCs w:val="22"/>
        </w:rPr>
      </w:pPr>
      <w:bookmarkStart w:id="8" w:name="_Toc205480734"/>
      <w:r w:rsidRPr="00B8181F">
        <w:rPr>
          <w:rFonts w:ascii="Palatino Linotype" w:hAnsi="Palatino Linotype"/>
          <w:b/>
          <w:bCs/>
          <w:color w:val="auto"/>
          <w:sz w:val="22"/>
          <w:szCs w:val="22"/>
        </w:rPr>
        <w:t>C O N S I D E R A N D O S</w:t>
      </w:r>
      <w:bookmarkEnd w:id="8"/>
    </w:p>
    <w:p w14:paraId="6FAA4A93" w14:textId="77777777" w:rsidR="00A16422" w:rsidRPr="00B8181F" w:rsidRDefault="00A16422" w:rsidP="00B8181F">
      <w:pPr>
        <w:spacing w:line="360" w:lineRule="auto"/>
        <w:contextualSpacing/>
        <w:rPr>
          <w:rFonts w:ascii="Palatino Linotype" w:hAnsi="Palatino Linotype" w:cs="Tahoma"/>
          <w:b/>
          <w:sz w:val="22"/>
          <w:szCs w:val="22"/>
        </w:rPr>
      </w:pPr>
    </w:p>
    <w:p w14:paraId="72FBED0C" w14:textId="77777777" w:rsidR="00A16422" w:rsidRPr="00B8181F" w:rsidRDefault="00A16422" w:rsidP="00B8181F">
      <w:pPr>
        <w:pStyle w:val="Ttulo2"/>
        <w:spacing w:before="0" w:after="0" w:line="360" w:lineRule="auto"/>
        <w:contextualSpacing/>
        <w:rPr>
          <w:rFonts w:ascii="Palatino Linotype" w:hAnsi="Palatino Linotype"/>
          <w:b/>
          <w:bCs/>
          <w:color w:val="auto"/>
          <w:sz w:val="22"/>
          <w:szCs w:val="22"/>
        </w:rPr>
      </w:pPr>
      <w:bookmarkStart w:id="9" w:name="_Toc205480735"/>
      <w:r w:rsidRPr="00B8181F">
        <w:rPr>
          <w:rFonts w:ascii="Palatino Linotype" w:hAnsi="Palatino Linotype"/>
          <w:b/>
          <w:bCs/>
          <w:color w:val="auto"/>
          <w:sz w:val="22"/>
          <w:szCs w:val="22"/>
        </w:rPr>
        <w:t>PRIMERO. Competencia</w:t>
      </w:r>
      <w:bookmarkEnd w:id="9"/>
    </w:p>
    <w:p w14:paraId="45C1EB1B" w14:textId="77777777" w:rsidR="00A16422" w:rsidRPr="00B8181F" w:rsidRDefault="00A16422" w:rsidP="00B8181F">
      <w:pPr>
        <w:spacing w:line="360" w:lineRule="auto"/>
        <w:contextualSpacing/>
        <w:rPr>
          <w:rFonts w:ascii="Palatino Linotype" w:eastAsia="Batang" w:hAnsi="Palatino Linotype"/>
          <w:sz w:val="22"/>
          <w:szCs w:val="22"/>
        </w:rPr>
      </w:pPr>
    </w:p>
    <w:p w14:paraId="0654D050" w14:textId="4351778F" w:rsidR="00A16422" w:rsidRDefault="0014011B" w:rsidP="00B8181F">
      <w:pPr>
        <w:spacing w:line="360" w:lineRule="auto"/>
        <w:contextualSpacing/>
        <w:jc w:val="both"/>
        <w:rPr>
          <w:rFonts w:ascii="Palatino Linotype" w:eastAsia="Calibri" w:hAnsi="Palatino Linotype" w:cs="Tahoma"/>
          <w:bCs/>
          <w:color w:val="000000"/>
          <w:sz w:val="22"/>
          <w:szCs w:val="22"/>
          <w:lang w:eastAsia="es-ES_tradnl"/>
        </w:rPr>
      </w:pPr>
      <w:r w:rsidRPr="0014011B">
        <w:rPr>
          <w:rFonts w:ascii="Palatino Linotype" w:eastAsia="Calibri" w:hAnsi="Palatino Linotype" w:cs="Tahoma"/>
          <w:bCs/>
          <w:color w:val="000000"/>
          <w:sz w:val="22"/>
          <w:szCs w:val="22"/>
          <w:lang w:eastAsia="es-ES_tradnl"/>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00319D" w14:textId="77777777" w:rsidR="0014011B" w:rsidRPr="00B8181F" w:rsidRDefault="0014011B" w:rsidP="00B8181F">
      <w:pPr>
        <w:spacing w:line="360" w:lineRule="auto"/>
        <w:contextualSpacing/>
        <w:jc w:val="both"/>
        <w:rPr>
          <w:rFonts w:ascii="Palatino Linotype" w:eastAsia="Calibri" w:hAnsi="Palatino Linotype" w:cs="Tahoma"/>
          <w:bCs/>
          <w:color w:val="000000"/>
          <w:sz w:val="22"/>
          <w:szCs w:val="22"/>
          <w:lang w:eastAsia="es-ES_tradnl"/>
        </w:rPr>
      </w:pPr>
    </w:p>
    <w:p w14:paraId="7EC83AC4" w14:textId="77777777" w:rsidR="00A16422" w:rsidRPr="00B8181F" w:rsidRDefault="00A16422" w:rsidP="00B8181F">
      <w:pPr>
        <w:pStyle w:val="Ttulo2"/>
        <w:spacing w:before="0" w:after="0" w:line="360" w:lineRule="auto"/>
        <w:contextualSpacing/>
        <w:rPr>
          <w:rFonts w:ascii="Palatino Linotype" w:hAnsi="Palatino Linotype"/>
          <w:b/>
          <w:bCs/>
          <w:color w:val="auto"/>
          <w:sz w:val="22"/>
          <w:szCs w:val="22"/>
          <w:lang w:val="es-ES"/>
        </w:rPr>
      </w:pPr>
      <w:bookmarkStart w:id="10" w:name="_Toc205480736"/>
      <w:r w:rsidRPr="00B8181F">
        <w:rPr>
          <w:rFonts w:ascii="Palatino Linotype" w:eastAsia="Calibri" w:hAnsi="Palatino Linotype"/>
          <w:b/>
          <w:bCs/>
          <w:color w:val="auto"/>
          <w:sz w:val="22"/>
          <w:szCs w:val="22"/>
          <w:lang w:val="es-ES" w:eastAsia="es-MX"/>
        </w:rPr>
        <w:t xml:space="preserve">SEGUNDO. </w:t>
      </w:r>
      <w:r w:rsidRPr="00B8181F">
        <w:rPr>
          <w:rFonts w:ascii="Palatino Linotype" w:hAnsi="Palatino Linotype"/>
          <w:b/>
          <w:bCs/>
          <w:color w:val="auto"/>
          <w:sz w:val="22"/>
          <w:szCs w:val="22"/>
          <w:lang w:val="es-ES"/>
        </w:rPr>
        <w:t>Causales de improcedencia y sobreseimiento</w:t>
      </w:r>
      <w:bookmarkEnd w:id="10"/>
    </w:p>
    <w:p w14:paraId="628369C3"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b/>
          <w:sz w:val="22"/>
          <w:szCs w:val="22"/>
          <w:lang w:val="es-ES"/>
        </w:rPr>
      </w:pPr>
    </w:p>
    <w:p w14:paraId="667D41B8" w14:textId="77777777" w:rsidR="00A16422" w:rsidRPr="00B8181F" w:rsidRDefault="00A16422" w:rsidP="00B8181F">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8181F">
        <w:rPr>
          <w:rFonts w:ascii="Palatino Linotype" w:hAnsi="Palatino Linotype" w:cs="Tahoma"/>
          <w:i/>
          <w:sz w:val="22"/>
          <w:szCs w:val="22"/>
          <w:lang w:val="es-ES"/>
        </w:rPr>
        <w:t>litis</w:t>
      </w:r>
      <w:r w:rsidRPr="00B8181F">
        <w:rPr>
          <w:rFonts w:ascii="Palatino Linotype" w:hAnsi="Palatino Linotype" w:cs="Tahoma"/>
          <w:sz w:val="22"/>
          <w:szCs w:val="22"/>
          <w:lang w:val="es-ES"/>
        </w:rPr>
        <w:t>, es necesario estudiar las causales de improcedencia y sobreseimiento que se adviertan, para determinar lo que en Derecho proceda.</w:t>
      </w:r>
    </w:p>
    <w:p w14:paraId="6E4F0E8D" w14:textId="77777777" w:rsidR="00A16422" w:rsidRPr="00B8181F" w:rsidRDefault="00A16422" w:rsidP="00B8181F">
      <w:pPr>
        <w:spacing w:line="360" w:lineRule="auto"/>
        <w:contextualSpacing/>
        <w:jc w:val="both"/>
        <w:rPr>
          <w:rFonts w:ascii="Palatino Linotype" w:eastAsia="Calibri" w:hAnsi="Palatino Linotype" w:cs="Tahoma"/>
          <w:b/>
          <w:color w:val="000000"/>
          <w:sz w:val="22"/>
          <w:szCs w:val="22"/>
          <w:lang w:val="es-ES" w:eastAsia="es-MX"/>
        </w:rPr>
      </w:pPr>
    </w:p>
    <w:p w14:paraId="69EE27D6" w14:textId="77777777" w:rsidR="00A16422" w:rsidRPr="00B8181F" w:rsidRDefault="00A16422" w:rsidP="00B8181F">
      <w:pPr>
        <w:spacing w:line="360" w:lineRule="auto"/>
        <w:contextualSpacing/>
        <w:jc w:val="both"/>
        <w:rPr>
          <w:rFonts w:ascii="Palatino Linotype" w:hAnsi="Palatino Linotype" w:cs="Tahoma"/>
          <w:b/>
          <w:bCs/>
          <w:sz w:val="22"/>
          <w:szCs w:val="22"/>
          <w:lang w:val="es-ES"/>
        </w:rPr>
      </w:pPr>
      <w:r w:rsidRPr="00B8181F">
        <w:rPr>
          <w:rFonts w:ascii="Palatino Linotype" w:hAnsi="Palatino Linotype" w:cs="Tahoma"/>
          <w:b/>
          <w:bCs/>
          <w:sz w:val="22"/>
          <w:szCs w:val="22"/>
          <w:lang w:val="es-ES"/>
        </w:rPr>
        <w:t>Causales de improcedencia</w:t>
      </w:r>
    </w:p>
    <w:p w14:paraId="707B3D3E" w14:textId="77777777" w:rsidR="00A16422" w:rsidRPr="00B8181F" w:rsidRDefault="00A16422" w:rsidP="00B8181F">
      <w:pPr>
        <w:spacing w:line="360" w:lineRule="auto"/>
        <w:contextualSpacing/>
        <w:jc w:val="both"/>
        <w:rPr>
          <w:rFonts w:ascii="Palatino Linotype" w:hAnsi="Palatino Linotype" w:cs="Tahoma"/>
          <w:sz w:val="22"/>
          <w:szCs w:val="22"/>
          <w:lang w:val="es-ES"/>
        </w:rPr>
      </w:pPr>
    </w:p>
    <w:p w14:paraId="42E96112" w14:textId="77777777" w:rsidR="00A16422" w:rsidRPr="00B8181F" w:rsidRDefault="00A16422" w:rsidP="00B8181F">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3DB899" w14:textId="77777777" w:rsidR="00A16422" w:rsidRPr="00B8181F" w:rsidRDefault="00A16422" w:rsidP="00B8181F">
      <w:pPr>
        <w:spacing w:line="360" w:lineRule="auto"/>
        <w:contextualSpacing/>
        <w:jc w:val="both"/>
        <w:rPr>
          <w:rFonts w:ascii="Palatino Linotype" w:hAnsi="Palatino Linotype" w:cs="Tahoma"/>
          <w:sz w:val="22"/>
          <w:szCs w:val="22"/>
          <w:lang w:val="es-ES"/>
        </w:rPr>
      </w:pPr>
    </w:p>
    <w:p w14:paraId="70DF7CE0" w14:textId="77777777" w:rsidR="00A16422" w:rsidRPr="00B8181F" w:rsidRDefault="00A16422" w:rsidP="00B8181F">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8C69F86" w14:textId="77777777" w:rsidR="00A16422" w:rsidRPr="00B8181F" w:rsidRDefault="00A16422" w:rsidP="00B8181F">
      <w:pPr>
        <w:spacing w:line="360" w:lineRule="auto"/>
        <w:contextualSpacing/>
        <w:jc w:val="both"/>
        <w:rPr>
          <w:rFonts w:ascii="Palatino Linotype" w:hAnsi="Palatino Linotype" w:cs="Tahoma"/>
          <w:sz w:val="22"/>
          <w:szCs w:val="22"/>
          <w:lang w:val="es-ES"/>
        </w:rPr>
      </w:pPr>
    </w:p>
    <w:p w14:paraId="06E2C527" w14:textId="097C9F2B" w:rsidR="00A16422" w:rsidRPr="00B8181F" w:rsidRDefault="00A16422" w:rsidP="00B8181F">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sidR="00B8181F" w:rsidRPr="00B8181F">
        <w:rPr>
          <w:rFonts w:ascii="Palatino Linotype" w:hAnsi="Palatino Linotype" w:cs="Tahoma"/>
          <w:sz w:val="22"/>
          <w:szCs w:val="22"/>
          <w:lang w:val="es-ES"/>
        </w:rPr>
        <w:t>V</w:t>
      </w:r>
      <w:r w:rsidRPr="00B8181F">
        <w:rPr>
          <w:rFonts w:ascii="Palatino Linotype" w:hAnsi="Palatino Linotype" w:cs="Tahoma"/>
          <w:sz w:val="22"/>
          <w:szCs w:val="22"/>
          <w:lang w:val="es-ES"/>
        </w:rPr>
        <w:t xml:space="preserve">I de la Ley de Transparencia y Acceso a la Información Pública del Estado de México y Municipios, referente a </w:t>
      </w:r>
      <w:r w:rsidR="00B8181F" w:rsidRPr="00B8181F">
        <w:rPr>
          <w:rFonts w:ascii="Palatino Linotype" w:hAnsi="Palatino Linotype" w:cs="Tahoma"/>
          <w:sz w:val="22"/>
          <w:szCs w:val="22"/>
          <w:lang w:val="es-ES"/>
        </w:rPr>
        <w:t>la entrega de información que no corresponde con lo solicitado</w:t>
      </w:r>
      <w:r w:rsidR="00287387" w:rsidRPr="00B8181F">
        <w:rPr>
          <w:rFonts w:ascii="Palatino Linotype" w:hAnsi="Palatino Linotype" w:cs="Tahoma"/>
          <w:sz w:val="22"/>
          <w:szCs w:val="22"/>
          <w:lang w:val="es-ES"/>
        </w:rPr>
        <w:t>.</w:t>
      </w:r>
    </w:p>
    <w:p w14:paraId="44B22B1B" w14:textId="77777777" w:rsidR="00A16422" w:rsidRPr="00B8181F" w:rsidRDefault="00A16422" w:rsidP="00B8181F">
      <w:pPr>
        <w:spacing w:line="360" w:lineRule="auto"/>
        <w:contextualSpacing/>
        <w:jc w:val="both"/>
        <w:rPr>
          <w:rFonts w:ascii="Palatino Linotype" w:hAnsi="Palatino Linotype" w:cs="Tahoma"/>
          <w:sz w:val="22"/>
          <w:szCs w:val="22"/>
          <w:lang w:val="es-ES"/>
        </w:rPr>
      </w:pPr>
    </w:p>
    <w:p w14:paraId="022C7EA8" w14:textId="77777777"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hAnsi="Palatino Linotype" w:cs="Tahoma"/>
          <w:b/>
          <w:bCs/>
          <w:sz w:val="22"/>
          <w:szCs w:val="22"/>
        </w:rPr>
        <w:t>Causales de sobreseimiento</w:t>
      </w:r>
    </w:p>
    <w:p w14:paraId="0003B054" w14:textId="77777777" w:rsidR="00A16422" w:rsidRPr="00B8181F" w:rsidRDefault="00A16422" w:rsidP="00B8181F">
      <w:pPr>
        <w:spacing w:line="360" w:lineRule="auto"/>
        <w:contextualSpacing/>
        <w:jc w:val="both"/>
        <w:rPr>
          <w:rFonts w:ascii="Palatino Linotype" w:hAnsi="Palatino Linotype" w:cs="Tahoma"/>
          <w:sz w:val="22"/>
          <w:szCs w:val="22"/>
        </w:rPr>
      </w:pPr>
    </w:p>
    <w:p w14:paraId="289029F6" w14:textId="77777777"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Por ser de previo y especial pronunciamiento, este Instituto analiza si se actualiza alguna causal de sobreseimiento.</w:t>
      </w:r>
    </w:p>
    <w:p w14:paraId="3DA6899E" w14:textId="77777777" w:rsidR="00A16422" w:rsidRPr="00B8181F" w:rsidRDefault="00A16422" w:rsidP="00B8181F">
      <w:pPr>
        <w:spacing w:line="360" w:lineRule="auto"/>
        <w:contextualSpacing/>
        <w:jc w:val="both"/>
        <w:rPr>
          <w:rFonts w:ascii="Palatino Linotype" w:hAnsi="Palatino Linotype" w:cs="Tahoma"/>
          <w:sz w:val="22"/>
          <w:szCs w:val="22"/>
        </w:rPr>
      </w:pPr>
    </w:p>
    <w:p w14:paraId="38FA57DA" w14:textId="77777777"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7091DC9" w14:textId="77777777" w:rsidR="00A16422" w:rsidRPr="00B8181F" w:rsidRDefault="00A16422" w:rsidP="00B8181F">
      <w:pPr>
        <w:spacing w:line="360" w:lineRule="auto"/>
        <w:contextualSpacing/>
        <w:jc w:val="both"/>
        <w:rPr>
          <w:rFonts w:ascii="Palatino Linotype" w:hAnsi="Palatino Linotype" w:cs="Tahoma"/>
          <w:sz w:val="22"/>
          <w:szCs w:val="22"/>
        </w:rPr>
      </w:pPr>
    </w:p>
    <w:p w14:paraId="33C88ED2" w14:textId="77777777" w:rsidR="00A16422" w:rsidRPr="00B8181F" w:rsidRDefault="00A16422" w:rsidP="00B8181F">
      <w:pPr>
        <w:tabs>
          <w:tab w:val="left" w:pos="4962"/>
        </w:tabs>
        <w:spacing w:line="360" w:lineRule="auto"/>
        <w:contextualSpacing/>
        <w:jc w:val="both"/>
        <w:rPr>
          <w:rFonts w:ascii="Palatino Linotype" w:hAnsi="Palatino Linotype" w:cs="Tahoma"/>
          <w:sz w:val="22"/>
          <w:szCs w:val="22"/>
          <w:lang w:val="es-ES"/>
        </w:rPr>
      </w:pPr>
      <w:r w:rsidRPr="00B8181F">
        <w:rPr>
          <w:rFonts w:ascii="Palatino Linotype" w:hAnsi="Palatino Linotype" w:cs="Tahoma"/>
          <w:bCs/>
          <w:sz w:val="22"/>
          <w:szCs w:val="22"/>
          <w:lang w:val="es-ES"/>
        </w:rPr>
        <w:t xml:space="preserve">Por tales motivos, </w:t>
      </w:r>
      <w:r w:rsidRPr="00B8181F">
        <w:rPr>
          <w:rFonts w:ascii="Palatino Linotype" w:hAnsi="Palatino Linotype" w:cs="Tahoma"/>
          <w:sz w:val="22"/>
          <w:szCs w:val="22"/>
          <w:lang w:val="es-ES"/>
        </w:rPr>
        <w:t xml:space="preserve">se considera procedente entrar al fondo del presente asunto. </w:t>
      </w:r>
    </w:p>
    <w:p w14:paraId="301BF039" w14:textId="77777777" w:rsidR="00A16422" w:rsidRPr="00B8181F" w:rsidRDefault="00A16422" w:rsidP="00B8181F">
      <w:pPr>
        <w:tabs>
          <w:tab w:val="left" w:pos="4962"/>
        </w:tabs>
        <w:spacing w:line="360" w:lineRule="auto"/>
        <w:contextualSpacing/>
        <w:rPr>
          <w:rFonts w:ascii="Palatino Linotype" w:eastAsia="Calibri" w:hAnsi="Palatino Linotype" w:cs="Tahoma"/>
          <w:b/>
          <w:iCs/>
          <w:sz w:val="22"/>
          <w:szCs w:val="22"/>
          <w:lang w:val="es-ES" w:eastAsia="es-ES_tradnl"/>
        </w:rPr>
      </w:pPr>
    </w:p>
    <w:p w14:paraId="3ADB7DB2" w14:textId="77777777" w:rsidR="00A16422" w:rsidRPr="00B8181F" w:rsidRDefault="00A16422" w:rsidP="00B8181F">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5480737"/>
      <w:r w:rsidRPr="00B8181F">
        <w:rPr>
          <w:rFonts w:ascii="Palatino Linotype" w:eastAsia="Calibri" w:hAnsi="Palatino Linotype"/>
          <w:b/>
          <w:bCs/>
          <w:color w:val="auto"/>
          <w:sz w:val="22"/>
          <w:szCs w:val="22"/>
          <w:lang w:val="es-ES" w:eastAsia="es-ES_tradnl"/>
        </w:rPr>
        <w:t>TERCERO. Determinación de la Controversia</w:t>
      </w:r>
      <w:bookmarkEnd w:id="11"/>
    </w:p>
    <w:p w14:paraId="1171D7FB" w14:textId="77777777" w:rsidR="00A16422" w:rsidRPr="00B8181F" w:rsidRDefault="00A16422" w:rsidP="00B8181F">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57776224" w14:textId="3491AFFB"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0035347C" w:rsidRPr="00B8181F">
        <w:rPr>
          <w:rFonts w:ascii="Palatino Linotype" w:hAnsi="Palatino Linotype" w:cs="Tahoma"/>
          <w:sz w:val="22"/>
          <w:szCs w:val="22"/>
        </w:rPr>
        <w:t xml:space="preserve"> respecto </w:t>
      </w:r>
      <w:r w:rsidR="00287387" w:rsidRPr="00B8181F">
        <w:rPr>
          <w:rFonts w:ascii="Palatino Linotype" w:hAnsi="Palatino Linotype" w:cs="Tahoma"/>
          <w:sz w:val="22"/>
          <w:szCs w:val="22"/>
        </w:rPr>
        <w:t xml:space="preserve">a los archivos </w:t>
      </w:r>
      <w:r w:rsidR="0035347C" w:rsidRPr="00B8181F">
        <w:rPr>
          <w:rFonts w:ascii="Palatino Linotype" w:hAnsi="Palatino Linotype" w:cs="Tahoma"/>
          <w:sz w:val="22"/>
          <w:szCs w:val="22"/>
        </w:rPr>
        <w:t xml:space="preserve">de la Unidad de Información Planeación, Programación, y Evaluación, </w:t>
      </w:r>
      <w:r w:rsidRPr="00B8181F">
        <w:rPr>
          <w:rFonts w:ascii="Palatino Linotype" w:hAnsi="Palatino Linotype" w:cs="Tahoma"/>
          <w:sz w:val="22"/>
          <w:szCs w:val="22"/>
        </w:rPr>
        <w:t xml:space="preserve">los documentos que dieran cuenta </w:t>
      </w:r>
      <w:r w:rsidR="00287387" w:rsidRPr="00B8181F">
        <w:rPr>
          <w:rFonts w:ascii="Palatino Linotype" w:hAnsi="Palatino Linotype" w:cs="Tahoma"/>
          <w:sz w:val="22"/>
          <w:szCs w:val="22"/>
        </w:rPr>
        <w:t xml:space="preserve">del ejercicio fiscal 2025, de la Coordinación de Asuntos Indígenas </w:t>
      </w:r>
      <w:r w:rsidRPr="00B8181F">
        <w:rPr>
          <w:rFonts w:ascii="Palatino Linotype" w:hAnsi="Palatino Linotype" w:cs="Tahoma"/>
          <w:sz w:val="22"/>
          <w:szCs w:val="22"/>
        </w:rPr>
        <w:t>de lo siguiente:</w:t>
      </w:r>
    </w:p>
    <w:p w14:paraId="19FCF47E" w14:textId="77777777" w:rsidR="00A16422" w:rsidRPr="00B8181F" w:rsidRDefault="00A16422" w:rsidP="00B8181F">
      <w:pPr>
        <w:spacing w:line="360" w:lineRule="auto"/>
        <w:contextualSpacing/>
        <w:jc w:val="both"/>
        <w:rPr>
          <w:rFonts w:ascii="Palatino Linotype" w:hAnsi="Palatino Linotype" w:cs="Tahoma"/>
          <w:sz w:val="22"/>
          <w:szCs w:val="22"/>
        </w:rPr>
      </w:pPr>
    </w:p>
    <w:p w14:paraId="183C5174" w14:textId="765DC5BD" w:rsidR="00A16422" w:rsidRPr="00B8181F" w:rsidRDefault="00A16422" w:rsidP="00B8181F">
      <w:pPr>
        <w:pStyle w:val="Prrafodelista"/>
        <w:numPr>
          <w:ilvl w:val="0"/>
          <w:numId w:val="2"/>
        </w:numPr>
        <w:spacing w:line="360" w:lineRule="auto"/>
        <w:jc w:val="both"/>
        <w:rPr>
          <w:rFonts w:ascii="Palatino Linotype" w:hAnsi="Palatino Linotype" w:cs="Tahoma"/>
          <w:sz w:val="22"/>
          <w:szCs w:val="22"/>
        </w:rPr>
      </w:pPr>
      <w:proofErr w:type="spellStart"/>
      <w:r w:rsidRPr="00B8181F">
        <w:rPr>
          <w:rFonts w:ascii="Palatino Linotype" w:hAnsi="Palatino Linotype" w:cs="Tahoma"/>
          <w:sz w:val="22"/>
          <w:szCs w:val="22"/>
        </w:rPr>
        <w:t>PbRM</w:t>
      </w:r>
      <w:proofErr w:type="spellEnd"/>
      <w:r w:rsidRPr="00B8181F">
        <w:rPr>
          <w:rFonts w:ascii="Palatino Linotype" w:hAnsi="Palatino Linotype" w:cs="Tahoma"/>
          <w:sz w:val="22"/>
          <w:szCs w:val="22"/>
        </w:rPr>
        <w:t xml:space="preserve"> </w:t>
      </w:r>
      <w:r w:rsidR="00287387" w:rsidRPr="00B8181F">
        <w:rPr>
          <w:rFonts w:ascii="Palatino Linotype" w:hAnsi="Palatino Linotype" w:cs="Tahoma"/>
          <w:sz w:val="22"/>
          <w:szCs w:val="22"/>
        </w:rPr>
        <w:t xml:space="preserve">programados </w:t>
      </w:r>
      <w:r w:rsidR="0035347C" w:rsidRPr="00B8181F">
        <w:rPr>
          <w:rFonts w:ascii="Palatino Linotype" w:hAnsi="Palatino Linotype" w:cs="Tahoma"/>
          <w:sz w:val="22"/>
          <w:szCs w:val="22"/>
        </w:rPr>
        <w:t>en el que se incluya el techo presupuestal asignado</w:t>
      </w:r>
    </w:p>
    <w:p w14:paraId="44EFEFF4" w14:textId="6070D962" w:rsidR="0035347C" w:rsidRPr="00B8181F" w:rsidRDefault="0035347C" w:rsidP="00B8181F">
      <w:pPr>
        <w:pStyle w:val="Prrafodelista"/>
        <w:numPr>
          <w:ilvl w:val="0"/>
          <w:numId w:val="2"/>
        </w:numPr>
        <w:spacing w:line="360" w:lineRule="auto"/>
        <w:jc w:val="both"/>
        <w:rPr>
          <w:rFonts w:ascii="Palatino Linotype" w:hAnsi="Palatino Linotype" w:cs="Tahoma"/>
          <w:sz w:val="22"/>
          <w:szCs w:val="22"/>
        </w:rPr>
      </w:pPr>
      <w:r w:rsidRPr="00B8181F">
        <w:rPr>
          <w:rFonts w:ascii="Palatino Linotype" w:hAnsi="Palatino Linotype" w:cs="Tahoma"/>
          <w:sz w:val="22"/>
          <w:szCs w:val="22"/>
        </w:rPr>
        <w:t>Recursos Ejercidos en las acciones programadas; y</w:t>
      </w:r>
    </w:p>
    <w:p w14:paraId="7C0A1249" w14:textId="151B7D4F" w:rsidR="0035347C" w:rsidRPr="00B8181F" w:rsidRDefault="0035347C" w:rsidP="00B8181F">
      <w:pPr>
        <w:pStyle w:val="Prrafodelista"/>
        <w:numPr>
          <w:ilvl w:val="0"/>
          <w:numId w:val="2"/>
        </w:numPr>
        <w:spacing w:line="360" w:lineRule="auto"/>
        <w:jc w:val="both"/>
        <w:rPr>
          <w:rFonts w:ascii="Palatino Linotype" w:hAnsi="Palatino Linotype" w:cs="Tahoma"/>
          <w:sz w:val="22"/>
          <w:szCs w:val="22"/>
        </w:rPr>
      </w:pPr>
      <w:r w:rsidRPr="00B8181F">
        <w:rPr>
          <w:rFonts w:ascii="Palatino Linotype" w:hAnsi="Palatino Linotype" w:cs="Tahoma"/>
          <w:sz w:val="22"/>
          <w:szCs w:val="22"/>
        </w:rPr>
        <w:t>El estado que guarda su cumplimiento.</w:t>
      </w:r>
    </w:p>
    <w:p w14:paraId="351D8B58" w14:textId="77777777" w:rsidR="00A16422" w:rsidRPr="00B8181F" w:rsidRDefault="00A16422" w:rsidP="00B8181F">
      <w:pPr>
        <w:spacing w:line="360" w:lineRule="auto"/>
        <w:contextualSpacing/>
        <w:jc w:val="both"/>
        <w:rPr>
          <w:rFonts w:ascii="Palatino Linotype" w:eastAsia="Calibri" w:hAnsi="Palatino Linotype" w:cs="Tahoma"/>
          <w:iCs/>
          <w:sz w:val="22"/>
          <w:szCs w:val="22"/>
          <w:lang w:val="es-ES" w:eastAsia="es-ES_tradnl"/>
        </w:rPr>
      </w:pPr>
    </w:p>
    <w:p w14:paraId="49778835" w14:textId="0CF2E494"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eastAsia="Calibri" w:hAnsi="Palatino Linotype" w:cs="Tahoma"/>
          <w:iCs/>
          <w:sz w:val="22"/>
          <w:szCs w:val="22"/>
          <w:lang w:val="es-ES" w:eastAsia="es-ES_tradnl"/>
        </w:rPr>
        <w:t xml:space="preserve">En respuesta, el Sujeto Obligado a través de </w:t>
      </w:r>
      <w:r w:rsidRPr="00B8181F">
        <w:rPr>
          <w:rFonts w:ascii="Palatino Linotype" w:hAnsi="Palatino Linotype" w:cs="Tahoma"/>
          <w:sz w:val="22"/>
          <w:szCs w:val="22"/>
        </w:rPr>
        <w:t xml:space="preserve">la Titular de la Unidad de Información Planeación, Programación y Evaluación señaló normatividad y solicitó que se cumpla, derivado de ello, la parte Recurrente se inconformó y señaló que no se le entregó la </w:t>
      </w:r>
      <w:r w:rsidRPr="00B8181F">
        <w:rPr>
          <w:rFonts w:ascii="Palatino Linotype" w:hAnsi="Palatino Linotype" w:cs="Tahoma"/>
          <w:sz w:val="22"/>
          <w:szCs w:val="22"/>
        </w:rPr>
        <w:lastRenderedPageBreak/>
        <w:t xml:space="preserve">información, durante la sustanciación del Recurso de Revisión ambas partes fueron omisas en rendir informe justificado o añadir manifestaciones; por lo que, se actualiza la causal de procedencia prevista en la fracción </w:t>
      </w:r>
      <w:r w:rsidR="00B8181F" w:rsidRPr="00B8181F">
        <w:rPr>
          <w:rFonts w:ascii="Palatino Linotype" w:hAnsi="Palatino Linotype" w:cs="Tahoma"/>
          <w:sz w:val="22"/>
          <w:szCs w:val="22"/>
        </w:rPr>
        <w:t>V</w:t>
      </w:r>
      <w:r w:rsidRPr="00B8181F">
        <w:rPr>
          <w:rFonts w:ascii="Palatino Linotype" w:hAnsi="Palatino Linotype" w:cs="Tahoma"/>
          <w:sz w:val="22"/>
          <w:szCs w:val="22"/>
        </w:rPr>
        <w:t>I, del artículo 179 de la Ley de Transparencia y Acceso a la Información Pública del Estado de México y Municipios.</w:t>
      </w:r>
    </w:p>
    <w:p w14:paraId="09B13FE9" w14:textId="77777777" w:rsidR="00A16422" w:rsidRPr="00B8181F" w:rsidRDefault="00A16422" w:rsidP="00B8181F">
      <w:pPr>
        <w:spacing w:line="360" w:lineRule="auto"/>
        <w:contextualSpacing/>
        <w:jc w:val="both"/>
        <w:rPr>
          <w:rFonts w:ascii="Palatino Linotype" w:eastAsia="Calibri" w:hAnsi="Palatino Linotype" w:cs="Tahoma"/>
          <w:iCs/>
          <w:sz w:val="22"/>
          <w:szCs w:val="22"/>
          <w:lang w:val="es-ES" w:eastAsia="es-ES_tradnl"/>
        </w:rPr>
      </w:pPr>
    </w:p>
    <w:p w14:paraId="6FED7B46" w14:textId="0851E292" w:rsidR="00A16422" w:rsidRPr="00B8181F" w:rsidRDefault="00A16422" w:rsidP="00B8181F">
      <w:pPr>
        <w:spacing w:line="360" w:lineRule="auto"/>
        <w:contextualSpacing/>
        <w:jc w:val="both"/>
        <w:rPr>
          <w:rFonts w:ascii="Palatino Linotype" w:eastAsia="Calibri" w:hAnsi="Palatino Linotype" w:cs="Tahoma"/>
          <w:bCs/>
          <w:sz w:val="22"/>
          <w:szCs w:val="22"/>
        </w:rPr>
      </w:pPr>
      <w:r w:rsidRPr="00B818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B8181F">
        <w:rPr>
          <w:rFonts w:ascii="Palatino Linotype" w:eastAsia="Calibri" w:hAnsi="Palatino Linotype" w:cs="Tahoma"/>
          <w:iCs/>
          <w:sz w:val="22"/>
          <w:szCs w:val="22"/>
          <w:lang w:eastAsia="es-ES_tradnl"/>
        </w:rPr>
        <w:t xml:space="preserve"> y </w:t>
      </w:r>
      <w:r w:rsidR="003A6020" w:rsidRPr="00B8181F">
        <w:rPr>
          <w:rFonts w:ascii="Palatino Linotype" w:eastAsia="Calibri" w:hAnsi="Palatino Linotype" w:cs="Tahoma"/>
          <w:iCs/>
          <w:sz w:val="22"/>
          <w:szCs w:val="22"/>
          <w:lang w:eastAsia="es-ES_tradnl"/>
        </w:rPr>
        <w:t>e</w:t>
      </w:r>
      <w:r w:rsidRPr="00B8181F">
        <w:rPr>
          <w:rFonts w:ascii="Palatino Linotype" w:eastAsia="Calibri" w:hAnsi="Palatino Linotype" w:cs="Tahoma"/>
          <w:iCs/>
          <w:sz w:val="22"/>
          <w:szCs w:val="22"/>
          <w:lang w:eastAsia="es-ES_tradnl"/>
        </w:rPr>
        <w:t xml:space="preserve">l escrito </w:t>
      </w:r>
      <w:proofErr w:type="spellStart"/>
      <w:r w:rsidRPr="00B8181F">
        <w:rPr>
          <w:rFonts w:ascii="Palatino Linotype" w:eastAsia="Calibri" w:hAnsi="Palatino Linotype" w:cs="Tahoma"/>
          <w:iCs/>
          <w:sz w:val="22"/>
          <w:szCs w:val="22"/>
          <w:lang w:eastAsia="es-ES_tradnl"/>
        </w:rPr>
        <w:t>recursal</w:t>
      </w:r>
      <w:proofErr w:type="spellEnd"/>
      <w:r w:rsidRPr="00B8181F">
        <w:rPr>
          <w:rFonts w:ascii="Palatino Linotype" w:eastAsia="Calibri" w:hAnsi="Palatino Linotype" w:cs="Tahoma"/>
          <w:iCs/>
          <w:sz w:val="22"/>
          <w:szCs w:val="22"/>
          <w:lang w:eastAsia="es-ES_tradnl"/>
        </w:rPr>
        <w:t xml:space="preserve">, </w:t>
      </w:r>
      <w:r w:rsidRPr="00B818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B8181F">
        <w:rPr>
          <w:rFonts w:ascii="Palatino Linotype" w:eastAsia="Calibri" w:hAnsi="Palatino Linotype" w:cs="Tahoma"/>
          <w:b/>
          <w:sz w:val="22"/>
          <w:szCs w:val="22"/>
        </w:rPr>
        <w:t>. Así las cosas, admitidos y notificados los recursos de revisión a las partes, estas fueron omisas en realizar manifestaciones o alegatos.</w:t>
      </w:r>
    </w:p>
    <w:p w14:paraId="049F1E06" w14:textId="77777777" w:rsidR="00A16422" w:rsidRPr="00B8181F" w:rsidRDefault="00A16422" w:rsidP="00B8181F">
      <w:pPr>
        <w:spacing w:line="360" w:lineRule="auto"/>
        <w:contextualSpacing/>
        <w:jc w:val="both"/>
        <w:rPr>
          <w:rFonts w:ascii="Palatino Linotype" w:hAnsi="Palatino Linotype"/>
          <w:color w:val="000000"/>
          <w:sz w:val="22"/>
          <w:szCs w:val="22"/>
          <w:lang w:eastAsia="es-ES_tradnl"/>
        </w:rPr>
      </w:pPr>
    </w:p>
    <w:p w14:paraId="674F8DBD" w14:textId="77777777" w:rsidR="00A16422" w:rsidRPr="00B8181F" w:rsidRDefault="00A16422" w:rsidP="00B8181F">
      <w:pPr>
        <w:pStyle w:val="Ttulo2"/>
        <w:spacing w:before="0" w:after="0" w:line="360" w:lineRule="auto"/>
        <w:contextualSpacing/>
        <w:jc w:val="both"/>
        <w:rPr>
          <w:rFonts w:ascii="Palatino Linotype" w:hAnsi="Palatino Linotype"/>
          <w:b/>
          <w:bCs/>
          <w:color w:val="auto"/>
          <w:sz w:val="22"/>
          <w:szCs w:val="22"/>
        </w:rPr>
      </w:pPr>
      <w:bookmarkStart w:id="12" w:name="_Toc205480738"/>
      <w:r w:rsidRPr="00B8181F">
        <w:rPr>
          <w:rFonts w:ascii="Palatino Linotype" w:hAnsi="Palatino Linotype"/>
          <w:b/>
          <w:bCs/>
          <w:color w:val="auto"/>
          <w:sz w:val="22"/>
          <w:szCs w:val="22"/>
          <w:lang w:val="es-ES"/>
        </w:rPr>
        <w:t xml:space="preserve">CUARTO. </w:t>
      </w:r>
      <w:r w:rsidRPr="00B8181F">
        <w:rPr>
          <w:rFonts w:ascii="Palatino Linotype" w:hAnsi="Palatino Linotype"/>
          <w:b/>
          <w:bCs/>
          <w:color w:val="auto"/>
          <w:sz w:val="22"/>
          <w:szCs w:val="22"/>
        </w:rPr>
        <w:t>Marco normativo aplicable en materia de transparencia y acceso a la información pública</w:t>
      </w:r>
      <w:bookmarkEnd w:id="12"/>
    </w:p>
    <w:p w14:paraId="71FD8963"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p>
    <w:p w14:paraId="268C933A"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F8E013"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p>
    <w:p w14:paraId="5BB92818" w14:textId="77777777" w:rsidR="00A16422" w:rsidRPr="00B8181F" w:rsidRDefault="00A16422" w:rsidP="00B8181F">
      <w:pPr>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9440FD6"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p>
    <w:p w14:paraId="73206CE4"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lastRenderedPageBreak/>
        <w:t>Por su parte, la Ley de Transparencia y Acceso a la Información Pública del Estado de México y Municipios (Reglamentaria del artículo 5° de la Constitución Local), establece lo siguiente:</w:t>
      </w:r>
    </w:p>
    <w:p w14:paraId="3DFE531A"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p>
    <w:p w14:paraId="60C6D20D"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4675331C"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p>
    <w:p w14:paraId="193692B7"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DA72C47"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p>
    <w:p w14:paraId="715A89AA" w14:textId="77777777" w:rsidR="00A16422" w:rsidRPr="00B8181F" w:rsidRDefault="00A16422" w:rsidP="00B8181F">
      <w:pPr>
        <w:widowControl w:val="0"/>
        <w:spacing w:line="360" w:lineRule="auto"/>
        <w:contextualSpacing/>
        <w:jc w:val="both"/>
        <w:rPr>
          <w:rFonts w:ascii="Palatino Linotype" w:hAnsi="Palatino Linotype" w:cs="Tahoma"/>
          <w:sz w:val="22"/>
          <w:szCs w:val="22"/>
          <w:lang w:eastAsia="es-MX"/>
        </w:rPr>
      </w:pPr>
      <w:r w:rsidRPr="00B8181F">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6031D9" w14:textId="77777777" w:rsidR="00A16422" w:rsidRPr="00B8181F" w:rsidRDefault="00A16422" w:rsidP="00B8181F">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3A652BAC" w14:textId="77777777" w:rsidR="00A16422" w:rsidRPr="00B8181F" w:rsidRDefault="00A16422" w:rsidP="00B8181F">
      <w:pPr>
        <w:pStyle w:val="Ttulo2"/>
        <w:spacing w:before="0" w:after="0" w:line="360" w:lineRule="auto"/>
        <w:contextualSpacing/>
        <w:rPr>
          <w:rFonts w:ascii="Palatino Linotype" w:hAnsi="Palatino Linotype"/>
          <w:b/>
          <w:bCs/>
          <w:color w:val="auto"/>
          <w:sz w:val="22"/>
          <w:szCs w:val="22"/>
          <w:lang w:val="es-ES"/>
        </w:rPr>
      </w:pPr>
      <w:bookmarkStart w:id="13" w:name="_Toc205480739"/>
      <w:r w:rsidRPr="00B8181F">
        <w:rPr>
          <w:rFonts w:ascii="Palatino Linotype" w:hAnsi="Palatino Linotype"/>
          <w:b/>
          <w:bCs/>
          <w:color w:val="auto"/>
          <w:sz w:val="22"/>
          <w:szCs w:val="22"/>
          <w:lang w:val="es-ES"/>
        </w:rPr>
        <w:t>QUINTO. Estudio de Fondo</w:t>
      </w:r>
      <w:bookmarkEnd w:id="13"/>
    </w:p>
    <w:p w14:paraId="56493728" w14:textId="77777777" w:rsidR="00A16422" w:rsidRPr="00B8181F" w:rsidRDefault="00A16422" w:rsidP="00B8181F">
      <w:pPr>
        <w:spacing w:line="360" w:lineRule="auto"/>
        <w:contextualSpacing/>
        <w:jc w:val="both"/>
        <w:rPr>
          <w:rFonts w:ascii="Palatino Linotype" w:hAnsi="Palatino Linotype" w:cs="Tahoma"/>
          <w:b/>
          <w:sz w:val="22"/>
          <w:szCs w:val="22"/>
          <w:lang w:val="es-ES"/>
        </w:rPr>
      </w:pPr>
    </w:p>
    <w:p w14:paraId="51D5D2EC" w14:textId="0DF5EA10" w:rsidR="00A16422" w:rsidRPr="00B8181F" w:rsidRDefault="00A16422" w:rsidP="00B8181F">
      <w:pPr>
        <w:widowControl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bCs/>
          <w:iCs/>
          <w:sz w:val="22"/>
          <w:szCs w:val="22"/>
        </w:rPr>
        <w:t xml:space="preserve">Expuestas las posturas de las partes, se procede a realizar el análisis del agravio hecho valer por la ahora Recurrente, </w:t>
      </w:r>
      <w:r w:rsidRPr="00B8181F">
        <w:rPr>
          <w:rFonts w:ascii="Palatino Linotype" w:hAnsi="Palatino Linotype" w:cs="Tahoma"/>
          <w:sz w:val="22"/>
          <w:szCs w:val="22"/>
          <w:lang w:val="es-ES"/>
        </w:rPr>
        <w:t>referente a la negativa de entrega de la información solicitada, para lo cual resulta necesario contextualizar la solicitud de información.</w:t>
      </w:r>
    </w:p>
    <w:p w14:paraId="130975F6" w14:textId="77777777" w:rsidR="00A16422" w:rsidRPr="00B8181F" w:rsidRDefault="00A16422" w:rsidP="00B8181F">
      <w:pPr>
        <w:widowControl w:val="0"/>
        <w:spacing w:line="360" w:lineRule="auto"/>
        <w:contextualSpacing/>
        <w:jc w:val="both"/>
        <w:rPr>
          <w:rFonts w:ascii="Palatino Linotype" w:hAnsi="Palatino Linotype" w:cs="Tahoma"/>
          <w:sz w:val="22"/>
          <w:szCs w:val="22"/>
          <w:lang w:val="es-ES"/>
        </w:rPr>
      </w:pPr>
    </w:p>
    <w:p w14:paraId="6CFF2A1E" w14:textId="77777777" w:rsidR="00A16422" w:rsidRPr="00B8181F" w:rsidRDefault="00A16422" w:rsidP="00B8181F">
      <w:pPr>
        <w:spacing w:line="360" w:lineRule="auto"/>
        <w:ind w:right="-28"/>
        <w:contextualSpacing/>
        <w:jc w:val="both"/>
        <w:rPr>
          <w:rFonts w:ascii="Palatino Linotype" w:eastAsia="Calibri" w:hAnsi="Palatino Linotype" w:cs="Tahoma"/>
          <w:color w:val="000000" w:themeColor="text1"/>
          <w:sz w:val="22"/>
          <w:szCs w:val="22"/>
          <w:lang w:eastAsia="en-US"/>
        </w:rPr>
      </w:pPr>
      <w:r w:rsidRPr="00B8181F">
        <w:rPr>
          <w:rFonts w:ascii="Palatino Linotype" w:eastAsia="Calibri" w:hAnsi="Palatino Linotype" w:cs="Tahoma"/>
          <w:color w:val="000000" w:themeColor="text1"/>
          <w:sz w:val="22"/>
          <w:szCs w:val="22"/>
          <w:lang w:eastAsia="en-US"/>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13FFB33E" w14:textId="77777777" w:rsidR="00A16422" w:rsidRPr="00B8181F" w:rsidRDefault="00A16422" w:rsidP="00B8181F">
      <w:pPr>
        <w:spacing w:line="360" w:lineRule="auto"/>
        <w:contextualSpacing/>
        <w:jc w:val="both"/>
        <w:rPr>
          <w:rFonts w:ascii="Palatino Linotype" w:eastAsia="Calibri" w:hAnsi="Palatino Linotype" w:cs="Tahoma"/>
          <w:b/>
          <w:bCs/>
          <w:color w:val="000000" w:themeColor="text1"/>
          <w:sz w:val="22"/>
          <w:szCs w:val="22"/>
          <w:lang w:eastAsia="en-US"/>
        </w:rPr>
      </w:pPr>
    </w:p>
    <w:p w14:paraId="538C0C31" w14:textId="77777777" w:rsidR="00A16422" w:rsidRPr="00B8181F" w:rsidRDefault="00A16422" w:rsidP="00B8181F">
      <w:pPr>
        <w:numPr>
          <w:ilvl w:val="0"/>
          <w:numId w:val="3"/>
        </w:numPr>
        <w:spacing w:line="360" w:lineRule="auto"/>
        <w:ind w:right="-28"/>
        <w:contextualSpacing/>
        <w:jc w:val="both"/>
        <w:rPr>
          <w:rFonts w:ascii="Palatino Linotype" w:hAnsi="Palatino Linotype" w:cs="Tahoma"/>
          <w:sz w:val="22"/>
          <w:szCs w:val="22"/>
        </w:rPr>
      </w:pPr>
      <w:r w:rsidRPr="00B8181F">
        <w:rPr>
          <w:rFonts w:ascii="Palatino Linotype" w:hAnsi="Palatino Linotype" w:cs="Tahoma"/>
          <w:sz w:val="22"/>
          <w:szCs w:val="22"/>
        </w:rPr>
        <w:lastRenderedPageBreak/>
        <w:t>Prever los recursos financieros necesarios para la administración municipal;</w:t>
      </w:r>
    </w:p>
    <w:p w14:paraId="3EBC9642" w14:textId="77777777" w:rsidR="00A16422" w:rsidRPr="00B8181F" w:rsidRDefault="00A16422" w:rsidP="00B8181F">
      <w:pPr>
        <w:numPr>
          <w:ilvl w:val="0"/>
          <w:numId w:val="3"/>
        </w:numPr>
        <w:spacing w:line="360" w:lineRule="auto"/>
        <w:ind w:right="-28"/>
        <w:contextualSpacing/>
        <w:jc w:val="both"/>
        <w:rPr>
          <w:rFonts w:ascii="Palatino Linotype" w:hAnsi="Palatino Linotype" w:cs="Tahoma"/>
          <w:sz w:val="22"/>
          <w:szCs w:val="22"/>
        </w:rPr>
      </w:pPr>
      <w:r w:rsidRPr="00B8181F">
        <w:rPr>
          <w:rFonts w:ascii="Palatino Linotype" w:hAnsi="Palatino Linotype" w:cs="Tahoma"/>
          <w:sz w:val="22"/>
          <w:szCs w:val="22"/>
        </w:rPr>
        <w:t>Llevar el control estricto de los gastos de la administración municipal, y</w:t>
      </w:r>
    </w:p>
    <w:p w14:paraId="63DD2F60" w14:textId="77777777" w:rsidR="00A16422" w:rsidRPr="00B8181F" w:rsidRDefault="00A16422" w:rsidP="00B8181F">
      <w:pPr>
        <w:numPr>
          <w:ilvl w:val="0"/>
          <w:numId w:val="3"/>
        </w:numPr>
        <w:spacing w:line="360" w:lineRule="auto"/>
        <w:ind w:right="-28"/>
        <w:contextualSpacing/>
        <w:jc w:val="both"/>
        <w:rPr>
          <w:rFonts w:ascii="Palatino Linotype" w:hAnsi="Palatino Linotype" w:cs="Tahoma"/>
          <w:sz w:val="22"/>
          <w:szCs w:val="22"/>
        </w:rPr>
      </w:pPr>
      <w:r w:rsidRPr="00B8181F">
        <w:rPr>
          <w:rFonts w:ascii="Palatino Linotype" w:hAnsi="Palatino Linotype" w:cs="Tahoma"/>
          <w:sz w:val="22"/>
          <w:szCs w:val="22"/>
        </w:rPr>
        <w:t>Manejar adecuada y honestamente los fondos financieros del municipio.</w:t>
      </w:r>
    </w:p>
    <w:p w14:paraId="376F6811" w14:textId="77777777" w:rsidR="00A16422" w:rsidRPr="00B8181F" w:rsidRDefault="00A16422" w:rsidP="00B8181F">
      <w:pPr>
        <w:spacing w:line="360" w:lineRule="auto"/>
        <w:ind w:right="-28"/>
        <w:contextualSpacing/>
        <w:jc w:val="both"/>
        <w:rPr>
          <w:rFonts w:ascii="Palatino Linotype" w:eastAsia="Calibri" w:hAnsi="Palatino Linotype" w:cs="Tahoma"/>
          <w:color w:val="000000" w:themeColor="text1"/>
          <w:sz w:val="22"/>
          <w:szCs w:val="22"/>
          <w:lang w:eastAsia="en-US"/>
        </w:rPr>
      </w:pPr>
    </w:p>
    <w:p w14:paraId="47F8271F" w14:textId="77777777" w:rsidR="00A16422" w:rsidRPr="00B8181F" w:rsidRDefault="00A16422" w:rsidP="00B8181F">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8181F">
        <w:rPr>
          <w:rFonts w:ascii="Palatino Linotype" w:eastAsia="Calibri" w:hAnsi="Palatino Linotype" w:cs="Tahoma"/>
          <w:color w:val="000000" w:themeColor="text1"/>
          <w:sz w:val="22"/>
          <w:szCs w:val="22"/>
          <w:lang w:eastAsia="en-US"/>
        </w:rPr>
        <w:t xml:space="preserve">Además, precisa que dicho documento debe ser elaborado tomando en cuenta el monto disponible de los ingresos del Ayuntamiento; en ese sentido, </w:t>
      </w:r>
      <w:r w:rsidRPr="00B8181F">
        <w:rPr>
          <w:rFonts w:ascii="Palatino Linotype" w:eastAsia="Calibri" w:hAnsi="Palatino Linotype" w:cs="Tahoma"/>
          <w:bCs/>
          <w:color w:val="000000" w:themeColor="text1"/>
          <w:sz w:val="22"/>
          <w:szCs w:val="22"/>
          <w:lang w:eastAsia="en-US"/>
        </w:rPr>
        <w:t xml:space="preserve">el artículo 285 del Código Financiero del Estado de México y Municipios, precisa que el Ayuntamiento es el encargado de aprobar el Presupuesto de Egresos del Municipio. </w:t>
      </w:r>
    </w:p>
    <w:p w14:paraId="1601AD07" w14:textId="77777777" w:rsidR="00A16422" w:rsidRPr="00B8181F" w:rsidRDefault="00A16422" w:rsidP="00B8181F">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59579412" w14:textId="77777777" w:rsidR="00A16422" w:rsidRPr="00B8181F" w:rsidRDefault="00A16422" w:rsidP="00B8181F">
      <w:pPr>
        <w:spacing w:line="360" w:lineRule="auto"/>
        <w:ind w:right="-28"/>
        <w:contextualSpacing/>
        <w:jc w:val="both"/>
        <w:rPr>
          <w:rFonts w:ascii="Palatino Linotype" w:eastAsia="Calibri" w:hAnsi="Palatino Linotype" w:cs="Tahoma"/>
          <w:b/>
          <w:color w:val="000000" w:themeColor="text1"/>
          <w:sz w:val="22"/>
          <w:szCs w:val="22"/>
          <w:lang w:eastAsia="en-US"/>
        </w:rPr>
      </w:pPr>
      <w:r w:rsidRPr="00B8181F">
        <w:rPr>
          <w:rFonts w:ascii="Palatino Linotype" w:eastAsia="Calibri" w:hAnsi="Palatino Linotype" w:cs="Tahoma"/>
          <w:bCs/>
          <w:color w:val="000000" w:themeColor="text1"/>
          <w:sz w:val="22"/>
          <w:szCs w:val="22"/>
          <w:lang w:eastAsia="en-US"/>
        </w:rPr>
        <w:t xml:space="preserve">En ese sentido, el artículo 31, fracción XIX, de la Ley Orgánica Municipal del Estado de México, establece que los </w:t>
      </w:r>
      <w:r w:rsidRPr="00B8181F">
        <w:rPr>
          <w:rFonts w:ascii="Palatino Linotype" w:eastAsia="Calibri" w:hAnsi="Palatino Linotype" w:cs="Tahoma"/>
          <w:b/>
          <w:color w:val="000000" w:themeColor="text1"/>
          <w:sz w:val="22"/>
          <w:szCs w:val="22"/>
          <w:lang w:eastAsia="en-US"/>
        </w:rPr>
        <w:t xml:space="preserve">Ayuntamientos serán los encargados de aprobar anualmente, el Presupuesto de Egresos, en base a los ingresos presupuestados para el ejercicio de corresponda. </w:t>
      </w:r>
    </w:p>
    <w:p w14:paraId="0FD86F07" w14:textId="77777777" w:rsidR="00A16422" w:rsidRPr="00B8181F" w:rsidRDefault="00A16422" w:rsidP="00B8181F">
      <w:pPr>
        <w:spacing w:line="360" w:lineRule="auto"/>
        <w:ind w:right="-28"/>
        <w:contextualSpacing/>
        <w:jc w:val="both"/>
        <w:rPr>
          <w:rFonts w:ascii="Palatino Linotype" w:eastAsia="Calibri" w:hAnsi="Palatino Linotype" w:cs="Tahoma"/>
          <w:b/>
          <w:color w:val="000000" w:themeColor="text1"/>
          <w:sz w:val="22"/>
          <w:szCs w:val="22"/>
          <w:lang w:eastAsia="en-US"/>
        </w:rPr>
      </w:pPr>
    </w:p>
    <w:p w14:paraId="7D281603" w14:textId="77777777" w:rsidR="00A16422" w:rsidRPr="00B8181F" w:rsidRDefault="00A16422" w:rsidP="00B8181F">
      <w:pPr>
        <w:spacing w:line="360" w:lineRule="auto"/>
        <w:ind w:right="-28"/>
        <w:contextualSpacing/>
        <w:jc w:val="both"/>
        <w:rPr>
          <w:rFonts w:ascii="Palatino Linotype" w:eastAsia="Calibri" w:hAnsi="Palatino Linotype" w:cs="Tahoma"/>
          <w:b/>
          <w:bCs/>
          <w:color w:val="000000" w:themeColor="text1"/>
          <w:sz w:val="22"/>
          <w:szCs w:val="22"/>
          <w:lang w:eastAsia="en-US"/>
        </w:rPr>
      </w:pPr>
      <w:r w:rsidRPr="00B8181F">
        <w:rPr>
          <w:rFonts w:ascii="Palatino Linotype" w:eastAsia="Calibri" w:hAnsi="Palatino Linotype" w:cs="Tahoma"/>
          <w:bCs/>
          <w:color w:val="000000" w:themeColor="text1"/>
          <w:sz w:val="22"/>
          <w:szCs w:val="22"/>
          <w:lang w:eastAsia="en-US"/>
        </w:rPr>
        <w:t>En ese orden de ideas, de conformidad con el artículo 100 y 101, fracción II, de dicho ordenamiento jurídico, el Presupuesto de Egresos, deberá contener las previsiones de gasto público y se conformará, entre otras cosas, por la</w:t>
      </w:r>
      <w:r w:rsidRPr="00B8181F">
        <w:rPr>
          <w:rFonts w:ascii="Palatino Linotype" w:eastAsia="Calibri" w:hAnsi="Palatino Linotype" w:cs="Tahoma"/>
          <w:b/>
          <w:bCs/>
          <w:color w:val="000000" w:themeColor="text1"/>
          <w:sz w:val="22"/>
          <w:szCs w:val="22"/>
          <w:lang w:eastAsia="en-US"/>
        </w:rPr>
        <w:t xml:space="preserve"> estimación de los ingresos y gastos del ejercicio fiscal calendarizados.</w:t>
      </w:r>
    </w:p>
    <w:p w14:paraId="05E17352" w14:textId="77777777" w:rsidR="00A16422" w:rsidRPr="00B8181F" w:rsidRDefault="00A16422" w:rsidP="00B8181F">
      <w:pPr>
        <w:spacing w:line="360" w:lineRule="auto"/>
        <w:ind w:right="-28"/>
        <w:contextualSpacing/>
        <w:jc w:val="both"/>
        <w:rPr>
          <w:rFonts w:ascii="Palatino Linotype" w:eastAsia="Calibri" w:hAnsi="Palatino Linotype" w:cs="Tahoma"/>
          <w:b/>
          <w:bCs/>
          <w:color w:val="000000" w:themeColor="text1"/>
          <w:sz w:val="22"/>
          <w:szCs w:val="22"/>
          <w:lang w:eastAsia="en-US"/>
        </w:rPr>
      </w:pPr>
    </w:p>
    <w:p w14:paraId="3511B894" w14:textId="77777777" w:rsidR="00A16422" w:rsidRPr="00B8181F" w:rsidRDefault="00A16422" w:rsidP="00B8181F">
      <w:pPr>
        <w:spacing w:line="360" w:lineRule="auto"/>
        <w:contextualSpacing/>
        <w:jc w:val="both"/>
        <w:rPr>
          <w:rFonts w:ascii="Palatino Linotype" w:hAnsi="Palatino Linotype"/>
          <w:sz w:val="22"/>
          <w:szCs w:val="22"/>
        </w:rPr>
      </w:pPr>
      <w:r w:rsidRPr="00B8181F">
        <w:rPr>
          <w:rFonts w:ascii="Palatino Linotype" w:hAnsi="Palatino Linotype"/>
          <w:sz w:val="22"/>
          <w:szCs w:val="22"/>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3E2CA8E" w14:textId="77777777" w:rsidR="00A16422" w:rsidRPr="00B8181F" w:rsidRDefault="00A16422" w:rsidP="00B8181F">
      <w:pPr>
        <w:spacing w:line="360" w:lineRule="auto"/>
        <w:contextualSpacing/>
        <w:jc w:val="both"/>
        <w:rPr>
          <w:rFonts w:ascii="Palatino Linotype" w:eastAsia="Calibri" w:hAnsi="Palatino Linotype"/>
          <w:bCs/>
          <w:iCs/>
          <w:color w:val="000000" w:themeColor="text1"/>
          <w:sz w:val="22"/>
          <w:szCs w:val="22"/>
          <w:lang w:eastAsia="en-US"/>
        </w:rPr>
      </w:pPr>
    </w:p>
    <w:p w14:paraId="2E815353" w14:textId="77777777" w:rsidR="00A16422" w:rsidRPr="00B8181F" w:rsidRDefault="00A16422" w:rsidP="00B8181F">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Conforme a lo anterior, el presupuesto debe cumplir con los propósitos de un programa determinado, que debe estar basado en resultados (</w:t>
      </w:r>
      <w:proofErr w:type="spellStart"/>
      <w:r w:rsidRPr="00B8181F">
        <w:rPr>
          <w:rFonts w:ascii="Palatino Linotype" w:hAnsi="Palatino Linotype" w:cs="Tahoma"/>
          <w:bCs/>
          <w:sz w:val="22"/>
          <w:szCs w:val="22"/>
        </w:rPr>
        <w:t>PbRM</w:t>
      </w:r>
      <w:proofErr w:type="spellEnd"/>
      <w:r w:rsidRPr="00B8181F">
        <w:rPr>
          <w:rFonts w:ascii="Palatino Linotype" w:hAnsi="Palatino Linotype" w:cs="Tahoma"/>
          <w:bCs/>
          <w:sz w:val="22"/>
          <w:szCs w:val="22"/>
        </w:rPr>
        <w:t xml:space="preserve">), definido por el Glosario del </w:t>
      </w:r>
      <w:r w:rsidRPr="00B8181F">
        <w:rPr>
          <w:rFonts w:ascii="Palatino Linotype" w:hAnsi="Palatino Linotype" w:cs="Tahoma"/>
          <w:bCs/>
          <w:sz w:val="22"/>
          <w:szCs w:val="22"/>
        </w:rPr>
        <w:lastRenderedPageBreak/>
        <w:t>Manual previamente referido, como los documentos diseñados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14:paraId="3266514C" w14:textId="77777777" w:rsidR="00A16422" w:rsidRPr="00B8181F" w:rsidRDefault="00A16422" w:rsidP="00B8181F">
      <w:pPr>
        <w:spacing w:line="360" w:lineRule="auto"/>
        <w:contextualSpacing/>
        <w:jc w:val="both"/>
        <w:rPr>
          <w:rFonts w:ascii="Palatino Linotype" w:hAnsi="Palatino Linotype" w:cs="Tahoma"/>
          <w:bCs/>
          <w:sz w:val="22"/>
          <w:szCs w:val="22"/>
        </w:rPr>
      </w:pPr>
    </w:p>
    <w:p w14:paraId="1A49A8A7" w14:textId="77777777" w:rsidR="00A16422" w:rsidRPr="00B8181F" w:rsidRDefault="00A16422" w:rsidP="00B8181F">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Ahora bien, el Manual para la Planeación, Programación y Presupuesto de Egresos Municipal previamente señalado, establece los formatos por que deben de integrar al Presupuesto de Egresos, conformado de tres etapas, por lo que, se tienen que generar los siguientes formatos:</w:t>
      </w:r>
    </w:p>
    <w:p w14:paraId="16D7D28E" w14:textId="77777777" w:rsidR="00A16422" w:rsidRPr="00B8181F" w:rsidRDefault="00A16422" w:rsidP="00B8181F">
      <w:pPr>
        <w:spacing w:line="360" w:lineRule="auto"/>
        <w:contextualSpacing/>
        <w:jc w:val="both"/>
        <w:rPr>
          <w:rFonts w:ascii="Palatino Linotype" w:hAnsi="Palatino Linotype" w:cs="Tahoma"/>
          <w:bCs/>
          <w:sz w:val="22"/>
          <w:szCs w:val="22"/>
        </w:rPr>
      </w:pPr>
    </w:p>
    <w:p w14:paraId="70B55ACA"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PbRM-01a “Dimensión Administrativa del Gasto”;</w:t>
      </w:r>
    </w:p>
    <w:p w14:paraId="7868E2FA"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PbRM-01b “Descripción del Programa presupuestario”;</w:t>
      </w:r>
    </w:p>
    <w:p w14:paraId="6AD88ABA"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PbRM-01c “Programa Anual de Metas de actividad por Proyecto”;</w:t>
      </w:r>
    </w:p>
    <w:p w14:paraId="104EEFCB"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PbRM-01d “Ficha técnica de diseño de indicadores estratégicos o de gestión 2023”;</w:t>
      </w:r>
    </w:p>
    <w:p w14:paraId="3F51F9B7"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PbRM-01e “Matriz de Indicadores para Resultados por Programa presupuestario y Dependencia General”;</w:t>
      </w:r>
    </w:p>
    <w:p w14:paraId="46E5B972"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PbRM-02a “Calendarización de metas de actividad”;</w:t>
      </w:r>
    </w:p>
    <w:p w14:paraId="76082DB1"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PbRM-03a “Presupuesto de Ingresos Detallado”;</w:t>
      </w:r>
    </w:p>
    <w:p w14:paraId="32CDD2FE"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PbRM-03b “Carátula de Presupuesto de Ingresos”;</w:t>
      </w:r>
    </w:p>
    <w:p w14:paraId="1D241F23"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PbRM-04a “Presupuesto de Egresos Detallado”;</w:t>
      </w:r>
    </w:p>
    <w:p w14:paraId="0DCB326C"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PbRM-04c “Egreso Global Calendarizado”;</w:t>
      </w:r>
    </w:p>
    <w:p w14:paraId="475A0F42"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PbRM-04d “Carátula de Presupuesto de Egresos”;</w:t>
      </w:r>
    </w:p>
    <w:p w14:paraId="65082F64"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PbRM-05 “Tabulador de Sueldos”;</w:t>
      </w:r>
    </w:p>
    <w:p w14:paraId="060EF60F"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PbRM-06 “Programa Anual de Adquisiciones”;</w:t>
      </w:r>
    </w:p>
    <w:p w14:paraId="0702520D"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t>PbRM-07a “Programa Anual de Obra”</w:t>
      </w:r>
      <w:r w:rsidRPr="00B8181F">
        <w:rPr>
          <w:rFonts w:ascii="Palatino Linotype" w:hAnsi="Palatino Linotype"/>
          <w:sz w:val="22"/>
          <w:szCs w:val="22"/>
        </w:rPr>
        <w:t>, y</w:t>
      </w:r>
    </w:p>
    <w:p w14:paraId="7F1283D3" w14:textId="77777777" w:rsidR="00A16422" w:rsidRPr="00B8181F" w:rsidRDefault="00A16422" w:rsidP="00B8181F">
      <w:pPr>
        <w:pStyle w:val="Prrafodelista"/>
        <w:numPr>
          <w:ilvl w:val="0"/>
          <w:numId w:val="4"/>
        </w:numPr>
        <w:spacing w:line="360" w:lineRule="auto"/>
        <w:ind w:left="851"/>
        <w:jc w:val="both"/>
        <w:rPr>
          <w:rFonts w:ascii="Palatino Linotype" w:hAnsi="Palatino Linotype" w:cs="Tahoma"/>
          <w:bCs/>
          <w:sz w:val="22"/>
          <w:szCs w:val="22"/>
        </w:rPr>
      </w:pPr>
      <w:r w:rsidRPr="00B8181F">
        <w:rPr>
          <w:rFonts w:ascii="Palatino Linotype" w:hAnsi="Palatino Linotype" w:cs="Tahoma"/>
          <w:bCs/>
          <w:sz w:val="22"/>
          <w:szCs w:val="22"/>
        </w:rPr>
        <w:lastRenderedPageBreak/>
        <w:t>PbRM-07b “Programa Anual de Obras (Reparaciones y Mantenimiento)”.</w:t>
      </w:r>
    </w:p>
    <w:p w14:paraId="04584452" w14:textId="77777777" w:rsidR="00A16422" w:rsidRPr="00B8181F" w:rsidRDefault="00A16422" w:rsidP="00B8181F">
      <w:pPr>
        <w:spacing w:line="360" w:lineRule="auto"/>
        <w:contextualSpacing/>
        <w:jc w:val="both"/>
        <w:rPr>
          <w:rFonts w:ascii="Palatino Linotype" w:eastAsia="Calibri" w:hAnsi="Palatino Linotype"/>
          <w:bCs/>
          <w:iCs/>
          <w:color w:val="000000" w:themeColor="text1"/>
          <w:sz w:val="22"/>
          <w:szCs w:val="22"/>
          <w:lang w:eastAsia="en-US"/>
        </w:rPr>
      </w:pPr>
    </w:p>
    <w:p w14:paraId="4941AB45" w14:textId="77777777" w:rsidR="00A16422" w:rsidRPr="00B8181F" w:rsidRDefault="00A16422" w:rsidP="00B8181F">
      <w:pPr>
        <w:spacing w:line="360" w:lineRule="auto"/>
        <w:contextualSpacing/>
        <w:jc w:val="both"/>
        <w:rPr>
          <w:rFonts w:ascii="Palatino Linotype" w:eastAsia="Calibri" w:hAnsi="Palatino Linotype"/>
          <w:bCs/>
          <w:iCs/>
          <w:color w:val="000000" w:themeColor="text1"/>
          <w:sz w:val="22"/>
          <w:szCs w:val="22"/>
          <w:lang w:eastAsia="en-US"/>
        </w:rPr>
      </w:pPr>
      <w:r w:rsidRPr="00B8181F">
        <w:rPr>
          <w:rFonts w:ascii="Palatino Linotype" w:eastAsia="Calibri" w:hAnsi="Palatino Linotype"/>
          <w:bCs/>
          <w:iCs/>
          <w:color w:val="000000" w:themeColor="text1"/>
          <w:sz w:val="22"/>
          <w:szCs w:val="22"/>
          <w:lang w:eastAsia="en-US"/>
        </w:rPr>
        <w:t xml:space="preserve">Además, la Tesorería y la UIPPE serán, en el ámbito de sus competencias, los responsables de coordinar los trabajos del Anteproyecto de presupuesto egresos de las Dependencias Generales, Auxiliares y Organismos Municipales, para posteriormente integrar el Proyecto de Presupuesto de Egresos Municipal, que la o el </w:t>
      </w:r>
      <w:proofErr w:type="gramStart"/>
      <w:r w:rsidRPr="00B8181F">
        <w:rPr>
          <w:rFonts w:ascii="Palatino Linotype" w:eastAsia="Calibri" w:hAnsi="Palatino Linotype"/>
          <w:bCs/>
          <w:iCs/>
          <w:color w:val="000000" w:themeColor="text1"/>
          <w:sz w:val="22"/>
          <w:szCs w:val="22"/>
          <w:lang w:eastAsia="en-US"/>
        </w:rPr>
        <w:t>Presidente</w:t>
      </w:r>
      <w:proofErr w:type="gramEnd"/>
      <w:r w:rsidRPr="00B8181F">
        <w:rPr>
          <w:rFonts w:ascii="Palatino Linotype" w:eastAsia="Calibri" w:hAnsi="Palatino Linotype"/>
          <w:bCs/>
          <w:iCs/>
          <w:color w:val="000000" w:themeColor="text1"/>
          <w:sz w:val="22"/>
          <w:szCs w:val="22"/>
          <w:lang w:eastAsia="en-US"/>
        </w:rPr>
        <w:t xml:space="preserve"> Municipal presentará para análisis, discusión y eventual aprobación por parte del Cabildo. Es importante mencionar que en caso de no existir UIPPE, los servidores públicos serán los responsables de realizar dichas funciones.</w:t>
      </w:r>
    </w:p>
    <w:p w14:paraId="4BEE863E" w14:textId="77777777" w:rsidR="00B50DD9" w:rsidRPr="00B8181F" w:rsidRDefault="00B50DD9" w:rsidP="00B8181F">
      <w:pPr>
        <w:spacing w:line="360" w:lineRule="auto"/>
        <w:contextualSpacing/>
        <w:jc w:val="both"/>
        <w:rPr>
          <w:rFonts w:ascii="Palatino Linotype" w:eastAsia="Calibri" w:hAnsi="Palatino Linotype"/>
          <w:bCs/>
          <w:iCs/>
          <w:color w:val="000000" w:themeColor="text1"/>
          <w:sz w:val="22"/>
          <w:szCs w:val="22"/>
          <w:lang w:eastAsia="en-US"/>
        </w:rPr>
      </w:pPr>
    </w:p>
    <w:p w14:paraId="73F77736" w14:textId="096F1AC3" w:rsidR="00A16422" w:rsidRPr="00B8181F" w:rsidRDefault="00A16422" w:rsidP="00B8181F">
      <w:pPr>
        <w:spacing w:line="360" w:lineRule="auto"/>
        <w:contextualSpacing/>
        <w:jc w:val="both"/>
        <w:rPr>
          <w:rFonts w:ascii="Palatino Linotype" w:eastAsia="Calibri" w:hAnsi="Palatino Linotype"/>
          <w:bCs/>
          <w:iCs/>
          <w:color w:val="000000" w:themeColor="text1"/>
          <w:sz w:val="22"/>
          <w:szCs w:val="22"/>
          <w:lang w:eastAsia="en-US"/>
        </w:rPr>
      </w:pPr>
      <w:r w:rsidRPr="00B8181F">
        <w:rPr>
          <w:rFonts w:ascii="Palatino Linotype" w:eastAsia="Calibri" w:hAnsi="Palatino Linotype"/>
          <w:bCs/>
          <w:iCs/>
          <w:color w:val="000000" w:themeColor="text1"/>
          <w:sz w:val="22"/>
          <w:szCs w:val="22"/>
          <w:lang w:eastAsia="en-US"/>
        </w:rPr>
        <w:t xml:space="preserve">Ahora bien, respecto al área requerida resulta necesario traer a estudio los artículos 31, 32 y 51 </w:t>
      </w:r>
      <w:r w:rsidR="003A6020" w:rsidRPr="00B8181F">
        <w:rPr>
          <w:rFonts w:ascii="Palatino Linotype" w:eastAsia="Calibri" w:hAnsi="Palatino Linotype"/>
          <w:bCs/>
          <w:iCs/>
          <w:color w:val="000000" w:themeColor="text1"/>
          <w:sz w:val="22"/>
          <w:szCs w:val="22"/>
          <w:lang w:eastAsia="en-US"/>
        </w:rPr>
        <w:t xml:space="preserve">fracción XI </w:t>
      </w:r>
      <w:r w:rsidRPr="00B8181F">
        <w:rPr>
          <w:rFonts w:ascii="Palatino Linotype" w:eastAsia="Calibri" w:hAnsi="Palatino Linotype"/>
          <w:bCs/>
          <w:iCs/>
          <w:color w:val="000000" w:themeColor="text1"/>
          <w:sz w:val="22"/>
          <w:szCs w:val="22"/>
          <w:lang w:eastAsia="en-US"/>
        </w:rPr>
        <w:t xml:space="preserve">del Bando </w:t>
      </w:r>
      <w:r w:rsidRPr="00B8181F">
        <w:rPr>
          <w:rFonts w:ascii="Palatino Linotype" w:eastAsia="Calibri" w:hAnsi="Palatino Linotype" w:cs="Tahoma"/>
          <w:bCs/>
          <w:color w:val="000000"/>
          <w:sz w:val="22"/>
          <w:szCs w:val="22"/>
        </w:rPr>
        <w:t>Municipal de Villa del Carbón, dos mil veinticinco,</w:t>
      </w:r>
      <w:r w:rsidRPr="00B8181F">
        <w:rPr>
          <w:rFonts w:ascii="Palatino Linotype" w:eastAsia="Calibri" w:hAnsi="Palatino Linotype"/>
          <w:bCs/>
          <w:iCs/>
          <w:color w:val="000000" w:themeColor="text1"/>
          <w:sz w:val="22"/>
          <w:szCs w:val="22"/>
          <w:lang w:eastAsia="en-US"/>
        </w:rPr>
        <w:t xml:space="preserve"> en los cuales se establece que, el gobierno municipal, en ejercicio de sus atribuciones y para el despacho de los asuntos del orden administrativo, se auxiliará de diversas</w:t>
      </w:r>
      <w:r w:rsidR="003A6020" w:rsidRPr="00B8181F">
        <w:rPr>
          <w:rFonts w:ascii="Palatino Linotype" w:eastAsia="Calibri" w:hAnsi="Palatino Linotype"/>
          <w:bCs/>
          <w:iCs/>
          <w:color w:val="000000" w:themeColor="text1"/>
          <w:sz w:val="22"/>
          <w:szCs w:val="22"/>
          <w:lang w:eastAsia="en-US"/>
        </w:rPr>
        <w:t xml:space="preserve"> unidades administrativas entre otras la </w:t>
      </w:r>
      <w:r w:rsidRPr="00B8181F">
        <w:rPr>
          <w:rFonts w:ascii="Palatino Linotype" w:eastAsia="Calibri" w:hAnsi="Palatino Linotype"/>
          <w:bCs/>
          <w:iCs/>
          <w:color w:val="000000" w:themeColor="text1"/>
          <w:sz w:val="22"/>
          <w:szCs w:val="22"/>
          <w:lang w:eastAsia="en-US"/>
        </w:rPr>
        <w:t>Dirección de Desarrollo Social</w:t>
      </w:r>
      <w:r w:rsidR="003A6020" w:rsidRPr="00B8181F">
        <w:rPr>
          <w:rFonts w:ascii="Palatino Linotype" w:eastAsia="Calibri" w:hAnsi="Palatino Linotype"/>
          <w:bCs/>
          <w:iCs/>
          <w:color w:val="000000" w:themeColor="text1"/>
          <w:sz w:val="22"/>
          <w:szCs w:val="22"/>
          <w:lang w:eastAsia="en-US"/>
        </w:rPr>
        <w:t xml:space="preserve"> quien para el ejercicio de sus atribuciones contará con tres unidades administrativas entre otras la </w:t>
      </w:r>
      <w:r w:rsidR="003A6020" w:rsidRPr="00B8181F">
        <w:rPr>
          <w:rFonts w:ascii="Palatino Linotype" w:eastAsia="Calibri" w:hAnsi="Palatino Linotype"/>
          <w:b/>
          <w:iCs/>
          <w:color w:val="000000" w:themeColor="text1"/>
          <w:sz w:val="22"/>
          <w:szCs w:val="22"/>
          <w:lang w:eastAsia="en-US"/>
        </w:rPr>
        <w:t>Coordinación de Asuntos Indígenas</w:t>
      </w:r>
      <w:r w:rsidR="00B50DD9" w:rsidRPr="00B8181F">
        <w:rPr>
          <w:rFonts w:ascii="Palatino Linotype" w:eastAsia="Calibri" w:hAnsi="Palatino Linotype"/>
          <w:bCs/>
          <w:iCs/>
          <w:color w:val="000000" w:themeColor="text1"/>
          <w:sz w:val="22"/>
          <w:szCs w:val="22"/>
          <w:lang w:eastAsia="en-US"/>
        </w:rPr>
        <w:t xml:space="preserve"> </w:t>
      </w:r>
      <w:r w:rsidR="00B12B0F">
        <w:rPr>
          <w:rFonts w:ascii="Palatino Linotype" w:eastAsia="Calibri" w:hAnsi="Palatino Linotype"/>
          <w:bCs/>
          <w:iCs/>
          <w:color w:val="000000" w:themeColor="text1"/>
          <w:sz w:val="22"/>
          <w:szCs w:val="22"/>
          <w:lang w:eastAsia="en-US"/>
        </w:rPr>
        <w:t>e</w:t>
      </w:r>
      <w:r w:rsidR="00B50DD9" w:rsidRPr="00B8181F">
        <w:rPr>
          <w:rFonts w:ascii="Palatino Linotype" w:eastAsia="Calibri" w:hAnsi="Palatino Linotype"/>
          <w:bCs/>
          <w:iCs/>
          <w:color w:val="000000" w:themeColor="text1"/>
          <w:sz w:val="22"/>
          <w:szCs w:val="22"/>
          <w:lang w:eastAsia="en-US"/>
        </w:rPr>
        <w:t>ncargada de definir, orientar, coordinar, promover, ejecutar, evaluar y dar seguimiento a las políticas, programas, estrategias y acciones equitativas de manera inclusiva y colaborativa con las 13 comunidades que integran Villa del Carbón. Con el propósito de fortalecer la identidad cultural y patrimonial, promoviendo así el desarrollo sostenible que permita garantizar que se cubran las necesidades de cada comunidad, para ser atendidas de manera oportuna, justa y equitativa.</w:t>
      </w:r>
    </w:p>
    <w:p w14:paraId="17B24134" w14:textId="77777777" w:rsidR="00A16422" w:rsidRPr="00B8181F" w:rsidRDefault="00A16422" w:rsidP="00B8181F">
      <w:pPr>
        <w:spacing w:line="360" w:lineRule="auto"/>
        <w:contextualSpacing/>
        <w:jc w:val="both"/>
        <w:rPr>
          <w:rFonts w:ascii="Palatino Linotype" w:eastAsia="Calibri" w:hAnsi="Palatino Linotype"/>
          <w:bCs/>
          <w:iCs/>
          <w:color w:val="000000" w:themeColor="text1"/>
          <w:sz w:val="22"/>
          <w:szCs w:val="22"/>
          <w:lang w:eastAsia="en-US"/>
        </w:rPr>
      </w:pPr>
    </w:p>
    <w:p w14:paraId="1038B1BE" w14:textId="5B79E0BC" w:rsidR="00332CBD"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eastAsia="Calibri" w:hAnsi="Palatino Linotype"/>
          <w:bCs/>
          <w:iCs/>
          <w:color w:val="000000" w:themeColor="text1"/>
          <w:sz w:val="22"/>
          <w:szCs w:val="22"/>
          <w:lang w:eastAsia="en-US"/>
        </w:rPr>
        <w:t xml:space="preserve">Conforme a lo anterior, se logra vislumbrar que el Sujeto Obligado es competente para conocer sobre lo peticionado, y que la pretensión del ahora Recurrente, es obtener </w:t>
      </w:r>
      <w:r w:rsidR="00332CBD" w:rsidRPr="00B8181F">
        <w:rPr>
          <w:rFonts w:ascii="Palatino Linotype" w:eastAsia="Calibri" w:hAnsi="Palatino Linotype"/>
          <w:bCs/>
          <w:iCs/>
          <w:color w:val="000000" w:themeColor="text1"/>
          <w:sz w:val="22"/>
          <w:szCs w:val="22"/>
          <w:lang w:eastAsia="en-US"/>
        </w:rPr>
        <w:t xml:space="preserve">el </w:t>
      </w:r>
      <w:proofErr w:type="spellStart"/>
      <w:r w:rsidR="00332CBD" w:rsidRPr="00B8181F">
        <w:rPr>
          <w:rFonts w:ascii="Palatino Linotype" w:hAnsi="Palatino Linotype" w:cs="Tahoma"/>
          <w:sz w:val="22"/>
          <w:szCs w:val="22"/>
        </w:rPr>
        <w:t>PbRM</w:t>
      </w:r>
      <w:proofErr w:type="spellEnd"/>
      <w:r w:rsidR="00332CBD" w:rsidRPr="00B8181F">
        <w:rPr>
          <w:rFonts w:ascii="Palatino Linotype" w:hAnsi="Palatino Linotype" w:cs="Tahoma"/>
          <w:sz w:val="22"/>
          <w:szCs w:val="22"/>
        </w:rPr>
        <w:t xml:space="preserve"> de la Coordinación de Asuntos Indígenas en el que se incluya el techo presupuestal </w:t>
      </w:r>
      <w:r w:rsidR="00332CBD" w:rsidRPr="00B8181F">
        <w:rPr>
          <w:rFonts w:ascii="Palatino Linotype" w:hAnsi="Palatino Linotype" w:cs="Tahoma"/>
          <w:sz w:val="22"/>
          <w:szCs w:val="22"/>
        </w:rPr>
        <w:lastRenderedPageBreak/>
        <w:t xml:space="preserve">asignado; </w:t>
      </w:r>
      <w:r w:rsidR="00287387" w:rsidRPr="00B8181F">
        <w:rPr>
          <w:rFonts w:ascii="Palatino Linotype" w:hAnsi="Palatino Linotype" w:cs="Tahoma"/>
          <w:sz w:val="22"/>
          <w:szCs w:val="22"/>
        </w:rPr>
        <w:t>r</w:t>
      </w:r>
      <w:r w:rsidR="00332CBD" w:rsidRPr="00B8181F">
        <w:rPr>
          <w:rFonts w:ascii="Palatino Linotype" w:hAnsi="Palatino Linotype" w:cs="Tahoma"/>
          <w:sz w:val="22"/>
          <w:szCs w:val="22"/>
        </w:rPr>
        <w:t xml:space="preserve">ecursos </w:t>
      </w:r>
      <w:r w:rsidR="00287387" w:rsidRPr="00B8181F">
        <w:rPr>
          <w:rFonts w:ascii="Palatino Linotype" w:hAnsi="Palatino Linotype" w:cs="Tahoma"/>
          <w:sz w:val="22"/>
          <w:szCs w:val="22"/>
        </w:rPr>
        <w:t>e</w:t>
      </w:r>
      <w:r w:rsidR="00332CBD" w:rsidRPr="00B8181F">
        <w:rPr>
          <w:rFonts w:ascii="Palatino Linotype" w:hAnsi="Palatino Linotype" w:cs="Tahoma"/>
          <w:sz w:val="22"/>
          <w:szCs w:val="22"/>
        </w:rPr>
        <w:t xml:space="preserve">jercidos en las acciones programadas; y </w:t>
      </w:r>
      <w:r w:rsidR="00287387" w:rsidRPr="00B8181F">
        <w:rPr>
          <w:rFonts w:ascii="Palatino Linotype" w:hAnsi="Palatino Linotype" w:cs="Tahoma"/>
          <w:sz w:val="22"/>
          <w:szCs w:val="22"/>
        </w:rPr>
        <w:t>e</w:t>
      </w:r>
      <w:r w:rsidR="00332CBD" w:rsidRPr="00B8181F">
        <w:rPr>
          <w:rFonts w:ascii="Palatino Linotype" w:hAnsi="Palatino Linotype" w:cs="Tahoma"/>
          <w:sz w:val="22"/>
          <w:szCs w:val="22"/>
        </w:rPr>
        <w:t>l estado que guarda su cumplimiento.</w:t>
      </w:r>
    </w:p>
    <w:p w14:paraId="35C8525D" w14:textId="53BB5EC4" w:rsidR="00A16422" w:rsidRPr="00B8181F" w:rsidRDefault="00A16422" w:rsidP="00B8181F">
      <w:pPr>
        <w:spacing w:line="360" w:lineRule="auto"/>
        <w:contextualSpacing/>
        <w:jc w:val="both"/>
        <w:rPr>
          <w:rFonts w:ascii="Palatino Linotype" w:hAnsi="Palatino Linotype" w:cs="Tahoma"/>
          <w:bCs/>
          <w:sz w:val="22"/>
          <w:szCs w:val="22"/>
        </w:rPr>
      </w:pPr>
      <w:bookmarkStart w:id="14" w:name="_Hlk201088369"/>
    </w:p>
    <w:p w14:paraId="610C7FFE" w14:textId="77777777" w:rsidR="00A16422" w:rsidRPr="00B8181F" w:rsidRDefault="00A16422" w:rsidP="00B8181F">
      <w:pPr>
        <w:spacing w:line="360" w:lineRule="auto"/>
        <w:contextualSpacing/>
        <w:jc w:val="both"/>
        <w:rPr>
          <w:rFonts w:ascii="Palatino Linotype" w:hAnsi="Palatino Linotype"/>
          <w:b/>
          <w:bCs/>
          <w:sz w:val="22"/>
          <w:szCs w:val="22"/>
        </w:rPr>
      </w:pPr>
      <w:r w:rsidRPr="00B8181F">
        <w:rPr>
          <w:rFonts w:ascii="Palatino Linotype" w:hAnsi="Palatino Linotype"/>
          <w:sz w:val="22"/>
          <w:szCs w:val="22"/>
        </w:rPr>
        <w:t xml:space="preserve">Así, de las constancias que obran en el expediente, se logra vislumbrar que el Sujeto Obligado turnó la solicitud de información a la </w:t>
      </w:r>
      <w:r w:rsidRPr="00B8181F">
        <w:rPr>
          <w:rFonts w:ascii="Palatino Linotype" w:hAnsi="Palatino Linotype" w:cs="Tahoma"/>
          <w:bCs/>
          <w:iCs/>
          <w:sz w:val="22"/>
          <w:szCs w:val="22"/>
        </w:rPr>
        <w:t>Unidad de Información, Planeación, Programación y Evaluación</w:t>
      </w:r>
      <w:r w:rsidRPr="00B8181F">
        <w:rPr>
          <w:rFonts w:ascii="Palatino Linotype" w:hAnsi="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79714AE" w14:textId="77777777" w:rsidR="00A16422" w:rsidRPr="00B8181F" w:rsidRDefault="00A16422" w:rsidP="00B8181F">
      <w:pPr>
        <w:spacing w:line="360" w:lineRule="auto"/>
        <w:contextualSpacing/>
        <w:jc w:val="both"/>
        <w:rPr>
          <w:rFonts w:ascii="Palatino Linotype" w:eastAsia="Calibri" w:hAnsi="Palatino Linotype" w:cs="Tahoma"/>
          <w:bCs/>
          <w:color w:val="000000"/>
          <w:sz w:val="22"/>
          <w:szCs w:val="22"/>
          <w:lang w:eastAsia="en-US"/>
        </w:rPr>
      </w:pPr>
    </w:p>
    <w:p w14:paraId="3A013625" w14:textId="77777777" w:rsidR="00A16422" w:rsidRPr="00B8181F" w:rsidRDefault="00A16422" w:rsidP="00B8181F">
      <w:pPr>
        <w:numPr>
          <w:ilvl w:val="0"/>
          <w:numId w:val="1"/>
        </w:numPr>
        <w:spacing w:line="360" w:lineRule="auto"/>
        <w:contextualSpacing/>
        <w:jc w:val="both"/>
        <w:rPr>
          <w:rFonts w:ascii="Palatino Linotype" w:eastAsiaTheme="minorHAnsi" w:hAnsi="Palatino Linotype" w:cstheme="minorBidi"/>
          <w:bCs/>
          <w:color w:val="000000" w:themeColor="text1"/>
          <w:sz w:val="22"/>
          <w:szCs w:val="22"/>
          <w:lang w:val="es-ES" w:eastAsia="en-US"/>
        </w:rPr>
      </w:pPr>
      <w:r w:rsidRPr="00B8181F">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B870899" w14:textId="77777777" w:rsidR="00A16422" w:rsidRPr="00B8181F" w:rsidRDefault="00A16422" w:rsidP="00B8181F">
      <w:pPr>
        <w:spacing w:line="360" w:lineRule="auto"/>
        <w:contextualSpacing/>
        <w:jc w:val="both"/>
        <w:rPr>
          <w:rFonts w:ascii="Palatino Linotype" w:eastAsiaTheme="minorHAnsi" w:hAnsi="Palatino Linotype" w:cstheme="minorBidi"/>
          <w:bCs/>
          <w:color w:val="000000" w:themeColor="text1"/>
          <w:sz w:val="22"/>
          <w:szCs w:val="22"/>
          <w:lang w:val="es-ES" w:eastAsia="en-US"/>
        </w:rPr>
      </w:pPr>
    </w:p>
    <w:p w14:paraId="6661C9A5" w14:textId="77777777" w:rsidR="00A16422" w:rsidRPr="00B8181F" w:rsidRDefault="00A16422" w:rsidP="00B8181F">
      <w:pPr>
        <w:numPr>
          <w:ilvl w:val="0"/>
          <w:numId w:val="1"/>
        </w:numPr>
        <w:spacing w:line="360" w:lineRule="auto"/>
        <w:contextualSpacing/>
        <w:jc w:val="both"/>
        <w:rPr>
          <w:rFonts w:ascii="Palatino Linotype" w:eastAsiaTheme="minorHAnsi" w:hAnsi="Palatino Linotype" w:cstheme="minorBidi"/>
          <w:bCs/>
          <w:color w:val="000000" w:themeColor="text1"/>
          <w:sz w:val="22"/>
          <w:szCs w:val="22"/>
          <w:lang w:val="es-ES" w:eastAsia="en-US"/>
        </w:rPr>
      </w:pPr>
      <w:r w:rsidRPr="00B8181F">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081A6A4" w14:textId="77777777" w:rsidR="00A16422" w:rsidRPr="00B8181F" w:rsidRDefault="00A16422" w:rsidP="00B8181F">
      <w:pPr>
        <w:autoSpaceDE w:val="0"/>
        <w:autoSpaceDN w:val="0"/>
        <w:adjustRightInd w:val="0"/>
        <w:spacing w:line="360" w:lineRule="auto"/>
        <w:contextualSpacing/>
        <w:jc w:val="both"/>
        <w:rPr>
          <w:rFonts w:ascii="Palatino Linotype" w:hAnsi="Palatino Linotype"/>
          <w:bCs/>
          <w:sz w:val="22"/>
          <w:szCs w:val="22"/>
          <w:lang w:val="es-ES"/>
        </w:rPr>
      </w:pPr>
    </w:p>
    <w:p w14:paraId="18E2CA68" w14:textId="77777777" w:rsidR="00A16422" w:rsidRPr="00B8181F" w:rsidRDefault="00A16422" w:rsidP="00B8181F">
      <w:pPr>
        <w:spacing w:line="360" w:lineRule="auto"/>
        <w:ind w:right="-28"/>
        <w:contextualSpacing/>
        <w:jc w:val="both"/>
        <w:rPr>
          <w:rFonts w:ascii="Palatino Linotype" w:eastAsia="Calibri" w:hAnsi="Palatino Linotype" w:cs="Tahoma"/>
          <w:bCs/>
          <w:color w:val="000000"/>
          <w:sz w:val="22"/>
          <w:szCs w:val="22"/>
        </w:rPr>
      </w:pPr>
      <w:r w:rsidRPr="00B8181F">
        <w:rPr>
          <w:rFonts w:ascii="Palatino Linotype" w:eastAsia="Calibri" w:hAnsi="Palatino Linotype" w:cs="Tahoma"/>
          <w:bCs/>
          <w:color w:val="000000"/>
          <w:sz w:val="22"/>
          <w:szCs w:val="22"/>
        </w:rPr>
        <w:t xml:space="preserve">Así, es necesario traer al estudio los artículos 51 fracción II y I.V, del Bando Municipal de Villa del Carbón, dos mil veinticinco, que se establecen que el Sujeto Obligado para el </w:t>
      </w:r>
      <w:r w:rsidRPr="00B8181F">
        <w:rPr>
          <w:rFonts w:ascii="Palatino Linotype" w:eastAsia="Calibri" w:hAnsi="Palatino Linotype" w:cs="Tahoma"/>
          <w:bCs/>
          <w:color w:val="000000"/>
          <w:sz w:val="22"/>
          <w:szCs w:val="22"/>
        </w:rPr>
        <w:lastRenderedPageBreak/>
        <w:t xml:space="preserve">ejercicio de sus funciones contará con diversas unidades administrativas, entre otras las siguientes: </w:t>
      </w:r>
    </w:p>
    <w:p w14:paraId="4F7BAFAD" w14:textId="77777777" w:rsidR="00A16422" w:rsidRPr="00B8181F" w:rsidRDefault="00A16422" w:rsidP="00B8181F">
      <w:pPr>
        <w:spacing w:line="360" w:lineRule="auto"/>
        <w:ind w:right="-28"/>
        <w:contextualSpacing/>
        <w:jc w:val="both"/>
        <w:rPr>
          <w:rFonts w:ascii="Palatino Linotype" w:eastAsia="Calibri" w:hAnsi="Palatino Linotype" w:cs="Tahoma"/>
          <w:bCs/>
          <w:color w:val="000000"/>
          <w:sz w:val="22"/>
          <w:szCs w:val="22"/>
        </w:rPr>
      </w:pPr>
    </w:p>
    <w:p w14:paraId="570F6D04" w14:textId="77777777" w:rsidR="00A16422" w:rsidRPr="00B8181F" w:rsidRDefault="00A16422" w:rsidP="00B8181F">
      <w:pPr>
        <w:pStyle w:val="Prrafodelista"/>
        <w:numPr>
          <w:ilvl w:val="0"/>
          <w:numId w:val="8"/>
        </w:numPr>
        <w:spacing w:line="360" w:lineRule="auto"/>
        <w:ind w:right="-28"/>
        <w:jc w:val="both"/>
        <w:rPr>
          <w:rFonts w:ascii="Palatino Linotype" w:hAnsi="Palatino Linotype"/>
          <w:sz w:val="22"/>
          <w:szCs w:val="22"/>
        </w:rPr>
      </w:pPr>
      <w:r w:rsidRPr="00B8181F">
        <w:rPr>
          <w:rFonts w:ascii="Palatino Linotype" w:hAnsi="Palatino Linotype"/>
          <w:b/>
          <w:sz w:val="22"/>
          <w:szCs w:val="22"/>
        </w:rPr>
        <w:t>Unidad de Información, Planeación, Programación y Evaluación</w:t>
      </w:r>
      <w:r w:rsidRPr="00B8181F">
        <w:rPr>
          <w:rFonts w:ascii="Palatino Linotype" w:hAnsi="Palatino Linotype"/>
          <w:iCs/>
          <w:sz w:val="22"/>
          <w:szCs w:val="22"/>
        </w:rPr>
        <w:t xml:space="preserve">: </w:t>
      </w:r>
      <w:r w:rsidRPr="00B8181F">
        <w:rPr>
          <w:rFonts w:ascii="Palatino Linotype" w:hAnsi="Palatino Linotype"/>
          <w:sz w:val="22"/>
          <w:szCs w:val="22"/>
        </w:rPr>
        <w:t>dicha unidad es la encargada del cumplimiento de las etapas del proceso de planeación para el desarrollo en el ámbito de su competencia, así como proponer y coordinar políticas de innovación gubernamental e implementación de las Tecnologías de la Información y Comunicación, además contará con las diversas facultades y atribuciones entre otras las siguientes:</w:t>
      </w:r>
    </w:p>
    <w:p w14:paraId="05D6253F" w14:textId="77777777" w:rsidR="00A16422" w:rsidRPr="00B8181F" w:rsidRDefault="00A16422" w:rsidP="00B8181F">
      <w:pPr>
        <w:pStyle w:val="Prrafodelista"/>
        <w:numPr>
          <w:ilvl w:val="0"/>
          <w:numId w:val="9"/>
        </w:numPr>
        <w:spacing w:line="360" w:lineRule="auto"/>
        <w:jc w:val="both"/>
        <w:rPr>
          <w:rFonts w:ascii="Palatino Linotype" w:hAnsi="Palatino Linotype" w:cs="Tahoma"/>
          <w:bCs/>
          <w:iCs/>
          <w:sz w:val="22"/>
          <w:szCs w:val="22"/>
        </w:rPr>
      </w:pPr>
      <w:r w:rsidRPr="00B8181F">
        <w:rPr>
          <w:rFonts w:ascii="Palatino Linotype" w:hAnsi="Palatino Linotype"/>
          <w:sz w:val="22"/>
          <w:szCs w:val="22"/>
        </w:rPr>
        <w:t>Coordinar y verificar el cumplimiento de las actividades de las áreas que integran esta Unidad, a fin de atender las metas establecidas en el Plan de Desarrollo Municipal;</w:t>
      </w:r>
    </w:p>
    <w:p w14:paraId="035F9FDB" w14:textId="77777777" w:rsidR="00A16422" w:rsidRPr="00B8181F" w:rsidRDefault="00A16422" w:rsidP="00B8181F">
      <w:pPr>
        <w:pStyle w:val="Prrafodelista"/>
        <w:numPr>
          <w:ilvl w:val="0"/>
          <w:numId w:val="9"/>
        </w:numPr>
        <w:spacing w:line="360" w:lineRule="auto"/>
        <w:jc w:val="both"/>
        <w:rPr>
          <w:rFonts w:ascii="Palatino Linotype" w:hAnsi="Palatino Linotype" w:cs="Tahoma"/>
          <w:bCs/>
          <w:iCs/>
          <w:sz w:val="22"/>
          <w:szCs w:val="22"/>
        </w:rPr>
      </w:pPr>
      <w:r w:rsidRPr="00B8181F">
        <w:rPr>
          <w:rFonts w:ascii="Palatino Linotype" w:hAnsi="Palatino Linotype"/>
          <w:sz w:val="22"/>
          <w:szCs w:val="22"/>
        </w:rPr>
        <w:t>Supervisar, coordinar y evaluar programas y planes de trabajo propuestos por los Titulares de cada Unidad Administrativa;</w:t>
      </w:r>
    </w:p>
    <w:p w14:paraId="0684505B" w14:textId="77777777" w:rsidR="00A16422" w:rsidRPr="00B8181F" w:rsidRDefault="00A16422" w:rsidP="00B8181F">
      <w:pPr>
        <w:pStyle w:val="Prrafodelista"/>
        <w:numPr>
          <w:ilvl w:val="0"/>
          <w:numId w:val="9"/>
        </w:numPr>
        <w:spacing w:line="360" w:lineRule="auto"/>
        <w:jc w:val="both"/>
        <w:rPr>
          <w:rFonts w:ascii="Palatino Linotype" w:hAnsi="Palatino Linotype" w:cs="Tahoma"/>
          <w:bCs/>
          <w:iCs/>
          <w:sz w:val="22"/>
          <w:szCs w:val="22"/>
        </w:rPr>
      </w:pPr>
      <w:r w:rsidRPr="00B8181F">
        <w:rPr>
          <w:rFonts w:ascii="Palatino Linotype" w:hAnsi="Palatino Linotype"/>
          <w:sz w:val="22"/>
          <w:szCs w:val="22"/>
        </w:rPr>
        <w:t>Formular, elaborar e integrar el Plan de Desarrollo Municipal en coordinación con las Unidades y Dependencias Administrativas, los Organismos Descentralizados, así como el Organismo Autónomo y Desconcentrado de la Administración Pública Municipal;</w:t>
      </w:r>
    </w:p>
    <w:p w14:paraId="1D0B6497" w14:textId="77777777" w:rsidR="00A16422" w:rsidRPr="00B8181F" w:rsidRDefault="00A16422" w:rsidP="00B8181F">
      <w:pPr>
        <w:pStyle w:val="Prrafodelista"/>
        <w:numPr>
          <w:ilvl w:val="0"/>
          <w:numId w:val="9"/>
        </w:numPr>
        <w:spacing w:line="360" w:lineRule="auto"/>
        <w:jc w:val="both"/>
        <w:rPr>
          <w:rFonts w:ascii="Palatino Linotype" w:hAnsi="Palatino Linotype" w:cs="Tahoma"/>
          <w:bCs/>
          <w:iCs/>
          <w:sz w:val="22"/>
          <w:szCs w:val="22"/>
        </w:rPr>
      </w:pPr>
      <w:r w:rsidRPr="00B8181F">
        <w:rPr>
          <w:rFonts w:ascii="Palatino Linotype" w:hAnsi="Palatino Linotype"/>
          <w:sz w:val="22"/>
          <w:szCs w:val="22"/>
        </w:rPr>
        <w:t>Coordinar la implementación de Indicadores de evaluación y gestión gubernamental, que dictaminen el cumplimiento de metas y objetivos del Plan de Desarrollo Municipal;</w:t>
      </w:r>
    </w:p>
    <w:p w14:paraId="591EAACD" w14:textId="77777777" w:rsidR="00A16422" w:rsidRPr="00B8181F" w:rsidRDefault="00A16422" w:rsidP="00B8181F">
      <w:pPr>
        <w:pStyle w:val="Prrafodelista"/>
        <w:numPr>
          <w:ilvl w:val="0"/>
          <w:numId w:val="9"/>
        </w:numPr>
        <w:spacing w:line="360" w:lineRule="auto"/>
        <w:jc w:val="both"/>
        <w:rPr>
          <w:rFonts w:ascii="Palatino Linotype" w:hAnsi="Palatino Linotype" w:cs="Tahoma"/>
          <w:bCs/>
          <w:iCs/>
          <w:sz w:val="22"/>
          <w:szCs w:val="22"/>
        </w:rPr>
      </w:pPr>
      <w:r w:rsidRPr="00B8181F">
        <w:rPr>
          <w:rFonts w:ascii="Palatino Linotype" w:hAnsi="Palatino Linotype"/>
          <w:sz w:val="22"/>
          <w:szCs w:val="22"/>
        </w:rPr>
        <w:t>Promover y coordinar la evaluación de programas presupuestarios y fondo federal por dependencias externas en aras de dar cumplimiento al Programa Anual de Evaluación (PAE); IX. Promover la participación social en la planeación, programación, seguimiento y evaluación de los programas que derivan del Plan de Desarrollo Municipal.</w:t>
      </w:r>
    </w:p>
    <w:p w14:paraId="088B7249" w14:textId="77777777" w:rsidR="00A16422" w:rsidRPr="00B8181F" w:rsidRDefault="00A16422" w:rsidP="00B8181F">
      <w:pPr>
        <w:pStyle w:val="Prrafodelista"/>
        <w:spacing w:line="360" w:lineRule="auto"/>
        <w:jc w:val="both"/>
        <w:rPr>
          <w:rFonts w:ascii="Palatino Linotype" w:hAnsi="Palatino Linotype" w:cs="Tahoma"/>
          <w:bCs/>
          <w:iCs/>
          <w:sz w:val="22"/>
          <w:szCs w:val="22"/>
        </w:rPr>
      </w:pPr>
    </w:p>
    <w:p w14:paraId="68AC1F00" w14:textId="77777777" w:rsidR="00A16422" w:rsidRPr="00B8181F" w:rsidRDefault="00A16422" w:rsidP="00B8181F">
      <w:pPr>
        <w:pStyle w:val="Prrafodelista"/>
        <w:numPr>
          <w:ilvl w:val="0"/>
          <w:numId w:val="10"/>
        </w:numPr>
        <w:spacing w:line="360" w:lineRule="auto"/>
        <w:jc w:val="both"/>
        <w:rPr>
          <w:rFonts w:ascii="Palatino Linotype" w:hAnsi="Palatino Linotype"/>
          <w:b/>
          <w:sz w:val="22"/>
          <w:szCs w:val="22"/>
        </w:rPr>
      </w:pPr>
      <w:r w:rsidRPr="00B8181F">
        <w:rPr>
          <w:rFonts w:ascii="Palatino Linotype" w:hAnsi="Palatino Linotype"/>
          <w:b/>
          <w:sz w:val="22"/>
          <w:szCs w:val="22"/>
        </w:rPr>
        <w:lastRenderedPageBreak/>
        <w:t xml:space="preserve">Tesorería Municipal: </w:t>
      </w:r>
      <w:r w:rsidRPr="00B8181F">
        <w:rPr>
          <w:rFonts w:ascii="Palatino Linotype" w:hAnsi="Palatino Linotype"/>
          <w:sz w:val="22"/>
          <w:szCs w:val="22"/>
        </w:rPr>
        <w:t>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 quien además contará con las siguientes funciones y atribuciones, entre otras las siguientes:</w:t>
      </w:r>
    </w:p>
    <w:p w14:paraId="2E2E43F4" w14:textId="77777777" w:rsidR="00A16422" w:rsidRPr="00B8181F" w:rsidRDefault="00A16422" w:rsidP="00B8181F">
      <w:pPr>
        <w:pStyle w:val="Prrafodelista"/>
        <w:numPr>
          <w:ilvl w:val="0"/>
          <w:numId w:val="9"/>
        </w:numPr>
        <w:spacing w:line="360" w:lineRule="auto"/>
        <w:jc w:val="both"/>
        <w:rPr>
          <w:rFonts w:ascii="Palatino Linotype" w:hAnsi="Palatino Linotype"/>
          <w:b/>
          <w:sz w:val="22"/>
          <w:szCs w:val="22"/>
        </w:rPr>
      </w:pPr>
      <w:r w:rsidRPr="00B8181F">
        <w:rPr>
          <w:rFonts w:ascii="Palatino Linotype" w:hAnsi="Palatino Linotype"/>
          <w:sz w:val="22"/>
          <w:szCs w:val="22"/>
        </w:rPr>
        <w:t>Emitir los lineamentos de control presupuestal, así como las medidas de ahorro y racionalidad del gasto;</w:t>
      </w:r>
    </w:p>
    <w:p w14:paraId="3FF1B245" w14:textId="77777777" w:rsidR="00A16422" w:rsidRPr="00B8181F" w:rsidRDefault="00A16422" w:rsidP="00B8181F">
      <w:pPr>
        <w:pStyle w:val="Prrafodelista"/>
        <w:numPr>
          <w:ilvl w:val="0"/>
          <w:numId w:val="9"/>
        </w:numPr>
        <w:spacing w:line="360" w:lineRule="auto"/>
        <w:jc w:val="both"/>
        <w:rPr>
          <w:rFonts w:ascii="Palatino Linotype" w:hAnsi="Palatino Linotype"/>
          <w:b/>
          <w:sz w:val="22"/>
          <w:szCs w:val="22"/>
        </w:rPr>
      </w:pPr>
      <w:r w:rsidRPr="00B8181F">
        <w:rPr>
          <w:rFonts w:ascii="Palatino Linotype" w:hAnsi="Palatino Linotype"/>
          <w:sz w:val="22"/>
          <w:szCs w:val="22"/>
        </w:rPr>
        <w:t>Proponer la política financiera y tributaria del Ayuntamiento;</w:t>
      </w:r>
    </w:p>
    <w:p w14:paraId="3650D79C" w14:textId="77777777" w:rsidR="00A16422" w:rsidRPr="00B8181F" w:rsidRDefault="00A16422" w:rsidP="00B8181F">
      <w:pPr>
        <w:pStyle w:val="Prrafodelista"/>
        <w:numPr>
          <w:ilvl w:val="0"/>
          <w:numId w:val="9"/>
        </w:numPr>
        <w:spacing w:line="360" w:lineRule="auto"/>
        <w:jc w:val="both"/>
        <w:rPr>
          <w:rFonts w:ascii="Palatino Linotype" w:hAnsi="Palatino Linotype"/>
          <w:b/>
          <w:sz w:val="22"/>
          <w:szCs w:val="22"/>
        </w:rPr>
      </w:pPr>
      <w:r w:rsidRPr="00B8181F">
        <w:rPr>
          <w:rFonts w:ascii="Palatino Linotype" w:hAnsi="Palatino Linotype"/>
          <w:sz w:val="22"/>
          <w:szCs w:val="22"/>
        </w:rPr>
        <w:t xml:space="preserve">Diseñar y establecer conjuntamente con la Unidad de Información, Planeación, Programación y Evaluación, las bases, políticas y lineamientos para el proceso interno de programación y presupuestación; </w:t>
      </w:r>
    </w:p>
    <w:p w14:paraId="566C4DA4" w14:textId="77777777" w:rsidR="00A16422" w:rsidRPr="00B8181F" w:rsidRDefault="00A16422" w:rsidP="00B8181F">
      <w:pPr>
        <w:pStyle w:val="Prrafodelista"/>
        <w:numPr>
          <w:ilvl w:val="0"/>
          <w:numId w:val="9"/>
        </w:numPr>
        <w:spacing w:line="360" w:lineRule="auto"/>
        <w:jc w:val="both"/>
        <w:rPr>
          <w:rFonts w:ascii="Palatino Linotype" w:hAnsi="Palatino Linotype"/>
          <w:b/>
          <w:sz w:val="22"/>
          <w:szCs w:val="22"/>
        </w:rPr>
      </w:pPr>
      <w:r w:rsidRPr="00B8181F">
        <w:rPr>
          <w:rFonts w:ascii="Palatino Linotype" w:hAnsi="Palatino Linotype"/>
          <w:sz w:val="22"/>
          <w:szCs w:val="22"/>
        </w:rPr>
        <w:t>Consolidar los proyectos de presupuestos de ingresos y egresos de las diferentes áreas del Gobierno Municipal y someterlos al Cabildo para su aprobación;</w:t>
      </w:r>
    </w:p>
    <w:p w14:paraId="13EB81D8" w14:textId="77777777" w:rsidR="00A16422" w:rsidRPr="00B8181F" w:rsidRDefault="00A16422" w:rsidP="00B8181F">
      <w:pPr>
        <w:spacing w:line="360" w:lineRule="auto"/>
        <w:contextualSpacing/>
        <w:jc w:val="both"/>
        <w:rPr>
          <w:rFonts w:ascii="Palatino Linotype" w:hAnsi="Palatino Linotype" w:cs="Tahoma"/>
          <w:bCs/>
          <w:iCs/>
          <w:sz w:val="22"/>
          <w:szCs w:val="22"/>
        </w:rPr>
      </w:pPr>
    </w:p>
    <w:p w14:paraId="4CE0F936" w14:textId="77777777" w:rsidR="00A16422" w:rsidRPr="00B8181F" w:rsidRDefault="00A16422" w:rsidP="00B8181F">
      <w:pPr>
        <w:spacing w:line="360" w:lineRule="auto"/>
        <w:contextualSpacing/>
        <w:jc w:val="both"/>
        <w:rPr>
          <w:rFonts w:ascii="Palatino Linotype" w:hAnsi="Palatino Linotype" w:cs="Tahoma"/>
          <w:bCs/>
          <w:iCs/>
          <w:sz w:val="22"/>
          <w:szCs w:val="22"/>
        </w:rPr>
      </w:pPr>
      <w:r w:rsidRPr="00B8181F">
        <w:rPr>
          <w:rFonts w:ascii="Palatino Linotype" w:hAnsi="Palatino Linotype" w:cs="Tahoma"/>
          <w:bCs/>
          <w:iCs/>
          <w:sz w:val="22"/>
          <w:szCs w:val="22"/>
        </w:rPr>
        <w:t xml:space="preserve">Conforme a lo anterior se logra observar que el Ayuntamiento de Villa del Carbón, cumplió en parte con el procedimiento de búsqueda previamente señalado, pues si bien turnó la solicitud a la Unidad de Información, Planeación, Programación y Evaluación, lo cierto es que </w:t>
      </w:r>
      <w:r w:rsidRPr="00B8181F">
        <w:rPr>
          <w:rFonts w:ascii="Palatino Linotype" w:hAnsi="Palatino Linotype" w:cs="Tahoma"/>
          <w:b/>
          <w:iCs/>
          <w:sz w:val="22"/>
          <w:szCs w:val="22"/>
        </w:rPr>
        <w:t>omitió gestionar la solicitud de información a la Tesorería Municipal</w:t>
      </w:r>
      <w:r w:rsidRPr="00B8181F">
        <w:rPr>
          <w:rFonts w:ascii="Palatino Linotype" w:hAnsi="Palatino Linotype" w:cs="Tahoma"/>
          <w:bCs/>
          <w:iCs/>
          <w:sz w:val="22"/>
          <w:szCs w:val="22"/>
        </w:rPr>
        <w:t>, unidad administrativa competente para conocer sobre lo peticionado, por lo que, cumplió con parte del procedimiento de búsqueda establecido en el artículo 162 de la Ley de la materia.</w:t>
      </w:r>
      <w:bookmarkEnd w:id="14"/>
    </w:p>
    <w:p w14:paraId="6DC559DE" w14:textId="77777777" w:rsidR="00A16422" w:rsidRPr="00B8181F" w:rsidRDefault="00A16422" w:rsidP="00B8181F">
      <w:pPr>
        <w:spacing w:line="360" w:lineRule="auto"/>
        <w:contextualSpacing/>
        <w:jc w:val="both"/>
        <w:rPr>
          <w:rFonts w:ascii="Palatino Linotype" w:hAnsi="Palatino Linotype" w:cs="Tahoma"/>
          <w:bCs/>
          <w:iCs/>
          <w:sz w:val="22"/>
          <w:szCs w:val="22"/>
        </w:rPr>
      </w:pPr>
    </w:p>
    <w:p w14:paraId="7A09249F" w14:textId="649016A6" w:rsidR="00A16422" w:rsidRPr="00B8181F" w:rsidRDefault="00A16422" w:rsidP="00B8181F">
      <w:pPr>
        <w:spacing w:line="360" w:lineRule="auto"/>
        <w:contextualSpacing/>
        <w:jc w:val="both"/>
        <w:rPr>
          <w:rFonts w:ascii="Palatino Linotype" w:hAnsi="Palatino Linotype" w:cs="Tahoma"/>
          <w:bCs/>
          <w:iCs/>
          <w:sz w:val="22"/>
          <w:szCs w:val="22"/>
        </w:rPr>
      </w:pPr>
      <w:r w:rsidRPr="00B8181F">
        <w:rPr>
          <w:rFonts w:ascii="Palatino Linotype" w:hAnsi="Palatino Linotype" w:cs="Tahoma"/>
          <w:bCs/>
          <w:iCs/>
          <w:sz w:val="22"/>
          <w:szCs w:val="22"/>
        </w:rPr>
        <w:t xml:space="preserve">Sin menoscabo de lo anterior, </w:t>
      </w:r>
      <w:r w:rsidR="00332CBD" w:rsidRPr="00B8181F">
        <w:rPr>
          <w:rFonts w:ascii="Palatino Linotype" w:hAnsi="Palatino Linotype" w:cs="Tahoma"/>
          <w:bCs/>
          <w:iCs/>
          <w:sz w:val="22"/>
          <w:szCs w:val="22"/>
        </w:rPr>
        <w:t>en</w:t>
      </w:r>
      <w:r w:rsidRPr="00B8181F">
        <w:rPr>
          <w:rFonts w:ascii="Palatino Linotype" w:hAnsi="Palatino Linotype" w:cs="Tahoma"/>
          <w:bCs/>
          <w:iCs/>
          <w:sz w:val="22"/>
          <w:szCs w:val="22"/>
        </w:rPr>
        <w:t xml:space="preserve"> respuesta la Unidad de Información, Planeación, Programación y Evaluació</w:t>
      </w:r>
      <w:r w:rsidR="00332CBD" w:rsidRPr="00B8181F">
        <w:rPr>
          <w:rFonts w:ascii="Palatino Linotype" w:hAnsi="Palatino Linotype" w:cs="Tahoma"/>
          <w:bCs/>
          <w:iCs/>
          <w:sz w:val="22"/>
          <w:szCs w:val="22"/>
        </w:rPr>
        <w:t>n</w:t>
      </w:r>
      <w:r w:rsidRPr="00B8181F">
        <w:rPr>
          <w:rFonts w:ascii="Palatino Linotype" w:hAnsi="Palatino Linotype" w:cs="Tahoma"/>
          <w:bCs/>
          <w:iCs/>
          <w:sz w:val="22"/>
          <w:szCs w:val="22"/>
        </w:rPr>
        <w:t xml:space="preserve"> requirió a la Unidad de Transparencia que se cumpliera con lo establecido en las solicitudes de información, en términos de los artículos 155 fracción III, </w:t>
      </w:r>
      <w:r w:rsidRPr="00B8181F">
        <w:rPr>
          <w:rFonts w:ascii="Palatino Linotype" w:hAnsi="Palatino Linotype" w:cs="Tahoma"/>
          <w:bCs/>
          <w:iCs/>
          <w:sz w:val="22"/>
          <w:szCs w:val="22"/>
        </w:rPr>
        <w:lastRenderedPageBreak/>
        <w:t>IV y V, y artículo 159 de la Ley de Transparencia y Acceso a la Información Pública del Estado de México y Municipios.</w:t>
      </w:r>
    </w:p>
    <w:p w14:paraId="4BCEEE7B" w14:textId="77777777" w:rsidR="00A16422" w:rsidRPr="00B8181F" w:rsidRDefault="00A16422" w:rsidP="00B8181F">
      <w:pPr>
        <w:spacing w:line="360" w:lineRule="auto"/>
        <w:contextualSpacing/>
        <w:jc w:val="both"/>
        <w:rPr>
          <w:rFonts w:ascii="Palatino Linotype" w:hAnsi="Palatino Linotype" w:cs="Tahoma"/>
          <w:bCs/>
          <w:iCs/>
          <w:sz w:val="22"/>
          <w:szCs w:val="22"/>
        </w:rPr>
      </w:pPr>
    </w:p>
    <w:p w14:paraId="5C9FD54D" w14:textId="77777777" w:rsidR="00A16422" w:rsidRPr="00B8181F" w:rsidRDefault="00A16422" w:rsidP="00B8181F">
      <w:pPr>
        <w:spacing w:line="360" w:lineRule="auto"/>
        <w:contextualSpacing/>
        <w:jc w:val="both"/>
        <w:rPr>
          <w:rFonts w:ascii="Palatino Linotype" w:hAnsi="Palatino Linotype" w:cs="Tahoma"/>
          <w:bCs/>
          <w:iCs/>
          <w:sz w:val="22"/>
          <w:szCs w:val="22"/>
        </w:rPr>
      </w:pPr>
      <w:r w:rsidRPr="00B8181F">
        <w:rPr>
          <w:rFonts w:ascii="Palatino Linotype" w:hAnsi="Palatino Linotype" w:cs="Tahoma"/>
          <w:bCs/>
          <w:iCs/>
          <w:sz w:val="22"/>
          <w:szCs w:val="22"/>
        </w:rPr>
        <w:t xml:space="preserve">Así, del análisis de los preceptos legales invocados se lograron advertir, parte de los requisitos para la presentación de las solicitudes por escrito, así como pretender un requerimiento de aclaración de la solicitud de la información, sin embargo, omitió realizarla conforme a las formalidades establecidas, por lo que con dichas manifestaciones no puede tenerse por atendida la solicitud. </w:t>
      </w:r>
    </w:p>
    <w:p w14:paraId="7AC6C508" w14:textId="77777777" w:rsidR="00A16422" w:rsidRPr="00B8181F" w:rsidRDefault="00A16422" w:rsidP="00B8181F">
      <w:pPr>
        <w:spacing w:line="360" w:lineRule="auto"/>
        <w:contextualSpacing/>
        <w:jc w:val="both"/>
        <w:rPr>
          <w:rFonts w:ascii="Palatino Linotype" w:hAnsi="Palatino Linotype" w:cs="Tahoma"/>
          <w:bCs/>
          <w:iCs/>
          <w:sz w:val="22"/>
          <w:szCs w:val="22"/>
        </w:rPr>
      </w:pPr>
    </w:p>
    <w:p w14:paraId="2E67F8A7" w14:textId="77777777" w:rsidR="00B50DD9" w:rsidRPr="00B8181F" w:rsidRDefault="00A16422" w:rsidP="00B8181F">
      <w:pPr>
        <w:spacing w:line="360" w:lineRule="auto"/>
        <w:contextualSpacing/>
        <w:jc w:val="both"/>
        <w:rPr>
          <w:rFonts w:ascii="Palatino Linotype" w:hAnsi="Palatino Linotype" w:cs="Tahoma"/>
          <w:bCs/>
          <w:iCs/>
          <w:sz w:val="22"/>
          <w:szCs w:val="22"/>
        </w:rPr>
      </w:pPr>
      <w:r w:rsidRPr="00B8181F">
        <w:rPr>
          <w:rFonts w:ascii="Palatino Linotype" w:hAnsi="Palatino Linotype" w:cs="Tahoma"/>
          <w:bCs/>
          <w:iCs/>
          <w:sz w:val="22"/>
          <w:szCs w:val="22"/>
        </w:rPr>
        <w:t>En este sentido, si bien, el Sujeto Obligado, a través de la Unidad de Información, Planeación, Programación y Evaluación, refirió que se diera atención a las solicitudes conforme a los dispositivos invocados, lo cierto es que no guarda relación con lo peticionado</w:t>
      </w:r>
      <w:r w:rsidR="00B50DD9" w:rsidRPr="00B8181F">
        <w:rPr>
          <w:rFonts w:ascii="Palatino Linotype" w:hAnsi="Palatino Linotype" w:cs="Tahoma"/>
          <w:bCs/>
          <w:iCs/>
          <w:sz w:val="22"/>
          <w:szCs w:val="22"/>
        </w:rPr>
        <w:t>.</w:t>
      </w:r>
    </w:p>
    <w:p w14:paraId="67254A2A" w14:textId="77777777" w:rsidR="00B50DD9" w:rsidRPr="00B8181F" w:rsidRDefault="00B50DD9" w:rsidP="00B8181F">
      <w:pPr>
        <w:spacing w:line="360" w:lineRule="auto"/>
        <w:contextualSpacing/>
        <w:jc w:val="both"/>
        <w:rPr>
          <w:rFonts w:ascii="Palatino Linotype" w:hAnsi="Palatino Linotype" w:cs="Tahoma"/>
          <w:bCs/>
          <w:iCs/>
          <w:sz w:val="22"/>
          <w:szCs w:val="22"/>
        </w:rPr>
      </w:pPr>
    </w:p>
    <w:p w14:paraId="3681D0D9" w14:textId="518E9CE1" w:rsidR="00A16422" w:rsidRPr="00B8181F" w:rsidRDefault="00A16422" w:rsidP="00B8181F">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entonces Instituto Nacional de Transparencia, Acceso a la Información y Protección de Datos Personales, del cual se desprende que todo acto administrativo debe apegarse al </w:t>
      </w:r>
      <w:r w:rsidRPr="00B8181F">
        <w:rPr>
          <w:rFonts w:ascii="Palatino Linotype" w:hAnsi="Palatino Linotype" w:cs="Tahoma"/>
          <w:b/>
          <w:bCs/>
          <w:sz w:val="22"/>
          <w:szCs w:val="22"/>
        </w:rPr>
        <w:t>Principio de Congruencia</w:t>
      </w:r>
      <w:r w:rsidRPr="00B8181F">
        <w:rPr>
          <w:rFonts w:ascii="Palatino Linotype" w:hAnsi="Palatino Linotype" w:cs="Tahoma"/>
          <w:bCs/>
          <w:sz w:val="22"/>
          <w:szCs w:val="22"/>
        </w:rPr>
        <w:t>, el cual implica que exista concordancia entre el requerimiento formulado y la respuesta entregada.</w:t>
      </w:r>
    </w:p>
    <w:p w14:paraId="03BC9B41" w14:textId="77777777" w:rsidR="00A16422" w:rsidRPr="00B8181F" w:rsidRDefault="00A16422" w:rsidP="00B8181F">
      <w:pPr>
        <w:spacing w:line="360" w:lineRule="auto"/>
        <w:contextualSpacing/>
        <w:jc w:val="both"/>
        <w:rPr>
          <w:rFonts w:ascii="Palatino Linotype" w:eastAsia="Batang" w:hAnsi="Palatino Linotype" w:cs="Tahoma"/>
          <w:bCs/>
          <w:sz w:val="22"/>
          <w:szCs w:val="22"/>
          <w:lang w:val="es-ES_tradnl"/>
        </w:rPr>
      </w:pPr>
    </w:p>
    <w:p w14:paraId="2FA2D7B5" w14:textId="77777777" w:rsidR="00B82DE0" w:rsidRDefault="00A16422" w:rsidP="00B8181F">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Cs/>
          <w:sz w:val="22"/>
          <w:szCs w:val="22"/>
          <w:lang w:val="es-ES_tradnl"/>
        </w:rPr>
        <w:t>Conforme a lo expuesto el Sujeto Obligado omitió pronunciarse específicamente sobre lo peticionado, y omitir proporcionar la información solicitada pues a la fecha de la solicitud, ya se había remitido el presupuesto de egresos municipal dos mil veinticinco a la Entidad Fiscalizadora, pues tenía hasta el veinticinco de febrero para realizar dicha circunstancia</w:t>
      </w:r>
      <w:r w:rsidR="00B82DE0">
        <w:rPr>
          <w:rFonts w:ascii="Palatino Linotype" w:eastAsia="Batang" w:hAnsi="Palatino Linotype" w:cs="Tahoma"/>
          <w:bCs/>
          <w:sz w:val="22"/>
          <w:szCs w:val="22"/>
          <w:lang w:val="es-ES_tradnl"/>
        </w:rPr>
        <w:t xml:space="preserve">. </w:t>
      </w:r>
    </w:p>
    <w:p w14:paraId="6F5786D9" w14:textId="77777777" w:rsidR="00B82DE0" w:rsidRDefault="00B82DE0" w:rsidP="00B8181F">
      <w:pPr>
        <w:spacing w:line="360" w:lineRule="auto"/>
        <w:contextualSpacing/>
        <w:jc w:val="both"/>
        <w:rPr>
          <w:rFonts w:ascii="Palatino Linotype" w:eastAsia="Batang" w:hAnsi="Palatino Linotype" w:cs="Tahoma"/>
          <w:bCs/>
          <w:sz w:val="22"/>
          <w:szCs w:val="22"/>
          <w:lang w:val="es-ES_tradnl"/>
        </w:rPr>
      </w:pPr>
    </w:p>
    <w:p w14:paraId="5B9B8DEE" w14:textId="153A0ED4" w:rsidR="00A16422" w:rsidRPr="00B82DE0" w:rsidRDefault="00A16422" w:rsidP="00B8181F">
      <w:pPr>
        <w:spacing w:line="360" w:lineRule="auto"/>
        <w:contextualSpacing/>
        <w:jc w:val="both"/>
        <w:rPr>
          <w:rFonts w:ascii="Palatino Linotype" w:eastAsia="Batang" w:hAnsi="Palatino Linotype" w:cs="Tahoma"/>
          <w:bCs/>
          <w:sz w:val="22"/>
          <w:szCs w:val="22"/>
          <w:lang w:val="es-ES_tradnl"/>
        </w:rPr>
      </w:pPr>
      <w:r w:rsidRPr="00B8181F">
        <w:rPr>
          <w:rFonts w:ascii="Palatino Linotype" w:hAnsi="Palatino Linotype"/>
          <w:sz w:val="22"/>
          <w:szCs w:val="22"/>
          <w:lang w:val="es-ES"/>
        </w:rPr>
        <w:t xml:space="preserve">Lo anterior, toma sustento con la gaceta municipal de la Sexta Sesión Extraordinaria de Cabildo, celebrada el veinte de febrero de dos mil veinticinco, visible en el siguiente enlace; </w:t>
      </w:r>
      <w:hyperlink r:id="rId7" w:history="1">
        <w:r w:rsidRPr="00B8181F">
          <w:rPr>
            <w:rStyle w:val="Hipervnculo"/>
            <w:rFonts w:ascii="Palatino Linotype" w:hAnsi="Palatino Linotype"/>
            <w:sz w:val="22"/>
            <w:szCs w:val="22"/>
            <w:lang w:val="es-ES"/>
          </w:rPr>
          <w:t>https://villadelcarbon.edomex.gob.mx/sites/villadelcarbon.edomex.gob.mx/files/files/SECRETARIA%20DEL%20AYUNTAMIENTO/GACETAS/2025/FEBRERO/11.%20GACETA%20NUM%2011%20-%2020%20FEBRERO%202025%20-SEM%208.pdf</w:t>
        </w:r>
      </w:hyperlink>
      <w:r w:rsidRPr="00B8181F">
        <w:rPr>
          <w:rFonts w:ascii="Palatino Linotype" w:hAnsi="Palatino Linotype"/>
          <w:sz w:val="22"/>
          <w:szCs w:val="22"/>
          <w:lang w:val="es-ES"/>
        </w:rPr>
        <w:t>, en el cual se observó que se autorizó el presupuesto municipal para el ejercicio fiscal dos mil veinticinco, situación que se logra observar conforme al siguiente extracto:</w:t>
      </w:r>
    </w:p>
    <w:p w14:paraId="79A0C384" w14:textId="77777777" w:rsidR="00A16422" w:rsidRPr="00B8181F" w:rsidRDefault="00A16422" w:rsidP="00B8181F">
      <w:pPr>
        <w:spacing w:line="360" w:lineRule="auto"/>
        <w:contextualSpacing/>
        <w:jc w:val="both"/>
        <w:rPr>
          <w:rFonts w:ascii="Palatino Linotype" w:hAnsi="Palatino Linotype"/>
          <w:sz w:val="22"/>
          <w:szCs w:val="22"/>
          <w:lang w:val="es-ES"/>
        </w:rPr>
      </w:pPr>
    </w:p>
    <w:p w14:paraId="277999EA" w14:textId="77777777" w:rsidR="00A16422" w:rsidRPr="00B8181F" w:rsidRDefault="00A16422" w:rsidP="00B8181F">
      <w:pPr>
        <w:spacing w:line="360" w:lineRule="auto"/>
        <w:contextualSpacing/>
        <w:jc w:val="center"/>
        <w:rPr>
          <w:rFonts w:ascii="Palatino Linotype" w:hAnsi="Palatino Linotype"/>
          <w:sz w:val="22"/>
          <w:szCs w:val="22"/>
          <w:lang w:val="es-ES"/>
        </w:rPr>
      </w:pPr>
      <w:r w:rsidRPr="00B8181F">
        <w:rPr>
          <w:rFonts w:ascii="Palatino Linotype" w:hAnsi="Palatino Linotype"/>
          <w:noProof/>
          <w:sz w:val="22"/>
          <w:szCs w:val="22"/>
          <w:lang w:eastAsia="es-MX"/>
        </w:rPr>
        <w:drawing>
          <wp:inline distT="0" distB="0" distL="0" distR="0" wp14:anchorId="7D53FCB7" wp14:editId="1A12F337">
            <wp:extent cx="5396089" cy="2167045"/>
            <wp:effectExtent l="0" t="0" r="0" b="5080"/>
            <wp:docPr id="5104312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997" cy="2170221"/>
                    </a:xfrm>
                    <a:prstGeom prst="rect">
                      <a:avLst/>
                    </a:prstGeom>
                    <a:noFill/>
                  </pic:spPr>
                </pic:pic>
              </a:graphicData>
            </a:graphic>
          </wp:inline>
        </w:drawing>
      </w:r>
    </w:p>
    <w:p w14:paraId="7F125C54" w14:textId="77777777" w:rsidR="00A16422" w:rsidRPr="00B8181F" w:rsidRDefault="00A16422" w:rsidP="00B8181F">
      <w:pPr>
        <w:spacing w:line="360" w:lineRule="auto"/>
        <w:contextualSpacing/>
        <w:jc w:val="both"/>
        <w:rPr>
          <w:rFonts w:ascii="Palatino Linotype" w:hAnsi="Palatino Linotype"/>
          <w:sz w:val="22"/>
          <w:szCs w:val="22"/>
          <w:lang w:val="es-ES"/>
        </w:rPr>
      </w:pPr>
    </w:p>
    <w:p w14:paraId="7E6CF6CD" w14:textId="7F6681EE" w:rsidR="00A16422" w:rsidRDefault="00A16422" w:rsidP="00B8181F">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Así se considera, que el Sujeto </w:t>
      </w:r>
      <w:r w:rsidR="00287387" w:rsidRPr="00B8181F">
        <w:rPr>
          <w:rFonts w:ascii="Palatino Linotype" w:hAnsi="Palatino Linotype" w:cs="Tahoma"/>
          <w:bCs/>
          <w:sz w:val="22"/>
          <w:szCs w:val="22"/>
        </w:rPr>
        <w:t>O</w:t>
      </w:r>
      <w:r w:rsidRPr="00B8181F">
        <w:rPr>
          <w:rFonts w:ascii="Palatino Linotype" w:hAnsi="Palatino Linotype" w:cs="Tahoma"/>
          <w:bCs/>
          <w:sz w:val="22"/>
          <w:szCs w:val="22"/>
        </w:rPr>
        <w:t xml:space="preserve">bligado, a la fecha de la solicitud contaba con expresión documental que diera cuenta de lo peticionado, inclusive ya había fenecido el plazo para remitir los formatos requeridos conforme al acuerdo por el que se emiten los lineamientos, fechas de capacitación y calendarización para la integración y presentación de los informes trimestrales estatales y municipales del ejercicio fiscal 2025, del Estado de México, </w:t>
      </w:r>
      <w:hyperlink r:id="rId9" w:history="1">
        <w:r w:rsidRPr="00B8181F">
          <w:rPr>
            <w:rStyle w:val="Hipervnculo"/>
            <w:rFonts w:ascii="Palatino Linotype" w:hAnsi="Palatino Linotype" w:cs="Tahoma"/>
            <w:bCs/>
            <w:sz w:val="22"/>
            <w:szCs w:val="22"/>
          </w:rPr>
          <w:t>https://legislacion.edomex.gob.mx/sites/legislacion.edomex.gob.mx/files/files/pdf/gct/2025/abril/abr011/abr011a.pdf</w:t>
        </w:r>
      </w:hyperlink>
      <w:r w:rsidRPr="00B8181F">
        <w:rPr>
          <w:rFonts w:ascii="Palatino Linotype" w:hAnsi="Palatino Linotype" w:cs="Tahoma"/>
          <w:bCs/>
          <w:sz w:val="22"/>
          <w:szCs w:val="22"/>
        </w:rPr>
        <w:t>, pues tenía hasta el siete de mayo de la presente anualidad, situación  que se dilucida conforme a lo siguiente:</w:t>
      </w:r>
    </w:p>
    <w:p w14:paraId="087C6464" w14:textId="77777777" w:rsidR="00D276C0" w:rsidRPr="00B8181F" w:rsidRDefault="00D276C0" w:rsidP="00B8181F">
      <w:pPr>
        <w:spacing w:line="360" w:lineRule="auto"/>
        <w:contextualSpacing/>
        <w:jc w:val="both"/>
        <w:rPr>
          <w:rFonts w:ascii="Palatino Linotype" w:hAnsi="Palatino Linotype" w:cs="Tahoma"/>
          <w:bCs/>
          <w:sz w:val="22"/>
          <w:szCs w:val="22"/>
        </w:rPr>
      </w:pPr>
    </w:p>
    <w:p w14:paraId="35451314" w14:textId="77777777" w:rsidR="00A16422" w:rsidRPr="00B8181F" w:rsidRDefault="00A16422" w:rsidP="00B8181F">
      <w:pPr>
        <w:spacing w:line="360" w:lineRule="auto"/>
        <w:contextualSpacing/>
        <w:jc w:val="both"/>
        <w:rPr>
          <w:rFonts w:ascii="Palatino Linotype" w:hAnsi="Palatino Linotype" w:cs="Tahoma"/>
          <w:bCs/>
          <w:sz w:val="22"/>
          <w:szCs w:val="22"/>
        </w:rPr>
      </w:pPr>
    </w:p>
    <w:p w14:paraId="35F9C2CE" w14:textId="77777777" w:rsidR="00A16422" w:rsidRPr="00B8181F" w:rsidRDefault="00A16422" w:rsidP="00B8181F">
      <w:pPr>
        <w:spacing w:line="360" w:lineRule="auto"/>
        <w:contextualSpacing/>
        <w:jc w:val="center"/>
        <w:rPr>
          <w:rFonts w:ascii="Palatino Linotype" w:hAnsi="Palatino Linotype" w:cs="Tahoma"/>
          <w:bCs/>
          <w:sz w:val="22"/>
          <w:szCs w:val="22"/>
        </w:rPr>
      </w:pPr>
      <w:r w:rsidRPr="00B8181F">
        <w:rPr>
          <w:rFonts w:ascii="Palatino Linotype" w:hAnsi="Palatino Linotype" w:cs="Tahoma"/>
          <w:bCs/>
          <w:noProof/>
          <w:sz w:val="22"/>
          <w:szCs w:val="22"/>
          <w:lang w:eastAsia="es-MX"/>
        </w:rPr>
        <w:drawing>
          <wp:inline distT="0" distB="0" distL="0" distR="0" wp14:anchorId="64094CD6" wp14:editId="1C074EA7">
            <wp:extent cx="5227620" cy="1257300"/>
            <wp:effectExtent l="0" t="0" r="0" b="0"/>
            <wp:docPr id="1091203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108" cy="1295659"/>
                    </a:xfrm>
                    <a:prstGeom prst="rect">
                      <a:avLst/>
                    </a:prstGeom>
                    <a:noFill/>
                  </pic:spPr>
                </pic:pic>
              </a:graphicData>
            </a:graphic>
          </wp:inline>
        </w:drawing>
      </w:r>
    </w:p>
    <w:p w14:paraId="73CA56CB" w14:textId="77777777" w:rsidR="00D276C0" w:rsidRDefault="00D276C0" w:rsidP="00B8181F">
      <w:pPr>
        <w:spacing w:line="360" w:lineRule="auto"/>
        <w:contextualSpacing/>
        <w:jc w:val="both"/>
        <w:rPr>
          <w:rFonts w:ascii="Palatino Linotype" w:hAnsi="Palatino Linotype" w:cs="Tahoma"/>
          <w:bCs/>
          <w:sz w:val="22"/>
          <w:szCs w:val="22"/>
        </w:rPr>
      </w:pPr>
    </w:p>
    <w:p w14:paraId="08B6D00F" w14:textId="7B548048" w:rsidR="00332CBD" w:rsidRPr="00B8181F" w:rsidRDefault="00332CBD" w:rsidP="00B8181F">
      <w:pPr>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 xml:space="preserve">Sumado a lo anterior, este Organismo considera que, al no haber un pronunciamiento específico por parte de la unidad administrativa competente a efecto de señalar si contaba o no con la información requerida, resulta procedente ordenar los formatos </w:t>
      </w:r>
      <w:proofErr w:type="spellStart"/>
      <w:r w:rsidRPr="00B8181F">
        <w:rPr>
          <w:rFonts w:ascii="Palatino Linotype" w:hAnsi="Palatino Linotype" w:cs="Tahoma"/>
          <w:bCs/>
          <w:sz w:val="22"/>
          <w:szCs w:val="22"/>
        </w:rPr>
        <w:t>PbRM</w:t>
      </w:r>
      <w:proofErr w:type="spellEnd"/>
      <w:r w:rsidRPr="00B8181F">
        <w:rPr>
          <w:rFonts w:ascii="Palatino Linotype" w:hAnsi="Palatino Linotype" w:cs="Tahoma"/>
          <w:bCs/>
          <w:sz w:val="22"/>
          <w:szCs w:val="22"/>
        </w:rPr>
        <w:t xml:space="preserve"> generados por la Dirección de Desarrollo Social, </w:t>
      </w:r>
      <w:r w:rsidRPr="00B8181F">
        <w:rPr>
          <w:rFonts w:ascii="Palatino Linotype" w:hAnsi="Palatino Linotype" w:cs="Tahoma"/>
          <w:sz w:val="22"/>
          <w:szCs w:val="22"/>
        </w:rPr>
        <w:t xml:space="preserve">en el que se incluya el techo presupuestal asignado; Recursos Ejercidos en las acciones programadas; y El estado que guarda su cumplimiento relacionada con las acciones realizadas por la Coordinación de Asuntos Indígenas, </w:t>
      </w:r>
      <w:r w:rsidRPr="00B8181F">
        <w:rPr>
          <w:rFonts w:ascii="Palatino Linotype" w:hAnsi="Palatino Linotype" w:cs="Tahoma"/>
          <w:bCs/>
          <w:sz w:val="22"/>
          <w:szCs w:val="22"/>
        </w:rPr>
        <w:t>del primero de enero al veintidós de mayo de dos mil veinticinco a efecto de dar cumplimiento a lo dispuesto por los artículos 12 y 160 de la Ley de la materia.</w:t>
      </w:r>
    </w:p>
    <w:p w14:paraId="131F5B6E" w14:textId="77777777" w:rsidR="00A16422" w:rsidRPr="00B8181F" w:rsidRDefault="00A16422" w:rsidP="00B8181F">
      <w:pPr>
        <w:spacing w:line="360" w:lineRule="auto"/>
        <w:contextualSpacing/>
        <w:jc w:val="both"/>
        <w:rPr>
          <w:rFonts w:ascii="Palatino Linotype" w:hAnsi="Palatino Linotype" w:cs="Tahoma"/>
          <w:bCs/>
          <w:sz w:val="22"/>
          <w:szCs w:val="22"/>
        </w:rPr>
      </w:pPr>
    </w:p>
    <w:p w14:paraId="35034B07" w14:textId="77777777" w:rsidR="00A16422" w:rsidRPr="00B8181F" w:rsidRDefault="00A16422" w:rsidP="00B8181F">
      <w:pPr>
        <w:spacing w:line="360" w:lineRule="auto"/>
        <w:contextualSpacing/>
        <w:jc w:val="both"/>
        <w:rPr>
          <w:rFonts w:ascii="Palatino Linotype" w:eastAsia="Palatino Linotype" w:hAnsi="Palatino Linotype" w:cs="Palatino Linotype"/>
          <w:sz w:val="22"/>
          <w:szCs w:val="22"/>
        </w:rPr>
      </w:pPr>
      <w:r w:rsidRPr="00B8181F">
        <w:rPr>
          <w:rFonts w:ascii="Palatino Linotype" w:eastAsia="Palatino Linotype" w:hAnsi="Palatino Linotype" w:cs="Palatino Linotype"/>
          <w:sz w:val="22"/>
          <w:szCs w:val="22"/>
        </w:rPr>
        <w:t xml:space="preserve">Conforme a lo anterior, se considera que el Sujeto Obligado omitió la entrega de la información solicitada, inobservando el principio de congruencia, por lo que se considera que el agravio es </w:t>
      </w:r>
      <w:r w:rsidRPr="00B8181F">
        <w:rPr>
          <w:rFonts w:ascii="Palatino Linotype" w:eastAsia="Palatino Linotype" w:hAnsi="Palatino Linotype" w:cs="Palatino Linotype"/>
          <w:b/>
          <w:bCs/>
          <w:sz w:val="22"/>
          <w:szCs w:val="22"/>
        </w:rPr>
        <w:t>FUNDADO</w:t>
      </w:r>
      <w:r w:rsidRPr="00B8181F">
        <w:rPr>
          <w:rFonts w:ascii="Palatino Linotype" w:eastAsia="Palatino Linotype" w:hAnsi="Palatino Linotype" w:cs="Palatino Linotype"/>
          <w:sz w:val="22"/>
          <w:szCs w:val="22"/>
        </w:rPr>
        <w:t xml:space="preserve">. </w:t>
      </w:r>
    </w:p>
    <w:p w14:paraId="5A620AA2" w14:textId="77777777" w:rsidR="00A16422" w:rsidRPr="00B8181F" w:rsidRDefault="00A16422" w:rsidP="00B8181F">
      <w:pPr>
        <w:spacing w:line="360" w:lineRule="auto"/>
        <w:contextualSpacing/>
        <w:jc w:val="both"/>
        <w:rPr>
          <w:rFonts w:ascii="Palatino Linotype" w:eastAsia="Palatino Linotype" w:hAnsi="Palatino Linotype" w:cs="Palatino Linotype"/>
          <w:sz w:val="22"/>
          <w:szCs w:val="22"/>
        </w:rPr>
      </w:pPr>
    </w:p>
    <w:p w14:paraId="71AD3B21" w14:textId="72715989" w:rsidR="00A16422" w:rsidRPr="00B8181F" w:rsidRDefault="00A16422" w:rsidP="00B8181F">
      <w:pPr>
        <w:spacing w:line="360" w:lineRule="auto"/>
        <w:contextualSpacing/>
        <w:jc w:val="both"/>
        <w:rPr>
          <w:rFonts w:ascii="Palatino Linotype" w:hAnsi="Palatino Linotype" w:cs="Tahoma"/>
          <w:sz w:val="22"/>
          <w:szCs w:val="22"/>
        </w:rPr>
      </w:pPr>
      <w:r w:rsidRPr="00B8181F">
        <w:rPr>
          <w:rFonts w:ascii="Palatino Linotype" w:eastAsia="Palatino Linotype" w:hAnsi="Palatino Linotype" w:cs="Palatino Linotype"/>
          <w:sz w:val="22"/>
          <w:szCs w:val="22"/>
        </w:rPr>
        <w:t xml:space="preserve">Por lo expuesto, este Organismo Garante considera que el Ayuntamiento de Villa del Carbón, deberá realizar una búsqueda exhaustiva y razonable en todas sus unidades administrativas competentes, a efecto de que proporcione los documentos que den cuenta de lo </w:t>
      </w:r>
      <w:r w:rsidR="00332CBD" w:rsidRPr="00B8181F">
        <w:rPr>
          <w:rFonts w:ascii="Palatino Linotype" w:eastAsia="Palatino Linotype" w:hAnsi="Palatino Linotype" w:cs="Palatino Linotype"/>
          <w:sz w:val="22"/>
          <w:szCs w:val="22"/>
        </w:rPr>
        <w:t>solicitado.</w:t>
      </w:r>
    </w:p>
    <w:p w14:paraId="1DC257AD" w14:textId="77777777" w:rsidR="00A16422" w:rsidRPr="00B8181F" w:rsidRDefault="00A16422" w:rsidP="00B8181F">
      <w:pPr>
        <w:spacing w:line="360" w:lineRule="auto"/>
        <w:contextualSpacing/>
        <w:jc w:val="both"/>
        <w:rPr>
          <w:rFonts w:ascii="Palatino Linotype" w:eastAsia="Palatino Linotype" w:hAnsi="Palatino Linotype" w:cs="Palatino Linotype"/>
          <w:sz w:val="22"/>
          <w:szCs w:val="22"/>
        </w:rPr>
      </w:pPr>
    </w:p>
    <w:p w14:paraId="43AA56E6" w14:textId="77777777" w:rsidR="00A16422" w:rsidRPr="00B8181F" w:rsidRDefault="00A16422" w:rsidP="00B8181F">
      <w:pPr>
        <w:spacing w:line="360" w:lineRule="auto"/>
        <w:contextualSpacing/>
        <w:jc w:val="both"/>
        <w:rPr>
          <w:rFonts w:ascii="Palatino Linotype" w:hAnsi="Palatino Linotype"/>
          <w:sz w:val="22"/>
          <w:szCs w:val="22"/>
          <w:lang w:val="es-ES"/>
        </w:rPr>
      </w:pPr>
      <w:r w:rsidRPr="00B8181F">
        <w:rPr>
          <w:rFonts w:ascii="Palatino Linotype" w:hAnsi="Palatino Linotype"/>
          <w:sz w:val="22"/>
          <w:szCs w:val="22"/>
          <w:lang w:val="es-ES"/>
        </w:rPr>
        <w:t>Dicha</w:t>
      </w:r>
      <w:r w:rsidRPr="00B8181F">
        <w:rPr>
          <w:rFonts w:ascii="Palatino Linotype" w:hAnsi="Palatino Linotype" w:cs="Tahoma"/>
          <w:iCs/>
          <w:sz w:val="22"/>
          <w:szCs w:val="22"/>
        </w:rPr>
        <w:t xml:space="preserve"> determinación, </w:t>
      </w:r>
      <w:r w:rsidRPr="00B8181F">
        <w:rPr>
          <w:rFonts w:ascii="Palatino Linotype" w:hAnsi="Palatino Linotype" w:cs="Tahoma"/>
          <w:iCs/>
          <w:sz w:val="22"/>
          <w:szCs w:val="22"/>
          <w:lang w:val="es-ES"/>
        </w:rPr>
        <w:t xml:space="preserve">toma sustento en el artículo 12 de la Ley de la materia, los sujetos obligados sólo están constreñidos a proporcionar la información pública que obre en sus </w:t>
      </w:r>
      <w:r w:rsidRPr="00B8181F">
        <w:rPr>
          <w:rFonts w:ascii="Palatino Linotype" w:hAnsi="Palatino Linotype" w:cs="Tahoma"/>
          <w:iCs/>
          <w:sz w:val="22"/>
          <w:szCs w:val="22"/>
          <w:lang w:val="es-ES"/>
        </w:rPr>
        <w:lastRenderedPageBreak/>
        <w:t>archivos, en el estado en que esta se encuentre; por lo que, la entrega no comprende el procesamiento de la misma, ni presentarla conforme al interés del solicitante, además, que tampoco deberá generarla, resumirla, efectuar cálculos o practicar investigaciones.</w:t>
      </w:r>
    </w:p>
    <w:p w14:paraId="78D4813B" w14:textId="77777777" w:rsidR="00A16422" w:rsidRPr="00B8181F" w:rsidRDefault="00A16422" w:rsidP="00B8181F">
      <w:pPr>
        <w:spacing w:line="360" w:lineRule="auto"/>
        <w:contextualSpacing/>
        <w:jc w:val="both"/>
        <w:rPr>
          <w:rFonts w:ascii="Palatino Linotype" w:eastAsia="Calibri" w:hAnsi="Palatino Linotype" w:cs="Tahoma"/>
          <w:bCs/>
          <w:color w:val="000000"/>
          <w:sz w:val="22"/>
          <w:szCs w:val="22"/>
          <w:lang w:eastAsia="en-US"/>
        </w:rPr>
      </w:pPr>
    </w:p>
    <w:p w14:paraId="0B6E9FCF" w14:textId="77777777" w:rsidR="00A16422" w:rsidRPr="00B8181F" w:rsidRDefault="00A16422" w:rsidP="00B8181F">
      <w:pPr>
        <w:spacing w:line="360" w:lineRule="auto"/>
        <w:contextualSpacing/>
        <w:jc w:val="both"/>
        <w:rPr>
          <w:rFonts w:ascii="Palatino Linotype" w:eastAsiaTheme="minorHAnsi" w:hAnsi="Palatino Linotype" w:cstheme="minorBidi"/>
          <w:color w:val="000000" w:themeColor="text1"/>
          <w:sz w:val="22"/>
          <w:szCs w:val="22"/>
        </w:rPr>
      </w:pPr>
      <w:r w:rsidRPr="00B8181F">
        <w:rPr>
          <w:rFonts w:ascii="Palatino Linotype" w:hAnsi="Palatino Linotype"/>
          <w:sz w:val="22"/>
          <w:szCs w:val="22"/>
        </w:rPr>
        <w:t xml:space="preserve">De esta manera, </w:t>
      </w:r>
      <w:r w:rsidRPr="00B8181F">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B8181F">
        <w:rPr>
          <w:rFonts w:ascii="Palatino Linotype" w:hAnsi="Palatino Linotype"/>
          <w:i/>
          <w:sz w:val="22"/>
          <w:szCs w:val="22"/>
        </w:rPr>
        <w:t>ad hoc</w:t>
      </w:r>
      <w:r w:rsidRPr="00B8181F">
        <w:rPr>
          <w:rFonts w:ascii="Palatino Linotype" w:hAnsi="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DF586EA" w14:textId="77777777" w:rsidR="00A16422" w:rsidRPr="00B8181F" w:rsidRDefault="00A16422" w:rsidP="00B8181F">
      <w:pPr>
        <w:spacing w:line="360" w:lineRule="auto"/>
        <w:contextualSpacing/>
        <w:jc w:val="both"/>
        <w:rPr>
          <w:rFonts w:ascii="Palatino Linotype" w:hAnsi="Palatino Linotype"/>
          <w:sz w:val="22"/>
          <w:szCs w:val="22"/>
        </w:rPr>
      </w:pPr>
    </w:p>
    <w:p w14:paraId="7EE5CC64" w14:textId="5C57BDDB" w:rsidR="00A16422" w:rsidRPr="00B8181F" w:rsidRDefault="00A16422" w:rsidP="00B8181F">
      <w:pPr>
        <w:spacing w:line="360" w:lineRule="auto"/>
        <w:contextualSpacing/>
        <w:jc w:val="both"/>
        <w:rPr>
          <w:rFonts w:ascii="Palatino Linotype" w:hAnsi="Palatino Linotype" w:cs="Tahoma"/>
          <w:bCs/>
          <w:sz w:val="22"/>
          <w:szCs w:val="22"/>
        </w:rPr>
      </w:pPr>
      <w:r w:rsidRPr="00B8181F">
        <w:rPr>
          <w:rFonts w:ascii="Palatino Linotype" w:hAnsi="Palatino Linotype"/>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deberá proporcionar los formatos solicitados para la integración del presupuesto municipal.</w:t>
      </w:r>
      <w:r w:rsidR="00B12B0F">
        <w:rPr>
          <w:rFonts w:ascii="Palatino Linotype" w:hAnsi="Palatino Linotype"/>
          <w:sz w:val="22"/>
          <w:szCs w:val="22"/>
          <w:lang w:val="es-ES"/>
        </w:rPr>
        <w:t xml:space="preserve"> </w:t>
      </w:r>
      <w:r w:rsidRPr="00B8181F">
        <w:rPr>
          <w:rFonts w:ascii="Palatino Linotype" w:hAnsi="Palatino Linotype" w:cs="Tahoma"/>
          <w:bCs/>
          <w:sz w:val="22"/>
          <w:szCs w:val="22"/>
        </w:rPr>
        <w:t>Además, se informa que, de la revisión de los formatos localizados en los Manuales y Guías Metodológicas, no se logró vislumbrar datos clasificables, por lo que, deberá entregarlos en versión íntegra.</w:t>
      </w:r>
    </w:p>
    <w:p w14:paraId="50DF136F" w14:textId="77777777" w:rsidR="00A16422" w:rsidRDefault="00A16422" w:rsidP="00B8181F">
      <w:pPr>
        <w:spacing w:line="360" w:lineRule="auto"/>
        <w:contextualSpacing/>
        <w:jc w:val="both"/>
        <w:rPr>
          <w:rFonts w:ascii="Palatino Linotype" w:eastAsia="Palatino Linotype" w:hAnsi="Palatino Linotype" w:cs="Palatino Linotype"/>
          <w:sz w:val="22"/>
          <w:szCs w:val="22"/>
        </w:rPr>
      </w:pPr>
    </w:p>
    <w:p w14:paraId="1B80830F" w14:textId="2648372F" w:rsidR="00121C94" w:rsidRDefault="00121C94" w:rsidP="00B8181F">
      <w:pPr>
        <w:spacing w:line="360" w:lineRule="auto"/>
        <w:contextualSpacing/>
        <w:jc w:val="both"/>
        <w:rPr>
          <w:rFonts w:ascii="Palatino Linotype" w:eastAsia="Palatino Linotype" w:hAnsi="Palatino Linotype" w:cs="Palatino Linotype"/>
          <w:sz w:val="22"/>
          <w:szCs w:val="22"/>
        </w:rPr>
      </w:pPr>
      <w:r w:rsidRPr="00864A7F">
        <w:rPr>
          <w:rFonts w:ascii="Palatino Linotype" w:eastAsia="Palatino Linotype" w:hAnsi="Palatino Linotype" w:cs="Palatino Linotype"/>
          <w:sz w:val="22"/>
          <w:szCs w:val="22"/>
        </w:rPr>
        <w:t>Ahora bien, para el caso de que no cuente con recursos ejercidos en las acciones programadas y el estado que guarda su cumplimiento, al no haberse erogado algún monto, deberá hacerlo del conocimiento de la parte Recurrente de manera clara y precisa en términos del artículo 19, párrafo segundo, de la Ley de la materia.</w:t>
      </w:r>
    </w:p>
    <w:p w14:paraId="604A16B0" w14:textId="77777777" w:rsidR="00121C94" w:rsidRPr="00B8181F" w:rsidRDefault="00121C94" w:rsidP="00B8181F">
      <w:pPr>
        <w:spacing w:line="360" w:lineRule="auto"/>
        <w:contextualSpacing/>
        <w:jc w:val="both"/>
        <w:rPr>
          <w:rFonts w:ascii="Palatino Linotype" w:eastAsia="Palatino Linotype" w:hAnsi="Palatino Linotype" w:cs="Palatino Linotype"/>
          <w:sz w:val="22"/>
          <w:szCs w:val="22"/>
        </w:rPr>
      </w:pPr>
    </w:p>
    <w:p w14:paraId="18F973F3" w14:textId="77777777" w:rsidR="00A16422" w:rsidRPr="00444D59" w:rsidRDefault="00A16422" w:rsidP="00444D59">
      <w:pPr>
        <w:pStyle w:val="Ttulo2"/>
        <w:rPr>
          <w:rFonts w:ascii="Palatino Linotype" w:hAnsi="Palatino Linotype"/>
          <w:b/>
          <w:bCs/>
          <w:color w:val="auto"/>
          <w:sz w:val="22"/>
          <w:szCs w:val="22"/>
        </w:rPr>
      </w:pPr>
      <w:bookmarkStart w:id="15" w:name="_Toc205480740"/>
      <w:r w:rsidRPr="00444D59">
        <w:rPr>
          <w:rFonts w:ascii="Palatino Linotype" w:hAnsi="Palatino Linotype"/>
          <w:b/>
          <w:bCs/>
          <w:color w:val="auto"/>
          <w:sz w:val="22"/>
          <w:szCs w:val="22"/>
        </w:rPr>
        <w:t>SEXTO. Decisión</w:t>
      </w:r>
      <w:bookmarkEnd w:id="15"/>
    </w:p>
    <w:p w14:paraId="34E1F6F6" w14:textId="77777777" w:rsidR="00A16422" w:rsidRPr="00B8181F" w:rsidRDefault="00A16422" w:rsidP="00B8181F">
      <w:pPr>
        <w:spacing w:line="360" w:lineRule="auto"/>
        <w:contextualSpacing/>
        <w:jc w:val="both"/>
        <w:rPr>
          <w:rFonts w:ascii="Palatino Linotype" w:eastAsia="Palatino Linotype" w:hAnsi="Palatino Linotype" w:cs="Palatino Linotype"/>
          <w:sz w:val="22"/>
          <w:szCs w:val="22"/>
        </w:rPr>
      </w:pPr>
    </w:p>
    <w:p w14:paraId="5BCC125C" w14:textId="5FB32A97" w:rsidR="00A16422" w:rsidRPr="00B8181F" w:rsidRDefault="00A16422" w:rsidP="00B8181F">
      <w:pPr>
        <w:tabs>
          <w:tab w:val="left" w:pos="4962"/>
        </w:tabs>
        <w:spacing w:line="360" w:lineRule="auto"/>
        <w:contextualSpacing/>
        <w:jc w:val="both"/>
        <w:rPr>
          <w:rFonts w:ascii="Palatino Linotype" w:hAnsi="Palatino Linotype" w:cs="Tahoma"/>
          <w:sz w:val="22"/>
          <w:szCs w:val="22"/>
        </w:rPr>
      </w:pPr>
      <w:r w:rsidRPr="00B8181F">
        <w:rPr>
          <w:rFonts w:ascii="Palatino Linotype" w:hAnsi="Palatino Linotype" w:cs="Arial"/>
          <w:sz w:val="22"/>
          <w:szCs w:val="22"/>
        </w:rPr>
        <w:lastRenderedPageBreak/>
        <w:t>C</w:t>
      </w:r>
      <w:r w:rsidRPr="00B8181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8181F">
        <w:rPr>
          <w:rFonts w:ascii="Palatino Linotype" w:hAnsi="Palatino Linotype" w:cs="Tahoma"/>
          <w:b/>
          <w:sz w:val="22"/>
          <w:szCs w:val="22"/>
        </w:rPr>
        <w:t>REVOCAR</w:t>
      </w:r>
      <w:r w:rsidRPr="00B8181F">
        <w:rPr>
          <w:rFonts w:ascii="Palatino Linotype" w:hAnsi="Palatino Linotype" w:cs="Tahoma"/>
          <w:sz w:val="22"/>
          <w:szCs w:val="22"/>
        </w:rPr>
        <w:t xml:space="preserve"> la respuesta otorgada a la solicitud de información </w:t>
      </w:r>
      <w:r w:rsidRPr="00B12B0F">
        <w:rPr>
          <w:rFonts w:ascii="Palatino Linotype" w:hAnsi="Palatino Linotype"/>
          <w:sz w:val="22"/>
          <w:szCs w:val="22"/>
        </w:rPr>
        <w:t>00</w:t>
      </w:r>
      <w:r w:rsidR="0045283B" w:rsidRPr="00B12B0F">
        <w:rPr>
          <w:rFonts w:ascii="Palatino Linotype" w:hAnsi="Palatino Linotype"/>
          <w:sz w:val="22"/>
          <w:szCs w:val="22"/>
        </w:rPr>
        <w:t>135</w:t>
      </w:r>
      <w:r w:rsidRPr="00B12B0F">
        <w:rPr>
          <w:rFonts w:ascii="Palatino Linotype" w:hAnsi="Palatino Linotype"/>
          <w:sz w:val="22"/>
          <w:szCs w:val="22"/>
        </w:rPr>
        <w:t>/VICARBO/IP/2025</w:t>
      </w:r>
      <w:r w:rsidRPr="00B8181F">
        <w:rPr>
          <w:rFonts w:ascii="Palatino Linotype" w:hAnsi="Palatino Linotype"/>
          <w:b/>
          <w:bCs/>
          <w:sz w:val="22"/>
          <w:szCs w:val="22"/>
        </w:rPr>
        <w:t xml:space="preserve"> </w:t>
      </w:r>
      <w:r w:rsidRPr="00B8181F">
        <w:rPr>
          <w:rFonts w:ascii="Palatino Linotype" w:hAnsi="Palatino Linotype" w:cs="Tahoma"/>
          <w:bCs/>
          <w:sz w:val="22"/>
          <w:szCs w:val="22"/>
        </w:rPr>
        <w:t>a efecto de que,</w:t>
      </w:r>
      <w:r w:rsidRPr="00B8181F">
        <w:rPr>
          <w:rFonts w:ascii="Palatino Linotype" w:hAnsi="Palatino Linotype" w:cs="Tahoma"/>
          <w:sz w:val="22"/>
          <w:szCs w:val="22"/>
        </w:rPr>
        <w:t xml:space="preserve"> proporcione de la información solicitada.</w:t>
      </w:r>
    </w:p>
    <w:p w14:paraId="2D0806D6" w14:textId="77777777" w:rsidR="00D276C0" w:rsidRPr="00B8181F" w:rsidRDefault="00D276C0" w:rsidP="00B8181F">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11D09CA5" w14:textId="77777777" w:rsidR="00A16422" w:rsidRPr="00B8181F" w:rsidRDefault="00A16422" w:rsidP="00B8181F">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8181F">
        <w:rPr>
          <w:rFonts w:ascii="Palatino Linotype" w:eastAsia="Calibri" w:hAnsi="Palatino Linotype" w:cs="Tahoma"/>
          <w:b/>
          <w:bCs/>
          <w:iCs/>
          <w:sz w:val="22"/>
          <w:szCs w:val="22"/>
          <w:lang w:val="es-ES" w:eastAsia="en-US"/>
        </w:rPr>
        <w:t>Términos de la Resolución para conocimiento del Particular</w:t>
      </w:r>
    </w:p>
    <w:p w14:paraId="0B1625EF" w14:textId="77777777" w:rsidR="00A16422" w:rsidRPr="00B8181F" w:rsidRDefault="00A16422" w:rsidP="00B8181F">
      <w:pPr>
        <w:spacing w:line="360" w:lineRule="auto"/>
        <w:contextualSpacing/>
        <w:jc w:val="both"/>
        <w:rPr>
          <w:rFonts w:ascii="Palatino Linotype" w:hAnsi="Palatino Linotype"/>
          <w:b/>
          <w:sz w:val="22"/>
          <w:szCs w:val="22"/>
        </w:rPr>
      </w:pPr>
    </w:p>
    <w:p w14:paraId="6BB9F9F1" w14:textId="6B478F1A" w:rsidR="00A16422" w:rsidRPr="00B8181F" w:rsidRDefault="00A16422" w:rsidP="00B8181F">
      <w:pPr>
        <w:spacing w:line="360" w:lineRule="auto"/>
        <w:contextualSpacing/>
        <w:jc w:val="both"/>
        <w:rPr>
          <w:rFonts w:ascii="Palatino Linotype" w:hAnsi="Palatino Linotype"/>
          <w:sz w:val="22"/>
          <w:szCs w:val="22"/>
        </w:rPr>
      </w:pPr>
      <w:bookmarkStart w:id="16" w:name="_heading=h.1fob9te"/>
      <w:bookmarkEnd w:id="16"/>
      <w:r w:rsidRPr="00B8181F">
        <w:rPr>
          <w:rFonts w:ascii="Palatino Linotype" w:hAnsi="Palatino Linotype"/>
          <w:sz w:val="22"/>
          <w:szCs w:val="22"/>
        </w:rPr>
        <w:t xml:space="preserve">Se le hace del conocimiento al ahora Recurrente que, en el presente asunto, se le concede la razón, pues el Sujeto Obligado </w:t>
      </w:r>
      <w:r w:rsidRPr="00B8181F">
        <w:rPr>
          <w:rFonts w:ascii="Palatino Linotype" w:eastAsia="Calibri" w:hAnsi="Palatino Linotype" w:cs="Tahoma"/>
          <w:sz w:val="22"/>
          <w:szCs w:val="22"/>
        </w:rPr>
        <w:t>omitió la entrega de la información solicitada, por lo que deberá proporcionar la información solicitada por el Particular en versión íntegra</w:t>
      </w:r>
      <w:r w:rsidRPr="00B8181F">
        <w:rPr>
          <w:rFonts w:ascii="Palatino Linotype" w:hAnsi="Palatino Linotype"/>
          <w:sz w:val="22"/>
          <w:szCs w:val="22"/>
        </w:rPr>
        <w:t xml:space="preserve">. </w:t>
      </w:r>
      <w:r w:rsidRPr="00B8181F">
        <w:rPr>
          <w:rFonts w:ascii="Palatino Linotype" w:eastAsia="Calibri" w:hAnsi="Palatino Linotype" w:cs="Tahoma"/>
          <w:bCs/>
          <w:iCs/>
          <w:sz w:val="22"/>
          <w:szCs w:val="22"/>
        </w:rPr>
        <w:t xml:space="preserve">La labor de este </w:t>
      </w:r>
      <w:r w:rsidRPr="00B8181F">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58B694A0" w14:textId="77777777" w:rsidR="00A16422" w:rsidRPr="00B8181F" w:rsidRDefault="00A16422" w:rsidP="00B8181F">
      <w:pPr>
        <w:spacing w:line="360" w:lineRule="auto"/>
        <w:contextualSpacing/>
        <w:jc w:val="both"/>
        <w:rPr>
          <w:rFonts w:ascii="Palatino Linotype" w:eastAsia="Calibri" w:hAnsi="Palatino Linotype"/>
          <w:sz w:val="22"/>
          <w:szCs w:val="22"/>
        </w:rPr>
      </w:pPr>
    </w:p>
    <w:p w14:paraId="6F70A48D" w14:textId="77777777" w:rsidR="00A16422" w:rsidRPr="00B8181F" w:rsidRDefault="00A16422" w:rsidP="00B8181F">
      <w:pPr>
        <w:spacing w:line="360" w:lineRule="auto"/>
        <w:contextualSpacing/>
        <w:jc w:val="both"/>
        <w:rPr>
          <w:rFonts w:ascii="Palatino Linotype" w:eastAsia="Calibri" w:hAnsi="Palatino Linotype"/>
          <w:sz w:val="22"/>
          <w:szCs w:val="22"/>
        </w:rPr>
      </w:pPr>
      <w:r w:rsidRPr="00B8181F">
        <w:rPr>
          <w:rFonts w:ascii="Palatino Linotype" w:eastAsia="Calibri" w:hAnsi="Palatino Linotype"/>
          <w:sz w:val="22"/>
          <w:szCs w:val="22"/>
        </w:rPr>
        <w:t>Por lo expuesto y fundado, este Pleno:</w:t>
      </w:r>
    </w:p>
    <w:p w14:paraId="6A8192E2" w14:textId="77777777" w:rsidR="00B50DD9" w:rsidRPr="00B8181F" w:rsidRDefault="00B50DD9" w:rsidP="00B8181F">
      <w:pPr>
        <w:spacing w:line="360" w:lineRule="auto"/>
        <w:contextualSpacing/>
        <w:jc w:val="both"/>
        <w:rPr>
          <w:rFonts w:ascii="Palatino Linotype" w:eastAsia="Calibri" w:hAnsi="Palatino Linotype"/>
          <w:sz w:val="22"/>
          <w:szCs w:val="22"/>
        </w:rPr>
      </w:pPr>
    </w:p>
    <w:p w14:paraId="4F659AAD" w14:textId="77777777" w:rsidR="00A16422" w:rsidRPr="00B8181F" w:rsidRDefault="00A16422" w:rsidP="00B8181F">
      <w:pPr>
        <w:pStyle w:val="Ttulo1"/>
        <w:spacing w:before="0" w:after="0" w:line="360" w:lineRule="auto"/>
        <w:contextualSpacing/>
        <w:jc w:val="center"/>
        <w:rPr>
          <w:rFonts w:ascii="Palatino Linotype" w:eastAsia="Calibri" w:hAnsi="Palatino Linotype"/>
          <w:b/>
          <w:bCs/>
          <w:color w:val="auto"/>
          <w:sz w:val="22"/>
          <w:szCs w:val="22"/>
        </w:rPr>
      </w:pPr>
      <w:bookmarkStart w:id="17" w:name="_Toc205480741"/>
      <w:r w:rsidRPr="00B8181F">
        <w:rPr>
          <w:rFonts w:ascii="Palatino Linotype" w:eastAsia="Calibri" w:hAnsi="Palatino Linotype"/>
          <w:b/>
          <w:bCs/>
          <w:color w:val="auto"/>
          <w:sz w:val="22"/>
          <w:szCs w:val="22"/>
        </w:rPr>
        <w:t>R E S U E L V E</w:t>
      </w:r>
      <w:bookmarkEnd w:id="17"/>
    </w:p>
    <w:p w14:paraId="07EBB698" w14:textId="77777777" w:rsidR="00A16422" w:rsidRPr="00B8181F" w:rsidRDefault="00A16422" w:rsidP="00B8181F">
      <w:pPr>
        <w:spacing w:line="360" w:lineRule="auto"/>
        <w:ind w:right="-28"/>
        <w:contextualSpacing/>
        <w:jc w:val="both"/>
        <w:rPr>
          <w:rFonts w:ascii="Palatino Linotype" w:hAnsi="Palatino Linotype" w:cs="Tahoma"/>
          <w:b/>
          <w:bCs/>
          <w:sz w:val="22"/>
          <w:szCs w:val="22"/>
        </w:rPr>
      </w:pPr>
    </w:p>
    <w:p w14:paraId="78C88D3A" w14:textId="5A467DDC" w:rsidR="00A16422" w:rsidRPr="00B8181F" w:rsidRDefault="00A16422" w:rsidP="00B8181F">
      <w:pPr>
        <w:widowControl w:val="0"/>
        <w:spacing w:line="360" w:lineRule="auto"/>
        <w:contextualSpacing/>
        <w:jc w:val="both"/>
        <w:rPr>
          <w:rFonts w:ascii="Palatino Linotype" w:eastAsia="Calibri" w:hAnsi="Palatino Linotype"/>
          <w:b/>
          <w:bCs/>
          <w:sz w:val="22"/>
          <w:szCs w:val="22"/>
        </w:rPr>
      </w:pPr>
      <w:r w:rsidRPr="00B8181F">
        <w:rPr>
          <w:rFonts w:ascii="Palatino Linotype" w:eastAsia="Calibri" w:hAnsi="Palatino Linotype"/>
          <w:b/>
          <w:bCs/>
          <w:sz w:val="22"/>
          <w:szCs w:val="22"/>
        </w:rPr>
        <w:t xml:space="preserve">PRIMERO. </w:t>
      </w:r>
      <w:r w:rsidRPr="00B8181F">
        <w:rPr>
          <w:rFonts w:ascii="Palatino Linotype" w:eastAsia="Calibri" w:hAnsi="Palatino Linotype"/>
          <w:sz w:val="22"/>
          <w:szCs w:val="22"/>
        </w:rPr>
        <w:t xml:space="preserve">Se </w:t>
      </w:r>
      <w:r w:rsidRPr="00B8181F">
        <w:rPr>
          <w:rFonts w:ascii="Palatino Linotype" w:eastAsia="Calibri" w:hAnsi="Palatino Linotype"/>
          <w:b/>
          <w:bCs/>
          <w:sz w:val="22"/>
          <w:szCs w:val="22"/>
        </w:rPr>
        <w:t xml:space="preserve">REVOCA </w:t>
      </w:r>
      <w:r w:rsidRPr="00B8181F">
        <w:rPr>
          <w:rFonts w:ascii="Palatino Linotype" w:eastAsia="Calibri" w:hAnsi="Palatino Linotype"/>
          <w:sz w:val="22"/>
          <w:szCs w:val="22"/>
        </w:rPr>
        <w:t>la</w:t>
      </w:r>
      <w:r w:rsidRPr="00B8181F">
        <w:rPr>
          <w:rFonts w:ascii="Palatino Linotype" w:eastAsia="Calibri" w:hAnsi="Palatino Linotype"/>
          <w:b/>
          <w:bCs/>
          <w:sz w:val="22"/>
          <w:szCs w:val="22"/>
        </w:rPr>
        <w:t xml:space="preserve"> </w:t>
      </w:r>
      <w:r w:rsidRPr="00B8181F">
        <w:rPr>
          <w:rFonts w:ascii="Palatino Linotype" w:eastAsia="Calibri" w:hAnsi="Palatino Linotype"/>
          <w:sz w:val="22"/>
          <w:szCs w:val="22"/>
        </w:rPr>
        <w:t>respuesta entregada por el Ayuntamiento de Villa del Carbón a la solicitud de información</w:t>
      </w:r>
      <w:r w:rsidRPr="00B8181F">
        <w:rPr>
          <w:rFonts w:ascii="Palatino Linotype" w:eastAsia="Calibri" w:hAnsi="Palatino Linotype"/>
          <w:b/>
          <w:bCs/>
          <w:sz w:val="22"/>
          <w:szCs w:val="22"/>
        </w:rPr>
        <w:t xml:space="preserve"> </w:t>
      </w:r>
      <w:r w:rsidRPr="00B8181F">
        <w:rPr>
          <w:rFonts w:ascii="Palatino Linotype" w:hAnsi="Palatino Linotype"/>
          <w:sz w:val="22"/>
          <w:szCs w:val="22"/>
        </w:rPr>
        <w:t>001</w:t>
      </w:r>
      <w:r w:rsidR="0045283B" w:rsidRPr="00B8181F">
        <w:rPr>
          <w:rFonts w:ascii="Palatino Linotype" w:hAnsi="Palatino Linotype"/>
          <w:sz w:val="22"/>
          <w:szCs w:val="22"/>
        </w:rPr>
        <w:t>35</w:t>
      </w:r>
      <w:r w:rsidRPr="00B8181F">
        <w:rPr>
          <w:rFonts w:ascii="Palatino Linotype" w:hAnsi="Palatino Linotype"/>
          <w:sz w:val="22"/>
          <w:szCs w:val="22"/>
        </w:rPr>
        <w:t>/VICARBO/IP/2025,</w:t>
      </w:r>
      <w:r w:rsidRPr="00B8181F">
        <w:rPr>
          <w:rFonts w:ascii="Palatino Linotype" w:hAnsi="Palatino Linotype"/>
          <w:b/>
          <w:bCs/>
          <w:sz w:val="22"/>
          <w:szCs w:val="22"/>
        </w:rPr>
        <w:t xml:space="preserve"> </w:t>
      </w:r>
      <w:r w:rsidRPr="00B8181F">
        <w:rPr>
          <w:rFonts w:ascii="Palatino Linotype" w:eastAsia="Calibri" w:hAnsi="Palatino Linotype"/>
          <w:sz w:val="22"/>
          <w:szCs w:val="22"/>
        </w:rPr>
        <w:t xml:space="preserve">por resultar </w:t>
      </w:r>
      <w:r w:rsidRPr="00B8181F">
        <w:rPr>
          <w:rFonts w:ascii="Palatino Linotype" w:eastAsia="Calibri" w:hAnsi="Palatino Linotype"/>
          <w:b/>
          <w:bCs/>
          <w:caps/>
          <w:sz w:val="22"/>
          <w:szCs w:val="22"/>
        </w:rPr>
        <w:t>fundadas</w:t>
      </w:r>
      <w:r w:rsidRPr="00B8181F">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40DEEA1F" w14:textId="77777777" w:rsidR="00A16422" w:rsidRPr="00B8181F" w:rsidRDefault="00A16422" w:rsidP="00B8181F">
      <w:pPr>
        <w:widowControl w:val="0"/>
        <w:spacing w:line="360" w:lineRule="auto"/>
        <w:contextualSpacing/>
        <w:jc w:val="both"/>
        <w:rPr>
          <w:rFonts w:ascii="Palatino Linotype" w:eastAsia="Calibri" w:hAnsi="Palatino Linotype"/>
          <w:sz w:val="22"/>
          <w:szCs w:val="22"/>
        </w:rPr>
      </w:pPr>
    </w:p>
    <w:p w14:paraId="42C8916F" w14:textId="3EA0CCA4" w:rsidR="00A16422" w:rsidRPr="00B8181F" w:rsidRDefault="00A16422" w:rsidP="00B8181F">
      <w:pPr>
        <w:spacing w:line="360" w:lineRule="auto"/>
        <w:contextualSpacing/>
        <w:jc w:val="both"/>
        <w:rPr>
          <w:rFonts w:ascii="Palatino Linotype" w:eastAsia="Calibri" w:hAnsi="Palatino Linotype" w:cs="Tahoma"/>
          <w:sz w:val="22"/>
          <w:szCs w:val="22"/>
        </w:rPr>
      </w:pPr>
      <w:r w:rsidRPr="00B8181F">
        <w:rPr>
          <w:rFonts w:ascii="Palatino Linotype" w:hAnsi="Palatino Linotype"/>
          <w:b/>
          <w:sz w:val="22"/>
          <w:szCs w:val="22"/>
        </w:rPr>
        <w:t xml:space="preserve">SEGUNDO. </w:t>
      </w:r>
      <w:r w:rsidRPr="00B8181F">
        <w:rPr>
          <w:rFonts w:ascii="Palatino Linotype" w:hAnsi="Palatino Linotype"/>
          <w:sz w:val="22"/>
          <w:szCs w:val="22"/>
        </w:rPr>
        <w:t xml:space="preserve">Se </w:t>
      </w:r>
      <w:r w:rsidRPr="00B8181F">
        <w:rPr>
          <w:rFonts w:ascii="Palatino Linotype" w:hAnsi="Palatino Linotype"/>
          <w:b/>
          <w:sz w:val="22"/>
          <w:szCs w:val="22"/>
        </w:rPr>
        <w:t>ORDENA</w:t>
      </w:r>
      <w:r w:rsidRPr="00B8181F">
        <w:rPr>
          <w:rFonts w:ascii="Palatino Linotype" w:hAnsi="Palatino Linotype"/>
          <w:sz w:val="22"/>
          <w:szCs w:val="22"/>
        </w:rPr>
        <w:t xml:space="preserve"> al Ente Recurrido</w:t>
      </w:r>
      <w:r w:rsidRPr="00B8181F">
        <w:rPr>
          <w:rFonts w:ascii="Palatino Linotype" w:hAnsi="Palatino Linotype"/>
          <w:b/>
          <w:sz w:val="22"/>
          <w:szCs w:val="22"/>
        </w:rPr>
        <w:t xml:space="preserve">, </w:t>
      </w:r>
      <w:r w:rsidRPr="00B8181F">
        <w:rPr>
          <w:rFonts w:ascii="Palatino Linotype" w:hAnsi="Palatino Linotype" w:cs="Tahoma"/>
          <w:sz w:val="22"/>
          <w:szCs w:val="22"/>
        </w:rPr>
        <w:t xml:space="preserve">a efecto de que </w:t>
      </w:r>
      <w:r w:rsidRPr="00B8181F">
        <w:rPr>
          <w:rFonts w:ascii="Palatino Linotype" w:eastAsia="Calibri" w:hAnsi="Palatino Linotype" w:cs="Tahoma"/>
          <w:sz w:val="22"/>
          <w:szCs w:val="22"/>
          <w:lang w:eastAsia="es-MX"/>
        </w:rPr>
        <w:t>entregue</w:t>
      </w:r>
      <w:r w:rsidRPr="00B8181F">
        <w:rPr>
          <w:rFonts w:ascii="Palatino Linotype" w:eastAsia="Calibri" w:hAnsi="Palatino Linotype" w:cs="Tahoma"/>
          <w:sz w:val="22"/>
          <w:szCs w:val="22"/>
        </w:rPr>
        <w:t xml:space="preserve">, a través del SAIMEX, previa búsqueda exhaustiva y razonable en las unidades administrativas competentes, </w:t>
      </w:r>
      <w:r w:rsidR="0045283B" w:rsidRPr="00B8181F">
        <w:rPr>
          <w:rFonts w:ascii="Palatino Linotype" w:eastAsia="Calibri" w:hAnsi="Palatino Linotype" w:cs="Tahoma"/>
          <w:sz w:val="22"/>
          <w:szCs w:val="22"/>
        </w:rPr>
        <w:t xml:space="preserve">respecto </w:t>
      </w:r>
      <w:r w:rsidR="00B8181F" w:rsidRPr="00B8181F">
        <w:rPr>
          <w:rFonts w:ascii="Palatino Linotype" w:eastAsia="Calibri" w:hAnsi="Palatino Linotype" w:cs="Tahoma"/>
          <w:sz w:val="22"/>
          <w:szCs w:val="22"/>
        </w:rPr>
        <w:t>a</w:t>
      </w:r>
      <w:r w:rsidR="0045283B" w:rsidRPr="00B8181F">
        <w:rPr>
          <w:rFonts w:ascii="Palatino Linotype" w:hAnsi="Palatino Linotype" w:cs="Tahoma"/>
          <w:sz w:val="22"/>
          <w:szCs w:val="22"/>
        </w:rPr>
        <w:t xml:space="preserve"> la Coordinación de Asuntos Indígenas</w:t>
      </w:r>
      <w:r w:rsidR="0045283B" w:rsidRPr="00B8181F">
        <w:rPr>
          <w:rFonts w:ascii="Palatino Linotype" w:hAnsi="Palatino Linotype" w:cs="Tahoma"/>
          <w:bCs/>
          <w:sz w:val="22"/>
          <w:szCs w:val="22"/>
        </w:rPr>
        <w:t xml:space="preserve"> del primero de enero al veintidós de mayo de dos mil veinticinco, </w:t>
      </w:r>
      <w:r w:rsidRPr="00B8181F">
        <w:rPr>
          <w:rFonts w:ascii="Palatino Linotype" w:eastAsia="Calibri" w:hAnsi="Palatino Linotype" w:cs="Tahoma"/>
          <w:sz w:val="22"/>
          <w:szCs w:val="22"/>
        </w:rPr>
        <w:t>los documentos que den cuenta de lo siguiente:</w:t>
      </w:r>
    </w:p>
    <w:p w14:paraId="1D3A7F37" w14:textId="77777777" w:rsidR="0045283B" w:rsidRPr="00B8181F" w:rsidRDefault="0045283B" w:rsidP="00B8181F">
      <w:pPr>
        <w:spacing w:line="360" w:lineRule="auto"/>
        <w:contextualSpacing/>
        <w:jc w:val="both"/>
        <w:rPr>
          <w:rFonts w:ascii="Palatino Linotype" w:eastAsia="Calibri" w:hAnsi="Palatino Linotype" w:cs="Tahoma"/>
          <w:sz w:val="22"/>
          <w:szCs w:val="22"/>
        </w:rPr>
      </w:pPr>
    </w:p>
    <w:p w14:paraId="3C7FBD5E" w14:textId="39D7928F" w:rsidR="0045283B" w:rsidRDefault="0045283B" w:rsidP="00B8181F">
      <w:pPr>
        <w:pStyle w:val="Prrafodelista"/>
        <w:numPr>
          <w:ilvl w:val="0"/>
          <w:numId w:val="14"/>
        </w:numPr>
        <w:spacing w:line="360" w:lineRule="auto"/>
        <w:jc w:val="both"/>
        <w:rPr>
          <w:rFonts w:ascii="Palatino Linotype" w:hAnsi="Palatino Linotype" w:cs="Tahoma"/>
          <w:sz w:val="22"/>
          <w:szCs w:val="22"/>
        </w:rPr>
      </w:pPr>
      <w:r w:rsidRPr="00B8181F">
        <w:rPr>
          <w:rFonts w:ascii="Palatino Linotype" w:hAnsi="Palatino Linotype" w:cs="Tahoma"/>
          <w:bCs/>
          <w:sz w:val="22"/>
          <w:szCs w:val="22"/>
        </w:rPr>
        <w:lastRenderedPageBreak/>
        <w:t xml:space="preserve">Los formatos </w:t>
      </w:r>
      <w:proofErr w:type="spellStart"/>
      <w:r w:rsidRPr="00B8181F">
        <w:rPr>
          <w:rFonts w:ascii="Palatino Linotype" w:hAnsi="Palatino Linotype" w:cs="Tahoma"/>
          <w:bCs/>
          <w:sz w:val="22"/>
          <w:szCs w:val="22"/>
        </w:rPr>
        <w:t>PbRM</w:t>
      </w:r>
      <w:proofErr w:type="spellEnd"/>
      <w:r w:rsidRPr="00B8181F">
        <w:rPr>
          <w:rFonts w:ascii="Palatino Linotype" w:hAnsi="Palatino Linotype" w:cs="Tahoma"/>
          <w:bCs/>
          <w:sz w:val="22"/>
          <w:szCs w:val="22"/>
        </w:rPr>
        <w:t xml:space="preserve">, </w:t>
      </w:r>
      <w:r w:rsidRPr="00B8181F">
        <w:rPr>
          <w:rFonts w:ascii="Palatino Linotype" w:hAnsi="Palatino Linotype" w:cs="Tahoma"/>
          <w:sz w:val="22"/>
          <w:szCs w:val="22"/>
        </w:rPr>
        <w:t xml:space="preserve">en el que se incluya el techo presupuestal asignado; </w:t>
      </w:r>
    </w:p>
    <w:p w14:paraId="561EEAEC" w14:textId="77777777" w:rsidR="00B12B0F" w:rsidRPr="00B8181F" w:rsidRDefault="00B12B0F" w:rsidP="00B12B0F">
      <w:pPr>
        <w:pStyle w:val="Prrafodelista"/>
        <w:spacing w:line="360" w:lineRule="auto"/>
        <w:jc w:val="both"/>
        <w:rPr>
          <w:rFonts w:ascii="Palatino Linotype" w:hAnsi="Palatino Linotype" w:cs="Tahoma"/>
          <w:sz w:val="22"/>
          <w:szCs w:val="22"/>
        </w:rPr>
      </w:pPr>
    </w:p>
    <w:p w14:paraId="7449FA7B" w14:textId="1751B6BA" w:rsidR="0045283B" w:rsidRPr="00B12B0F" w:rsidRDefault="00B12B0F" w:rsidP="00B8181F">
      <w:pPr>
        <w:pStyle w:val="Prrafodelista"/>
        <w:numPr>
          <w:ilvl w:val="0"/>
          <w:numId w:val="14"/>
        </w:numPr>
        <w:spacing w:line="360" w:lineRule="auto"/>
        <w:jc w:val="both"/>
        <w:rPr>
          <w:rFonts w:ascii="Palatino Linotype" w:hAnsi="Palatino Linotype" w:cs="Tahoma"/>
          <w:sz w:val="22"/>
          <w:szCs w:val="22"/>
        </w:rPr>
      </w:pPr>
      <w:r>
        <w:rPr>
          <w:rFonts w:ascii="Palatino Linotype" w:hAnsi="Palatino Linotype" w:cs="Tahoma"/>
          <w:sz w:val="22"/>
          <w:szCs w:val="22"/>
        </w:rPr>
        <w:t>Los r</w:t>
      </w:r>
      <w:r w:rsidR="0045283B" w:rsidRPr="00B12B0F">
        <w:rPr>
          <w:rFonts w:ascii="Palatino Linotype" w:hAnsi="Palatino Linotype" w:cs="Tahoma"/>
          <w:sz w:val="22"/>
          <w:szCs w:val="22"/>
        </w:rPr>
        <w:t xml:space="preserve">ecursos </w:t>
      </w:r>
      <w:r>
        <w:rPr>
          <w:rFonts w:ascii="Palatino Linotype" w:hAnsi="Palatino Linotype" w:cs="Tahoma"/>
          <w:sz w:val="22"/>
          <w:szCs w:val="22"/>
        </w:rPr>
        <w:t>e</w:t>
      </w:r>
      <w:r w:rsidR="0045283B" w:rsidRPr="00B12B0F">
        <w:rPr>
          <w:rFonts w:ascii="Palatino Linotype" w:hAnsi="Palatino Linotype" w:cs="Tahoma"/>
          <w:sz w:val="22"/>
          <w:szCs w:val="22"/>
        </w:rPr>
        <w:t>jercidos en las acciones programadas y</w:t>
      </w:r>
      <w:r>
        <w:rPr>
          <w:rFonts w:ascii="Palatino Linotype" w:hAnsi="Palatino Linotype" w:cs="Tahoma"/>
          <w:sz w:val="22"/>
          <w:szCs w:val="22"/>
        </w:rPr>
        <w:t xml:space="preserve"> e</w:t>
      </w:r>
      <w:r w:rsidR="0045283B" w:rsidRPr="00B12B0F">
        <w:rPr>
          <w:rFonts w:ascii="Palatino Linotype" w:hAnsi="Palatino Linotype" w:cs="Tahoma"/>
          <w:sz w:val="22"/>
          <w:szCs w:val="22"/>
        </w:rPr>
        <w:t>l estado que guarda su cumplimiento.</w:t>
      </w:r>
    </w:p>
    <w:p w14:paraId="4546A3A6" w14:textId="77777777" w:rsidR="00B8181F" w:rsidRPr="00B8181F" w:rsidRDefault="00B8181F" w:rsidP="00B8181F">
      <w:pPr>
        <w:spacing w:line="360" w:lineRule="auto"/>
        <w:contextualSpacing/>
        <w:jc w:val="both"/>
        <w:rPr>
          <w:rFonts w:ascii="Palatino Linotype" w:eastAsia="Calibri" w:hAnsi="Palatino Linotype" w:cs="Tahoma"/>
          <w:b/>
          <w:bCs/>
          <w:iCs/>
          <w:sz w:val="22"/>
          <w:szCs w:val="22"/>
        </w:rPr>
      </w:pPr>
    </w:p>
    <w:p w14:paraId="18953BF2" w14:textId="30297766" w:rsidR="00D276C0" w:rsidRPr="00D276C0" w:rsidRDefault="00D276C0" w:rsidP="00B8181F">
      <w:pPr>
        <w:spacing w:line="360" w:lineRule="auto"/>
        <w:contextualSpacing/>
        <w:jc w:val="both"/>
        <w:rPr>
          <w:rFonts w:ascii="Palatino Linotype" w:eastAsia="Calibri" w:hAnsi="Palatino Linotype" w:cs="Tahoma"/>
          <w:iCs/>
          <w:sz w:val="22"/>
          <w:szCs w:val="22"/>
        </w:rPr>
      </w:pPr>
      <w:r w:rsidRPr="00864A7F">
        <w:rPr>
          <w:rFonts w:ascii="Palatino Linotype" w:eastAsia="Calibri" w:hAnsi="Palatino Linotype" w:cs="Tahoma"/>
          <w:iCs/>
          <w:sz w:val="22"/>
          <w:szCs w:val="22"/>
        </w:rPr>
        <w:t>Para el caso de que no localice información relacionada con el punto 2, deberá hacerlo del conocimiento del Particular de manera clara y precisa.</w:t>
      </w:r>
    </w:p>
    <w:p w14:paraId="626B3057" w14:textId="2E1C8E8B" w:rsidR="00D276C0" w:rsidRDefault="00D276C0" w:rsidP="00B8181F">
      <w:pPr>
        <w:spacing w:line="360" w:lineRule="auto"/>
        <w:contextualSpacing/>
        <w:jc w:val="both"/>
        <w:rPr>
          <w:rFonts w:ascii="Palatino Linotype" w:eastAsia="Calibri" w:hAnsi="Palatino Linotype" w:cs="Tahoma"/>
          <w:b/>
          <w:bCs/>
          <w:iCs/>
          <w:sz w:val="22"/>
          <w:szCs w:val="22"/>
        </w:rPr>
      </w:pPr>
      <w:r>
        <w:rPr>
          <w:rFonts w:ascii="Palatino Linotype" w:eastAsia="Calibri" w:hAnsi="Palatino Linotype" w:cs="Tahoma"/>
          <w:b/>
          <w:bCs/>
          <w:iCs/>
          <w:sz w:val="22"/>
          <w:szCs w:val="22"/>
        </w:rPr>
        <w:t xml:space="preserve"> </w:t>
      </w:r>
    </w:p>
    <w:p w14:paraId="623A7592" w14:textId="27FAFA90" w:rsidR="00A16422" w:rsidRPr="00B8181F" w:rsidRDefault="00A16422" w:rsidP="00B8181F">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TERCERO. NOTIFÍQUESE POR SAIMEX</w:t>
      </w:r>
      <w:r w:rsidRPr="00B8181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7BD57E6" w14:textId="77777777" w:rsidR="00A16422" w:rsidRPr="00B8181F" w:rsidRDefault="00A16422" w:rsidP="00B8181F">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35E2080B" w14:textId="77777777" w:rsidR="00A16422" w:rsidRPr="00B8181F" w:rsidRDefault="00A16422" w:rsidP="00B8181F">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5B60A5" w14:textId="77777777" w:rsidR="00A16422" w:rsidRPr="00B8181F" w:rsidRDefault="00A16422" w:rsidP="00B8181F">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 </w:t>
      </w:r>
    </w:p>
    <w:p w14:paraId="3B975AD4" w14:textId="77777777" w:rsidR="00A16422" w:rsidRPr="00B8181F" w:rsidRDefault="00A16422" w:rsidP="00B8181F">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b/>
          <w:bCs/>
          <w:iCs/>
          <w:sz w:val="22"/>
          <w:szCs w:val="22"/>
        </w:rPr>
        <w:t>CUARTO. NOTIFÍQUESE POR SAIMEX</w:t>
      </w:r>
      <w:r w:rsidRPr="00B8181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845C65" w14:textId="77777777" w:rsidR="00A16422" w:rsidRPr="00B8181F" w:rsidRDefault="00A16422" w:rsidP="00B8181F">
      <w:pPr>
        <w:spacing w:line="360" w:lineRule="auto"/>
        <w:contextualSpacing/>
        <w:jc w:val="both"/>
        <w:rPr>
          <w:rFonts w:ascii="Palatino Linotype" w:eastAsia="Calibri" w:hAnsi="Palatino Linotype" w:cs="Tahoma"/>
          <w:iCs/>
          <w:sz w:val="22"/>
          <w:szCs w:val="22"/>
        </w:rPr>
      </w:pPr>
    </w:p>
    <w:p w14:paraId="48D95F50" w14:textId="0CCDDA8F" w:rsidR="00A16422" w:rsidRPr="00DD2CF2" w:rsidRDefault="00A16422" w:rsidP="00B8181F">
      <w:pPr>
        <w:spacing w:line="360" w:lineRule="auto"/>
        <w:contextualSpacing/>
        <w:jc w:val="both"/>
        <w:rPr>
          <w:rFonts w:ascii="Palatino Linotype" w:eastAsia="Calibri" w:hAnsi="Palatino Linotype" w:cs="Tahoma"/>
          <w:iCs/>
          <w:sz w:val="22"/>
          <w:szCs w:val="22"/>
        </w:rPr>
      </w:pPr>
      <w:r w:rsidRPr="00B8181F">
        <w:rPr>
          <w:rFonts w:ascii="Palatino Linotype" w:eastAsia="Calibri" w:hAnsi="Palatino Linotype" w:cs="Tahoma"/>
          <w:iCs/>
          <w:sz w:val="22"/>
          <w:szCs w:val="22"/>
        </w:rPr>
        <w:t xml:space="preserve">ASÍ LO RESUELVE, POR </w:t>
      </w:r>
      <w:r w:rsidRPr="00B8181F">
        <w:rPr>
          <w:rFonts w:ascii="Palatino Linotype" w:eastAsia="Calibri" w:hAnsi="Palatino Linotype" w:cs="Tahoma"/>
          <w:b/>
          <w:bCs/>
          <w:iCs/>
          <w:sz w:val="22"/>
          <w:szCs w:val="22"/>
        </w:rPr>
        <w:t>UNANIMIDAD</w:t>
      </w:r>
      <w:r w:rsidRPr="00B8181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w:t>
      </w:r>
      <w:r w:rsidR="00C1244B">
        <w:rPr>
          <w:rFonts w:ascii="Palatino Linotype" w:eastAsia="Calibri" w:hAnsi="Palatino Linotype" w:cs="Tahoma"/>
          <w:iCs/>
          <w:sz w:val="22"/>
          <w:szCs w:val="22"/>
        </w:rPr>
        <w:t>S</w:t>
      </w:r>
      <w:r w:rsidRPr="00B8181F">
        <w:rPr>
          <w:rFonts w:ascii="Palatino Linotype" w:eastAsia="Calibri" w:hAnsi="Palatino Linotype" w:cs="Tahoma"/>
          <w:iCs/>
          <w:sz w:val="22"/>
          <w:szCs w:val="22"/>
        </w:rPr>
        <w:t xml:space="preserve">IMA </w:t>
      </w:r>
      <w:r w:rsidR="0045283B" w:rsidRPr="00B8181F">
        <w:rPr>
          <w:rFonts w:ascii="Palatino Linotype" w:eastAsia="Calibri" w:hAnsi="Palatino Linotype" w:cs="Tahoma"/>
          <w:iCs/>
          <w:sz w:val="22"/>
          <w:szCs w:val="22"/>
        </w:rPr>
        <w:t>S</w:t>
      </w:r>
      <w:r w:rsidR="009F35CD" w:rsidRPr="00B8181F">
        <w:rPr>
          <w:rFonts w:ascii="Palatino Linotype" w:eastAsia="Calibri" w:hAnsi="Palatino Linotype" w:cs="Tahoma"/>
          <w:iCs/>
          <w:sz w:val="22"/>
          <w:szCs w:val="22"/>
        </w:rPr>
        <w:t>ÉPTIMA</w:t>
      </w:r>
      <w:r w:rsidR="0045283B" w:rsidRPr="00B8181F">
        <w:rPr>
          <w:rFonts w:ascii="Palatino Linotype" w:eastAsia="Calibri" w:hAnsi="Palatino Linotype" w:cs="Tahoma"/>
          <w:iCs/>
          <w:sz w:val="22"/>
          <w:szCs w:val="22"/>
        </w:rPr>
        <w:t xml:space="preserve"> </w:t>
      </w:r>
      <w:r w:rsidRPr="00B8181F">
        <w:rPr>
          <w:rFonts w:ascii="Palatino Linotype" w:eastAsia="Calibri" w:hAnsi="Palatino Linotype" w:cs="Tahoma"/>
          <w:iCs/>
          <w:sz w:val="22"/>
          <w:szCs w:val="22"/>
        </w:rPr>
        <w:t xml:space="preserve">SESIÓN ORDINARIA, CELEBRADA EL </w:t>
      </w:r>
      <w:r w:rsidR="009F35CD" w:rsidRPr="00B8181F">
        <w:rPr>
          <w:rFonts w:ascii="Palatino Linotype" w:eastAsia="Calibri" w:hAnsi="Palatino Linotype" w:cs="Tahoma"/>
          <w:iCs/>
          <w:sz w:val="22"/>
          <w:szCs w:val="22"/>
        </w:rPr>
        <w:t>SEIS DE AGOSTO</w:t>
      </w:r>
      <w:r w:rsidRPr="00B8181F">
        <w:rPr>
          <w:rFonts w:ascii="Palatino Linotype" w:eastAsia="Calibri" w:hAnsi="Palatino Linotype" w:cs="Tahoma"/>
          <w:iCs/>
          <w:sz w:val="22"/>
          <w:szCs w:val="22"/>
        </w:rPr>
        <w:t xml:space="preserve"> DE DOS MIL VEINTICINCO, ANTE EL SECRETARIO TÉCNICO DEL PLENO, ALEXIS TAPIA RAMÍREZ.</w:t>
      </w:r>
    </w:p>
    <w:p w14:paraId="562A6AFC" w14:textId="77777777" w:rsidR="00A16422" w:rsidRPr="00DD2CF2" w:rsidRDefault="00A16422" w:rsidP="00B8181F">
      <w:pPr>
        <w:spacing w:line="360" w:lineRule="auto"/>
        <w:contextualSpacing/>
        <w:jc w:val="both"/>
        <w:rPr>
          <w:rFonts w:ascii="Palatino Linotype" w:eastAsia="Calibri" w:hAnsi="Palatino Linotype" w:cs="Tahoma"/>
          <w:color w:val="000000"/>
          <w:sz w:val="22"/>
          <w:szCs w:val="22"/>
          <w:lang w:val="es-ES" w:eastAsia="es-MX"/>
        </w:rPr>
      </w:pPr>
    </w:p>
    <w:p w14:paraId="3457271B" w14:textId="77777777" w:rsidR="00A16422" w:rsidRPr="00DD2CF2" w:rsidRDefault="00A16422" w:rsidP="00B8181F">
      <w:pPr>
        <w:spacing w:line="360" w:lineRule="auto"/>
        <w:contextualSpacing/>
        <w:rPr>
          <w:rFonts w:ascii="Palatino Linotype" w:hAnsi="Palatino Linotype"/>
          <w:sz w:val="22"/>
          <w:szCs w:val="22"/>
        </w:rPr>
      </w:pPr>
    </w:p>
    <w:p w14:paraId="0E83FD52" w14:textId="77777777" w:rsidR="00A16422" w:rsidRPr="00DD2CF2" w:rsidRDefault="00A16422" w:rsidP="00B8181F">
      <w:pPr>
        <w:spacing w:line="360" w:lineRule="auto"/>
        <w:contextualSpacing/>
        <w:rPr>
          <w:rFonts w:ascii="Palatino Linotype" w:hAnsi="Palatino Linotype"/>
          <w:sz w:val="22"/>
          <w:szCs w:val="22"/>
        </w:rPr>
      </w:pPr>
    </w:p>
    <w:p w14:paraId="7899E357" w14:textId="77777777" w:rsidR="00A16422" w:rsidRPr="00DD2CF2" w:rsidRDefault="00A16422" w:rsidP="00B8181F">
      <w:pPr>
        <w:spacing w:line="360" w:lineRule="auto"/>
        <w:contextualSpacing/>
        <w:rPr>
          <w:rFonts w:ascii="Palatino Linotype" w:hAnsi="Palatino Linotype"/>
          <w:sz w:val="22"/>
          <w:szCs w:val="22"/>
        </w:rPr>
      </w:pPr>
    </w:p>
    <w:p w14:paraId="42B3756B" w14:textId="77777777" w:rsidR="00A16422" w:rsidRPr="00DD2CF2" w:rsidRDefault="00A16422" w:rsidP="00B8181F">
      <w:pPr>
        <w:spacing w:line="360" w:lineRule="auto"/>
        <w:contextualSpacing/>
        <w:rPr>
          <w:rFonts w:ascii="Palatino Linotype" w:hAnsi="Palatino Linotype"/>
          <w:sz w:val="22"/>
          <w:szCs w:val="22"/>
        </w:rPr>
      </w:pPr>
    </w:p>
    <w:p w14:paraId="79AC6A9A" w14:textId="77777777" w:rsidR="00A16422" w:rsidRPr="00DD2CF2" w:rsidRDefault="00A16422" w:rsidP="00B8181F">
      <w:pPr>
        <w:spacing w:line="360" w:lineRule="auto"/>
        <w:contextualSpacing/>
        <w:rPr>
          <w:rFonts w:ascii="Palatino Linotype" w:hAnsi="Palatino Linotype"/>
          <w:sz w:val="22"/>
          <w:szCs w:val="22"/>
        </w:rPr>
      </w:pPr>
    </w:p>
    <w:p w14:paraId="668282E4" w14:textId="77777777" w:rsidR="00A16422" w:rsidRPr="00DD2CF2" w:rsidRDefault="00A16422" w:rsidP="00B8181F">
      <w:pPr>
        <w:spacing w:line="360" w:lineRule="auto"/>
        <w:contextualSpacing/>
        <w:rPr>
          <w:rFonts w:ascii="Palatino Linotype" w:hAnsi="Palatino Linotype"/>
          <w:sz w:val="22"/>
          <w:szCs w:val="22"/>
        </w:rPr>
      </w:pPr>
    </w:p>
    <w:p w14:paraId="37E442DD" w14:textId="77777777" w:rsidR="00A16422" w:rsidRPr="00DD2CF2" w:rsidRDefault="00A16422" w:rsidP="00B8181F">
      <w:pPr>
        <w:spacing w:line="360" w:lineRule="auto"/>
        <w:contextualSpacing/>
        <w:rPr>
          <w:rFonts w:ascii="Palatino Linotype" w:hAnsi="Palatino Linotype"/>
          <w:sz w:val="22"/>
          <w:szCs w:val="22"/>
        </w:rPr>
      </w:pPr>
    </w:p>
    <w:p w14:paraId="4AE5F08D" w14:textId="77777777" w:rsidR="00A16422" w:rsidRPr="00DD2CF2" w:rsidRDefault="00A16422" w:rsidP="00B8181F">
      <w:pPr>
        <w:spacing w:line="360" w:lineRule="auto"/>
        <w:contextualSpacing/>
        <w:rPr>
          <w:rFonts w:ascii="Palatino Linotype" w:hAnsi="Palatino Linotype"/>
          <w:sz w:val="22"/>
          <w:szCs w:val="22"/>
        </w:rPr>
      </w:pPr>
    </w:p>
    <w:p w14:paraId="724A2A03" w14:textId="77777777" w:rsidR="00A16422" w:rsidRPr="00DD2CF2" w:rsidRDefault="00A16422" w:rsidP="00B8181F">
      <w:pPr>
        <w:spacing w:line="360" w:lineRule="auto"/>
        <w:contextualSpacing/>
        <w:rPr>
          <w:rFonts w:ascii="Palatino Linotype" w:hAnsi="Palatino Linotype"/>
          <w:sz w:val="22"/>
          <w:szCs w:val="22"/>
        </w:rPr>
      </w:pPr>
    </w:p>
    <w:p w14:paraId="223A984C" w14:textId="77777777" w:rsidR="00A16422" w:rsidRPr="00DD2CF2" w:rsidRDefault="00A16422" w:rsidP="00B8181F">
      <w:pPr>
        <w:spacing w:line="360" w:lineRule="auto"/>
        <w:contextualSpacing/>
        <w:rPr>
          <w:rFonts w:ascii="Palatino Linotype" w:hAnsi="Palatino Linotype"/>
          <w:sz w:val="22"/>
          <w:szCs w:val="22"/>
        </w:rPr>
      </w:pPr>
    </w:p>
    <w:p w14:paraId="3CF161F8" w14:textId="77777777" w:rsidR="00A16422" w:rsidRPr="00DD2CF2" w:rsidRDefault="00A16422" w:rsidP="00B8181F">
      <w:pPr>
        <w:spacing w:line="360" w:lineRule="auto"/>
        <w:contextualSpacing/>
        <w:rPr>
          <w:rFonts w:ascii="Palatino Linotype" w:hAnsi="Palatino Linotype"/>
          <w:sz w:val="22"/>
          <w:szCs w:val="22"/>
        </w:rPr>
      </w:pPr>
    </w:p>
    <w:p w14:paraId="13483014" w14:textId="77777777" w:rsidR="00A16422" w:rsidRPr="00DD2CF2" w:rsidRDefault="00A16422" w:rsidP="00B8181F">
      <w:pPr>
        <w:spacing w:line="360" w:lineRule="auto"/>
        <w:contextualSpacing/>
        <w:rPr>
          <w:rFonts w:ascii="Palatino Linotype" w:hAnsi="Palatino Linotype"/>
          <w:sz w:val="22"/>
          <w:szCs w:val="22"/>
        </w:rPr>
      </w:pPr>
    </w:p>
    <w:p w14:paraId="53691F98" w14:textId="77777777" w:rsidR="00A16422" w:rsidRPr="00DD2CF2" w:rsidRDefault="00A16422" w:rsidP="00B8181F">
      <w:pPr>
        <w:spacing w:line="360" w:lineRule="auto"/>
        <w:contextualSpacing/>
        <w:rPr>
          <w:rFonts w:ascii="Palatino Linotype" w:hAnsi="Palatino Linotype"/>
          <w:sz w:val="22"/>
          <w:szCs w:val="22"/>
        </w:rPr>
      </w:pPr>
    </w:p>
    <w:p w14:paraId="02EDEA22" w14:textId="77777777" w:rsidR="00A16422" w:rsidRPr="00DD2CF2" w:rsidRDefault="00A16422" w:rsidP="00B8181F">
      <w:pPr>
        <w:spacing w:line="360" w:lineRule="auto"/>
        <w:contextualSpacing/>
        <w:rPr>
          <w:rFonts w:ascii="Palatino Linotype" w:hAnsi="Palatino Linotype"/>
          <w:sz w:val="22"/>
          <w:szCs w:val="22"/>
        </w:rPr>
      </w:pPr>
    </w:p>
    <w:p w14:paraId="7C3BBAA4" w14:textId="77777777" w:rsidR="00A16422" w:rsidRPr="00DD2CF2" w:rsidRDefault="00A16422" w:rsidP="00B8181F">
      <w:pPr>
        <w:spacing w:line="360" w:lineRule="auto"/>
        <w:contextualSpacing/>
        <w:rPr>
          <w:rFonts w:ascii="Palatino Linotype" w:hAnsi="Palatino Linotype"/>
          <w:sz w:val="22"/>
          <w:szCs w:val="22"/>
        </w:rPr>
      </w:pPr>
    </w:p>
    <w:p w14:paraId="1A7430CD" w14:textId="77777777" w:rsidR="00A16422" w:rsidRPr="00DD2CF2" w:rsidRDefault="00A16422" w:rsidP="00B8181F">
      <w:pPr>
        <w:spacing w:line="360" w:lineRule="auto"/>
        <w:contextualSpacing/>
        <w:rPr>
          <w:rFonts w:ascii="Palatino Linotype" w:hAnsi="Palatino Linotype"/>
          <w:sz w:val="22"/>
          <w:szCs w:val="22"/>
        </w:rPr>
      </w:pPr>
    </w:p>
    <w:p w14:paraId="7680DF64" w14:textId="77777777" w:rsidR="00A16422" w:rsidRPr="00DD2CF2" w:rsidRDefault="00A16422" w:rsidP="00B8181F">
      <w:pPr>
        <w:spacing w:line="360" w:lineRule="auto"/>
        <w:contextualSpacing/>
        <w:rPr>
          <w:rFonts w:ascii="Palatino Linotype" w:hAnsi="Palatino Linotype"/>
          <w:sz w:val="22"/>
          <w:szCs w:val="22"/>
        </w:rPr>
      </w:pPr>
    </w:p>
    <w:p w14:paraId="49070500" w14:textId="77777777" w:rsidR="00A16422" w:rsidRPr="00DD2CF2" w:rsidRDefault="00A16422" w:rsidP="00B8181F">
      <w:pPr>
        <w:spacing w:line="360" w:lineRule="auto"/>
        <w:contextualSpacing/>
        <w:rPr>
          <w:rFonts w:ascii="Palatino Linotype" w:hAnsi="Palatino Linotype"/>
          <w:sz w:val="22"/>
          <w:szCs w:val="22"/>
        </w:rPr>
      </w:pPr>
    </w:p>
    <w:p w14:paraId="2D57ACA4" w14:textId="77777777" w:rsidR="00A16422" w:rsidRPr="00DD2CF2" w:rsidRDefault="00A16422" w:rsidP="00B8181F">
      <w:pPr>
        <w:spacing w:line="360" w:lineRule="auto"/>
        <w:contextualSpacing/>
        <w:rPr>
          <w:rFonts w:ascii="Palatino Linotype" w:hAnsi="Palatino Linotype"/>
          <w:sz w:val="22"/>
          <w:szCs w:val="22"/>
        </w:rPr>
      </w:pPr>
    </w:p>
    <w:p w14:paraId="1786C8AD" w14:textId="77777777" w:rsidR="00A16422" w:rsidRPr="00DD2CF2" w:rsidRDefault="00A16422" w:rsidP="00B8181F">
      <w:pPr>
        <w:spacing w:line="360" w:lineRule="auto"/>
        <w:contextualSpacing/>
        <w:rPr>
          <w:rFonts w:ascii="Palatino Linotype" w:hAnsi="Palatino Linotype"/>
          <w:sz w:val="22"/>
          <w:szCs w:val="22"/>
        </w:rPr>
      </w:pPr>
    </w:p>
    <w:p w14:paraId="28CD580F" w14:textId="77777777" w:rsidR="00A16422" w:rsidRPr="00DD2CF2" w:rsidRDefault="00A16422" w:rsidP="00B8181F">
      <w:pPr>
        <w:spacing w:line="360" w:lineRule="auto"/>
        <w:contextualSpacing/>
        <w:rPr>
          <w:rFonts w:ascii="Palatino Linotype" w:hAnsi="Palatino Linotype"/>
          <w:sz w:val="22"/>
          <w:szCs w:val="22"/>
        </w:rPr>
      </w:pPr>
    </w:p>
    <w:p w14:paraId="68B80EAA" w14:textId="77777777" w:rsidR="00A16422" w:rsidRPr="00DD2CF2" w:rsidRDefault="00A16422" w:rsidP="00B8181F">
      <w:pPr>
        <w:spacing w:line="360" w:lineRule="auto"/>
        <w:contextualSpacing/>
        <w:rPr>
          <w:rFonts w:ascii="Palatino Linotype" w:hAnsi="Palatino Linotype"/>
          <w:sz w:val="22"/>
          <w:szCs w:val="22"/>
        </w:rPr>
      </w:pPr>
    </w:p>
    <w:p w14:paraId="78177A14" w14:textId="77777777" w:rsidR="00A16422" w:rsidRPr="00DD2CF2" w:rsidRDefault="00A16422" w:rsidP="00B8181F">
      <w:pPr>
        <w:spacing w:line="360" w:lineRule="auto"/>
        <w:contextualSpacing/>
        <w:rPr>
          <w:rFonts w:ascii="Palatino Linotype" w:hAnsi="Palatino Linotype"/>
          <w:sz w:val="22"/>
          <w:szCs w:val="22"/>
        </w:rPr>
      </w:pPr>
    </w:p>
    <w:p w14:paraId="37B347CE" w14:textId="77777777" w:rsidR="00A16422" w:rsidRPr="00DD2CF2" w:rsidRDefault="00A16422" w:rsidP="00B8181F">
      <w:pPr>
        <w:spacing w:line="360" w:lineRule="auto"/>
        <w:contextualSpacing/>
        <w:rPr>
          <w:rFonts w:ascii="Palatino Linotype" w:hAnsi="Palatino Linotype"/>
          <w:sz w:val="22"/>
          <w:szCs w:val="22"/>
        </w:rPr>
      </w:pPr>
    </w:p>
    <w:p w14:paraId="73D66B18" w14:textId="77777777" w:rsidR="00A16422" w:rsidRPr="00DD2CF2" w:rsidRDefault="00A16422" w:rsidP="00B8181F">
      <w:pPr>
        <w:spacing w:line="360" w:lineRule="auto"/>
        <w:contextualSpacing/>
        <w:rPr>
          <w:rFonts w:ascii="Palatino Linotype" w:hAnsi="Palatino Linotype"/>
          <w:sz w:val="22"/>
          <w:szCs w:val="22"/>
        </w:rPr>
      </w:pPr>
    </w:p>
    <w:p w14:paraId="03D77FF1" w14:textId="77777777" w:rsidR="00A16422" w:rsidRPr="00DD2CF2" w:rsidRDefault="00A16422" w:rsidP="00B8181F">
      <w:pPr>
        <w:spacing w:line="360" w:lineRule="auto"/>
        <w:contextualSpacing/>
        <w:rPr>
          <w:rFonts w:ascii="Palatino Linotype" w:hAnsi="Palatino Linotype"/>
          <w:sz w:val="22"/>
          <w:szCs w:val="22"/>
        </w:rPr>
      </w:pPr>
    </w:p>
    <w:p w14:paraId="177BAFC3" w14:textId="77777777" w:rsidR="00B01980" w:rsidRDefault="00B01980" w:rsidP="00B8181F">
      <w:pPr>
        <w:spacing w:line="360" w:lineRule="auto"/>
        <w:contextualSpacing/>
      </w:pPr>
    </w:p>
    <w:sectPr w:rsidR="00B01980" w:rsidSect="00A16422">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6F2B" w14:textId="77777777" w:rsidR="00890BD1" w:rsidRDefault="00890BD1" w:rsidP="00A16422">
      <w:r>
        <w:separator/>
      </w:r>
    </w:p>
  </w:endnote>
  <w:endnote w:type="continuationSeparator" w:id="0">
    <w:p w14:paraId="6758CE92" w14:textId="77777777" w:rsidR="00890BD1" w:rsidRDefault="00890BD1" w:rsidP="00A1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6F1026F6" w14:textId="77777777" w:rsidR="000F4940" w:rsidRDefault="00360DC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59B390F8" w14:textId="77777777" w:rsidR="000F4940" w:rsidRDefault="000F49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59DA3552" w14:textId="77777777" w:rsidR="000F4940" w:rsidRDefault="00360DC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4011B">
              <w:rPr>
                <w:rFonts w:ascii="Palatino Linotype" w:hAnsi="Palatino Linotype"/>
                <w:b/>
                <w:bCs/>
                <w:noProof/>
                <w:sz w:val="22"/>
                <w:szCs w:val="22"/>
              </w:rPr>
              <w:t>23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4011B">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233C6D79" w14:textId="77777777" w:rsidR="000F4940" w:rsidRDefault="000F49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CEAE45B" w14:textId="77777777" w:rsidR="000F4940" w:rsidRPr="00AA25BA" w:rsidRDefault="00360DC3">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4011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4011B">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1A47528C" w14:textId="77777777" w:rsidR="000F4940" w:rsidRDefault="000F49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8435" w14:textId="77777777" w:rsidR="00890BD1" w:rsidRDefault="00890BD1" w:rsidP="00A16422">
      <w:r>
        <w:separator/>
      </w:r>
    </w:p>
  </w:footnote>
  <w:footnote w:type="continuationSeparator" w:id="0">
    <w:p w14:paraId="74CE13E9" w14:textId="77777777" w:rsidR="00890BD1" w:rsidRDefault="00890BD1" w:rsidP="00A1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7042D8" w14:paraId="2C832E81" w14:textId="77777777" w:rsidTr="001A342E">
      <w:trPr>
        <w:trHeight w:val="1435"/>
      </w:trPr>
      <w:tc>
        <w:tcPr>
          <w:tcW w:w="2972" w:type="dxa"/>
        </w:tcPr>
        <w:p w14:paraId="42DBC3FF" w14:textId="77777777" w:rsidR="000F4940" w:rsidRDefault="000F4940"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7042D8" w14:paraId="40883BE0" w14:textId="77777777" w:rsidTr="001A342E">
            <w:trPr>
              <w:trHeight w:val="144"/>
            </w:trPr>
            <w:tc>
              <w:tcPr>
                <w:tcW w:w="2447" w:type="dxa"/>
                <w:hideMark/>
              </w:tcPr>
              <w:p w14:paraId="03FAF50B" w14:textId="77777777" w:rsidR="000F4940" w:rsidRPr="008A245E" w:rsidRDefault="00360DC3"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4D974D95" w14:textId="77777777" w:rsidR="000F4940" w:rsidRPr="008A245E" w:rsidRDefault="00360DC3"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7042D8" w14:paraId="4DDB2704" w14:textId="77777777" w:rsidTr="001A342E">
            <w:trPr>
              <w:trHeight w:val="283"/>
            </w:trPr>
            <w:tc>
              <w:tcPr>
                <w:tcW w:w="2447" w:type="dxa"/>
                <w:hideMark/>
              </w:tcPr>
              <w:p w14:paraId="456DC5AF" w14:textId="77777777" w:rsidR="000F4940" w:rsidRPr="008A245E" w:rsidRDefault="00360DC3"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F45A517" w14:textId="77777777" w:rsidR="000F4940" w:rsidRPr="008A245E" w:rsidRDefault="00360DC3"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7042D8" w14:paraId="2B3A3D3E" w14:textId="77777777" w:rsidTr="001A342E">
            <w:trPr>
              <w:trHeight w:val="283"/>
            </w:trPr>
            <w:tc>
              <w:tcPr>
                <w:tcW w:w="2447" w:type="dxa"/>
                <w:hideMark/>
              </w:tcPr>
              <w:p w14:paraId="6B749F1D" w14:textId="77777777" w:rsidR="000F4940" w:rsidRPr="008A245E" w:rsidRDefault="00360DC3"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409137E" w14:textId="77777777" w:rsidR="000F4940" w:rsidRPr="008A245E" w:rsidRDefault="00360DC3"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B3DC1A3" w14:textId="77777777" w:rsidR="000F4940" w:rsidRPr="008A245E" w:rsidRDefault="000F4940" w:rsidP="001A342E">
                <w:pPr>
                  <w:tabs>
                    <w:tab w:val="right" w:pos="8838"/>
                  </w:tabs>
                  <w:ind w:left="-74" w:right="-105"/>
                  <w:jc w:val="both"/>
                  <w:rPr>
                    <w:rFonts w:ascii="Palatino Linotype" w:eastAsia="Calibri" w:hAnsi="Palatino Linotype" w:cs="Tahoma"/>
                    <w:b/>
                    <w:sz w:val="22"/>
                    <w:szCs w:val="22"/>
                    <w:lang w:eastAsia="en-US"/>
                  </w:rPr>
                </w:pPr>
              </w:p>
            </w:tc>
          </w:tr>
        </w:tbl>
        <w:p w14:paraId="744C41BF" w14:textId="77777777" w:rsidR="000F4940" w:rsidRDefault="000F4940" w:rsidP="001A342E">
          <w:pPr>
            <w:tabs>
              <w:tab w:val="right" w:pos="8838"/>
            </w:tabs>
            <w:spacing w:line="256" w:lineRule="auto"/>
            <w:ind w:left="-28"/>
            <w:jc w:val="both"/>
            <w:rPr>
              <w:rFonts w:ascii="Arial" w:eastAsia="Calibri" w:hAnsi="Arial" w:cs="Arial"/>
              <w:b/>
              <w:sz w:val="22"/>
              <w:szCs w:val="22"/>
              <w:lang w:eastAsia="en-US"/>
            </w:rPr>
          </w:pPr>
        </w:p>
      </w:tc>
    </w:tr>
  </w:tbl>
  <w:p w14:paraId="3F9BD6EA" w14:textId="77777777" w:rsidR="000F4940" w:rsidRDefault="00360DC3">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42C3E652" wp14:editId="7067ADCE">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7042D8" w14:paraId="69C30AD8" w14:textId="77777777" w:rsidTr="001A342E">
      <w:trPr>
        <w:trHeight w:val="1435"/>
      </w:trPr>
      <w:tc>
        <w:tcPr>
          <w:tcW w:w="1985" w:type="dxa"/>
        </w:tcPr>
        <w:p w14:paraId="5483A5C1" w14:textId="77777777" w:rsidR="000F4940" w:rsidRDefault="000F4940" w:rsidP="001A342E">
          <w:pPr>
            <w:tabs>
              <w:tab w:val="right" w:pos="4273"/>
            </w:tabs>
            <w:spacing w:line="256" w:lineRule="auto"/>
            <w:rPr>
              <w:rFonts w:ascii="Garamond" w:eastAsia="Calibri" w:hAnsi="Garamond"/>
              <w:sz w:val="22"/>
              <w:szCs w:val="22"/>
              <w:lang w:eastAsia="en-US"/>
            </w:rPr>
          </w:pPr>
        </w:p>
      </w:tc>
      <w:tc>
        <w:tcPr>
          <w:tcW w:w="7371" w:type="dxa"/>
          <w:hideMark/>
        </w:tcPr>
        <w:p w14:paraId="597AC8EF" w14:textId="77777777" w:rsidR="000F4940" w:rsidRPr="007D2BD0" w:rsidRDefault="000F4940">
          <w:pPr>
            <w:rPr>
              <w:sz w:val="28"/>
              <w:szCs w:val="28"/>
            </w:rPr>
          </w:pPr>
        </w:p>
        <w:tbl>
          <w:tblPr>
            <w:tblStyle w:val="Tablaconcuadrcula"/>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28"/>
            <w:gridCol w:w="3543"/>
            <w:gridCol w:w="287"/>
          </w:tblGrid>
          <w:tr w:rsidR="007042D8" w14:paraId="7C69C075" w14:textId="77777777" w:rsidTr="00A16422">
            <w:trPr>
              <w:trHeight w:val="244"/>
            </w:trPr>
            <w:tc>
              <w:tcPr>
                <w:tcW w:w="3428" w:type="dxa"/>
                <w:hideMark/>
              </w:tcPr>
              <w:p w14:paraId="567B6146" w14:textId="59624ED8" w:rsidR="000F4940" w:rsidRPr="008A245E" w:rsidRDefault="00360DC3"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543" w:type="dxa"/>
                <w:hideMark/>
              </w:tcPr>
              <w:p w14:paraId="564F9C36" w14:textId="749D58BD" w:rsidR="000F4940" w:rsidRPr="008A245E" w:rsidRDefault="00360DC3"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A16422">
                  <w:rPr>
                    <w:rFonts w:ascii="Palatino Linotype" w:eastAsia="Calibri" w:hAnsi="Palatino Linotype" w:cs="Tahoma"/>
                    <w:bCs/>
                    <w:sz w:val="22"/>
                    <w:szCs w:val="22"/>
                    <w:lang w:val="es-MX" w:eastAsia="en-US"/>
                  </w:rPr>
                  <w:t>678</w:t>
                </w:r>
                <w:r>
                  <w:rPr>
                    <w:rFonts w:ascii="Palatino Linotype" w:eastAsia="Calibri" w:hAnsi="Palatino Linotype" w:cs="Tahoma"/>
                    <w:bCs/>
                    <w:sz w:val="22"/>
                    <w:szCs w:val="22"/>
                    <w:lang w:val="es-MX" w:eastAsia="en-US"/>
                  </w:rPr>
                  <w:t>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87" w:type="dxa"/>
              </w:tcPr>
              <w:p w14:paraId="47289F08" w14:textId="77777777" w:rsidR="000F4940" w:rsidRDefault="000F4940" w:rsidP="001A342E">
                <w:pPr>
                  <w:tabs>
                    <w:tab w:val="right" w:pos="8838"/>
                  </w:tabs>
                  <w:ind w:left="-114" w:right="-105"/>
                  <w:jc w:val="both"/>
                  <w:rPr>
                    <w:rFonts w:ascii="Palatino Linotype" w:eastAsia="Calibri" w:hAnsi="Palatino Linotype" w:cs="Tahoma"/>
                    <w:bCs/>
                    <w:sz w:val="22"/>
                    <w:szCs w:val="22"/>
                    <w:lang w:eastAsia="en-US"/>
                  </w:rPr>
                </w:pPr>
              </w:p>
            </w:tc>
          </w:tr>
          <w:tr w:rsidR="007042D8" w14:paraId="190E04ED" w14:textId="77777777" w:rsidTr="00A16422">
            <w:trPr>
              <w:trHeight w:val="110"/>
            </w:trPr>
            <w:tc>
              <w:tcPr>
                <w:tcW w:w="3428" w:type="dxa"/>
                <w:hideMark/>
              </w:tcPr>
              <w:p w14:paraId="00093E72" w14:textId="2A9B87D4" w:rsidR="000F4940" w:rsidRPr="008A245E" w:rsidRDefault="00360DC3"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543" w:type="dxa"/>
                <w:hideMark/>
              </w:tcPr>
              <w:p w14:paraId="7DAD4B4A" w14:textId="77777777" w:rsidR="000F4940" w:rsidRPr="008A245E" w:rsidRDefault="00360DC3" w:rsidP="001A342E">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Villa del Carbón</w:t>
                </w:r>
              </w:p>
            </w:tc>
            <w:tc>
              <w:tcPr>
                <w:tcW w:w="287" w:type="dxa"/>
              </w:tcPr>
              <w:p w14:paraId="7C2E58B5" w14:textId="77777777" w:rsidR="000F4940" w:rsidRPr="00326F31" w:rsidRDefault="000F4940" w:rsidP="001A342E">
                <w:pPr>
                  <w:tabs>
                    <w:tab w:val="left" w:pos="2834"/>
                    <w:tab w:val="right" w:pos="8838"/>
                  </w:tabs>
                  <w:ind w:left="-114"/>
                  <w:jc w:val="both"/>
                  <w:rPr>
                    <w:rFonts w:ascii="Palatino Linotype" w:eastAsia="Calibri" w:hAnsi="Palatino Linotype" w:cs="Tahoma"/>
                    <w:sz w:val="22"/>
                    <w:szCs w:val="22"/>
                    <w:lang w:eastAsia="en-US"/>
                  </w:rPr>
                </w:pPr>
              </w:p>
            </w:tc>
          </w:tr>
          <w:tr w:rsidR="007042D8" w14:paraId="21501133" w14:textId="77777777" w:rsidTr="00A16422">
            <w:trPr>
              <w:trHeight w:val="483"/>
            </w:trPr>
            <w:tc>
              <w:tcPr>
                <w:tcW w:w="3428" w:type="dxa"/>
                <w:hideMark/>
              </w:tcPr>
              <w:p w14:paraId="49DFC499" w14:textId="3FA0A6E6" w:rsidR="000F4940" w:rsidRPr="008A245E" w:rsidRDefault="00360DC3"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543" w:type="dxa"/>
              </w:tcPr>
              <w:p w14:paraId="28860CE2" w14:textId="77777777" w:rsidR="000F4940" w:rsidRPr="007D2BD0" w:rsidRDefault="00360DC3"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87" w:type="dxa"/>
              </w:tcPr>
              <w:p w14:paraId="39A8F1C6" w14:textId="77777777" w:rsidR="000F4940" w:rsidRPr="008A245E" w:rsidRDefault="000F4940" w:rsidP="001A342E">
                <w:pPr>
                  <w:tabs>
                    <w:tab w:val="right" w:pos="8838"/>
                  </w:tabs>
                  <w:ind w:left="-114" w:right="-105"/>
                  <w:jc w:val="both"/>
                  <w:rPr>
                    <w:rFonts w:ascii="Palatino Linotype" w:eastAsia="Calibri" w:hAnsi="Palatino Linotype" w:cs="Tahoma"/>
                    <w:sz w:val="22"/>
                    <w:szCs w:val="22"/>
                    <w:lang w:eastAsia="en-US"/>
                  </w:rPr>
                </w:pPr>
              </w:p>
            </w:tc>
          </w:tr>
        </w:tbl>
        <w:p w14:paraId="17B083F5" w14:textId="77777777" w:rsidR="000F4940" w:rsidRDefault="000F4940" w:rsidP="001A342E">
          <w:pPr>
            <w:tabs>
              <w:tab w:val="right" w:pos="8838"/>
            </w:tabs>
            <w:spacing w:line="256" w:lineRule="auto"/>
            <w:ind w:left="-28"/>
            <w:jc w:val="both"/>
            <w:rPr>
              <w:rFonts w:ascii="Arial" w:eastAsia="Calibri" w:hAnsi="Arial" w:cs="Arial"/>
              <w:b/>
              <w:sz w:val="22"/>
              <w:szCs w:val="22"/>
              <w:lang w:eastAsia="en-US"/>
            </w:rPr>
          </w:pPr>
        </w:p>
      </w:tc>
    </w:tr>
  </w:tbl>
  <w:p w14:paraId="7A83ED30" w14:textId="77777777" w:rsidR="000F4940" w:rsidRDefault="00360DC3">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58C8847F" wp14:editId="1F8FE9FC">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7042D8" w14:paraId="7D6BE044" w14:textId="77777777" w:rsidTr="001A342E">
      <w:trPr>
        <w:trHeight w:val="1435"/>
      </w:trPr>
      <w:tc>
        <w:tcPr>
          <w:tcW w:w="1560" w:type="dxa"/>
        </w:tcPr>
        <w:p w14:paraId="36D8F2AC" w14:textId="77777777" w:rsidR="000F4940" w:rsidRDefault="000F4940"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20"/>
            <w:gridCol w:w="3544"/>
            <w:gridCol w:w="448"/>
          </w:tblGrid>
          <w:tr w:rsidR="007042D8" w:rsidRPr="0095634C" w14:paraId="7DB13E31" w14:textId="77777777" w:rsidTr="00A16422">
            <w:trPr>
              <w:gridAfter w:val="1"/>
              <w:wAfter w:w="448" w:type="dxa"/>
              <w:trHeight w:val="132"/>
            </w:trPr>
            <w:tc>
              <w:tcPr>
                <w:tcW w:w="3120" w:type="dxa"/>
                <w:hideMark/>
              </w:tcPr>
              <w:p w14:paraId="3BE282AE" w14:textId="77117E47" w:rsidR="000F4940" w:rsidRPr="0095634C" w:rsidRDefault="00360DC3"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544" w:type="dxa"/>
                <w:hideMark/>
              </w:tcPr>
              <w:p w14:paraId="7BBC3103" w14:textId="2A9844C1" w:rsidR="000F4940" w:rsidRPr="0095634C" w:rsidRDefault="00360DC3"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A16422">
                  <w:rPr>
                    <w:rFonts w:ascii="Palatino Linotype" w:eastAsia="Calibri" w:hAnsi="Palatino Linotype" w:cs="Tahoma"/>
                    <w:sz w:val="22"/>
                    <w:szCs w:val="22"/>
                    <w:lang w:val="es-MX" w:eastAsia="en-US"/>
                  </w:rPr>
                  <w:t>678</w:t>
                </w:r>
                <w:r>
                  <w:rPr>
                    <w:rFonts w:ascii="Palatino Linotype" w:eastAsia="Calibri" w:hAnsi="Palatino Linotype" w:cs="Tahoma"/>
                    <w:sz w:val="22"/>
                    <w:szCs w:val="22"/>
                    <w:lang w:val="es-MX" w:eastAsia="en-US"/>
                  </w:rPr>
                  <w:t>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7042D8" w:rsidRPr="0095634C" w14:paraId="589F9926" w14:textId="77777777" w:rsidTr="00A16422">
            <w:trPr>
              <w:gridAfter w:val="1"/>
              <w:wAfter w:w="448" w:type="dxa"/>
              <w:trHeight w:val="132"/>
            </w:trPr>
            <w:tc>
              <w:tcPr>
                <w:tcW w:w="3120" w:type="dxa"/>
                <w:hideMark/>
              </w:tcPr>
              <w:p w14:paraId="13ABD29E" w14:textId="5E5C241D" w:rsidR="000F4940" w:rsidRPr="0095634C" w:rsidRDefault="00360DC3"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544" w:type="dxa"/>
              </w:tcPr>
              <w:p w14:paraId="41BBB1C5" w14:textId="5BBEBD6C" w:rsidR="000F4940" w:rsidRPr="0095634C" w:rsidRDefault="003815D2" w:rsidP="001A342E">
                <w:pPr>
                  <w:tabs>
                    <w:tab w:val="left" w:pos="3122"/>
                    <w:tab w:val="right" w:pos="8838"/>
                  </w:tabs>
                  <w:ind w:left="-74" w:right="-105"/>
                  <w:jc w:val="both"/>
                  <w:rPr>
                    <w:rFonts w:ascii="Palatino Linotype" w:eastAsia="Calibri" w:hAnsi="Palatino Linotype" w:cs="Tahoma"/>
                    <w:sz w:val="22"/>
                    <w:szCs w:val="22"/>
                    <w:lang w:eastAsia="en-US"/>
                  </w:rPr>
                </w:pPr>
                <w:r w:rsidRPr="003815D2">
                  <w:rPr>
                    <w:rFonts w:ascii="Palatino Linotype" w:eastAsia="Calibri" w:hAnsi="Palatino Linotype" w:cs="Tahoma"/>
                    <w:sz w:val="22"/>
                    <w:szCs w:val="22"/>
                    <w:highlight w:val="black"/>
                    <w:lang w:eastAsia="en-US"/>
                  </w:rPr>
                  <w:t>XXXXXXXXXXXXXXXXXXXXX</w:t>
                </w:r>
              </w:p>
            </w:tc>
          </w:tr>
          <w:tr w:rsidR="007042D8" w:rsidRPr="0095634C" w14:paraId="7A185584" w14:textId="77777777" w:rsidTr="00A16422">
            <w:trPr>
              <w:gridAfter w:val="1"/>
              <w:wAfter w:w="448" w:type="dxa"/>
              <w:trHeight w:val="261"/>
            </w:trPr>
            <w:tc>
              <w:tcPr>
                <w:tcW w:w="3120" w:type="dxa"/>
                <w:hideMark/>
              </w:tcPr>
              <w:p w14:paraId="7DC324B0" w14:textId="37D09AA9" w:rsidR="000F4940" w:rsidRPr="0095634C" w:rsidRDefault="00360DC3"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544" w:type="dxa"/>
                <w:hideMark/>
              </w:tcPr>
              <w:p w14:paraId="426364A1" w14:textId="77777777" w:rsidR="000F4940" w:rsidRPr="0095634C" w:rsidRDefault="00360DC3" w:rsidP="001A342E">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Villa del Carbón</w:t>
                </w:r>
              </w:p>
            </w:tc>
          </w:tr>
          <w:tr w:rsidR="007042D8" w:rsidRPr="0095634C" w14:paraId="71B83672" w14:textId="77777777" w:rsidTr="00A16422">
            <w:trPr>
              <w:trHeight w:val="261"/>
            </w:trPr>
            <w:tc>
              <w:tcPr>
                <w:tcW w:w="3120" w:type="dxa"/>
                <w:hideMark/>
              </w:tcPr>
              <w:p w14:paraId="1295B1C6" w14:textId="29B2CCDC" w:rsidR="000F4940" w:rsidRPr="0095634C" w:rsidRDefault="00360DC3"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00A16422">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992" w:type="dxa"/>
                <w:gridSpan w:val="2"/>
              </w:tcPr>
              <w:p w14:paraId="13D1C67C" w14:textId="77777777" w:rsidR="000F4940" w:rsidRPr="0057023C" w:rsidRDefault="00360DC3"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30DA47B" w14:textId="77777777" w:rsidR="000F4940" w:rsidRDefault="000F4940" w:rsidP="001A342E">
          <w:pPr>
            <w:tabs>
              <w:tab w:val="right" w:pos="8838"/>
            </w:tabs>
            <w:spacing w:line="256" w:lineRule="auto"/>
            <w:ind w:left="-28"/>
            <w:jc w:val="both"/>
            <w:rPr>
              <w:rFonts w:ascii="Arial" w:eastAsia="Calibri" w:hAnsi="Arial" w:cs="Arial"/>
              <w:b/>
              <w:sz w:val="22"/>
              <w:szCs w:val="22"/>
              <w:lang w:eastAsia="en-US"/>
            </w:rPr>
          </w:pPr>
        </w:p>
      </w:tc>
    </w:tr>
  </w:tbl>
  <w:p w14:paraId="2E878BE3" w14:textId="77777777" w:rsidR="000F4940" w:rsidRDefault="00000000" w:rsidP="001A342E">
    <w:pPr>
      <w:pStyle w:val="Encabezado"/>
    </w:pPr>
    <w:r>
      <w:rPr>
        <w:rFonts w:ascii="Garamond" w:eastAsia="Calibri" w:hAnsi="Garamond"/>
        <w:noProof/>
        <w:sz w:val="22"/>
        <w:szCs w:val="22"/>
        <w:lang w:eastAsia="en-US"/>
      </w:rPr>
      <w:pict w14:anchorId="241E3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85.8pt;margin-top:-134.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523"/>
    <w:multiLevelType w:val="hybridMultilevel"/>
    <w:tmpl w:val="C9625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EC761B"/>
    <w:multiLevelType w:val="hybridMultilevel"/>
    <w:tmpl w:val="9684D07C"/>
    <w:lvl w:ilvl="0" w:tplc="080A000F">
      <w:start w:val="1"/>
      <w:numFmt w:val="decimal"/>
      <w:lvlText w:val="%1."/>
      <w:lvlJc w:val="left"/>
      <w:pPr>
        <w:ind w:left="1636" w:hanging="360"/>
      </w:pPr>
    </w:lvl>
    <w:lvl w:ilvl="1" w:tplc="080A0019">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6C478D4"/>
    <w:multiLevelType w:val="hybridMultilevel"/>
    <w:tmpl w:val="F872CA5C"/>
    <w:lvl w:ilvl="0" w:tplc="B0F41F02">
      <w:start w:val="25"/>
      <w:numFmt w:val="bullet"/>
      <w:lvlText w:val="-"/>
      <w:lvlJc w:val="left"/>
      <w:pPr>
        <w:ind w:left="850" w:hanging="360"/>
      </w:pPr>
      <w:rPr>
        <w:rFonts w:ascii="Palatino Linotype" w:eastAsia="Calibri" w:hAnsi="Palatino Linotype" w:cs="Times New Roman" w:hint="default"/>
      </w:rPr>
    </w:lvl>
    <w:lvl w:ilvl="1" w:tplc="080A0003" w:tentative="1">
      <w:start w:val="1"/>
      <w:numFmt w:val="bullet"/>
      <w:lvlText w:val="o"/>
      <w:lvlJc w:val="left"/>
      <w:pPr>
        <w:ind w:left="1570" w:hanging="360"/>
      </w:pPr>
      <w:rPr>
        <w:rFonts w:ascii="Courier New" w:hAnsi="Courier New" w:cs="Courier New" w:hint="default"/>
      </w:rPr>
    </w:lvl>
    <w:lvl w:ilvl="2" w:tplc="080A0005" w:tentative="1">
      <w:start w:val="1"/>
      <w:numFmt w:val="bullet"/>
      <w:lvlText w:val=""/>
      <w:lvlJc w:val="left"/>
      <w:pPr>
        <w:ind w:left="2290" w:hanging="360"/>
      </w:pPr>
      <w:rPr>
        <w:rFonts w:ascii="Wingdings" w:hAnsi="Wingdings" w:hint="default"/>
      </w:rPr>
    </w:lvl>
    <w:lvl w:ilvl="3" w:tplc="080A0001" w:tentative="1">
      <w:start w:val="1"/>
      <w:numFmt w:val="bullet"/>
      <w:lvlText w:val=""/>
      <w:lvlJc w:val="left"/>
      <w:pPr>
        <w:ind w:left="3010" w:hanging="360"/>
      </w:pPr>
      <w:rPr>
        <w:rFonts w:ascii="Symbol" w:hAnsi="Symbol" w:hint="default"/>
      </w:rPr>
    </w:lvl>
    <w:lvl w:ilvl="4" w:tplc="080A0003" w:tentative="1">
      <w:start w:val="1"/>
      <w:numFmt w:val="bullet"/>
      <w:lvlText w:val="o"/>
      <w:lvlJc w:val="left"/>
      <w:pPr>
        <w:ind w:left="3730" w:hanging="360"/>
      </w:pPr>
      <w:rPr>
        <w:rFonts w:ascii="Courier New" w:hAnsi="Courier New" w:cs="Courier New" w:hint="default"/>
      </w:rPr>
    </w:lvl>
    <w:lvl w:ilvl="5" w:tplc="080A0005" w:tentative="1">
      <w:start w:val="1"/>
      <w:numFmt w:val="bullet"/>
      <w:lvlText w:val=""/>
      <w:lvlJc w:val="left"/>
      <w:pPr>
        <w:ind w:left="4450" w:hanging="360"/>
      </w:pPr>
      <w:rPr>
        <w:rFonts w:ascii="Wingdings" w:hAnsi="Wingdings" w:hint="default"/>
      </w:rPr>
    </w:lvl>
    <w:lvl w:ilvl="6" w:tplc="080A0001" w:tentative="1">
      <w:start w:val="1"/>
      <w:numFmt w:val="bullet"/>
      <w:lvlText w:val=""/>
      <w:lvlJc w:val="left"/>
      <w:pPr>
        <w:ind w:left="5170" w:hanging="360"/>
      </w:pPr>
      <w:rPr>
        <w:rFonts w:ascii="Symbol" w:hAnsi="Symbol" w:hint="default"/>
      </w:rPr>
    </w:lvl>
    <w:lvl w:ilvl="7" w:tplc="080A0003" w:tentative="1">
      <w:start w:val="1"/>
      <w:numFmt w:val="bullet"/>
      <w:lvlText w:val="o"/>
      <w:lvlJc w:val="left"/>
      <w:pPr>
        <w:ind w:left="5890" w:hanging="360"/>
      </w:pPr>
      <w:rPr>
        <w:rFonts w:ascii="Courier New" w:hAnsi="Courier New" w:cs="Courier New" w:hint="default"/>
      </w:rPr>
    </w:lvl>
    <w:lvl w:ilvl="8" w:tplc="080A0005" w:tentative="1">
      <w:start w:val="1"/>
      <w:numFmt w:val="bullet"/>
      <w:lvlText w:val=""/>
      <w:lvlJc w:val="left"/>
      <w:pPr>
        <w:ind w:left="6610" w:hanging="360"/>
      </w:pPr>
      <w:rPr>
        <w:rFonts w:ascii="Wingdings" w:hAnsi="Wingdings" w:hint="default"/>
      </w:rPr>
    </w:lvl>
  </w:abstractNum>
  <w:abstractNum w:abstractNumId="4" w15:restartNumberingAfterBreak="0">
    <w:nsid w:val="2F8B248C"/>
    <w:multiLevelType w:val="hybridMultilevel"/>
    <w:tmpl w:val="C90EA4A8"/>
    <w:lvl w:ilvl="0" w:tplc="FC8E8AEA">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6B4C59"/>
    <w:multiLevelType w:val="hybridMultilevel"/>
    <w:tmpl w:val="C9625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FA17BF"/>
    <w:multiLevelType w:val="hybridMultilevel"/>
    <w:tmpl w:val="C9625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641B2DF6"/>
    <w:multiLevelType w:val="hybridMultilevel"/>
    <w:tmpl w:val="DEAC0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1A62C18"/>
    <w:multiLevelType w:val="hybridMultilevel"/>
    <w:tmpl w:val="C96250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7B1173"/>
    <w:multiLevelType w:val="hybridMultilevel"/>
    <w:tmpl w:val="C9625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036BA0"/>
    <w:multiLevelType w:val="hybridMultilevel"/>
    <w:tmpl w:val="6A3AC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4868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021967">
    <w:abstractNumId w:val="11"/>
  </w:num>
  <w:num w:numId="3" w16cid:durableId="179322871">
    <w:abstractNumId w:val="2"/>
  </w:num>
  <w:num w:numId="4" w16cid:durableId="1770856577">
    <w:abstractNumId w:val="8"/>
  </w:num>
  <w:num w:numId="5" w16cid:durableId="1384326877">
    <w:abstractNumId w:val="6"/>
  </w:num>
  <w:num w:numId="6" w16cid:durableId="1281763008">
    <w:abstractNumId w:val="1"/>
  </w:num>
  <w:num w:numId="7" w16cid:durableId="509486779">
    <w:abstractNumId w:val="3"/>
  </w:num>
  <w:num w:numId="8" w16cid:durableId="1278952601">
    <w:abstractNumId w:val="9"/>
  </w:num>
  <w:num w:numId="9" w16cid:durableId="516315720">
    <w:abstractNumId w:val="4"/>
  </w:num>
  <w:num w:numId="10" w16cid:durableId="1965234919">
    <w:abstractNumId w:val="13"/>
  </w:num>
  <w:num w:numId="11" w16cid:durableId="1347093138">
    <w:abstractNumId w:val="7"/>
  </w:num>
  <w:num w:numId="12" w16cid:durableId="1572110302">
    <w:abstractNumId w:val="12"/>
  </w:num>
  <w:num w:numId="13" w16cid:durableId="458038360">
    <w:abstractNumId w:val="0"/>
  </w:num>
  <w:num w:numId="14" w16cid:durableId="608006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22"/>
    <w:rsid w:val="000577B6"/>
    <w:rsid w:val="00082B63"/>
    <w:rsid w:val="000D22C6"/>
    <w:rsid w:val="000F4940"/>
    <w:rsid w:val="00112CC1"/>
    <w:rsid w:val="00121C94"/>
    <w:rsid w:val="0014011B"/>
    <w:rsid w:val="00183EE3"/>
    <w:rsid w:val="00287387"/>
    <w:rsid w:val="00300301"/>
    <w:rsid w:val="00332CBD"/>
    <w:rsid w:val="0035347C"/>
    <w:rsid w:val="00360DC3"/>
    <w:rsid w:val="003815D2"/>
    <w:rsid w:val="003A6020"/>
    <w:rsid w:val="00444D59"/>
    <w:rsid w:val="00450BE4"/>
    <w:rsid w:val="0045283B"/>
    <w:rsid w:val="00492A26"/>
    <w:rsid w:val="00543563"/>
    <w:rsid w:val="00621F32"/>
    <w:rsid w:val="006B7D80"/>
    <w:rsid w:val="00725F00"/>
    <w:rsid w:val="00751930"/>
    <w:rsid w:val="00842492"/>
    <w:rsid w:val="00864A7F"/>
    <w:rsid w:val="00890BD1"/>
    <w:rsid w:val="009F35CD"/>
    <w:rsid w:val="00A16422"/>
    <w:rsid w:val="00A1737F"/>
    <w:rsid w:val="00B01980"/>
    <w:rsid w:val="00B12B0F"/>
    <w:rsid w:val="00B50DD9"/>
    <w:rsid w:val="00B8181F"/>
    <w:rsid w:val="00B82DE0"/>
    <w:rsid w:val="00C00E62"/>
    <w:rsid w:val="00C1244B"/>
    <w:rsid w:val="00D26661"/>
    <w:rsid w:val="00D276C0"/>
    <w:rsid w:val="00D33D7C"/>
    <w:rsid w:val="00E9366D"/>
    <w:rsid w:val="00ED24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A5503"/>
  <w15:chartTrackingRefBased/>
  <w15:docId w15:val="{824B5A82-90E6-41E0-AF31-DB489F8F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2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16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A16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164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164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164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164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64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64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64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64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A164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164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164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164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164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64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64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6422"/>
    <w:rPr>
      <w:rFonts w:eastAsiaTheme="majorEastAsia" w:cstheme="majorBidi"/>
      <w:color w:val="272727" w:themeColor="text1" w:themeTint="D8"/>
    </w:rPr>
  </w:style>
  <w:style w:type="paragraph" w:styleId="Ttulo">
    <w:name w:val="Title"/>
    <w:basedOn w:val="Normal"/>
    <w:next w:val="Normal"/>
    <w:link w:val="TtuloCar"/>
    <w:uiPriority w:val="10"/>
    <w:qFormat/>
    <w:rsid w:val="00A164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64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64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64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6422"/>
    <w:pPr>
      <w:spacing w:before="160"/>
      <w:jc w:val="center"/>
    </w:pPr>
    <w:rPr>
      <w:i/>
      <w:iCs/>
      <w:color w:val="404040" w:themeColor="text1" w:themeTint="BF"/>
    </w:rPr>
  </w:style>
  <w:style w:type="character" w:customStyle="1" w:styleId="CitaCar">
    <w:name w:val="Cita Car"/>
    <w:basedOn w:val="Fuentedeprrafopredeter"/>
    <w:link w:val="Cita"/>
    <w:uiPriority w:val="29"/>
    <w:rsid w:val="00A1642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6422"/>
    <w:pPr>
      <w:ind w:left="720"/>
      <w:contextualSpacing/>
    </w:pPr>
  </w:style>
  <w:style w:type="character" w:styleId="nfasisintenso">
    <w:name w:val="Intense Emphasis"/>
    <w:basedOn w:val="Fuentedeprrafopredeter"/>
    <w:uiPriority w:val="21"/>
    <w:qFormat/>
    <w:rsid w:val="00A16422"/>
    <w:rPr>
      <w:i/>
      <w:iCs/>
      <w:color w:val="2F5496" w:themeColor="accent1" w:themeShade="BF"/>
    </w:rPr>
  </w:style>
  <w:style w:type="paragraph" w:styleId="Citadestacada">
    <w:name w:val="Intense Quote"/>
    <w:basedOn w:val="Normal"/>
    <w:next w:val="Normal"/>
    <w:link w:val="CitadestacadaCar"/>
    <w:uiPriority w:val="30"/>
    <w:qFormat/>
    <w:rsid w:val="00A16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16422"/>
    <w:rPr>
      <w:i/>
      <w:iCs/>
      <w:color w:val="2F5496" w:themeColor="accent1" w:themeShade="BF"/>
    </w:rPr>
  </w:style>
  <w:style w:type="character" w:styleId="Referenciaintensa">
    <w:name w:val="Intense Reference"/>
    <w:basedOn w:val="Fuentedeprrafopredeter"/>
    <w:uiPriority w:val="32"/>
    <w:qFormat/>
    <w:rsid w:val="00A16422"/>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16422"/>
  </w:style>
  <w:style w:type="table" w:styleId="Tablaconcuadrcula">
    <w:name w:val="Table Grid"/>
    <w:basedOn w:val="Tablanormal"/>
    <w:uiPriority w:val="39"/>
    <w:qFormat/>
    <w:rsid w:val="00A16422"/>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6422"/>
    <w:pPr>
      <w:tabs>
        <w:tab w:val="center" w:pos="4419"/>
        <w:tab w:val="right" w:pos="8838"/>
      </w:tabs>
    </w:pPr>
  </w:style>
  <w:style w:type="character" w:customStyle="1" w:styleId="EncabezadoCar">
    <w:name w:val="Encabezado Car"/>
    <w:basedOn w:val="Fuentedeprrafopredeter"/>
    <w:link w:val="Encabezado"/>
    <w:uiPriority w:val="99"/>
    <w:rsid w:val="00A16422"/>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A16422"/>
    <w:pPr>
      <w:tabs>
        <w:tab w:val="center" w:pos="4419"/>
        <w:tab w:val="right" w:pos="8838"/>
      </w:tabs>
    </w:pPr>
  </w:style>
  <w:style w:type="character" w:customStyle="1" w:styleId="PiedepginaCar">
    <w:name w:val="Pie de página Car"/>
    <w:basedOn w:val="Fuentedeprrafopredeter"/>
    <w:link w:val="Piedepgina"/>
    <w:uiPriority w:val="99"/>
    <w:rsid w:val="00A16422"/>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A16422"/>
    <w:rPr>
      <w:color w:val="0563C1" w:themeColor="hyperlink"/>
      <w:u w:val="single"/>
    </w:rPr>
  </w:style>
  <w:style w:type="paragraph" w:styleId="TtuloTDC">
    <w:name w:val="TOC Heading"/>
    <w:basedOn w:val="Ttulo1"/>
    <w:next w:val="Normal"/>
    <w:uiPriority w:val="39"/>
    <w:unhideWhenUsed/>
    <w:qFormat/>
    <w:rsid w:val="00A16422"/>
    <w:pPr>
      <w:spacing w:before="240" w:after="0"/>
      <w:outlineLvl w:val="9"/>
    </w:pPr>
    <w:rPr>
      <w:sz w:val="32"/>
      <w:szCs w:val="32"/>
      <w:lang w:eastAsia="es-MX"/>
    </w:rPr>
  </w:style>
  <w:style w:type="paragraph" w:styleId="TDC2">
    <w:name w:val="toc 2"/>
    <w:basedOn w:val="Normal"/>
    <w:next w:val="Normal"/>
    <w:autoRedefine/>
    <w:uiPriority w:val="39"/>
    <w:unhideWhenUsed/>
    <w:rsid w:val="00A16422"/>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A16422"/>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B82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lladelcarbon.edomex.gob.mx/sites/villadelcarbon.edomex.gob.mx/files/files/SECRETARIA%20DEL%20AYUNTAMIENTO/GACETAS/2025/FEBRERO/11.%20GACETA%20NUM%2011%20-%2020%20FEBRERO%202025%20-SEM%208.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egislacion.edomex.gob.mx/sites/legislacion.edomex.gob.mx/files/files/pdf/gct/2025/abril/abr011/abr011a.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5278</Words>
  <Characters>29033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5</cp:revision>
  <cp:lastPrinted>2025-08-08T05:30:00Z</cp:lastPrinted>
  <dcterms:created xsi:type="dcterms:W3CDTF">2025-08-08T05:30:00Z</dcterms:created>
  <dcterms:modified xsi:type="dcterms:W3CDTF">2025-08-15T20:39:00Z</dcterms:modified>
</cp:coreProperties>
</file>