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1BEE"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1B5AF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catorce de mayo de dos mil veinticinco. </w:t>
      </w:r>
    </w:p>
    <w:p w14:paraId="63B12E22" w14:textId="7351B1DE" w:rsidR="00914D27" w:rsidRPr="001B5AF7" w:rsidRDefault="004D571B">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1B5AF7">
        <w:rPr>
          <w:rFonts w:ascii="Palatino Linotype" w:eastAsia="Palatino Linotype" w:hAnsi="Palatino Linotype" w:cs="Palatino Linotype"/>
          <w:b/>
        </w:rPr>
        <w:t>VISTO</w:t>
      </w:r>
      <w:r w:rsidRPr="001B5AF7">
        <w:rPr>
          <w:rFonts w:ascii="Palatino Linotype" w:eastAsia="Palatino Linotype" w:hAnsi="Palatino Linotype" w:cs="Palatino Linotype"/>
        </w:rPr>
        <w:t xml:space="preserve"> el expediente formado con motivo del recurso de revisión </w:t>
      </w:r>
      <w:r w:rsidRPr="001B5AF7">
        <w:rPr>
          <w:rFonts w:ascii="Palatino Linotype" w:eastAsia="Palatino Linotype" w:hAnsi="Palatino Linotype" w:cs="Palatino Linotype"/>
          <w:b/>
        </w:rPr>
        <w:t>02589/INFOEM/IP/RR/2025</w:t>
      </w:r>
      <w:r w:rsidRPr="001B5AF7">
        <w:rPr>
          <w:rFonts w:ascii="Palatino Linotype" w:eastAsia="Palatino Linotype" w:hAnsi="Palatino Linotype" w:cs="Palatino Linotype"/>
        </w:rPr>
        <w:t>, interpuesto por</w:t>
      </w:r>
      <w:r w:rsidRPr="001B5AF7">
        <w:rPr>
          <w:rFonts w:ascii="Palatino Linotype" w:eastAsia="Palatino Linotype" w:hAnsi="Palatino Linotype" w:cs="Palatino Linotype"/>
          <w:b/>
        </w:rPr>
        <w:t xml:space="preserve"> </w:t>
      </w:r>
      <w:r w:rsidR="0055729B" w:rsidRPr="0055729B">
        <w:rPr>
          <w:rFonts w:ascii="Palatino Linotype" w:eastAsia="Palatino Linotype" w:hAnsi="Palatino Linotype" w:cs="Palatino Linotype"/>
          <w:b/>
        </w:rPr>
        <w:t>XXXXX XXXXXXX XXXXXXXX XXXXXXXXXX</w:t>
      </w:r>
      <w:r w:rsidRPr="001B5AF7">
        <w:rPr>
          <w:rFonts w:ascii="Palatino Linotype" w:eastAsia="Palatino Linotype" w:hAnsi="Palatino Linotype" w:cs="Palatino Linotype"/>
          <w:b/>
        </w:rPr>
        <w:t>,</w:t>
      </w:r>
      <w:r w:rsidRPr="001B5AF7">
        <w:rPr>
          <w:rFonts w:ascii="Palatino Linotype" w:eastAsia="Palatino Linotype" w:hAnsi="Palatino Linotype" w:cs="Palatino Linotype"/>
        </w:rPr>
        <w:t xml:space="preserve"> en lo sucesivo</w:t>
      </w:r>
      <w:r w:rsidRPr="001B5AF7">
        <w:rPr>
          <w:rFonts w:ascii="Palatino Linotype" w:eastAsia="Palatino Linotype" w:hAnsi="Palatino Linotype" w:cs="Palatino Linotype"/>
          <w:b/>
        </w:rPr>
        <w:t xml:space="preserve"> </w:t>
      </w:r>
      <w:r w:rsidRPr="001B5AF7">
        <w:rPr>
          <w:rFonts w:ascii="Palatino Linotype" w:eastAsia="Palatino Linotype" w:hAnsi="Palatino Linotype" w:cs="Palatino Linotype"/>
        </w:rPr>
        <w:t xml:space="preserve">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en contra de la respuesta a la solicitud de información con número de folio</w:t>
      </w:r>
      <w:r w:rsidRPr="001B5AF7">
        <w:rPr>
          <w:rFonts w:ascii="Palatino Linotype" w:eastAsia="Palatino Linotype" w:hAnsi="Palatino Linotype" w:cs="Palatino Linotype"/>
          <w:b/>
        </w:rPr>
        <w:t xml:space="preserve"> 00203/SECTI/IP/2025, </w:t>
      </w:r>
      <w:r w:rsidRPr="001B5AF7">
        <w:rPr>
          <w:rFonts w:ascii="Palatino Linotype" w:eastAsia="Palatino Linotype" w:hAnsi="Palatino Linotype" w:cs="Palatino Linotype"/>
        </w:rPr>
        <w:t xml:space="preserve">por parte de la </w:t>
      </w:r>
      <w:r w:rsidRPr="001B5AF7">
        <w:rPr>
          <w:rFonts w:ascii="Palatino Linotype" w:eastAsia="Palatino Linotype" w:hAnsi="Palatino Linotype" w:cs="Palatino Linotype"/>
          <w:b/>
        </w:rPr>
        <w:t xml:space="preserve">Secretaría de Educación, Ciencia, Tecnología e Innovación, </w:t>
      </w:r>
      <w:r w:rsidRPr="001B5AF7">
        <w:rPr>
          <w:rFonts w:ascii="Palatino Linotype" w:eastAsia="Palatino Linotype" w:hAnsi="Palatino Linotype" w:cs="Palatino Linotype"/>
        </w:rPr>
        <w:t xml:space="preserve">en lo sucesivo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 xml:space="preserve">se procede a dictar la presente resolución con base en los siguientes: </w:t>
      </w:r>
    </w:p>
    <w:p w14:paraId="1F43C2CB" w14:textId="77777777" w:rsidR="00914D27" w:rsidRPr="001B5AF7" w:rsidRDefault="004D571B">
      <w:pPr>
        <w:spacing w:before="240" w:after="240" w:line="360" w:lineRule="auto"/>
        <w:jc w:val="center"/>
        <w:rPr>
          <w:rFonts w:ascii="Palatino Linotype" w:eastAsia="Palatino Linotype" w:hAnsi="Palatino Linotype" w:cs="Palatino Linotype"/>
          <w:b/>
        </w:rPr>
      </w:pPr>
      <w:r w:rsidRPr="001B5AF7">
        <w:rPr>
          <w:rFonts w:ascii="Palatino Linotype" w:eastAsia="Palatino Linotype" w:hAnsi="Palatino Linotype" w:cs="Palatino Linotype"/>
          <w:b/>
        </w:rPr>
        <w:t>I. A N T E C E D E N T E S</w:t>
      </w:r>
    </w:p>
    <w:p w14:paraId="0594A391"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1B5AF7">
        <w:rPr>
          <w:rFonts w:ascii="Palatino Linotype" w:eastAsia="Palatino Linotype" w:hAnsi="Palatino Linotype" w:cs="Palatino Linotype"/>
          <w:b/>
        </w:rPr>
        <w:t>1. Solicitud de acceso a la información.</w:t>
      </w:r>
      <w:r w:rsidRPr="001B5AF7">
        <w:rPr>
          <w:rFonts w:ascii="Palatino Linotype" w:eastAsia="Palatino Linotype" w:hAnsi="Palatino Linotype" w:cs="Palatino Linotype"/>
        </w:rPr>
        <w:t xml:space="preserve"> El </w:t>
      </w:r>
      <w:r w:rsidRPr="001B5AF7">
        <w:rPr>
          <w:rFonts w:ascii="Palatino Linotype" w:eastAsia="Palatino Linotype" w:hAnsi="Palatino Linotype" w:cs="Palatino Linotype"/>
          <w:b/>
        </w:rPr>
        <w:t>trece de febrero de dos mil veinticinco,</w:t>
      </w:r>
      <w:r w:rsidRPr="001B5AF7">
        <w:rPr>
          <w:rFonts w:ascii="Palatino Linotype" w:eastAsia="Palatino Linotype" w:hAnsi="Palatino Linotype" w:cs="Palatino Linotype"/>
        </w:rPr>
        <w:t xml:space="preserve">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 xml:space="preserve">presentó la solicitud de acceso a la información pública ante 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a través del Sistema de Acceso a la Información Mexiquense, en lo subsecuente el </w:t>
      </w:r>
      <w:r w:rsidRPr="001B5AF7">
        <w:rPr>
          <w:rFonts w:ascii="Palatino Linotype" w:eastAsia="Palatino Linotype" w:hAnsi="Palatino Linotype" w:cs="Palatino Linotype"/>
          <w:b/>
        </w:rPr>
        <w:t>SAIMEX,</w:t>
      </w:r>
      <w:r w:rsidRPr="001B5AF7">
        <w:rPr>
          <w:rFonts w:ascii="Palatino Linotype" w:eastAsia="Palatino Linotype" w:hAnsi="Palatino Linotype" w:cs="Palatino Linotype"/>
        </w:rPr>
        <w:t xml:space="preserve"> mediante la cual requirió lo siguiente:</w:t>
      </w:r>
    </w:p>
    <w:p w14:paraId="32539F88" w14:textId="77777777" w:rsidR="00914D27" w:rsidRPr="001B5AF7" w:rsidRDefault="004D571B">
      <w:pPr>
        <w:spacing w:before="120" w:after="120"/>
        <w:ind w:left="851" w:right="902"/>
        <w:jc w:val="both"/>
        <w:rPr>
          <w:rFonts w:ascii="Palatino Linotype" w:eastAsia="Palatino Linotype" w:hAnsi="Palatino Linotype" w:cs="Palatino Linotype"/>
          <w:b/>
          <w:i/>
          <w:sz w:val="22"/>
          <w:szCs w:val="22"/>
        </w:rPr>
      </w:pPr>
      <w:r w:rsidRPr="001B5AF7">
        <w:rPr>
          <w:rFonts w:ascii="Palatino Linotype" w:eastAsia="Palatino Linotype" w:hAnsi="Palatino Linotype" w:cs="Palatino Linotype"/>
          <w:i/>
          <w:sz w:val="22"/>
          <w:szCs w:val="22"/>
        </w:rPr>
        <w:t xml:space="preserve"> “solicito se me informe o se me muestre </w:t>
      </w:r>
      <w:r w:rsidRPr="001B5AF7">
        <w:rPr>
          <w:rFonts w:ascii="Palatino Linotype" w:eastAsia="Palatino Linotype" w:hAnsi="Palatino Linotype" w:cs="Palatino Linotype"/>
          <w:b/>
          <w:i/>
          <w:sz w:val="22"/>
          <w:szCs w:val="22"/>
        </w:rPr>
        <w:t>el documento en donde se nos indique a los papas de los clubs de futbol que se van a interrumpir sus entrenamientos para que el director general haga con ellos sus ensayos</w:t>
      </w:r>
      <w:r w:rsidRPr="001B5AF7">
        <w:rPr>
          <w:rFonts w:ascii="Palatino Linotype" w:eastAsia="Palatino Linotype" w:hAnsi="Palatino Linotype" w:cs="Palatino Linotype"/>
          <w:i/>
          <w:sz w:val="22"/>
          <w:szCs w:val="22"/>
        </w:rPr>
        <w:t xml:space="preserve"> cuando nosotros </w:t>
      </w:r>
      <w:proofErr w:type="spellStart"/>
      <w:r w:rsidRPr="001B5AF7">
        <w:rPr>
          <w:rFonts w:ascii="Palatino Linotype" w:eastAsia="Palatino Linotype" w:hAnsi="Palatino Linotype" w:cs="Palatino Linotype"/>
          <w:i/>
          <w:sz w:val="22"/>
          <w:szCs w:val="22"/>
        </w:rPr>
        <w:t>paagamos</w:t>
      </w:r>
      <w:proofErr w:type="spellEnd"/>
      <w:r w:rsidRPr="001B5AF7">
        <w:rPr>
          <w:rFonts w:ascii="Palatino Linotype" w:eastAsia="Palatino Linotype" w:hAnsi="Palatino Linotype" w:cs="Palatino Linotype"/>
          <w:i/>
          <w:sz w:val="22"/>
          <w:szCs w:val="22"/>
        </w:rPr>
        <w:t xml:space="preserve"> por que los entrenen no por ver al señor hacer sus actos protocolarios, como para eso si nos toma en cuenta pero cuando un compañerito de mi hijo fue asaltado dentro de las instalaciones el señor llego justo en ese momento y ni se detuvo para ver que </w:t>
      </w:r>
      <w:proofErr w:type="spellStart"/>
      <w:r w:rsidRPr="001B5AF7">
        <w:rPr>
          <w:rFonts w:ascii="Palatino Linotype" w:eastAsia="Palatino Linotype" w:hAnsi="Palatino Linotype" w:cs="Palatino Linotype"/>
          <w:i/>
          <w:sz w:val="22"/>
          <w:szCs w:val="22"/>
        </w:rPr>
        <w:t>sucedia</w:t>
      </w:r>
      <w:proofErr w:type="spellEnd"/>
      <w:r w:rsidRPr="001B5AF7">
        <w:rPr>
          <w:rFonts w:ascii="Palatino Linotype" w:eastAsia="Palatino Linotype" w:hAnsi="Palatino Linotype" w:cs="Palatino Linotype"/>
          <w:i/>
          <w:sz w:val="22"/>
          <w:szCs w:val="22"/>
        </w:rPr>
        <w:t xml:space="preserve"> se </w:t>
      </w:r>
      <w:proofErr w:type="spellStart"/>
      <w:r w:rsidRPr="001B5AF7">
        <w:rPr>
          <w:rFonts w:ascii="Palatino Linotype" w:eastAsia="Palatino Linotype" w:hAnsi="Palatino Linotype" w:cs="Palatino Linotype"/>
          <w:i/>
          <w:sz w:val="22"/>
          <w:szCs w:val="22"/>
        </w:rPr>
        <w:t>siguio</w:t>
      </w:r>
      <w:proofErr w:type="spellEnd"/>
      <w:r w:rsidRPr="001B5AF7">
        <w:rPr>
          <w:rFonts w:ascii="Palatino Linotype" w:eastAsia="Palatino Linotype" w:hAnsi="Palatino Linotype" w:cs="Palatino Linotype"/>
          <w:i/>
          <w:sz w:val="22"/>
          <w:szCs w:val="22"/>
        </w:rPr>
        <w:t xml:space="preserve"> de largo y solo mando a uno de sus achichincles a disque solucionar y ninguna respuesta me dan </w:t>
      </w:r>
      <w:r w:rsidRPr="001B5AF7">
        <w:rPr>
          <w:rFonts w:ascii="Palatino Linotype" w:eastAsia="Palatino Linotype" w:hAnsi="Palatino Linotype" w:cs="Palatino Linotype"/>
          <w:i/>
          <w:sz w:val="22"/>
          <w:szCs w:val="22"/>
        </w:rPr>
        <w:lastRenderedPageBreak/>
        <w:t xml:space="preserve">hasta ahora, ese tiempo me lo van a reponer o me lo van a descontar, seremos como </w:t>
      </w:r>
      <w:proofErr w:type="spellStart"/>
      <w:r w:rsidRPr="001B5AF7">
        <w:rPr>
          <w:rFonts w:ascii="Palatino Linotype" w:eastAsia="Palatino Linotype" w:hAnsi="Palatino Linotype" w:cs="Palatino Linotype"/>
          <w:i/>
          <w:sz w:val="22"/>
          <w:szCs w:val="22"/>
        </w:rPr>
        <w:t>el</w:t>
      </w:r>
      <w:proofErr w:type="spellEnd"/>
      <w:r w:rsidRPr="001B5AF7">
        <w:rPr>
          <w:rFonts w:ascii="Palatino Linotype" w:eastAsia="Palatino Linotype" w:hAnsi="Palatino Linotype" w:cs="Palatino Linotype"/>
          <w:i/>
          <w:sz w:val="22"/>
          <w:szCs w:val="22"/>
        </w:rPr>
        <w:t xml:space="preserve"> sea con los padres de familia.</w:t>
      </w:r>
      <w:r w:rsidRPr="001B5AF7">
        <w:rPr>
          <w:rFonts w:ascii="Palatino Linotype" w:eastAsia="Palatino Linotype" w:hAnsi="Palatino Linotype" w:cs="Palatino Linotype"/>
          <w:b/>
          <w:i/>
          <w:sz w:val="22"/>
          <w:szCs w:val="22"/>
        </w:rPr>
        <w:t>”</w:t>
      </w:r>
      <w:r w:rsidRPr="001B5AF7">
        <w:rPr>
          <w:rFonts w:ascii="Palatino Linotype" w:eastAsia="Palatino Linotype" w:hAnsi="Palatino Linotype" w:cs="Palatino Linotype"/>
          <w:i/>
          <w:sz w:val="22"/>
          <w:szCs w:val="22"/>
        </w:rPr>
        <w:t xml:space="preserve"> (sic) </w:t>
      </w:r>
    </w:p>
    <w:p w14:paraId="4D1C048A"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1B5AF7">
        <w:rPr>
          <w:rFonts w:ascii="Palatino Linotype" w:eastAsia="Palatino Linotype" w:hAnsi="Palatino Linotype" w:cs="Palatino Linotype"/>
          <w:b/>
        </w:rPr>
        <w:t>Modalidad de Entrega:</w:t>
      </w:r>
      <w:r w:rsidRPr="001B5AF7">
        <w:rPr>
          <w:rFonts w:ascii="Palatino Linotype" w:eastAsia="Palatino Linotype" w:hAnsi="Palatino Linotype" w:cs="Palatino Linotype"/>
        </w:rPr>
        <w:t xml:space="preserve"> a través del</w:t>
      </w:r>
      <w:r w:rsidRPr="001B5AF7">
        <w:rPr>
          <w:rFonts w:ascii="Palatino Linotype" w:eastAsia="Palatino Linotype" w:hAnsi="Palatino Linotype" w:cs="Palatino Linotype"/>
          <w:b/>
        </w:rPr>
        <w:t xml:space="preserve"> SAIMEX.</w:t>
      </w:r>
    </w:p>
    <w:p w14:paraId="46E6FDB2"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2. Solicitud de Aclaración. </w:t>
      </w:r>
      <w:r w:rsidRPr="001B5AF7">
        <w:rPr>
          <w:rFonts w:ascii="Palatino Linotype" w:eastAsia="Palatino Linotype" w:hAnsi="Palatino Linotype" w:cs="Palatino Linotype"/>
        </w:rPr>
        <w:t xml:space="preserve">El </w:t>
      </w:r>
      <w:r w:rsidRPr="001B5AF7">
        <w:rPr>
          <w:rFonts w:ascii="Palatino Linotype" w:eastAsia="Palatino Linotype" w:hAnsi="Palatino Linotype" w:cs="Palatino Linotype"/>
          <w:b/>
        </w:rPr>
        <w:t xml:space="preserve">diecisiete de febrero de dos mil veinticinco, </w:t>
      </w:r>
      <w:r w:rsidRPr="001B5AF7">
        <w:rPr>
          <w:rFonts w:ascii="Palatino Linotype" w:eastAsia="Palatino Linotype" w:hAnsi="Palatino Linotype" w:cs="Palatino Linotype"/>
        </w:rPr>
        <w:t xml:space="preserve">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requirió a la persona solicitante</w:t>
      </w:r>
      <w:r w:rsidRPr="001B5AF7">
        <w:rPr>
          <w:rFonts w:ascii="Palatino Linotype" w:eastAsia="Palatino Linotype" w:hAnsi="Palatino Linotype" w:cs="Palatino Linotype"/>
          <w:b/>
        </w:rPr>
        <w:t xml:space="preserve"> </w:t>
      </w:r>
      <w:r w:rsidRPr="001B5AF7">
        <w:rPr>
          <w:rFonts w:ascii="Palatino Linotype" w:eastAsia="Palatino Linotype" w:hAnsi="Palatino Linotype" w:cs="Palatino Linotype"/>
        </w:rPr>
        <w:t>aclarara la solicitud de información planteada, en los siguientes términos:</w:t>
      </w:r>
    </w:p>
    <w:p w14:paraId="269F6E28"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“Se le requiere que dentro del plazo de diez días hábiles aclare o precise la información que se enuncia en su archivo inicial adjunto, Cabe mencionar que, en caso que no se cuente con aclaración alguna dentro del plazo citado se tendrá por atendida su solicitud de información, quedando a salvo sus derechos para volver a presentar una nueva solicitud.</w:t>
      </w:r>
    </w:p>
    <w:p w14:paraId="4D51BBDD"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3A0E420"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adjuntó el oficio 22800007010000S/0502/UT/2025, del diecisiete de febrero de dos mil veinticinco, mediante el cual el titular de la Unidad de Transparencia, requirió a la persona solicitante complementara, corrigiera o ampliara los datos de su solicitud, que facilitaran la búsqueda o la localización de la información precisando a qué documento público desea tener acceso y la unidad administrativa a la que está dirigida la solicitud, dentro del plazo de diez días hábiles contados a partir de la notificación del acuerdo, apercibiéndole de que en caso de no hacerlo dentro del plazo conferido, la solicitud se tendrá por no presentada, procediendo al archivo del expediente como total y definitivamente </w:t>
      </w:r>
      <w:r w:rsidRPr="001B5AF7">
        <w:rPr>
          <w:rFonts w:ascii="Palatino Linotype" w:eastAsia="Palatino Linotype" w:hAnsi="Palatino Linotype" w:cs="Palatino Linotype"/>
        </w:rPr>
        <w:lastRenderedPageBreak/>
        <w:t>concluido, de conformidad con el artículo 159 de la Ley de Transparencia y Acceso a la Información Pública del Estado de México y Municipios.</w:t>
      </w:r>
    </w:p>
    <w:p w14:paraId="5E5C8D78" w14:textId="77777777" w:rsidR="00914D27" w:rsidRPr="001B5AF7" w:rsidRDefault="004D571B">
      <w:pPr>
        <w:spacing w:before="240" w:after="240" w:line="360" w:lineRule="auto"/>
        <w:jc w:val="both"/>
        <w:rPr>
          <w:rFonts w:ascii="Palatino Linotype" w:eastAsia="Palatino Linotype" w:hAnsi="Palatino Linotype" w:cs="Palatino Linotype"/>
          <w:b/>
        </w:rPr>
      </w:pPr>
      <w:r w:rsidRPr="001B5AF7">
        <w:rPr>
          <w:rFonts w:ascii="Palatino Linotype" w:eastAsia="Palatino Linotype" w:hAnsi="Palatino Linotype" w:cs="Palatino Linotype"/>
          <w:b/>
        </w:rPr>
        <w:t xml:space="preserve">3. Aclaración. </w:t>
      </w:r>
      <w:r w:rsidRPr="001B5AF7">
        <w:rPr>
          <w:rFonts w:ascii="Palatino Linotype" w:eastAsia="Palatino Linotype" w:hAnsi="Palatino Linotype" w:cs="Palatino Linotype"/>
        </w:rPr>
        <w:t xml:space="preserve">El </w:t>
      </w:r>
      <w:r w:rsidRPr="001B5AF7">
        <w:rPr>
          <w:rFonts w:ascii="Palatino Linotype" w:eastAsia="Palatino Linotype" w:hAnsi="Palatino Linotype" w:cs="Palatino Linotype"/>
          <w:b/>
        </w:rPr>
        <w:t>diecinueve de febrero de dos mil veinticinco</w:t>
      </w:r>
      <w:r w:rsidRPr="001B5AF7">
        <w:rPr>
          <w:rFonts w:ascii="Palatino Linotype" w:eastAsia="Palatino Linotype" w:hAnsi="Palatino Linotype" w:cs="Palatino Linotype"/>
        </w:rPr>
        <w:t>, la persona solicitante desahogó el requerimiento de información adicional en los siguientes términos:</w:t>
      </w:r>
    </w:p>
    <w:p w14:paraId="1FAC1960" w14:textId="77777777" w:rsidR="00914D27" w:rsidRPr="001B5AF7" w:rsidRDefault="004D571B">
      <w:pPr>
        <w:spacing w:before="120" w:after="120"/>
        <w:ind w:left="851" w:right="902"/>
        <w:jc w:val="both"/>
        <w:rPr>
          <w:rFonts w:ascii="Palatino Linotype" w:eastAsia="Palatino Linotype" w:hAnsi="Palatino Linotype" w:cs="Palatino Linotype"/>
          <w:i/>
        </w:rPr>
      </w:pPr>
      <w:r w:rsidRPr="001B5AF7">
        <w:rPr>
          <w:rFonts w:ascii="Palatino Linotype" w:eastAsia="Palatino Linotype" w:hAnsi="Palatino Linotype" w:cs="Palatino Linotype"/>
          <w:b/>
        </w:rPr>
        <w:t>“</w:t>
      </w:r>
      <w:r w:rsidRPr="001B5AF7">
        <w:rPr>
          <w:rFonts w:ascii="Palatino Linotype" w:eastAsia="Palatino Linotype" w:hAnsi="Palatino Linotype" w:cs="Palatino Linotype"/>
          <w:i/>
          <w:sz w:val="22"/>
          <w:szCs w:val="22"/>
        </w:rPr>
        <w:t xml:space="preserve">requiero se me muestre el </w:t>
      </w:r>
      <w:r w:rsidRPr="001B5AF7">
        <w:rPr>
          <w:rFonts w:ascii="Palatino Linotype" w:eastAsia="Palatino Linotype" w:hAnsi="Palatino Linotype" w:cs="Palatino Linotype"/>
          <w:b/>
          <w:i/>
          <w:sz w:val="22"/>
          <w:szCs w:val="22"/>
        </w:rPr>
        <w:t xml:space="preserve">reglamento o en donde </w:t>
      </w:r>
      <w:proofErr w:type="spellStart"/>
      <w:r w:rsidRPr="001B5AF7">
        <w:rPr>
          <w:rFonts w:ascii="Palatino Linotype" w:eastAsia="Palatino Linotype" w:hAnsi="Palatino Linotype" w:cs="Palatino Linotype"/>
          <w:b/>
          <w:i/>
          <w:sz w:val="22"/>
          <w:szCs w:val="22"/>
        </w:rPr>
        <w:t>esta</w:t>
      </w:r>
      <w:proofErr w:type="spellEnd"/>
      <w:r w:rsidRPr="001B5AF7">
        <w:rPr>
          <w:rFonts w:ascii="Palatino Linotype" w:eastAsia="Palatino Linotype" w:hAnsi="Palatino Linotype" w:cs="Palatino Linotype"/>
          <w:b/>
          <w:i/>
          <w:sz w:val="22"/>
          <w:szCs w:val="22"/>
        </w:rPr>
        <w:t xml:space="preserve"> escrito que todos los que asistimos a deportes en la deportiva de </w:t>
      </w:r>
      <w:proofErr w:type="spellStart"/>
      <w:r w:rsidRPr="001B5AF7">
        <w:rPr>
          <w:rFonts w:ascii="Palatino Linotype" w:eastAsia="Palatino Linotype" w:hAnsi="Palatino Linotype" w:cs="Palatino Linotype"/>
          <w:b/>
          <w:i/>
          <w:sz w:val="22"/>
          <w:szCs w:val="22"/>
        </w:rPr>
        <w:t>zinacantepec</w:t>
      </w:r>
      <w:proofErr w:type="spellEnd"/>
      <w:r w:rsidRPr="001B5AF7">
        <w:rPr>
          <w:rFonts w:ascii="Palatino Linotype" w:eastAsia="Palatino Linotype" w:hAnsi="Palatino Linotype" w:cs="Palatino Linotype"/>
          <w:b/>
          <w:i/>
          <w:sz w:val="22"/>
          <w:szCs w:val="22"/>
        </w:rPr>
        <w:t xml:space="preserve"> estipule que todos aquellos que </w:t>
      </w:r>
      <w:proofErr w:type="spellStart"/>
      <w:r w:rsidRPr="001B5AF7">
        <w:rPr>
          <w:rFonts w:ascii="Palatino Linotype" w:eastAsia="Palatino Linotype" w:hAnsi="Palatino Linotype" w:cs="Palatino Linotype"/>
          <w:b/>
          <w:i/>
          <w:sz w:val="22"/>
          <w:szCs w:val="22"/>
        </w:rPr>
        <w:t>particpan</w:t>
      </w:r>
      <w:proofErr w:type="spellEnd"/>
      <w:r w:rsidRPr="001B5AF7">
        <w:rPr>
          <w:rFonts w:ascii="Palatino Linotype" w:eastAsia="Palatino Linotype" w:hAnsi="Palatino Linotype" w:cs="Palatino Linotype"/>
          <w:b/>
          <w:i/>
          <w:sz w:val="22"/>
          <w:szCs w:val="22"/>
        </w:rPr>
        <w:t xml:space="preserve"> en actividades deportivas por las tardes </w:t>
      </w:r>
      <w:proofErr w:type="spellStart"/>
      <w:r w:rsidRPr="001B5AF7">
        <w:rPr>
          <w:rFonts w:ascii="Palatino Linotype" w:eastAsia="Palatino Linotype" w:hAnsi="Palatino Linotype" w:cs="Palatino Linotype"/>
          <w:b/>
          <w:i/>
          <w:sz w:val="22"/>
          <w:szCs w:val="22"/>
        </w:rPr>
        <w:t>estan</w:t>
      </w:r>
      <w:proofErr w:type="spellEnd"/>
      <w:r w:rsidRPr="001B5AF7">
        <w:rPr>
          <w:rFonts w:ascii="Palatino Linotype" w:eastAsia="Palatino Linotype" w:hAnsi="Palatino Linotype" w:cs="Palatino Linotype"/>
          <w:b/>
          <w:i/>
          <w:sz w:val="22"/>
          <w:szCs w:val="22"/>
        </w:rPr>
        <w:t xml:space="preserve"> obligados a asistir a sus actos protocolarios del director general de deport</w:t>
      </w:r>
      <w:r w:rsidRPr="001B5AF7">
        <w:rPr>
          <w:rFonts w:ascii="Palatino Linotype" w:eastAsia="Palatino Linotype" w:hAnsi="Palatino Linotype" w:cs="Palatino Linotype"/>
          <w:i/>
          <w:sz w:val="22"/>
          <w:szCs w:val="22"/>
        </w:rPr>
        <w:t xml:space="preserve">e donde </w:t>
      </w:r>
      <w:proofErr w:type="spellStart"/>
      <w:r w:rsidRPr="001B5AF7">
        <w:rPr>
          <w:rFonts w:ascii="Palatino Linotype" w:eastAsia="Palatino Linotype" w:hAnsi="Palatino Linotype" w:cs="Palatino Linotype"/>
          <w:i/>
          <w:sz w:val="22"/>
          <w:szCs w:val="22"/>
        </w:rPr>
        <w:t>esta</w:t>
      </w:r>
      <w:proofErr w:type="spellEnd"/>
      <w:r w:rsidRPr="001B5AF7">
        <w:rPr>
          <w:rFonts w:ascii="Palatino Linotype" w:eastAsia="Palatino Linotype" w:hAnsi="Palatino Linotype" w:cs="Palatino Linotype"/>
          <w:i/>
          <w:sz w:val="22"/>
          <w:szCs w:val="22"/>
        </w:rPr>
        <w:t xml:space="preserve"> estipulado en que reglamento dice que deben perder sus horas de entrenamiento por ver al señor ensayar sus actos protocolarios y quitarles a los niños horas por las que los papas pagamos para ENTRENAR no para ensayar con </w:t>
      </w:r>
      <w:proofErr w:type="spellStart"/>
      <w:r w:rsidRPr="001B5AF7">
        <w:rPr>
          <w:rFonts w:ascii="Palatino Linotype" w:eastAsia="Palatino Linotype" w:hAnsi="Palatino Linotype" w:cs="Palatino Linotype"/>
          <w:i/>
          <w:sz w:val="22"/>
          <w:szCs w:val="22"/>
        </w:rPr>
        <w:t>el</w:t>
      </w:r>
      <w:proofErr w:type="spellEnd"/>
      <w:r w:rsidRPr="001B5AF7">
        <w:rPr>
          <w:rFonts w:ascii="Palatino Linotype" w:eastAsia="Palatino Linotype" w:hAnsi="Palatino Linotype" w:cs="Palatino Linotype"/>
          <w:i/>
          <w:sz w:val="22"/>
          <w:szCs w:val="22"/>
        </w:rPr>
        <w:t xml:space="preserve">, quien me las va a reponer </w:t>
      </w:r>
      <w:proofErr w:type="spellStart"/>
      <w:r w:rsidRPr="001B5AF7">
        <w:rPr>
          <w:rFonts w:ascii="Palatino Linotype" w:eastAsia="Palatino Linotype" w:hAnsi="Palatino Linotype" w:cs="Palatino Linotype"/>
          <w:i/>
          <w:sz w:val="22"/>
          <w:szCs w:val="22"/>
        </w:rPr>
        <w:t>por que</w:t>
      </w:r>
      <w:proofErr w:type="spellEnd"/>
      <w:r w:rsidRPr="001B5AF7">
        <w:rPr>
          <w:rFonts w:ascii="Palatino Linotype" w:eastAsia="Palatino Linotype" w:hAnsi="Palatino Linotype" w:cs="Palatino Linotype"/>
          <w:i/>
          <w:sz w:val="22"/>
          <w:szCs w:val="22"/>
        </w:rPr>
        <w:t xml:space="preserve"> no es la primera vez</w:t>
      </w:r>
      <w:r w:rsidRPr="001B5AF7">
        <w:rPr>
          <w:rFonts w:ascii="Palatino Linotype" w:eastAsia="Palatino Linotype" w:hAnsi="Palatino Linotype" w:cs="Palatino Linotype"/>
          <w:b/>
        </w:rPr>
        <w:t xml:space="preserve">” </w:t>
      </w:r>
      <w:r w:rsidRPr="001B5AF7">
        <w:rPr>
          <w:rFonts w:ascii="Palatino Linotype" w:eastAsia="Palatino Linotype" w:hAnsi="Palatino Linotype" w:cs="Palatino Linotype"/>
          <w:i/>
        </w:rPr>
        <w:t>(sic)</w:t>
      </w:r>
    </w:p>
    <w:p w14:paraId="2856371E"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4. Respuesta. </w:t>
      </w:r>
      <w:r w:rsidRPr="001B5AF7">
        <w:rPr>
          <w:rFonts w:ascii="Palatino Linotype" w:eastAsia="Palatino Linotype" w:hAnsi="Palatino Linotype" w:cs="Palatino Linotype"/>
        </w:rPr>
        <w:t xml:space="preserve">El </w:t>
      </w:r>
      <w:r w:rsidRPr="001B5AF7">
        <w:rPr>
          <w:rFonts w:ascii="Palatino Linotype" w:eastAsia="Palatino Linotype" w:hAnsi="Palatino Linotype" w:cs="Palatino Linotype"/>
          <w:b/>
        </w:rPr>
        <w:t>siete de marzo de dos mil veinticinco,</w:t>
      </w:r>
      <w:r w:rsidRPr="001B5AF7">
        <w:rPr>
          <w:rFonts w:ascii="Palatino Linotype" w:eastAsia="Palatino Linotype" w:hAnsi="Palatino Linotype" w:cs="Palatino Linotype"/>
        </w:rPr>
        <w:t xml:space="preserve">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E8D3911" w14:textId="77777777" w:rsidR="00914D27" w:rsidRPr="001B5AF7" w:rsidRDefault="004D571B">
      <w:pPr>
        <w:spacing w:before="240" w:after="24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“…Con fundamento en los artículos 53 fracciones II, V y VI y 163 de la Ley de Transparencia y Acceso a la Información Pública del Estado de México y Municipios, en respuesta a su solicitud de información se adjunta el Acuerdo de respuesta de fecha seis de marzo de dos mil veinticinco...” (sic)</w:t>
      </w:r>
    </w:p>
    <w:p w14:paraId="5AD2F95F"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adjuntó lo siguiente:</w:t>
      </w:r>
    </w:p>
    <w:p w14:paraId="6AB59431"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 Oficio número 22800007010000S/0203/UT/2025, del seis de marzo de dos mil veinticinco, mediante el cual el Titular de la Unidad de Transparencia notificó a la persona solicitante la respuesta proporcionada por el Servidor Público Habilitado en la Dirección General de Cultura, Física y Deporte.</w:t>
      </w:r>
    </w:p>
    <w:p w14:paraId="5302FE1B"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 Oficio número 22800010A/096/2025, del veinticinco de febrero de dos mil veinticinco, mediante el cual el Director General de Cultura Física y Deporte, en los términos de la aclaración desahogada por la persona solicitante, manifestó lo siguiente:</w:t>
      </w:r>
    </w:p>
    <w:p w14:paraId="34DB37A3"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u w:val="single"/>
        </w:rPr>
      </w:pPr>
      <w:r w:rsidRPr="001B5AF7">
        <w:rPr>
          <w:rFonts w:ascii="Palatino Linotype" w:eastAsia="Palatino Linotype" w:hAnsi="Palatino Linotype" w:cs="Palatino Linotype"/>
        </w:rPr>
        <w:t>“</w:t>
      </w:r>
      <w:r w:rsidRPr="001B5AF7">
        <w:rPr>
          <w:rFonts w:ascii="Palatino Linotype" w:eastAsia="Palatino Linotype" w:hAnsi="Palatino Linotype" w:cs="Palatino Linotype"/>
          <w:b/>
          <w:i/>
          <w:sz w:val="22"/>
          <w:szCs w:val="22"/>
        </w:rPr>
        <w:t xml:space="preserve">Luego de revisar detenidamente las disposiciones que rigen el reglamento aplicable a esta Dirección General, se concluye que </w:t>
      </w:r>
      <w:r w:rsidRPr="001B5AF7">
        <w:rPr>
          <w:rFonts w:ascii="Palatino Linotype" w:eastAsia="Palatino Linotype" w:hAnsi="Palatino Linotype" w:cs="Palatino Linotype"/>
          <w:b/>
          <w:i/>
          <w:sz w:val="22"/>
          <w:szCs w:val="22"/>
          <w:u w:val="single"/>
        </w:rPr>
        <w:t>en ninguna parte del mismo se establece de manera explícita la obligatoriedad de que los participantes en las actividades deportivas de la Unidad Deportiva de Zinacantepec, asistan a los actos protocolarios organizados por la Dirección General</w:t>
      </w:r>
      <w:r w:rsidRPr="001B5AF7">
        <w:rPr>
          <w:rFonts w:ascii="Palatino Linotype" w:eastAsia="Palatino Linotype" w:hAnsi="Palatino Linotype" w:cs="Palatino Linotype"/>
          <w:i/>
          <w:sz w:val="22"/>
          <w:szCs w:val="22"/>
          <w:u w:val="single"/>
        </w:rPr>
        <w:t>.</w:t>
      </w:r>
    </w:p>
    <w:p w14:paraId="58F23C48"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Quiero aclarar que la práctica habitual en esta Dirección General, consiste en consultar con los entrenadores sobre quiénes pueden participar en cada evento con la finalidad de fomentar una integración y un trabajo en equipo entre los diferentes deportes. En cada ocasión que se lleva a cabo un acto de esta naturaleza, se les invita a los entrenadores de las diversas disciplinas deportivas para que participen sus equipos. Si los entrenadores consideran conveniente la participación de los menores en estas actividades, se procede de manera voluntaria.</w:t>
      </w:r>
    </w:p>
    <w:p w14:paraId="5FFF8EB7"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 xml:space="preserve">Es importante resaltar que </w:t>
      </w:r>
      <w:r w:rsidRPr="001B5AF7">
        <w:rPr>
          <w:rFonts w:ascii="Palatino Linotype" w:eastAsia="Palatino Linotype" w:hAnsi="Palatino Linotype" w:cs="Palatino Linotype"/>
          <w:b/>
          <w:i/>
          <w:sz w:val="22"/>
          <w:szCs w:val="22"/>
        </w:rPr>
        <w:t xml:space="preserve">la asistencia a estos eventos </w:t>
      </w:r>
      <w:r w:rsidRPr="001B5AF7">
        <w:rPr>
          <w:rFonts w:ascii="Palatino Linotype" w:eastAsia="Palatino Linotype" w:hAnsi="Palatino Linotype" w:cs="Palatino Linotype"/>
          <w:b/>
          <w:i/>
          <w:sz w:val="22"/>
          <w:szCs w:val="22"/>
          <w:u w:val="single"/>
        </w:rPr>
        <w:t>es completamente voluntaria</w:t>
      </w:r>
      <w:r w:rsidRPr="001B5AF7">
        <w:rPr>
          <w:rFonts w:ascii="Palatino Linotype" w:eastAsia="Palatino Linotype" w:hAnsi="Palatino Linotype" w:cs="Palatino Linotype"/>
          <w:b/>
          <w:i/>
          <w:sz w:val="22"/>
          <w:szCs w:val="22"/>
        </w:rPr>
        <w:t xml:space="preserve"> y </w:t>
      </w:r>
      <w:r w:rsidRPr="001B5AF7">
        <w:rPr>
          <w:rFonts w:ascii="Palatino Linotype" w:eastAsia="Palatino Linotype" w:hAnsi="Palatino Linotype" w:cs="Palatino Linotype"/>
          <w:b/>
          <w:i/>
          <w:sz w:val="22"/>
          <w:szCs w:val="22"/>
          <w:u w:val="single"/>
        </w:rPr>
        <w:t>no se ha establecido como una obligación, en el reglamento ni en las políticas internas de la Dirección General</w:t>
      </w:r>
      <w:r w:rsidRPr="001B5AF7">
        <w:rPr>
          <w:rFonts w:ascii="Palatino Linotype" w:eastAsia="Palatino Linotype" w:hAnsi="Palatino Linotype" w:cs="Palatino Linotype"/>
          <w:i/>
          <w:sz w:val="22"/>
          <w:szCs w:val="22"/>
        </w:rPr>
        <w:t>.” (sic)</w:t>
      </w:r>
    </w:p>
    <w:p w14:paraId="6A12E648"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5. Interposición del recurso de revisión. </w:t>
      </w:r>
      <w:r w:rsidRPr="001B5AF7">
        <w:rPr>
          <w:rFonts w:ascii="Palatino Linotype" w:eastAsia="Palatino Linotype" w:hAnsi="Palatino Linotype" w:cs="Palatino Linotype"/>
        </w:rPr>
        <w:t xml:space="preserve">Inconforme con los términos de la respuesta emitida por parte del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el </w:t>
      </w:r>
      <w:r w:rsidRPr="001B5AF7">
        <w:rPr>
          <w:rFonts w:ascii="Palatino Linotype" w:eastAsia="Palatino Linotype" w:hAnsi="Palatino Linotype" w:cs="Palatino Linotype"/>
          <w:b/>
        </w:rPr>
        <w:t>siete de marzo de dos mil veinticinco,</w:t>
      </w:r>
      <w:r w:rsidRPr="001B5AF7">
        <w:rPr>
          <w:rFonts w:ascii="Palatino Linotype" w:eastAsia="Palatino Linotype" w:hAnsi="Palatino Linotype" w:cs="Palatino Linotype"/>
        </w:rPr>
        <w:t xml:space="preserve">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interpuso el recurso de revisión a través de </w:t>
      </w:r>
      <w:r w:rsidRPr="001B5AF7">
        <w:rPr>
          <w:rFonts w:ascii="Palatino Linotype" w:eastAsia="Palatino Linotype" w:hAnsi="Palatino Linotype" w:cs="Palatino Linotype"/>
          <w:b/>
        </w:rPr>
        <w:t xml:space="preserve">SAIMEX, </w:t>
      </w:r>
      <w:r w:rsidRPr="001B5AF7">
        <w:rPr>
          <w:rFonts w:ascii="Palatino Linotype" w:eastAsia="Palatino Linotype" w:hAnsi="Palatino Linotype" w:cs="Palatino Linotype"/>
        </w:rPr>
        <w:t>en donde se manifestó de la siguiente manera:</w:t>
      </w:r>
    </w:p>
    <w:p w14:paraId="72195642" w14:textId="77777777" w:rsidR="00914D27" w:rsidRPr="001B5AF7" w:rsidRDefault="00914D27">
      <w:pPr>
        <w:spacing w:before="240" w:after="240" w:line="360" w:lineRule="auto"/>
        <w:ind w:right="49"/>
        <w:jc w:val="both"/>
        <w:rPr>
          <w:rFonts w:ascii="Palatino Linotype" w:eastAsia="Palatino Linotype" w:hAnsi="Palatino Linotype" w:cs="Palatino Linotype"/>
          <w:b/>
        </w:rPr>
      </w:pPr>
    </w:p>
    <w:p w14:paraId="510F16B7" w14:textId="77777777" w:rsidR="00914D27" w:rsidRPr="001B5AF7" w:rsidRDefault="00914D27">
      <w:pPr>
        <w:spacing w:before="240" w:after="240" w:line="360" w:lineRule="auto"/>
        <w:ind w:right="49"/>
        <w:jc w:val="both"/>
        <w:rPr>
          <w:rFonts w:ascii="Palatino Linotype" w:eastAsia="Palatino Linotype" w:hAnsi="Palatino Linotype" w:cs="Palatino Linotype"/>
          <w:b/>
        </w:rPr>
      </w:pPr>
    </w:p>
    <w:p w14:paraId="4AE74452" w14:textId="77777777" w:rsidR="00914D27" w:rsidRPr="001B5AF7" w:rsidRDefault="004D571B">
      <w:pPr>
        <w:spacing w:before="240" w:after="240" w:line="360" w:lineRule="auto"/>
        <w:ind w:right="49"/>
        <w:jc w:val="both"/>
        <w:rPr>
          <w:rFonts w:ascii="Palatino Linotype" w:eastAsia="Palatino Linotype" w:hAnsi="Palatino Linotype" w:cs="Palatino Linotype"/>
          <w:b/>
        </w:rPr>
      </w:pPr>
      <w:r w:rsidRPr="001B5AF7">
        <w:rPr>
          <w:rFonts w:ascii="Palatino Linotype" w:eastAsia="Palatino Linotype" w:hAnsi="Palatino Linotype" w:cs="Palatino Linotype"/>
          <w:b/>
        </w:rPr>
        <w:lastRenderedPageBreak/>
        <w:t xml:space="preserve">Acto impugnado: </w:t>
      </w:r>
    </w:p>
    <w:p w14:paraId="2534CF76" w14:textId="77777777" w:rsidR="00914D27" w:rsidRPr="001B5AF7" w:rsidRDefault="004D571B">
      <w:pPr>
        <w:tabs>
          <w:tab w:val="left" w:pos="2745"/>
        </w:tabs>
        <w:spacing w:before="240" w:after="240"/>
        <w:ind w:left="851" w:right="900"/>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 xml:space="preserve">“requiero el reglamento que indique que los clubs de la deportiva tienen la </w:t>
      </w:r>
      <w:proofErr w:type="spellStart"/>
      <w:r w:rsidRPr="001B5AF7">
        <w:rPr>
          <w:rFonts w:ascii="Palatino Linotype" w:eastAsia="Palatino Linotype" w:hAnsi="Palatino Linotype" w:cs="Palatino Linotype"/>
          <w:i/>
          <w:sz w:val="22"/>
          <w:szCs w:val="22"/>
        </w:rPr>
        <w:t>obligacion</w:t>
      </w:r>
      <w:proofErr w:type="spellEnd"/>
      <w:r w:rsidRPr="001B5AF7">
        <w:rPr>
          <w:rFonts w:ascii="Palatino Linotype" w:eastAsia="Palatino Linotype" w:hAnsi="Palatino Linotype" w:cs="Palatino Linotype"/>
          <w:i/>
          <w:sz w:val="22"/>
          <w:szCs w:val="22"/>
        </w:rPr>
        <w:t xml:space="preserve"> de participar en los actos protocolarios del señor director, requiero saber si nos va a pagar ese tiempo </w:t>
      </w:r>
      <w:proofErr w:type="spellStart"/>
      <w:r w:rsidRPr="001B5AF7">
        <w:rPr>
          <w:rFonts w:ascii="Palatino Linotype" w:eastAsia="Palatino Linotype" w:hAnsi="Palatino Linotype" w:cs="Palatino Linotype"/>
          <w:i/>
          <w:sz w:val="22"/>
          <w:szCs w:val="22"/>
        </w:rPr>
        <w:t>por que</w:t>
      </w:r>
      <w:proofErr w:type="spellEnd"/>
      <w:r w:rsidRPr="001B5AF7">
        <w:rPr>
          <w:rFonts w:ascii="Palatino Linotype" w:eastAsia="Palatino Linotype" w:hAnsi="Palatino Linotype" w:cs="Palatino Linotype"/>
          <w:i/>
          <w:sz w:val="22"/>
          <w:szCs w:val="22"/>
        </w:rPr>
        <w:t xml:space="preserve"> no es la primera vez.” (sic)</w:t>
      </w:r>
    </w:p>
    <w:p w14:paraId="7607BB41" w14:textId="77777777" w:rsidR="00914D27" w:rsidRPr="001B5AF7" w:rsidRDefault="004D571B">
      <w:pPr>
        <w:spacing w:line="360" w:lineRule="auto"/>
        <w:jc w:val="both"/>
        <w:rPr>
          <w:rFonts w:ascii="Palatino Linotype" w:eastAsia="Palatino Linotype" w:hAnsi="Palatino Linotype" w:cs="Palatino Linotype"/>
        </w:rPr>
      </w:pPr>
      <w:bookmarkStart w:id="4" w:name="_heading=h.30j0zll" w:colFirst="0" w:colLast="0"/>
      <w:bookmarkEnd w:id="4"/>
      <w:r w:rsidRPr="001B5AF7">
        <w:rPr>
          <w:rFonts w:ascii="Palatino Linotype" w:eastAsia="Palatino Linotype" w:hAnsi="Palatino Linotype" w:cs="Palatino Linotype"/>
          <w:b/>
        </w:rPr>
        <w:t>Y, Razones o motivos de inconformidad</w:t>
      </w:r>
      <w:r w:rsidRPr="001B5AF7">
        <w:rPr>
          <w:rFonts w:ascii="Palatino Linotype" w:eastAsia="Palatino Linotype" w:hAnsi="Palatino Linotype" w:cs="Palatino Linotype"/>
        </w:rPr>
        <w:t>:</w:t>
      </w:r>
    </w:p>
    <w:p w14:paraId="21A7A134" w14:textId="77777777" w:rsidR="00914D27" w:rsidRPr="001B5AF7" w:rsidRDefault="004D571B">
      <w:pPr>
        <w:tabs>
          <w:tab w:val="left" w:pos="2745"/>
        </w:tabs>
        <w:spacing w:before="240" w:after="240"/>
        <w:ind w:left="851" w:right="900"/>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 xml:space="preserve">"pago por que mi hijo entrene en la deportiva dos horas dos veces a la semana y este señor a cada rato interrumpe sus entrenamientos para sus </w:t>
      </w:r>
      <w:proofErr w:type="spellStart"/>
      <w:r w:rsidRPr="001B5AF7">
        <w:rPr>
          <w:rFonts w:ascii="Palatino Linotype" w:eastAsia="Palatino Linotype" w:hAnsi="Palatino Linotype" w:cs="Palatino Linotype"/>
          <w:i/>
          <w:sz w:val="22"/>
          <w:szCs w:val="22"/>
        </w:rPr>
        <w:t>aeventos</w:t>
      </w:r>
      <w:proofErr w:type="spellEnd"/>
      <w:r w:rsidRPr="001B5AF7">
        <w:rPr>
          <w:rFonts w:ascii="Palatino Linotype" w:eastAsia="Palatino Linotype" w:hAnsi="Palatino Linotype" w:cs="Palatino Linotype"/>
          <w:i/>
          <w:sz w:val="22"/>
          <w:szCs w:val="22"/>
        </w:rPr>
        <w:t xml:space="preserve"> y protocolos, </w:t>
      </w:r>
      <w:proofErr w:type="spellStart"/>
      <w:r w:rsidRPr="001B5AF7">
        <w:rPr>
          <w:rFonts w:ascii="Palatino Linotype" w:eastAsia="Palatino Linotype" w:hAnsi="Palatino Linotype" w:cs="Palatino Linotype"/>
          <w:i/>
          <w:sz w:val="22"/>
          <w:szCs w:val="22"/>
        </w:rPr>
        <w:t>mas</w:t>
      </w:r>
      <w:proofErr w:type="spellEnd"/>
      <w:r w:rsidRPr="001B5AF7">
        <w:rPr>
          <w:rFonts w:ascii="Palatino Linotype" w:eastAsia="Palatino Linotype" w:hAnsi="Palatino Linotype" w:cs="Palatino Linotype"/>
          <w:i/>
          <w:sz w:val="22"/>
          <w:szCs w:val="22"/>
        </w:rPr>
        <w:t xml:space="preserve"> aparte </w:t>
      </w:r>
      <w:r w:rsidRPr="001B5AF7">
        <w:rPr>
          <w:rFonts w:ascii="Palatino Linotype" w:eastAsia="Palatino Linotype" w:hAnsi="Palatino Linotype" w:cs="Palatino Linotype"/>
          <w:b/>
          <w:i/>
          <w:sz w:val="22"/>
          <w:szCs w:val="22"/>
          <w:u w:val="single"/>
        </w:rPr>
        <w:t xml:space="preserve">no me contestaron nada no me dan </w:t>
      </w:r>
      <w:proofErr w:type="spellStart"/>
      <w:r w:rsidRPr="001B5AF7">
        <w:rPr>
          <w:rFonts w:ascii="Palatino Linotype" w:eastAsia="Palatino Linotype" w:hAnsi="Palatino Linotype" w:cs="Palatino Linotype"/>
          <w:b/>
          <w:i/>
          <w:sz w:val="22"/>
          <w:szCs w:val="22"/>
          <w:u w:val="single"/>
        </w:rPr>
        <w:t>respuiesta</w:t>
      </w:r>
      <w:proofErr w:type="spellEnd"/>
      <w:r w:rsidRPr="001B5AF7">
        <w:rPr>
          <w:rFonts w:ascii="Palatino Linotype" w:eastAsia="Palatino Linotype" w:hAnsi="Palatino Linotype" w:cs="Palatino Linotype"/>
          <w:i/>
          <w:sz w:val="22"/>
          <w:szCs w:val="22"/>
        </w:rPr>
        <w:t>" (sic)</w:t>
      </w:r>
    </w:p>
    <w:p w14:paraId="36E013A5" w14:textId="77777777" w:rsidR="00914D27" w:rsidRPr="001B5AF7" w:rsidRDefault="004D571B">
      <w:pPr>
        <w:spacing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6. Turno. </w:t>
      </w:r>
      <w:r w:rsidRPr="001B5AF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B5AF7">
        <w:rPr>
          <w:rFonts w:ascii="Palatino Linotype" w:eastAsia="Palatino Linotype" w:hAnsi="Palatino Linotype" w:cs="Palatino Linotype"/>
          <w:b/>
        </w:rPr>
        <w:t xml:space="preserve">Guadalupe Ramírez Peña, </w:t>
      </w:r>
      <w:r w:rsidRPr="001B5AF7">
        <w:rPr>
          <w:rFonts w:ascii="Palatino Linotype" w:eastAsia="Palatino Linotype" w:hAnsi="Palatino Linotype" w:cs="Palatino Linotype"/>
        </w:rPr>
        <w:t xml:space="preserve">a efecto de que analizara sobre su admisión o su </w:t>
      </w:r>
      <w:proofErr w:type="spellStart"/>
      <w:r w:rsidRPr="001B5AF7">
        <w:rPr>
          <w:rFonts w:ascii="Palatino Linotype" w:eastAsia="Palatino Linotype" w:hAnsi="Palatino Linotype" w:cs="Palatino Linotype"/>
        </w:rPr>
        <w:t>desechamiento</w:t>
      </w:r>
      <w:proofErr w:type="spellEnd"/>
      <w:r w:rsidRPr="001B5AF7">
        <w:rPr>
          <w:rFonts w:ascii="Palatino Linotype" w:eastAsia="Palatino Linotype" w:hAnsi="Palatino Linotype" w:cs="Palatino Linotype"/>
        </w:rPr>
        <w:t>.</w:t>
      </w:r>
    </w:p>
    <w:p w14:paraId="4D5E6CEB" w14:textId="77777777" w:rsidR="00914D27" w:rsidRPr="001B5AF7" w:rsidRDefault="004D571B">
      <w:pPr>
        <w:spacing w:before="240" w:after="240" w:line="360" w:lineRule="auto"/>
        <w:jc w:val="both"/>
        <w:rPr>
          <w:rFonts w:ascii="Palatino Linotype" w:eastAsia="Palatino Linotype" w:hAnsi="Palatino Linotype" w:cs="Palatino Linotype"/>
          <w:b/>
        </w:rPr>
      </w:pPr>
      <w:r w:rsidRPr="001B5AF7">
        <w:rPr>
          <w:rFonts w:ascii="Palatino Linotype" w:eastAsia="Palatino Linotype" w:hAnsi="Palatino Linotype" w:cs="Palatino Linotype"/>
          <w:b/>
        </w:rPr>
        <w:t>7. Admisión del Recurso de revisión.</w:t>
      </w:r>
      <w:r w:rsidRPr="001B5AF7">
        <w:rPr>
          <w:rFonts w:ascii="Palatino Linotype" w:eastAsia="Palatino Linotype" w:hAnsi="Palatino Linotype" w:cs="Palatino Linotype"/>
        </w:rPr>
        <w:t xml:space="preserve"> El</w:t>
      </w:r>
      <w:r w:rsidRPr="001B5AF7">
        <w:rPr>
          <w:rFonts w:ascii="Palatino Linotype" w:eastAsia="Palatino Linotype" w:hAnsi="Palatino Linotype" w:cs="Palatino Linotype"/>
          <w:b/>
        </w:rPr>
        <w:t xml:space="preserve"> doce de marzo de dos mil veinticinco, </w:t>
      </w:r>
      <w:r w:rsidRPr="001B5AF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presentara su informe justificado.</w:t>
      </w:r>
    </w:p>
    <w:p w14:paraId="3A855441"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1B5AF7">
        <w:rPr>
          <w:rFonts w:ascii="Palatino Linotype" w:eastAsia="Palatino Linotype" w:hAnsi="Palatino Linotype" w:cs="Palatino Linotype"/>
          <w:b/>
        </w:rPr>
        <w:t>8. Manifestaciones</w:t>
      </w:r>
      <w:r w:rsidRPr="001B5AF7">
        <w:rPr>
          <w:rFonts w:ascii="Palatino Linotype" w:eastAsia="Palatino Linotype" w:hAnsi="Palatino Linotype" w:cs="Palatino Linotype"/>
        </w:rPr>
        <w:t xml:space="preserve">. El </w:t>
      </w:r>
      <w:r w:rsidRPr="001B5AF7">
        <w:rPr>
          <w:rFonts w:ascii="Palatino Linotype" w:eastAsia="Palatino Linotype" w:hAnsi="Palatino Linotype" w:cs="Palatino Linotype"/>
          <w:b/>
        </w:rPr>
        <w:t>veinte de marzo de dos mil veinticinco</w:t>
      </w:r>
      <w:r w:rsidRPr="001B5AF7">
        <w:rPr>
          <w:rFonts w:ascii="Palatino Linotype" w:eastAsia="Palatino Linotype" w:hAnsi="Palatino Linotype" w:cs="Palatino Linotype"/>
        </w:rPr>
        <w:t xml:space="preserve">, 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remitió, a través del SAIMEX, su informe justificado, mediante el cual ratifica en lo </w:t>
      </w:r>
      <w:r w:rsidRPr="001B5AF7">
        <w:rPr>
          <w:rFonts w:ascii="Palatino Linotype" w:eastAsia="Palatino Linotype" w:hAnsi="Palatino Linotype" w:cs="Palatino Linotype"/>
        </w:rPr>
        <w:lastRenderedPageBreak/>
        <w:t xml:space="preserve">sustancial la respuesta emitida en primera instancia, asimismo, manifestó que la información requerida está relacionada con hechos de inconformidad subjetivos, por lo que al inferir que se pretende denunciar la actuación de un servidor público en la que se pueda determinar alguna responsabilidad administrativa por los actos u omisiones en que se incurran, se orienta a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para presentar su denuncia con la evidencia documental que acredite sus hechos, a través del Sistema de Atención Mexiquense (SAM) (</w:t>
      </w:r>
      <w:hyperlink r:id="rId8">
        <w:r w:rsidRPr="001B5AF7">
          <w:rPr>
            <w:rFonts w:ascii="Palatino Linotype" w:eastAsia="Palatino Linotype" w:hAnsi="Palatino Linotype" w:cs="Palatino Linotype"/>
            <w:u w:val="single"/>
          </w:rPr>
          <w:t>https://portal.secogem.gob.mx/sam</w:t>
        </w:r>
      </w:hyperlink>
      <w:r w:rsidRPr="001B5AF7">
        <w:rPr>
          <w:rFonts w:ascii="Palatino Linotype" w:eastAsia="Palatino Linotype" w:hAnsi="Palatino Linotype" w:cs="Palatino Linotype"/>
        </w:rPr>
        <w:t>).</w:t>
      </w:r>
    </w:p>
    <w:p w14:paraId="27FE1622"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Una vez analizada la información, se determinó hacerla del conocimiento de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con la finalidad de que manifestara lo que a su derecho estimara conveniente, sin embargo, fue omisa en ejercer dicha prerrogativa.</w:t>
      </w:r>
    </w:p>
    <w:p w14:paraId="59A3EBFE"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9. Cierre de instrucción. </w:t>
      </w:r>
      <w:r w:rsidRPr="001B5AF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B5AF7">
        <w:rPr>
          <w:rFonts w:ascii="Palatino Linotype" w:eastAsia="Palatino Linotype" w:hAnsi="Palatino Linotype" w:cs="Palatino Linotype"/>
          <w:b/>
        </w:rPr>
        <w:t>veintiocho de marzo de dos mil veinticinco</w:t>
      </w:r>
      <w:r w:rsidRPr="001B5AF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0A160B8"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10</w:t>
      </w:r>
      <w:r w:rsidRPr="001B5AF7">
        <w:rPr>
          <w:rFonts w:ascii="Palatino Linotype" w:eastAsia="Palatino Linotype" w:hAnsi="Palatino Linotype" w:cs="Palatino Linotype"/>
        </w:rPr>
        <w:t xml:space="preserve">. </w:t>
      </w:r>
      <w:r w:rsidRPr="001B5AF7">
        <w:rPr>
          <w:rFonts w:ascii="Palatino Linotype" w:eastAsia="Palatino Linotype" w:hAnsi="Palatino Linotype" w:cs="Palatino Linotype"/>
          <w:b/>
        </w:rPr>
        <w:t>Ampliación del término para resolver</w:t>
      </w:r>
      <w:r w:rsidRPr="001B5AF7">
        <w:rPr>
          <w:rFonts w:ascii="Palatino Linotype" w:eastAsia="Palatino Linotype" w:hAnsi="Palatino Linotype" w:cs="Palatino Linotype"/>
        </w:rPr>
        <w:t xml:space="preserve">. El </w:t>
      </w:r>
      <w:r w:rsidRPr="001B5AF7">
        <w:rPr>
          <w:rFonts w:ascii="Palatino Linotype" w:eastAsia="Palatino Linotype" w:hAnsi="Palatino Linotype" w:cs="Palatino Linotype"/>
          <w:b/>
        </w:rPr>
        <w:t>veintinueve de abril de dos mil veinticinco</w:t>
      </w:r>
      <w:r w:rsidRPr="001B5AF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A082678"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5B8A934" w14:textId="77777777" w:rsidR="00914D27" w:rsidRPr="001B5AF7" w:rsidRDefault="004D571B">
      <w:pPr>
        <w:widowControl w:val="0"/>
        <w:spacing w:before="240" w:after="240" w:line="360" w:lineRule="auto"/>
        <w:jc w:val="center"/>
        <w:rPr>
          <w:rFonts w:ascii="Palatino Linotype" w:eastAsia="Palatino Linotype" w:hAnsi="Palatino Linotype" w:cs="Palatino Linotype"/>
          <w:b/>
        </w:rPr>
      </w:pPr>
      <w:r w:rsidRPr="001B5AF7">
        <w:rPr>
          <w:rFonts w:ascii="Palatino Linotype" w:eastAsia="Palatino Linotype" w:hAnsi="Palatino Linotype" w:cs="Palatino Linotype"/>
          <w:b/>
        </w:rPr>
        <w:t>II. C O N S I D E R A N D O S</w:t>
      </w:r>
    </w:p>
    <w:p w14:paraId="08400C81"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Primero. Competencia.</w:t>
      </w:r>
      <w:r w:rsidRPr="001B5AF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2C77D3"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B5AF7">
        <w:rPr>
          <w:rFonts w:ascii="Palatino Linotype" w:eastAsia="Palatino Linotype" w:hAnsi="Palatino Linotype" w:cs="Palatino Linotype"/>
          <w:b/>
        </w:rPr>
        <w:t>Segundo. Oportunidad y Procedibilidad del Recurso de Revisión</w:t>
      </w:r>
      <w:r w:rsidRPr="001B5AF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0FD8DA6"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 xml:space="preserve">remitió la respuesta a la solicitud de información el día </w:t>
      </w:r>
      <w:r w:rsidRPr="001B5AF7">
        <w:rPr>
          <w:rFonts w:ascii="Palatino Linotype" w:eastAsia="Palatino Linotype" w:hAnsi="Palatino Linotype" w:cs="Palatino Linotype"/>
          <w:b/>
        </w:rPr>
        <w:t xml:space="preserve">siete de marzo de dos mil veinticinco, </w:t>
      </w:r>
      <w:r w:rsidRPr="001B5AF7">
        <w:rPr>
          <w:rFonts w:ascii="Palatino Linotype" w:eastAsia="Palatino Linotype" w:hAnsi="Palatino Linotype" w:cs="Palatino Linotype"/>
        </w:rPr>
        <w:t xml:space="preserve">mientras que el recurso de revisión interpuesto por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se tuvo por presentado el día</w:t>
      </w:r>
      <w:r w:rsidRPr="001B5AF7">
        <w:rPr>
          <w:rFonts w:ascii="Palatino Linotype" w:eastAsia="Palatino Linotype" w:hAnsi="Palatino Linotype" w:cs="Palatino Linotype"/>
          <w:b/>
        </w:rPr>
        <w:t xml:space="preserve"> siete de marzo de dos mil veinticinco, </w:t>
      </w:r>
      <w:r w:rsidRPr="001B5AF7">
        <w:rPr>
          <w:rFonts w:ascii="Palatino Linotype" w:eastAsia="Palatino Linotype" w:hAnsi="Palatino Linotype" w:cs="Palatino Linotype"/>
        </w:rPr>
        <w:t>esto es, el mismo día en el que tuvo conocimiento de las respuestas impugnadas. En este sentido, se concluye que el presente recurso de revisión se encuentra dentro de los márgenes temporales previstos en las disposiciones legales referidas.</w:t>
      </w:r>
    </w:p>
    <w:p w14:paraId="4A301BC1"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1B5AF7">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2A59E18"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bookmarkStart w:id="8" w:name="_heading=h.faxtvsvmde5q" w:colFirst="0" w:colLast="0"/>
      <w:bookmarkEnd w:id="8"/>
      <w:r w:rsidRPr="001B5AF7">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1B5AF7">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w:t>
      </w:r>
      <w:r w:rsidRPr="001B5AF7">
        <w:rPr>
          <w:rFonts w:ascii="Palatino Linotype" w:eastAsia="Palatino Linotype" w:hAnsi="Palatino Linotype" w:cs="Palatino Linotype"/>
          <w:i/>
          <w:sz w:val="22"/>
          <w:szCs w:val="22"/>
        </w:rPr>
        <w:lastRenderedPageBreak/>
        <w:t>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6AED68A" w14:textId="77777777" w:rsidR="00914D27" w:rsidRPr="001B5AF7" w:rsidRDefault="004D571B">
      <w:pPr>
        <w:tabs>
          <w:tab w:val="left" w:pos="7938"/>
        </w:tabs>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691B1D"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Finalmente, se advierte que resulta procedente la interposición del recurso, según lo manifestado por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en sus motivos de inconformidad, de acuerdo al artículo 179, fracciones I y VII del ordenamiento legal citado, que a la letra dice: </w:t>
      </w:r>
    </w:p>
    <w:p w14:paraId="7741FD1A" w14:textId="77777777" w:rsidR="00914D27" w:rsidRPr="001B5AF7" w:rsidRDefault="004D571B">
      <w:pPr>
        <w:tabs>
          <w:tab w:val="left" w:pos="7938"/>
        </w:tabs>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w:t>
      </w:r>
      <w:r w:rsidRPr="001B5AF7">
        <w:rPr>
          <w:rFonts w:ascii="Palatino Linotype" w:eastAsia="Palatino Linotype" w:hAnsi="Palatino Linotype" w:cs="Palatino Linotype"/>
          <w:b/>
          <w:i/>
          <w:sz w:val="22"/>
          <w:szCs w:val="22"/>
        </w:rPr>
        <w:t>Artículo 179.</w:t>
      </w:r>
      <w:r w:rsidRPr="001B5AF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997B8EB" w14:textId="77777777" w:rsidR="00914D27" w:rsidRPr="001B5AF7" w:rsidRDefault="004D571B">
      <w:pPr>
        <w:tabs>
          <w:tab w:val="left" w:pos="7938"/>
        </w:tabs>
        <w:spacing w:before="120" w:after="120"/>
        <w:ind w:left="1134" w:right="900"/>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I.</w:t>
      </w:r>
      <w:r w:rsidRPr="001B5AF7">
        <w:rPr>
          <w:rFonts w:ascii="Palatino Linotype" w:eastAsia="Palatino Linotype" w:hAnsi="Palatino Linotype" w:cs="Palatino Linotype"/>
          <w:i/>
          <w:sz w:val="22"/>
          <w:szCs w:val="22"/>
        </w:rPr>
        <w:t xml:space="preserve"> La negativa a la información solicitada;</w:t>
      </w:r>
    </w:p>
    <w:p w14:paraId="0C9DED8F" w14:textId="77777777" w:rsidR="00914D27" w:rsidRPr="001B5AF7" w:rsidRDefault="004D571B">
      <w:pPr>
        <w:tabs>
          <w:tab w:val="left" w:pos="7938"/>
        </w:tabs>
        <w:spacing w:before="120" w:after="120"/>
        <w:ind w:left="1134" w:right="900"/>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w:t>
      </w:r>
    </w:p>
    <w:p w14:paraId="21AF46CA" w14:textId="77777777" w:rsidR="00914D27" w:rsidRPr="001B5AF7" w:rsidRDefault="004D571B">
      <w:pPr>
        <w:tabs>
          <w:tab w:val="left" w:pos="7938"/>
        </w:tabs>
        <w:spacing w:before="120" w:after="120"/>
        <w:ind w:left="1134" w:right="900"/>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VII.</w:t>
      </w:r>
      <w:r w:rsidRPr="001B5AF7">
        <w:rPr>
          <w:rFonts w:ascii="Palatino Linotype" w:eastAsia="Palatino Linotype" w:hAnsi="Palatino Linotype" w:cs="Palatino Linotype"/>
          <w:i/>
          <w:sz w:val="22"/>
          <w:szCs w:val="22"/>
        </w:rPr>
        <w:t xml:space="preserve"> La falta de respuesta a una solicitud de acceso a la información;</w:t>
      </w:r>
    </w:p>
    <w:p w14:paraId="5C3B83EE" w14:textId="77777777" w:rsidR="00914D27" w:rsidRPr="001B5AF7" w:rsidRDefault="004D571B">
      <w:pPr>
        <w:spacing w:before="240" w:after="240" w:line="360" w:lineRule="auto"/>
        <w:jc w:val="both"/>
        <w:rPr>
          <w:rFonts w:ascii="Palatino Linotype" w:eastAsia="Palatino Linotype" w:hAnsi="Palatino Linotype" w:cs="Palatino Linotype"/>
          <w:b/>
        </w:rPr>
      </w:pPr>
      <w:r w:rsidRPr="001B5AF7">
        <w:rPr>
          <w:rFonts w:ascii="Palatino Linotype" w:eastAsia="Palatino Linotype" w:hAnsi="Palatino Linotype" w:cs="Palatino Linotype"/>
          <w:b/>
        </w:rPr>
        <w:t xml:space="preserve">Tercero. Materia de la revisión. </w:t>
      </w:r>
      <w:r w:rsidRPr="001B5AF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B5AF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B5AF7">
        <w:rPr>
          <w:rFonts w:ascii="Palatino Linotype" w:eastAsia="Palatino Linotype" w:hAnsi="Palatino Linotype" w:cs="Palatino Linotype"/>
        </w:rPr>
        <w:t xml:space="preserve">de la parte </w:t>
      </w:r>
      <w:r w:rsidRPr="001B5AF7">
        <w:rPr>
          <w:rFonts w:ascii="Palatino Linotype" w:eastAsia="Palatino Linotype" w:hAnsi="Palatino Linotype" w:cs="Palatino Linotype"/>
          <w:b/>
        </w:rPr>
        <w:lastRenderedPageBreak/>
        <w:t>Recurrente</w:t>
      </w:r>
      <w:r w:rsidRPr="001B5AF7">
        <w:rPr>
          <w:rFonts w:ascii="Palatino Linotype" w:eastAsia="Palatino Linotype" w:hAnsi="Palatino Linotype" w:cs="Palatino Linotype"/>
        </w:rPr>
        <w:t>, o en su defecto, en caso de ser procedente, ordenar la entrega de información.</w:t>
      </w:r>
    </w:p>
    <w:p w14:paraId="7241256A"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9" w:name="_heading=h.2et92p0" w:colFirst="0" w:colLast="0"/>
      <w:bookmarkEnd w:id="9"/>
      <w:r w:rsidRPr="001B5AF7">
        <w:rPr>
          <w:rFonts w:ascii="Palatino Linotype" w:eastAsia="Palatino Linotype" w:hAnsi="Palatino Linotype" w:cs="Palatino Linotype"/>
          <w:b/>
        </w:rPr>
        <w:t xml:space="preserve">Cuarto. Estudio del asunto. </w:t>
      </w:r>
      <w:r w:rsidRPr="001B5AF7">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845392F"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w:t>
      </w:r>
      <w:r w:rsidRPr="001B5AF7">
        <w:rPr>
          <w:rFonts w:ascii="Palatino Linotype" w:eastAsia="Palatino Linotype" w:hAnsi="Palatino Linotype" w:cs="Palatino Linotype"/>
          <w:b/>
          <w:i/>
          <w:sz w:val="22"/>
          <w:szCs w:val="22"/>
        </w:rPr>
        <w:t>Artículo 4</w:t>
      </w:r>
      <w:r w:rsidRPr="001B5AF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2AFACA6"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B5AF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7F1759"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B5AF7">
        <w:rPr>
          <w:rFonts w:ascii="Palatino Linotype" w:eastAsia="Palatino Linotype" w:hAnsi="Palatino Linotype" w:cs="Palatino Linotype"/>
          <w:i/>
          <w:sz w:val="22"/>
          <w:szCs w:val="22"/>
        </w:rPr>
        <w:t>.”</w:t>
      </w:r>
    </w:p>
    <w:p w14:paraId="4EAF9044"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03E5FDD"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“Artículo 12.-</w:t>
      </w:r>
      <w:r w:rsidRPr="001B5AF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3F06EFD"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B5AF7">
        <w:rPr>
          <w:rFonts w:ascii="Palatino Linotype" w:eastAsia="Palatino Linotype" w:hAnsi="Palatino Linotype" w:cs="Palatino Linotype"/>
          <w:i/>
          <w:sz w:val="22"/>
          <w:szCs w:val="22"/>
        </w:rPr>
        <w:t xml:space="preserve">. </w:t>
      </w:r>
      <w:r w:rsidRPr="001B5AF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9DEA140" w14:textId="77777777" w:rsidR="00914D27" w:rsidRPr="001B5AF7" w:rsidRDefault="004D571B">
      <w:pPr>
        <w:spacing w:before="240" w:after="240" w:line="360" w:lineRule="auto"/>
        <w:ind w:right="-93"/>
        <w:jc w:val="both"/>
        <w:rPr>
          <w:rFonts w:ascii="Palatino Linotype" w:eastAsia="Palatino Linotype" w:hAnsi="Palatino Linotype" w:cs="Palatino Linotype"/>
        </w:rPr>
      </w:pPr>
      <w:r w:rsidRPr="001B5AF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CDCD6B6" w14:textId="77777777" w:rsidR="00914D27" w:rsidRPr="001B5AF7" w:rsidRDefault="004D571B">
      <w:pPr>
        <w:spacing w:before="240" w:after="240" w:line="360" w:lineRule="auto"/>
        <w:jc w:val="both"/>
        <w:rPr>
          <w:rFonts w:ascii="Palatino Linotype" w:eastAsia="Palatino Linotype" w:hAnsi="Palatino Linotype" w:cs="Palatino Linotype"/>
          <w:b/>
        </w:rPr>
      </w:pPr>
      <w:r w:rsidRPr="001B5AF7">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w:t>
      </w:r>
      <w:r w:rsidRPr="001B5AF7">
        <w:rPr>
          <w:rFonts w:ascii="Palatino Linotype" w:eastAsia="Palatino Linotype" w:hAnsi="Palatino Linotype" w:cs="Palatino Linotype"/>
        </w:rPr>
        <w:lastRenderedPageBreak/>
        <w:t>Información y Protección de Datos Personales, que por rubro y texto, dispone lo siguiente:</w:t>
      </w:r>
      <w:r w:rsidRPr="001B5AF7">
        <w:rPr>
          <w:rFonts w:ascii="Palatino Linotype" w:eastAsia="Palatino Linotype" w:hAnsi="Palatino Linotype" w:cs="Palatino Linotype"/>
          <w:b/>
        </w:rPr>
        <w:t xml:space="preserve"> </w:t>
      </w:r>
    </w:p>
    <w:p w14:paraId="1F25E261" w14:textId="77777777" w:rsidR="00914D27" w:rsidRPr="001B5AF7" w:rsidRDefault="004D571B">
      <w:pPr>
        <w:spacing w:before="120" w:after="120"/>
        <w:ind w:left="1134"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 xml:space="preserve"> “</w:t>
      </w:r>
      <w:r w:rsidRPr="001B5AF7">
        <w:rPr>
          <w:rFonts w:ascii="Palatino Linotype" w:eastAsia="Palatino Linotype" w:hAnsi="Palatino Linotype" w:cs="Palatino Linotype"/>
          <w:b/>
          <w:i/>
          <w:sz w:val="22"/>
          <w:szCs w:val="22"/>
        </w:rPr>
        <w:t>No existe obligación de elaborar documentos ad hoc para atender las solicitudes de acceso a la información.</w:t>
      </w:r>
      <w:r w:rsidRPr="001B5AF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B6A6A0D" w14:textId="77777777" w:rsidR="00914D27" w:rsidRPr="001B5AF7" w:rsidRDefault="004D571B">
      <w:pPr>
        <w:spacing w:before="120" w:after="12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731ACA" w14:textId="77777777" w:rsidR="00914D27" w:rsidRPr="001B5AF7" w:rsidRDefault="004D571B">
      <w:pPr>
        <w:spacing w:before="120" w:after="12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1B5AF7">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36D77559"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w:t>
      </w:r>
      <w:r w:rsidRPr="001B5AF7">
        <w:rPr>
          <w:rFonts w:ascii="Palatino Linotype" w:eastAsia="Palatino Linotype" w:hAnsi="Palatino Linotype" w:cs="Palatino Linotype"/>
          <w:b/>
          <w:i/>
          <w:sz w:val="22"/>
          <w:szCs w:val="22"/>
        </w:rPr>
        <w:t xml:space="preserve">Artículo 3. </w:t>
      </w:r>
      <w:r w:rsidRPr="001B5AF7">
        <w:rPr>
          <w:rFonts w:ascii="Palatino Linotype" w:eastAsia="Palatino Linotype" w:hAnsi="Palatino Linotype" w:cs="Palatino Linotype"/>
          <w:i/>
          <w:sz w:val="22"/>
          <w:szCs w:val="22"/>
        </w:rPr>
        <w:t>Para los efectos de la presente Ley se entenderá por:</w:t>
      </w:r>
    </w:p>
    <w:p w14:paraId="02BDB97E" w14:textId="77777777" w:rsidR="00914D27" w:rsidRPr="001B5AF7" w:rsidRDefault="004D571B">
      <w:pPr>
        <w:spacing w:before="120" w:after="120"/>
        <w:ind w:left="1134"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w:t>
      </w:r>
    </w:p>
    <w:p w14:paraId="4381C84D" w14:textId="77777777" w:rsidR="00914D27" w:rsidRPr="001B5AF7" w:rsidRDefault="004D571B">
      <w:pPr>
        <w:spacing w:before="120" w:after="120"/>
        <w:ind w:left="1134"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i/>
          <w:sz w:val="22"/>
          <w:szCs w:val="22"/>
        </w:rPr>
        <w:t>XI. Documento:</w:t>
      </w:r>
      <w:r w:rsidRPr="001B5AF7">
        <w:rPr>
          <w:rFonts w:ascii="Palatino Linotype" w:eastAsia="Palatino Linotype" w:hAnsi="Palatino Linotype" w:cs="Palatino Linotype"/>
          <w:i/>
          <w:sz w:val="22"/>
          <w:szCs w:val="22"/>
        </w:rPr>
        <w:t xml:space="preserve"> Los expedientes, reportes, estudios, actas</w:t>
      </w:r>
      <w:r w:rsidRPr="001B5AF7">
        <w:rPr>
          <w:rFonts w:ascii="Palatino Linotype" w:eastAsia="Palatino Linotype" w:hAnsi="Palatino Linotype" w:cs="Palatino Linotype"/>
          <w:b/>
          <w:i/>
          <w:sz w:val="22"/>
          <w:szCs w:val="22"/>
        </w:rPr>
        <w:t>,</w:t>
      </w:r>
      <w:r w:rsidRPr="001B5AF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4EE0E49"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BA6EEF9"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b/>
          <w:sz w:val="22"/>
          <w:szCs w:val="22"/>
        </w:rPr>
        <w:t>“</w:t>
      </w:r>
      <w:r w:rsidRPr="001B5AF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B5AF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2A81DF" w14:textId="77777777" w:rsidR="00914D27" w:rsidRPr="001B5AF7" w:rsidRDefault="004D571B">
      <w:pPr>
        <w:spacing w:before="120" w:after="120"/>
        <w:ind w:left="851"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FC549C9" w14:textId="77777777" w:rsidR="00914D27" w:rsidRPr="001B5AF7" w:rsidRDefault="004D571B">
      <w:pPr>
        <w:spacing w:before="120" w:after="120"/>
        <w:ind w:left="1134"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EAC94EF" w14:textId="77777777" w:rsidR="00914D27" w:rsidRPr="001B5AF7" w:rsidRDefault="004D571B">
      <w:pPr>
        <w:spacing w:before="120" w:after="120"/>
        <w:ind w:left="1134"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3DDA8AD6" w14:textId="77777777" w:rsidR="00914D27" w:rsidRPr="001B5AF7" w:rsidRDefault="004D571B">
      <w:pPr>
        <w:spacing w:before="120" w:after="120"/>
        <w:ind w:left="1134" w:right="902"/>
        <w:jc w:val="both"/>
        <w:rPr>
          <w:rFonts w:ascii="Palatino Linotype" w:eastAsia="Palatino Linotype" w:hAnsi="Palatino Linotype" w:cs="Palatino Linotype"/>
          <w:i/>
          <w:sz w:val="22"/>
          <w:szCs w:val="22"/>
        </w:rPr>
      </w:pPr>
      <w:r w:rsidRPr="001B5AF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40D10E2" w14:textId="77777777" w:rsidR="00914D27" w:rsidRPr="001B5AF7" w:rsidRDefault="004D571B">
      <w:pPr>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44D591D"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1B5AF7">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26606B0E" w14:textId="77777777" w:rsidR="00914D27" w:rsidRPr="001B5AF7" w:rsidRDefault="004D571B">
      <w:pPr>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En este tenor, previo al estudio de fondo del presente asunto, es de suma importancia mencionar que tanto de la lectura de la solicitud, el desahogo de la aclaración, así como de los motivos de inconformidad hechos valer en el recurso de revisión, se advierte que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realizó diversos planteamientos subjetivos, tales como “</w:t>
      </w:r>
      <w:r w:rsidRPr="001B5AF7">
        <w:rPr>
          <w:rFonts w:ascii="Palatino Linotype" w:eastAsia="Palatino Linotype" w:hAnsi="Palatino Linotype" w:cs="Palatino Linotype"/>
          <w:i/>
        </w:rPr>
        <w:t xml:space="preserve">nosotros </w:t>
      </w:r>
      <w:proofErr w:type="spellStart"/>
      <w:r w:rsidRPr="001B5AF7">
        <w:rPr>
          <w:rFonts w:ascii="Palatino Linotype" w:eastAsia="Palatino Linotype" w:hAnsi="Palatino Linotype" w:cs="Palatino Linotype"/>
          <w:i/>
        </w:rPr>
        <w:t>paagamos</w:t>
      </w:r>
      <w:proofErr w:type="spellEnd"/>
      <w:r w:rsidRPr="001B5AF7">
        <w:rPr>
          <w:rFonts w:ascii="Palatino Linotype" w:eastAsia="Palatino Linotype" w:hAnsi="Palatino Linotype" w:cs="Palatino Linotype"/>
          <w:i/>
        </w:rPr>
        <w:t xml:space="preserve"> por que los entrenen no por ver al señor hacer sus actos protocolarios, como para eso si nos toma en cuenta pero cuando un compañerito de mi hijo fue asaltado dentro de las instalaciones el señor llego justo en ese momento y ni se detuvo para ver que </w:t>
      </w:r>
      <w:proofErr w:type="spellStart"/>
      <w:r w:rsidRPr="001B5AF7">
        <w:rPr>
          <w:rFonts w:ascii="Palatino Linotype" w:eastAsia="Palatino Linotype" w:hAnsi="Palatino Linotype" w:cs="Palatino Linotype"/>
          <w:i/>
        </w:rPr>
        <w:t>sucedia</w:t>
      </w:r>
      <w:proofErr w:type="spellEnd"/>
      <w:r w:rsidRPr="001B5AF7">
        <w:rPr>
          <w:rFonts w:ascii="Palatino Linotype" w:eastAsia="Palatino Linotype" w:hAnsi="Palatino Linotype" w:cs="Palatino Linotype"/>
          <w:i/>
        </w:rPr>
        <w:t xml:space="preserve"> se </w:t>
      </w:r>
      <w:proofErr w:type="spellStart"/>
      <w:r w:rsidRPr="001B5AF7">
        <w:rPr>
          <w:rFonts w:ascii="Palatino Linotype" w:eastAsia="Palatino Linotype" w:hAnsi="Palatino Linotype" w:cs="Palatino Linotype"/>
          <w:i/>
        </w:rPr>
        <w:t>siguio</w:t>
      </w:r>
      <w:proofErr w:type="spellEnd"/>
      <w:r w:rsidRPr="001B5AF7">
        <w:rPr>
          <w:rFonts w:ascii="Palatino Linotype" w:eastAsia="Palatino Linotype" w:hAnsi="Palatino Linotype" w:cs="Palatino Linotype"/>
          <w:i/>
        </w:rPr>
        <w:t xml:space="preserve"> de largo y solo mando a uno de sus achichincles a disque solucionar y ninguna respuesta me dan hasta ahora, seremos como </w:t>
      </w:r>
      <w:proofErr w:type="spellStart"/>
      <w:r w:rsidRPr="001B5AF7">
        <w:rPr>
          <w:rFonts w:ascii="Palatino Linotype" w:eastAsia="Palatino Linotype" w:hAnsi="Palatino Linotype" w:cs="Palatino Linotype"/>
          <w:i/>
        </w:rPr>
        <w:t>el</w:t>
      </w:r>
      <w:proofErr w:type="spellEnd"/>
      <w:r w:rsidRPr="001B5AF7">
        <w:rPr>
          <w:rFonts w:ascii="Palatino Linotype" w:eastAsia="Palatino Linotype" w:hAnsi="Palatino Linotype" w:cs="Palatino Linotype"/>
          <w:i/>
        </w:rPr>
        <w:t xml:space="preserve"> sea con los padres de familia”, “que reglamento dice que deben perder sus horas de entrenamiento por ver al señor ensayar sus actos protocolarios y quitarles a los niños horas por las que los papas pagamos para ENTRENAR no para ensayar con el ... </w:t>
      </w:r>
      <w:proofErr w:type="spellStart"/>
      <w:r w:rsidRPr="001B5AF7">
        <w:rPr>
          <w:rFonts w:ascii="Palatino Linotype" w:eastAsia="Palatino Linotype" w:hAnsi="Palatino Linotype" w:cs="Palatino Linotype"/>
          <w:i/>
        </w:rPr>
        <w:t>por que</w:t>
      </w:r>
      <w:proofErr w:type="spellEnd"/>
      <w:r w:rsidRPr="001B5AF7">
        <w:rPr>
          <w:rFonts w:ascii="Palatino Linotype" w:eastAsia="Palatino Linotype" w:hAnsi="Palatino Linotype" w:cs="Palatino Linotype"/>
          <w:i/>
        </w:rPr>
        <w:t xml:space="preserve"> no es la primera vez ” </w:t>
      </w:r>
      <w:r w:rsidRPr="001B5AF7">
        <w:rPr>
          <w:rFonts w:ascii="Palatino Linotype" w:eastAsia="Palatino Linotype" w:hAnsi="Palatino Linotype" w:cs="Palatino Linotype"/>
        </w:rPr>
        <w:t>y “</w:t>
      </w:r>
      <w:r w:rsidRPr="001B5AF7">
        <w:rPr>
          <w:rFonts w:ascii="Palatino Linotype" w:eastAsia="Palatino Linotype" w:hAnsi="Palatino Linotype" w:cs="Palatino Linotype"/>
          <w:i/>
        </w:rPr>
        <w:t xml:space="preserve">pago por que mi hijo entrene en la deportiva dos horas dos veces a la semana y este señor a cada rato interrumpe sus entrenamientos para sus </w:t>
      </w:r>
      <w:proofErr w:type="spellStart"/>
      <w:r w:rsidRPr="001B5AF7">
        <w:rPr>
          <w:rFonts w:ascii="Palatino Linotype" w:eastAsia="Palatino Linotype" w:hAnsi="Palatino Linotype" w:cs="Palatino Linotype"/>
          <w:i/>
        </w:rPr>
        <w:t>aeventos</w:t>
      </w:r>
      <w:proofErr w:type="spellEnd"/>
      <w:r w:rsidRPr="001B5AF7">
        <w:rPr>
          <w:rFonts w:ascii="Palatino Linotype" w:eastAsia="Palatino Linotype" w:hAnsi="Palatino Linotype" w:cs="Palatino Linotype"/>
          <w:i/>
        </w:rPr>
        <w:t xml:space="preserve"> y protocolos</w:t>
      </w:r>
      <w:r w:rsidRPr="001B5AF7">
        <w:rPr>
          <w:rFonts w:ascii="Palatino Linotype" w:eastAsia="Palatino Linotype" w:hAnsi="Palatino Linotype" w:cs="Palatino Linotype"/>
        </w:rPr>
        <w:t xml:space="preserve">”(sic)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w:t>
      </w:r>
      <w:r w:rsidRPr="001B5AF7">
        <w:rPr>
          <w:rFonts w:ascii="Palatino Linotype" w:eastAsia="Palatino Linotype" w:hAnsi="Palatino Linotype" w:cs="Palatino Linotype"/>
        </w:rPr>
        <w:lastRenderedPageBreak/>
        <w:t>contextualizar el requerimiento de información, así como los motivos de inconformidad. En este sentido, se trata de manifestaciones sobre las cuales este Instituto no está facultado para pronunciarse.</w:t>
      </w:r>
    </w:p>
    <w:p w14:paraId="5BF7B06E" w14:textId="77777777" w:rsidR="00914D27" w:rsidRPr="001B5AF7" w:rsidRDefault="004D571B">
      <w:pPr>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Por otro lado, por lo que se refiere a </w:t>
      </w:r>
      <w:r w:rsidRPr="001B5AF7">
        <w:rPr>
          <w:rFonts w:ascii="Palatino Linotype" w:eastAsia="Palatino Linotype" w:hAnsi="Palatino Linotype" w:cs="Palatino Linotype"/>
          <w:b/>
        </w:rPr>
        <w:t xml:space="preserve">si el tiempo de entrenamiento perdido se va a reponer, quien va a reponer las horas de entrenamiento pérdidas, o si se van a pagar dichas horas, </w:t>
      </w:r>
      <w:r w:rsidRPr="001B5AF7">
        <w:rPr>
          <w:rFonts w:ascii="Palatino Linotype" w:eastAsia="Palatino Linotype" w:hAnsi="Palatino Linotype" w:cs="Palatino Linotype"/>
        </w:rPr>
        <w:t xml:space="preserve">debe apuntarse que se trata de planeamientos mediante los cuales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 xml:space="preserve">pretende se responda de manera categórica a sus inquietudes, situación que conlleva a precisar que con tales pronunciamientos no pretendió ejercer su derecho de acceso a la información pública; sino que por este medio presentó diversas interrogantes cuya finalidad es obligar a la autoridad a que actúe en el sentido de contestar lo solicitado, que no es factible atenderse vía acceso a la información pública, toda vez, que la atención a dichos cuestionamientos no se puede colmar con documentos que obren en los archivos del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w:t>
      </w:r>
    </w:p>
    <w:p w14:paraId="48385C94"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Por lo anterior, del análisis realizado al expediente electrónico, se advierte que esta parte de la solicitud no constituye un derecho de acceso a la información y por lo tanto no es atendible mediante una solicitud de acceso a la información pública, porque se tratan de manifestaciones, interrogantes y/o declaraciones, vertidas por la persona solicitante, situación que conlleva a afirmar que se está en presencia del ejercicio del derecho a la libre expresión y en todo caso a un derecho de petición. </w:t>
      </w:r>
    </w:p>
    <w:p w14:paraId="354473D5" w14:textId="77777777" w:rsidR="00914D27" w:rsidRPr="001B5AF7" w:rsidRDefault="004D571B">
      <w:pPr>
        <w:spacing w:before="240" w:after="240" w:line="360" w:lineRule="auto"/>
        <w:jc w:val="both"/>
        <w:rPr>
          <w:rFonts w:ascii="Palatino Linotype" w:eastAsia="Palatino Linotype" w:hAnsi="Palatino Linotype" w:cs="Palatino Linotype"/>
          <w:i/>
        </w:rPr>
      </w:pPr>
      <w:r w:rsidRPr="001B5AF7">
        <w:rPr>
          <w:rFonts w:ascii="Palatino Linotype" w:eastAsia="Palatino Linotype" w:hAnsi="Palatino Linotype" w:cs="Palatino Linotype"/>
        </w:rPr>
        <w:lastRenderedPageBreak/>
        <w:t xml:space="preserve">A efecto de sustentar lo anterior, es preciso mencionar que David Cienfuegos Salgado, concibe al derecho de petición como </w:t>
      </w:r>
      <w:r w:rsidRPr="001B5AF7">
        <w:rPr>
          <w:rFonts w:ascii="Palatino Linotype" w:eastAsia="Palatino Linotype" w:hAnsi="Palatino Linotype" w:cs="Palatino Linotype"/>
          <w:i/>
        </w:rPr>
        <w:t>“</w:t>
      </w:r>
      <w:r w:rsidRPr="001B5AF7">
        <w:rPr>
          <w:rFonts w:ascii="Palatino Linotype" w:eastAsia="Palatino Linotype" w:hAnsi="Palatino Linotype" w:cs="Palatino Linotype"/>
          <w:b/>
          <w:i/>
          <w:u w:val="single"/>
        </w:rPr>
        <w:t>el derecho de toda persona a ser escuchado por quienes ejercen el poder públic</w:t>
      </w:r>
      <w:r w:rsidRPr="001B5AF7">
        <w:rPr>
          <w:rFonts w:ascii="Palatino Linotype" w:eastAsia="Palatino Linotype" w:hAnsi="Palatino Linotype" w:cs="Palatino Linotype"/>
          <w:i/>
        </w:rPr>
        <w:t>o.</w:t>
      </w:r>
      <w:r w:rsidRPr="001B5AF7">
        <w:rPr>
          <w:rFonts w:ascii="Palatino Linotype" w:eastAsia="Palatino Linotype" w:hAnsi="Palatino Linotype" w:cs="Palatino Linotype"/>
          <w:i/>
          <w:vertAlign w:val="superscript"/>
        </w:rPr>
        <w:t xml:space="preserve"> </w:t>
      </w:r>
      <w:r w:rsidRPr="001B5AF7">
        <w:rPr>
          <w:rFonts w:ascii="Palatino Linotype" w:eastAsia="Palatino Linotype" w:hAnsi="Palatino Linotype" w:cs="Palatino Linotype"/>
          <w:i/>
          <w:vertAlign w:val="superscript"/>
        </w:rPr>
        <w:footnoteReference w:id="1"/>
      </w:r>
      <w:r w:rsidRPr="001B5AF7">
        <w:rPr>
          <w:rFonts w:ascii="Palatino Linotype" w:eastAsia="Palatino Linotype" w:hAnsi="Palatino Linotype" w:cs="Palatino Linotype"/>
          <w:i/>
        </w:rPr>
        <w:t xml:space="preserve">” (Sic) </w:t>
      </w:r>
    </w:p>
    <w:p w14:paraId="1E1C7298"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De la misma manera, Miguel Carbonell en su libro “Los derechos fundamentales” refiere que el </w:t>
      </w:r>
      <w:r w:rsidRPr="001B5AF7">
        <w:rPr>
          <w:rFonts w:ascii="Palatino Linotype" w:eastAsia="Palatino Linotype" w:hAnsi="Palatino Linotype" w:cs="Palatino Linotype"/>
          <w:u w:val="single"/>
        </w:rPr>
        <w:t>derecho de petición se ha entendido de dos distintitas maneras</w:t>
      </w:r>
      <w:r w:rsidRPr="001B5AF7">
        <w:rPr>
          <w:rFonts w:ascii="Palatino Linotype" w:eastAsia="Palatino Linotype" w:hAnsi="Palatino Linotype" w:cs="Palatino Linotype"/>
        </w:rPr>
        <w:t xml:space="preserve">, a saber: como un derecho fundamental de participación política ya que </w:t>
      </w:r>
      <w:r w:rsidRPr="001B5AF7">
        <w:rPr>
          <w:rFonts w:ascii="Palatino Linotype" w:eastAsia="Palatino Linotype" w:hAnsi="Palatino Linotype" w:cs="Palatino Linotype"/>
          <w:u w:val="single"/>
        </w:rPr>
        <w:t xml:space="preserve">permite a los particulares trasladar a las autoridades sus </w:t>
      </w:r>
      <w:r w:rsidRPr="001B5AF7">
        <w:rPr>
          <w:rFonts w:ascii="Palatino Linotype" w:eastAsia="Palatino Linotype" w:hAnsi="Palatino Linotype" w:cs="Palatino Linotype"/>
          <w:b/>
          <w:u w:val="single"/>
        </w:rPr>
        <w:t>inquietudes, quejas</w:t>
      </w:r>
      <w:r w:rsidRPr="001B5AF7">
        <w:rPr>
          <w:rFonts w:ascii="Palatino Linotype" w:eastAsia="Palatino Linotype" w:hAnsi="Palatino Linotype" w:cs="Palatino Linotype"/>
          <w:u w:val="single"/>
        </w:rPr>
        <w:t>, sugerencias</w:t>
      </w:r>
      <w:r w:rsidRPr="001B5AF7">
        <w:rPr>
          <w:rFonts w:ascii="Palatino Linotype" w:eastAsia="Palatino Linotype" w:hAnsi="Palatino Linotype" w:cs="Palatino Linotype"/>
        </w:rPr>
        <w:t xml:space="preserve"> y requerimientos en cualquier materia o asunto; y como una </w:t>
      </w:r>
      <w:r w:rsidRPr="001B5AF7">
        <w:rPr>
          <w:rFonts w:ascii="Palatino Linotype" w:eastAsia="Palatino Linotype" w:hAnsi="Palatino Linotype" w:cs="Palatino Linotype"/>
          <w:b/>
        </w:rPr>
        <w:t>forma específica de la libertad de expresión</w:t>
      </w:r>
      <w:r w:rsidRPr="001B5AF7">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1B5AF7">
        <w:rPr>
          <w:rFonts w:ascii="Palatino Linotype" w:eastAsia="Palatino Linotype" w:hAnsi="Palatino Linotype" w:cs="Palatino Linotype"/>
          <w:vertAlign w:val="superscript"/>
        </w:rPr>
        <w:footnoteReference w:id="2"/>
      </w:r>
    </w:p>
    <w:p w14:paraId="4464FE3F" w14:textId="77777777" w:rsidR="00914D27" w:rsidRPr="001B5AF7" w:rsidRDefault="004D571B">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Por otro lado, el autor anteriormente citado, indica que el </w:t>
      </w:r>
      <w:r w:rsidRPr="001B5AF7">
        <w:rPr>
          <w:rFonts w:ascii="Palatino Linotype" w:eastAsia="Palatino Linotype" w:hAnsi="Palatino Linotype" w:cs="Palatino Linotype"/>
          <w:b/>
          <w:u w:val="single"/>
        </w:rPr>
        <w:t>derecho de acceso a la información pública</w:t>
      </w:r>
      <w:r w:rsidRPr="001B5AF7">
        <w:rPr>
          <w:rFonts w:ascii="Palatino Linotype" w:eastAsia="Palatino Linotype" w:hAnsi="Palatino Linotype" w:cs="Palatino Linotype"/>
        </w:rPr>
        <w:t xml:space="preserve"> es el derecho de conocer la </w:t>
      </w:r>
      <w:r w:rsidRPr="001B5AF7">
        <w:rPr>
          <w:rFonts w:ascii="Palatino Linotype" w:eastAsia="Palatino Linotype" w:hAnsi="Palatino Linotype" w:cs="Palatino Linotype"/>
          <w:u w:val="single"/>
        </w:rPr>
        <w:t>información de carácter público que se genera o está en posesión de los órganos del poder público</w:t>
      </w:r>
      <w:r w:rsidRPr="001B5AF7">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717A863C" w14:textId="77777777" w:rsidR="00914D27" w:rsidRPr="001B5AF7" w:rsidRDefault="004D571B">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1B5AF7">
        <w:rPr>
          <w:rFonts w:ascii="Palatino Linotype" w:eastAsia="Palatino Linotype" w:hAnsi="Palatino Linotype" w:cs="Palatino Linotype"/>
          <w:vertAlign w:val="superscript"/>
        </w:rPr>
        <w:footnoteReference w:id="3"/>
      </w:r>
    </w:p>
    <w:p w14:paraId="047C935A" w14:textId="77777777" w:rsidR="00914D27" w:rsidRPr="001B5AF7" w:rsidRDefault="004D571B">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De lo anterior se puede concluir que la distinción entre el </w:t>
      </w:r>
      <w:r w:rsidRPr="001B5AF7">
        <w:rPr>
          <w:rFonts w:ascii="Palatino Linotype" w:eastAsia="Palatino Linotype" w:hAnsi="Palatino Linotype" w:cs="Palatino Linotype"/>
          <w:b/>
        </w:rPr>
        <w:t>derecho de petición</w:t>
      </w:r>
      <w:r w:rsidRPr="001B5AF7">
        <w:rPr>
          <w:rFonts w:ascii="Palatino Linotype" w:eastAsia="Palatino Linotype" w:hAnsi="Palatino Linotype" w:cs="Palatino Linotype"/>
        </w:rPr>
        <w:t xml:space="preserve"> y el derecho de acceso a la información descansa, principalmente, en que </w:t>
      </w:r>
      <w:r w:rsidRPr="001B5AF7">
        <w:rPr>
          <w:rFonts w:ascii="Palatino Linotype" w:eastAsia="Palatino Linotype" w:hAnsi="Palatino Linotype" w:cs="Palatino Linotype"/>
          <w:u w:val="single"/>
        </w:rPr>
        <w:t xml:space="preserve">la pretensión del peticionario consiste generalmente en obligar a la autoridad responsable a que actúe </w:t>
      </w:r>
      <w:r w:rsidRPr="001B5AF7">
        <w:rPr>
          <w:rFonts w:ascii="Palatino Linotype" w:eastAsia="Palatino Linotype" w:hAnsi="Palatino Linotype" w:cs="Palatino Linotype"/>
        </w:rPr>
        <w:t xml:space="preserve">en el sentido de contestar lo solicitado, mientras que en el </w:t>
      </w:r>
      <w:r w:rsidRPr="001B5AF7">
        <w:rPr>
          <w:rFonts w:ascii="Palatino Linotype" w:eastAsia="Palatino Linotype" w:hAnsi="Palatino Linotype" w:cs="Palatino Linotype"/>
          <w:b/>
        </w:rPr>
        <w:t>derecho de acceso a la información pública</w:t>
      </w:r>
      <w:r w:rsidRPr="001B5AF7">
        <w:rPr>
          <w:rFonts w:ascii="Palatino Linotype" w:eastAsia="Palatino Linotype" w:hAnsi="Palatino Linotype" w:cs="Palatino Linotype"/>
        </w:rPr>
        <w:t xml:space="preserve"> </w:t>
      </w:r>
      <w:r w:rsidRPr="001B5AF7">
        <w:rPr>
          <w:rFonts w:ascii="Palatino Linotype" w:eastAsia="Palatino Linotype" w:hAnsi="Palatino Linotype" w:cs="Palatino Linotype"/>
          <w:u w:val="single"/>
        </w:rPr>
        <w:t>la pretensión radica en que se permita el acceso a datos y todo tipo de documentación que tenga el carácter de información pública, que sea generada, administrada o se encuentre en posesión de los considerados Sujetos Obligados</w:t>
      </w:r>
      <w:r w:rsidRPr="001B5AF7">
        <w:rPr>
          <w:rFonts w:ascii="Palatino Linotype" w:eastAsia="Palatino Linotype" w:hAnsi="Palatino Linotype" w:cs="Palatino Linotype"/>
        </w:rPr>
        <w:t xml:space="preserve"> por la Ley de la Materia.</w:t>
      </w:r>
    </w:p>
    <w:p w14:paraId="3A2D985F" w14:textId="77777777" w:rsidR="00914D27" w:rsidRPr="001B5AF7" w:rsidRDefault="004D571B">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Con base a lo anterior, tenemos que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pretendió se le informe </w:t>
      </w:r>
      <w:r w:rsidRPr="001B5AF7">
        <w:rPr>
          <w:rFonts w:ascii="Palatino Linotype" w:eastAsia="Palatino Linotype" w:hAnsi="Palatino Linotype" w:cs="Palatino Linotype"/>
          <w:b/>
        </w:rPr>
        <w:t>si el tiempo de entrenamiento perdido se va a reponer, quien va a reponer las horas de entrenamiento pérdidas, o si se van a pagar dichas horas,</w:t>
      </w:r>
      <w:r w:rsidRPr="001B5AF7">
        <w:rPr>
          <w:rFonts w:ascii="Palatino Linotype" w:eastAsia="Palatino Linotype" w:hAnsi="Palatino Linotype" w:cs="Palatino Linotype"/>
        </w:rPr>
        <w:t xml:space="preserve">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w:t>
      </w:r>
      <w:r w:rsidRPr="001B5AF7">
        <w:rPr>
          <w:rFonts w:ascii="Palatino Linotype" w:eastAsia="Palatino Linotype" w:hAnsi="Palatino Linotype" w:cs="Palatino Linotype"/>
        </w:rPr>
        <w:lastRenderedPageBreak/>
        <w:t xml:space="preserve">explicado, al constituir </w:t>
      </w:r>
      <w:r w:rsidRPr="001B5AF7">
        <w:rPr>
          <w:rFonts w:ascii="Palatino Linotype" w:eastAsia="Palatino Linotype" w:hAnsi="Palatino Linotype" w:cs="Palatino Linotype"/>
          <w:b/>
          <w:u w:val="single"/>
        </w:rPr>
        <w:t>interrogantes, inquietudes, quejas y manifestaciones</w:t>
      </w:r>
      <w:r w:rsidRPr="001B5AF7">
        <w:rPr>
          <w:rFonts w:ascii="Palatino Linotype" w:eastAsia="Palatino Linotype" w:hAnsi="Palatino Linotype" w:cs="Palatino Linotype"/>
        </w:rPr>
        <w:t xml:space="preserve"> resultan estar encaminadas a ser satisfechas en ejercicio del Derecho de petición.</w:t>
      </w:r>
    </w:p>
    <w:p w14:paraId="023B4297" w14:textId="77777777" w:rsidR="00914D27" w:rsidRPr="001B5AF7" w:rsidRDefault="004D571B">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esta parte de la solicitud de la persona solicitante es tendente a que el </w:t>
      </w:r>
      <w:r w:rsidRPr="001B5AF7">
        <w:rPr>
          <w:rFonts w:ascii="Palatino Linotype" w:eastAsia="Palatino Linotype" w:hAnsi="Palatino Linotype" w:cs="Palatino Linotype"/>
          <w:b/>
        </w:rPr>
        <w:t xml:space="preserve">Sujeto </w:t>
      </w:r>
      <w:r w:rsidRPr="001B5AF7">
        <w:rPr>
          <w:rFonts w:ascii="Palatino Linotype" w:eastAsia="Palatino Linotype" w:hAnsi="Palatino Linotype" w:cs="Palatino Linotype"/>
          <w:b/>
        </w:rPr>
        <w:lastRenderedPageBreak/>
        <w:t>Obligado</w:t>
      </w:r>
      <w:r w:rsidRPr="001B5AF7">
        <w:rPr>
          <w:rFonts w:ascii="Palatino Linotype" w:eastAsia="Palatino Linotype" w:hAnsi="Palatino Linotype" w:cs="Palatino Linotype"/>
        </w:rPr>
        <w:t xml:space="preserve"> aclare o actué sobre una inquietud, en consecuencia no es procedente ordenar la entrega de documento alguno, toda vez que no se pretendió el acceso a documentos previamente generados, sino un pronunciamiento del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w:t>
      </w:r>
    </w:p>
    <w:p w14:paraId="367658AC" w14:textId="77777777" w:rsidR="00914D27" w:rsidRPr="001B5AF7" w:rsidRDefault="004D571B">
      <w:pPr>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Una vez aclarado lo anterior, del análisis de la solicitud de información, motivo del recurso de revisión que ahora se resuelve, se advierte que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requirió al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le proporcione, información consistente en lo siguiente:</w:t>
      </w:r>
    </w:p>
    <w:p w14:paraId="753492B4" w14:textId="77777777" w:rsidR="00914D27" w:rsidRPr="001B5AF7" w:rsidRDefault="004D571B">
      <w:pPr>
        <w:spacing w:before="240" w:after="240" w:line="360" w:lineRule="auto"/>
        <w:ind w:left="284" w:right="51"/>
        <w:jc w:val="both"/>
        <w:rPr>
          <w:rFonts w:ascii="Palatino Linotype" w:eastAsia="Palatino Linotype" w:hAnsi="Palatino Linotype" w:cs="Palatino Linotype"/>
        </w:rPr>
      </w:pPr>
      <w:r w:rsidRPr="001B5AF7">
        <w:rPr>
          <w:rFonts w:ascii="Palatino Linotype" w:eastAsia="Palatino Linotype" w:hAnsi="Palatino Linotype" w:cs="Palatino Linotype"/>
        </w:rPr>
        <w:t>1. El documento en donde se indique a los papás de los clubes de futbol que se van a interrumpir los entrenamientos para que el Director General haga con ellos sus ensayos.</w:t>
      </w:r>
    </w:p>
    <w:p w14:paraId="7CECFA86" w14:textId="77777777" w:rsidR="00914D27" w:rsidRPr="001B5AF7" w:rsidRDefault="004D571B">
      <w:pPr>
        <w:pBdr>
          <w:top w:val="nil"/>
          <w:left w:val="nil"/>
          <w:bottom w:val="nil"/>
          <w:right w:val="nil"/>
          <w:between w:val="nil"/>
        </w:pBdr>
        <w:tabs>
          <w:tab w:val="left" w:pos="709"/>
        </w:tabs>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En ejercicio de la facultad conferida en el artículo 159, primer párrafo de la Ley de Transparencia y Acceso a la Información Pública del Estado de México, 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requirió a la persona solicitante a través de la Titular de la Unidad de Transparencia, a efecto de que, dentro de los diez días hábiles siguientes, complementara, corrigiera o ampliara los datos de su solicitud, que facilitaran la búsqueda o la localización de la información precisando a qué documento público desea tener acceso y la unidad administrativa a la que está dirigida la solicitud.</w:t>
      </w:r>
    </w:p>
    <w:p w14:paraId="2A53DFB1" w14:textId="77777777" w:rsidR="00914D27" w:rsidRPr="001B5AF7" w:rsidRDefault="004D571B">
      <w:pPr>
        <w:spacing w:before="240" w:after="240" w:line="360" w:lineRule="auto"/>
        <w:ind w:right="49"/>
        <w:jc w:val="both"/>
        <w:rPr>
          <w:rFonts w:ascii="Palatino Linotype" w:eastAsia="Palatino Linotype" w:hAnsi="Palatino Linotype" w:cs="Palatino Linotype"/>
          <w:b/>
        </w:rPr>
      </w:pPr>
      <w:r w:rsidRPr="001B5AF7">
        <w:rPr>
          <w:rFonts w:ascii="Palatino Linotype" w:eastAsia="Palatino Linotype" w:hAnsi="Palatino Linotype" w:cs="Palatino Linotype"/>
        </w:rPr>
        <w:t xml:space="preserve">La persona solicitante, desahogó el requerimiento de información señalando que </w:t>
      </w:r>
      <w:r w:rsidRPr="001B5AF7">
        <w:rPr>
          <w:rFonts w:ascii="Palatino Linotype" w:eastAsia="Palatino Linotype" w:hAnsi="Palatino Linotype" w:cs="Palatino Linotype"/>
          <w:b/>
        </w:rPr>
        <w:t xml:space="preserve">requería el reglamento o el documento en el que esté escrito o se estipule que todos los asistentes a deportes en la Unidad Deportiva de Zinacantepec y todos </w:t>
      </w:r>
      <w:r w:rsidRPr="001B5AF7">
        <w:rPr>
          <w:rFonts w:ascii="Palatino Linotype" w:eastAsia="Palatino Linotype" w:hAnsi="Palatino Linotype" w:cs="Palatino Linotype"/>
          <w:b/>
        </w:rPr>
        <w:lastRenderedPageBreak/>
        <w:t xml:space="preserve">aquellos que participan en actividades deportivas por las tardes, están obligados a asistir a los actos protocolarios del Director General de Cultura Física y Deporte. </w:t>
      </w:r>
    </w:p>
    <w:p w14:paraId="6EB94A43"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En respuesta,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por conducto de la Dirección General de Cultura, Física y Deporte, informó que derivado de la revisión de las disposiciones que rigen el reglamento aplicable a la Dirección, se concluyó que en ninguna parte del reglamento se establece de manera explícita la obligatoriedad de que los participantes en las actividades deportivas de la Unidad Deportiva de Zinacantepec, asistan a los actos protocolarios organizados por la Dirección General, puntualizando que la asistencia a dichos eventos es completamente voluntaria y no se ha establecido como una obligación en el reglamento ni en las políticas internas de la Dirección General. Asimismo señaló que la práctica habitual para tales efectos, consiste en consultar con los entrenadores sobre quiénes pueden participar en cada evento con la finalidad de fomentar una integración y un trabajo en equipo entre los diferentes deportes, por lo que en cada ocasión que se lleva a cabo un acto de esa naturaleza, se invita a los entrenadores de las diversas disciplinas deportivas para que participen sus equipos, y, si los entrenadores consideran conveniente la participación de los menores en estas actividades, se procede de manera voluntaria.</w:t>
      </w:r>
    </w:p>
    <w:p w14:paraId="5562D8AF"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Sin embargo, al no estar conforme con los términos de la respuesta emitida,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interpuso el recurso de revisión que nos ocupa, donde señaló como motivo de inconformidad, que no le dieron respuesta al no haberse contestado nada.</w:t>
      </w:r>
    </w:p>
    <w:p w14:paraId="4C1FA497" w14:textId="77777777" w:rsidR="00914D27" w:rsidRPr="001B5AF7" w:rsidRDefault="004D571B">
      <w:pPr>
        <w:spacing w:before="240" w:after="240" w:line="360" w:lineRule="auto"/>
        <w:jc w:val="both"/>
        <w:rPr>
          <w:rFonts w:ascii="Palatino Linotype" w:eastAsia="Palatino Linotype" w:hAnsi="Palatino Linotype" w:cs="Palatino Linotype"/>
          <w:b/>
        </w:rPr>
      </w:pPr>
      <w:r w:rsidRPr="001B5AF7">
        <w:rPr>
          <w:rFonts w:ascii="Palatino Linotype" w:eastAsia="Palatino Linotype" w:hAnsi="Palatino Linotype" w:cs="Palatino Linotype"/>
        </w:rPr>
        <w:lastRenderedPageBreak/>
        <w:t xml:space="preserve">Durante el periodo de manifestaciones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 xml:space="preserve">ratificó en lo sustancial la respuesta proporcionada en primera instancia, mientras que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fue omisa en emitir manifestaciones.</w:t>
      </w:r>
    </w:p>
    <w:p w14:paraId="74FA07B9" w14:textId="77777777" w:rsidR="00914D27" w:rsidRPr="001B5AF7" w:rsidRDefault="004D571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Una vez establecidas las posturas de las partes, se procede al análisis del  requerimiento de información, así como la información proporcionada por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 xml:space="preserve">en contraposición con el motivo de inconformidad alegado por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con la finalidad de determinar si el Derecho de acceso de esta se satisfizo, o, en su defecto, ordenar el soporte documental correspondiente, en caso de ser procedente.</w:t>
      </w:r>
    </w:p>
    <w:p w14:paraId="3707405D"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C3D08E0"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C8A5217" w14:textId="77777777" w:rsidR="00914D27" w:rsidRPr="001B5AF7" w:rsidRDefault="004D571B">
      <w:pPr>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217C1898"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0C849B3"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En esta línea de pensamiento, derivado del análisis de las constancias que obran en el expediente electrónico en el que se actúa, se advirtió que la Unidad de Transparencia, turnó la solicitud de información a la Dirección General de Cultura, Física y Deporte, cuyo objetivo consiste en impulsar las políticas para la planeación, operación y evaluación de las técnicas y mecanismos para desarrollar la cultura física, el deporte, así como promover y fomentar el turismo deportivo en la entidad, a través del establecimiento y desarrollo de programas y procedimientos encaminados al fomento organizado de estas actividades, entre cuyas funciones se encuentran las siguientes:</w:t>
      </w:r>
    </w:p>
    <w:p w14:paraId="0EC020A3" w14:textId="77777777" w:rsidR="00914D27" w:rsidRPr="001B5AF7" w:rsidRDefault="004D571B">
      <w:pPr>
        <w:spacing w:before="240" w:after="240" w:line="360" w:lineRule="auto"/>
        <w:ind w:left="284" w:right="49"/>
        <w:jc w:val="both"/>
        <w:rPr>
          <w:rFonts w:ascii="Palatino Linotype" w:eastAsia="Palatino Linotype" w:hAnsi="Palatino Linotype" w:cs="Palatino Linotype"/>
        </w:rPr>
      </w:pPr>
      <w:r w:rsidRPr="001B5AF7">
        <w:rPr>
          <w:rFonts w:ascii="Palatino Linotype" w:eastAsia="Palatino Linotype" w:hAnsi="Palatino Linotype" w:cs="Palatino Linotype"/>
        </w:rPr>
        <w:t>- Impulsar programas institucionales de corto, mediano y largo plazo en materia de cultura física y deporte y presentarlos para su aprobación a la persona titular de la Secretaría de Educación, Ciencia, Tecnología e Innovación.</w:t>
      </w:r>
    </w:p>
    <w:p w14:paraId="7BB0C110" w14:textId="77777777" w:rsidR="00914D27" w:rsidRPr="001B5AF7" w:rsidRDefault="004D571B">
      <w:pPr>
        <w:spacing w:before="240" w:after="240" w:line="360" w:lineRule="auto"/>
        <w:ind w:left="284" w:right="49"/>
        <w:jc w:val="both"/>
        <w:rPr>
          <w:rFonts w:ascii="Palatino Linotype" w:eastAsia="Palatino Linotype" w:hAnsi="Palatino Linotype" w:cs="Palatino Linotype"/>
        </w:rPr>
      </w:pPr>
      <w:r w:rsidRPr="001B5AF7">
        <w:rPr>
          <w:rFonts w:ascii="Palatino Linotype" w:eastAsia="Palatino Linotype" w:hAnsi="Palatino Linotype" w:cs="Palatino Linotype"/>
        </w:rPr>
        <w:t>- Avalar en el ámbito de su competencia, las atribuciones que corresponden al Estado en materia de cultura física y deporte, de conformidad con las bases de coordinación previstas en la Ley General de Cultura Física y Deporte y la normatividad estatal aplicable-</w:t>
      </w:r>
    </w:p>
    <w:p w14:paraId="46EB7753" w14:textId="77777777" w:rsidR="00914D27" w:rsidRPr="001B5AF7" w:rsidRDefault="004D571B">
      <w:pPr>
        <w:spacing w:before="240" w:after="240" w:line="360" w:lineRule="auto"/>
        <w:ind w:left="284" w:right="49"/>
        <w:jc w:val="both"/>
        <w:rPr>
          <w:rFonts w:ascii="Palatino Linotype" w:eastAsia="Palatino Linotype" w:hAnsi="Palatino Linotype" w:cs="Palatino Linotype"/>
        </w:rPr>
      </w:pPr>
      <w:r w:rsidRPr="001B5AF7">
        <w:rPr>
          <w:rFonts w:ascii="Palatino Linotype" w:eastAsia="Palatino Linotype" w:hAnsi="Palatino Linotype" w:cs="Palatino Linotype"/>
        </w:rPr>
        <w:t>- Dirigir los proyectos que en materia de cultura física y deporte darán atención a la operación programática presupuestal que se integrarán a la Secretaría de Educación, Ciencia, Tecnología e Innovación.</w:t>
      </w:r>
    </w:p>
    <w:p w14:paraId="524D9660" w14:textId="77777777" w:rsidR="00914D27" w:rsidRPr="001B5AF7" w:rsidRDefault="004D571B">
      <w:pPr>
        <w:spacing w:before="240" w:after="240" w:line="360" w:lineRule="auto"/>
        <w:ind w:left="284" w:right="49"/>
        <w:jc w:val="both"/>
        <w:rPr>
          <w:rFonts w:ascii="Palatino Linotype" w:eastAsia="Palatino Linotype" w:hAnsi="Palatino Linotype" w:cs="Palatino Linotype"/>
        </w:rPr>
      </w:pPr>
      <w:r w:rsidRPr="001B5AF7">
        <w:rPr>
          <w:rFonts w:ascii="Palatino Linotype" w:eastAsia="Palatino Linotype" w:hAnsi="Palatino Linotype" w:cs="Palatino Linotype"/>
        </w:rPr>
        <w:t>- Dirigir los programas de preparación, participación y seguimiento de atletas representativos estatales, en eventos deportivos nacionales e internacionales.</w:t>
      </w:r>
    </w:p>
    <w:p w14:paraId="058EB7F2" w14:textId="77777777" w:rsidR="00914D27" w:rsidRPr="001B5AF7" w:rsidRDefault="004D571B">
      <w:pPr>
        <w:spacing w:before="240" w:after="240" w:line="360" w:lineRule="auto"/>
        <w:ind w:left="284" w:right="49"/>
        <w:jc w:val="both"/>
        <w:rPr>
          <w:rFonts w:ascii="Palatino Linotype" w:eastAsia="Palatino Linotype" w:hAnsi="Palatino Linotype" w:cs="Palatino Linotype"/>
        </w:rPr>
      </w:pPr>
      <w:r w:rsidRPr="001B5AF7">
        <w:rPr>
          <w:rFonts w:ascii="Palatino Linotype" w:eastAsia="Palatino Linotype" w:hAnsi="Palatino Linotype" w:cs="Palatino Linotype"/>
        </w:rPr>
        <w:lastRenderedPageBreak/>
        <w:t>- Coordinar con las asociaciones y federaciones deportivas, el seguimiento de programas para el desarrollo del deporte, en materia de actualización y capacitación.</w:t>
      </w:r>
    </w:p>
    <w:p w14:paraId="4F3374F0" w14:textId="77777777" w:rsidR="00914D27" w:rsidRPr="001B5AF7" w:rsidRDefault="004D571B">
      <w:pPr>
        <w:spacing w:before="240" w:after="240" w:line="360" w:lineRule="auto"/>
        <w:ind w:left="284" w:right="49"/>
        <w:jc w:val="both"/>
        <w:rPr>
          <w:rFonts w:ascii="Palatino Linotype" w:eastAsia="Palatino Linotype" w:hAnsi="Palatino Linotype" w:cs="Palatino Linotype"/>
        </w:rPr>
      </w:pPr>
      <w:r w:rsidRPr="001B5AF7">
        <w:rPr>
          <w:rFonts w:ascii="Palatino Linotype" w:eastAsia="Palatino Linotype" w:hAnsi="Palatino Linotype" w:cs="Palatino Linotype"/>
        </w:rPr>
        <w:t>- Fomentar, impulsar y coordinar las distintas actividades y eventos relacionados con el turismo deportivo</w:t>
      </w:r>
      <w:r w:rsidRPr="001B5AF7">
        <w:t>.</w:t>
      </w:r>
    </w:p>
    <w:p w14:paraId="0419F39B"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Respecto de los Centros y Unidades Deportivas, en la página oficial de la Dirección General de Cultura Física y Deporte, se establece lo siguiente:</w:t>
      </w:r>
    </w:p>
    <w:p w14:paraId="72A341AB" w14:textId="77777777" w:rsidR="00914D27" w:rsidRPr="001B5AF7" w:rsidRDefault="004D571B">
      <w:pPr>
        <w:spacing w:before="240" w:after="240" w:line="360" w:lineRule="auto"/>
        <w:ind w:right="49"/>
        <w:jc w:val="center"/>
        <w:rPr>
          <w:rFonts w:ascii="Palatino Linotype" w:eastAsia="Palatino Linotype" w:hAnsi="Palatino Linotype" w:cs="Palatino Linotype"/>
        </w:rPr>
      </w:pPr>
      <w:r w:rsidRPr="001B5AF7">
        <w:rPr>
          <w:rFonts w:ascii="Palatino Linotype" w:eastAsia="Palatino Linotype" w:hAnsi="Palatino Linotype" w:cs="Palatino Linotype"/>
          <w:noProof/>
        </w:rPr>
        <w:drawing>
          <wp:inline distT="0" distB="0" distL="0" distR="0" wp14:anchorId="6ECF9D07" wp14:editId="2DC817D8">
            <wp:extent cx="4320000" cy="3819959"/>
            <wp:effectExtent l="0" t="0" r="0" b="0"/>
            <wp:docPr id="20832964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34658"/>
                    <a:stretch>
                      <a:fillRect/>
                    </a:stretch>
                  </pic:blipFill>
                  <pic:spPr>
                    <a:xfrm>
                      <a:off x="0" y="0"/>
                      <a:ext cx="4320000" cy="3819959"/>
                    </a:xfrm>
                    <a:prstGeom prst="rect">
                      <a:avLst/>
                    </a:prstGeom>
                    <a:ln/>
                  </pic:spPr>
                </pic:pic>
              </a:graphicData>
            </a:graphic>
          </wp:inline>
        </w:drawing>
      </w:r>
      <w:r w:rsidRPr="001B5AF7">
        <w:rPr>
          <w:noProof/>
        </w:rPr>
        <mc:AlternateContent>
          <mc:Choice Requires="wpg">
            <w:drawing>
              <wp:anchor distT="0" distB="0" distL="114300" distR="114300" simplePos="0" relativeHeight="251658240" behindDoc="0" locked="0" layoutInCell="1" hidden="0" allowOverlap="1" wp14:anchorId="70478E82" wp14:editId="043317A7">
                <wp:simplePos x="0" y="0"/>
                <wp:positionH relativeFrom="column">
                  <wp:posOffset>736600</wp:posOffset>
                </wp:positionH>
                <wp:positionV relativeFrom="paragraph">
                  <wp:posOffset>2806700</wp:posOffset>
                </wp:positionV>
                <wp:extent cx="2609850" cy="44450"/>
                <wp:effectExtent l="0" t="0" r="0" b="0"/>
                <wp:wrapNone/>
                <wp:docPr id="2083296453" name="Conector recto de flecha 2083296453"/>
                <wp:cNvGraphicFramePr/>
                <a:graphic xmlns:a="http://schemas.openxmlformats.org/drawingml/2006/main">
                  <a:graphicData uri="http://schemas.microsoft.com/office/word/2010/wordprocessingShape">
                    <wps:wsp>
                      <wps:cNvCnPr/>
                      <wps:spPr>
                        <a:xfrm rot="10800000" flipH="1">
                          <a:off x="4053775" y="3770475"/>
                          <a:ext cx="2584450" cy="19050"/>
                        </a:xfrm>
                        <a:prstGeom prst="straightConnector1">
                          <a:avLst/>
                        </a:prstGeom>
                        <a:noFill/>
                        <a:ln w="25400" cap="flat" cmpd="sng">
                          <a:solidFill>
                            <a:srgbClr val="C00000"/>
                          </a:solidFill>
                          <a:prstDash val="solid"/>
                          <a:round/>
                          <a:headEnd type="none" w="sm" len="sm"/>
                          <a:tailEnd type="none" w="sm" len="sm"/>
                        </a:ln>
                      </wps:spPr>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2806700</wp:posOffset>
                </wp:positionV>
                <wp:extent cx="2609850" cy="44450"/>
                <wp:effectExtent b="0" l="0" r="0" t="0"/>
                <wp:wrapNone/>
                <wp:docPr id="208329645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609850" cy="44450"/>
                        </a:xfrm>
                        <a:prstGeom prst="rect"/>
                        <a:ln/>
                      </pic:spPr>
                    </pic:pic>
                  </a:graphicData>
                </a:graphic>
              </wp:anchor>
            </w:drawing>
          </mc:Fallback>
        </mc:AlternateContent>
      </w:r>
    </w:p>
    <w:p w14:paraId="7C1B3E72" w14:textId="77777777" w:rsidR="00914D27" w:rsidRPr="001B5AF7" w:rsidRDefault="004D571B">
      <w:pPr>
        <w:spacing w:before="240" w:after="240" w:line="360" w:lineRule="auto"/>
        <w:ind w:right="49"/>
        <w:jc w:val="center"/>
        <w:rPr>
          <w:rFonts w:ascii="Palatino Linotype" w:eastAsia="Palatino Linotype" w:hAnsi="Palatino Linotype" w:cs="Palatino Linotype"/>
        </w:rPr>
      </w:pPr>
      <w:r w:rsidRPr="001B5AF7">
        <w:rPr>
          <w:rFonts w:ascii="Palatino Linotype" w:eastAsia="Palatino Linotype" w:hAnsi="Palatino Linotype" w:cs="Palatino Linotype"/>
          <w:noProof/>
        </w:rPr>
        <w:lastRenderedPageBreak/>
        <w:drawing>
          <wp:inline distT="0" distB="0" distL="0" distR="0" wp14:anchorId="371F100D" wp14:editId="3DB786E8">
            <wp:extent cx="4320000" cy="1990736"/>
            <wp:effectExtent l="0" t="0" r="0" b="0"/>
            <wp:docPr id="20832964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66486" b="-539"/>
                    <a:stretch>
                      <a:fillRect/>
                    </a:stretch>
                  </pic:blipFill>
                  <pic:spPr>
                    <a:xfrm>
                      <a:off x="0" y="0"/>
                      <a:ext cx="4320000" cy="1990736"/>
                    </a:xfrm>
                    <a:prstGeom prst="rect">
                      <a:avLst/>
                    </a:prstGeom>
                    <a:ln/>
                  </pic:spPr>
                </pic:pic>
              </a:graphicData>
            </a:graphic>
          </wp:inline>
        </w:drawing>
      </w:r>
      <w:r w:rsidRPr="001B5AF7">
        <w:rPr>
          <w:noProof/>
        </w:rPr>
        <mc:AlternateContent>
          <mc:Choice Requires="wpg">
            <w:drawing>
              <wp:anchor distT="0" distB="0" distL="114300" distR="114300" simplePos="0" relativeHeight="251659264" behindDoc="0" locked="0" layoutInCell="1" hidden="0" allowOverlap="1" wp14:anchorId="44BF575C" wp14:editId="7B873F88">
                <wp:simplePos x="0" y="0"/>
                <wp:positionH relativeFrom="column">
                  <wp:posOffset>508000</wp:posOffset>
                </wp:positionH>
                <wp:positionV relativeFrom="paragraph">
                  <wp:posOffset>1117600</wp:posOffset>
                </wp:positionV>
                <wp:extent cx="177800" cy="892175"/>
                <wp:effectExtent l="0" t="0" r="0" b="0"/>
                <wp:wrapNone/>
                <wp:docPr id="2083296452" name="Abrir llave 2083296452"/>
                <wp:cNvGraphicFramePr/>
                <a:graphic xmlns:a="http://schemas.openxmlformats.org/drawingml/2006/main">
                  <a:graphicData uri="http://schemas.microsoft.com/office/word/2010/wordprocessingShape">
                    <wps:wsp>
                      <wps:cNvSpPr/>
                      <wps:spPr>
                        <a:xfrm>
                          <a:off x="5269800" y="3346613"/>
                          <a:ext cx="152400" cy="866775"/>
                        </a:xfrm>
                        <a:prstGeom prst="leftBrace">
                          <a:avLst>
                            <a:gd name="adj1" fmla="val 8333"/>
                            <a:gd name="adj2" fmla="val 50000"/>
                          </a:avLst>
                        </a:prstGeom>
                        <a:noFill/>
                        <a:ln w="25400" cap="flat" cmpd="sng">
                          <a:solidFill>
                            <a:srgbClr val="C00000"/>
                          </a:solidFill>
                          <a:prstDash val="solid"/>
                          <a:round/>
                          <a:headEnd type="none" w="sm" len="sm"/>
                          <a:tailEnd type="none" w="sm" len="sm"/>
                        </a:ln>
                      </wps:spPr>
                      <wps:txbx>
                        <w:txbxContent>
                          <w:p w14:paraId="406CA117" w14:textId="77777777" w:rsidR="00914D27" w:rsidRDefault="00914D27">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1117600</wp:posOffset>
                </wp:positionV>
                <wp:extent cx="177800" cy="892175"/>
                <wp:effectExtent b="0" l="0" r="0" t="0"/>
                <wp:wrapNone/>
                <wp:docPr id="208329645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77800" cy="892175"/>
                        </a:xfrm>
                        <a:prstGeom prst="rect"/>
                        <a:ln/>
                      </pic:spPr>
                    </pic:pic>
                  </a:graphicData>
                </a:graphic>
              </wp:anchor>
            </w:drawing>
          </mc:Fallback>
        </mc:AlternateContent>
      </w:r>
    </w:p>
    <w:p w14:paraId="3C378909" w14:textId="77777777" w:rsidR="00914D27" w:rsidRPr="001B5AF7" w:rsidRDefault="004D571B">
      <w:pPr>
        <w:tabs>
          <w:tab w:val="left" w:pos="3544"/>
        </w:tabs>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Atento a lo anterior, se colige que en el presente asunto se cumplió con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 al haber turnado la Unidad de Transparencia a las unidades administrativas que cuentan con competencia para conocer de la información solicitada.</w:t>
      </w:r>
    </w:p>
    <w:p w14:paraId="3990EE38" w14:textId="77777777" w:rsidR="00914D27" w:rsidRPr="001B5AF7" w:rsidRDefault="004D571B">
      <w:pPr>
        <w:spacing w:before="240" w:after="240" w:line="360" w:lineRule="auto"/>
        <w:ind w:right="49"/>
        <w:jc w:val="both"/>
        <w:rPr>
          <w:rFonts w:ascii="Palatino Linotype" w:eastAsia="Palatino Linotype" w:hAnsi="Palatino Linotype" w:cs="Palatino Linotype"/>
          <w:sz w:val="28"/>
          <w:szCs w:val="28"/>
        </w:rPr>
      </w:pPr>
      <w:r w:rsidRPr="001B5AF7">
        <w:rPr>
          <w:rFonts w:ascii="Palatino Linotype" w:eastAsia="Palatino Linotype" w:hAnsi="Palatino Linotype" w:cs="Palatino Linotype"/>
        </w:rPr>
        <w:t xml:space="preserve">Ahora bien, en respuesta a la solicitud de información el servidor público habilitado de la Dirección General de Cultura, Física y Deporte, manifestó que en ninguna parte del reglamento aplicable a la Dirección General se establece de manera explícita la obligatoriedad de que los participantes en las actividades deportivas de la Unidad Deportiva de Zinacantepec, asistan a los actos protocolarios organizados por la Dirección, ya que </w:t>
      </w:r>
      <w:r w:rsidRPr="001B5AF7">
        <w:rPr>
          <w:rFonts w:ascii="Palatino Linotype" w:eastAsia="Palatino Linotype" w:hAnsi="Palatino Linotype" w:cs="Palatino Linotype"/>
          <w:b/>
        </w:rPr>
        <w:t xml:space="preserve">la asistencia a dichos eventos </w:t>
      </w:r>
      <w:r w:rsidRPr="001B5AF7">
        <w:rPr>
          <w:rFonts w:ascii="Palatino Linotype" w:eastAsia="Palatino Linotype" w:hAnsi="Palatino Linotype" w:cs="Palatino Linotype"/>
          <w:b/>
          <w:u w:val="single"/>
        </w:rPr>
        <w:t>es completamente voluntaria</w:t>
      </w:r>
      <w:r w:rsidRPr="001B5AF7">
        <w:rPr>
          <w:rFonts w:ascii="Palatino Linotype" w:eastAsia="Palatino Linotype" w:hAnsi="Palatino Linotype" w:cs="Palatino Linotype"/>
          <w:b/>
        </w:rPr>
        <w:t xml:space="preserve"> y </w:t>
      </w:r>
      <w:r w:rsidRPr="001B5AF7">
        <w:rPr>
          <w:rFonts w:ascii="Palatino Linotype" w:eastAsia="Palatino Linotype" w:hAnsi="Palatino Linotype" w:cs="Palatino Linotype"/>
          <w:b/>
          <w:u w:val="single"/>
        </w:rPr>
        <w:t>no se ha establecido como una obligación, en el reglamento ni en las políticas internas.</w:t>
      </w:r>
      <w:r w:rsidRPr="001B5AF7">
        <w:rPr>
          <w:rFonts w:ascii="Palatino Linotype" w:eastAsia="Palatino Linotype" w:hAnsi="Palatino Linotype" w:cs="Palatino Linotype"/>
          <w:b/>
        </w:rPr>
        <w:t xml:space="preserve"> </w:t>
      </w:r>
      <w:r w:rsidRPr="001B5AF7">
        <w:rPr>
          <w:rFonts w:ascii="Palatino Linotype" w:eastAsia="Palatino Linotype" w:hAnsi="Palatino Linotype" w:cs="Palatino Linotype"/>
        </w:rPr>
        <w:t xml:space="preserve">Asimismo, aclaró que la práctica habitual de la Dirección </w:t>
      </w:r>
      <w:r w:rsidRPr="001B5AF7">
        <w:rPr>
          <w:rFonts w:ascii="Palatino Linotype" w:eastAsia="Palatino Linotype" w:hAnsi="Palatino Linotype" w:cs="Palatino Linotype"/>
        </w:rPr>
        <w:lastRenderedPageBreak/>
        <w:t>General, consiste en consultar con los entrenadores sobre quiénes pueden participar en cada evento con la finalidad de fomentar una integración y un trabajo en equipo entre los diferentes deportes. En cada ocasión que se lleva a cabo un acto de esta naturaleza, se les invita a los entrenadores de las diversas disciplinas deportivas para que participen sus equipos. Si los entrenadores consideran conveniente la participación de los menores en estas actividades, se procede de manera voluntaria.</w:t>
      </w:r>
    </w:p>
    <w:p w14:paraId="080FACEB"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En este sentido, se logra vislumbrar que lo contestado por el servidor público habilitado se constituye en una expresión en sentido negativo, puesto que refiere que no existe disposición legal alguna en el reglamento ni en las políticas internas de la Dirección General de Cultura y Deporte que establezca como obligatoria la asistencia de los participantes en las actividades deportivas de la Unidad Deportiva de Zinacantepec a eventos o actos protocolarios de la Dirección General, en el entendido de que la asistencia a los mismos es de manera voluntaria.</w:t>
      </w:r>
    </w:p>
    <w:p w14:paraId="5C696D4A" w14:textId="77777777" w:rsidR="00914D27" w:rsidRPr="001B5AF7" w:rsidRDefault="004D571B">
      <w:pPr>
        <w:spacing w:before="240" w:after="240" w:line="360" w:lineRule="auto"/>
        <w:ind w:right="49"/>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Aunado a lo anterior, cabe mencionar que de la normativa consultada por este Organismo Garante para la resolución del presente asunto, no se localizó precepto  alguno que constriña al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a emitir una disposición legal a fin de regular los actos que la persona solicitante refiere en la solicitud, y establecer la asistencia a los eventos o actos protocolarios de los participantes en las actividades deportivas como una obligación de estos.</w:t>
      </w:r>
    </w:p>
    <w:p w14:paraId="53929962"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Atento a lo anterior, no debe perderse de vista que los Sujetos Obligados sólo deben proporcionar aquella información que hubieran generado en el ejercicio de sus atribuciones y que obre en sus archivos, de conformidad con lo establecido en el </w:t>
      </w:r>
      <w:r w:rsidRPr="001B5AF7">
        <w:rPr>
          <w:rFonts w:ascii="Palatino Linotype" w:eastAsia="Palatino Linotype" w:hAnsi="Palatino Linotype" w:cs="Palatino Linotype"/>
        </w:rPr>
        <w:lastRenderedPageBreak/>
        <w:t>artículo 12 de la Ley de Transparencia y Acceso a la Información Pública del Estado de México y Municipios, lo que a</w:t>
      </w:r>
      <w:r w:rsidRPr="001B5AF7">
        <w:rPr>
          <w:rFonts w:ascii="Palatino Linotype" w:eastAsia="Palatino Linotype" w:hAnsi="Palatino Linotype" w:cs="Palatino Linotype"/>
          <w:i/>
        </w:rPr>
        <w:t xml:space="preserve"> contrario sensu</w:t>
      </w:r>
      <w:r w:rsidRPr="001B5AF7">
        <w:rPr>
          <w:rFonts w:ascii="Palatino Linotype" w:eastAsia="Palatino Linotype" w:hAnsi="Palatino Linotype" w:cs="Palatino Linotype"/>
        </w:rPr>
        <w:t xml:space="preserve"> significa que no se está obligado a proporcionar lo que no obre en sus archivos.</w:t>
      </w:r>
    </w:p>
    <w:p w14:paraId="3A1314DA" w14:textId="77777777" w:rsidR="00914D27" w:rsidRPr="001B5AF7" w:rsidRDefault="004D571B">
      <w:pPr>
        <w:spacing w:before="240" w:after="360" w:line="360" w:lineRule="auto"/>
        <w:ind w:right="18"/>
        <w:jc w:val="both"/>
        <w:rPr>
          <w:rFonts w:ascii="Palatino Linotype" w:eastAsia="Palatino Linotype" w:hAnsi="Palatino Linotype" w:cs="Palatino Linotype"/>
        </w:rPr>
      </w:pPr>
      <w:r w:rsidRPr="001B5AF7">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913B748" w14:textId="77777777" w:rsidR="00914D27" w:rsidRPr="001B5AF7" w:rsidRDefault="004D571B">
      <w:pPr>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t xml:space="preserve">Derivado de lo expuesto, se concluye que los motivos de inconformidad de la parte </w:t>
      </w:r>
      <w:r w:rsidRPr="001B5AF7">
        <w:rPr>
          <w:rFonts w:ascii="Palatino Linotype" w:eastAsia="Palatino Linotype" w:hAnsi="Palatino Linotype" w:cs="Palatino Linotype"/>
          <w:b/>
        </w:rPr>
        <w:t xml:space="preserve">Recurrente </w:t>
      </w:r>
      <w:r w:rsidRPr="001B5AF7">
        <w:rPr>
          <w:rFonts w:ascii="Palatino Linotype" w:eastAsia="Palatino Linotype" w:hAnsi="Palatino Linotype" w:cs="Palatino Linotype"/>
        </w:rPr>
        <w:t xml:space="preserve">devienen infundados, siendo procedente </w:t>
      </w:r>
      <w:r w:rsidRPr="001B5AF7">
        <w:rPr>
          <w:rFonts w:ascii="Palatino Linotype" w:eastAsia="Palatino Linotype" w:hAnsi="Palatino Linotype" w:cs="Palatino Linotype"/>
          <w:i/>
        </w:rPr>
        <w:t xml:space="preserve">Confirmar </w:t>
      </w:r>
      <w:r w:rsidRPr="001B5AF7">
        <w:rPr>
          <w:rFonts w:ascii="Palatino Linotype" w:eastAsia="Palatino Linotype" w:hAnsi="Palatino Linotype" w:cs="Palatino Linotype"/>
        </w:rPr>
        <w:t xml:space="preserve">la respuesta proporcionada por el </w:t>
      </w:r>
      <w:r w:rsidRPr="001B5AF7">
        <w:rPr>
          <w:rFonts w:ascii="Palatino Linotype" w:eastAsia="Palatino Linotype" w:hAnsi="Palatino Linotype" w:cs="Palatino Linotype"/>
          <w:b/>
        </w:rPr>
        <w:t xml:space="preserve">Sujeto Obligado </w:t>
      </w:r>
      <w:r w:rsidRPr="001B5AF7">
        <w:rPr>
          <w:rFonts w:ascii="Palatino Linotype" w:eastAsia="Palatino Linotype" w:hAnsi="Palatino Linotype" w:cs="Palatino Linotype"/>
        </w:rPr>
        <w:t>en términos del artículo 186, fracción II de la Ley de Transparencia y Acceso a la Información Pública del Estado de México y Municipios.</w:t>
      </w:r>
    </w:p>
    <w:p w14:paraId="546AEE97"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255001DB" w14:textId="77777777" w:rsidR="00914D27" w:rsidRPr="001B5AF7" w:rsidRDefault="004D571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B5AF7">
        <w:rPr>
          <w:rFonts w:ascii="Palatino Linotype" w:eastAsia="Palatino Linotype" w:hAnsi="Palatino Linotype" w:cs="Palatino Linotype"/>
          <w:b/>
        </w:rPr>
        <w:t>III. R E S U E L V E</w:t>
      </w:r>
    </w:p>
    <w:p w14:paraId="0963F0B9" w14:textId="77777777" w:rsidR="00914D27" w:rsidRPr="001B5AF7" w:rsidRDefault="004D571B">
      <w:pPr>
        <w:spacing w:before="240" w:after="240" w:line="360" w:lineRule="auto"/>
        <w:jc w:val="both"/>
        <w:rPr>
          <w:rFonts w:ascii="Palatino Linotype" w:eastAsia="Palatino Linotype" w:hAnsi="Palatino Linotype" w:cs="Palatino Linotype"/>
        </w:rPr>
      </w:pPr>
      <w:bookmarkStart w:id="10" w:name="_heading=h.lnxbz9" w:colFirst="0" w:colLast="0"/>
      <w:bookmarkEnd w:id="10"/>
      <w:r w:rsidRPr="001B5AF7">
        <w:rPr>
          <w:rFonts w:ascii="Palatino Linotype" w:eastAsia="Palatino Linotype" w:hAnsi="Palatino Linotype" w:cs="Palatino Linotype"/>
          <w:b/>
        </w:rPr>
        <w:t xml:space="preserve">Primero. </w:t>
      </w:r>
      <w:r w:rsidRPr="001B5AF7">
        <w:rPr>
          <w:rFonts w:ascii="Palatino Linotype" w:eastAsia="Palatino Linotype" w:hAnsi="Palatino Linotype" w:cs="Palatino Linotype"/>
        </w:rPr>
        <w:t xml:space="preserve">Son </w:t>
      </w:r>
      <w:r w:rsidRPr="001B5AF7">
        <w:rPr>
          <w:rFonts w:ascii="Palatino Linotype" w:eastAsia="Palatino Linotype" w:hAnsi="Palatino Linotype" w:cs="Palatino Linotype"/>
          <w:b/>
        </w:rPr>
        <w:t>infundadas</w:t>
      </w:r>
      <w:r w:rsidRPr="001B5AF7">
        <w:rPr>
          <w:rFonts w:ascii="Palatino Linotype" w:eastAsia="Palatino Linotype" w:hAnsi="Palatino Linotype" w:cs="Palatino Linotype"/>
        </w:rPr>
        <w:t xml:space="preserve"> las razones o motivos de inconformidad hechos valer por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en el recurso de revisión </w:t>
      </w:r>
      <w:r w:rsidRPr="001B5AF7">
        <w:rPr>
          <w:rFonts w:ascii="Palatino Linotype" w:eastAsia="Palatino Linotype" w:hAnsi="Palatino Linotype" w:cs="Palatino Linotype"/>
          <w:b/>
        </w:rPr>
        <w:t>02589/INFOEM/IP/RR/2025</w:t>
      </w:r>
      <w:r w:rsidRPr="001B5AF7">
        <w:rPr>
          <w:rFonts w:ascii="Palatino Linotype" w:eastAsia="Palatino Linotype" w:hAnsi="Palatino Linotype" w:cs="Palatino Linotype"/>
        </w:rPr>
        <w:t xml:space="preserve">, por lo que, </w:t>
      </w:r>
      <w:r w:rsidRPr="001B5AF7">
        <w:rPr>
          <w:rFonts w:ascii="Palatino Linotype" w:eastAsia="Palatino Linotype" w:hAnsi="Palatino Linotype" w:cs="Palatino Linotype"/>
        </w:rPr>
        <w:lastRenderedPageBreak/>
        <w:t xml:space="preserve">en términos de los argumentos de derecho señalados en el considerando </w:t>
      </w:r>
      <w:r w:rsidRPr="001B5AF7">
        <w:rPr>
          <w:rFonts w:ascii="Palatino Linotype" w:eastAsia="Palatino Linotype" w:hAnsi="Palatino Linotype" w:cs="Palatino Linotype"/>
          <w:b/>
        </w:rPr>
        <w:t>Cuarto</w:t>
      </w:r>
      <w:r w:rsidRPr="001B5AF7">
        <w:rPr>
          <w:rFonts w:ascii="Palatino Linotype" w:eastAsia="Palatino Linotype" w:hAnsi="Palatino Linotype" w:cs="Palatino Linotype"/>
        </w:rPr>
        <w:t>, se</w:t>
      </w:r>
      <w:r w:rsidRPr="001B5AF7">
        <w:rPr>
          <w:rFonts w:ascii="Palatino Linotype" w:eastAsia="Palatino Linotype" w:hAnsi="Palatino Linotype" w:cs="Palatino Linotype"/>
          <w:b/>
        </w:rPr>
        <w:t xml:space="preserve"> Confirma </w:t>
      </w:r>
      <w:r w:rsidRPr="001B5AF7">
        <w:rPr>
          <w:rFonts w:ascii="Palatino Linotype" w:eastAsia="Palatino Linotype" w:hAnsi="Palatino Linotype" w:cs="Palatino Linotype"/>
        </w:rPr>
        <w:t xml:space="preserve">la respuesta del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w:t>
      </w:r>
    </w:p>
    <w:p w14:paraId="5A16AB98"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Segundo. Notifíquese, </w:t>
      </w:r>
      <w:r w:rsidRPr="001B5AF7">
        <w:rPr>
          <w:rFonts w:ascii="Palatino Linotype" w:eastAsia="Palatino Linotype" w:hAnsi="Palatino Linotype" w:cs="Palatino Linotype"/>
        </w:rPr>
        <w:t xml:space="preserve">vía </w:t>
      </w:r>
      <w:r w:rsidRPr="001B5AF7">
        <w:rPr>
          <w:rFonts w:ascii="Palatino Linotype" w:eastAsia="Palatino Linotype" w:hAnsi="Palatino Linotype" w:cs="Palatino Linotype"/>
          <w:b/>
        </w:rPr>
        <w:t xml:space="preserve">SAIMEX, </w:t>
      </w:r>
      <w:r w:rsidRPr="001B5AF7">
        <w:rPr>
          <w:rFonts w:ascii="Palatino Linotype" w:eastAsia="Palatino Linotype" w:hAnsi="Palatino Linotype" w:cs="Palatino Linotype"/>
        </w:rPr>
        <w:t xml:space="preserve">al Titular de la Unidad de Transparencia del </w:t>
      </w:r>
      <w:r w:rsidRPr="001B5AF7">
        <w:rPr>
          <w:rFonts w:ascii="Palatino Linotype" w:eastAsia="Palatino Linotype" w:hAnsi="Palatino Linotype" w:cs="Palatino Linotype"/>
          <w:b/>
        </w:rPr>
        <w:t>Sujeto Obligado</w:t>
      </w:r>
      <w:r w:rsidRPr="001B5AF7">
        <w:rPr>
          <w:rFonts w:ascii="Palatino Linotype" w:eastAsia="Palatino Linotype" w:hAnsi="Palatino Linotype" w:cs="Palatino Linotype"/>
        </w:rPr>
        <w:t xml:space="preserve"> para su conocimiento, la presente resolución.</w:t>
      </w:r>
    </w:p>
    <w:p w14:paraId="32C1BD83" w14:textId="77777777" w:rsidR="00914D27" w:rsidRPr="001B5AF7" w:rsidRDefault="004D571B">
      <w:pPr>
        <w:spacing w:before="240" w:after="240" w:line="360" w:lineRule="auto"/>
        <w:jc w:val="both"/>
        <w:rPr>
          <w:rFonts w:ascii="Palatino Linotype" w:eastAsia="Palatino Linotype" w:hAnsi="Palatino Linotype" w:cs="Palatino Linotype"/>
        </w:rPr>
      </w:pPr>
      <w:r w:rsidRPr="001B5AF7">
        <w:rPr>
          <w:rFonts w:ascii="Palatino Linotype" w:eastAsia="Palatino Linotype" w:hAnsi="Palatino Linotype" w:cs="Palatino Linotype"/>
          <w:b/>
        </w:rPr>
        <w:t xml:space="preserve">Tercero.  Notifíquese, </w:t>
      </w:r>
      <w:r w:rsidRPr="001B5AF7">
        <w:rPr>
          <w:rFonts w:ascii="Palatino Linotype" w:eastAsia="Palatino Linotype" w:hAnsi="Palatino Linotype" w:cs="Palatino Linotype"/>
        </w:rPr>
        <w:t xml:space="preserve">vía </w:t>
      </w:r>
      <w:r w:rsidRPr="001B5AF7">
        <w:rPr>
          <w:rFonts w:ascii="Palatino Linotype" w:eastAsia="Palatino Linotype" w:hAnsi="Palatino Linotype" w:cs="Palatino Linotype"/>
          <w:b/>
        </w:rPr>
        <w:t xml:space="preserve">SAIMEX, </w:t>
      </w:r>
      <w:r w:rsidRPr="001B5AF7">
        <w:rPr>
          <w:rFonts w:ascii="Palatino Linotype" w:eastAsia="Palatino Linotype" w:hAnsi="Palatino Linotype" w:cs="Palatino Linotype"/>
        </w:rPr>
        <w:t xml:space="preserve">a la parte </w:t>
      </w:r>
      <w:r w:rsidRPr="001B5AF7">
        <w:rPr>
          <w:rFonts w:ascii="Palatino Linotype" w:eastAsia="Palatino Linotype" w:hAnsi="Palatino Linotype" w:cs="Palatino Linotype"/>
          <w:b/>
        </w:rPr>
        <w:t>Recurrente</w:t>
      </w:r>
      <w:r w:rsidRPr="001B5AF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901585" w14:textId="77777777" w:rsidR="00914D27" w:rsidRPr="00824B76" w:rsidRDefault="004D571B">
      <w:pPr>
        <w:tabs>
          <w:tab w:val="left" w:pos="8647"/>
        </w:tabs>
        <w:spacing w:before="240" w:after="240" w:line="360" w:lineRule="auto"/>
        <w:ind w:right="51"/>
        <w:jc w:val="both"/>
        <w:rPr>
          <w:rFonts w:ascii="Palatino Linotype" w:eastAsia="Palatino Linotype" w:hAnsi="Palatino Linotype" w:cs="Palatino Linotype"/>
        </w:rPr>
      </w:pPr>
      <w:r w:rsidRPr="001B5AF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2B965B5F" w14:textId="77777777" w:rsidR="00914D27" w:rsidRPr="00824B76" w:rsidRDefault="00914D27">
      <w:pPr>
        <w:spacing w:line="360" w:lineRule="auto"/>
        <w:jc w:val="both"/>
        <w:rPr>
          <w:rFonts w:ascii="Palatino Linotype" w:eastAsia="Palatino Linotype" w:hAnsi="Palatino Linotype" w:cs="Palatino Linotype"/>
        </w:rPr>
      </w:pPr>
    </w:p>
    <w:p w14:paraId="423C0D00" w14:textId="77777777" w:rsidR="00914D27" w:rsidRPr="00824B76" w:rsidRDefault="00914D27">
      <w:pPr>
        <w:spacing w:line="360" w:lineRule="auto"/>
        <w:jc w:val="both"/>
        <w:rPr>
          <w:rFonts w:ascii="Palatino Linotype" w:eastAsia="Palatino Linotype" w:hAnsi="Palatino Linotype" w:cs="Palatino Linotype"/>
        </w:rPr>
      </w:pPr>
    </w:p>
    <w:p w14:paraId="14CB8967" w14:textId="77777777" w:rsidR="00914D27" w:rsidRPr="00824B76" w:rsidRDefault="00914D27">
      <w:pPr>
        <w:spacing w:line="360" w:lineRule="auto"/>
        <w:jc w:val="both"/>
        <w:rPr>
          <w:rFonts w:ascii="Palatino Linotype" w:eastAsia="Palatino Linotype" w:hAnsi="Palatino Linotype" w:cs="Palatino Linotype"/>
        </w:rPr>
      </w:pPr>
    </w:p>
    <w:p w14:paraId="5F62E412" w14:textId="77777777" w:rsidR="00914D27" w:rsidRPr="00824B76" w:rsidRDefault="00914D27">
      <w:pPr>
        <w:spacing w:line="360" w:lineRule="auto"/>
        <w:jc w:val="both"/>
        <w:rPr>
          <w:rFonts w:ascii="Palatino Linotype" w:eastAsia="Palatino Linotype" w:hAnsi="Palatino Linotype" w:cs="Palatino Linotype"/>
        </w:rPr>
      </w:pPr>
    </w:p>
    <w:p w14:paraId="6FD47475" w14:textId="77777777" w:rsidR="00914D27" w:rsidRPr="00824B76" w:rsidRDefault="00914D27">
      <w:pPr>
        <w:spacing w:line="360" w:lineRule="auto"/>
        <w:jc w:val="both"/>
        <w:rPr>
          <w:rFonts w:ascii="Palatino Linotype" w:eastAsia="Palatino Linotype" w:hAnsi="Palatino Linotype" w:cs="Palatino Linotype"/>
        </w:rPr>
      </w:pPr>
    </w:p>
    <w:p w14:paraId="44849840" w14:textId="77777777" w:rsidR="00914D27" w:rsidRPr="00824B76" w:rsidRDefault="00914D27">
      <w:pPr>
        <w:spacing w:line="360" w:lineRule="auto"/>
        <w:jc w:val="both"/>
        <w:rPr>
          <w:rFonts w:ascii="Palatino Linotype" w:eastAsia="Palatino Linotype" w:hAnsi="Palatino Linotype" w:cs="Palatino Linotype"/>
        </w:rPr>
      </w:pPr>
    </w:p>
    <w:p w14:paraId="2DD1B0E2" w14:textId="77777777" w:rsidR="00914D27" w:rsidRPr="00824B76" w:rsidRDefault="00914D27">
      <w:pPr>
        <w:spacing w:line="360" w:lineRule="auto"/>
        <w:jc w:val="both"/>
        <w:rPr>
          <w:rFonts w:ascii="Palatino Linotype" w:eastAsia="Palatino Linotype" w:hAnsi="Palatino Linotype" w:cs="Palatino Linotype"/>
        </w:rPr>
      </w:pPr>
    </w:p>
    <w:p w14:paraId="607B9B93" w14:textId="77777777" w:rsidR="00914D27" w:rsidRPr="00824B76" w:rsidRDefault="00914D27">
      <w:pPr>
        <w:spacing w:line="360" w:lineRule="auto"/>
        <w:jc w:val="both"/>
        <w:rPr>
          <w:rFonts w:ascii="Palatino Linotype" w:eastAsia="Palatino Linotype" w:hAnsi="Palatino Linotype" w:cs="Palatino Linotype"/>
        </w:rPr>
      </w:pPr>
    </w:p>
    <w:p w14:paraId="010C4F91" w14:textId="77777777" w:rsidR="00914D27" w:rsidRPr="00824B76" w:rsidRDefault="00914D27">
      <w:pPr>
        <w:spacing w:line="360" w:lineRule="auto"/>
        <w:jc w:val="both"/>
        <w:rPr>
          <w:rFonts w:ascii="Palatino Linotype" w:eastAsia="Palatino Linotype" w:hAnsi="Palatino Linotype" w:cs="Palatino Linotype"/>
        </w:rPr>
      </w:pPr>
    </w:p>
    <w:p w14:paraId="50551623" w14:textId="77777777" w:rsidR="00914D27" w:rsidRPr="00824B76" w:rsidRDefault="00914D27">
      <w:pPr>
        <w:spacing w:line="360" w:lineRule="auto"/>
        <w:jc w:val="both"/>
        <w:rPr>
          <w:rFonts w:ascii="Palatino Linotype" w:eastAsia="Palatino Linotype" w:hAnsi="Palatino Linotype" w:cs="Palatino Linotype"/>
        </w:rPr>
      </w:pPr>
    </w:p>
    <w:p w14:paraId="6B3F19D9" w14:textId="77777777" w:rsidR="00914D27" w:rsidRPr="00824B76" w:rsidRDefault="00914D27">
      <w:pPr>
        <w:spacing w:line="360" w:lineRule="auto"/>
        <w:jc w:val="both"/>
        <w:rPr>
          <w:rFonts w:ascii="Palatino Linotype" w:eastAsia="Palatino Linotype" w:hAnsi="Palatino Linotype" w:cs="Palatino Linotype"/>
        </w:rPr>
      </w:pPr>
    </w:p>
    <w:sectPr w:rsidR="00914D27" w:rsidRPr="00824B7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BB9B" w14:textId="77777777" w:rsidR="00DB7497" w:rsidRDefault="00DB7497">
      <w:r>
        <w:separator/>
      </w:r>
    </w:p>
  </w:endnote>
  <w:endnote w:type="continuationSeparator" w:id="0">
    <w:p w14:paraId="6115EB66" w14:textId="77777777" w:rsidR="00DB7497" w:rsidRDefault="00DB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839A" w14:textId="77777777" w:rsidR="00914D27" w:rsidRDefault="004D57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5AF7">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5AF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A6D9A5E" w14:textId="77777777" w:rsidR="00914D27" w:rsidRDefault="00914D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1022" w14:textId="77777777" w:rsidR="00914D27" w:rsidRDefault="004D57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B5AF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B5AF7">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0D8FF0A6" w14:textId="77777777" w:rsidR="00914D27" w:rsidRDefault="00914D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4EF8" w14:textId="77777777" w:rsidR="00DB7497" w:rsidRDefault="00DB7497">
      <w:r>
        <w:separator/>
      </w:r>
    </w:p>
  </w:footnote>
  <w:footnote w:type="continuationSeparator" w:id="0">
    <w:p w14:paraId="05804518" w14:textId="77777777" w:rsidR="00DB7497" w:rsidRDefault="00DB7497">
      <w:r>
        <w:continuationSeparator/>
      </w:r>
    </w:p>
  </w:footnote>
  <w:footnote w:id="1">
    <w:p w14:paraId="0A33C6E8" w14:textId="77777777" w:rsidR="00914D27" w:rsidRDefault="004D571B">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7F6274D0" w14:textId="77777777" w:rsidR="00914D27" w:rsidRDefault="004D571B">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7F285B26" w14:textId="77777777" w:rsidR="00914D27" w:rsidRDefault="004D57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C465" w14:textId="77777777" w:rsidR="00914D27" w:rsidRDefault="004D571B">
    <w:pPr>
      <w:rPr>
        <w:rFonts w:ascii="Cambria" w:eastAsia="Cambria" w:hAnsi="Cambria" w:cs="Cambria"/>
        <w:color w:val="000000"/>
      </w:rPr>
    </w:pPr>
    <w:r>
      <w:rPr>
        <w:noProof/>
      </w:rPr>
      <w:drawing>
        <wp:anchor distT="0" distB="0" distL="0" distR="0" simplePos="0" relativeHeight="251658240" behindDoc="1" locked="0" layoutInCell="1" hidden="0" allowOverlap="1" wp14:anchorId="2F2DF62A" wp14:editId="114978AF">
          <wp:simplePos x="0" y="0"/>
          <wp:positionH relativeFrom="column">
            <wp:posOffset>-1080093</wp:posOffset>
          </wp:positionH>
          <wp:positionV relativeFrom="paragraph">
            <wp:posOffset>-488265</wp:posOffset>
          </wp:positionV>
          <wp:extent cx="7809865" cy="10165715"/>
          <wp:effectExtent l="0" t="0" r="0" b="0"/>
          <wp:wrapNone/>
          <wp:docPr id="20832964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914D27" w14:paraId="404A96C0" w14:textId="77777777">
      <w:tc>
        <w:tcPr>
          <w:tcW w:w="2489" w:type="dxa"/>
          <w:shd w:val="clear" w:color="auto" w:fill="auto"/>
        </w:tcPr>
        <w:p w14:paraId="76C33C37" w14:textId="77777777" w:rsidR="00914D27" w:rsidRDefault="004D57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AEA0EE7" w14:textId="77777777" w:rsidR="00914D27" w:rsidRDefault="004D57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02589/INFOEM/IP/RR/2025</w:t>
          </w:r>
        </w:p>
      </w:tc>
    </w:tr>
    <w:tr w:rsidR="00914D27" w14:paraId="510D28B8" w14:textId="77777777">
      <w:trPr>
        <w:trHeight w:val="228"/>
      </w:trPr>
      <w:tc>
        <w:tcPr>
          <w:tcW w:w="2489" w:type="dxa"/>
          <w:shd w:val="clear" w:color="auto" w:fill="auto"/>
          <w:vAlign w:val="center"/>
        </w:tcPr>
        <w:p w14:paraId="08860DA2" w14:textId="77777777" w:rsidR="00914D27" w:rsidRDefault="004D57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9C5B714" w14:textId="77777777" w:rsidR="00914D27" w:rsidRDefault="004D571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 Ciencia, Tecnología e Innovación</w:t>
          </w:r>
        </w:p>
      </w:tc>
    </w:tr>
    <w:tr w:rsidR="00914D27" w14:paraId="75CC92B9" w14:textId="77777777">
      <w:tc>
        <w:tcPr>
          <w:tcW w:w="2489" w:type="dxa"/>
          <w:shd w:val="clear" w:color="auto" w:fill="auto"/>
          <w:vAlign w:val="center"/>
        </w:tcPr>
        <w:p w14:paraId="00E00C5D" w14:textId="77777777" w:rsidR="00914D27" w:rsidRDefault="004D571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E470661" w14:textId="77777777" w:rsidR="00914D27" w:rsidRDefault="004D57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25C698" w14:textId="77777777" w:rsidR="00914D27" w:rsidRDefault="004D571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5434" w14:textId="77777777" w:rsidR="00914D27" w:rsidRDefault="004D571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AA799BB" wp14:editId="1AC171B4">
          <wp:simplePos x="0" y="0"/>
          <wp:positionH relativeFrom="column">
            <wp:posOffset>-1080119</wp:posOffset>
          </wp:positionH>
          <wp:positionV relativeFrom="paragraph">
            <wp:posOffset>-369894</wp:posOffset>
          </wp:positionV>
          <wp:extent cx="7809865" cy="10165715"/>
          <wp:effectExtent l="0" t="0" r="0" b="0"/>
          <wp:wrapNone/>
          <wp:docPr id="2083296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914D27" w14:paraId="4EECC424" w14:textId="77777777">
      <w:tc>
        <w:tcPr>
          <w:tcW w:w="2489" w:type="dxa"/>
          <w:shd w:val="clear" w:color="auto" w:fill="auto"/>
        </w:tcPr>
        <w:p w14:paraId="4D9315EC" w14:textId="77777777" w:rsidR="00914D27" w:rsidRDefault="004D57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EBCE012" w14:textId="77777777" w:rsidR="00914D27" w:rsidRDefault="004D57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02589/INFOEM/IP/RR/2025</w:t>
          </w:r>
        </w:p>
      </w:tc>
    </w:tr>
    <w:tr w:rsidR="00914D27" w14:paraId="6E58649B" w14:textId="77777777">
      <w:tc>
        <w:tcPr>
          <w:tcW w:w="2489" w:type="dxa"/>
          <w:shd w:val="clear" w:color="auto" w:fill="auto"/>
        </w:tcPr>
        <w:p w14:paraId="6C2D7C5B" w14:textId="77777777" w:rsidR="00914D27" w:rsidRDefault="004D57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808A2C0" w14:textId="7FCA941D" w:rsidR="00914D27" w:rsidRDefault="0055729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 XXXXXXXX XXXXXXXXXX </w:t>
          </w:r>
        </w:p>
      </w:tc>
    </w:tr>
    <w:tr w:rsidR="00914D27" w14:paraId="4CE89A84" w14:textId="77777777">
      <w:trPr>
        <w:trHeight w:val="228"/>
      </w:trPr>
      <w:tc>
        <w:tcPr>
          <w:tcW w:w="2489" w:type="dxa"/>
          <w:shd w:val="clear" w:color="auto" w:fill="auto"/>
          <w:vAlign w:val="center"/>
        </w:tcPr>
        <w:p w14:paraId="50188BBD" w14:textId="77777777" w:rsidR="00914D27" w:rsidRDefault="004D57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8B5AE32" w14:textId="77777777" w:rsidR="00914D27" w:rsidRDefault="004D571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 Ciencia, Tecnología e Innovación</w:t>
          </w:r>
        </w:p>
      </w:tc>
    </w:tr>
    <w:tr w:rsidR="00914D27" w14:paraId="43441B7B" w14:textId="77777777">
      <w:tc>
        <w:tcPr>
          <w:tcW w:w="2489" w:type="dxa"/>
          <w:shd w:val="clear" w:color="auto" w:fill="auto"/>
          <w:vAlign w:val="center"/>
        </w:tcPr>
        <w:p w14:paraId="127C9871" w14:textId="77777777" w:rsidR="00914D27" w:rsidRDefault="004D571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0F0DC66" w14:textId="77777777" w:rsidR="00914D27" w:rsidRDefault="004D57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DF2323" w14:textId="77777777" w:rsidR="00914D27" w:rsidRDefault="00914D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FDE"/>
    <w:multiLevelType w:val="multilevel"/>
    <w:tmpl w:val="07C42E1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27"/>
    <w:rsid w:val="001B5AF7"/>
    <w:rsid w:val="004D571B"/>
    <w:rsid w:val="0055729B"/>
    <w:rsid w:val="00824B76"/>
    <w:rsid w:val="00914D27"/>
    <w:rsid w:val="00DB74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4423"/>
  <w15:docId w15:val="{FBAB3E98-5FB8-40C4-A63D-DA05CABF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character" w:customStyle="1" w:styleId="normaltextrun">
    <w:name w:val="normaltextrun"/>
    <w:basedOn w:val="Fuentedeprrafopredeter"/>
    <w:rsid w:val="009D1D7C"/>
  </w:style>
  <w:style w:type="character" w:customStyle="1" w:styleId="eop">
    <w:name w:val="eop"/>
    <w:basedOn w:val="Fuentedeprrafopredeter"/>
    <w:rsid w:val="009D1D7C"/>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secogem.gob.mx/sa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jNQvHJd8bcjTLfSCzLS+agaIw==">CgMxLjAyCWguM3JkY3JqbjIOaC5kYWozajJ4bzZxNjYyCGguZ2pkZ3hzMgloLjNkeTZ2a20yCWguMzBqMHpsbDIJaC4yczhleW8xMghoLnR5amN3dDIJaC4zem55c2g3Mg5oLmZheHR2c3ZtZGU1cTIJaC4yZXQ5MnAwMghoLmxueGJ6OTgAciExaF93dmFYTm9hb1lrVDVDQ2RNM0E0Y2RYcFB6Q25zQTA=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7136</Words>
  <Characters>39248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2025-05-16T19:43:00Z</cp:lastPrinted>
  <dcterms:created xsi:type="dcterms:W3CDTF">2025-06-02T23:50:00Z</dcterms:created>
  <dcterms:modified xsi:type="dcterms:W3CDTF">2025-06-02T23:50:00Z</dcterms:modified>
</cp:coreProperties>
</file>