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treinta de abril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color w:val="000000"/>
          <w:sz w:val="22"/>
          <w:szCs w:val="22"/>
          <w:rtl w:val="0"/>
        </w:rPr>
        <w:t xml:space="preserve">02359/INFOEM/IP/RR/2025</w:t>
      </w: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color w:val="ff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XXXXX XXXXXXX XXXXXX 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 la </w:t>
      </w:r>
      <w:r w:rsidDel="00000000" w:rsidR="00000000" w:rsidRPr="00000000">
        <w:rPr>
          <w:rFonts w:ascii="Palatino Linotype" w:cs="Palatino Linotype" w:eastAsia="Palatino Linotype" w:hAnsi="Palatino Linotype"/>
          <w:b w:val="1"/>
          <w:sz w:val="22"/>
          <w:szCs w:val="22"/>
          <w:rtl w:val="0"/>
        </w:rPr>
        <w:t xml:space="preserve">Secretaría de Finanzas,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se advierte que la persona solicitante presentó su solicitud el </w:t>
      </w:r>
      <w:r w:rsidDel="00000000" w:rsidR="00000000" w:rsidRPr="00000000">
        <w:rPr>
          <w:rFonts w:ascii="Palatino Linotype" w:cs="Palatino Linotype" w:eastAsia="Palatino Linotype" w:hAnsi="Palatino Linotype"/>
          <w:b w:val="1"/>
          <w:sz w:val="22"/>
          <w:szCs w:val="22"/>
          <w:rtl w:val="0"/>
        </w:rPr>
        <w:t xml:space="preserve">dieciséis de febrero del dos mil veinticinco</w:t>
      </w:r>
      <w:r w:rsidDel="00000000" w:rsidR="00000000" w:rsidRPr="00000000">
        <w:rPr>
          <w:rFonts w:ascii="Palatino Linotype" w:cs="Palatino Linotype" w:eastAsia="Palatino Linotype" w:hAnsi="Palatino Linotype"/>
          <w:sz w:val="22"/>
          <w:szCs w:val="22"/>
          <w:rtl w:val="0"/>
        </w:rPr>
        <w:t xml:space="preserve">, sin embargo, al ser un día inhábil, de conformidad con el Calendario Oficial en materia de Transparencia, Acceso a la Información Pública y Protección de Datos Personales del Estado de México y Municipios, esta se tuvo por presentada al día hábil siguiente que es el </w:t>
      </w:r>
      <w:r w:rsidDel="00000000" w:rsidR="00000000" w:rsidRPr="00000000">
        <w:rPr>
          <w:rFonts w:ascii="Palatino Linotype" w:cs="Palatino Linotype" w:eastAsia="Palatino Linotype" w:hAnsi="Palatino Linotype"/>
          <w:b w:val="1"/>
          <w:sz w:val="22"/>
          <w:szCs w:val="22"/>
          <w:rtl w:val="0"/>
        </w:rPr>
        <w:t xml:space="preserve">diecisiete de febrero de dos mil veinticinco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00184/SF/IP/2025,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5">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servidor público adscrito al plantel del Colegio de Bachilleres del Estado de México, Huixquilucan II cuyo nombre es </w:t>
      </w:r>
      <w:r w:rsidDel="00000000" w:rsidR="00000000" w:rsidRPr="00000000">
        <w:rPr>
          <w:rFonts w:ascii="Palatino Linotype" w:cs="Palatino Linotype" w:eastAsia="Palatino Linotype" w:hAnsi="Palatino Linotype"/>
          <w:b w:val="1"/>
          <w:sz w:val="22"/>
          <w:szCs w:val="22"/>
          <w:rtl w:val="0"/>
        </w:rPr>
        <w:t xml:space="preserve">XXXXX XXXXXXX XXXXXX XXXXXXX</w:t>
      </w:r>
      <w:r w:rsidDel="00000000" w:rsidR="00000000" w:rsidRPr="00000000">
        <w:rPr>
          <w:rFonts w:ascii="Palatino Linotype" w:cs="Palatino Linotype" w:eastAsia="Palatino Linotype" w:hAnsi="Palatino Linotype"/>
          <w:sz w:val="22"/>
          <w:szCs w:val="22"/>
          <w:rtl w:val="0"/>
        </w:rPr>
        <w:t xml:space="preserve">, en relación con el Anexo de Ejecución 0236/2024 celebrado entre el Ejecutivo Federal, Gobierno del Estado de México y el Colegio de Bachilleres, el 10 de enero del dos mil veinticuatro, que incluye el Apartado Analítico de servicios personales 2024, plazas, horas y sueldos autorizados, la siguiente información: </w:t>
      </w:r>
    </w:p>
    <w:p w:rsidR="00000000" w:rsidDel="00000000" w:rsidP="00000000" w:rsidRDefault="00000000" w:rsidRPr="00000000" w14:paraId="0000000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“●Monto total individualizado asignado a mi plaza como ingreso bruto, que debí y debo percibir, por este año 2024;</w:t>
      </w:r>
    </w:p>
    <w:p w:rsidR="00000000" w:rsidDel="00000000" w:rsidP="00000000" w:rsidRDefault="00000000" w:rsidRPr="00000000" w14:paraId="00000007">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Monto detallado anual que debió aplicarse por concepto tanto de percepciones como de deducciones -cuyos conceptos se precisaron en cada caso, respecto del ejercicio 2024-.</w:t>
      </w:r>
    </w:p>
    <w:p w:rsidR="00000000" w:rsidDel="00000000" w:rsidP="00000000" w:rsidRDefault="00000000" w:rsidRPr="00000000" w14:paraId="00000008">
      <w:pPr>
        <w:spacing w:after="240" w:before="240" w:line="276" w:lineRule="auto"/>
        <w:ind w:left="567" w:right="900"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w:t>
        <w:tab/>
        <w:t xml:space="preserve">En caso de que exista diferencia salarial entre lo autorizado en el Anexo de Ejecución y lo que realmente se ha pagado en 2024, se informe el monto que dejé de percibir y los conceptos, en los cuales se aplicó la deducción.”</w:t>
      </w:r>
    </w:p>
    <w:p w:rsidR="00000000" w:rsidDel="00000000" w:rsidP="00000000" w:rsidRDefault="00000000" w:rsidRPr="00000000" w14:paraId="00000009">
      <w:pPr>
        <w:spacing w:after="240" w:before="240" w:line="360" w:lineRule="auto"/>
        <w:ind w:right="49"/>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A">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“27 INE LAHI.pdf”: </w:t>
      </w:r>
      <w:r w:rsidDel="00000000" w:rsidR="00000000" w:rsidRPr="00000000">
        <w:rPr>
          <w:rFonts w:ascii="Palatino Linotype" w:cs="Palatino Linotype" w:eastAsia="Palatino Linotype" w:hAnsi="Palatino Linotype"/>
          <w:sz w:val="22"/>
          <w:szCs w:val="22"/>
          <w:rtl w:val="0"/>
        </w:rPr>
        <w:t xml:space="preserve">Documento que se compone de una foja, que contiene anverso y reverso de imagen de credencial para votar, expedida por el Instituto Nacional Electoral, a favor de la persona solicitante en el presente asunto.</w:t>
      </w:r>
    </w:p>
    <w:p w:rsidR="00000000" w:rsidDel="00000000" w:rsidP="00000000" w:rsidRDefault="00000000" w:rsidRPr="00000000" w14:paraId="0000000B">
      <w:pPr>
        <w:tabs>
          <w:tab w:val="left" w:leader="none" w:pos="4667"/>
        </w:tabs>
        <w:spacing w:line="360" w:lineRule="auto"/>
        <w:ind w:left="567"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sz w:val="22"/>
          <w:szCs w:val="22"/>
          <w:rtl w:val="0"/>
        </w:rPr>
        <w:t xml:space="preserve">“15_ANEXO DE EJECUCION MEXICO 0236_24.pdf”: </w:t>
      </w:r>
      <w:r w:rsidDel="00000000" w:rsidR="00000000" w:rsidRPr="00000000">
        <w:rPr>
          <w:rFonts w:ascii="Palatino Linotype" w:cs="Palatino Linotype" w:eastAsia="Palatino Linotype" w:hAnsi="Palatino Linotype"/>
          <w:color w:val="000000"/>
          <w:sz w:val="22"/>
          <w:szCs w:val="22"/>
          <w:rtl w:val="0"/>
        </w:rPr>
        <w:t xml:space="preserve">Documento de quince fojas, que consiste en el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rsidR="00000000" w:rsidDel="00000000" w:rsidP="00000000" w:rsidRDefault="00000000" w:rsidRPr="00000000" w14:paraId="0000000C">
      <w:pPr>
        <w:spacing w:after="240" w:before="240" w:line="360" w:lineRule="auto"/>
        <w:ind w:right="49"/>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w:t>
      </w:r>
      <w:r w:rsidDel="00000000" w:rsidR="00000000" w:rsidRPr="00000000">
        <w:rPr>
          <w:rFonts w:ascii="Palatino Linotype" w:cs="Palatino Linotype" w:eastAsia="Palatino Linotype" w:hAnsi="Palatino Linotype"/>
          <w:b w:val="1"/>
          <w:sz w:val="22"/>
          <w:szCs w:val="22"/>
          <w:rtl w:val="0"/>
        </w:rPr>
        <w:t xml:space="preserve">del SAIMEX.</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b w:val="1"/>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Información que Puede estar en Poder de Otro Sujeto Obligado.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veinte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declaró su incompetencia para atender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E">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“Sobre el particular, sírvase encontrar en archivo adjunto copia del Acuerdo de Incompetencia de fecha 18 de febrero de 2025, mediante el cual se detalla incompetencia de este Sujeto Obligado</w:t>
      </w:r>
    </w:p>
    <w:p w:rsidR="00000000" w:rsidDel="00000000" w:rsidP="00000000" w:rsidRDefault="00000000" w:rsidRPr="00000000" w14:paraId="0000000F">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0">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Economía David Arturo Gómez Becerril” (Sic)</w:t>
      </w:r>
    </w:p>
    <w:p w:rsidR="00000000" w:rsidDel="00000000" w:rsidP="00000000" w:rsidRDefault="00000000" w:rsidRPr="00000000" w14:paraId="00000011">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12">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“00184 ACUERDO DE INCOMPETENCIA.pdf”: </w:t>
      </w:r>
      <w:r w:rsidDel="00000000" w:rsidR="00000000" w:rsidRPr="00000000">
        <w:rPr>
          <w:rFonts w:ascii="Palatino Linotype" w:cs="Palatino Linotype" w:eastAsia="Palatino Linotype" w:hAnsi="Palatino Linotype"/>
          <w:sz w:val="22"/>
          <w:szCs w:val="22"/>
          <w:rtl w:val="0"/>
        </w:rPr>
        <w:t xml:space="preserve">Documento que se compone de ocho fojas y contiene el Acuerdo de Incompetencia para atender la solicitud de información </w:t>
      </w:r>
      <w:r w:rsidDel="00000000" w:rsidR="00000000" w:rsidRPr="00000000">
        <w:rPr>
          <w:rFonts w:ascii="Palatino Linotype" w:cs="Palatino Linotype" w:eastAsia="Palatino Linotype" w:hAnsi="Palatino Linotype"/>
          <w:b w:val="1"/>
          <w:sz w:val="22"/>
          <w:szCs w:val="22"/>
          <w:rtl w:val="0"/>
        </w:rPr>
        <w:t xml:space="preserve">00184/SF/IP/2025</w:t>
      </w:r>
      <w:r w:rsidDel="00000000" w:rsidR="00000000" w:rsidRPr="00000000">
        <w:rPr>
          <w:rFonts w:ascii="Palatino Linotype" w:cs="Palatino Linotype" w:eastAsia="Palatino Linotype" w:hAnsi="Palatino Linotype"/>
          <w:sz w:val="22"/>
          <w:szCs w:val="22"/>
          <w:rtl w:val="0"/>
        </w:rPr>
        <w:t xml:space="preserve">, en el que medularmente se vierten las siguientes consideraciones: </w:t>
      </w:r>
    </w:p>
    <w:p w:rsidR="00000000" w:rsidDel="00000000" w:rsidP="00000000" w:rsidRDefault="00000000" w:rsidRPr="00000000" w14:paraId="00000013">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 precisa que la información no es generada por la Secretaría de Finanzas, pudiendo ser competente para atender la presente solicitud el Colegio de Bachilleres del Estado de México y la Oficialía Mayor</w:t>
      </w:r>
      <w:r w:rsidDel="00000000" w:rsidR="00000000" w:rsidRPr="00000000">
        <w:rPr>
          <w:rFonts w:ascii="Palatino Linotype" w:cs="Palatino Linotype" w:eastAsia="Palatino Linotype" w:hAnsi="Palatino Linotype"/>
          <w:i w:val="1"/>
          <w:sz w:val="22"/>
          <w:szCs w:val="22"/>
          <w:rtl w:val="0"/>
        </w:rPr>
        <w:t xml:space="preserve">, los cuales son un Sujeto Obligado en términos de lo dispuesto, en el artículo 3, fracción XLI de la Ley de Transparencia, lo anterior, en correlación con lo establecido en el numeral, 210C0701040001L denominado Departamento de Recursos Humanos, funciones 4, 7 y 17 del Manual General de Organización del Colegio de Bachilleres del Estado de México, publicado en el Periódico Oficial "Gaceta del Gobierno" del Estado de México, en fecha 07 de enero de 2020, los artículos 7 fracción XXX y 10, fracciones VIII y XIV del Reglamento Interior de la Oficialía Mayor, publicado en el Periódico Oficial "Gaceta del Gobierno" del Estado de México, en fecha 20 de diciembre de 2023, el numeral 23400004040000L, denominado Dirección de Remuneraciones al Personal, funciones 3 y 8, el numeral 23400004040300L, denominado Subdirección de Control de Pagos, funciones 5, 6 y 9 del Manual General de Organización de la Oficialía Mayor, publicado en el Periódico Oficial "Gaceta del Gobierno" del Estado de México, en fecha 28 de mayo de 2024 de los cuales a la letra señalan:</w:t>
      </w:r>
    </w:p>
    <w:p w:rsidR="00000000" w:rsidDel="00000000" w:rsidP="00000000" w:rsidRDefault="00000000" w:rsidRPr="00000000" w14:paraId="00000014">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5">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"MANUAL GENERAL DE ORGANIZACIÓN DEL COLEGIO DE BACHILLERES DEL ESTADO DE MÉXICO"</w:t>
      </w:r>
    </w:p>
    <w:p w:rsidR="00000000" w:rsidDel="00000000" w:rsidP="00000000" w:rsidRDefault="00000000" w:rsidRPr="00000000" w14:paraId="00000016">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210C0701040001L: DEPARTAMENTO DE RECURSOS HUMANOS</w:t>
      </w:r>
    </w:p>
    <w:p w:rsidR="00000000" w:rsidDel="00000000" w:rsidP="00000000" w:rsidRDefault="00000000" w:rsidRPr="00000000" w14:paraId="00000017">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 Llevar a cabo las acciones de selección, contratación, registro, control, capacitación y desarrollo del personal adscrito al Colegio de Bachilleres, así como llevar a cabo las acciones necesarias para el pago oportuno de sus remuneraciones.</w:t>
      </w:r>
    </w:p>
    <w:p w:rsidR="00000000" w:rsidDel="00000000" w:rsidP="00000000" w:rsidRDefault="00000000" w:rsidRPr="00000000" w14:paraId="00000018">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9">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Llevar a cabo los trámites para la contratación de personal, previa selección y análisis de la Dirección de Administración y Finanzas y autorización de la Dirección General, y verificar que la asignación de puestos y de sueldos se ajusten a las plazas y a los tabuladores autorizados para el Estado, de acuerdo con la normatividad vigente en la materia.</w:t>
      </w:r>
    </w:p>
    <w:p w:rsidR="00000000" w:rsidDel="00000000" w:rsidP="00000000" w:rsidRDefault="00000000" w:rsidRPr="00000000" w14:paraId="0000001A">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Elaborar las nóminas y pagar oportunamente las remuneraciones al personal; aplicar las sanciones y descuentos por concepto de retardos y faltas; Impuesto Sobre la Renta, sobre Sueldos y Salarios; cuotas al ISSEMYM, y a y otros impuestos y derechos de los y las trabajadoras del Colegio de Bachilleres.</w:t>
      </w:r>
    </w:p>
    <w:p w:rsidR="00000000" w:rsidDel="00000000" w:rsidP="00000000" w:rsidRDefault="00000000" w:rsidRPr="00000000" w14:paraId="0000001B">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 Informar detalladamente a la Subdirección de Planeación de Sueldos y Salarios del Sector Auxiliar de la Dirección de Política Salarial, de la plantilla y movimientos del personal adscrito al Colegio.</w:t>
      </w:r>
    </w:p>
    <w:p w:rsidR="00000000" w:rsidDel="00000000" w:rsidP="00000000" w:rsidRDefault="00000000" w:rsidRPr="00000000" w14:paraId="0000001C">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"REGLAMENTO INTERIOR DE LA OFICIALÍA MAYOR"</w:t>
      </w:r>
    </w:p>
    <w:p w:rsidR="00000000" w:rsidDel="00000000" w:rsidP="00000000" w:rsidRDefault="00000000" w:rsidRPr="00000000" w14:paraId="0000001D">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 Corresponde a la persona titular de la Oficialía Mayor el ejercicio de las atribuciones siguientes:</w:t>
      </w:r>
    </w:p>
    <w:p w:rsidR="00000000" w:rsidDel="00000000" w:rsidP="00000000" w:rsidRDefault="00000000" w:rsidRPr="00000000" w14:paraId="0000001E">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F">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Suscribir los convenios de sueldos y prestaciones, de conformidad con los lineamientos establecidos por la persona Titular del Poder Ejecutivo Estatal y con base en la normatividad aplicable;</w:t>
      </w:r>
    </w:p>
    <w:p w:rsidR="00000000" w:rsidDel="00000000" w:rsidP="00000000" w:rsidRDefault="00000000" w:rsidRPr="00000000" w14:paraId="00000020">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 Corresponden a la Dirección General de Personal las atribuciones siguientes:</w:t>
      </w:r>
    </w:p>
    <w:p w:rsidR="00000000" w:rsidDel="00000000" w:rsidP="00000000" w:rsidRDefault="00000000" w:rsidRPr="00000000" w14:paraId="00000021">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2">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Aplicar las disposiciones que norman la remuneración y prestaciones que deban otorgarse a las personas servidoras públicas del Poder Ejecutivo del Gobierno del Estado, en concordancia con las estructuras orgánico-funcionales y los catálogos de puestos aprobados;</w:t>
      </w:r>
    </w:p>
    <w:p w:rsidR="00000000" w:rsidDel="00000000" w:rsidP="00000000" w:rsidRDefault="00000000" w:rsidRPr="00000000" w14:paraId="00000023">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Realizar la actualización de las plantillas de plazas y contratos por tiempo determinado de las dependencias y organismos auxiliares del Poder Ejecutivo del Gobierno del Estado, de acuerdo con la normatividad en la materia;</w:t>
      </w:r>
    </w:p>
    <w:p w:rsidR="00000000" w:rsidDel="00000000" w:rsidP="00000000" w:rsidRDefault="00000000" w:rsidRPr="00000000" w14:paraId="00000024">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"MANUAL GENERAL DE ORGANIZACIÓN DE LA OFICIALÍA MAYOR"</w:t>
      </w:r>
    </w:p>
    <w:p w:rsidR="00000000" w:rsidDel="00000000" w:rsidP="00000000" w:rsidRDefault="00000000" w:rsidRPr="00000000" w14:paraId="00000025">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23400004040000L. DIRECCIÓN DE REMUNERACIONES AL PERSONAL</w:t>
      </w:r>
    </w:p>
    <w:p w:rsidR="00000000" w:rsidDel="00000000" w:rsidP="00000000" w:rsidRDefault="00000000" w:rsidRPr="00000000" w14:paraId="00000026">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 Coordinar la sistematización y actualización de la información relativa a la situación laboral de las personas servidoras públicas de las dependencias y órganos administrativos desconcentrados del Poder Ejecutivo del Estado, a través del Sistema de Nómina del Sector Central del Poder Ejecutivo, y entregarles las percepciones a que tienen derecho por la prestación de sus servicios.</w:t>
      </w:r>
    </w:p>
    <w:p w:rsidR="00000000" w:rsidDel="00000000" w:rsidP="00000000" w:rsidRDefault="00000000" w:rsidRPr="00000000" w14:paraId="00000027">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Aplicar las normas, políticas y disposiciones que regulan la remuneración que debe otorgarse a las personas servidoras públicas, de conformidad con las estructuras orgánicas, los tabuladores y los catálogos de puestos aprobados.</w:t>
      </w:r>
    </w:p>
    <w:p w:rsidR="00000000" w:rsidDel="00000000" w:rsidP="00000000" w:rsidRDefault="00000000" w:rsidRPr="00000000" w14:paraId="00000028">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Instrumentar, en coordinación con la Dirección General de Recaudación de la Secretaría de Finanzas y con las coordinaciones y delegaciones administrativas o equivalentes, los mecanismos que conduzcan a la entrega oportuna de las percepciones a las personas servidoras públicas por la prestación de sus servicios.</w:t>
      </w:r>
    </w:p>
    <w:p w:rsidR="00000000" w:rsidDel="00000000" w:rsidP="00000000" w:rsidRDefault="00000000" w:rsidRPr="00000000" w14:paraId="00000029">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23400004040300L. SUBDIRECCIÓN DE CONTROL DE PAGOS</w:t>
      </w:r>
    </w:p>
    <w:p w:rsidR="00000000" w:rsidDel="00000000" w:rsidP="00000000" w:rsidRDefault="00000000" w:rsidRPr="00000000" w14:paraId="0000002A">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 Supervisar y entregar información de las remuneraciones a las personas servidoras públicas de las dependencias del Poder Ejecutivo Estatal, por la prestación de sus servicios, así como dirigir los servicios de orientación y trámite de diversos conceptos (constancias de no adeudo, validación de finiquitos y laudos, constancias anuales y comprobantes quincenales de percepciones y deducciones, constancias de históricos laborales, alta de pensiones alimenticias, alta de embargos judiciales, entre otros).</w:t>
      </w:r>
    </w:p>
    <w:p w:rsidR="00000000" w:rsidDel="00000000" w:rsidP="00000000" w:rsidRDefault="00000000" w:rsidRPr="00000000" w14:paraId="0000002B">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administrativos desconcentrados del Poder Ejecutivo Estatal, tramiten los conceptos de pago a que tienen derecho.</w:t>
      </w:r>
    </w:p>
    <w:p w:rsidR="00000000" w:rsidDel="00000000" w:rsidP="00000000" w:rsidRDefault="00000000" w:rsidRPr="00000000" w14:paraId="0000002C">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Emitir las constancias que soliciten las personas servidoras públicas generales y de confianza sobre su historia laboral, percepciones o deducciones correspondientes, así como las que requieran las autoridades competentes.</w:t>
      </w:r>
    </w:p>
    <w:p w:rsidR="00000000" w:rsidDel="00000000" w:rsidP="00000000" w:rsidRDefault="00000000" w:rsidRPr="00000000" w14:paraId="0000002D">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Retener, liberar, cancelar y reexpedir el pago por cheque o depósito bancario de las personas servidoras públicas en relación de la quincena actual a petición de la dependencia, en el Sistema de Nómina, así como actualizar sus comprobantes en el Sistema de Emisión de Comprobantes de Percepciones y Deducciones, a través de la red Internet en la página del Gobierno (g2g).</w:t>
      </w:r>
    </w:p>
    <w:p w:rsidR="00000000" w:rsidDel="00000000" w:rsidP="00000000" w:rsidRDefault="00000000" w:rsidRPr="00000000" w14:paraId="0000002E">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De lo vertido en líneas anteriores; </w:t>
      </w:r>
      <w:r w:rsidDel="00000000" w:rsidR="00000000" w:rsidRPr="00000000">
        <w:rPr>
          <w:rFonts w:ascii="Palatino Linotype" w:cs="Palatino Linotype" w:eastAsia="Palatino Linotype" w:hAnsi="Palatino Linotype"/>
          <w:b w:val="1"/>
          <w:i w:val="1"/>
          <w:sz w:val="22"/>
          <w:szCs w:val="22"/>
          <w:u w:val="single"/>
          <w:rtl w:val="0"/>
        </w:rPr>
        <w:t xml:space="preserve">con fundamento en el artículo 167 de la ley en la materia, se hace del conocimiento que el Sujeto Obligado que podría ser competente para conocer de su solicitud es el Colegio de Bachilleres del Estado de México y la Oficialía Mayor</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2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declaración de incompetencia,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tiene constancia que el </w:t>
      </w:r>
      <w:r w:rsidDel="00000000" w:rsidR="00000000" w:rsidRPr="00000000">
        <w:rPr>
          <w:rFonts w:ascii="Palatino Linotype" w:cs="Palatino Linotype" w:eastAsia="Palatino Linotype" w:hAnsi="Palatino Linotype"/>
          <w:b w:val="1"/>
          <w:sz w:val="22"/>
          <w:szCs w:val="22"/>
          <w:rtl w:val="0"/>
        </w:rPr>
        <w:t xml:space="preserve">dos de marzo de dos mil veinticinco</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sin embargo, al ser un día inhábil, de conformidad con el Calendario Oficial en materia de Transparencia, Acceso a la Información Pública y Protección de Datos Personales del Estado de México y Municipios, este medio de impugnación se tuvo por presentado al día hábil siguiente que es el</w:t>
      </w:r>
      <w:r w:rsidDel="00000000" w:rsidR="00000000" w:rsidRPr="00000000">
        <w:rPr>
          <w:rFonts w:ascii="Palatino Linotype" w:cs="Palatino Linotype" w:eastAsia="Palatino Linotype" w:hAnsi="Palatino Linotype"/>
          <w:b w:val="1"/>
          <w:sz w:val="22"/>
          <w:szCs w:val="22"/>
          <w:rtl w:val="0"/>
        </w:rPr>
        <w:t xml:space="preserve"> cuatro de marzo de dos mil veinticinco, </w:t>
      </w:r>
      <w:r w:rsidDel="00000000" w:rsidR="00000000" w:rsidRPr="00000000">
        <w:rPr>
          <w:rFonts w:ascii="Palatino Linotype" w:cs="Palatino Linotype" w:eastAsia="Palatino Linotype" w:hAnsi="Palatino Linotype"/>
          <w:sz w:val="22"/>
          <w:szCs w:val="22"/>
          <w:rtl w:val="0"/>
        </w:rPr>
        <w:t xml:space="preserve">en donde se manifestó en los términos que a continuación se detallan:</w:t>
      </w:r>
    </w:p>
    <w:p w:rsidR="00000000" w:rsidDel="00000000" w:rsidP="00000000" w:rsidRDefault="00000000" w:rsidRPr="00000000" w14:paraId="00000030">
      <w:pPr>
        <w:tabs>
          <w:tab w:val="left" w:leader="none" w:pos="2745"/>
        </w:tabs>
        <w:spacing w:after="240" w:before="240" w:line="276"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“Oficio de respuesta suscrito por David Arturo Gómez Becerril, Encargado de la UIPPE y de la Unidad de Transparencia de la Secretaría de Finanzas que recayó a esta solicitud y por el cual se está presentando el presente Recurso de Revisión EN TIEMPO Y FORMA.” (Sic)</w:t>
      </w:r>
      <w:r w:rsidDel="00000000" w:rsidR="00000000" w:rsidRPr="00000000">
        <w:rPr>
          <w:rtl w:val="0"/>
        </w:rPr>
      </w:r>
    </w:p>
    <w:p w:rsidR="00000000" w:rsidDel="00000000" w:rsidP="00000000" w:rsidRDefault="00000000" w:rsidRPr="00000000" w14:paraId="00000031">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“La declaración de incompetencia de la Secretaría de 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 (Sic)</w:t>
      </w:r>
    </w:p>
    <w:p w:rsidR="00000000" w:rsidDel="00000000" w:rsidP="00000000" w:rsidRDefault="00000000" w:rsidRPr="00000000" w14:paraId="00000032">
      <w:pPr>
        <w:tabs>
          <w:tab w:val="left" w:leader="none" w:pos="751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tabs>
          <w:tab w:val="left" w:leader="none" w:pos="7513"/>
        </w:tabs>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 la interposición de este medio de impugnación,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adjuntó dos archivos denominados,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“27 INE LAHI.pdf” y “15_ANEXO DE EJECUCION MEXICO 0236_24.pdf”</w:t>
      </w:r>
      <w:r w:rsidDel="00000000" w:rsidR="00000000" w:rsidRPr="00000000">
        <w:rPr>
          <w:rFonts w:ascii="Palatino Linotype" w:cs="Palatino Linotype" w:eastAsia="Palatino Linotype" w:hAnsi="Palatino Linotype"/>
          <w:sz w:val="22"/>
          <w:szCs w:val="22"/>
          <w:rtl w:val="0"/>
        </w:rPr>
        <w:t xml:space="preserve">, los cuales son los mismos documentos adjuntados en la solicitud de información. </w:t>
      </w:r>
      <w:r w:rsidDel="00000000" w:rsidR="00000000" w:rsidRPr="00000000">
        <w:rPr>
          <w:rtl w:val="0"/>
        </w:rPr>
      </w:r>
    </w:p>
    <w:p w:rsidR="00000000" w:rsidDel="00000000" w:rsidP="00000000" w:rsidRDefault="00000000" w:rsidRPr="00000000" w14:paraId="0000003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siete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rindió su informe justificado el </w:t>
      </w:r>
      <w:r w:rsidDel="00000000" w:rsidR="00000000" w:rsidRPr="00000000">
        <w:rPr>
          <w:rFonts w:ascii="Palatino Linotype" w:cs="Palatino Linotype" w:eastAsia="Palatino Linotype" w:hAnsi="Palatino Linotype"/>
          <w:b w:val="1"/>
          <w:color w:val="000000"/>
          <w:sz w:val="22"/>
          <w:szCs w:val="22"/>
          <w:rtl w:val="0"/>
        </w:rPr>
        <w:t xml:space="preserve">doce de marzo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rtl w:val="0"/>
        </w:rPr>
        <w:t xml:space="preserve">de dos mil veinticinco</w:t>
      </w:r>
      <w:r w:rsidDel="00000000" w:rsidR="00000000" w:rsidRPr="00000000">
        <w:rPr>
          <w:rFonts w:ascii="Palatino Linotype" w:cs="Palatino Linotype" w:eastAsia="Palatino Linotype" w:hAnsi="Palatino Linotype"/>
          <w:color w:val="000000"/>
          <w:sz w:val="22"/>
          <w:szCs w:val="22"/>
          <w:rtl w:val="0"/>
        </w:rPr>
        <w:t xml:space="preserve">, mediante el archivo electrónico “</w:t>
      </w:r>
      <w:r w:rsidDel="00000000" w:rsidR="00000000" w:rsidRPr="00000000">
        <w:rPr>
          <w:rFonts w:ascii="Palatino Linotype" w:cs="Palatino Linotype" w:eastAsia="Palatino Linotype" w:hAnsi="Palatino Linotype"/>
          <w:b w:val="1"/>
          <w:i w:val="1"/>
          <w:color w:val="000000"/>
          <w:sz w:val="22"/>
          <w:szCs w:val="22"/>
          <w:rtl w:val="0"/>
        </w:rPr>
        <w:t xml:space="preserve">02359 INFOEM IP RR 2025.pdf”,</w:t>
      </w:r>
      <w:r w:rsidDel="00000000" w:rsidR="00000000" w:rsidRPr="00000000">
        <w:rPr>
          <w:rFonts w:ascii="Palatino Linotype" w:cs="Palatino Linotype" w:eastAsia="Palatino Linotype" w:hAnsi="Palatino Linotype"/>
          <w:color w:val="000000"/>
          <w:sz w:val="22"/>
          <w:szCs w:val="22"/>
          <w:rtl w:val="0"/>
        </w:rPr>
        <w:t xml:space="preserve"> el cual se compone de diez fojas y en él, se ratifica la incompetencia total para atender la presente solicitud de información.</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Por cuanto hace a </w:t>
      </w:r>
      <w:r w:rsidDel="00000000" w:rsidR="00000000" w:rsidRPr="00000000">
        <w:rPr>
          <w:rFonts w:ascii="Palatino Linotype" w:cs="Palatino Linotype" w:eastAsia="Palatino Linotype" w:hAnsi="Palatino Linotype"/>
          <w:b w:val="1"/>
          <w:color w:val="000000"/>
          <w:sz w:val="22"/>
          <w:szCs w:val="22"/>
          <w:rtl w:val="0"/>
        </w:rPr>
        <w:t xml:space="preserve">la parte Recurrente</w:t>
      </w:r>
      <w:r w:rsidDel="00000000" w:rsidR="00000000" w:rsidRPr="00000000">
        <w:rPr>
          <w:rFonts w:ascii="Palatino Linotype" w:cs="Palatino Linotype" w:eastAsia="Palatino Linotype" w:hAnsi="Palatino Linotype"/>
          <w:color w:val="000000"/>
          <w:sz w:val="22"/>
          <w:szCs w:val="22"/>
          <w:rtl w:val="0"/>
        </w:rPr>
        <w:t xml:space="preserve">, se tiene que el </w:t>
      </w:r>
      <w:r w:rsidDel="00000000" w:rsidR="00000000" w:rsidRPr="00000000">
        <w:rPr>
          <w:rFonts w:ascii="Palatino Linotype" w:cs="Palatino Linotype" w:eastAsia="Palatino Linotype" w:hAnsi="Palatino Linotype"/>
          <w:b w:val="1"/>
          <w:color w:val="000000"/>
          <w:sz w:val="22"/>
          <w:szCs w:val="22"/>
          <w:rtl w:val="0"/>
        </w:rPr>
        <w:t xml:space="preserve">catorce de marzo de dos mil veinticinco</w:t>
      </w:r>
      <w:r w:rsidDel="00000000" w:rsidR="00000000" w:rsidRPr="00000000">
        <w:rPr>
          <w:rFonts w:ascii="Palatino Linotype" w:cs="Palatino Linotype" w:eastAsia="Palatino Linotype" w:hAnsi="Palatino Linotype"/>
          <w:color w:val="000000"/>
          <w:sz w:val="22"/>
          <w:szCs w:val="22"/>
          <w:rtl w:val="0"/>
        </w:rPr>
        <w:t xml:space="preserve">, adjuntó los soportes documentales denominados </w:t>
      </w:r>
      <w:r w:rsidDel="00000000" w:rsidR="00000000" w:rsidRPr="00000000">
        <w:rPr>
          <w:rFonts w:ascii="Palatino Linotype" w:cs="Palatino Linotype" w:eastAsia="Palatino Linotype" w:hAnsi="Palatino Linotype"/>
          <w:b w:val="1"/>
          <w:i w:val="1"/>
          <w:sz w:val="22"/>
          <w:szCs w:val="22"/>
          <w:rtl w:val="0"/>
        </w:rPr>
        <w:t xml:space="preserve">“27 INE LAHI.pdf” y “15_ANEXO DE EJECUCION MEXICO 0236_24.pdf”, </w:t>
      </w:r>
      <w:r w:rsidDel="00000000" w:rsidR="00000000" w:rsidRPr="00000000">
        <w:rPr>
          <w:rFonts w:ascii="Palatino Linotype" w:cs="Palatino Linotype" w:eastAsia="Palatino Linotype" w:hAnsi="Palatino Linotype"/>
          <w:sz w:val="22"/>
          <w:szCs w:val="22"/>
          <w:rtl w:val="0"/>
        </w:rPr>
        <w:t xml:space="preserve">los cuales son coincidentes en contenido con los remitidos desde la solicitud de acceso a la información.</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 de precisar que una vez analizada la documentación proporcionada por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se determinó ponerla a la vista del particular mediante acuerdo suscrito por la Comisionada Ponente, el </w:t>
      </w:r>
      <w:r w:rsidDel="00000000" w:rsidR="00000000" w:rsidRPr="00000000">
        <w:rPr>
          <w:rFonts w:ascii="Palatino Linotype" w:cs="Palatino Linotype" w:eastAsia="Palatino Linotype" w:hAnsi="Palatino Linotype"/>
          <w:b w:val="1"/>
          <w:color w:val="000000"/>
          <w:sz w:val="22"/>
          <w:szCs w:val="22"/>
          <w:rtl w:val="0"/>
        </w:rPr>
        <w:t xml:space="preserve">veintidós de abril de dos mil veinticinco</w:t>
      </w: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b w:val="1"/>
          <w:color w:val="000000"/>
          <w:sz w:val="22"/>
          <w:szCs w:val="22"/>
          <w:rtl w:val="0"/>
        </w:rPr>
        <w:t xml:space="preserve"> </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7. </w:t>
      </w:r>
      <w:r w:rsidDel="00000000" w:rsidR="00000000" w:rsidRPr="00000000">
        <w:rPr>
          <w:rFonts w:ascii="Palatino Linotype" w:cs="Palatino Linotype" w:eastAsia="Palatino Linotype" w:hAnsi="Palatino Linotype"/>
          <w:b w:val="1"/>
          <w:sz w:val="22"/>
          <w:szCs w:val="22"/>
          <w:rtl w:val="0"/>
        </w:rPr>
        <w:t xml:space="preserve">Reconducción de Vía. </w:t>
      </w:r>
      <w:r w:rsidDel="00000000" w:rsidR="00000000" w:rsidRPr="00000000">
        <w:rPr>
          <w:rFonts w:ascii="Palatino Linotype" w:cs="Palatino Linotype" w:eastAsia="Palatino Linotype" w:hAnsi="Palatino Linotype"/>
          <w:sz w:val="22"/>
          <w:szCs w:val="22"/>
          <w:rtl w:val="0"/>
        </w:rPr>
        <w:t xml:space="preserve">El</w:t>
      </w:r>
      <w:r w:rsidDel="00000000" w:rsidR="00000000" w:rsidRPr="00000000">
        <w:rPr>
          <w:rFonts w:ascii="Palatino Linotype" w:cs="Palatino Linotype" w:eastAsia="Palatino Linotype" w:hAnsi="Palatino Linotype"/>
          <w:b w:val="1"/>
          <w:sz w:val="22"/>
          <w:szCs w:val="22"/>
          <w:rtl w:val="0"/>
        </w:rPr>
        <w:t xml:space="preserve"> cuatro de abril de dos mil veinticinco, </w:t>
      </w:r>
      <w:r w:rsidDel="00000000" w:rsidR="00000000" w:rsidRPr="00000000">
        <w:rPr>
          <w:rFonts w:ascii="Palatino Linotype" w:cs="Palatino Linotype" w:eastAsia="Palatino Linotype" w:hAnsi="Palatino Linotype"/>
          <w:sz w:val="22"/>
          <w:szCs w:val="22"/>
          <w:rtl w:val="0"/>
        </w:rPr>
        <w:t xml:space="preserve">se notificó a las partes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2"/>
          <w:szCs w:val="22"/>
          <w:rtl w:val="0"/>
        </w:rPr>
        <w:t xml:space="preserve">el acuerdo por el que se recondujo la vía para dar tratamiento al presente Recurso de Revisión, vía Derecho de Acceso, Rectificación, Cancelación y Oposición –para posteriores referencias, Derechos ARCO-, toda vez que se determinó que el particular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after="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Tener por </w:t>
      </w:r>
      <w:r w:rsidDel="00000000" w:rsidR="00000000" w:rsidRPr="00000000">
        <w:rPr>
          <w:rFonts w:ascii="Palatino Linotype" w:cs="Palatino Linotype" w:eastAsia="Palatino Linotype" w:hAnsi="Palatino Linotype"/>
          <w:color w:val="000000"/>
          <w:sz w:val="22"/>
          <w:szCs w:val="22"/>
          <w:rtl w:val="0"/>
        </w:rPr>
        <w:t xml:space="preserve">acreditada la identidad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presente Recurso de Revisión. </w:t>
      </w:r>
    </w:p>
    <w:p w:rsidR="00000000" w:rsidDel="00000000" w:rsidP="00000000" w:rsidRDefault="00000000" w:rsidRPr="00000000" w14:paraId="0000003F">
      <w:pPr>
        <w:spacing w:after="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El requerimiento a las partes para que en un plazo no mayor a siete días manifestaran, por cualquier medio, su voluntad de conciliar, con el apercibimiento de que, en caso de no hacerlo, se tendría por precluido su derecho, para tales efectos; y</w:t>
      </w:r>
    </w:p>
    <w:p w:rsidR="00000000" w:rsidDel="00000000" w:rsidP="00000000" w:rsidRDefault="00000000" w:rsidRPr="00000000" w14:paraId="00000040">
      <w:pPr>
        <w:spacing w:after="160" w:line="360" w:lineRule="auto"/>
        <w:ind w:right="49"/>
        <w:jc w:val="both"/>
        <w:rPr>
          <w:rFonts w:ascii="Palatino Linotype" w:cs="Palatino Linotype" w:eastAsia="Palatino Linotype" w:hAnsi="Palatino Linotype"/>
          <w:sz w:val="20"/>
          <w:szCs w:val="20"/>
          <w:u w:val="single"/>
        </w:rPr>
      </w:pPr>
      <w:bookmarkStart w:colFirst="0" w:colLast="0" w:name="_heading=h.s2dofbw8ahvv" w:id="5"/>
      <w:bookmarkEnd w:id="5"/>
      <w:r w:rsidDel="00000000" w:rsidR="00000000" w:rsidRPr="00000000">
        <w:rPr>
          <w:rFonts w:ascii="Palatino Linotype" w:cs="Palatino Linotype" w:eastAsia="Palatino Linotype" w:hAnsi="Palatino Linotype"/>
          <w:b w:val="1"/>
          <w:sz w:val="22"/>
          <w:szCs w:val="22"/>
          <w:rtl w:val="0"/>
        </w:rPr>
        <w:t xml:space="preserve">8. Conciliación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expresó su voluntad para conciliar en el presente asunto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dieciséis de abril de dos mil veinticinco</w:t>
      </w:r>
      <w:r w:rsidDel="00000000" w:rsidR="00000000" w:rsidRPr="00000000">
        <w:rPr>
          <w:rFonts w:ascii="Palatino Linotype" w:cs="Palatino Linotype" w:eastAsia="Palatino Linotype" w:hAnsi="Palatino Linotype"/>
          <w:sz w:val="22"/>
          <w:szCs w:val="22"/>
          <w:rtl w:val="0"/>
        </w:rPr>
        <w:t xml:space="preserve">, a través del SAIMEX, mientras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veintidós de abril de dos mil veinticinco</w:t>
      </w:r>
      <w:r w:rsidDel="00000000" w:rsidR="00000000" w:rsidRPr="00000000">
        <w:rPr>
          <w:rFonts w:ascii="Palatino Linotype" w:cs="Palatino Linotype" w:eastAsia="Palatino Linotype" w:hAnsi="Palatino Linotype"/>
          <w:sz w:val="22"/>
          <w:szCs w:val="22"/>
          <w:rtl w:val="0"/>
        </w:rPr>
        <w:t xml:space="preserve">, adjuntó el archivo electrónico denominado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02359 INFOEM IP RR 2025, INST. TRANSP.pdf”</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el cual manifiesta medularmente que </w:t>
      </w:r>
      <w:r w:rsidDel="00000000" w:rsidR="00000000" w:rsidRPr="00000000">
        <w:rPr>
          <w:rFonts w:ascii="Palatino Linotype" w:cs="Palatino Linotype" w:eastAsia="Palatino Linotype" w:hAnsi="Palatino Linotype"/>
          <w:b w:val="1"/>
          <w:sz w:val="22"/>
          <w:szCs w:val="22"/>
          <w:u w:val="single"/>
          <w:rtl w:val="0"/>
        </w:rPr>
        <w:t xml:space="preserve">no es posible llevar a cabo la conciliación</w:t>
      </w:r>
      <w:r w:rsidDel="00000000" w:rsidR="00000000" w:rsidRPr="00000000">
        <w:rPr>
          <w:rFonts w:ascii="Palatino Linotype" w:cs="Palatino Linotype" w:eastAsia="Palatino Linotype" w:hAnsi="Palatino Linotype"/>
          <w:sz w:val="22"/>
          <w:szCs w:val="22"/>
          <w:rtl w:val="0"/>
        </w:rPr>
        <w:t xml:space="preserve">, en virtud de que no cuenta con la competencia para conocer de la información solicitada, por lo que ante la inexistencia de una voluntad reciproca para conciliar en el presente asunto y una vez que transcurrió el plazo para ello, el </w:t>
      </w:r>
      <w:r w:rsidDel="00000000" w:rsidR="00000000" w:rsidRPr="00000000">
        <w:rPr>
          <w:rFonts w:ascii="Palatino Linotype" w:cs="Palatino Linotype" w:eastAsia="Palatino Linotype" w:hAnsi="Palatino Linotype"/>
          <w:b w:val="1"/>
          <w:sz w:val="22"/>
          <w:szCs w:val="22"/>
          <w:rtl w:val="0"/>
        </w:rPr>
        <w:t xml:space="preserve">veinticuatro de abril de dos mil veinticuatro</w:t>
      </w:r>
      <w:r w:rsidDel="00000000" w:rsidR="00000000" w:rsidRPr="00000000">
        <w:rPr>
          <w:rFonts w:ascii="Palatino Linotype" w:cs="Palatino Linotype" w:eastAsia="Palatino Linotype" w:hAnsi="Palatino Linotype"/>
          <w:sz w:val="22"/>
          <w:szCs w:val="22"/>
          <w:rtl w:val="0"/>
        </w:rPr>
        <w:t xml:space="preserve">, se emitió acuerdo de preclusión de la etapa de conciliación y se continuó con el trámite del presente recurso de revisión.</w:t>
      </w:r>
      <w:r w:rsidDel="00000000" w:rsidR="00000000" w:rsidRPr="00000000">
        <w:rPr>
          <w:rtl w:val="0"/>
        </w:rPr>
      </w:r>
    </w:p>
    <w:p w:rsidR="00000000" w:rsidDel="00000000" w:rsidP="00000000" w:rsidRDefault="00000000" w:rsidRPr="00000000" w14:paraId="00000041">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9. Cierre de instrucción. </w:t>
      </w:r>
      <w:r w:rsidDel="00000000" w:rsidR="00000000" w:rsidRPr="00000000">
        <w:rPr>
          <w:rFonts w:ascii="Palatino Linotype" w:cs="Palatino Linotype" w:eastAsia="Palatino Linotype" w:hAnsi="Palatino Linotype"/>
          <w:sz w:val="22"/>
          <w:szCs w:val="22"/>
          <w:rtl w:val="0"/>
        </w:rPr>
        <w:t xml:space="preserve">Una vez analizado el estado procesal que guardaba el expediente, el </w:t>
      </w:r>
      <w:r w:rsidDel="00000000" w:rsidR="00000000" w:rsidRPr="00000000">
        <w:rPr>
          <w:rFonts w:ascii="Palatino Linotype" w:cs="Palatino Linotype" w:eastAsia="Palatino Linotype" w:hAnsi="Palatino Linotype"/>
          <w:b w:val="1"/>
          <w:sz w:val="22"/>
          <w:szCs w:val="22"/>
          <w:rtl w:val="0"/>
        </w:rPr>
        <w:t xml:space="preserve">veintinueve  de abril de dos mil veinticinco,</w:t>
      </w:r>
      <w:r w:rsidDel="00000000" w:rsidR="00000000" w:rsidRPr="00000000">
        <w:rPr>
          <w:rFonts w:ascii="Palatino Linotype" w:cs="Palatino Linotype" w:eastAsia="Palatino Linotype" w:hAnsi="Palatino Linotype"/>
          <w:sz w:val="22"/>
          <w:szCs w:val="22"/>
          <w:rtl w:val="0"/>
        </w:rPr>
        <w:t xml:space="preserve"> de conformidad con lo establecido en los artículos 11 y 127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la resolución del asunto.</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3">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44">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color w:val="000000"/>
          <w:sz w:val="22"/>
          <w:szCs w:val="22"/>
          <w:rtl w:val="0"/>
        </w:rPr>
        <w:t xml:space="preserve">la parte Recurrente</w:t>
      </w:r>
      <w:r w:rsidDel="00000000" w:rsidR="00000000" w:rsidRPr="00000000">
        <w:rPr>
          <w:rFonts w:ascii="Palatino Linotype" w:cs="Palatino Linotype" w:eastAsia="Palatino Linotype" w:hAnsi="Palatino Linotype"/>
          <w:color w:val="000000"/>
          <w:sz w:val="22"/>
          <w:szCs w:val="22"/>
          <w:rtl w:val="0"/>
        </w:rPr>
        <w:t xml:space="preserve">,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color w:val="222222"/>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De conformidad con los requisitos de Oportunidad y Procedibilidad que deben reunir </w:t>
      </w:r>
      <w:r w:rsidDel="00000000" w:rsidR="00000000" w:rsidRPr="00000000">
        <w:rPr>
          <w:rFonts w:ascii="Palatino Linotype" w:cs="Palatino Linotype" w:eastAsia="Palatino Linotype" w:hAnsi="Palatino Linotype"/>
          <w:color w:val="000000"/>
          <w:sz w:val="22"/>
          <w:szCs w:val="22"/>
          <w:rtl w:val="0"/>
        </w:rPr>
        <w:t xml:space="preserve">los recursos de revisión interpuestos</w:t>
      </w:r>
      <w:r w:rsidDel="00000000" w:rsidR="00000000" w:rsidRPr="00000000">
        <w:rPr>
          <w:rFonts w:ascii="Palatino Linotype" w:cs="Palatino Linotype" w:eastAsia="Palatino Linotype" w:hAnsi="Palatino Linotype"/>
          <w:sz w:val="22"/>
          <w:szCs w:val="22"/>
          <w:rtl w:val="0"/>
        </w:rPr>
        <w:t xml:space="preserve">,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su incompetencia para atender la solicitud de información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veinte de febrero del año dos mil veinticinco,</w:t>
      </w:r>
      <w:r w:rsidDel="00000000" w:rsidR="00000000" w:rsidRPr="00000000">
        <w:rPr>
          <w:rFonts w:ascii="Palatino Linotype" w:cs="Palatino Linotype" w:eastAsia="Palatino Linotype" w:hAnsi="Palatino Linotype"/>
          <w:sz w:val="22"/>
          <w:szCs w:val="22"/>
          <w:rtl w:val="0"/>
        </w:rPr>
        <w:t xml:space="preserve"> mientras que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su recurso de revisión el </w:t>
      </w:r>
      <w:r w:rsidDel="00000000" w:rsidR="00000000" w:rsidRPr="00000000">
        <w:rPr>
          <w:rFonts w:ascii="Palatino Linotype" w:cs="Palatino Linotype" w:eastAsia="Palatino Linotype" w:hAnsi="Palatino Linotype"/>
          <w:b w:val="1"/>
          <w:sz w:val="22"/>
          <w:szCs w:val="22"/>
          <w:rtl w:val="0"/>
        </w:rPr>
        <w:t xml:space="preserve">cuatro de marzo de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rtl w:val="0"/>
        </w:rPr>
        <w:t xml:space="preserve">séptimo día hábil</w:t>
      </w:r>
      <w:r w:rsidDel="00000000" w:rsidR="00000000" w:rsidRPr="00000000">
        <w:rPr>
          <w:rFonts w:ascii="Palatino Linotype" w:cs="Palatino Linotype" w:eastAsia="Palatino Linotype" w:hAnsi="Palatino Linotype"/>
          <w:sz w:val="22"/>
          <w:szCs w:val="22"/>
          <w:rtl w:val="0"/>
        </w:rPr>
        <w:t xml:space="preserve"> de tener conocimiento de la incompetencia para atender la solicitud de información, por lo que </w:t>
      </w:r>
      <w:r w:rsidDel="00000000" w:rsidR="00000000" w:rsidRPr="00000000">
        <w:rPr>
          <w:rFonts w:ascii="Palatino Linotype" w:cs="Palatino Linotype" w:eastAsia="Palatino Linotype" w:hAnsi="Palatino Linotype"/>
          <w:color w:val="222222"/>
          <w:sz w:val="22"/>
          <w:szCs w:val="22"/>
          <w:rtl w:val="0"/>
        </w:rPr>
        <w:t xml:space="preserve">se encuentra dentro de los márgenes temporales previstos en el artículo 128 de la Ley de Protección de Datos Personales en Posesión de Sujetos Obligados del Estado de México y Municipios y, por tanto, su interposición se considera oportuna.</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w:t>
      </w:r>
      <w:r w:rsidDel="00000000" w:rsidR="00000000" w:rsidRPr="00000000">
        <w:rPr>
          <w:rFonts w:ascii="Palatino Linotype" w:cs="Palatino Linotype" w:eastAsia="Palatino Linotype" w:hAnsi="Palatino Linotype"/>
          <w:color w:val="000000"/>
          <w:sz w:val="22"/>
          <w:szCs w:val="22"/>
          <w:rtl w:val="0"/>
        </w:rPr>
        <w:t xml:space="preserve">al artículo 129, fracción III de la Ley de Protección de Datos Personales aplicable a la entidad, que a la letra dice: </w:t>
      </w:r>
    </w:p>
    <w:p w:rsidR="00000000" w:rsidDel="00000000" w:rsidP="00000000" w:rsidRDefault="00000000" w:rsidRPr="00000000" w14:paraId="00000047">
      <w:pPr>
        <w:spacing w:after="120" w:before="12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129. </w:t>
      </w:r>
      <w:r w:rsidDel="00000000" w:rsidR="00000000" w:rsidRPr="00000000">
        <w:rPr>
          <w:rFonts w:ascii="Palatino Linotype" w:cs="Palatino Linotype" w:eastAsia="Palatino Linotype" w:hAnsi="Palatino Linotype"/>
          <w:i w:val="1"/>
          <w:color w:val="000000"/>
          <w:sz w:val="22"/>
          <w:szCs w:val="22"/>
          <w:rtl w:val="0"/>
        </w:rPr>
        <w:t xml:space="preserve">El recurso de revisión procederá en los supuestos siguientes:</w:t>
      </w:r>
    </w:p>
    <w:p w:rsidR="00000000" w:rsidDel="00000000" w:rsidP="00000000" w:rsidRDefault="00000000" w:rsidRPr="00000000" w14:paraId="00000048">
      <w:pPr>
        <w:spacing w:after="120" w:before="12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49">
      <w:pPr>
        <w:spacing w:after="120" w:before="120" w:lineRule="auto"/>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III. Se declare la incompetencia por el responsable.;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4A">
      <w:pPr>
        <w:spacing w:after="120" w:before="120" w:lineRule="auto"/>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Estudio de fondo del asunto. </w:t>
      </w:r>
      <w:r w:rsidDel="00000000" w:rsidR="00000000" w:rsidRPr="00000000">
        <w:rPr>
          <w:rFonts w:ascii="Palatino Linotype" w:cs="Palatino Linotype" w:eastAsia="Palatino Linotype" w:hAnsi="Palatino Linotype"/>
          <w:sz w:val="22"/>
          <w:szCs w:val="22"/>
          <w:rtl w:val="0"/>
        </w:rPr>
        <w:t xml:space="preserve">En primer término, es de señalar que el ejercicio de los derechos de acceso, rectificación, cancelación y oposición, ARCO, se encuentra regulado por el artículo 6 apartado A, fracción II párrafo primero, y 16 segundo párrafo de la Constitución de los Estados Unidos Mexicanos, los cuales establecen lo siguiente: </w:t>
      </w:r>
    </w:p>
    <w:p w:rsidR="00000000" w:rsidDel="00000000" w:rsidP="00000000" w:rsidRDefault="00000000" w:rsidRPr="00000000" w14:paraId="0000004C">
      <w:pPr>
        <w:tabs>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D">
      <w:pPr>
        <w:tabs>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E">
      <w:pPr>
        <w:tabs>
          <w:tab w:val="left" w:leader="none" w:pos="7513"/>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4F">
      <w:pPr>
        <w:tabs>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tabs>
          <w:tab w:val="left" w:leader="none" w:pos="851"/>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La información que se refiere a la vida privada y los datos personales será protegida </w:t>
      </w:r>
      <w:r w:rsidDel="00000000" w:rsidR="00000000" w:rsidRPr="00000000">
        <w:rPr>
          <w:rFonts w:ascii="Palatino Linotype" w:cs="Palatino Linotype" w:eastAsia="Palatino Linotype" w:hAnsi="Palatino Linotype"/>
          <w:i w:val="1"/>
          <w:sz w:val="22"/>
          <w:szCs w:val="22"/>
          <w:rtl w:val="0"/>
        </w:rPr>
        <w:t xml:space="preserve">en los términos y con las excepciones que fijen las leyes. Para tal efecto, los sujetos obligados contarán con las facultades suficientes para su atención.</w:t>
      </w:r>
    </w:p>
    <w:p w:rsidR="00000000" w:rsidDel="00000000" w:rsidP="00000000" w:rsidRDefault="00000000" w:rsidRPr="00000000" w14:paraId="00000051">
      <w:pPr>
        <w:tabs>
          <w:tab w:val="left" w:leader="none" w:pos="851"/>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tabs>
          <w:tab w:val="left" w:leader="none" w:pos="851"/>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Toda persona </w:t>
      </w:r>
      <w:r w:rsidDel="00000000" w:rsidR="00000000" w:rsidRPr="00000000">
        <w:rPr>
          <w:rFonts w:ascii="Palatino Linotype" w:cs="Palatino Linotype" w:eastAsia="Palatino Linotype" w:hAnsi="Palatino Linotype"/>
          <w:b w:val="1"/>
          <w:i w:val="1"/>
          <w:sz w:val="22"/>
          <w:szCs w:val="22"/>
          <w:rtl w:val="0"/>
        </w:rPr>
        <w:t xml:space="preserve">tiene derecho a la protección de sus datos personales, al acceso, </w:t>
      </w:r>
      <w:r w:rsidDel="00000000" w:rsidR="00000000" w:rsidRPr="00000000">
        <w:rPr>
          <w:rFonts w:ascii="Palatino Linotype" w:cs="Palatino Linotype" w:eastAsia="Palatino Linotype" w:hAnsi="Palatino Linotype"/>
          <w:i w:val="1"/>
          <w:sz w:val="22"/>
          <w:szCs w:val="22"/>
          <w:rtl w:val="0"/>
        </w:rPr>
        <w:t xml:space="preserve">rectificación y cancelación de los mismos, así</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como a manifestar su oposición, en los términos que fije la ley,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la cual establecerá los supuestos de excepción a los principios que rijan el tratamiento de datos, por razones de seguridad nacional, disposiciones de orden público, seguridad y salud públicas o para proteger los derechos de terceros.” </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desprende que </w:t>
      </w:r>
      <w:r w:rsidDel="00000000" w:rsidR="00000000" w:rsidRPr="00000000">
        <w:rPr>
          <w:rFonts w:ascii="Palatino Linotype" w:cs="Palatino Linotype" w:eastAsia="Palatino Linotype" w:hAnsi="Palatino Linotype"/>
          <w:b w:val="1"/>
          <w:sz w:val="22"/>
          <w:szCs w:val="22"/>
          <w:rtl w:val="0"/>
        </w:rPr>
        <w:t xml:space="preserve">la protección de datos personales</w:t>
      </w:r>
      <w:r w:rsidDel="00000000" w:rsidR="00000000" w:rsidRPr="00000000">
        <w:rPr>
          <w:rFonts w:ascii="Palatino Linotype" w:cs="Palatino Linotype" w:eastAsia="Palatino Linotype" w:hAnsi="Palatino Linotype"/>
          <w:sz w:val="22"/>
          <w:szCs w:val="22"/>
          <w:rtl w:val="0"/>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Ante tal premisa se puede apreciar que la inclusión</w:t>
      </w:r>
      <w:r w:rsidDel="00000000" w:rsidR="00000000" w:rsidRPr="00000000">
        <w:rPr>
          <w:rFonts w:ascii="Palatino Linotype" w:cs="Palatino Linotype" w:eastAsia="Palatino Linotype" w:hAnsi="Palatino Linotype"/>
          <w:b w:val="1"/>
          <w:sz w:val="22"/>
          <w:szCs w:val="22"/>
          <w:rtl w:val="0"/>
        </w:rPr>
        <w:t xml:space="preserve"> del derecho al acceso de datos personales en nuestra Constitución permite que cualquier persona -titular de datos personales obtenga la protección en esta materia.</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la Ley de Protección de Datos Personales en Posesión de Sujetos Obligados del Estado de México y Municipios, señala expresamente que:</w:t>
      </w:r>
    </w:p>
    <w:p w:rsidR="00000000" w:rsidDel="00000000" w:rsidP="00000000" w:rsidRDefault="00000000" w:rsidRPr="00000000" w14:paraId="00000056">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w:t>
      </w:r>
    </w:p>
    <w:p w:rsidR="00000000" w:rsidDel="00000000" w:rsidP="00000000" w:rsidRDefault="00000000" w:rsidRPr="00000000" w14:paraId="00000057">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8">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 personales</w:t>
      </w:r>
      <w:r w:rsidDel="00000000" w:rsidR="00000000" w:rsidRPr="00000000">
        <w:rPr>
          <w:rFonts w:ascii="Palatino Linotype" w:cs="Palatino Linotype" w:eastAsia="Palatino Linotype" w:hAnsi="Palatino Linotype"/>
          <w:i w:val="1"/>
          <w:sz w:val="22"/>
          <w:szCs w:val="22"/>
          <w:rtl w:val="0"/>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00000" w:rsidDel="00000000" w:rsidP="00000000" w:rsidRDefault="00000000" w:rsidRPr="00000000" w14:paraId="00000059">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A">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Derechos ARCO:</w:t>
      </w:r>
      <w:r w:rsidDel="00000000" w:rsidR="00000000" w:rsidRPr="00000000">
        <w:rPr>
          <w:rFonts w:ascii="Palatino Linotype" w:cs="Palatino Linotype" w:eastAsia="Palatino Linotype" w:hAnsi="Palatino Linotype"/>
          <w:i w:val="1"/>
          <w:sz w:val="22"/>
          <w:szCs w:val="22"/>
          <w:rtl w:val="0"/>
        </w:rPr>
        <w:t xml:space="preserve"> a los derechos de Acceso, Rectificación, Cancelación y Oposición al tratamiento de datos personales.</w:t>
      </w:r>
    </w:p>
    <w:p w:rsidR="00000000" w:rsidDel="00000000" w:rsidP="00000000" w:rsidRDefault="00000000" w:rsidRPr="00000000" w14:paraId="0000005B">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C">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 Responsable: a los sujetos obligados a que se refiere la presente Ley que deciden sobre el tratamiento de los datos personales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spacing w:after="120" w:before="120" w:lineRule="auto"/>
        <w:ind w:left="567" w:right="1185"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Del="00000000" w:rsidR="00000000" w:rsidRPr="00000000">
        <w:rPr>
          <w:rFonts w:ascii="Palatino Linotype" w:cs="Palatino Linotype" w:eastAsia="Palatino Linotype" w:hAnsi="Palatino Linotype"/>
          <w:b w:val="1"/>
          <w:i w:val="1"/>
          <w:sz w:val="22"/>
          <w:szCs w:val="22"/>
          <w:u w:val="single"/>
          <w:rtl w:val="0"/>
        </w:rPr>
        <w:t xml:space="preserve">.</w:t>
      </w:r>
    </w:p>
    <w:p w:rsidR="00000000" w:rsidDel="00000000" w:rsidP="00000000" w:rsidRDefault="00000000" w:rsidRPr="00000000" w14:paraId="0000005F">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0">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98. El titular tiene derecho a</w:t>
      </w:r>
      <w:r w:rsidDel="00000000" w:rsidR="00000000" w:rsidRPr="00000000">
        <w:rPr>
          <w:rFonts w:ascii="Palatino Linotype" w:cs="Palatino Linotype" w:eastAsia="Palatino Linotype" w:hAnsi="Palatino Linotype"/>
          <w:i w:val="1"/>
          <w:sz w:val="22"/>
          <w:szCs w:val="22"/>
          <w:rtl w:val="0"/>
        </w:rPr>
        <w:t xml:space="preserve"> acceder, </w:t>
      </w:r>
      <w:r w:rsidDel="00000000" w:rsidR="00000000" w:rsidRPr="00000000">
        <w:rPr>
          <w:rFonts w:ascii="Palatino Linotype" w:cs="Palatino Linotype" w:eastAsia="Palatino Linotype" w:hAnsi="Palatino Linotype"/>
          <w:b w:val="1"/>
          <w:i w:val="1"/>
          <w:sz w:val="22"/>
          <w:szCs w:val="22"/>
          <w:rtl w:val="0"/>
        </w:rPr>
        <w:t xml:space="preserve">solicitar y ser informado sobre sus datos personales en posesión de los sujetos obligados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 como la información relacionada con las condiciones y generalidades de su tratamiento, tales como el origen de los datos, las condiciones del tratamiento del cual sean objeto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cesiones realizadas o que se pretendan realizar,</w:t>
      </w:r>
      <w:r w:rsidDel="00000000" w:rsidR="00000000" w:rsidRPr="00000000">
        <w:rPr>
          <w:rFonts w:ascii="Palatino Linotype" w:cs="Palatino Linotype" w:eastAsia="Palatino Linotype" w:hAnsi="Palatino Linotype"/>
          <w:i w:val="1"/>
          <w:sz w:val="22"/>
          <w:szCs w:val="22"/>
          <w:rtl w:val="0"/>
        </w:rPr>
        <w:t xml:space="preserve"> así como tener acceso al aviso de privacidad al que está sujeto.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función de la normativa señalada, se desprenden las premisas siguientes:</w:t>
      </w:r>
    </w:p>
    <w:p w:rsidR="00000000" w:rsidDel="00000000" w:rsidP="00000000" w:rsidRDefault="00000000" w:rsidRPr="00000000" w14:paraId="00000063">
      <w:pPr>
        <w:tabs>
          <w:tab w:val="left" w:leader="none" w:pos="2410"/>
        </w:tabs>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Primero, por datos personales se entenderá la información concerniente a una persona física identificada o identificable; y que se considera que una persona es </w:t>
      </w:r>
      <w:r w:rsidDel="00000000" w:rsidR="00000000" w:rsidRPr="00000000">
        <w:rPr>
          <w:rFonts w:ascii="Palatino Linotype" w:cs="Palatino Linotype" w:eastAsia="Palatino Linotype" w:hAnsi="Palatino Linotype"/>
          <w:b w:val="1"/>
          <w:sz w:val="22"/>
          <w:szCs w:val="22"/>
          <w:rtl w:val="0"/>
        </w:rPr>
        <w:t xml:space="preserve">identificable cuando su identidad pueda determinarse directa o indirectamente a través de cualquier información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se destaca que en todo momento el </w:t>
      </w:r>
      <w:r w:rsidDel="00000000" w:rsidR="00000000" w:rsidRPr="00000000">
        <w:rPr>
          <w:rFonts w:ascii="Palatino Linotype" w:cs="Palatino Linotype" w:eastAsia="Palatino Linotype" w:hAnsi="Palatino Linotype"/>
          <w:b w:val="1"/>
          <w:sz w:val="22"/>
          <w:szCs w:val="22"/>
          <w:rtl w:val="0"/>
        </w:rPr>
        <w:t xml:space="preserve">titular podrá solicitar al responsable</w:t>
      </w:r>
      <w:r w:rsidDel="00000000" w:rsidR="00000000" w:rsidRPr="00000000">
        <w:rPr>
          <w:rFonts w:ascii="Palatino Linotype" w:cs="Palatino Linotype" w:eastAsia="Palatino Linotype" w:hAnsi="Palatino Linotype"/>
          <w:sz w:val="22"/>
          <w:szCs w:val="22"/>
          <w:rtl w:val="0"/>
        </w:rPr>
        <w:t xml:space="preserve">, el acceso, rectificación, cancelación u </w:t>
      </w:r>
      <w:r w:rsidDel="00000000" w:rsidR="00000000" w:rsidRPr="00000000">
        <w:rPr>
          <w:rFonts w:ascii="Palatino Linotype" w:cs="Palatino Linotype" w:eastAsia="Palatino Linotype" w:hAnsi="Palatino Linotype"/>
          <w:b w:val="1"/>
          <w:sz w:val="22"/>
          <w:szCs w:val="22"/>
          <w:rtl w:val="0"/>
        </w:rPr>
        <w:t xml:space="preserve">oposición </w:t>
      </w:r>
      <w:r w:rsidDel="00000000" w:rsidR="00000000" w:rsidRPr="00000000">
        <w:rPr>
          <w:rFonts w:ascii="Palatino Linotype" w:cs="Palatino Linotype" w:eastAsia="Palatino Linotype" w:hAnsi="Palatino Linotype"/>
          <w:sz w:val="22"/>
          <w:szCs w:val="22"/>
          <w:rtl w:val="0"/>
        </w:rPr>
        <w:t xml:space="preserve">-derechos ARCO- al tratamiento de los datos personales que le conciernen.</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la</w:t>
      </w:r>
      <w:r w:rsidDel="00000000" w:rsidR="00000000" w:rsidRPr="00000000">
        <w:rPr>
          <w:rFonts w:ascii="Palatino Linotype" w:cs="Palatino Linotype" w:eastAsia="Palatino Linotype" w:hAnsi="Palatino Linotype"/>
          <w:b w:val="1"/>
          <w:sz w:val="22"/>
          <w:szCs w:val="22"/>
          <w:rtl w:val="0"/>
        </w:rPr>
        <w:t xml:space="preserve"> recepción y trámite </w:t>
      </w:r>
      <w:r w:rsidDel="00000000" w:rsidR="00000000" w:rsidRPr="00000000">
        <w:rPr>
          <w:rFonts w:ascii="Palatino Linotype" w:cs="Palatino Linotype" w:eastAsia="Palatino Linotype" w:hAnsi="Palatino Linotype"/>
          <w:sz w:val="22"/>
          <w:szCs w:val="22"/>
          <w:rtl w:val="0"/>
        </w:rPr>
        <w:t xml:space="preserve">de las solicitudes de ejercicio de los derechos ARCO,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se formulen a los sujetos obligados</w:t>
      </w:r>
      <w:r w:rsidDel="00000000" w:rsidR="00000000" w:rsidRPr="00000000">
        <w:rPr>
          <w:rFonts w:ascii="Palatino Linotype" w:cs="Palatino Linotype" w:eastAsia="Palatino Linotype" w:hAnsi="Palatino Linotype"/>
          <w:b w:val="1"/>
          <w:sz w:val="22"/>
          <w:szCs w:val="22"/>
          <w:rtl w:val="0"/>
        </w:rPr>
        <w:t xml:space="preserve">, se sujetará al procedimiento establecido en el Título Tercero de la Ley General de Protección de Datos Personales en Posesión de Sujetos Obligados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en consonancia con el Título Décimo de la Ley de Protección de Datos Personales en Posesión de Sujetos Obligados del Estado de México y Municipios</w:t>
      </w:r>
      <w:r w:rsidDel="00000000" w:rsidR="00000000" w:rsidRPr="00000000">
        <w:rPr>
          <w:rFonts w:ascii="Palatino Linotype" w:cs="Palatino Linotype" w:eastAsia="Palatino Linotype" w:hAnsi="Palatino Linotype"/>
          <w:sz w:val="22"/>
          <w:szCs w:val="22"/>
          <w:rtl w:val="0"/>
        </w:rPr>
        <w:t xml:space="preserve"> y demás disposiciones que resulten aplicables en la materia.</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alcance en materia de protección de datos personales, así como para su tratamiento, debemos considerar todas las operaciones efectuadas por los procedimientos manuales o automatizados aplicados a los datos personales, relativas a </w:t>
      </w:r>
      <w:r w:rsidDel="00000000" w:rsidR="00000000" w:rsidRPr="00000000">
        <w:rPr>
          <w:rFonts w:ascii="Palatino Linotype" w:cs="Palatino Linotype" w:eastAsia="Palatino Linotype" w:hAnsi="Palatino Linotype"/>
          <w:b w:val="1"/>
          <w:sz w:val="22"/>
          <w:szCs w:val="22"/>
          <w:rtl w:val="0"/>
        </w:rPr>
        <w:t xml:space="preserve">su obtención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uso, registro, organización, conservación, elaboración, utilización, comunicación, almacenamiento, posesión, acceso, manejo, aprovechamiento divulgación, difusión, transferencia o disposición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Expuesto lo anterior, se procede al análisis de la totalidad de las constancias que integran el expediente electrónico del SAIMEX, con</w:t>
      </w:r>
      <w:r w:rsidDel="00000000" w:rsidR="00000000" w:rsidRPr="00000000">
        <w:rPr>
          <w:rFonts w:ascii="Palatino Linotype" w:cs="Palatino Linotype" w:eastAsia="Palatino Linotype" w:hAnsi="Palatino Linotype"/>
          <w:b w:val="1"/>
          <w:sz w:val="22"/>
          <w:szCs w:val="22"/>
          <w:rtl w:val="0"/>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rsidR="00000000" w:rsidDel="00000000" w:rsidP="00000000" w:rsidRDefault="00000000" w:rsidRPr="00000000" w14:paraId="0000006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acceso a datos personales, que motiva el recurso de revisión que ahora se resuelve, se advierte que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o Responsable</w:t>
      </w:r>
      <w:r w:rsidDel="00000000" w:rsidR="00000000" w:rsidRPr="00000000">
        <w:rPr>
          <w:rFonts w:ascii="Palatino Linotype" w:cs="Palatino Linotype" w:eastAsia="Palatino Linotype" w:hAnsi="Palatino Linotype"/>
          <w:sz w:val="22"/>
          <w:szCs w:val="22"/>
          <w:rtl w:val="0"/>
        </w:rPr>
        <w:t xml:space="preserve"> le proporcione, información consistente en lo siguiente:</w:t>
      </w:r>
    </w:p>
    <w:p w:rsidR="00000000" w:rsidDel="00000000" w:rsidP="00000000" w:rsidRDefault="00000000" w:rsidRPr="00000000" w14:paraId="00000071">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servidor público adscrito al plantel del Colegio de Bachilleres del Estado de México, Huixquilucan II referido en la solicitud de información </w:t>
      </w:r>
      <w:r w:rsidDel="00000000" w:rsidR="00000000" w:rsidRPr="00000000">
        <w:rPr>
          <w:rFonts w:ascii="Palatino Linotype" w:cs="Palatino Linotype" w:eastAsia="Palatino Linotype" w:hAnsi="Palatino Linotype"/>
          <w:b w:val="1"/>
          <w:sz w:val="22"/>
          <w:szCs w:val="22"/>
          <w:rtl w:val="0"/>
        </w:rPr>
        <w:t xml:space="preserve">00184/SF/IP/2025</w:t>
      </w:r>
      <w:r w:rsidDel="00000000" w:rsidR="00000000" w:rsidRPr="00000000">
        <w:rPr>
          <w:rFonts w:ascii="Palatino Linotype" w:cs="Palatino Linotype" w:eastAsia="Palatino Linotype" w:hAnsi="Palatino Linotype"/>
          <w:sz w:val="22"/>
          <w:szCs w:val="22"/>
          <w:rtl w:val="0"/>
        </w:rPr>
        <w:t xml:space="preserve">, en relación con el Anexo de Ejecución 0236/2024 celebrado entre el Ejecutivo Federal, Gobierno del Estado de México y el Colegio de Bachilleres, el 10 de enero del dos mil veinticuatro, que incluye el Apartado Analítico de servicios personales 2024, plazas, horas y sueldos autorizados, la siguiente información: </w:t>
      </w:r>
    </w:p>
    <w:p w:rsidR="00000000" w:rsidDel="00000000" w:rsidP="00000000" w:rsidRDefault="00000000" w:rsidRPr="00000000" w14:paraId="00000072">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“●Monto total individualizado asignado a mi plaza como ingreso bruto, que debí y debo percibir, por este año 2024;</w:t>
      </w:r>
    </w:p>
    <w:p w:rsidR="00000000" w:rsidDel="00000000" w:rsidP="00000000" w:rsidRDefault="00000000" w:rsidRPr="00000000" w14:paraId="00000073">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Monto detallado anual que debió aplicarse por concepto tanto de percepciones como de deducciones -cuyos conceptos se precisaron en cada caso, respecto del ejercicio 2024-.</w:t>
      </w:r>
    </w:p>
    <w:p w:rsidR="00000000" w:rsidDel="00000000" w:rsidP="00000000" w:rsidRDefault="00000000" w:rsidRPr="00000000" w14:paraId="0000007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En caso de que exista diferencia salarial entre lo autorizado en el Anexo de Ejecución y lo que realmente se ha pagado en 2024, se informe el monto que dejé de percibir y los conceptos, en los cuales se aplicó la deducción.”</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esta solicitud,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la incompetencia total para atender la presente solicitud de información, asimismo refirió que puede ser competente para atender la presente solicitud el Colegio de Bachilleres del Estado de México y la Oficialía Mayor.</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conocida la respuesta, el particular interpuso el recurso de revisión que nos ocupa, inconformándose por la incompetencia alegada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una vez admitido el presente medio de impugnación, se tiene constancia que en el informe justificado, la Secretaría de Finanzas ratificó la incompetencia total para atender el requerimiento de información, mientras que la persona solicitante, adjuntó </w:t>
      </w:r>
      <w:r w:rsidDel="00000000" w:rsidR="00000000" w:rsidRPr="00000000">
        <w:rPr>
          <w:rFonts w:ascii="Palatino Linotype" w:cs="Palatino Linotype" w:eastAsia="Palatino Linotype" w:hAnsi="Palatino Linotype"/>
          <w:color w:val="000000"/>
          <w:sz w:val="22"/>
          <w:szCs w:val="22"/>
          <w:rtl w:val="0"/>
        </w:rPr>
        <w:t xml:space="preserve">los soportes documentales denominados </w:t>
      </w:r>
      <w:r w:rsidDel="00000000" w:rsidR="00000000" w:rsidRPr="00000000">
        <w:rPr>
          <w:rFonts w:ascii="Palatino Linotype" w:cs="Palatino Linotype" w:eastAsia="Palatino Linotype" w:hAnsi="Palatino Linotype"/>
          <w:b w:val="1"/>
          <w:i w:val="1"/>
          <w:sz w:val="22"/>
          <w:szCs w:val="22"/>
          <w:rtl w:val="0"/>
        </w:rPr>
        <w:t xml:space="preserve">“27 INE LAHI.pdf” y “15_ANEXO DE EJECUCION MEXICO 0236_24.pdf”, </w:t>
      </w:r>
      <w:r w:rsidDel="00000000" w:rsidR="00000000" w:rsidRPr="00000000">
        <w:rPr>
          <w:rFonts w:ascii="Palatino Linotype" w:cs="Palatino Linotype" w:eastAsia="Palatino Linotype" w:hAnsi="Palatino Linotype"/>
          <w:sz w:val="22"/>
          <w:szCs w:val="22"/>
          <w:rtl w:val="0"/>
        </w:rPr>
        <w:t xml:space="preserve">los cuales son coincidentes en contenido con los remitidos desde la solicitud de acceso a la información.</w:t>
      </w:r>
    </w:p>
    <w:p w:rsidR="00000000" w:rsidDel="00000000" w:rsidP="00000000" w:rsidRDefault="00000000" w:rsidRPr="00000000" w14:paraId="00000078">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Organismo Garantes como el entonces Instituto Nacional de Acceso a la Información Pública y Protección de Datos Personales (INAI) se han pronunciado por la procedencia de los recursos de revisión según la materia de la solicitud. </w:t>
      </w:r>
    </w:p>
    <w:p w:rsidR="00000000" w:rsidDel="00000000" w:rsidP="00000000" w:rsidRDefault="00000000" w:rsidRPr="00000000" w14:paraId="00000079">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Discernimiento que encuentra apoyo en el criterio orientador </w:t>
      </w:r>
      <w:r w:rsidDel="00000000" w:rsidR="00000000" w:rsidRPr="00000000">
        <w:rPr>
          <w:rFonts w:ascii="Palatino Linotype" w:cs="Palatino Linotype" w:eastAsia="Palatino Linotype" w:hAnsi="Palatino Linotype"/>
          <w:b w:val="1"/>
          <w:sz w:val="22"/>
          <w:szCs w:val="22"/>
          <w:rtl w:val="0"/>
        </w:rPr>
        <w:t xml:space="preserve">008/2009</w:t>
      </w:r>
      <w:r w:rsidDel="00000000" w:rsidR="00000000" w:rsidRPr="00000000">
        <w:rPr>
          <w:rFonts w:ascii="Palatino Linotype" w:cs="Palatino Linotype" w:eastAsia="Palatino Linotype" w:hAnsi="Palatino Linotype"/>
          <w:sz w:val="22"/>
          <w:szCs w:val="22"/>
          <w:rtl w:val="0"/>
        </w:rPr>
        <w:t xml:space="preserve"> del entonces INAI, que a la letra dispone lo siguiente:</w:t>
      </w:r>
    </w:p>
    <w:p w:rsidR="00000000" w:rsidDel="00000000" w:rsidP="00000000" w:rsidRDefault="00000000" w:rsidRPr="00000000" w14:paraId="0000007A">
      <w:pPr>
        <w:tabs>
          <w:tab w:val="left" w:leader="none" w:pos="7655"/>
        </w:tabs>
        <w:spacing w:after="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dependencias y entidades deberán dar trámite a las solicitudes aun cuando la vía en la que fueron presentadas -acceso a datos personales o información pública- no corresponda con la naturaleza de la materia de la misma.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Todas aquellas solicitudes cuyo objetivo sea allegarse de información pública y que sean ingresadas por la vía de acceso a datos personales, así como el caso contrario, </w:t>
      </w:r>
      <w:r w:rsidDel="00000000" w:rsidR="00000000" w:rsidRPr="00000000">
        <w:rPr>
          <w:rFonts w:ascii="Palatino Linotype" w:cs="Palatino Linotype" w:eastAsia="Palatino Linotype" w:hAnsi="Palatino Linotype"/>
          <w:b w:val="1"/>
          <w:i w:val="1"/>
          <w:sz w:val="22"/>
          <w:szCs w:val="22"/>
          <w:u w:val="single"/>
          <w:rtl w:val="0"/>
        </w:rPr>
        <w:t xml:space="preserve">deberán ser tramitadas por las dependencias y entidades de conformidad con la naturaleza de la información de que se trate</w:t>
      </w:r>
      <w:r w:rsidDel="00000000" w:rsidR="00000000" w:rsidRPr="00000000">
        <w:rPr>
          <w:rFonts w:ascii="Palatino Linotype" w:cs="Palatino Linotype" w:eastAsia="Palatino Linotype" w:hAnsi="Palatino Linotype"/>
          <w:b w:val="1"/>
          <w:i w:val="1"/>
          <w:sz w:val="22"/>
          <w:szCs w:val="22"/>
          <w:rtl w:val="0"/>
        </w:rPr>
        <w:t xml:space="preserve">, sin necesidad de que el particular requiera presentar una nueva solicitud.</w:t>
      </w:r>
    </w:p>
    <w:p w:rsidR="00000000" w:rsidDel="00000000" w:rsidP="00000000" w:rsidRDefault="00000000" w:rsidRPr="00000000" w14:paraId="0000007B">
      <w:pPr>
        <w:tabs>
          <w:tab w:val="left" w:leader="none" w:pos="7655"/>
        </w:tabs>
        <w:spacing w:after="120" w:line="276"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Del="00000000" w:rsidR="00000000" w:rsidRPr="00000000">
        <w:rPr>
          <w:rFonts w:ascii="Palatino Linotype" w:cs="Palatino Linotype" w:eastAsia="Palatino Linotype" w:hAnsi="Palatino Linotype"/>
          <w:b w:val="1"/>
          <w:i w:val="1"/>
          <w:sz w:val="22"/>
          <w:szCs w:val="22"/>
          <w:rtl w:val="0"/>
        </w:rPr>
        <w:t xml:space="preserve">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Del="00000000" w:rsidR="00000000" w:rsidRPr="00000000">
        <w:rPr>
          <w:rFonts w:ascii="Palatino Linotype" w:cs="Palatino Linotype" w:eastAsia="Palatino Linotype" w:hAnsi="Palatino Linotype"/>
          <w:i w:val="1"/>
          <w:sz w:val="22"/>
          <w:szCs w:val="22"/>
          <w:rtl w:val="0"/>
        </w:rPr>
        <w:t xml:space="preserve">.” (Énfasis añadido)</w:t>
      </w:r>
      <w:r w:rsidDel="00000000" w:rsidR="00000000" w:rsidRPr="00000000">
        <w:rPr>
          <w:rtl w:val="0"/>
        </w:rPr>
      </w:r>
    </w:p>
    <w:p w:rsidR="00000000" w:rsidDel="00000000" w:rsidP="00000000" w:rsidRDefault="00000000" w:rsidRPr="00000000" w14:paraId="0000007C">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bajo el principio  de expeditez</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Del="00000000" w:rsidR="00000000" w:rsidRPr="00000000">
        <w:rPr>
          <w:rFonts w:ascii="Palatino Linotype" w:cs="Palatino Linotype" w:eastAsia="Palatino Linotype" w:hAnsi="Palatino Linotype"/>
          <w:sz w:val="22"/>
          <w:szCs w:val="22"/>
          <w:rtl w:val="0"/>
        </w:rPr>
        <w:t xml:space="preserve">determina  procedente dar trámite a la solicitud formulada por la recurrente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rsidR="00000000" w:rsidDel="00000000" w:rsidP="00000000" w:rsidRDefault="00000000" w:rsidRPr="00000000" w14:paraId="0000007D">
      <w:pPr>
        <w:spacing w:after="280" w:before="280" w:line="360" w:lineRule="auto"/>
        <w:jc w:val="both"/>
        <w:rPr>
          <w:rFonts w:ascii="Palatino Linotype" w:cs="Palatino Linotype" w:eastAsia="Palatino Linotype" w:hAnsi="Palatino Linotype"/>
          <w:color w:val="2f2f2f"/>
          <w:sz w:val="22"/>
          <w:szCs w:val="22"/>
        </w:rPr>
      </w:pPr>
      <w:r w:rsidDel="00000000" w:rsidR="00000000" w:rsidRPr="00000000">
        <w:rPr>
          <w:rFonts w:ascii="Palatino Linotype" w:cs="Palatino Linotype" w:eastAsia="Palatino Linotype" w:hAnsi="Palatino Linotype"/>
          <w:sz w:val="22"/>
          <w:szCs w:val="22"/>
          <w:rtl w:val="0"/>
        </w:rPr>
        <w:t xml:space="preserve">Aunado a lo anterior, los Lineamientos </w:t>
      </w:r>
      <w:r w:rsidDel="00000000" w:rsidR="00000000" w:rsidRPr="00000000">
        <w:rPr>
          <w:rFonts w:ascii="Palatino Linotype" w:cs="Palatino Linotype" w:eastAsia="Palatino Linotype" w:hAnsi="Palatino Linotype"/>
          <w:color w:val="2f2f2f"/>
          <w:sz w:val="22"/>
          <w:szCs w:val="22"/>
          <w:rtl w:val="0"/>
        </w:rPr>
        <w:t xml:space="preserve">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Del="00000000" w:rsidR="00000000" w:rsidRPr="00000000">
        <w:rPr>
          <w:rFonts w:ascii="Palatino Linotype" w:cs="Palatino Linotype" w:eastAsia="Palatino Linotype" w:hAnsi="Palatino Linotype"/>
          <w:b w:val="1"/>
          <w:color w:val="2f2f2f"/>
          <w:sz w:val="22"/>
          <w:szCs w:val="22"/>
          <w:rtl w:val="0"/>
        </w:rPr>
        <w:t xml:space="preserve">trigésimo noveno</w:t>
      </w:r>
      <w:r w:rsidDel="00000000" w:rsidR="00000000" w:rsidRPr="00000000">
        <w:rPr>
          <w:rFonts w:ascii="Palatino Linotype" w:cs="Palatino Linotype" w:eastAsia="Palatino Linotype" w:hAnsi="Palatino Linotype"/>
          <w:color w:val="2f2f2f"/>
          <w:sz w:val="22"/>
          <w:szCs w:val="22"/>
          <w:rtl w:val="0"/>
        </w:rPr>
        <w:t xml:space="preserve">: </w:t>
      </w:r>
    </w:p>
    <w:p w:rsidR="00000000" w:rsidDel="00000000" w:rsidP="00000000" w:rsidRDefault="00000000" w:rsidRPr="00000000" w14:paraId="0000007E">
      <w:pPr>
        <w:spacing w:after="280" w:before="280" w:line="276" w:lineRule="auto"/>
        <w:ind w:left="567" w:right="900" w:firstLine="0"/>
        <w:jc w:val="both"/>
        <w:rPr>
          <w:rFonts w:ascii="Palatino Linotype" w:cs="Palatino Linotype" w:eastAsia="Palatino Linotype" w:hAnsi="Palatino Linotype"/>
          <w:i w:val="1"/>
          <w:color w:val="2f2f2f"/>
          <w:sz w:val="22"/>
          <w:szCs w:val="22"/>
        </w:rPr>
      </w:pPr>
      <w:r w:rsidDel="00000000" w:rsidR="00000000" w:rsidRPr="00000000">
        <w:rPr>
          <w:rFonts w:ascii="Palatino Linotype" w:cs="Palatino Linotype" w:eastAsia="Palatino Linotype" w:hAnsi="Palatino Linotype"/>
          <w:i w:val="1"/>
          <w:color w:val="2f2f2f"/>
          <w:sz w:val="22"/>
          <w:szCs w:val="22"/>
          <w:rtl w:val="0"/>
        </w:rPr>
        <w:t xml:space="preserve">“Trigésimo noveno. Los datos personales concernientes a una persona física identificada o identificable, no podrán clasificarse como confidenciales ante sus titulares.</w:t>
      </w:r>
    </w:p>
    <w:p w:rsidR="00000000" w:rsidDel="00000000" w:rsidP="00000000" w:rsidRDefault="00000000" w:rsidRPr="00000000" w14:paraId="0000007F">
      <w:pPr>
        <w:spacing w:after="280" w:before="280" w:line="276" w:lineRule="auto"/>
        <w:ind w:left="567" w:right="900" w:firstLine="0"/>
        <w:jc w:val="both"/>
        <w:rPr>
          <w:rFonts w:ascii="Palatino Linotype" w:cs="Palatino Linotype" w:eastAsia="Palatino Linotype" w:hAnsi="Palatino Linotype"/>
          <w:b w:val="1"/>
          <w:i w:val="1"/>
          <w:color w:val="2f2f2f"/>
          <w:sz w:val="22"/>
          <w:szCs w:val="22"/>
          <w:u w:val="single"/>
        </w:rPr>
      </w:pPr>
      <w:r w:rsidDel="00000000" w:rsidR="00000000" w:rsidRPr="00000000">
        <w:rPr>
          <w:rFonts w:ascii="Palatino Linotype" w:cs="Palatino Linotype" w:eastAsia="Palatino Linotype" w:hAnsi="Palatino Linotype"/>
          <w:b w:val="1"/>
          <w:i w:val="1"/>
          <w:color w:val="2f2f2f"/>
          <w:sz w:val="22"/>
          <w:szCs w:val="22"/>
          <w:u w:val="single"/>
          <w:rtl w:val="0"/>
        </w:rPr>
        <w:t xml:space="preserve">En caso de que el titular de los datos o su representante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rsidR="00000000" w:rsidDel="00000000" w:rsidP="00000000" w:rsidRDefault="00000000" w:rsidRPr="00000000" w14:paraId="00000080">
      <w:pPr>
        <w:spacing w:after="280" w:before="280" w:line="276" w:lineRule="auto"/>
        <w:ind w:left="567" w:right="900" w:firstLine="0"/>
        <w:jc w:val="both"/>
        <w:rPr>
          <w:rFonts w:ascii="Palatino Linotype" w:cs="Palatino Linotype" w:eastAsia="Palatino Linotype" w:hAnsi="Palatino Linotype"/>
          <w:i w:val="1"/>
          <w:color w:val="2f2f2f"/>
          <w:sz w:val="22"/>
          <w:szCs w:val="22"/>
        </w:rPr>
      </w:pPr>
      <w:r w:rsidDel="00000000" w:rsidR="00000000" w:rsidRPr="00000000">
        <w:rPr>
          <w:rFonts w:ascii="Palatino Linotype" w:cs="Palatino Linotype" w:eastAsia="Palatino Linotype" w:hAnsi="Palatino Linotype"/>
          <w:i w:val="1"/>
          <w:color w:val="2f2f2f"/>
          <w:sz w:val="22"/>
          <w:szCs w:val="22"/>
          <w:rtl w:val="0"/>
        </w:rPr>
        <w:t xml:space="preserve">En caso de que los documentos puestos a disposición del titular de los datos contengan información pública, además de sus datos personales, no deberá testarse ésta.</w:t>
      </w:r>
    </w:p>
    <w:p w:rsidR="00000000" w:rsidDel="00000000" w:rsidP="00000000" w:rsidRDefault="00000000" w:rsidRPr="00000000" w14:paraId="00000081">
      <w:pPr>
        <w:spacing w:after="280" w:before="280" w:line="276" w:lineRule="auto"/>
        <w:ind w:left="567" w:right="900" w:firstLine="0"/>
        <w:jc w:val="both"/>
        <w:rPr>
          <w:rFonts w:ascii="Palatino Linotype" w:cs="Palatino Linotype" w:eastAsia="Palatino Linotype" w:hAnsi="Palatino Linotype"/>
          <w:i w:val="1"/>
          <w:color w:val="2f2f2f"/>
          <w:sz w:val="22"/>
          <w:szCs w:val="22"/>
        </w:rPr>
      </w:pPr>
      <w:r w:rsidDel="00000000" w:rsidR="00000000" w:rsidRPr="00000000">
        <w:rPr>
          <w:rFonts w:ascii="Palatino Linotype" w:cs="Palatino Linotype" w:eastAsia="Palatino Linotype" w:hAnsi="Palatino Linotype"/>
          <w:i w:val="1"/>
          <w:color w:val="2f2f2f"/>
          <w:sz w:val="22"/>
          <w:szCs w:val="22"/>
          <w:rtl w:val="0"/>
        </w:rPr>
        <w:t xml:space="preserve">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rsidR="00000000" w:rsidDel="00000000" w:rsidP="00000000" w:rsidRDefault="00000000" w:rsidRPr="00000000" w14:paraId="00000082">
      <w:pPr>
        <w:spacing w:after="160" w:line="360" w:lineRule="auto"/>
        <w:ind w:right="49"/>
        <w:jc w:val="both"/>
        <w:rPr>
          <w:rFonts w:ascii="Palatino Linotype" w:cs="Palatino Linotype" w:eastAsia="Palatino Linotype" w:hAnsi="Palatino Linotype"/>
          <w:sz w:val="20"/>
          <w:szCs w:val="20"/>
          <w:u w:val="single"/>
        </w:rPr>
      </w:pPr>
      <w:r w:rsidDel="00000000" w:rsidR="00000000" w:rsidRPr="00000000">
        <w:rPr>
          <w:rFonts w:ascii="Palatino Linotype" w:cs="Palatino Linotype" w:eastAsia="Palatino Linotype" w:hAnsi="Palatino Linotype"/>
          <w:color w:val="2f2f2f"/>
          <w:sz w:val="22"/>
          <w:szCs w:val="22"/>
          <w:rtl w:val="0"/>
        </w:rPr>
        <w:t xml:space="preserve">Teniendo esto en cuenta, </w:t>
      </w:r>
      <w:r w:rsidDel="00000000" w:rsidR="00000000" w:rsidRPr="00000000">
        <w:rPr>
          <w:rFonts w:ascii="Palatino Linotype" w:cs="Palatino Linotype" w:eastAsia="Palatino Linotype" w:hAnsi="Palatino Linotype"/>
          <w:sz w:val="22"/>
          <w:szCs w:val="22"/>
          <w:rtl w:val="0"/>
        </w:rPr>
        <w:t xml:space="preserve">este Instituto aperturó la fase de conciliación, en la cual</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expresó su voluntad para conciliar en el presente asunto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dieciséis de abril de dos mil veinticinco</w:t>
      </w:r>
      <w:r w:rsidDel="00000000" w:rsidR="00000000" w:rsidRPr="00000000">
        <w:rPr>
          <w:rFonts w:ascii="Palatino Linotype" w:cs="Palatino Linotype" w:eastAsia="Palatino Linotype" w:hAnsi="Palatino Linotype"/>
          <w:sz w:val="22"/>
          <w:szCs w:val="22"/>
          <w:rtl w:val="0"/>
        </w:rPr>
        <w:t xml:space="preserve">, a través del SAIMEX, mientras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veintidós de abril de dos mil veinticinco</w:t>
      </w:r>
      <w:r w:rsidDel="00000000" w:rsidR="00000000" w:rsidRPr="00000000">
        <w:rPr>
          <w:rFonts w:ascii="Palatino Linotype" w:cs="Palatino Linotype" w:eastAsia="Palatino Linotype" w:hAnsi="Palatino Linotype"/>
          <w:sz w:val="22"/>
          <w:szCs w:val="22"/>
          <w:rtl w:val="0"/>
        </w:rPr>
        <w:t xml:space="preserve">, adjuntó el archivo electrónico denominado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02359 INFOEM IP RR 2025, INST. TRANSP.pdf”</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el cual manifiesta medularmente que </w:t>
      </w:r>
      <w:r w:rsidDel="00000000" w:rsidR="00000000" w:rsidRPr="00000000">
        <w:rPr>
          <w:rFonts w:ascii="Palatino Linotype" w:cs="Palatino Linotype" w:eastAsia="Palatino Linotype" w:hAnsi="Palatino Linotype"/>
          <w:b w:val="1"/>
          <w:sz w:val="22"/>
          <w:szCs w:val="22"/>
          <w:u w:val="single"/>
          <w:rtl w:val="0"/>
        </w:rPr>
        <w:t xml:space="preserve">no es posible llevar a cabo la conciliación</w:t>
      </w:r>
      <w:r w:rsidDel="00000000" w:rsidR="00000000" w:rsidRPr="00000000">
        <w:rPr>
          <w:rFonts w:ascii="Palatino Linotype" w:cs="Palatino Linotype" w:eastAsia="Palatino Linotype" w:hAnsi="Palatino Linotype"/>
          <w:sz w:val="22"/>
          <w:szCs w:val="22"/>
          <w:rtl w:val="0"/>
        </w:rPr>
        <w:t xml:space="preserve">, en virtud de que no cuenta con la competencia para conocer de la información solicitada, por lo que ante la inexistencia de una voluntad reciproca para conciliar en el presente asunto y una vez que transcurrió el plazo para ello, se cerró la etapa conciliatoria.</w:t>
      </w:r>
      <w:r w:rsidDel="00000000" w:rsidR="00000000" w:rsidRPr="00000000">
        <w:rPr>
          <w:rtl w:val="0"/>
        </w:rPr>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en el escrito mediante el cual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manifestó su voluntad de conciliar se advierte que hizo referencia a la conciliación pero bajo la entrega por parte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i w:val="1"/>
          <w:sz w:val="22"/>
          <w:szCs w:val="22"/>
          <w:rtl w:val="0"/>
        </w:rPr>
        <w:t xml:space="preserve">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debe mencionarse que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pretendió ampliar su solicitud, pues como se advierte, requirió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proporcionara los documentos donde se deslinda de la responsabilidad del Anexo de Ejecución 2024, presentando recibos, trasferencia, acuses o documento fehaciente donde acredite y demuestre que entregó el recurso económico tanto Federal como el Estatal al Colegio de Bachilleres del Estado de México; sin embargo, dicha información no fue requerida al momento de presentar las solicitudes de información, como se desprende de los antecedentes de la presente resolución, y de las constancias que obran en el expediente electrónico del SAIMEX. En este sentido, dichos pronunciamientos se traducen como una </w:t>
      </w:r>
      <w:r w:rsidDel="00000000" w:rsidR="00000000" w:rsidRPr="00000000">
        <w:rPr>
          <w:rFonts w:ascii="Palatino Linotype" w:cs="Palatino Linotype" w:eastAsia="Palatino Linotype" w:hAnsi="Palatino Linotype"/>
          <w:i w:val="1"/>
          <w:sz w:val="22"/>
          <w:szCs w:val="22"/>
          <w:rtl w:val="0"/>
        </w:rPr>
        <w:t xml:space="preserve">plus petitio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y por tanto inatendibles a través del recurso de revisión.  </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una vez formulada su solicitud inicial,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rsidR="00000000" w:rsidDel="00000000" w:rsidP="00000000" w:rsidRDefault="00000000" w:rsidRPr="00000000" w14:paraId="00000087">
      <w:pPr>
        <w:spacing w:after="240" w:before="240" w:lineRule="auto"/>
        <w:ind w:left="993"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se dejan a salvo los derechos de la persona solicitante para que, en caso de considerar conveniente a sus intereses, el conocer la información que fue señalada, la solicite a través de una nueva solicitud de información.</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es de retomar que, del análisis a la solicitud que dio origen al recurso de revisión de nuestra atención, se advierte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pretendió ejercer uno de los derechos ARCO, como es el de acceso a datos personales, ello en virtud de que requiere el monto total individualizado asignado a mi plaza como ingreso bruto, que debió y debe percibir, por este año 2024; monto detallado anual que debió aplicarse por concepto tanto de percepciones como de deducciones -cuyos conceptos se precisaron en cada caso, respecto del ejercicio 2024- y en caso de que exista diferencia salarial entre lo autorizado en el Anexo de Ejecución y lo que realmente se ha pagado en 2024, se informe el monto que dejó de percibir y los conceptos, en los cuales se aplicó la deducción.</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con la finalidad de determinar si el Derecho de acceso de esta se satisfizo, o, en su defecto, ordenar el soporte documental correspondiente, en caso de ser procedente.</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declaró incompetente para dar atención a la solicitud de información y que este es el motivo de inconformidad hecho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Jurisprudencia con número de registro 170827, emitida por la Segunda Sala de la Suprema Corte de Justicia de la Nación, cuyo rubro y texto a continuación se transcriben:</w:t>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COMPETENCIA. SU ESTUDIO OFICIOSO RESPECTO DE LA AUTORIDAD DEMANDADA EN EL JUICIO CONTENCIOSO ADMINISTRATIVO, DEBE SER ANALIZADA POR LAS SALAS DEL TRIBUNAL FEDERAL DE JUSTICIA FISCAL Y ADMINISTRATIVA</w:t>
      </w:r>
      <w:r w:rsidDel="00000000" w:rsidR="00000000" w:rsidRPr="00000000">
        <w:rPr>
          <w:rFonts w:ascii="Palatino Linotype" w:cs="Palatino Linotype" w:eastAsia="Palatino Linotype" w:hAnsi="Palatino Linotype"/>
          <w:i w:val="1"/>
          <w:sz w:val="22"/>
          <w:szCs w:val="22"/>
          <w:rtl w:val="0"/>
        </w:rPr>
        <w:t xml:space="preserve">.- El artículo 238, penúltimo párrafo, del Código Fiscal de la Federación y su correlativo 51, penúltimo párrafo, de la Ley Federal de Procedimiento Contencioso Administrativo, </w:t>
      </w:r>
      <w:r w:rsidDel="00000000" w:rsidR="00000000" w:rsidRPr="00000000">
        <w:rPr>
          <w:rFonts w:ascii="Palatino Linotype" w:cs="Palatino Linotype" w:eastAsia="Palatino Linotype" w:hAnsi="Palatino Linotype"/>
          <w:b w:val="1"/>
          <w:i w:val="1"/>
          <w:sz w:val="22"/>
          <w:szCs w:val="22"/>
          <w:rtl w:val="0"/>
        </w:rPr>
        <w:t xml:space="preserve">establece que ese Tribunal podrá hacer valer de oficio, por ser de orden público, la incompetencia de la autoridad para dictar la resolución impugnada.</w:t>
      </w:r>
      <w:r w:rsidDel="00000000" w:rsidR="00000000" w:rsidRPr="00000000">
        <w:rPr>
          <w:rFonts w:ascii="Palatino Linotype" w:cs="Palatino Linotype" w:eastAsia="Palatino Linotype" w:hAnsi="Palatino Linotype"/>
          <w:i w:val="1"/>
          <w:sz w:val="22"/>
          <w:szCs w:val="22"/>
          <w:rtl w:val="0"/>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fundamentación de la competencia. Cabe agregar que </w:t>
      </w:r>
      <w:r w:rsidDel="00000000" w:rsidR="00000000" w:rsidRPr="00000000">
        <w:rPr>
          <w:rFonts w:ascii="Palatino Linotype" w:cs="Palatino Linotype" w:eastAsia="Palatino Linotype" w:hAnsi="Palatino Linotype"/>
          <w:b w:val="1"/>
          <w:i w:val="1"/>
          <w:sz w:val="22"/>
          <w:szCs w:val="22"/>
          <w:rtl w:val="0"/>
        </w:rPr>
        <w:t xml:space="preserve">en el caso de que las Salas fiscales estimen que la autoridad administrativa es incompetente, su pronunciamiento en ese sentido será indispensable, porque ello constituirá causa de nulidad de la resolución impugnada;</w:t>
      </w:r>
      <w:r w:rsidDel="00000000" w:rsidR="00000000" w:rsidRPr="00000000">
        <w:rPr>
          <w:rFonts w:ascii="Palatino Linotype" w:cs="Palatino Linotype" w:eastAsia="Palatino Linotype" w:hAnsi="Palatino Linotype"/>
          <w:i w:val="1"/>
          <w:sz w:val="22"/>
          <w:szCs w:val="22"/>
          <w:rtl w:val="0"/>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Del="00000000" w:rsidR="00000000" w:rsidRPr="00000000">
        <w:rPr>
          <w:rFonts w:ascii="Palatino Linotype" w:cs="Palatino Linotype" w:eastAsia="Palatino Linotype" w:hAnsi="Palatino Linotype"/>
          <w:b w:val="1"/>
          <w:sz w:val="22"/>
          <w:szCs w:val="22"/>
          <w:rtl w:val="0"/>
        </w:rPr>
        <w:t xml:space="preserve">Secretaría de Finanzas</w:t>
      </w:r>
      <w:r w:rsidDel="00000000" w:rsidR="00000000" w:rsidRPr="00000000">
        <w:rPr>
          <w:rFonts w:ascii="Palatino Linotype" w:cs="Palatino Linotype" w:eastAsia="Palatino Linotype" w:hAnsi="Palatino Linotype"/>
          <w:sz w:val="22"/>
          <w:szCs w:val="22"/>
          <w:rtl w:val="0"/>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partes operaran dicho instrumento a través de los oficios de autorización que expida la SEP, o bien mediante la suscripción de anexos de ejecución, anuales y específicos por cada uno de los organismos públicos descentralizados que operen en la entidad.</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contexto, la solicitud de información se presentó tomando como referencia el Apartado “B” correspondiente al Analítico de servicios personales 2024, plazas, horas y sueldos autorizados, del Anexo de Ejecución / Apoyo Financiero 2024 SEMS-EL COBAEM-MÉXICO 0236/24:</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96512" cy="3153139"/>
            <wp:effectExtent b="0" l="0" r="0" t="0"/>
            <wp:docPr id="2140131925" name="image12.png"/>
            <a:graphic>
              <a:graphicData uri="http://schemas.openxmlformats.org/drawingml/2006/picture">
                <pic:pic>
                  <pic:nvPicPr>
                    <pic:cNvPr id="0" name="image12.png"/>
                    <pic:cNvPicPr preferRelativeResize="0"/>
                  </pic:nvPicPr>
                  <pic:blipFill>
                    <a:blip r:embed="rId8"/>
                    <a:srcRect b="-408" l="0" r="0" t="0"/>
                    <a:stretch>
                      <a:fillRect/>
                    </a:stretch>
                  </pic:blipFill>
                  <pic:spPr>
                    <a:xfrm>
                      <a:off x="0" y="0"/>
                      <a:ext cx="5296512" cy="315313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4184725"/>
            <wp:effectExtent b="0" l="0" r="0" t="0"/>
            <wp:docPr id="214013192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400000" cy="41847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precisado lo anterior, se procede al análisis del marco normativo aplicable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con la finalidad de determinar sus atribuciones, y si estas se vinculan con la materia de la solicitud.</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pacing w:after="240" w:before="240" w:line="360" w:lineRule="auto"/>
        <w:ind w:left="0" w:right="99" w:hanging="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u w:val="single"/>
          <w:rtl w:val="0"/>
        </w:rPr>
        <w:t xml:space="preserve">De la esfera competencial de la Secretaría de Finanzas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Sus atribuciones se contemplan en el artículo 29 de la Ley Orgánica de la Administración Pública: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29</w:t>
      </w:r>
      <w:r w:rsidDel="00000000" w:rsidR="00000000" w:rsidRPr="00000000">
        <w:rPr>
          <w:rFonts w:ascii="Palatino Linotype" w:cs="Palatino Linotype" w:eastAsia="Palatino Linotype" w:hAnsi="Palatino Linotype"/>
          <w:i w:val="1"/>
          <w:sz w:val="22"/>
          <w:szCs w:val="22"/>
          <w:rtl w:val="0"/>
        </w:rPr>
        <w:t xml:space="preserve">. La Secretaría de Finanzas contará con las siguientes atribuciones: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Establecer políticas en materia hacendaria, así como </w:t>
      </w:r>
      <w:r w:rsidDel="00000000" w:rsidR="00000000" w:rsidRPr="00000000">
        <w:rPr>
          <w:rFonts w:ascii="Palatino Linotype" w:cs="Palatino Linotype" w:eastAsia="Palatino Linotype" w:hAnsi="Palatino Linotype"/>
          <w:b w:val="1"/>
          <w:i w:val="1"/>
          <w:sz w:val="22"/>
          <w:szCs w:val="22"/>
          <w:u w:val="single"/>
          <w:rtl w:val="0"/>
        </w:rPr>
        <w:t xml:space="preserve">recaudar</w:t>
      </w:r>
      <w:r w:rsidDel="00000000" w:rsidR="00000000" w:rsidRPr="00000000">
        <w:rPr>
          <w:rFonts w:ascii="Palatino Linotype" w:cs="Palatino Linotype" w:eastAsia="Palatino Linotype" w:hAnsi="Palatino Linotype"/>
          <w:b w:val="1"/>
          <w:i w:val="1"/>
          <w:sz w:val="22"/>
          <w:szCs w:val="22"/>
          <w:rtl w:val="0"/>
        </w:rPr>
        <w:t xml:space="preserve"> los impuestos, derechos, aportaciones de mejoras, productos y aprovechamientos, que correspondan al Estado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 </w:t>
      </w:r>
      <w:r w:rsidDel="00000000" w:rsidR="00000000" w:rsidRPr="00000000">
        <w:rPr>
          <w:rFonts w:ascii="Palatino Linotype" w:cs="Palatino Linotype" w:eastAsia="Palatino Linotype" w:hAnsi="Palatino Linotype"/>
          <w:b w:val="1"/>
          <w:i w:val="1"/>
          <w:sz w:val="22"/>
          <w:szCs w:val="22"/>
          <w:u w:val="single"/>
          <w:rtl w:val="0"/>
        </w:rPr>
        <w:t xml:space="preserve">las contribuciones federales</w:t>
      </w:r>
      <w:r w:rsidDel="00000000" w:rsidR="00000000" w:rsidRPr="00000000">
        <w:rPr>
          <w:rFonts w:ascii="Palatino Linotype" w:cs="Palatino Linotype" w:eastAsia="Palatino Linotype" w:hAnsi="Palatino Linotype"/>
          <w:b w:val="1"/>
          <w:i w:val="1"/>
          <w:sz w:val="22"/>
          <w:szCs w:val="22"/>
          <w:rtl w:val="0"/>
        </w:rPr>
        <w:t xml:space="preserve"> y municipales en los términos de los convenios suscritos, conforme a las leyes estatales y generales aplicables</w:t>
      </w:r>
      <w:r w:rsidDel="00000000" w:rsidR="00000000" w:rsidRPr="00000000">
        <w:rPr>
          <w:rFonts w:ascii="Palatino Linotype" w:cs="Palatino Linotype" w:eastAsia="Palatino Linotype" w:hAnsi="Palatino Linotype"/>
          <w:i w:val="1"/>
          <w:sz w:val="22"/>
          <w:szCs w:val="22"/>
          <w:rtl w:val="0"/>
        </w:rPr>
        <w:t xml:space="preserve">,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Instrumentar, vigilar y buscar asegurar el cumplimiento de las disposiciones legales de carácter fiscal y las demás de su ramo, aplicables en el Estado;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Formular y presentar a la persona titular del Poder Ejecutivo del Estado, los proyectos de Ley de Ingresos, del Presupuesto de Egresos y el programa general del gasto público;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Practicar revisiones y auditorías a los causantes para prevenir la evasión y elusión, y en su caso, determinar créditos fiscales y precisar las bases para su liquidación;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Formular mensualmente los estados financieros de la hacienda pública, presentando anualmente a la persona titular del Poder Ejecutivo del Estado, en la primera quincena del mes de enero, un informe pormenorizado del ejercicio fiscal anterior;</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Ejercer la facultad económico-coactiva conforme a las leyes relativas, para hacer efectivos los créditos fiscales a favor del Estado;</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Establecer, administrar, integrar, controlar, verificar y mantener actualizados, el padrón fiscal de contribuyentes y demás registros relacionados, conforme a las disposiciones legales aplicables;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Cuidar que las personas empleadas que manejen fondos del Estado otorguen fianza suficiente para garantizar su manejo en los términos que determine la ley;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Dirigir, regular, controlar, supervisar y evaluar las actividades de las personas servidoras públicas en las oficinas recaudadoras físicas y virtuales, así como de orientación y asistencia a las personas contribuyentes en el Estado;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Efectuar los pagos conforme a los programas y presupuestos aprobados, así como, formular mensualmente el estado de origen y aplicación de los recursos financieros y tributarios del Estado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Proponer a la persona titular del Poder Ejecutivo del Estado la cancelación de cuentas incobrables, así como el otorgamiento de subsidios fiscales en los casos en que proceda;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 </w:t>
      </w:r>
      <w:r w:rsidDel="00000000" w:rsidR="00000000" w:rsidRPr="00000000">
        <w:rPr>
          <w:rFonts w:ascii="Palatino Linotype" w:cs="Palatino Linotype" w:eastAsia="Palatino Linotype" w:hAnsi="Palatino Linotype"/>
          <w:i w:val="1"/>
          <w:sz w:val="22"/>
          <w:szCs w:val="22"/>
          <w:rtl w:val="0"/>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Intervenir como parte en los juicios contra resoluciones o actos emitidos por la Entidad en ejercicio de sus facultades por ingresos federales ya sea por sí o a través de las dependencias u organismos auxiliares de la Administración Pública, sin perjuicio de la intervención que corresponda a la Secretaría de Hacienda y Crédito Público y/o al Servicio de Administración Tributaria;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Ejercer las acciones, oponer las excepciones y defensas que correspondan a los actos emitidos por la Entidad en los juicios;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Intervenir en su carácter de autoridad ejecutora, en los juicios interpuestos contra requerimientos de pago a cargo de instituciones de fianzas con base en pólizas que se hayan expedido para asegurar el interés fiscal;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Fijar las políticas, normas y lineamientos generales en materia de catastro, de acuerdo con las leyes respectivas;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Solicitar a la Oficialía Mayor el diseño, implementación y actualización de todos los sistemas informáticos indispensables para el cumplimiento de sus atribuciones, tales como: de ingresos, del gasto público, de contabilidad gubernamental, disciplina financiera y estadística y demás apegadas a las disposiciones legales aplicables;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XXIII.</w:t>
      </w:r>
      <w:r w:rsidDel="00000000" w:rsidR="00000000" w:rsidRPr="00000000">
        <w:rPr>
          <w:rFonts w:ascii="Palatino Linotype" w:cs="Palatino Linotype" w:eastAsia="Palatino Linotype" w:hAnsi="Palatino Linotype"/>
          <w:i w:val="1"/>
          <w:sz w:val="22"/>
          <w:szCs w:val="22"/>
          <w:rtl w:val="0"/>
        </w:rPr>
        <w:t xml:space="preserve"> Proyectar y calcular los egresos del Gobierno del Estado y los ingresos y egresos de sus organismos auxiliares;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w:t>
      </w:r>
      <w:r w:rsidDel="00000000" w:rsidR="00000000" w:rsidRPr="00000000">
        <w:rPr>
          <w:rFonts w:ascii="Palatino Linotype" w:cs="Palatino Linotype" w:eastAsia="Palatino Linotype" w:hAnsi="Palatino Linotype"/>
          <w:i w:val="1"/>
          <w:sz w:val="22"/>
          <w:szCs w:val="22"/>
          <w:rtl w:val="0"/>
        </w:rPr>
        <w:t xml:space="preserve"> Garantizar, en el ámbito de su competencia, la aplicación de las reglas y criterios de disciplina financiera, equilibrio presupuestario y responsabilidad hacendaria, en términos de la legislación en la materia;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w:t>
      </w:r>
      <w:r w:rsidDel="00000000" w:rsidR="00000000" w:rsidRPr="00000000">
        <w:rPr>
          <w:rFonts w:ascii="Palatino Linotype" w:cs="Palatino Linotype" w:eastAsia="Palatino Linotype" w:hAnsi="Palatino Linotype"/>
          <w:i w:val="1"/>
          <w:sz w:val="22"/>
          <w:szCs w:val="22"/>
          <w:rtl w:val="0"/>
        </w:rPr>
        <w:t xml:space="preserve">. Establecer y llevar los sistemas de contabilidad gubernamental, disciplina financiera y de estadística general del Gobierno del Estado;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w:t>
      </w:r>
      <w:r w:rsidDel="00000000" w:rsidR="00000000" w:rsidRPr="00000000">
        <w:rPr>
          <w:rFonts w:ascii="Palatino Linotype" w:cs="Palatino Linotype" w:eastAsia="Palatino Linotype" w:hAnsi="Palatino Linotype"/>
          <w:i w:val="1"/>
          <w:sz w:val="22"/>
          <w:szCs w:val="22"/>
          <w:rtl w:val="0"/>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 </w:t>
      </w:r>
      <w:r w:rsidDel="00000000" w:rsidR="00000000" w:rsidRPr="00000000">
        <w:rPr>
          <w:rFonts w:ascii="Palatino Linotype" w:cs="Palatino Linotype" w:eastAsia="Palatino Linotype" w:hAnsi="Palatino Linotype"/>
          <w:i w:val="1"/>
          <w:sz w:val="22"/>
          <w:szCs w:val="22"/>
          <w:rtl w:val="0"/>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XXVIII</w:t>
      </w:r>
      <w:r w:rsidDel="00000000" w:rsidR="00000000" w:rsidRPr="00000000">
        <w:rPr>
          <w:rFonts w:ascii="Palatino Linotype" w:cs="Palatino Linotype" w:eastAsia="Palatino Linotype" w:hAnsi="Palatino Linotype"/>
          <w:i w:val="1"/>
          <w:sz w:val="22"/>
          <w:szCs w:val="22"/>
          <w:rtl w:val="0"/>
        </w:rPr>
        <w:t xml:space="preserve">. Celebrar convenios con los entes públicos estatales que se ubiquen en un nivel de endeudamiento elevado, con el objeto de establecer obligaciones específicas de responsabilidad hacendaria;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r>
      <w:r w:rsidDel="00000000" w:rsidR="00000000" w:rsidRPr="00000000">
        <w:rPr>
          <w:rFonts w:ascii="Palatino Linotype" w:cs="Palatino Linotype" w:eastAsia="Palatino Linotype" w:hAnsi="Palatino Linotype"/>
          <w:i w:val="1"/>
          <w:sz w:val="22"/>
          <w:szCs w:val="22"/>
          <w:rtl w:val="0"/>
        </w:rPr>
        <w:t xml:space="preserve">. Hacer la glosa preventiva de los ingresos y egresos del Gobierno del Estado, elaborar la cuenta pública y mantener las relaciones con el Órgano Superior de Fiscalización del Estado de México;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w:t>
      </w:r>
      <w:r w:rsidDel="00000000" w:rsidR="00000000" w:rsidRPr="00000000">
        <w:rPr>
          <w:rFonts w:ascii="Palatino Linotype" w:cs="Palatino Linotype" w:eastAsia="Palatino Linotype" w:hAnsi="Palatino Linotype"/>
          <w:i w:val="1"/>
          <w:sz w:val="22"/>
          <w:szCs w:val="22"/>
          <w:rtl w:val="0"/>
        </w:rPr>
        <w:t xml:space="preserve"> Registrar y normar los actos y contratos de los que resulten derechos y obligaciones para el Gobierno del Estado;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w:t>
      </w:r>
      <w:r w:rsidDel="00000000" w:rsidR="00000000" w:rsidRPr="00000000">
        <w:rPr>
          <w:rFonts w:ascii="Palatino Linotype" w:cs="Palatino Linotype" w:eastAsia="Palatino Linotype" w:hAnsi="Palatino Linotype"/>
          <w:i w:val="1"/>
          <w:sz w:val="22"/>
          <w:szCs w:val="22"/>
          <w:rtl w:val="0"/>
        </w:rPr>
        <w:t xml:space="preserve"> Determinar el destino final tratándose de tráileres, autobuses y cualquier tipo de remolques, una vez declarados abandonados;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w:t>
      </w:r>
      <w:r w:rsidDel="00000000" w:rsidR="00000000" w:rsidRPr="00000000">
        <w:rPr>
          <w:rFonts w:ascii="Palatino Linotype" w:cs="Palatino Linotype" w:eastAsia="Palatino Linotype" w:hAnsi="Palatino Linotype"/>
          <w:i w:val="1"/>
          <w:sz w:val="22"/>
          <w:szCs w:val="22"/>
          <w:rtl w:val="0"/>
        </w:rPr>
        <w:t xml:space="preserve">. Instrumentar e intervenir en el otorgamiento de los subsidios, aportaciones, ayudas, transferencias y financiamiento temporal a las dependencias, municipios, instituciones o particulares, con el objeto de comprobar que la inversión se efectúe en los términos establecidos de conformidad con la legislación aplicable y las disposiciones normativas que para estos efectos se emitan;</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XXIII</w:t>
      </w:r>
      <w:r w:rsidDel="00000000" w:rsidR="00000000" w:rsidRPr="00000000">
        <w:rPr>
          <w:rFonts w:ascii="Palatino Linotype" w:cs="Palatino Linotype" w:eastAsia="Palatino Linotype" w:hAnsi="Palatino Linotype"/>
          <w:i w:val="1"/>
          <w:sz w:val="22"/>
          <w:szCs w:val="22"/>
          <w:rtl w:val="0"/>
        </w:rPr>
        <w:t xml:space="preserve">. Prestar a los municipios, cuando así lo soliciten, la asesoría y el apoyo técnico necesario para la elaboración de sus planes y programas de desarrollo económico y social;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Integrar y mantener actualizada la información geográfica y estadística de la Entidad;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 </w:t>
      </w:r>
      <w:r w:rsidDel="00000000" w:rsidR="00000000" w:rsidRPr="00000000">
        <w:rPr>
          <w:rFonts w:ascii="Palatino Linotype" w:cs="Palatino Linotype" w:eastAsia="Palatino Linotype" w:hAnsi="Palatino Linotype"/>
          <w:i w:val="1"/>
          <w:sz w:val="22"/>
          <w:szCs w:val="22"/>
          <w:rtl w:val="0"/>
        </w:rPr>
        <w:t xml:space="preserve">Asesorar a la persona titular del Poder Ejecutivo del Estado en la elaboración de los convenios que celebre el Gobierno del Estado en materia de planeación, programación, supervisión y evaluación del desarrollo de la Entidad;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w:t>
      </w:r>
      <w:r w:rsidDel="00000000" w:rsidR="00000000" w:rsidRPr="00000000">
        <w:rPr>
          <w:rFonts w:ascii="Palatino Linotype" w:cs="Palatino Linotype" w:eastAsia="Palatino Linotype" w:hAnsi="Palatino Linotype"/>
          <w:i w:val="1"/>
          <w:sz w:val="22"/>
          <w:szCs w:val="22"/>
          <w:rtl w:val="0"/>
        </w:rPr>
        <w:t xml:space="preserve">. Vigilar que el desarrollo económico y social de la Entidad sea armónico, para que beneficie en forma equitativa a las diferentes regiones del Estado, evaluando periódicamente los resultados obtenidos, en términos simples y comprensibles;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w:t>
      </w:r>
      <w:r w:rsidDel="00000000" w:rsidR="00000000" w:rsidRPr="00000000">
        <w:rPr>
          <w:rFonts w:ascii="Palatino Linotype" w:cs="Palatino Linotype" w:eastAsia="Palatino Linotype" w:hAnsi="Palatino Linotype"/>
          <w:i w:val="1"/>
          <w:sz w:val="22"/>
          <w:szCs w:val="22"/>
          <w:rtl w:val="0"/>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XXXVIII</w:t>
      </w:r>
      <w:r w:rsidDel="00000000" w:rsidR="00000000" w:rsidRPr="00000000">
        <w:rPr>
          <w:rFonts w:ascii="Palatino Linotype" w:cs="Palatino Linotype" w:eastAsia="Palatino Linotype" w:hAnsi="Palatino Linotype"/>
          <w:i w:val="1"/>
          <w:sz w:val="22"/>
          <w:szCs w:val="22"/>
          <w:rtl w:val="0"/>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XXXIX</w:t>
      </w:r>
      <w:r w:rsidDel="00000000" w:rsidR="00000000" w:rsidRPr="00000000">
        <w:rPr>
          <w:rFonts w:ascii="Palatino Linotype" w:cs="Palatino Linotype" w:eastAsia="Palatino Linotype" w:hAnsi="Palatino Linotype"/>
          <w:i w:val="1"/>
          <w:sz w:val="22"/>
          <w:szCs w:val="22"/>
          <w:rtl w:val="0"/>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w:t>
      </w:r>
      <w:r w:rsidDel="00000000" w:rsidR="00000000" w:rsidRPr="00000000">
        <w:rPr>
          <w:rFonts w:ascii="Palatino Linotype" w:cs="Palatino Linotype" w:eastAsia="Palatino Linotype" w:hAnsi="Palatino Linotype"/>
          <w:i w:val="1"/>
          <w:sz w:val="22"/>
          <w:szCs w:val="22"/>
          <w:rtl w:val="0"/>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w:t>
      </w:r>
      <w:r w:rsidDel="00000000" w:rsidR="00000000" w:rsidRPr="00000000">
        <w:rPr>
          <w:rFonts w:ascii="Palatino Linotype" w:cs="Palatino Linotype" w:eastAsia="Palatino Linotype" w:hAnsi="Palatino Linotype"/>
          <w:i w:val="1"/>
          <w:sz w:val="22"/>
          <w:szCs w:val="22"/>
          <w:rtl w:val="0"/>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XLII.</w:t>
      </w:r>
      <w:r w:rsidDel="00000000" w:rsidR="00000000" w:rsidRPr="00000000">
        <w:rPr>
          <w:rFonts w:ascii="Palatino Linotype" w:cs="Palatino Linotype" w:eastAsia="Palatino Linotype" w:hAnsi="Palatino Linotype"/>
          <w:i w:val="1"/>
          <w:sz w:val="22"/>
          <w:szCs w:val="22"/>
          <w:rtl w:val="0"/>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XLIII</w:t>
      </w:r>
      <w:r w:rsidDel="00000000" w:rsidR="00000000" w:rsidRPr="00000000">
        <w:rPr>
          <w:rFonts w:ascii="Palatino Linotype" w:cs="Palatino Linotype" w:eastAsia="Palatino Linotype" w:hAnsi="Palatino Linotype"/>
          <w:i w:val="1"/>
          <w:sz w:val="22"/>
          <w:szCs w:val="22"/>
          <w:rtl w:val="0"/>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XLIV</w:t>
      </w:r>
      <w:r w:rsidDel="00000000" w:rsidR="00000000" w:rsidRPr="00000000">
        <w:rPr>
          <w:rFonts w:ascii="Palatino Linotype" w:cs="Palatino Linotype" w:eastAsia="Palatino Linotype" w:hAnsi="Palatino Linotype"/>
          <w:i w:val="1"/>
          <w:sz w:val="22"/>
          <w:szCs w:val="22"/>
          <w:rtl w:val="0"/>
        </w:rPr>
        <w:t xml:space="preserve">. Emitir, en conjunto con la Secretaría General de Gobierno, los lineamientos técnicos en materia de Gobierno Digital conforme a lo establecido en los ordenamientos jurídicos aplicables;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Dar asesoría en materia de Gobierno Digital a los sujetos de la Ley de Gobierno Digital, teniendo como base la normatividad aplicable en dicha materia;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w:t>
      </w:r>
      <w:r w:rsidDel="00000000" w:rsidR="00000000" w:rsidRPr="00000000">
        <w:rPr>
          <w:rFonts w:ascii="Palatino Linotype" w:cs="Palatino Linotype" w:eastAsia="Palatino Linotype" w:hAnsi="Palatino Linotype"/>
          <w:i w:val="1"/>
          <w:sz w:val="22"/>
          <w:szCs w:val="22"/>
          <w:rtl w:val="0"/>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XLVII</w:t>
      </w:r>
      <w:r w:rsidDel="00000000" w:rsidR="00000000" w:rsidRPr="00000000">
        <w:rPr>
          <w:rFonts w:ascii="Palatino Linotype" w:cs="Palatino Linotype" w:eastAsia="Palatino Linotype" w:hAnsi="Palatino Linotype"/>
          <w:i w:val="1"/>
          <w:sz w:val="22"/>
          <w:szCs w:val="22"/>
          <w:rtl w:val="0"/>
        </w:rPr>
        <w:t xml:space="preserve">. Implementar y administrar el Sistema Estatal de Información, Trámites y Servicios, en coordinación con el Consejo Estatal de Gobierno Digital y la Secretaría General de Gobierno;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XLVIII.</w:t>
      </w:r>
      <w:r w:rsidDel="00000000" w:rsidR="00000000" w:rsidRPr="00000000">
        <w:rPr>
          <w:rFonts w:ascii="Palatino Linotype" w:cs="Palatino Linotype" w:eastAsia="Palatino Linotype" w:hAnsi="Palatino Linotype"/>
          <w:i w:val="1"/>
          <w:sz w:val="22"/>
          <w:szCs w:val="22"/>
          <w:rtl w:val="0"/>
        </w:rPr>
        <w:t xml:space="preserve"> Impulsar la igualdad entre mujeres y hombres a través de la incorporación de la perspectiva de género en la planeación, diseño, elaboración, ejecución, seguimiento y evaluación del presupuesto;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XLIX.</w:t>
      </w:r>
      <w:r w:rsidDel="00000000" w:rsidR="00000000" w:rsidRPr="00000000">
        <w:rPr>
          <w:rFonts w:ascii="Palatino Linotype" w:cs="Palatino Linotype" w:eastAsia="Palatino Linotype" w:hAnsi="Palatino Linotype"/>
          <w:i w:val="1"/>
          <w:sz w:val="22"/>
          <w:szCs w:val="22"/>
          <w:rtl w:val="0"/>
        </w:rPr>
        <w:t xml:space="preserve"> Aplicar las políticas en materia de protección de datos personales respecto del almacenamiento y custodia de información que derive del ejercicio de sus atribuciones; y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w:t>
      </w:r>
      <w:r w:rsidDel="00000000" w:rsidR="00000000" w:rsidRPr="00000000">
        <w:rPr>
          <w:rFonts w:ascii="Palatino Linotype" w:cs="Palatino Linotype" w:eastAsia="Palatino Linotype" w:hAnsi="Palatino Linotype"/>
          <w:i w:val="1"/>
          <w:sz w:val="22"/>
          <w:szCs w:val="22"/>
          <w:rtl w:val="0"/>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LI.</w:t>
      </w:r>
      <w:r w:rsidDel="00000000" w:rsidR="00000000" w:rsidRPr="00000000">
        <w:rPr>
          <w:rFonts w:ascii="Palatino Linotype" w:cs="Palatino Linotype" w:eastAsia="Palatino Linotype" w:hAnsi="Palatino Linotype"/>
          <w:i w:val="1"/>
          <w:sz w:val="22"/>
          <w:szCs w:val="22"/>
          <w:rtl w:val="0"/>
        </w:rPr>
        <w:t xml:space="preserve"> Las demás que le señalen otras leyes, reglamentos y disposiciones jurídicas aplicables, así como las que le encomiende la persona titular del Poder Ejecutivo del Estado.”</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 conveniente referir que, si bien,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34116" cy="3803519"/>
            <wp:effectExtent b="0" l="0" r="0" t="0"/>
            <wp:docPr id="214013192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434116" cy="380351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5706110" cy="2063680"/>
                <wp:effectExtent b="0" l="0" r="0" t="0"/>
                <wp:wrapNone/>
                <wp:docPr id="2140131924" name=""/>
                <a:graphic>
                  <a:graphicData uri="http://schemas.microsoft.com/office/word/2010/wordprocessingShape">
                    <wps:wsp>
                      <wps:cNvSpPr/>
                      <wps:cNvPr id="2" name="Shape 2"/>
                      <wps:spPr>
                        <a:xfrm>
                          <a:off x="2550095" y="2805310"/>
                          <a:ext cx="5591810" cy="1949380"/>
                        </a:xfrm>
                        <a:prstGeom prst="rect">
                          <a:avLst/>
                        </a:prstGeom>
                        <a:noFill/>
                        <a:ln cap="flat" cmpd="sng" w="381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5706110" cy="2063680"/>
                <wp:effectExtent b="0" l="0" r="0" t="0"/>
                <wp:wrapNone/>
                <wp:docPr id="2140131924"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706110" cy="2063680"/>
                        </a:xfrm>
                        <a:prstGeom prst="rect"/>
                        <a:ln/>
                      </pic:spPr>
                    </pic:pic>
                  </a:graphicData>
                </a:graphic>
              </wp:anchor>
            </w:drawing>
          </mc:Fallback>
        </mc:AlternateConten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las obligaciones de la Secretaría de Finanzas se encuentran establecidas, específicamente en los incisos a), b), c), d) y e) del Anexo de Ejecución / Apoyo Financiero 2024 SEMS-EL COBAEM-MÉXICO 0236/24, las cuales se concretan a:</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recepción de los recursos ministrados por la Secretaría de Educación Pública, a través de la apertura de una cuenta bancaria productiva específica en una institución bancaria autorizada.</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transferencia de los recursos ministrados por la SEP al COBAEM, en un plazo no mayor a cinco días naturales posteriores a la fecha de recepción de los mismos, cuya evidencia documental debe ser remitida a la SEP, con la finalidad de acreditar la transferencia.</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Reintegrar a la Tesorería de la Federación los recursos financieros que aporte la SEP, que no se transfieran al COBAEM, así como los rendimientos generados por los recursos federales.</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Informar al COBAEM, al día siguiente en el que sean radicados los recursos financieros federales por parte de la SEP, de la disponibilidad presupuestaria correspondiente.</w:t>
      </w:r>
    </w:p>
    <w:p w:rsidR="00000000" w:rsidDel="00000000" w:rsidP="00000000" w:rsidRDefault="00000000" w:rsidRPr="00000000" w14:paraId="000000D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previo, se colige que existe una evidente incompetencia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rsidR="00000000" w:rsidDel="00000000" w:rsidP="00000000" w:rsidRDefault="00000000" w:rsidRPr="00000000" w14:paraId="000000DC">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 La incompetencia implica la ausencia de atribuciones del sujeto obligado para poseer la información solicitada</w:t>
      </w:r>
      <w:r w:rsidDel="00000000" w:rsidR="00000000" w:rsidRPr="00000000">
        <w:rPr>
          <w:rFonts w:ascii="Palatino Linotype" w:cs="Palatino Linotype" w:eastAsia="Palatino Linotype" w:hAnsi="Palatino Linotype"/>
          <w:i w:val="1"/>
          <w:sz w:val="22"/>
          <w:szCs w:val="22"/>
          <w:rtl w:val="0"/>
        </w:rPr>
        <w:t xml:space="preserve">; es decir, se trata de una cuestión de derecho, </w:t>
      </w:r>
      <w:r w:rsidDel="00000000" w:rsidR="00000000" w:rsidRPr="00000000">
        <w:rPr>
          <w:rFonts w:ascii="Palatino Linotype" w:cs="Palatino Linotype" w:eastAsia="Palatino Linotype" w:hAnsi="Palatino Linotype"/>
          <w:b w:val="1"/>
          <w:i w:val="1"/>
          <w:sz w:val="22"/>
          <w:szCs w:val="22"/>
          <w:rtl w:val="0"/>
        </w:rPr>
        <w:t xml:space="preserve">en tanto que no existan facultades para contar con lo requerido</w:t>
      </w:r>
      <w:r w:rsidDel="00000000" w:rsidR="00000000" w:rsidRPr="00000000">
        <w:rPr>
          <w:rFonts w:ascii="Palatino Linotype" w:cs="Palatino Linotype" w:eastAsia="Palatino Linotype" w:hAnsi="Palatino Linotype"/>
          <w:i w:val="1"/>
          <w:sz w:val="22"/>
          <w:szCs w:val="22"/>
          <w:rtl w:val="0"/>
        </w:rPr>
        <w:t xml:space="preserve">; por lo que la incompetencia es una cualidad atribuida al sujeto obligado que la declara.”</w:t>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tabs>
          <w:tab w:val="left" w:leader="none" w:pos="567"/>
        </w:tabs>
        <w:spacing w:after="240" w:before="240" w:line="360" w:lineRule="auto"/>
        <w:ind w:left="0" w:hanging="142"/>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u w:val="single"/>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Delimitación del ámbito competencial relativo a la información solicitada</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término, toda vez que a través de la solicitud el particular pretendió ejercer su derecho de acceso a sus datos personales en calidad de servidor público adscrito al Colegio de Bachilleres del Estado de México, es </w:t>
      </w:r>
      <w:r w:rsidDel="00000000" w:rsidR="00000000" w:rsidRPr="00000000">
        <w:rPr>
          <w:rFonts w:ascii="Palatino Linotype" w:cs="Palatino Linotype" w:eastAsia="Palatino Linotype" w:hAnsi="Palatino Linotype"/>
          <w:rtl w:val="0"/>
        </w:rPr>
        <w:t xml:space="preserve">necesario </w:t>
      </w:r>
      <w:r w:rsidDel="00000000" w:rsidR="00000000" w:rsidRPr="00000000">
        <w:rPr>
          <w:rFonts w:ascii="Palatino Linotype" w:cs="Palatino Linotype" w:eastAsia="Palatino Linotype" w:hAnsi="Palatino Linotype"/>
          <w:sz w:val="22"/>
          <w:szCs w:val="22"/>
          <w:rtl w:val="0"/>
        </w:rPr>
        <w:t xml:space="preserve">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rsidR="00000000" w:rsidDel="00000000" w:rsidP="00000000" w:rsidRDefault="00000000" w:rsidRPr="00000000" w14:paraId="000000D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rsidR="00000000" w:rsidDel="00000000" w:rsidP="00000000" w:rsidRDefault="00000000" w:rsidRPr="00000000" w14:paraId="000000E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rsidR="00000000" w:rsidDel="00000000" w:rsidP="00000000" w:rsidRDefault="00000000" w:rsidRPr="00000000" w14:paraId="000000E1">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E2">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descentralización administrativa implica la creación de personas jurídicas de derecho público, distintas al Estado y a la administración pública, y tiene diversas modalidades, como la territorial o regional, por servicio y por colaboración.</w:t>
      </w:r>
    </w:p>
    <w:p w:rsidR="00000000" w:rsidDel="00000000" w:rsidP="00000000" w:rsidRDefault="00000000" w:rsidRPr="00000000" w14:paraId="000000E3">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rsidR="00000000" w:rsidDel="00000000" w:rsidP="00000000" w:rsidRDefault="00000000" w:rsidRPr="00000000" w14:paraId="000000E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rsidR="00000000" w:rsidDel="00000000" w:rsidP="00000000" w:rsidRDefault="00000000" w:rsidRPr="00000000" w14:paraId="000000E5">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específica.</w:t>
      </w:r>
    </w:p>
    <w:p w:rsidR="00000000" w:rsidDel="00000000" w:rsidP="00000000" w:rsidRDefault="00000000" w:rsidRPr="00000000" w14:paraId="000000E6">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pueden considerarse como las características más importantes de la descentralización administrativa por servicio las siguientes:</w:t>
      </w:r>
    </w:p>
    <w:p w:rsidR="00000000" w:rsidDel="00000000" w:rsidP="00000000" w:rsidRDefault="00000000" w:rsidRPr="00000000" w14:paraId="000000E7">
      <w:pPr>
        <w:spacing w:after="120" w:before="120" w:line="276"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Su establecimiento mediante ley o decreto. </w:t>
      </w:r>
    </w:p>
    <w:p w:rsidR="00000000" w:rsidDel="00000000" w:rsidP="00000000" w:rsidRDefault="00000000" w:rsidRPr="00000000" w14:paraId="000000E8">
      <w:pPr>
        <w:spacing w:after="120" w:before="120" w:line="276"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Personalidad jurídica propia.</w:t>
      </w:r>
    </w:p>
    <w:p w:rsidR="00000000" w:rsidDel="00000000" w:rsidP="00000000" w:rsidRDefault="00000000" w:rsidRPr="00000000" w14:paraId="000000E9">
      <w:pPr>
        <w:spacing w:after="120" w:before="120" w:line="276"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Patrimonio propio.</w:t>
      </w:r>
    </w:p>
    <w:p w:rsidR="00000000" w:rsidDel="00000000" w:rsidP="00000000" w:rsidRDefault="00000000" w:rsidRPr="00000000" w14:paraId="000000EA">
      <w:pPr>
        <w:spacing w:after="120" w:before="120" w:line="276"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 Estatuto y regulación propios.</w:t>
      </w:r>
    </w:p>
    <w:p w:rsidR="00000000" w:rsidDel="00000000" w:rsidP="00000000" w:rsidRDefault="00000000" w:rsidRPr="00000000" w14:paraId="000000EB">
      <w:pPr>
        <w:spacing w:after="120" w:before="120" w:line="276"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 Realización de una actividad técnica.</w:t>
      </w:r>
    </w:p>
    <w:p w:rsidR="00000000" w:rsidDel="00000000" w:rsidP="00000000" w:rsidRDefault="00000000" w:rsidRPr="00000000" w14:paraId="000000EC">
      <w:pPr>
        <w:spacing w:after="120" w:before="120" w:line="276"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 Tutela y vigilancia por parte de la administración central.</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Del="00000000" w:rsidR="00000000" w:rsidRPr="00000000">
        <w:rPr>
          <w:rFonts w:ascii="Palatino Linotype" w:cs="Palatino Linotype" w:eastAsia="Palatino Linotype" w:hAnsi="Palatino Linotype"/>
          <w:b w:val="1"/>
          <w:sz w:val="22"/>
          <w:szCs w:val="22"/>
          <w:u w:val="single"/>
          <w:rtl w:val="0"/>
        </w:rPr>
        <w:t xml:space="preserve">dicho organismo cuenta con personalidad jurídica y patrimonio propios.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 materia de la solicitud, es oportuno traer a contexto el Manual General de Organización del Colegio de Bachilleres del Estado de México, cuyo contenido en su parte conducente, es el siguiente:</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210C0701040001L DEPARTAMENTO DE RECURSOS HUMANOS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OBJETIVO:</w:t>
      </w:r>
      <w:r w:rsidDel="00000000" w:rsidR="00000000" w:rsidRPr="00000000">
        <w:rPr>
          <w:rFonts w:ascii="Palatino Linotype" w:cs="Palatino Linotype" w:eastAsia="Palatino Linotype" w:hAnsi="Palatino Linotype"/>
          <w:i w:val="1"/>
          <w:sz w:val="22"/>
          <w:szCs w:val="22"/>
          <w:rtl w:val="0"/>
        </w:rPr>
        <w:t xml:space="preserve"> Llevar a cabo las acciones de selección, contratación, registro, control, capacitación y desarrollo del personal adscrito al Colegio de Bachilleres, así como </w:t>
      </w:r>
      <w:r w:rsidDel="00000000" w:rsidR="00000000" w:rsidRPr="00000000">
        <w:rPr>
          <w:rFonts w:ascii="Palatino Linotype" w:cs="Palatino Linotype" w:eastAsia="Palatino Linotype" w:hAnsi="Palatino Linotype"/>
          <w:b w:val="1"/>
          <w:i w:val="1"/>
          <w:sz w:val="22"/>
          <w:szCs w:val="22"/>
          <w:rtl w:val="0"/>
        </w:rPr>
        <w:t xml:space="preserve">llevar a cabo las acciones necesarias para el pago oportuno de sus remuneraciones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Llevar a cabo los trámites para la contratación de personal, previa selección y análisis de la Dirección de Administración y Finanzas y autorización de la Dirección General, y </w:t>
      </w:r>
      <w:r w:rsidDel="00000000" w:rsidR="00000000" w:rsidRPr="00000000">
        <w:rPr>
          <w:rFonts w:ascii="Palatino Linotype" w:cs="Palatino Linotype" w:eastAsia="Palatino Linotype" w:hAnsi="Palatino Linotype"/>
          <w:b w:val="1"/>
          <w:i w:val="1"/>
          <w:sz w:val="22"/>
          <w:szCs w:val="22"/>
          <w:rtl w:val="0"/>
        </w:rPr>
        <w:t xml:space="preserve">verificar que la asignación de puestos y de sueldos se ajusten a las plazas y a los tabuladores autorizados para el Estado</w:t>
      </w:r>
      <w:r w:rsidDel="00000000" w:rsidR="00000000" w:rsidRPr="00000000">
        <w:rPr>
          <w:rFonts w:ascii="Palatino Linotype" w:cs="Palatino Linotype" w:eastAsia="Palatino Linotype" w:hAnsi="Palatino Linotype"/>
          <w:i w:val="1"/>
          <w:sz w:val="22"/>
          <w:szCs w:val="22"/>
          <w:rtl w:val="0"/>
        </w:rPr>
        <w:t xml:space="preserve">, de acuerdo con la normatividad vigente en la materia.</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Informar detalladamente a la Subdirección de Planeación de Sueldos y Salarios del Sector Auxiliar de la Dirección de Política Salarial, de la plantilla y movimientos del personal adscrito al Colegio.</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20" w:before="120" w:lineRule="auto"/>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7">
      <w:pP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Del="00000000" w:rsidR="00000000" w:rsidRPr="00000000">
        <w:rPr>
          <w:rFonts w:ascii="Palatino Linotype" w:cs="Palatino Linotype" w:eastAsia="Palatino Linotype" w:hAnsi="Palatino Linotype"/>
          <w:b w:val="1"/>
          <w:sz w:val="22"/>
          <w:szCs w:val="22"/>
          <w:u w:val="single"/>
          <w:rtl w:val="0"/>
        </w:rPr>
        <w:t xml:space="preserve">elaborar las nóminas y pagar oportunamente las remuneraciones al personal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aplicar las sanciones y descuentos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por concepto de retardos y faltas; Impuesto Sobre la Renta, sobre Sueldos y Salarios; cuotas al ISSEMyM, entre otros impuestos y derechos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8">
      <w:pP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colige que </w:t>
      </w:r>
      <w:r w:rsidDel="00000000" w:rsidR="00000000" w:rsidRPr="00000000">
        <w:rPr>
          <w:rFonts w:ascii="Palatino Linotype" w:cs="Palatino Linotype" w:eastAsia="Palatino Linotype" w:hAnsi="Palatino Linotype"/>
          <w:b w:val="1"/>
          <w:sz w:val="22"/>
          <w:szCs w:val="22"/>
          <w:u w:val="single"/>
          <w:rtl w:val="0"/>
        </w:rPr>
        <w:t xml:space="preserve">el Colegio de Bachilleres del Estado de México es, en primera instancia, el Sujeto Obligado que pudiera dar atención a la solicitud,</w:t>
      </w:r>
      <w:r w:rsidDel="00000000" w:rsidR="00000000" w:rsidRPr="00000000">
        <w:rPr>
          <w:rFonts w:ascii="Palatino Linotype" w:cs="Palatino Linotype" w:eastAsia="Palatino Linotype" w:hAnsi="Palatino Linotype"/>
          <w:sz w:val="22"/>
          <w:szCs w:val="22"/>
          <w:rtl w:val="0"/>
        </w:rPr>
        <w:t xml:space="preserve"> ya que cuenta con facultades para generar, administrar y/o poseer la información materia de las mismas, esto es, el pago de percepciones y la aplicación de descuentos de los servidores públicos bajo su adscripción.</w:t>
      </w:r>
    </w:p>
    <w:p w:rsidR="00000000" w:rsidDel="00000000" w:rsidP="00000000" w:rsidRDefault="00000000" w:rsidRPr="00000000" w14:paraId="000000F9">
      <w:pP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se robustece con el mismo Anexo de Ejecución / Apoyo Financiero 2024 SEMS-EL COBAEM-MÉXICO 0236/24, el cual en su Cláusula Quinta establece las obligaciones que se le confieren al COBAEM:</w:t>
      </w:r>
    </w:p>
    <w:p w:rsidR="00000000" w:rsidDel="00000000" w:rsidP="00000000" w:rsidRDefault="00000000" w:rsidRPr="00000000" w14:paraId="000000FA">
      <w:pPr>
        <w:spacing w:after="20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80000" cy="5233894"/>
            <wp:effectExtent b="0" l="0" r="0" t="0"/>
            <wp:docPr id="214013193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680000" cy="5233894"/>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0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25289" cy="1829169"/>
            <wp:effectExtent b="0" l="0" r="0" t="0"/>
            <wp:docPr id="214013192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525289" cy="1829169"/>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en los incisos a), c), e) f) y h), el COBAEM está facultado, para administrar y ejercer los recursos provenientes del Anexo de Ejecución / Apoyo Financiero 2024 SEMS-EL COBAEM-MÉXICO 0236/24, al estar obligado medularmente a lo siguiente:</w:t>
      </w:r>
    </w:p>
    <w:p w:rsidR="00000000" w:rsidDel="00000000" w:rsidP="00000000" w:rsidRDefault="00000000" w:rsidRPr="00000000" w14:paraId="000000FD">
      <w:pPr>
        <w:spacing w:after="20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Aperturar dos cuentas bancarias productivas específicas en una institución bancaria autorizada para la recepción, administración y ejercicio de los recursos financieros que aporte la SEP, y el Gobierno del Estado.</w:t>
      </w:r>
    </w:p>
    <w:p w:rsidR="00000000" w:rsidDel="00000000" w:rsidP="00000000" w:rsidRDefault="00000000" w:rsidRPr="00000000" w14:paraId="000000FE">
      <w:pPr>
        <w:spacing w:after="200" w:line="360"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Destinar el subsidio financiero objeto del Anexo de Ejecución, únicamente a cubrir los gastos relacionados con su operación indispensables para la realización de sus actividades, </w:t>
      </w:r>
      <w:r w:rsidDel="00000000" w:rsidR="00000000" w:rsidRPr="00000000">
        <w:rPr>
          <w:rFonts w:ascii="Palatino Linotype" w:cs="Palatino Linotype" w:eastAsia="Palatino Linotype" w:hAnsi="Palatino Linotype"/>
          <w:sz w:val="22"/>
          <w:szCs w:val="22"/>
          <w:rtl w:val="0"/>
        </w:rPr>
        <w:t xml:space="preserve">esto es, </w:t>
      </w:r>
      <w:r w:rsidDel="00000000" w:rsidR="00000000" w:rsidRPr="00000000">
        <w:rPr>
          <w:rFonts w:ascii="Palatino Linotype" w:cs="Palatino Linotype" w:eastAsia="Palatino Linotype" w:hAnsi="Palatino Linotype"/>
          <w:b w:val="1"/>
          <w:sz w:val="22"/>
          <w:szCs w:val="22"/>
          <w:rtl w:val="0"/>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–capitulo 2000- y servicios generales –capitulo 3000-, </w:t>
      </w:r>
      <w:r w:rsidDel="00000000" w:rsidR="00000000" w:rsidRPr="00000000">
        <w:rPr>
          <w:rFonts w:ascii="Palatino Linotype" w:cs="Palatino Linotype" w:eastAsia="Palatino Linotype" w:hAnsi="Palatino Linotype"/>
          <w:sz w:val="22"/>
          <w:szCs w:val="22"/>
          <w:rtl w:val="0"/>
        </w:rPr>
        <w:t xml:space="preserve">de conformidad con los </w:t>
      </w:r>
      <w:r w:rsidDel="00000000" w:rsidR="00000000" w:rsidRPr="00000000">
        <w:rPr>
          <w:rFonts w:ascii="Palatino Linotype" w:cs="Palatino Linotype" w:eastAsia="Palatino Linotype" w:hAnsi="Palatino Linotype"/>
          <w:b w:val="1"/>
          <w:sz w:val="22"/>
          <w:szCs w:val="22"/>
          <w:rtl w:val="0"/>
        </w:rPr>
        <w:t xml:space="preserve">Apartados</w:t>
      </w:r>
      <w:r w:rsidDel="00000000" w:rsidR="00000000" w:rsidRPr="00000000">
        <w:rPr>
          <w:rFonts w:ascii="Palatino Linotype" w:cs="Palatino Linotype" w:eastAsia="Palatino Linotype" w:hAnsi="Palatino Linotype"/>
          <w:sz w:val="22"/>
          <w:szCs w:val="22"/>
          <w:rtl w:val="0"/>
        </w:rPr>
        <w:t xml:space="preserve"> “A” y </w:t>
      </w:r>
      <w:r w:rsidDel="00000000" w:rsidR="00000000" w:rsidRPr="00000000">
        <w:rPr>
          <w:rFonts w:ascii="Palatino Linotype" w:cs="Palatino Linotype" w:eastAsia="Palatino Linotype" w:hAnsi="Palatino Linotype"/>
          <w:b w:val="1"/>
          <w:sz w:val="22"/>
          <w:szCs w:val="22"/>
          <w:rtl w:val="0"/>
        </w:rPr>
        <w:t xml:space="preserve">“B”.</w:t>
      </w:r>
    </w:p>
    <w:p w:rsidR="00000000" w:rsidDel="00000000" w:rsidP="00000000" w:rsidRDefault="00000000" w:rsidRPr="00000000" w14:paraId="000000FF">
      <w:pPr>
        <w:spacing w:after="20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Resguardar la documentación original justificativa y comprobatoria del ejercicio y aplicación de los recursos financieros materia del Anexo de Ejecución,  para efectos de rendición de cuentas y transparencia, así como mantener un registro específico de este Anexo de Ejecución debidamente actualizado, identificado y controlado.</w:t>
      </w:r>
    </w:p>
    <w:p w:rsidR="00000000" w:rsidDel="00000000" w:rsidP="00000000" w:rsidRDefault="00000000" w:rsidRPr="00000000" w14:paraId="00000100">
      <w:pPr>
        <w:spacing w:after="20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Informar trimestralmente a la SEP y al Gobierno del Estado de México sobre el ejercicio de los recursos a los que se refiere el Anexo de Ejecución, y de manera complementaria, </w:t>
      </w:r>
      <w:r w:rsidDel="00000000" w:rsidR="00000000" w:rsidRPr="00000000">
        <w:rPr>
          <w:rFonts w:ascii="Palatino Linotype" w:cs="Palatino Linotype" w:eastAsia="Palatino Linotype" w:hAnsi="Palatino Linotype"/>
          <w:b w:val="1"/>
          <w:sz w:val="22"/>
          <w:szCs w:val="22"/>
          <w:u w:val="single"/>
          <w:rtl w:val="0"/>
        </w:rPr>
        <w:t xml:space="preserve">remitir mensualmente los documentos de trabajo donde se identifiquen los recursos federales y estatales ejercidos para el pago de la nómina conforme al Apartado “B” (sueldos, plazas, horas y prestaciones autorizadas)</w:t>
      </w:r>
      <w:r w:rsidDel="00000000" w:rsidR="00000000" w:rsidRPr="00000000">
        <w:rPr>
          <w:rtl w:val="0"/>
        </w:rPr>
      </w:r>
    </w:p>
    <w:p w:rsidR="00000000" w:rsidDel="00000000" w:rsidP="00000000" w:rsidRDefault="00000000" w:rsidRPr="00000000" w14:paraId="00000101">
      <w:pPr>
        <w:spacing w:after="20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rsidR="00000000" w:rsidDel="00000000" w:rsidP="00000000" w:rsidRDefault="00000000" w:rsidRPr="00000000" w14:paraId="00000102">
      <w:pP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Corolario a lo anterior, es imprescindible mencionar que la obligación prevista en la Cláusula Quinta, inciso f), del Anexo,  guarda estrecha relación con las Clausulas Tercera, incisos c), d) y e), y Cuarta, incisos f), g), primer párrafo y h) del mismo anexo, que disponen lo siguiente:</w:t>
      </w:r>
    </w:p>
    <w:p w:rsidR="00000000" w:rsidDel="00000000" w:rsidP="00000000" w:rsidRDefault="00000000" w:rsidRPr="00000000" w14:paraId="00000103">
      <w:pP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82880"/>
            <wp:effectExtent b="0" l="0" r="0" t="0"/>
            <wp:docPr id="214013193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612130" cy="18288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843915"/>
            <wp:effectExtent b="0" l="0" r="0" t="0"/>
            <wp:docPr id="2140131931" name="image7.png"/>
            <a:graphic>
              <a:graphicData uri="http://schemas.openxmlformats.org/drawingml/2006/picture">
                <pic:pic>
                  <pic:nvPicPr>
                    <pic:cNvPr id="0" name="image7.png"/>
                    <pic:cNvPicPr preferRelativeResize="0"/>
                  </pic:nvPicPr>
                  <pic:blipFill>
                    <a:blip r:embed="rId15"/>
                    <a:srcRect b="0" l="0" r="0" t="33683"/>
                    <a:stretch>
                      <a:fillRect/>
                    </a:stretch>
                  </pic:blipFill>
                  <pic:spPr>
                    <a:xfrm>
                      <a:off x="0" y="0"/>
                      <a:ext cx="5612130" cy="843915"/>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05">
      <w:pP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37490"/>
            <wp:effectExtent b="0" l="0" r="0" t="0"/>
            <wp:docPr id="214013193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612130" cy="23749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2130" cy="1732915"/>
            <wp:effectExtent b="0" l="0" r="0" t="0"/>
            <wp:docPr id="214013193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612130" cy="173291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2130" cy="371475"/>
            <wp:effectExtent b="0" l="0" r="0" t="0"/>
            <wp:docPr id="214013193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61213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se colige que </w:t>
      </w:r>
      <w:r w:rsidDel="00000000" w:rsidR="00000000" w:rsidRPr="00000000">
        <w:rPr>
          <w:rFonts w:ascii="Palatino Linotype" w:cs="Palatino Linotype" w:eastAsia="Palatino Linotype" w:hAnsi="Palatino Linotype"/>
          <w:b w:val="1"/>
          <w:sz w:val="22"/>
          <w:szCs w:val="22"/>
          <w:u w:val="single"/>
          <w:rtl w:val="0"/>
        </w:rPr>
        <w:t xml:space="preserve">la Secretaría de Educación Pública, y la Secretaría de Educación, Ciencia, Tecnología e Innovación, también cuentan con competencia para conocer sobre la materia de la solicitud de información</w:t>
      </w:r>
      <w:r w:rsidDel="00000000" w:rsidR="00000000" w:rsidRPr="00000000">
        <w:rPr>
          <w:rFonts w:ascii="Palatino Linotype" w:cs="Palatino Linotype" w:eastAsia="Palatino Linotype" w:hAnsi="Palatino Linotype"/>
          <w:sz w:val="22"/>
          <w:szCs w:val="22"/>
          <w:rtl w:val="0"/>
        </w:rPr>
        <w:t xml:space="preserve">, al ser las instancias responsables de </w:t>
      </w:r>
      <w:r w:rsidDel="00000000" w:rsidR="00000000" w:rsidRPr="00000000">
        <w:rPr>
          <w:rFonts w:ascii="Palatino Linotype" w:cs="Palatino Linotype" w:eastAsia="Palatino Linotype" w:hAnsi="Palatino Linotype"/>
          <w:b w:val="1"/>
          <w:sz w:val="22"/>
          <w:szCs w:val="22"/>
          <w:rtl w:val="0"/>
        </w:rPr>
        <w:t xml:space="preserve">revisar los informes trimestrales sobre el ejercicio de los recursos financieros que elabore y remita el COBAEM, a fin de verificar la correcta aplicación de los mismos</w:t>
      </w:r>
      <w:r w:rsidDel="00000000" w:rsidR="00000000" w:rsidRPr="00000000">
        <w:rPr>
          <w:rFonts w:ascii="Palatino Linotype" w:cs="Palatino Linotype" w:eastAsia="Palatino Linotype" w:hAnsi="Palatino Linotype"/>
          <w:sz w:val="22"/>
          <w:szCs w:val="22"/>
          <w:rtl w:val="0"/>
        </w:rPr>
        <w:t xml:space="preserve">, reiterando que </w:t>
      </w:r>
      <w:r w:rsidDel="00000000" w:rsidR="00000000" w:rsidRPr="00000000">
        <w:rPr>
          <w:rFonts w:ascii="Palatino Linotype" w:cs="Palatino Linotype" w:eastAsia="Palatino Linotype" w:hAnsi="Palatino Linotype"/>
          <w:b w:val="1"/>
          <w:sz w:val="22"/>
          <w:szCs w:val="22"/>
          <w:u w:val="single"/>
          <w:rtl w:val="0"/>
        </w:rPr>
        <w:t xml:space="preserve">dichos informes deben contener los documentos de trabajo donde se identifiquen los recursos federales y estatales ejercidos para el pago de la nómina, conforme al Apartado "B” (sueldos, plazas, horas y prestaciones autorizados)</w:t>
      </w:r>
      <w:r w:rsidDel="00000000" w:rsidR="00000000" w:rsidRPr="00000000">
        <w:rPr>
          <w:rFonts w:ascii="Palatino Linotype" w:cs="Palatino Linotype" w:eastAsia="Palatino Linotype" w:hAnsi="Palatino Linotype"/>
          <w:sz w:val="22"/>
          <w:szCs w:val="22"/>
          <w:rtl w:val="0"/>
        </w:rPr>
        <w:t xml:space="preserve">, así como </w:t>
      </w:r>
      <w:r w:rsidDel="00000000" w:rsidR="00000000" w:rsidRPr="00000000">
        <w:rPr>
          <w:rFonts w:ascii="Palatino Linotype" w:cs="Palatino Linotype" w:eastAsia="Palatino Linotype" w:hAnsi="Palatino Linotype"/>
          <w:b w:val="1"/>
          <w:sz w:val="22"/>
          <w:szCs w:val="22"/>
          <w:rtl w:val="0"/>
        </w:rPr>
        <w:t xml:space="preserve">verificar que los recursos aportados por la SEP y el Gobierno del Estado se apliquen específicamente para el objeto del Anexo de Ejecución, </w:t>
      </w:r>
      <w:r w:rsidDel="00000000" w:rsidR="00000000" w:rsidRPr="00000000">
        <w:rPr>
          <w:rFonts w:ascii="Palatino Linotype" w:cs="Palatino Linotype" w:eastAsia="Palatino Linotype" w:hAnsi="Palatino Linotype"/>
          <w:sz w:val="22"/>
          <w:szCs w:val="22"/>
          <w:rtl w:val="0"/>
        </w:rPr>
        <w:t xml:space="preserve">debiendo comunicar a las autoridades competentes cualquier irregularidad de la que tengan conocimiento con motivo de la ejecución del Anexo, de conformidad con las disposiciones aplicables.</w:t>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de aplicación supletoria, lo que a</w:t>
      </w:r>
      <w:r w:rsidDel="00000000" w:rsidR="00000000" w:rsidRPr="00000000">
        <w:rPr>
          <w:rFonts w:ascii="Palatino Linotype" w:cs="Palatino Linotype" w:eastAsia="Palatino Linotype" w:hAnsi="Palatino Linotype"/>
          <w:i w:val="1"/>
          <w:sz w:val="22"/>
          <w:szCs w:val="22"/>
          <w:rtl w:val="0"/>
        </w:rPr>
        <w:t xml:space="preserve"> contrario sensu</w:t>
      </w:r>
      <w:r w:rsidDel="00000000" w:rsidR="00000000" w:rsidRPr="00000000">
        <w:rPr>
          <w:rFonts w:ascii="Palatino Linotype" w:cs="Palatino Linotype" w:eastAsia="Palatino Linotype" w:hAnsi="Palatino Linotype"/>
          <w:sz w:val="22"/>
          <w:szCs w:val="22"/>
          <w:rtl w:val="0"/>
        </w:rPr>
        <w:t xml:space="preserve"> significa que no se está obligado a proporcionar lo que no obre en sus archivos, en consecuencia,  el pronunciamiento vertido por la Unidad de Transparencia, es suficiente para tener por atendidos los requerimientos de información. </w:t>
      </w:r>
    </w:p>
    <w:p w:rsidR="00000000" w:rsidDel="00000000" w:rsidP="00000000" w:rsidRDefault="00000000" w:rsidRPr="00000000" w14:paraId="00000108">
      <w:pPr>
        <w:spacing w:after="20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respecto a la Declaración de Incompetencia, la Ley de Transparencia y Acceso a la Información Pública del Estado de México, de aplicación supletoria, establece en los artículos 49, fracción II y 167, lo siguiente: </w:t>
      </w:r>
    </w:p>
    <w:p w:rsidR="00000000" w:rsidDel="00000000" w:rsidP="00000000" w:rsidRDefault="00000000" w:rsidRPr="00000000" w14:paraId="00000109">
      <w:pPr>
        <w:tabs>
          <w:tab w:val="left" w:leader="none" w:pos="1134"/>
          <w:tab w:val="left" w:leader="none" w:pos="1276"/>
        </w:tabs>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0A">
      <w:pPr>
        <w:tabs>
          <w:tab w:val="left" w:leader="none" w:pos="1134"/>
        </w:tabs>
        <w:spacing w:after="120" w:before="120"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0B">
      <w:pPr>
        <w:tabs>
          <w:tab w:val="left" w:leader="none" w:pos="1134"/>
        </w:tabs>
        <w:spacing w:after="120" w:before="120" w:line="276" w:lineRule="auto"/>
        <w:ind w:left="567"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10C">
      <w:pPr>
        <w:tabs>
          <w:tab w:val="left" w:leader="none" w:pos="1134"/>
        </w:tabs>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0D">
      <w:pPr>
        <w:tabs>
          <w:tab w:val="left" w:leader="none" w:pos="1134"/>
        </w:tabs>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w:t>
      </w:r>
    </w:p>
    <w:p w:rsidR="00000000" w:rsidDel="00000000" w:rsidP="00000000" w:rsidRDefault="00000000" w:rsidRPr="00000000" w14:paraId="0000010E">
      <w:pPr>
        <w:tabs>
          <w:tab w:val="left" w:leader="none" w:pos="142"/>
          <w:tab w:val="left" w:leader="none" w:pos="284"/>
        </w:tabs>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sz w:val="22"/>
          <w:szCs w:val="22"/>
          <w:rtl w:val="0"/>
        </w:rPr>
        <w:t xml:space="preserve"> en aquellos casos en los que no se trate de una notoria incompetencia. </w:t>
      </w:r>
    </w:p>
    <w:p w:rsidR="00000000" w:rsidDel="00000000" w:rsidP="00000000" w:rsidRDefault="00000000" w:rsidRPr="00000000" w14:paraId="0000010F">
      <w:pPr>
        <w:tabs>
          <w:tab w:val="left" w:leader="none" w:pos="142"/>
          <w:tab w:val="left" w:leader="none" w:pos="284"/>
        </w:tabs>
        <w:spacing w:after="240" w:before="240" w:line="360" w:lineRule="auto"/>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ésta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sz w:val="22"/>
          <w:szCs w:val="22"/>
          <w:u w:val="single"/>
          <w:rtl w:val="0"/>
        </w:rPr>
        <w:t xml:space="preserve">para su aprobación. </w:t>
      </w:r>
    </w:p>
    <w:p w:rsidR="00000000" w:rsidDel="00000000" w:rsidP="00000000" w:rsidRDefault="00000000" w:rsidRPr="00000000" w14:paraId="00000110">
      <w:pPr>
        <w:tabs>
          <w:tab w:val="left" w:leader="none" w:pos="142"/>
          <w:tab w:val="left" w:leader="none" w:pos="284"/>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112">
      <w:pPr>
        <w:tabs>
          <w:tab w:val="left" w:leader="none" w:pos="142"/>
          <w:tab w:val="left" w:leader="none" w:pos="284"/>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sz w:val="22"/>
          <w:szCs w:val="22"/>
          <w:rtl w:val="0"/>
        </w:rPr>
        <w:t xml:space="preserve">, como se lee enseguida:</w:t>
      </w:r>
    </w:p>
    <w:p w:rsidR="00000000" w:rsidDel="00000000" w:rsidP="00000000" w:rsidRDefault="00000000" w:rsidRPr="00000000" w14:paraId="00000113">
      <w:pPr>
        <w:tabs>
          <w:tab w:val="left" w:leader="none" w:pos="1418"/>
        </w:tabs>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114">
      <w:pPr>
        <w:tabs>
          <w:tab w:val="left" w:leader="none" w:pos="142"/>
          <w:tab w:val="left" w:leader="none" w:pos="284"/>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particular, dado que se ha demostrado que la incompetencia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notoria, por lo tanto resulta innecesaria la emisión de una declaratoria formal de incompetencia a través del Comité de Transparencia.</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se dejan a salvo los derechos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rsidR="00000000" w:rsidDel="00000000" w:rsidP="00000000" w:rsidRDefault="00000000" w:rsidRPr="00000000" w14:paraId="00000116">
      <w:pPr>
        <w:tabs>
          <w:tab w:val="left" w:leader="none" w:pos="142"/>
          <w:tab w:val="left" w:leader="none" w:pos="284"/>
        </w:tabs>
        <w:spacing w:after="240" w:before="240" w:line="360" w:lineRule="auto"/>
        <w:jc w:val="both"/>
        <w:rPr>
          <w:rFonts w:ascii="Palatino Linotype" w:cs="Palatino Linotype" w:eastAsia="Palatino Linotype" w:hAnsi="Palatino Linotype"/>
        </w:rPr>
      </w:pPr>
      <w:bookmarkStart w:colFirst="0" w:colLast="0" w:name="_heading=h.myz01bhe129c" w:id="7"/>
      <w:bookmarkEnd w:id="7"/>
      <w:r w:rsidDel="00000000" w:rsidR="00000000" w:rsidRPr="00000000">
        <w:rPr>
          <w:rFonts w:ascii="Palatino Linotype" w:cs="Palatino Linotype" w:eastAsia="Palatino Linotype" w:hAnsi="Palatino Linotype"/>
          <w:sz w:val="22"/>
          <w:szCs w:val="22"/>
          <w:rtl w:val="0"/>
        </w:rPr>
        <w:t xml:space="preserve">Derivado de lo expuesto, dado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importancia señalar que la facultad de orientación a las personas solicitantes para que formulen su solicitud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competente es potestativa; se concluye que motivos de inconformidad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son infundados, por lo que resulta procedente </w:t>
      </w:r>
      <w:r w:rsidDel="00000000" w:rsidR="00000000" w:rsidRPr="00000000">
        <w:rPr>
          <w:rFonts w:ascii="Palatino Linotype" w:cs="Palatino Linotype" w:eastAsia="Palatino Linotype" w:hAnsi="Palatino Linotype"/>
          <w:i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la respuesta proporcionada a la solicitud de información </w:t>
      </w:r>
      <w:r w:rsidDel="00000000" w:rsidR="00000000" w:rsidRPr="00000000">
        <w:rPr>
          <w:rFonts w:ascii="Palatino Linotype" w:cs="Palatino Linotype" w:eastAsia="Palatino Linotype" w:hAnsi="Palatino Linotype"/>
          <w:b w:val="1"/>
          <w:sz w:val="22"/>
          <w:szCs w:val="22"/>
          <w:rtl w:val="0"/>
        </w:rPr>
        <w:t xml:space="preserve">00184/SF/IP/2025</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jc w:val="both"/>
        <w:rPr>
          <w:color w:val="000000"/>
        </w:rPr>
      </w:pPr>
      <w:bookmarkStart w:colFirst="0" w:colLast="0" w:name="_heading=h.17dp8vu" w:id="8"/>
      <w:bookmarkEnd w:id="8"/>
      <w:r w:rsidDel="00000000" w:rsidR="00000000" w:rsidRPr="00000000">
        <w:rPr>
          <w:rFonts w:ascii="Palatino Linotype" w:cs="Palatino Linotype" w:eastAsia="Palatino Linotype" w:hAnsi="Palatino Linotype"/>
          <w:b w:val="1"/>
          <w:color w:val="000000"/>
          <w:sz w:val="22"/>
          <w:szCs w:val="22"/>
          <w:rtl w:val="0"/>
        </w:rPr>
        <w:t xml:space="preserve">Primero. </w:t>
      </w:r>
      <w:r w:rsidDel="00000000" w:rsidR="00000000" w:rsidRPr="00000000">
        <w:rPr>
          <w:rFonts w:ascii="Palatino Linotype" w:cs="Palatino Linotype" w:eastAsia="Palatino Linotype" w:hAnsi="Palatino Linotype"/>
          <w:color w:val="000000"/>
          <w:sz w:val="22"/>
          <w:szCs w:val="22"/>
          <w:rtl w:val="0"/>
        </w:rPr>
        <w:t xml:space="preserve">Resultan</w:t>
      </w:r>
      <w:r w:rsidDel="00000000" w:rsidR="00000000" w:rsidRPr="00000000">
        <w:rPr>
          <w:rFonts w:ascii="Palatino Linotype" w:cs="Palatino Linotype" w:eastAsia="Palatino Linotype" w:hAnsi="Palatino Linotype"/>
          <w:b w:val="1"/>
          <w:color w:val="000000"/>
          <w:sz w:val="22"/>
          <w:szCs w:val="22"/>
          <w:rtl w:val="0"/>
        </w:rPr>
        <w:t xml:space="preserve"> infundados</w:t>
      </w:r>
      <w:r w:rsidDel="00000000" w:rsidR="00000000" w:rsidRPr="00000000">
        <w:rPr>
          <w:rFonts w:ascii="Palatino Linotype" w:cs="Palatino Linotype" w:eastAsia="Palatino Linotype" w:hAnsi="Palatino Linotype"/>
          <w:color w:val="000000"/>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color w:val="000000"/>
          <w:sz w:val="22"/>
          <w:szCs w:val="22"/>
          <w:rtl w:val="0"/>
        </w:rPr>
        <w:t xml:space="preserve">Recurrente </w:t>
      </w:r>
      <w:r w:rsidDel="00000000" w:rsidR="00000000" w:rsidRPr="00000000">
        <w:rPr>
          <w:rFonts w:ascii="Palatino Linotype" w:cs="Palatino Linotype" w:eastAsia="Palatino Linotype" w:hAnsi="Palatino Linotype"/>
          <w:color w:val="000000"/>
          <w:sz w:val="22"/>
          <w:szCs w:val="22"/>
          <w:rtl w:val="0"/>
        </w:rPr>
        <w:t xml:space="preserve">en el recurso de revisión </w:t>
      </w:r>
      <w:r w:rsidDel="00000000" w:rsidR="00000000" w:rsidRPr="00000000">
        <w:rPr>
          <w:rFonts w:ascii="Palatino Linotype" w:cs="Palatino Linotype" w:eastAsia="Palatino Linotype" w:hAnsi="Palatino Linotype"/>
          <w:b w:val="1"/>
          <w:color w:val="000000"/>
          <w:sz w:val="22"/>
          <w:szCs w:val="22"/>
          <w:rtl w:val="0"/>
        </w:rPr>
        <w:t xml:space="preserve">02359/INFOEM/IP/RR/2025</w:t>
      </w:r>
      <w:r w:rsidDel="00000000" w:rsidR="00000000" w:rsidRPr="00000000">
        <w:rPr>
          <w:rFonts w:ascii="Palatino Linotype" w:cs="Palatino Linotype" w:eastAsia="Palatino Linotype" w:hAnsi="Palatino Linotype"/>
          <w:color w:val="000000"/>
          <w:sz w:val="22"/>
          <w:szCs w:val="22"/>
          <w:rtl w:val="0"/>
        </w:rPr>
        <w:t xml:space="preserve">; por lo que, en términos de los argumentos señalados en el </w:t>
      </w:r>
      <w:r w:rsidDel="00000000" w:rsidR="00000000" w:rsidRPr="00000000">
        <w:rPr>
          <w:rFonts w:ascii="Palatino Linotype" w:cs="Palatino Linotype" w:eastAsia="Palatino Linotype" w:hAnsi="Palatino Linotype"/>
          <w:b w:val="1"/>
          <w:color w:val="000000"/>
          <w:sz w:val="22"/>
          <w:szCs w:val="22"/>
          <w:rtl w:val="0"/>
        </w:rPr>
        <w:t xml:space="preserve">Considerando Tercero</w:t>
      </w:r>
      <w:r w:rsidDel="00000000" w:rsidR="00000000" w:rsidRPr="00000000">
        <w:rPr>
          <w:rFonts w:ascii="Palatino Linotype" w:cs="Palatino Linotype" w:eastAsia="Palatino Linotype" w:hAnsi="Palatino Linotype"/>
          <w:color w:val="000000"/>
          <w:sz w:val="22"/>
          <w:szCs w:val="22"/>
          <w:rtl w:val="0"/>
        </w:rPr>
        <w:t xml:space="preserve">, se </w:t>
      </w:r>
      <w:r w:rsidDel="00000000" w:rsidR="00000000" w:rsidRPr="00000000">
        <w:rPr>
          <w:rFonts w:ascii="Palatino Linotype" w:cs="Palatino Linotype" w:eastAsia="Palatino Linotype" w:hAnsi="Palatino Linotype"/>
          <w:b w:val="1"/>
          <w:color w:val="000000"/>
          <w:sz w:val="22"/>
          <w:szCs w:val="22"/>
          <w:rtl w:val="0"/>
        </w:rPr>
        <w:t xml:space="preserve">CONFIRMA</w:t>
      </w:r>
      <w:r w:rsidDel="00000000" w:rsidR="00000000" w:rsidRPr="00000000">
        <w:rPr>
          <w:rFonts w:ascii="Palatino Linotype" w:cs="Palatino Linotype" w:eastAsia="Palatino Linotype" w:hAnsi="Palatino Linotype"/>
          <w:color w:val="000000"/>
          <w:sz w:val="22"/>
          <w:szCs w:val="22"/>
          <w:rtl w:val="0"/>
        </w:rPr>
        <w:t xml:space="preserve"> la respuesta emitida por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tl w:val="0"/>
        </w:rPr>
      </w:r>
    </w:p>
    <w:p w:rsidR="00000000" w:rsidDel="00000000" w:rsidP="00000000" w:rsidRDefault="00000000" w:rsidRPr="00000000" w14:paraId="0000011A">
      <w:pPr>
        <w:spacing w:line="360" w:lineRule="auto"/>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Segundo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 la presente resolución.</w:t>
      </w:r>
      <w:r w:rsidDel="00000000" w:rsidR="00000000" w:rsidRPr="00000000">
        <w:rPr>
          <w:rtl w:val="0"/>
        </w:rPr>
      </w:r>
    </w:p>
    <w:p w:rsidR="00000000" w:rsidDel="00000000" w:rsidP="00000000" w:rsidRDefault="00000000" w:rsidRPr="00000000" w14:paraId="0000011C">
      <w:pPr>
        <w:spacing w:line="360" w:lineRule="auto"/>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Tercero.  Notifíquese</w:t>
      </w:r>
      <w:r w:rsidDel="00000000" w:rsidR="00000000" w:rsidRPr="00000000">
        <w:rPr>
          <w:rFonts w:ascii="Palatino Linotype" w:cs="Palatino Linotype" w:eastAsia="Palatino Linotype" w:hAnsi="Palatino Linotype"/>
          <w:color w:val="000000"/>
          <w:sz w:val="22"/>
          <w:szCs w:val="22"/>
          <w:rtl w:val="0"/>
        </w:rPr>
        <w:t xml:space="preserve"> vía</w:t>
      </w:r>
      <w:r w:rsidDel="00000000" w:rsidR="00000000" w:rsidRPr="00000000">
        <w:rPr>
          <w:rFonts w:ascii="Palatino Linotype" w:cs="Palatino Linotype" w:eastAsia="Palatino Linotype" w:hAnsi="Palatino Linotype"/>
          <w:b w:val="1"/>
          <w:color w:val="000000"/>
          <w:sz w:val="22"/>
          <w:szCs w:val="22"/>
          <w:rtl w:val="0"/>
        </w:rPr>
        <w:t xml:space="preserve"> SAIMEX, </w:t>
      </w:r>
      <w:r w:rsidDel="00000000" w:rsidR="00000000" w:rsidRPr="00000000">
        <w:rPr>
          <w:rFonts w:ascii="Palatino Linotype" w:cs="Palatino Linotype" w:eastAsia="Palatino Linotype" w:hAnsi="Palatino Linotype"/>
          <w:color w:val="000000"/>
          <w:sz w:val="22"/>
          <w:szCs w:val="22"/>
          <w:rtl w:val="0"/>
        </w:rPr>
        <w:t xml:space="preserve">a </w:t>
      </w:r>
      <w:r w:rsidDel="00000000" w:rsidR="00000000" w:rsidRPr="00000000">
        <w:rPr>
          <w:rFonts w:ascii="Palatino Linotype" w:cs="Palatino Linotype" w:eastAsia="Palatino Linotype" w:hAnsi="Palatino Linotype"/>
          <w:b w:val="1"/>
          <w:color w:val="000000"/>
          <w:sz w:val="22"/>
          <w:szCs w:val="22"/>
          <w:rtl w:val="0"/>
        </w:rPr>
        <w:t xml:space="preserve">la parte</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 </w:t>
      </w:r>
    </w:p>
    <w:p w:rsidR="00000000" w:rsidDel="00000000" w:rsidP="00000000" w:rsidRDefault="00000000" w:rsidRPr="00000000" w14:paraId="0000012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rPr>
      </w:pPr>
      <w:bookmarkStart w:colFirst="0" w:colLast="0" w:name="_heading=h.3rdcrjn" w:id="9"/>
      <w:bookmarkEnd w:id="9"/>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rPr>
      </w:pPr>
      <w:bookmarkStart w:colFirst="0" w:colLast="0" w:name="_heading=h.1t3h5sf" w:id="10"/>
      <w:bookmarkEnd w:id="10"/>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20"/>
          <w:szCs w:val="20"/>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20"/>
          <w:szCs w:val="20"/>
          <w:rtl w:val="0"/>
        </w:rPr>
        <w:t xml:space="preserve"> BONILLLA LÓPEZ Miguel. </w:t>
      </w:r>
      <w:r w:rsidDel="00000000" w:rsidR="00000000" w:rsidRPr="00000000">
        <w:rPr>
          <w:rFonts w:ascii="Palatino Linotype" w:cs="Palatino Linotype" w:eastAsia="Palatino Linotype" w:hAnsi="Palatino Linotype"/>
          <w:i w:val="1"/>
          <w:color w:val="000000"/>
          <w:sz w:val="20"/>
          <w:szCs w:val="20"/>
          <w:rtl w:val="0"/>
        </w:rPr>
        <w:t xml:space="preserve">Los principios Constitucionales del Juicio de Amparo II.</w:t>
      </w:r>
      <w:r w:rsidDel="00000000" w:rsidR="00000000" w:rsidRPr="00000000">
        <w:rPr>
          <w:rFonts w:ascii="Palatino Linotype" w:cs="Palatino Linotype" w:eastAsia="Palatino Linotype" w:hAnsi="Palatino Linotype"/>
          <w:color w:val="000000"/>
          <w:sz w:val="20"/>
          <w:szCs w:val="20"/>
          <w:rtl w:val="0"/>
        </w:rPr>
        <w:t xml:space="preserve"> México. 2009. UNAM. </w:t>
      </w:r>
    </w:p>
  </w:footnote>
  <w:footnote w:id="1">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Gabino Fraga, Derecho administrativo, 29ª ed. Porrúa, México, 1990, p. 198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-1080109</wp:posOffset>
          </wp:positionH>
          <wp:positionV relativeFrom="paragraph">
            <wp:posOffset>-488284</wp:posOffset>
          </wp:positionV>
          <wp:extent cx="7809865" cy="10165715"/>
          <wp:effectExtent b="0" l="0" r="0" t="0"/>
          <wp:wrapNone/>
          <wp:docPr id="21401319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13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D">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02359/INFOEM/IP/RR/2025</w:t>
          </w:r>
        </w:p>
      </w:tc>
    </w:tr>
    <w:tr>
      <w:trPr>
        <w:cantSplit w:val="0"/>
        <w:trHeight w:val="228" w:hRule="atLeast"/>
        <w:tblHeader w:val="0"/>
      </w:trPr>
      <w:tc>
        <w:tcPr>
          <w:shd w:fill="auto" w:val="clear"/>
          <w:vAlign w:val="center"/>
        </w:tcPr>
        <w:p w:rsidR="00000000" w:rsidDel="00000000" w:rsidP="00000000" w:rsidRDefault="00000000" w:rsidRPr="00000000" w14:paraId="0000013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F">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Finanzas</w:t>
          </w:r>
        </w:p>
      </w:tc>
    </w:tr>
    <w:tr>
      <w:trPr>
        <w:cantSplit w:val="0"/>
        <w:tblHeader w:val="0"/>
      </w:trPr>
      <w:tc>
        <w:tcPr>
          <w:shd w:fill="auto" w:val="clear"/>
          <w:vAlign w:val="center"/>
        </w:tcPr>
        <w:p w:rsidR="00000000" w:rsidDel="00000000" w:rsidP="00000000" w:rsidRDefault="00000000" w:rsidRPr="00000000" w14:paraId="00000140">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1">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2">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-1079487</wp:posOffset>
          </wp:positionH>
          <wp:positionV relativeFrom="paragraph">
            <wp:posOffset>-328916</wp:posOffset>
          </wp:positionV>
          <wp:extent cx="7809865" cy="10165715"/>
          <wp:effectExtent b="0" l="0" r="0" t="0"/>
          <wp:wrapNone/>
          <wp:docPr id="21401319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14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5">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02359/INFOEM/IP/RR/2025</w:t>
          </w:r>
        </w:p>
      </w:tc>
    </w:tr>
    <w:tr>
      <w:trPr>
        <w:cantSplit w:val="0"/>
        <w:trHeight w:val="130" w:hRule="atLeast"/>
        <w:tblHeader w:val="0"/>
      </w:trPr>
      <w:tc>
        <w:tcPr>
          <w:shd w:fill="auto" w:val="clear"/>
          <w:vAlign w:val="center"/>
        </w:tcPr>
        <w:p w:rsidR="00000000" w:rsidDel="00000000" w:rsidP="00000000" w:rsidRDefault="00000000" w:rsidRPr="00000000" w14:paraId="0000014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47">
          <w:pPr>
            <w:ind w:left="-45" w:right="17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 XXXXXX XXXXXXX </w:t>
          </w:r>
        </w:p>
      </w:tc>
    </w:tr>
    <w:tr>
      <w:trPr>
        <w:cantSplit w:val="0"/>
        <w:trHeight w:val="228" w:hRule="atLeast"/>
        <w:tblHeader w:val="0"/>
      </w:trPr>
      <w:tc>
        <w:tcPr>
          <w:shd w:fill="auto" w:val="clear"/>
          <w:vAlign w:val="center"/>
        </w:tcPr>
        <w:p w:rsidR="00000000" w:rsidDel="00000000" w:rsidP="00000000" w:rsidRDefault="00000000" w:rsidRPr="00000000" w14:paraId="0000014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9">
          <w:pPr>
            <w:ind w:left="-45" w:right="144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Finanzas</w:t>
          </w:r>
        </w:p>
      </w:tc>
    </w:tr>
    <w:tr>
      <w:trPr>
        <w:cantSplit w:val="0"/>
        <w:tblHeader w:val="0"/>
      </w:trPr>
      <w:tc>
        <w:tcPr>
          <w:shd w:fill="auto" w:val="clear"/>
          <w:vAlign w:val="center"/>
        </w:tcPr>
        <w:p w:rsidR="00000000" w:rsidDel="00000000" w:rsidP="00000000" w:rsidRDefault="00000000" w:rsidRPr="00000000" w14:paraId="0000014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B">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Palatino Linotype" w:cs="Palatino Linotype" w:eastAsia="Palatino Linotype" w:hAnsi="Palatino Linotype"/>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3584F"/>
  </w:style>
  <w:style w:type="paragraph" w:styleId="Ttulo1">
    <w:name w:val="heading 1"/>
    <w:basedOn w:val="Normal"/>
    <w:next w:val="Normal"/>
    <w:pPr>
      <w:keepNext w:val="1"/>
      <w:keepLines w:val="1"/>
      <w:spacing w:before="240"/>
      <w:outlineLvl w:val="0"/>
    </w:pPr>
    <w:rPr>
      <w:rFonts w:ascii="Calibri" w:cs="Calibri" w:eastAsia="Calibri" w:hAnsi="Calibri"/>
      <w:color w:val="366091"/>
      <w:sz w:val="32"/>
      <w:szCs w:val="32"/>
      <w:lang w:val="es-ES"/>
    </w:rPr>
  </w:style>
  <w:style w:type="paragraph" w:styleId="Ttulo2">
    <w:name w:val="heading 2"/>
    <w:basedOn w:val="Normal"/>
    <w:next w:val="Normal"/>
    <w:pPr>
      <w:keepNext w:val="1"/>
      <w:keepLines w:val="1"/>
      <w:spacing w:before="40"/>
      <w:outlineLvl w:val="1"/>
    </w:pPr>
    <w:rPr>
      <w:rFonts w:ascii="Calibri" w:cs="Calibri" w:eastAsia="Calibri" w:hAnsi="Calibri"/>
      <w:color w:val="366091"/>
      <w:sz w:val="26"/>
      <w:szCs w:val="26"/>
      <w:lang w:val="es-ES"/>
    </w:rPr>
  </w:style>
  <w:style w:type="paragraph" w:styleId="Ttulo3">
    <w:name w:val="heading 3"/>
    <w:basedOn w:val="Normal"/>
    <w:next w:val="Normal"/>
    <w:pPr>
      <w:keepNext w:val="1"/>
      <w:spacing w:after="60" w:before="240"/>
      <w:ind w:left="2160" w:hanging="720"/>
      <w:outlineLvl w:val="2"/>
    </w:pPr>
    <w:rPr>
      <w:rFonts w:ascii="Calibri" w:cs="Calibri" w:eastAsia="Calibri" w:hAnsi="Calibri"/>
      <w:b w:val="1"/>
      <w:sz w:val="26"/>
      <w:szCs w:val="26"/>
      <w:lang w:val="es-ES"/>
    </w:rPr>
  </w:style>
  <w:style w:type="paragraph" w:styleId="Ttulo4">
    <w:name w:val="heading 4"/>
    <w:basedOn w:val="Normal"/>
    <w:next w:val="Normal"/>
    <w:pPr>
      <w:keepNext w:val="1"/>
      <w:spacing w:after="60" w:before="240"/>
      <w:ind w:left="2880" w:hanging="720"/>
      <w:outlineLvl w:val="3"/>
    </w:pPr>
    <w:rPr>
      <w:rFonts w:ascii="Cambria" w:cs="Cambria" w:eastAsia="Cambria" w:hAnsi="Cambria"/>
      <w:b w:val="1"/>
      <w:sz w:val="28"/>
      <w:szCs w:val="28"/>
      <w:lang w:val="es-ES"/>
    </w:rPr>
  </w:style>
  <w:style w:type="paragraph" w:styleId="Ttulo5">
    <w:name w:val="heading 5"/>
    <w:basedOn w:val="Normal"/>
    <w:next w:val="Normal"/>
    <w:pPr>
      <w:spacing w:after="60" w:before="240"/>
      <w:ind w:left="3600" w:hanging="720"/>
      <w:outlineLvl w:val="4"/>
    </w:pPr>
    <w:rPr>
      <w:rFonts w:ascii="Cambria" w:cs="Cambria" w:eastAsia="Cambria" w:hAnsi="Cambria"/>
      <w:b w:val="1"/>
      <w:i w:val="1"/>
      <w:sz w:val="26"/>
      <w:szCs w:val="26"/>
      <w:lang w:val="es-ES"/>
    </w:rPr>
  </w:style>
  <w:style w:type="paragraph" w:styleId="Ttulo6">
    <w:name w:val="heading 6"/>
    <w:basedOn w:val="Normal"/>
    <w:next w:val="Normal"/>
    <w:pPr>
      <w:spacing w:after="60" w:before="240"/>
      <w:ind w:left="4320" w:hanging="720"/>
      <w:outlineLvl w:val="5"/>
    </w:pPr>
    <w:rPr>
      <w:b w:val="1"/>
      <w:sz w:val="22"/>
      <w:szCs w:val="22"/>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left w:w="115.0" w:type="dxa"/>
        <w:right w:w="115.0" w:type="dxa"/>
      </w:tblCellMar>
    </w:tblPr>
  </w:style>
  <w:style w:type="table" w:styleId="a0" w:customStyle="1">
    <w:basedOn w:val="TableNormal7"/>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basedOn w:val="Normal"/>
    <w:uiPriority w:val="34"/>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a1"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6"/>
    <w:tblPr>
      <w:tblStyleRowBandSize w:val="1"/>
      <w:tblStyleColBandSize w:val="1"/>
      <w:tblCellMar>
        <w:left w:w="115.0" w:type="dxa"/>
        <w:right w:w="115.0" w:type="dxa"/>
      </w:tblCellMar>
    </w:tblPr>
  </w:style>
  <w:style w:type="character" w:styleId="Hipervnculo">
    <w:name w:val="Hyperlink"/>
    <w:basedOn w:val="Fuentedeprrafopredeter"/>
    <w:uiPriority w:val="99"/>
    <w:semiHidden w:val="1"/>
    <w:unhideWhenUsed w:val="1"/>
    <w:rsid w:val="009C2C49"/>
    <w:rPr>
      <w:color w:val="0000ff"/>
      <w:u w:val="single"/>
    </w:r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4"/>
    <w:tblPr>
      <w:tblStyleRowBandSize w:val="1"/>
      <w:tblStyleColBandSize w:val="1"/>
      <w:tblCellMar>
        <w:left w:w="115.0" w:type="dxa"/>
        <w:right w:w="115.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1.png"/><Relationship Id="rId22" Type="http://schemas.openxmlformats.org/officeDocument/2006/relationships/footer" Target="footer2.xm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jTyBFbsthviHuTwnfa7m+01g==">CgMxLjAyCWguMWZvYjl0ZTIIaC5namRneHMyCWguM2R5NnZrbTIJaC4zMGowemxsMgloLjJzOGV5bzEyDmguczJkb2ZidzhhaHZ2MghoLnR5amN3dDIOaC5teXowMWJoZTEyOWMyCWguMTdkcDh2dTIJaC4zcmRjcmpuMgloLjF0M2g1c2Y4AHIhMTlFNHVDNzFCRktNNzdnREx4ZEtzWXR4R0J5UGJaUUda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2025-05-08T20:48:00Z</dcterms:created>
  <dc:creator>USUARIO</dc:creator>
</cp:coreProperties>
</file>