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933140" w14:textId="77777777" w:rsidR="00C53EC4" w:rsidRDefault="00C53EC4" w:rsidP="00576F4C">
      <w:pPr>
        <w:widowControl w:val="0"/>
        <w:pBdr>
          <w:top w:val="nil"/>
          <w:left w:val="nil"/>
          <w:bottom w:val="nil"/>
          <w:right w:val="nil"/>
          <w:between w:val="nil"/>
        </w:pBdr>
        <w:spacing w:line="360" w:lineRule="auto"/>
      </w:pPr>
    </w:p>
    <w:p w14:paraId="31D52F54" w14:textId="77777777" w:rsidR="00C53EC4" w:rsidRDefault="00C53EC4" w:rsidP="00576F4C">
      <w:pPr>
        <w:tabs>
          <w:tab w:val="left" w:pos="8931"/>
        </w:tabs>
        <w:spacing w:line="360" w:lineRule="auto"/>
      </w:pPr>
    </w:p>
    <w:p w14:paraId="5A858381" w14:textId="77777777" w:rsidR="00C53EC4" w:rsidRDefault="00C53EC4" w:rsidP="00576F4C">
      <w:pPr>
        <w:keepNext/>
        <w:keepLines/>
        <w:pBdr>
          <w:top w:val="nil"/>
          <w:left w:val="nil"/>
          <w:bottom w:val="nil"/>
          <w:right w:val="nil"/>
          <w:between w:val="nil"/>
        </w:pBdr>
        <w:spacing w:line="360" w:lineRule="auto"/>
        <w:jc w:val="center"/>
        <w:rPr>
          <w:rFonts w:ascii="Palatino Linotype" w:eastAsia="Palatino Linotype" w:hAnsi="Palatino Linotype" w:cs="Palatino Linotype"/>
          <w:color w:val="000000"/>
          <w:sz w:val="22"/>
          <w:szCs w:val="22"/>
        </w:rPr>
      </w:pPr>
    </w:p>
    <w:p w14:paraId="4F12CB79" w14:textId="77777777" w:rsidR="00C53EC4" w:rsidRDefault="0035717E" w:rsidP="00576F4C">
      <w:pPr>
        <w:keepNext/>
        <w:keepLines/>
        <w:pBdr>
          <w:top w:val="nil"/>
          <w:left w:val="nil"/>
          <w:bottom w:val="nil"/>
          <w:right w:val="nil"/>
          <w:between w:val="nil"/>
        </w:pBdr>
        <w:spacing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RESOLUCIÓN DEL RECURSO DE REVISIÓN 07336/INFOEM/IP/RR/2025</w:t>
      </w:r>
    </w:p>
    <w:p w14:paraId="1F14B21B" w14:textId="77777777" w:rsidR="00C53EC4" w:rsidRDefault="00C53EC4" w:rsidP="00576F4C">
      <w:pPr>
        <w:spacing w:line="360" w:lineRule="auto"/>
      </w:pPr>
    </w:p>
    <w:sdt>
      <w:sdtPr>
        <w:id w:val="-2078904216"/>
        <w:docPartObj>
          <w:docPartGallery w:val="Table of Contents"/>
          <w:docPartUnique/>
        </w:docPartObj>
      </w:sdtPr>
      <w:sdtContent>
        <w:p w14:paraId="780184C8" w14:textId="77777777" w:rsidR="00C53EC4" w:rsidRDefault="0035717E" w:rsidP="00576F4C">
          <w:pPr>
            <w:pBdr>
              <w:top w:val="nil"/>
              <w:left w:val="nil"/>
              <w:bottom w:val="nil"/>
              <w:right w:val="nil"/>
              <w:between w:val="nil"/>
            </w:pBdr>
            <w:tabs>
              <w:tab w:val="right" w:pos="8828"/>
            </w:tabs>
            <w:spacing w:line="360" w:lineRule="auto"/>
            <w:jc w:val="both"/>
            <w:rPr>
              <w:rFonts w:ascii="Calibri" w:eastAsia="Calibri" w:hAnsi="Calibri" w:cs="Calibri"/>
              <w:color w:val="000000"/>
              <w:sz w:val="24"/>
              <w:szCs w:val="24"/>
            </w:rPr>
          </w:pPr>
          <w:r>
            <w:fldChar w:fldCharType="begin"/>
          </w:r>
          <w:r>
            <w:instrText xml:space="preserve"> TOC \h \u \z \t "Heading 1,1,Heading 2,2,Heading 3,3,"</w:instrText>
          </w:r>
          <w:r>
            <w:fldChar w:fldCharType="separate"/>
          </w:r>
          <w:hyperlink w:anchor="_heading=h.99rh4lqppo4x">
            <w:r>
              <w:rPr>
                <w:rFonts w:ascii="Palatino Linotype" w:eastAsia="Palatino Linotype" w:hAnsi="Palatino Linotype" w:cs="Palatino Linotype"/>
                <w:color w:val="000000"/>
                <w:sz w:val="22"/>
                <w:szCs w:val="22"/>
              </w:rPr>
              <w:t>A N T E C E D E N T E S</w:t>
            </w:r>
            <w:r>
              <w:rPr>
                <w:rFonts w:ascii="Palatino Linotype" w:eastAsia="Palatino Linotype" w:hAnsi="Palatino Linotype" w:cs="Palatino Linotype"/>
                <w:color w:val="000000"/>
                <w:sz w:val="22"/>
                <w:szCs w:val="22"/>
              </w:rPr>
              <w:tab/>
              <w:t>2</w:t>
            </w:r>
          </w:hyperlink>
        </w:p>
        <w:p w14:paraId="6D4FD7BA" w14:textId="77777777" w:rsidR="00C53EC4" w:rsidRDefault="0035717E" w:rsidP="00576F4C">
          <w:pPr>
            <w:pBdr>
              <w:top w:val="nil"/>
              <w:left w:val="nil"/>
              <w:bottom w:val="nil"/>
              <w:right w:val="nil"/>
              <w:between w:val="nil"/>
            </w:pBdr>
            <w:tabs>
              <w:tab w:val="right" w:pos="8828"/>
            </w:tabs>
            <w:spacing w:line="360" w:lineRule="auto"/>
            <w:ind w:left="220"/>
            <w:jc w:val="both"/>
            <w:rPr>
              <w:rFonts w:ascii="Calibri" w:eastAsia="Calibri" w:hAnsi="Calibri" w:cs="Calibri"/>
              <w:color w:val="000000"/>
              <w:sz w:val="24"/>
              <w:szCs w:val="24"/>
            </w:rPr>
          </w:pPr>
          <w:hyperlink w:anchor="_heading=h.s8rztyn9lriy">
            <w:r>
              <w:rPr>
                <w:rFonts w:ascii="Palatino Linotype" w:eastAsia="Palatino Linotype" w:hAnsi="Palatino Linotype" w:cs="Palatino Linotype"/>
                <w:color w:val="000000"/>
                <w:sz w:val="22"/>
                <w:szCs w:val="22"/>
              </w:rPr>
              <w:t>I. Presentación de la solicitud de información</w:t>
            </w:r>
            <w:r>
              <w:rPr>
                <w:rFonts w:ascii="Palatino Linotype" w:eastAsia="Palatino Linotype" w:hAnsi="Palatino Linotype" w:cs="Palatino Linotype"/>
                <w:color w:val="000000"/>
                <w:sz w:val="22"/>
                <w:szCs w:val="22"/>
              </w:rPr>
              <w:tab/>
              <w:t>2</w:t>
            </w:r>
          </w:hyperlink>
        </w:p>
        <w:p w14:paraId="2B13EA24" w14:textId="77777777" w:rsidR="00C53EC4" w:rsidRDefault="0035717E" w:rsidP="00576F4C">
          <w:pPr>
            <w:pBdr>
              <w:top w:val="nil"/>
              <w:left w:val="nil"/>
              <w:bottom w:val="nil"/>
              <w:right w:val="nil"/>
              <w:between w:val="nil"/>
            </w:pBdr>
            <w:tabs>
              <w:tab w:val="right" w:pos="8828"/>
            </w:tabs>
            <w:spacing w:line="360" w:lineRule="auto"/>
            <w:ind w:left="220"/>
            <w:jc w:val="both"/>
            <w:rPr>
              <w:rFonts w:ascii="Calibri" w:eastAsia="Calibri" w:hAnsi="Calibri" w:cs="Calibri"/>
              <w:color w:val="000000"/>
              <w:sz w:val="24"/>
              <w:szCs w:val="24"/>
            </w:rPr>
          </w:pPr>
          <w:hyperlink w:anchor="_heading=h.270ugglvhyo">
            <w:r>
              <w:rPr>
                <w:rFonts w:ascii="Palatino Linotype" w:eastAsia="Palatino Linotype" w:hAnsi="Palatino Linotype" w:cs="Palatino Linotype"/>
                <w:color w:val="000000"/>
                <w:sz w:val="22"/>
                <w:szCs w:val="22"/>
              </w:rPr>
              <w:t>II. Respuesta del Sujeto Obligado</w:t>
            </w:r>
            <w:r>
              <w:rPr>
                <w:rFonts w:ascii="Palatino Linotype" w:eastAsia="Palatino Linotype" w:hAnsi="Palatino Linotype" w:cs="Palatino Linotype"/>
                <w:color w:val="000000"/>
                <w:sz w:val="22"/>
                <w:szCs w:val="22"/>
              </w:rPr>
              <w:tab/>
              <w:t>3</w:t>
            </w:r>
          </w:hyperlink>
        </w:p>
        <w:p w14:paraId="360A2C63" w14:textId="77777777" w:rsidR="00C53EC4" w:rsidRDefault="0035717E" w:rsidP="00576F4C">
          <w:pPr>
            <w:pBdr>
              <w:top w:val="nil"/>
              <w:left w:val="nil"/>
              <w:bottom w:val="nil"/>
              <w:right w:val="nil"/>
              <w:between w:val="nil"/>
            </w:pBdr>
            <w:tabs>
              <w:tab w:val="right" w:pos="8828"/>
            </w:tabs>
            <w:spacing w:line="360" w:lineRule="auto"/>
            <w:ind w:left="220"/>
            <w:jc w:val="both"/>
            <w:rPr>
              <w:rFonts w:ascii="Calibri" w:eastAsia="Calibri" w:hAnsi="Calibri" w:cs="Calibri"/>
              <w:color w:val="000000"/>
              <w:sz w:val="24"/>
              <w:szCs w:val="24"/>
            </w:rPr>
          </w:pPr>
          <w:hyperlink w:anchor="_heading=h.dmpr6vaxfyjk">
            <w:r>
              <w:rPr>
                <w:rFonts w:ascii="Palatino Linotype" w:eastAsia="Palatino Linotype" w:hAnsi="Palatino Linotype" w:cs="Palatino Linotype"/>
                <w:color w:val="000000"/>
                <w:sz w:val="22"/>
                <w:szCs w:val="22"/>
              </w:rPr>
              <w:t>III. Interposición del Recurso de Revisión</w:t>
            </w:r>
            <w:r>
              <w:rPr>
                <w:rFonts w:ascii="Palatino Linotype" w:eastAsia="Palatino Linotype" w:hAnsi="Palatino Linotype" w:cs="Palatino Linotype"/>
                <w:color w:val="000000"/>
                <w:sz w:val="22"/>
                <w:szCs w:val="22"/>
              </w:rPr>
              <w:tab/>
              <w:t>4</w:t>
            </w:r>
          </w:hyperlink>
        </w:p>
        <w:p w14:paraId="3F55AC7B" w14:textId="77777777" w:rsidR="00C53EC4" w:rsidRDefault="0035717E" w:rsidP="00576F4C">
          <w:pPr>
            <w:pBdr>
              <w:top w:val="nil"/>
              <w:left w:val="nil"/>
              <w:bottom w:val="nil"/>
              <w:right w:val="nil"/>
              <w:between w:val="nil"/>
            </w:pBdr>
            <w:tabs>
              <w:tab w:val="right" w:pos="8828"/>
            </w:tabs>
            <w:spacing w:line="360" w:lineRule="auto"/>
            <w:ind w:left="220"/>
            <w:jc w:val="both"/>
            <w:rPr>
              <w:rFonts w:ascii="Calibri" w:eastAsia="Calibri" w:hAnsi="Calibri" w:cs="Calibri"/>
              <w:color w:val="000000"/>
              <w:sz w:val="24"/>
              <w:szCs w:val="24"/>
            </w:rPr>
          </w:pPr>
          <w:hyperlink w:anchor="_heading=h.iv941a1d1ews">
            <w:r>
              <w:rPr>
                <w:rFonts w:ascii="Palatino Linotype" w:eastAsia="Palatino Linotype" w:hAnsi="Palatino Linotype" w:cs="Palatino Linotype"/>
                <w:color w:val="000000"/>
                <w:sz w:val="22"/>
                <w:szCs w:val="22"/>
              </w:rPr>
              <w:t>IV. Trámite del Recurso de Revisión ante este Instituto</w:t>
            </w:r>
            <w:r>
              <w:rPr>
                <w:rFonts w:ascii="Palatino Linotype" w:eastAsia="Palatino Linotype" w:hAnsi="Palatino Linotype" w:cs="Palatino Linotype"/>
                <w:color w:val="000000"/>
                <w:sz w:val="22"/>
                <w:szCs w:val="22"/>
              </w:rPr>
              <w:tab/>
              <w:t>4</w:t>
            </w:r>
          </w:hyperlink>
        </w:p>
        <w:p w14:paraId="54C6AE58" w14:textId="77777777" w:rsidR="00C53EC4" w:rsidRDefault="0035717E" w:rsidP="00576F4C">
          <w:pPr>
            <w:pBdr>
              <w:top w:val="nil"/>
              <w:left w:val="nil"/>
              <w:bottom w:val="nil"/>
              <w:right w:val="nil"/>
              <w:between w:val="nil"/>
            </w:pBdr>
            <w:tabs>
              <w:tab w:val="right" w:pos="8828"/>
            </w:tabs>
            <w:spacing w:line="360" w:lineRule="auto"/>
            <w:jc w:val="both"/>
            <w:rPr>
              <w:rFonts w:ascii="Calibri" w:eastAsia="Calibri" w:hAnsi="Calibri" w:cs="Calibri"/>
              <w:color w:val="000000"/>
              <w:sz w:val="24"/>
              <w:szCs w:val="24"/>
            </w:rPr>
          </w:pPr>
          <w:hyperlink w:anchor="_heading=h.1bg0etqwgevh">
            <w:r>
              <w:rPr>
                <w:rFonts w:ascii="Palatino Linotype" w:eastAsia="Palatino Linotype" w:hAnsi="Palatino Linotype" w:cs="Palatino Linotype"/>
                <w:color w:val="000000"/>
                <w:sz w:val="22"/>
                <w:szCs w:val="22"/>
              </w:rPr>
              <w:t>C O N S I D E R A N D O S</w:t>
            </w:r>
            <w:r>
              <w:rPr>
                <w:rFonts w:ascii="Palatino Linotype" w:eastAsia="Palatino Linotype" w:hAnsi="Palatino Linotype" w:cs="Palatino Linotype"/>
                <w:color w:val="000000"/>
                <w:sz w:val="22"/>
                <w:szCs w:val="22"/>
              </w:rPr>
              <w:tab/>
              <w:t>6</w:t>
            </w:r>
          </w:hyperlink>
        </w:p>
        <w:p w14:paraId="651B40A1" w14:textId="77777777" w:rsidR="00C53EC4" w:rsidRDefault="0035717E" w:rsidP="00576F4C">
          <w:pPr>
            <w:pBdr>
              <w:top w:val="nil"/>
              <w:left w:val="nil"/>
              <w:bottom w:val="nil"/>
              <w:right w:val="nil"/>
              <w:between w:val="nil"/>
            </w:pBdr>
            <w:tabs>
              <w:tab w:val="right" w:pos="8828"/>
            </w:tabs>
            <w:spacing w:line="360" w:lineRule="auto"/>
            <w:ind w:left="220"/>
            <w:jc w:val="both"/>
            <w:rPr>
              <w:rFonts w:ascii="Calibri" w:eastAsia="Calibri" w:hAnsi="Calibri" w:cs="Calibri"/>
              <w:color w:val="000000"/>
              <w:sz w:val="24"/>
              <w:szCs w:val="24"/>
            </w:rPr>
          </w:pPr>
          <w:hyperlink w:anchor="_heading=h.jtar7acqy8wk">
            <w:r>
              <w:rPr>
                <w:rFonts w:ascii="Palatino Linotype" w:eastAsia="Palatino Linotype" w:hAnsi="Palatino Linotype" w:cs="Palatino Linotype"/>
                <w:color w:val="000000"/>
                <w:sz w:val="22"/>
                <w:szCs w:val="22"/>
              </w:rPr>
              <w:t>PRIMERO. Competencia</w:t>
            </w:r>
            <w:r>
              <w:rPr>
                <w:rFonts w:ascii="Palatino Linotype" w:eastAsia="Palatino Linotype" w:hAnsi="Palatino Linotype" w:cs="Palatino Linotype"/>
                <w:color w:val="000000"/>
                <w:sz w:val="22"/>
                <w:szCs w:val="22"/>
              </w:rPr>
              <w:tab/>
              <w:t>7</w:t>
            </w:r>
          </w:hyperlink>
        </w:p>
        <w:p w14:paraId="618B5872" w14:textId="77777777" w:rsidR="00C53EC4" w:rsidRDefault="0035717E" w:rsidP="00576F4C">
          <w:pPr>
            <w:pBdr>
              <w:top w:val="nil"/>
              <w:left w:val="nil"/>
              <w:bottom w:val="nil"/>
              <w:right w:val="nil"/>
              <w:between w:val="nil"/>
            </w:pBdr>
            <w:tabs>
              <w:tab w:val="right" w:pos="8828"/>
            </w:tabs>
            <w:spacing w:line="360" w:lineRule="auto"/>
            <w:ind w:left="220"/>
            <w:jc w:val="both"/>
            <w:rPr>
              <w:rFonts w:ascii="Calibri" w:eastAsia="Calibri" w:hAnsi="Calibri" w:cs="Calibri"/>
              <w:color w:val="000000"/>
              <w:sz w:val="24"/>
              <w:szCs w:val="24"/>
            </w:rPr>
          </w:pPr>
          <w:hyperlink w:anchor="_heading=h.mnkmy85pbjc1">
            <w:r>
              <w:rPr>
                <w:rFonts w:ascii="Palatino Linotype" w:eastAsia="Palatino Linotype" w:hAnsi="Palatino Linotype" w:cs="Palatino Linotype"/>
                <w:color w:val="000000"/>
                <w:sz w:val="22"/>
                <w:szCs w:val="22"/>
              </w:rPr>
              <w:t>SEGUNDO. Causales de improcedencia y sobreseimiento</w:t>
            </w:r>
            <w:r>
              <w:rPr>
                <w:rFonts w:ascii="Palatino Linotype" w:eastAsia="Palatino Linotype" w:hAnsi="Palatino Linotype" w:cs="Palatino Linotype"/>
                <w:color w:val="000000"/>
                <w:sz w:val="22"/>
                <w:szCs w:val="22"/>
              </w:rPr>
              <w:tab/>
              <w:t>7</w:t>
            </w:r>
          </w:hyperlink>
        </w:p>
        <w:p w14:paraId="39CD0633" w14:textId="77777777" w:rsidR="00C53EC4" w:rsidRDefault="0035717E" w:rsidP="00576F4C">
          <w:pPr>
            <w:pBdr>
              <w:top w:val="nil"/>
              <w:left w:val="nil"/>
              <w:bottom w:val="nil"/>
              <w:right w:val="nil"/>
              <w:between w:val="nil"/>
            </w:pBdr>
            <w:tabs>
              <w:tab w:val="right" w:pos="8828"/>
            </w:tabs>
            <w:spacing w:line="360" w:lineRule="auto"/>
            <w:ind w:left="220"/>
            <w:jc w:val="both"/>
            <w:rPr>
              <w:rFonts w:ascii="Calibri" w:eastAsia="Calibri" w:hAnsi="Calibri" w:cs="Calibri"/>
              <w:color w:val="000000"/>
              <w:sz w:val="24"/>
              <w:szCs w:val="24"/>
            </w:rPr>
          </w:pPr>
          <w:hyperlink w:anchor="_heading=h.6uvmur8qaqqr">
            <w:r>
              <w:rPr>
                <w:rFonts w:ascii="Palatino Linotype" w:eastAsia="Palatino Linotype" w:hAnsi="Palatino Linotype" w:cs="Palatino Linotype"/>
                <w:color w:val="000000"/>
                <w:sz w:val="22"/>
                <w:szCs w:val="22"/>
              </w:rPr>
              <w:t>TERCERO. Determinación de la Controversia</w:t>
            </w:r>
            <w:r>
              <w:rPr>
                <w:rFonts w:ascii="Palatino Linotype" w:eastAsia="Palatino Linotype" w:hAnsi="Palatino Linotype" w:cs="Palatino Linotype"/>
                <w:color w:val="000000"/>
                <w:sz w:val="22"/>
                <w:szCs w:val="22"/>
              </w:rPr>
              <w:tab/>
              <w:t>9</w:t>
            </w:r>
          </w:hyperlink>
        </w:p>
        <w:p w14:paraId="0973A4E1" w14:textId="77777777" w:rsidR="00C53EC4" w:rsidRDefault="0035717E" w:rsidP="00576F4C">
          <w:pPr>
            <w:pBdr>
              <w:top w:val="nil"/>
              <w:left w:val="nil"/>
              <w:bottom w:val="nil"/>
              <w:right w:val="nil"/>
              <w:between w:val="nil"/>
            </w:pBdr>
            <w:tabs>
              <w:tab w:val="right" w:pos="8828"/>
            </w:tabs>
            <w:spacing w:line="360" w:lineRule="auto"/>
            <w:ind w:left="220"/>
            <w:jc w:val="both"/>
            <w:rPr>
              <w:rFonts w:ascii="Calibri" w:eastAsia="Calibri" w:hAnsi="Calibri" w:cs="Calibri"/>
              <w:color w:val="000000"/>
              <w:sz w:val="24"/>
              <w:szCs w:val="24"/>
            </w:rPr>
          </w:pPr>
          <w:hyperlink w:anchor="_heading=h.tz2onlhtldtw">
            <w:r>
              <w:rPr>
                <w:rFonts w:ascii="Palatino Linotype" w:eastAsia="Palatino Linotype" w:hAnsi="Palatino Linotype" w:cs="Palatino Linotype"/>
                <w:color w:val="000000"/>
                <w:sz w:val="22"/>
                <w:szCs w:val="22"/>
              </w:rPr>
              <w:t>CUARTO. Marco normativo aplicable en materia de transparencia y acceso a la información pública</w:t>
            </w:r>
            <w:r>
              <w:rPr>
                <w:rFonts w:ascii="Palatino Linotype" w:eastAsia="Palatino Linotype" w:hAnsi="Palatino Linotype" w:cs="Palatino Linotype"/>
                <w:color w:val="000000"/>
                <w:sz w:val="22"/>
                <w:szCs w:val="22"/>
              </w:rPr>
              <w:tab/>
              <w:t>10</w:t>
            </w:r>
          </w:hyperlink>
        </w:p>
        <w:p w14:paraId="3488F0C1" w14:textId="77777777" w:rsidR="00C53EC4" w:rsidRDefault="0035717E" w:rsidP="00576F4C">
          <w:pPr>
            <w:pBdr>
              <w:top w:val="nil"/>
              <w:left w:val="nil"/>
              <w:bottom w:val="nil"/>
              <w:right w:val="nil"/>
              <w:between w:val="nil"/>
            </w:pBdr>
            <w:tabs>
              <w:tab w:val="right" w:pos="8828"/>
            </w:tabs>
            <w:spacing w:line="360" w:lineRule="auto"/>
            <w:ind w:left="220"/>
            <w:jc w:val="both"/>
            <w:rPr>
              <w:rFonts w:ascii="Calibri" w:eastAsia="Calibri" w:hAnsi="Calibri" w:cs="Calibri"/>
              <w:color w:val="000000"/>
              <w:sz w:val="24"/>
              <w:szCs w:val="24"/>
            </w:rPr>
          </w:pPr>
          <w:hyperlink w:anchor="_heading=h.6igtz0memmru">
            <w:r>
              <w:rPr>
                <w:rFonts w:ascii="Palatino Linotype" w:eastAsia="Palatino Linotype" w:hAnsi="Palatino Linotype" w:cs="Palatino Linotype"/>
                <w:color w:val="000000"/>
                <w:sz w:val="22"/>
                <w:szCs w:val="22"/>
              </w:rPr>
              <w:t>QUINTO. Estudio de Fondo</w:t>
            </w:r>
            <w:r>
              <w:rPr>
                <w:rFonts w:ascii="Palatino Linotype" w:eastAsia="Palatino Linotype" w:hAnsi="Palatino Linotype" w:cs="Palatino Linotype"/>
                <w:color w:val="000000"/>
                <w:sz w:val="22"/>
                <w:szCs w:val="22"/>
              </w:rPr>
              <w:tab/>
              <w:t>11</w:t>
            </w:r>
          </w:hyperlink>
        </w:p>
        <w:p w14:paraId="0488EB9E" w14:textId="77777777" w:rsidR="00C53EC4" w:rsidRDefault="0035717E" w:rsidP="00576F4C">
          <w:pPr>
            <w:pBdr>
              <w:top w:val="nil"/>
              <w:left w:val="nil"/>
              <w:bottom w:val="nil"/>
              <w:right w:val="nil"/>
              <w:between w:val="nil"/>
            </w:pBdr>
            <w:tabs>
              <w:tab w:val="right" w:pos="8828"/>
            </w:tabs>
            <w:spacing w:line="360" w:lineRule="auto"/>
            <w:ind w:left="220"/>
            <w:jc w:val="both"/>
            <w:rPr>
              <w:rFonts w:ascii="Calibri" w:eastAsia="Calibri" w:hAnsi="Calibri" w:cs="Calibri"/>
              <w:color w:val="000000"/>
              <w:sz w:val="24"/>
              <w:szCs w:val="24"/>
            </w:rPr>
          </w:pPr>
          <w:hyperlink w:anchor="_heading=h.k1i3x49xq3bs">
            <w:r>
              <w:rPr>
                <w:rFonts w:ascii="Palatino Linotype" w:eastAsia="Palatino Linotype" w:hAnsi="Palatino Linotype" w:cs="Palatino Linotype"/>
                <w:color w:val="000000"/>
                <w:sz w:val="22"/>
                <w:szCs w:val="22"/>
              </w:rPr>
              <w:t>SEXTO. Decisión</w:t>
            </w:r>
            <w:r>
              <w:rPr>
                <w:rFonts w:ascii="Palatino Linotype" w:eastAsia="Palatino Linotype" w:hAnsi="Palatino Linotype" w:cs="Palatino Linotype"/>
                <w:color w:val="000000"/>
                <w:sz w:val="22"/>
                <w:szCs w:val="22"/>
              </w:rPr>
              <w:tab/>
              <w:t>43</w:t>
            </w:r>
          </w:hyperlink>
        </w:p>
        <w:p w14:paraId="13C3B52A" w14:textId="77777777" w:rsidR="00C53EC4" w:rsidRDefault="0035717E" w:rsidP="00576F4C">
          <w:pPr>
            <w:pBdr>
              <w:top w:val="nil"/>
              <w:left w:val="nil"/>
              <w:bottom w:val="nil"/>
              <w:right w:val="nil"/>
              <w:between w:val="nil"/>
            </w:pBdr>
            <w:tabs>
              <w:tab w:val="right" w:pos="8828"/>
            </w:tabs>
            <w:spacing w:line="360" w:lineRule="auto"/>
            <w:ind w:left="220"/>
            <w:jc w:val="both"/>
            <w:rPr>
              <w:rFonts w:ascii="Calibri" w:eastAsia="Calibri" w:hAnsi="Calibri" w:cs="Calibri"/>
              <w:color w:val="000000"/>
              <w:sz w:val="24"/>
              <w:szCs w:val="24"/>
            </w:rPr>
          </w:pPr>
          <w:hyperlink w:anchor="_heading=h.8zmofutjiv2m">
            <w:r>
              <w:rPr>
                <w:rFonts w:ascii="Palatino Linotype" w:eastAsia="Palatino Linotype" w:hAnsi="Palatino Linotype" w:cs="Palatino Linotype"/>
                <w:color w:val="000000"/>
                <w:sz w:val="22"/>
                <w:szCs w:val="22"/>
              </w:rPr>
              <w:t>SÉPTIMO. Vista la Dirección General de Protección de Datos Personales.</w:t>
            </w:r>
            <w:r>
              <w:rPr>
                <w:rFonts w:ascii="Palatino Linotype" w:eastAsia="Palatino Linotype" w:hAnsi="Palatino Linotype" w:cs="Palatino Linotype"/>
                <w:color w:val="000000"/>
                <w:sz w:val="22"/>
                <w:szCs w:val="22"/>
              </w:rPr>
              <w:tab/>
              <w:t>43</w:t>
            </w:r>
          </w:hyperlink>
        </w:p>
        <w:p w14:paraId="5609B88A" w14:textId="77777777" w:rsidR="00C53EC4" w:rsidRDefault="0035717E" w:rsidP="00576F4C">
          <w:pPr>
            <w:pBdr>
              <w:top w:val="nil"/>
              <w:left w:val="nil"/>
              <w:bottom w:val="nil"/>
              <w:right w:val="nil"/>
              <w:between w:val="nil"/>
            </w:pBdr>
            <w:tabs>
              <w:tab w:val="right" w:pos="8828"/>
            </w:tabs>
            <w:spacing w:line="360" w:lineRule="auto"/>
            <w:jc w:val="both"/>
            <w:rPr>
              <w:rFonts w:ascii="Calibri" w:eastAsia="Calibri" w:hAnsi="Calibri" w:cs="Calibri"/>
              <w:color w:val="000000"/>
              <w:sz w:val="24"/>
              <w:szCs w:val="24"/>
            </w:rPr>
          </w:pPr>
          <w:hyperlink w:anchor="_heading=h.4hg1cz3ki8vk">
            <w:r>
              <w:rPr>
                <w:rFonts w:ascii="Palatino Linotype" w:eastAsia="Palatino Linotype" w:hAnsi="Palatino Linotype" w:cs="Palatino Linotype"/>
                <w:color w:val="000000"/>
                <w:sz w:val="22"/>
                <w:szCs w:val="22"/>
              </w:rPr>
              <w:t>R E S U E L V E</w:t>
            </w:r>
            <w:r>
              <w:rPr>
                <w:rFonts w:ascii="Palatino Linotype" w:eastAsia="Palatino Linotype" w:hAnsi="Palatino Linotype" w:cs="Palatino Linotype"/>
                <w:color w:val="000000"/>
                <w:sz w:val="22"/>
                <w:szCs w:val="22"/>
              </w:rPr>
              <w:tab/>
              <w:t>45</w:t>
            </w:r>
          </w:hyperlink>
        </w:p>
        <w:p w14:paraId="4DF96D62" w14:textId="77777777" w:rsidR="00C53EC4" w:rsidRDefault="0035717E" w:rsidP="00576F4C">
          <w:pPr>
            <w:widowControl w:val="0"/>
            <w:pBdr>
              <w:top w:val="nil"/>
              <w:left w:val="nil"/>
              <w:bottom w:val="nil"/>
              <w:right w:val="nil"/>
              <w:between w:val="nil"/>
            </w:pBdr>
            <w:spacing w:line="360" w:lineRule="auto"/>
            <w:ind w:left="720" w:hanging="720"/>
          </w:pPr>
          <w:r>
            <w:fldChar w:fldCharType="end"/>
          </w:r>
        </w:p>
      </w:sdtContent>
    </w:sdt>
    <w:p w14:paraId="74E62DFA" w14:textId="77777777" w:rsidR="00C53EC4" w:rsidRDefault="00C53EC4" w:rsidP="00576F4C">
      <w:pPr>
        <w:keepNext/>
        <w:keepLines/>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bookmarkStart w:id="0" w:name="_heading=h.t77kwk8e2ch7" w:colFirst="0" w:colLast="0"/>
      <w:bookmarkEnd w:id="0"/>
    </w:p>
    <w:p w14:paraId="3D7EC6CF" w14:textId="77777777" w:rsidR="00C53EC4" w:rsidRDefault="00C53EC4" w:rsidP="00576F4C">
      <w:pPr>
        <w:spacing w:line="360" w:lineRule="auto"/>
        <w:ind w:right="-28"/>
        <w:jc w:val="both"/>
        <w:rPr>
          <w:rFonts w:ascii="Palatino Linotype" w:eastAsia="Palatino Linotype" w:hAnsi="Palatino Linotype" w:cs="Palatino Linotype"/>
          <w:color w:val="000000"/>
          <w:sz w:val="22"/>
          <w:szCs w:val="22"/>
        </w:rPr>
      </w:pPr>
    </w:p>
    <w:p w14:paraId="439DB7C2" w14:textId="77777777" w:rsidR="00C53EC4" w:rsidRDefault="00C53EC4" w:rsidP="00576F4C">
      <w:pPr>
        <w:spacing w:line="360" w:lineRule="auto"/>
        <w:ind w:right="-28"/>
        <w:jc w:val="both"/>
        <w:rPr>
          <w:rFonts w:ascii="Palatino Linotype" w:eastAsia="Palatino Linotype" w:hAnsi="Palatino Linotype" w:cs="Palatino Linotype"/>
          <w:color w:val="000000"/>
          <w:sz w:val="22"/>
          <w:szCs w:val="22"/>
        </w:rPr>
      </w:pPr>
    </w:p>
    <w:p w14:paraId="149F6F09" w14:textId="77777777" w:rsidR="00C53EC4" w:rsidRDefault="00C53EC4" w:rsidP="00576F4C">
      <w:pPr>
        <w:spacing w:line="360" w:lineRule="auto"/>
        <w:ind w:right="-28"/>
        <w:jc w:val="both"/>
        <w:rPr>
          <w:rFonts w:ascii="Palatino Linotype" w:eastAsia="Palatino Linotype" w:hAnsi="Palatino Linotype" w:cs="Palatino Linotype"/>
          <w:color w:val="000000"/>
          <w:sz w:val="22"/>
          <w:szCs w:val="22"/>
        </w:rPr>
      </w:pPr>
    </w:p>
    <w:p w14:paraId="437372C7" w14:textId="77777777" w:rsidR="00C53EC4" w:rsidRDefault="00C53EC4" w:rsidP="00576F4C">
      <w:pPr>
        <w:spacing w:line="360" w:lineRule="auto"/>
        <w:ind w:right="-28"/>
        <w:jc w:val="both"/>
        <w:rPr>
          <w:rFonts w:ascii="Palatino Linotype" w:eastAsia="Palatino Linotype" w:hAnsi="Palatino Linotype" w:cs="Palatino Linotype"/>
          <w:color w:val="000000"/>
          <w:sz w:val="22"/>
          <w:szCs w:val="22"/>
        </w:rPr>
      </w:pPr>
    </w:p>
    <w:p w14:paraId="3F071336"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Resolución del Pleno del Instituto de Transparencia, Acceso a la Información Pública y Protección de Datos Personales del Estado de México y Municipios, con domicilio en Metepec, Estado de México, del doce de noviembre de dos mil veinticinco.</w:t>
      </w:r>
    </w:p>
    <w:p w14:paraId="0D78CD12" w14:textId="77777777" w:rsidR="00C53EC4" w:rsidRDefault="00C53EC4" w:rsidP="00576F4C">
      <w:pPr>
        <w:spacing w:line="360" w:lineRule="auto"/>
        <w:rPr>
          <w:rFonts w:ascii="Palatino Linotype" w:eastAsia="Palatino Linotype" w:hAnsi="Palatino Linotype" w:cs="Palatino Linotype"/>
          <w:sz w:val="22"/>
          <w:szCs w:val="22"/>
        </w:rPr>
      </w:pPr>
    </w:p>
    <w:p w14:paraId="6E5FE5D5"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color w:val="0D0D0D"/>
          <w:sz w:val="22"/>
          <w:szCs w:val="22"/>
        </w:rPr>
        <w:t xml:space="preserve">VISTO </w:t>
      </w:r>
      <w:r>
        <w:rPr>
          <w:rFonts w:ascii="Palatino Linotype" w:eastAsia="Palatino Linotype" w:hAnsi="Palatino Linotype" w:cs="Palatino Linotype"/>
          <w:color w:val="0D0D0D"/>
          <w:sz w:val="22"/>
          <w:szCs w:val="22"/>
        </w:rPr>
        <w:t xml:space="preserve">el expediente conformado con motivo del Recurso de Revisión </w:t>
      </w:r>
      <w:r w:rsidRPr="00821404">
        <w:rPr>
          <w:rFonts w:ascii="Palatino Linotype" w:eastAsia="Palatino Linotype" w:hAnsi="Palatino Linotype" w:cs="Palatino Linotype"/>
          <w:b/>
          <w:bCs/>
          <w:sz w:val="22"/>
          <w:szCs w:val="22"/>
        </w:rPr>
        <w:t>07336/INFOEM/IP/RR/2025</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color w:val="0D0D0D"/>
          <w:sz w:val="22"/>
          <w:szCs w:val="22"/>
        </w:rPr>
        <w:t xml:space="preserve">interpuesto por </w:t>
      </w:r>
      <w:r>
        <w:rPr>
          <w:rFonts w:ascii="Palatino Linotype" w:eastAsia="Palatino Linotype" w:hAnsi="Palatino Linotype" w:cs="Palatino Linotype"/>
          <w:sz w:val="22"/>
          <w:szCs w:val="22"/>
        </w:rPr>
        <w:t xml:space="preserve">el </w:t>
      </w:r>
      <w:r>
        <w:rPr>
          <w:rFonts w:ascii="Palatino Linotype" w:eastAsia="Palatino Linotype" w:hAnsi="Palatino Linotype" w:cs="Palatino Linotype"/>
          <w:color w:val="0D0D0D"/>
          <w:sz w:val="22"/>
          <w:szCs w:val="22"/>
        </w:rPr>
        <w:t xml:space="preserve">Recurrente o Particular, en contra de la respuesta del Sujeto Obligado, </w:t>
      </w:r>
      <w:r w:rsidRPr="00821404">
        <w:rPr>
          <w:rFonts w:ascii="Palatino Linotype" w:eastAsia="Palatino Linotype" w:hAnsi="Palatino Linotype" w:cs="Palatino Linotype"/>
          <w:b/>
          <w:bCs/>
          <w:color w:val="0D0D0D"/>
          <w:sz w:val="22"/>
          <w:szCs w:val="22"/>
        </w:rPr>
        <w:t>Ayuntamiento de Toluca</w:t>
      </w:r>
      <w:r>
        <w:rPr>
          <w:rFonts w:ascii="Palatino Linotype" w:eastAsia="Palatino Linotype" w:hAnsi="Palatino Linotype" w:cs="Palatino Linotype"/>
          <w:color w:val="0D0D0D"/>
          <w:sz w:val="22"/>
          <w:szCs w:val="22"/>
        </w:rPr>
        <w:t xml:space="preserve">, a la solicitud de acceso a la información pública </w:t>
      </w:r>
      <w:r>
        <w:rPr>
          <w:rFonts w:ascii="Palatino Linotype" w:eastAsia="Palatino Linotype" w:hAnsi="Palatino Linotype" w:cs="Palatino Linotype"/>
          <w:sz w:val="22"/>
          <w:szCs w:val="22"/>
        </w:rPr>
        <w:t>02996/TOLUCA/IP/2025</w:t>
      </w:r>
      <w:r>
        <w:rPr>
          <w:rFonts w:ascii="Palatino Linotype" w:eastAsia="Palatino Linotype" w:hAnsi="Palatino Linotype" w:cs="Palatino Linotype"/>
          <w:color w:val="0D0D0D"/>
          <w:sz w:val="22"/>
          <w:szCs w:val="22"/>
        </w:rPr>
        <w:t>, se emite la presente Resolución, con base en los Antecedentes y C</w:t>
      </w:r>
      <w:r>
        <w:rPr>
          <w:rFonts w:ascii="Palatino Linotype" w:eastAsia="Palatino Linotype" w:hAnsi="Palatino Linotype" w:cs="Palatino Linotype"/>
          <w:sz w:val="22"/>
          <w:szCs w:val="22"/>
        </w:rPr>
        <w:t>onsiderandos que a continuación se exponen:</w:t>
      </w:r>
    </w:p>
    <w:p w14:paraId="71C43F23" w14:textId="77777777" w:rsidR="00C53EC4" w:rsidRDefault="0035717E" w:rsidP="00576F4C">
      <w:pPr>
        <w:pStyle w:val="Ttulo1"/>
        <w:spacing w:before="0" w:after="0" w:line="360" w:lineRule="auto"/>
        <w:jc w:val="center"/>
        <w:rPr>
          <w:rFonts w:ascii="Palatino Linotype" w:eastAsia="Palatino Linotype" w:hAnsi="Palatino Linotype" w:cs="Palatino Linotype"/>
          <w:b/>
          <w:color w:val="000000"/>
          <w:sz w:val="22"/>
          <w:szCs w:val="22"/>
        </w:rPr>
      </w:pPr>
      <w:bookmarkStart w:id="1" w:name="_heading=h.99rh4lqppo4x" w:colFirst="0" w:colLast="0"/>
      <w:bookmarkEnd w:id="1"/>
      <w:r>
        <w:rPr>
          <w:rFonts w:ascii="Palatino Linotype" w:eastAsia="Palatino Linotype" w:hAnsi="Palatino Linotype" w:cs="Palatino Linotype"/>
          <w:b/>
          <w:color w:val="000000"/>
          <w:sz w:val="22"/>
          <w:szCs w:val="22"/>
        </w:rPr>
        <w:t>A N T E C E D E N T E S</w:t>
      </w:r>
    </w:p>
    <w:p w14:paraId="10B71914" w14:textId="77777777" w:rsidR="00C53EC4" w:rsidRDefault="00C53EC4" w:rsidP="00576F4C">
      <w:pPr>
        <w:spacing w:line="360" w:lineRule="auto"/>
      </w:pPr>
    </w:p>
    <w:p w14:paraId="5B49D561" w14:textId="77777777" w:rsidR="00C53EC4" w:rsidRDefault="0035717E" w:rsidP="00576F4C">
      <w:pPr>
        <w:pStyle w:val="Ttulo2"/>
        <w:spacing w:before="0" w:after="0" w:line="360" w:lineRule="auto"/>
        <w:rPr>
          <w:rFonts w:ascii="Palatino Linotype" w:eastAsia="Palatino Linotype" w:hAnsi="Palatino Linotype" w:cs="Palatino Linotype"/>
          <w:b/>
          <w:color w:val="000000"/>
          <w:sz w:val="22"/>
          <w:szCs w:val="22"/>
        </w:rPr>
      </w:pPr>
      <w:bookmarkStart w:id="2" w:name="_heading=h.s8rztyn9lriy" w:colFirst="0" w:colLast="0"/>
      <w:bookmarkEnd w:id="2"/>
      <w:r>
        <w:rPr>
          <w:rFonts w:ascii="Palatino Linotype" w:eastAsia="Palatino Linotype" w:hAnsi="Palatino Linotype" w:cs="Palatino Linotype"/>
          <w:b/>
          <w:color w:val="000000"/>
          <w:sz w:val="22"/>
          <w:szCs w:val="22"/>
        </w:rPr>
        <w:t>I. Presentación de la solicitud de información</w:t>
      </w:r>
    </w:p>
    <w:p w14:paraId="3A8BBE29" w14:textId="77777777" w:rsidR="00C53EC4" w:rsidRDefault="00C53EC4" w:rsidP="00576F4C">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14:paraId="1E0AEF28" w14:textId="77777777" w:rsidR="00C53EC4" w:rsidRDefault="0035717E" w:rsidP="00576F4C">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 fecha veintitrés de mayo de dos mil veinticinco, el Particular presentó una solicitud de acceso a la información pública, a través del Sistema de Acceso a la Información Mexiquense, en lo sucesivo el SAIMEX, ante el Ayuntamiento de Toluca, mediante la cual requirió lo siguiente:</w:t>
      </w:r>
    </w:p>
    <w:p w14:paraId="24859737" w14:textId="77777777" w:rsidR="00C53EC4" w:rsidRDefault="00C53EC4" w:rsidP="00576F4C">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color w:val="000000"/>
        </w:rPr>
      </w:pPr>
    </w:p>
    <w:p w14:paraId="3406EFF9" w14:textId="77777777" w:rsidR="00C53EC4" w:rsidRDefault="0035717E" w:rsidP="00576F4C">
      <w:pPr>
        <w:tabs>
          <w:tab w:val="left" w:pos="4667"/>
        </w:tabs>
        <w:spacing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“DESCRIPCIÓN CLARA Y PRECISA DE LA INFORMACIÓN SOLICITADA</w:t>
      </w:r>
    </w:p>
    <w:p w14:paraId="0930F8E1" w14:textId="77777777" w:rsidR="00C53EC4" w:rsidRDefault="0035717E" w:rsidP="00576F4C">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De la quinta regiduria y la segunda regiduria todos los oficios firmados por los regidores, las acata de las comisiones en las que participan, los oficios de las convocatorias a las comisiones, los acuerdos de las comisiones y los documentos que demuestren el seguimiento a los acuerdos, el horario del personal de la regiduria, las funciones del personal, y su curriculum y documentación que demuestre sus estudios.” (Sic).</w:t>
      </w:r>
    </w:p>
    <w:p w14:paraId="36C885EA" w14:textId="77777777" w:rsidR="00C53EC4" w:rsidRDefault="00C53EC4" w:rsidP="00576F4C">
      <w:pPr>
        <w:pBdr>
          <w:top w:val="nil"/>
          <w:left w:val="nil"/>
          <w:bottom w:val="nil"/>
          <w:right w:val="nil"/>
          <w:between w:val="nil"/>
        </w:pBdr>
        <w:tabs>
          <w:tab w:val="left" w:pos="567"/>
        </w:tabs>
        <w:spacing w:line="360" w:lineRule="auto"/>
        <w:ind w:left="567" w:right="567"/>
        <w:jc w:val="both"/>
        <w:rPr>
          <w:rFonts w:ascii="Palatino Linotype" w:eastAsia="Palatino Linotype" w:hAnsi="Palatino Linotype" w:cs="Palatino Linotype"/>
          <w:b/>
          <w:i/>
          <w:color w:val="000000"/>
        </w:rPr>
      </w:pPr>
    </w:p>
    <w:p w14:paraId="45C621FF" w14:textId="77777777" w:rsidR="00C53EC4" w:rsidRDefault="0035717E" w:rsidP="00576F4C">
      <w:pPr>
        <w:tabs>
          <w:tab w:val="left" w:pos="4667"/>
        </w:tabs>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 xml:space="preserve">Modalidad de Entrega: </w:t>
      </w:r>
      <w:r>
        <w:rPr>
          <w:rFonts w:ascii="Palatino Linotype" w:eastAsia="Palatino Linotype" w:hAnsi="Palatino Linotype" w:cs="Palatino Linotype"/>
          <w:i/>
        </w:rPr>
        <w:t>A través de SAIMEX.</w:t>
      </w:r>
    </w:p>
    <w:p w14:paraId="3FAB0AF9" w14:textId="77777777" w:rsidR="00C53EC4" w:rsidRDefault="0035717E" w:rsidP="00576F4C">
      <w:pPr>
        <w:pStyle w:val="Ttulo2"/>
        <w:spacing w:before="0" w:after="0" w:line="360" w:lineRule="auto"/>
        <w:rPr>
          <w:rFonts w:ascii="Palatino Linotype" w:eastAsia="Palatino Linotype" w:hAnsi="Palatino Linotype" w:cs="Palatino Linotype"/>
          <w:b/>
          <w:color w:val="000000"/>
          <w:sz w:val="22"/>
          <w:szCs w:val="22"/>
        </w:rPr>
      </w:pPr>
      <w:bookmarkStart w:id="3" w:name="_heading=h.yrfixo9i0epx" w:colFirst="0" w:colLast="0"/>
      <w:bookmarkStart w:id="4" w:name="_heading=h.270ugglvhyo" w:colFirst="0" w:colLast="0"/>
      <w:bookmarkEnd w:id="3"/>
      <w:bookmarkEnd w:id="4"/>
      <w:r>
        <w:rPr>
          <w:rFonts w:ascii="Palatino Linotype" w:eastAsia="Palatino Linotype" w:hAnsi="Palatino Linotype" w:cs="Palatino Linotype"/>
          <w:b/>
          <w:color w:val="000000"/>
          <w:sz w:val="22"/>
          <w:szCs w:val="22"/>
        </w:rPr>
        <w:lastRenderedPageBreak/>
        <w:t>II. Respuesta del Sujeto Obligado</w:t>
      </w:r>
    </w:p>
    <w:p w14:paraId="1FD0D8E3" w14:textId="77777777" w:rsidR="00C53EC4" w:rsidRDefault="0035717E" w:rsidP="00576F4C">
      <w:pPr>
        <w:tabs>
          <w:tab w:val="left" w:pos="4667"/>
        </w:tabs>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w:t>
      </w:r>
    </w:p>
    <w:p w14:paraId="2A1D3B8E" w14:textId="20BD2FFA" w:rsidR="00C53EC4" w:rsidRDefault="0035717E" w:rsidP="00576F4C">
      <w:pPr>
        <w:tabs>
          <w:tab w:val="left" w:pos="4667"/>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 fecha </w:t>
      </w:r>
      <w:r w:rsidR="00800220">
        <w:rPr>
          <w:rFonts w:ascii="Palatino Linotype" w:eastAsia="Palatino Linotype" w:hAnsi="Palatino Linotype" w:cs="Palatino Linotype"/>
          <w:sz w:val="22"/>
          <w:szCs w:val="22"/>
        </w:rPr>
        <w:t>trece de junio</w:t>
      </w:r>
      <w:r>
        <w:rPr>
          <w:rFonts w:ascii="Palatino Linotype" w:eastAsia="Palatino Linotype" w:hAnsi="Palatino Linotype" w:cs="Palatino Linotype"/>
          <w:sz w:val="22"/>
          <w:szCs w:val="22"/>
        </w:rPr>
        <w:t xml:space="preserve"> de dos mil veinticinco, el Sujeto Obligado dio respuesta a la solicitud de acceso a la información a través del Sistema de Acceso a la Información Mexiquense (SAIMEX), mediante la digitalización de los documentos siguientes: </w:t>
      </w:r>
    </w:p>
    <w:p w14:paraId="3E828E2D" w14:textId="77777777" w:rsidR="00C53EC4" w:rsidRDefault="00C53EC4" w:rsidP="00576F4C">
      <w:pPr>
        <w:tabs>
          <w:tab w:val="left" w:pos="4667"/>
        </w:tabs>
        <w:spacing w:line="360" w:lineRule="auto"/>
        <w:jc w:val="both"/>
        <w:rPr>
          <w:rFonts w:ascii="Palatino Linotype" w:eastAsia="Palatino Linotype" w:hAnsi="Palatino Linotype" w:cs="Palatino Linotype"/>
          <w:sz w:val="22"/>
          <w:szCs w:val="22"/>
        </w:rPr>
      </w:pPr>
    </w:p>
    <w:p w14:paraId="31953B27" w14:textId="77777777" w:rsidR="00C53EC4" w:rsidRDefault="0035717E" w:rsidP="00576F4C">
      <w:pPr>
        <w:tabs>
          <w:tab w:val="left" w:pos="4667"/>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 Oficios enviados por parte de la quinta regiduría, de enero a mayo de dos mil veinticinco.</w:t>
      </w:r>
    </w:p>
    <w:p w14:paraId="450B02BC" w14:textId="77777777" w:rsidR="00C53EC4" w:rsidRDefault="00C53EC4" w:rsidP="00576F4C">
      <w:pPr>
        <w:tabs>
          <w:tab w:val="left" w:pos="4667"/>
        </w:tabs>
        <w:spacing w:line="360" w:lineRule="auto"/>
        <w:jc w:val="both"/>
        <w:rPr>
          <w:rFonts w:ascii="Palatino Linotype" w:eastAsia="Palatino Linotype" w:hAnsi="Palatino Linotype" w:cs="Palatino Linotype"/>
          <w:sz w:val="22"/>
          <w:szCs w:val="22"/>
        </w:rPr>
      </w:pPr>
    </w:p>
    <w:p w14:paraId="5274CFA5" w14:textId="77777777" w:rsidR="00C53EC4" w:rsidRDefault="0035717E" w:rsidP="00576F4C">
      <w:pPr>
        <w:tabs>
          <w:tab w:val="left" w:pos="4667"/>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ii) Acta de la Primera Sesión Ordinaria de la Comisión de Asuntos Indígenas del Ayuntamiento de Toluca 2025-2027.</w:t>
      </w:r>
    </w:p>
    <w:p w14:paraId="664ED59D" w14:textId="77777777" w:rsidR="00C53EC4" w:rsidRDefault="00C53EC4" w:rsidP="00576F4C">
      <w:pPr>
        <w:spacing w:line="360" w:lineRule="auto"/>
        <w:jc w:val="both"/>
        <w:rPr>
          <w:rFonts w:ascii="Palatino Linotype" w:eastAsia="Palatino Linotype" w:hAnsi="Palatino Linotype" w:cs="Palatino Linotype"/>
          <w:sz w:val="22"/>
          <w:szCs w:val="22"/>
        </w:rPr>
      </w:pPr>
    </w:p>
    <w:p w14:paraId="7965DEB8" w14:textId="77777777" w:rsidR="00C53EC4" w:rsidRDefault="0035717E" w:rsidP="00576F4C">
      <w:pPr>
        <w:tabs>
          <w:tab w:val="left" w:pos="4667"/>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iii) Acta de Instalación de la Comisión Edilicia de Asuntos Indígenas del Ayuntamiento de Toluca 2025-2027.</w:t>
      </w:r>
    </w:p>
    <w:p w14:paraId="541E2E41" w14:textId="77777777" w:rsidR="00C53EC4" w:rsidRDefault="00C53EC4" w:rsidP="00576F4C">
      <w:pPr>
        <w:tabs>
          <w:tab w:val="left" w:pos="4667"/>
        </w:tabs>
        <w:spacing w:line="360" w:lineRule="auto"/>
        <w:jc w:val="both"/>
        <w:rPr>
          <w:rFonts w:ascii="Palatino Linotype" w:eastAsia="Palatino Linotype" w:hAnsi="Palatino Linotype" w:cs="Palatino Linotype"/>
          <w:sz w:val="22"/>
          <w:szCs w:val="22"/>
        </w:rPr>
      </w:pPr>
    </w:p>
    <w:p w14:paraId="24E165BB" w14:textId="77777777" w:rsidR="00C53EC4" w:rsidRDefault="0035717E" w:rsidP="00576F4C">
      <w:pPr>
        <w:tabs>
          <w:tab w:val="left" w:pos="4667"/>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iv) Acta de la Sesión de Instalación de la Comisión Edilicia de Protección e Inclusión a Personas con Discapacidad del Ayuntamiento de Toluca 2025-2027.</w:t>
      </w:r>
    </w:p>
    <w:p w14:paraId="760882E8" w14:textId="77777777" w:rsidR="00C53EC4" w:rsidRDefault="00C53EC4" w:rsidP="00576F4C">
      <w:pPr>
        <w:spacing w:line="360" w:lineRule="auto"/>
        <w:jc w:val="both"/>
        <w:rPr>
          <w:rFonts w:ascii="Palatino Linotype" w:eastAsia="Palatino Linotype" w:hAnsi="Palatino Linotype" w:cs="Palatino Linotype"/>
          <w:sz w:val="22"/>
          <w:szCs w:val="22"/>
        </w:rPr>
      </w:pPr>
    </w:p>
    <w:p w14:paraId="3F930587"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v) Oficio sin número, de fecha de su presentación, suscrito por el Quinto Regidor, dirigido al Solicitante, a través del cual manifiesta y expone esencialmente lo siguiente:</w:t>
      </w:r>
    </w:p>
    <w:p w14:paraId="0647E0A4" w14:textId="77777777" w:rsidR="00C53EC4" w:rsidRDefault="00C53EC4" w:rsidP="00576F4C">
      <w:pPr>
        <w:spacing w:line="360" w:lineRule="auto"/>
        <w:ind w:left="567" w:right="567"/>
        <w:jc w:val="both"/>
        <w:rPr>
          <w:rFonts w:ascii="Palatino Linotype" w:eastAsia="Palatino Linotype" w:hAnsi="Palatino Linotype" w:cs="Palatino Linotype"/>
          <w:sz w:val="22"/>
          <w:szCs w:val="22"/>
        </w:rPr>
      </w:pPr>
    </w:p>
    <w:p w14:paraId="0E81A9D4" w14:textId="77777777" w:rsidR="00C53EC4" w:rsidRDefault="0035717E" w:rsidP="00576F4C">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“…1.- En cuanto a lo que respecta </w:t>
      </w:r>
      <w:r>
        <w:rPr>
          <w:rFonts w:ascii="Palatino Linotype" w:eastAsia="Palatino Linotype" w:hAnsi="Palatino Linotype" w:cs="Palatino Linotype"/>
          <w:b/>
          <w:i/>
        </w:rPr>
        <w:t>"todos los oficios firmados por los regidores, las acata de las comisiones en las que participan, los oficios de las convocatorias a las comisiones, los acuerdos de las comisiones y los documentos que demuestren el seguimiento a los acuerdos"</w:t>
      </w:r>
      <w:r>
        <w:rPr>
          <w:rFonts w:ascii="Palatino Linotype" w:eastAsia="Palatino Linotype" w:hAnsi="Palatino Linotype" w:cs="Palatino Linotype"/>
          <w:i/>
        </w:rPr>
        <w:t xml:space="preserve"> le envío anexo al presente escrito, la información requerida y que obra en nuestros archivos.</w:t>
      </w:r>
    </w:p>
    <w:p w14:paraId="1F5CF0FA" w14:textId="77777777" w:rsidR="00C53EC4" w:rsidRDefault="00C53EC4" w:rsidP="00576F4C">
      <w:pPr>
        <w:spacing w:line="360" w:lineRule="auto"/>
        <w:ind w:left="567" w:right="567"/>
        <w:jc w:val="both"/>
        <w:rPr>
          <w:rFonts w:ascii="Palatino Linotype" w:eastAsia="Palatino Linotype" w:hAnsi="Palatino Linotype" w:cs="Palatino Linotype"/>
          <w:i/>
        </w:rPr>
      </w:pPr>
    </w:p>
    <w:p w14:paraId="4B955AD2" w14:textId="77777777" w:rsidR="00C53EC4" w:rsidRDefault="0035717E" w:rsidP="00576F4C">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2.- En cuanto a lo que se refiere a </w:t>
      </w:r>
      <w:r>
        <w:rPr>
          <w:rFonts w:ascii="Palatino Linotype" w:eastAsia="Palatino Linotype" w:hAnsi="Palatino Linotype" w:cs="Palatino Linotype"/>
          <w:b/>
          <w:i/>
        </w:rPr>
        <w:t>"el horario del personal de la regiduria, las funciones del personal"</w:t>
      </w:r>
      <w:r>
        <w:rPr>
          <w:rFonts w:ascii="Palatino Linotype" w:eastAsia="Palatino Linotype" w:hAnsi="Palatino Linotype" w:cs="Palatino Linotype"/>
          <w:i/>
        </w:rPr>
        <w:t xml:space="preserve"> le informo a usted que el horario de trabajo es de 09:00 am a 18:00 horas, y sus funciones son administrativas. </w:t>
      </w:r>
    </w:p>
    <w:p w14:paraId="3BCA0660" w14:textId="77777777" w:rsidR="00C53EC4" w:rsidRDefault="00C53EC4" w:rsidP="00576F4C">
      <w:pPr>
        <w:spacing w:line="360" w:lineRule="auto"/>
        <w:ind w:left="567" w:right="567"/>
        <w:jc w:val="both"/>
        <w:rPr>
          <w:rFonts w:ascii="Palatino Linotype" w:eastAsia="Palatino Linotype" w:hAnsi="Palatino Linotype" w:cs="Palatino Linotype"/>
          <w:i/>
        </w:rPr>
      </w:pPr>
    </w:p>
    <w:p w14:paraId="506373C8" w14:textId="77777777" w:rsidR="00C53EC4" w:rsidRDefault="0035717E" w:rsidP="00576F4C">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3.- Por último, en cuanto a lo referente a </w:t>
      </w:r>
      <w:r>
        <w:rPr>
          <w:rFonts w:ascii="Palatino Linotype" w:eastAsia="Palatino Linotype" w:hAnsi="Palatino Linotype" w:cs="Palatino Linotype"/>
          <w:b/>
          <w:i/>
        </w:rPr>
        <w:t>"su curriculum y documentación que demuestre sus estudios"</w:t>
      </w:r>
      <w:r>
        <w:rPr>
          <w:rFonts w:ascii="Palatino Linotype" w:eastAsia="Palatino Linotype" w:hAnsi="Palatino Linotype" w:cs="Palatino Linotype"/>
          <w:i/>
        </w:rPr>
        <w:t xml:space="preserve"> me permito informar que después de llevar una búsqueda exhaustiva y razonable dentro de los archivos asequibles de esta área, no se encontró documental alguno que dé respuesta a lo solicitado, debido a que no somos el área generadora de la información…”</w:t>
      </w:r>
    </w:p>
    <w:p w14:paraId="125D9082" w14:textId="77777777" w:rsidR="00C53EC4" w:rsidRDefault="00C53EC4" w:rsidP="00576F4C">
      <w:pPr>
        <w:tabs>
          <w:tab w:val="left" w:pos="4667"/>
        </w:tabs>
        <w:spacing w:line="360" w:lineRule="auto"/>
        <w:ind w:left="567" w:right="567"/>
        <w:jc w:val="both"/>
        <w:rPr>
          <w:rFonts w:ascii="Palatino Linotype" w:eastAsia="Palatino Linotype" w:hAnsi="Palatino Linotype" w:cs="Palatino Linotype"/>
        </w:rPr>
      </w:pPr>
    </w:p>
    <w:p w14:paraId="2A7D7E54" w14:textId="77777777" w:rsidR="00C53EC4" w:rsidRDefault="0035717E" w:rsidP="00576F4C">
      <w:pPr>
        <w:pStyle w:val="Ttulo2"/>
        <w:spacing w:before="0" w:after="0" w:line="360" w:lineRule="auto"/>
        <w:rPr>
          <w:rFonts w:ascii="Palatino Linotype" w:eastAsia="Palatino Linotype" w:hAnsi="Palatino Linotype" w:cs="Palatino Linotype"/>
          <w:b/>
          <w:color w:val="000000"/>
          <w:sz w:val="22"/>
          <w:szCs w:val="22"/>
        </w:rPr>
      </w:pPr>
      <w:bookmarkStart w:id="5" w:name="_heading=h.dmpr6vaxfyjk" w:colFirst="0" w:colLast="0"/>
      <w:bookmarkEnd w:id="5"/>
      <w:r>
        <w:rPr>
          <w:rFonts w:ascii="Palatino Linotype" w:eastAsia="Palatino Linotype" w:hAnsi="Palatino Linotype" w:cs="Palatino Linotype"/>
          <w:b/>
          <w:color w:val="000000"/>
          <w:sz w:val="22"/>
          <w:szCs w:val="22"/>
        </w:rPr>
        <w:t>III. Interposición del Recurso de Revisión</w:t>
      </w:r>
    </w:p>
    <w:p w14:paraId="2B6431B6" w14:textId="77777777" w:rsidR="00C53EC4" w:rsidRDefault="00C53EC4" w:rsidP="00576F4C">
      <w:pPr>
        <w:spacing w:line="360" w:lineRule="auto"/>
        <w:jc w:val="both"/>
        <w:rPr>
          <w:rFonts w:ascii="Palatino Linotype" w:eastAsia="Palatino Linotype" w:hAnsi="Palatino Linotype" w:cs="Palatino Linotype"/>
          <w:sz w:val="22"/>
          <w:szCs w:val="22"/>
        </w:rPr>
      </w:pPr>
    </w:p>
    <w:p w14:paraId="3DD3DAC0"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 fecha diecisiete de junio de dos mil veinticinco, se recibió en este Instituto, a través del SAIMEX, el Recurso de Revisión interpuesto por la parte Recurrente, en contra de la respuesta del Ayuntamiento de Toluca, en los siguientes términos:</w:t>
      </w:r>
    </w:p>
    <w:p w14:paraId="037BC41B" w14:textId="77777777" w:rsidR="00C53EC4" w:rsidRDefault="00C53EC4" w:rsidP="00576F4C">
      <w:pPr>
        <w:spacing w:line="360" w:lineRule="auto"/>
        <w:jc w:val="both"/>
        <w:rPr>
          <w:rFonts w:ascii="Palatino Linotype" w:eastAsia="Palatino Linotype" w:hAnsi="Palatino Linotype" w:cs="Palatino Linotype"/>
          <w:b/>
          <w:sz w:val="22"/>
          <w:szCs w:val="22"/>
        </w:rPr>
      </w:pPr>
    </w:p>
    <w:p w14:paraId="3E1EF6CE" w14:textId="77777777" w:rsidR="00C53EC4" w:rsidRDefault="0035717E" w:rsidP="00576F4C">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ACTO IMPUGNADO</w:t>
      </w:r>
    </w:p>
    <w:p w14:paraId="44EF231D" w14:textId="77777777" w:rsidR="00C53EC4" w:rsidRDefault="0035717E" w:rsidP="00576F4C">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“La entrega de la informaicón esta incompleta entreguen todo por favor</w:t>
      </w:r>
      <w:r>
        <w:rPr>
          <w:rFonts w:ascii="Palatino Linotype" w:eastAsia="Palatino Linotype" w:hAnsi="Palatino Linotype" w:cs="Palatino Linotype"/>
          <w:i/>
          <w:color w:val="000000"/>
        </w:rPr>
        <w:t>.</w:t>
      </w:r>
      <w:r>
        <w:rPr>
          <w:rFonts w:ascii="Palatino Linotype" w:eastAsia="Palatino Linotype" w:hAnsi="Palatino Linotype" w:cs="Palatino Linotype"/>
          <w:i/>
        </w:rPr>
        <w:t xml:space="preserve">” </w:t>
      </w:r>
    </w:p>
    <w:p w14:paraId="2522E70E" w14:textId="77777777" w:rsidR="00C53EC4" w:rsidRDefault="0035717E" w:rsidP="00576F4C">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(Sic)</w:t>
      </w:r>
    </w:p>
    <w:p w14:paraId="4706BD8E" w14:textId="77777777" w:rsidR="00C53EC4" w:rsidRDefault="00C53EC4" w:rsidP="00576F4C">
      <w:pPr>
        <w:spacing w:line="360" w:lineRule="auto"/>
        <w:ind w:left="567" w:right="567"/>
        <w:jc w:val="both"/>
        <w:rPr>
          <w:rFonts w:ascii="Palatino Linotype" w:eastAsia="Palatino Linotype" w:hAnsi="Palatino Linotype" w:cs="Palatino Linotype"/>
          <w:i/>
        </w:rPr>
      </w:pPr>
    </w:p>
    <w:p w14:paraId="68A2D6A3" w14:textId="77777777" w:rsidR="00C53EC4" w:rsidRDefault="0035717E" w:rsidP="00576F4C">
      <w:pPr>
        <w:spacing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RAZONES O MOTIVOS DE LA INCONFORMIDAD</w:t>
      </w:r>
    </w:p>
    <w:p w14:paraId="4A111430" w14:textId="77777777" w:rsidR="00C53EC4" w:rsidRDefault="0035717E" w:rsidP="00576F4C">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color w:val="000000"/>
        </w:rPr>
        <w:t>“La entrega de la informaicón esta incompleta entreguen todo por favor.</w:t>
      </w:r>
      <w:r>
        <w:rPr>
          <w:rFonts w:ascii="Palatino Linotype" w:eastAsia="Palatino Linotype" w:hAnsi="Palatino Linotype" w:cs="Palatino Linotype"/>
          <w:i/>
        </w:rPr>
        <w:t xml:space="preserve">” </w:t>
      </w:r>
    </w:p>
    <w:p w14:paraId="0C4061A3" w14:textId="77777777" w:rsidR="00C53EC4" w:rsidRDefault="0035717E" w:rsidP="00576F4C">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(Sic)</w:t>
      </w:r>
    </w:p>
    <w:p w14:paraId="1CEE68C8" w14:textId="77777777" w:rsidR="00C53EC4" w:rsidRDefault="00C53EC4" w:rsidP="00576F4C">
      <w:pPr>
        <w:spacing w:line="360" w:lineRule="auto"/>
        <w:ind w:left="567" w:right="567"/>
        <w:jc w:val="both"/>
        <w:rPr>
          <w:rFonts w:ascii="Palatino Linotype" w:eastAsia="Palatino Linotype" w:hAnsi="Palatino Linotype" w:cs="Palatino Linotype"/>
          <w:i/>
        </w:rPr>
      </w:pPr>
    </w:p>
    <w:p w14:paraId="01368DD6" w14:textId="77777777" w:rsidR="00C53EC4" w:rsidRDefault="0035717E" w:rsidP="00576F4C">
      <w:pPr>
        <w:pStyle w:val="Ttulo2"/>
        <w:spacing w:before="0" w:after="0" w:line="360" w:lineRule="auto"/>
        <w:rPr>
          <w:rFonts w:ascii="Palatino Linotype" w:eastAsia="Palatino Linotype" w:hAnsi="Palatino Linotype" w:cs="Palatino Linotype"/>
          <w:b/>
          <w:color w:val="000000"/>
          <w:sz w:val="22"/>
          <w:szCs w:val="22"/>
        </w:rPr>
      </w:pPr>
      <w:bookmarkStart w:id="6" w:name="_heading=h.iv941a1d1ews" w:colFirst="0" w:colLast="0"/>
      <w:bookmarkEnd w:id="6"/>
      <w:r>
        <w:rPr>
          <w:rFonts w:ascii="Palatino Linotype" w:eastAsia="Palatino Linotype" w:hAnsi="Palatino Linotype" w:cs="Palatino Linotype"/>
          <w:b/>
          <w:color w:val="000000"/>
          <w:sz w:val="22"/>
          <w:szCs w:val="22"/>
        </w:rPr>
        <w:t>IV. Trámite del Recurso de Revisión ante este Instituto</w:t>
      </w:r>
    </w:p>
    <w:p w14:paraId="24EC01AB" w14:textId="77777777" w:rsidR="00C53EC4" w:rsidRDefault="00C53EC4" w:rsidP="00576F4C">
      <w:pPr>
        <w:spacing w:line="360" w:lineRule="auto"/>
        <w:jc w:val="both"/>
        <w:rPr>
          <w:rFonts w:ascii="Palatino Linotype" w:eastAsia="Palatino Linotype" w:hAnsi="Palatino Linotype" w:cs="Palatino Linotype"/>
          <w:b/>
          <w:sz w:val="22"/>
          <w:szCs w:val="22"/>
        </w:rPr>
      </w:pPr>
    </w:p>
    <w:p w14:paraId="0D08B612"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a) Turno del Recurso de Revisión. </w:t>
      </w:r>
      <w:r>
        <w:rPr>
          <w:rFonts w:ascii="Palatino Linotype" w:eastAsia="Palatino Linotype" w:hAnsi="Palatino Linotype" w:cs="Palatino Linotype"/>
          <w:sz w:val="22"/>
          <w:szCs w:val="22"/>
        </w:rPr>
        <w:t xml:space="preserve">El diecisiete de junio de dos mil veinticinco, el SAIMEX, asignó el número de expediente </w:t>
      </w:r>
      <w:r>
        <w:rPr>
          <w:rFonts w:ascii="Palatino Linotype" w:eastAsia="Palatino Linotype" w:hAnsi="Palatino Linotype" w:cs="Palatino Linotype"/>
          <w:b/>
          <w:sz w:val="22"/>
          <w:szCs w:val="22"/>
        </w:rPr>
        <w:t>07336/INFOEM/IP/RR/2025</w:t>
      </w:r>
      <w:r>
        <w:rPr>
          <w:rFonts w:ascii="Palatino Linotype" w:eastAsia="Palatino Linotype" w:hAnsi="Palatino Linotype" w:cs="Palatino Linotype"/>
          <w:sz w:val="22"/>
          <w:szCs w:val="22"/>
        </w:rPr>
        <w:t xml:space="preserve"> al medio de impugnación que nos ocupa, con base en el sistema aprobado por el Pleno de este Organismo Garante y lo </w:t>
      </w:r>
      <w:r>
        <w:rPr>
          <w:rFonts w:ascii="Palatino Linotype" w:eastAsia="Palatino Linotype" w:hAnsi="Palatino Linotype" w:cs="Palatino Linotype"/>
          <w:sz w:val="22"/>
          <w:szCs w:val="22"/>
        </w:rPr>
        <w:lastRenderedPageBreak/>
        <w:t xml:space="preserve">turnó al Comisionado </w:t>
      </w:r>
      <w:r>
        <w:rPr>
          <w:rFonts w:ascii="Palatino Linotype" w:eastAsia="Palatino Linotype" w:hAnsi="Palatino Linotype" w:cs="Palatino Linotype"/>
          <w:b/>
          <w:sz w:val="22"/>
          <w:szCs w:val="22"/>
        </w:rPr>
        <w:t>Luis Gustavo Parra Noriega</w:t>
      </w:r>
      <w:r>
        <w:rPr>
          <w:rFonts w:ascii="Palatino Linotype" w:eastAsia="Palatino Linotype" w:hAnsi="Palatino Linotype" w:cs="Palatino Linotype"/>
          <w:sz w:val="22"/>
          <w:szCs w:val="22"/>
        </w:rPr>
        <w:t>, para los efectos del artículo 185, fracción I, de la Ley de Transparencia y Acceso a la Información Pública del Estado de México y Municipios.</w:t>
      </w:r>
    </w:p>
    <w:p w14:paraId="223D9151" w14:textId="77777777" w:rsidR="00C53EC4" w:rsidRDefault="00C53EC4" w:rsidP="00576F4C">
      <w:pPr>
        <w:spacing w:line="360" w:lineRule="auto"/>
        <w:jc w:val="both"/>
        <w:rPr>
          <w:rFonts w:ascii="Palatino Linotype" w:eastAsia="Palatino Linotype" w:hAnsi="Palatino Linotype" w:cs="Palatino Linotype"/>
          <w:b/>
          <w:sz w:val="22"/>
          <w:szCs w:val="22"/>
        </w:rPr>
      </w:pPr>
    </w:p>
    <w:p w14:paraId="2EFC982C"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b) Admisión del Recurso de Revisión. </w:t>
      </w:r>
      <w:r>
        <w:rPr>
          <w:rFonts w:ascii="Palatino Linotype" w:eastAsia="Palatino Linotype" w:hAnsi="Palatino Linotype" w:cs="Palatino Linotype"/>
          <w:sz w:val="22"/>
          <w:szCs w:val="22"/>
        </w:rPr>
        <w:t>El veinte de junio de dos mil veinticinco, se acordó la admisión del Recurso de Revisión, interpuesto por la Recurrente, en contra del Sujeto Obligado, en términos del artículo 185, fracciones I y II, de la Ley de Transparencia y Acceso a la Información Pública del Estado de México y Municipios, el cual fue notificado a las partes el tres de dicho mes y año, a través del SAIMEX, en el que se les otorgó un plazo de siete días hábiles posteriores a la misma, para que manifestaran lo que a su derecho conviniera y formularan alegatos.</w:t>
      </w:r>
    </w:p>
    <w:p w14:paraId="2B66939C" w14:textId="77777777" w:rsidR="00C53EC4" w:rsidRDefault="00C53EC4" w:rsidP="00576F4C">
      <w:pPr>
        <w:spacing w:line="360" w:lineRule="auto"/>
        <w:jc w:val="both"/>
        <w:rPr>
          <w:rFonts w:ascii="Palatino Linotype" w:eastAsia="Palatino Linotype" w:hAnsi="Palatino Linotype" w:cs="Palatino Linotype"/>
          <w:sz w:val="22"/>
          <w:szCs w:val="22"/>
        </w:rPr>
      </w:pPr>
    </w:p>
    <w:p w14:paraId="19398BAC"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c) Informe Justificado. </w:t>
      </w:r>
      <w:r>
        <w:rPr>
          <w:rFonts w:ascii="Palatino Linotype" w:eastAsia="Palatino Linotype" w:hAnsi="Palatino Linotype" w:cs="Palatino Linotype"/>
          <w:sz w:val="22"/>
          <w:szCs w:val="22"/>
        </w:rPr>
        <w:t>El primero de julio de dos mil veinticinco, se recibió, a través del SAIMEX, el informe justificado</w:t>
      </w:r>
      <w:r>
        <w:rPr>
          <w:rFonts w:ascii="Palatino Linotype" w:eastAsia="Palatino Linotype" w:hAnsi="Palatino Linotype" w:cs="Palatino Linotype"/>
          <w:color w:val="0D0D0D"/>
          <w:sz w:val="22"/>
          <w:szCs w:val="22"/>
        </w:rPr>
        <w:t xml:space="preserve"> </w:t>
      </w:r>
      <w:r>
        <w:rPr>
          <w:rFonts w:ascii="Palatino Linotype" w:eastAsia="Palatino Linotype" w:hAnsi="Palatino Linotype" w:cs="Palatino Linotype"/>
          <w:sz w:val="22"/>
          <w:szCs w:val="22"/>
        </w:rPr>
        <w:t>por medio de la digitalización de los documentos siguientes:</w:t>
      </w:r>
    </w:p>
    <w:p w14:paraId="4FB005F6" w14:textId="77777777" w:rsidR="00C53EC4" w:rsidRDefault="00C53EC4" w:rsidP="00576F4C">
      <w:pPr>
        <w:spacing w:line="360" w:lineRule="auto"/>
        <w:jc w:val="both"/>
        <w:rPr>
          <w:rFonts w:ascii="Palatino Linotype" w:eastAsia="Palatino Linotype" w:hAnsi="Palatino Linotype" w:cs="Palatino Linotype"/>
          <w:sz w:val="22"/>
          <w:szCs w:val="22"/>
        </w:rPr>
      </w:pPr>
    </w:p>
    <w:p w14:paraId="2EE1809A" w14:textId="2E389D29"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i) </w:t>
      </w:r>
      <w:r w:rsidR="000E32E5">
        <w:rPr>
          <w:rFonts w:ascii="Palatino Linotype" w:eastAsia="Palatino Linotype" w:hAnsi="Palatino Linotype" w:cs="Palatino Linotype"/>
          <w:sz w:val="22"/>
          <w:szCs w:val="22"/>
        </w:rPr>
        <w:t>O</w:t>
      </w:r>
      <w:r>
        <w:rPr>
          <w:rFonts w:ascii="Palatino Linotype" w:eastAsia="Palatino Linotype" w:hAnsi="Palatino Linotype" w:cs="Palatino Linotype"/>
          <w:sz w:val="22"/>
          <w:szCs w:val="22"/>
        </w:rPr>
        <w:t>ficio sin número, de fecha de su presentación, suscrito por el Titular de la Unidad de Transparencia, dirigido al Comisionado Ponente a través del señala que la Segunda y Quinta Regidurías, y la Dirección General de Administración ratifican sus respuestas iniciales.</w:t>
      </w:r>
    </w:p>
    <w:p w14:paraId="1C0F6804" w14:textId="77777777" w:rsidR="00C53EC4" w:rsidRDefault="00C53EC4" w:rsidP="00576F4C">
      <w:pPr>
        <w:spacing w:line="360" w:lineRule="auto"/>
        <w:jc w:val="both"/>
        <w:rPr>
          <w:rFonts w:ascii="Palatino Linotype" w:eastAsia="Palatino Linotype" w:hAnsi="Palatino Linotype" w:cs="Palatino Linotype"/>
          <w:sz w:val="22"/>
          <w:szCs w:val="22"/>
        </w:rPr>
      </w:pPr>
    </w:p>
    <w:p w14:paraId="161633A7" w14:textId="14E65F1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ii) Oficio número 206010000/3542/2025, del veintiséis de junio de la presente anualidad, suscrito por la Directora Genera</w:t>
      </w:r>
      <w:r w:rsidR="00800220">
        <w:rPr>
          <w:rFonts w:ascii="Palatino Linotype" w:eastAsia="Palatino Linotype" w:hAnsi="Palatino Linotype" w:cs="Palatino Linotype"/>
          <w:sz w:val="22"/>
          <w:szCs w:val="22"/>
        </w:rPr>
        <w:t>l</w:t>
      </w:r>
      <w:r>
        <w:rPr>
          <w:rFonts w:ascii="Palatino Linotype" w:eastAsia="Palatino Linotype" w:hAnsi="Palatino Linotype" w:cs="Palatino Linotype"/>
          <w:sz w:val="22"/>
          <w:szCs w:val="22"/>
        </w:rPr>
        <w:t xml:space="preserve"> de Administración, dirigido al Titular de la Unidad de Transparencia, a través del cual señaló que ratifica su respuesta inicial. </w:t>
      </w:r>
    </w:p>
    <w:p w14:paraId="6CC84B1B" w14:textId="77777777" w:rsidR="00C53EC4" w:rsidRDefault="00C53EC4" w:rsidP="00576F4C">
      <w:pPr>
        <w:spacing w:line="360" w:lineRule="auto"/>
        <w:jc w:val="both"/>
        <w:rPr>
          <w:rFonts w:ascii="Palatino Linotype" w:eastAsia="Palatino Linotype" w:hAnsi="Palatino Linotype" w:cs="Palatino Linotype"/>
          <w:b/>
          <w:sz w:val="22"/>
          <w:szCs w:val="22"/>
        </w:rPr>
      </w:pPr>
    </w:p>
    <w:p w14:paraId="5AF648E9" w14:textId="77777777" w:rsidR="00C53EC4" w:rsidRDefault="0035717E" w:rsidP="00576F4C">
      <w:pP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sz w:val="22"/>
          <w:szCs w:val="22"/>
        </w:rPr>
        <w:lastRenderedPageBreak/>
        <w:t xml:space="preserve">d) Vista del informe justificado. </w:t>
      </w:r>
      <w:r>
        <w:rPr>
          <w:rFonts w:ascii="Palatino Linotype" w:eastAsia="Palatino Linotype" w:hAnsi="Palatino Linotype" w:cs="Palatino Linotype"/>
          <w:sz w:val="22"/>
          <w:szCs w:val="22"/>
        </w:rPr>
        <w:t xml:space="preserve">El ocho de octubre de dos mil veinticinco, se dictó acuerdo mediante el cual se puso a la vista del Particular, el Informe Justificado entregado por el Sujeto Obligado, el cual fue notificado, a través del SAIMEX, el mismo día. </w:t>
      </w:r>
    </w:p>
    <w:p w14:paraId="35580775" w14:textId="77777777" w:rsidR="00C53EC4" w:rsidRDefault="00C53EC4" w:rsidP="00576F4C">
      <w:pPr>
        <w:spacing w:line="360" w:lineRule="auto"/>
        <w:jc w:val="both"/>
        <w:rPr>
          <w:rFonts w:ascii="Palatino Linotype" w:eastAsia="Palatino Linotype" w:hAnsi="Palatino Linotype" w:cs="Palatino Linotype"/>
          <w:b/>
          <w:sz w:val="22"/>
          <w:szCs w:val="22"/>
        </w:rPr>
      </w:pPr>
    </w:p>
    <w:p w14:paraId="0D22F42A" w14:textId="77777777" w:rsidR="00C53EC4" w:rsidRDefault="0035717E" w:rsidP="00576F4C">
      <w:pPr>
        <w:spacing w:line="360" w:lineRule="auto"/>
        <w:jc w:val="both"/>
        <w:rPr>
          <w:rFonts w:ascii="Palatino Linotype" w:eastAsia="Palatino Linotype" w:hAnsi="Palatino Linotype" w:cs="Palatino Linotype"/>
          <w:b/>
          <w:sz w:val="22"/>
          <w:szCs w:val="22"/>
        </w:rPr>
      </w:pPr>
      <w:bookmarkStart w:id="7" w:name="_heading=h.9qpj1ejz85lp" w:colFirst="0" w:colLast="0"/>
      <w:bookmarkEnd w:id="7"/>
      <w:r>
        <w:rPr>
          <w:rFonts w:ascii="Palatino Linotype" w:eastAsia="Palatino Linotype" w:hAnsi="Palatino Linotype" w:cs="Palatino Linotype"/>
          <w:b/>
          <w:sz w:val="22"/>
          <w:szCs w:val="22"/>
        </w:rPr>
        <w:t xml:space="preserve">e) Ampliación de plazo para resolver. </w:t>
      </w:r>
      <w:r>
        <w:rPr>
          <w:rFonts w:ascii="Palatino Linotype" w:eastAsia="Palatino Linotype" w:hAnsi="Palatino Linotype" w:cs="Palatino Linotype"/>
          <w:sz w:val="22"/>
          <w:szCs w:val="22"/>
        </w:rPr>
        <w:t>El seis de noviembre de dos mil veinticinco,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mismo día.</w:t>
      </w:r>
    </w:p>
    <w:p w14:paraId="10FDAEE0" w14:textId="77777777" w:rsidR="00C53EC4" w:rsidRDefault="00C53EC4" w:rsidP="00576F4C">
      <w:pPr>
        <w:spacing w:line="360" w:lineRule="auto"/>
        <w:jc w:val="both"/>
        <w:rPr>
          <w:rFonts w:ascii="Palatino Linotype" w:eastAsia="Palatino Linotype" w:hAnsi="Palatino Linotype" w:cs="Palatino Linotype"/>
          <w:b/>
          <w:sz w:val="22"/>
          <w:szCs w:val="22"/>
        </w:rPr>
      </w:pPr>
    </w:p>
    <w:p w14:paraId="6F2A8304" w14:textId="77777777" w:rsidR="00C53EC4" w:rsidRDefault="0035717E" w:rsidP="00576F4C">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f) Cierre de instrucción.</w:t>
      </w:r>
      <w:r>
        <w:rPr>
          <w:rFonts w:ascii="Palatino Linotype" w:eastAsia="Palatino Linotype" w:hAnsi="Palatino Linotype" w:cs="Palatino Linotype"/>
          <w:sz w:val="22"/>
          <w:szCs w:val="22"/>
        </w:rPr>
        <w:t xml:space="preserve"> El once de noviembre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SAIMEX, el mismo día.</w:t>
      </w:r>
    </w:p>
    <w:p w14:paraId="4CF120C5" w14:textId="77777777" w:rsidR="00C53EC4" w:rsidRDefault="00C53EC4" w:rsidP="00576F4C">
      <w:pPr>
        <w:spacing w:line="360" w:lineRule="auto"/>
        <w:jc w:val="both"/>
        <w:rPr>
          <w:rFonts w:ascii="Palatino Linotype" w:eastAsia="Palatino Linotype" w:hAnsi="Palatino Linotype" w:cs="Palatino Linotype"/>
          <w:b/>
          <w:sz w:val="22"/>
          <w:szCs w:val="22"/>
        </w:rPr>
      </w:pPr>
    </w:p>
    <w:p w14:paraId="59830A32" w14:textId="77777777" w:rsidR="00C53EC4" w:rsidRDefault="0035717E" w:rsidP="00576F4C">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14:paraId="132AF7D5" w14:textId="77777777" w:rsidR="00C53EC4" w:rsidRDefault="00C53EC4" w:rsidP="00576F4C">
      <w:pPr>
        <w:spacing w:line="360" w:lineRule="auto"/>
      </w:pPr>
    </w:p>
    <w:p w14:paraId="72726DC8" w14:textId="77777777" w:rsidR="00C53EC4" w:rsidRDefault="00C53EC4" w:rsidP="00576F4C">
      <w:pPr>
        <w:spacing w:line="360" w:lineRule="auto"/>
      </w:pPr>
    </w:p>
    <w:p w14:paraId="2AEA95D5" w14:textId="77777777" w:rsidR="00C53EC4" w:rsidRDefault="0035717E" w:rsidP="00576F4C">
      <w:pPr>
        <w:pStyle w:val="Ttulo1"/>
        <w:spacing w:before="0" w:after="0" w:line="360" w:lineRule="auto"/>
        <w:jc w:val="center"/>
        <w:rPr>
          <w:rFonts w:ascii="Palatino Linotype" w:eastAsia="Palatino Linotype" w:hAnsi="Palatino Linotype" w:cs="Palatino Linotype"/>
          <w:b/>
          <w:color w:val="000000"/>
          <w:sz w:val="22"/>
          <w:szCs w:val="22"/>
        </w:rPr>
      </w:pPr>
      <w:bookmarkStart w:id="8" w:name="_heading=h.1bg0etqwgevh" w:colFirst="0" w:colLast="0"/>
      <w:bookmarkEnd w:id="8"/>
      <w:r>
        <w:rPr>
          <w:rFonts w:ascii="Palatino Linotype" w:eastAsia="Palatino Linotype" w:hAnsi="Palatino Linotype" w:cs="Palatino Linotype"/>
          <w:b/>
          <w:color w:val="000000"/>
          <w:sz w:val="22"/>
          <w:szCs w:val="22"/>
        </w:rPr>
        <w:t>C O N S I D E R A N D O S</w:t>
      </w:r>
    </w:p>
    <w:p w14:paraId="0482CFBE" w14:textId="77777777" w:rsidR="00C53EC4" w:rsidRDefault="00C53EC4" w:rsidP="00576F4C">
      <w:pPr>
        <w:spacing w:line="360" w:lineRule="auto"/>
      </w:pPr>
    </w:p>
    <w:p w14:paraId="29686AD1" w14:textId="77777777" w:rsidR="00C53EC4" w:rsidRDefault="0035717E" w:rsidP="00576F4C">
      <w:pPr>
        <w:pStyle w:val="Ttulo2"/>
        <w:spacing w:before="0" w:after="0" w:line="360" w:lineRule="auto"/>
        <w:rPr>
          <w:rFonts w:ascii="Palatino Linotype" w:eastAsia="Palatino Linotype" w:hAnsi="Palatino Linotype" w:cs="Palatino Linotype"/>
          <w:b/>
          <w:color w:val="000000"/>
          <w:sz w:val="22"/>
          <w:szCs w:val="22"/>
        </w:rPr>
      </w:pPr>
      <w:bookmarkStart w:id="9" w:name="_heading=h.jtar7acqy8wk" w:colFirst="0" w:colLast="0"/>
      <w:bookmarkEnd w:id="9"/>
      <w:r>
        <w:rPr>
          <w:rFonts w:ascii="Palatino Linotype" w:eastAsia="Palatino Linotype" w:hAnsi="Palatino Linotype" w:cs="Palatino Linotype"/>
          <w:b/>
          <w:color w:val="000000"/>
          <w:sz w:val="22"/>
          <w:szCs w:val="22"/>
        </w:rPr>
        <w:t>PRIMERO. Competencia</w:t>
      </w:r>
    </w:p>
    <w:p w14:paraId="25D68FA5" w14:textId="77777777" w:rsidR="00C53EC4" w:rsidRDefault="00C53EC4" w:rsidP="00576F4C">
      <w:pPr>
        <w:spacing w:line="360" w:lineRule="auto"/>
      </w:pPr>
    </w:p>
    <w:p w14:paraId="318DF625" w14:textId="77777777" w:rsidR="00800220" w:rsidRDefault="00800220" w:rsidP="00800220">
      <w:pPr>
        <w:spacing w:line="360" w:lineRule="auto"/>
        <w:jc w:val="both"/>
        <w:rPr>
          <w:rFonts w:ascii="Palatino Linotype" w:eastAsia="Palatino Linotype" w:hAnsi="Palatino Linotype" w:cs="Palatino Linotype"/>
          <w:sz w:val="22"/>
          <w:szCs w:val="22"/>
        </w:rPr>
      </w:pPr>
      <w:r w:rsidRPr="00B46005">
        <w:rPr>
          <w:rFonts w:ascii="Palatino Linotype" w:eastAsia="Palatino Linotype" w:hAnsi="Palatino Linotype" w:cs="Palatino Linotype"/>
          <w:sz w:val="22"/>
          <w:szCs w:val="22"/>
        </w:rPr>
        <w:lastRenderedPageBreak/>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primero, cuadragésimo segundo y cuadragésimo tercero,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585667B7" w14:textId="77777777" w:rsidR="00C53EC4" w:rsidRDefault="00C53EC4" w:rsidP="00576F4C">
      <w:pPr>
        <w:spacing w:line="360" w:lineRule="auto"/>
        <w:jc w:val="both"/>
        <w:rPr>
          <w:rFonts w:ascii="Palatino Linotype" w:eastAsia="Palatino Linotype" w:hAnsi="Palatino Linotype" w:cs="Palatino Linotype"/>
          <w:color w:val="000000"/>
          <w:sz w:val="22"/>
          <w:szCs w:val="22"/>
        </w:rPr>
      </w:pPr>
    </w:p>
    <w:p w14:paraId="05D5CEEC" w14:textId="77777777" w:rsidR="00C53EC4" w:rsidRDefault="0035717E" w:rsidP="00576F4C">
      <w:pPr>
        <w:pStyle w:val="Ttulo2"/>
        <w:spacing w:before="0" w:after="0" w:line="360" w:lineRule="auto"/>
        <w:rPr>
          <w:rFonts w:ascii="Palatino Linotype" w:eastAsia="Palatino Linotype" w:hAnsi="Palatino Linotype" w:cs="Palatino Linotype"/>
          <w:b/>
          <w:color w:val="000000"/>
          <w:sz w:val="22"/>
          <w:szCs w:val="22"/>
        </w:rPr>
      </w:pPr>
      <w:bookmarkStart w:id="10" w:name="_heading=h.mnkmy85pbjc1" w:colFirst="0" w:colLast="0"/>
      <w:bookmarkEnd w:id="10"/>
      <w:r>
        <w:rPr>
          <w:rFonts w:ascii="Palatino Linotype" w:eastAsia="Palatino Linotype" w:hAnsi="Palatino Linotype" w:cs="Palatino Linotype"/>
          <w:b/>
          <w:color w:val="000000"/>
          <w:sz w:val="22"/>
          <w:szCs w:val="22"/>
        </w:rPr>
        <w:t>SEGUNDO. Causales de improcedencia y sobreseimiento</w:t>
      </w:r>
    </w:p>
    <w:p w14:paraId="766FD560" w14:textId="77777777" w:rsidR="00C53EC4" w:rsidRDefault="00C53EC4" w:rsidP="00576F4C">
      <w:pPr>
        <w:spacing w:line="360" w:lineRule="auto"/>
        <w:jc w:val="both"/>
        <w:rPr>
          <w:rFonts w:ascii="Palatino Linotype" w:eastAsia="Palatino Linotype" w:hAnsi="Palatino Linotype" w:cs="Palatino Linotype"/>
          <w:b/>
          <w:sz w:val="22"/>
          <w:szCs w:val="22"/>
        </w:rPr>
      </w:pPr>
    </w:p>
    <w:p w14:paraId="3B59B312"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las constancias que forma parte del Recurso de Revisión que se analiza, se advierte que previo al estudio del fondo de la </w:t>
      </w:r>
      <w:r>
        <w:rPr>
          <w:rFonts w:ascii="Palatino Linotype" w:eastAsia="Palatino Linotype" w:hAnsi="Palatino Linotype" w:cs="Palatino Linotype"/>
          <w:i/>
          <w:sz w:val="22"/>
          <w:szCs w:val="22"/>
        </w:rPr>
        <w:t>litis</w:t>
      </w:r>
      <w:r>
        <w:rPr>
          <w:rFonts w:ascii="Palatino Linotype" w:eastAsia="Palatino Linotype" w:hAnsi="Palatino Linotype" w:cs="Palatino Linotype"/>
          <w:sz w:val="22"/>
          <w:szCs w:val="22"/>
        </w:rPr>
        <w:t>, es necesario estudiar las causales de improcedencia y sobreseimiento que se adviertan, para determinar lo que en Derecho proceda.</w:t>
      </w:r>
    </w:p>
    <w:p w14:paraId="7B37824B" w14:textId="77777777" w:rsidR="00C53EC4" w:rsidRDefault="00C53EC4" w:rsidP="00576F4C">
      <w:pPr>
        <w:spacing w:line="360" w:lineRule="auto"/>
        <w:jc w:val="both"/>
        <w:rPr>
          <w:rFonts w:ascii="Palatino Linotype" w:eastAsia="Palatino Linotype" w:hAnsi="Palatino Linotype" w:cs="Palatino Linotype"/>
          <w:b/>
          <w:color w:val="000000"/>
          <w:sz w:val="22"/>
          <w:szCs w:val="22"/>
        </w:rPr>
      </w:pPr>
    </w:p>
    <w:p w14:paraId="1B8E5F66" w14:textId="77777777" w:rsidR="00C53EC4" w:rsidRDefault="0035717E" w:rsidP="00576F4C">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Causales de improcedencia</w:t>
      </w:r>
    </w:p>
    <w:p w14:paraId="3FEE921D" w14:textId="77777777" w:rsidR="00C53EC4" w:rsidRDefault="00C53EC4" w:rsidP="00576F4C">
      <w:pPr>
        <w:spacing w:line="360" w:lineRule="auto"/>
        <w:jc w:val="both"/>
        <w:rPr>
          <w:rFonts w:ascii="Palatino Linotype" w:eastAsia="Palatino Linotype" w:hAnsi="Palatino Linotype" w:cs="Palatino Linotype"/>
          <w:sz w:val="22"/>
          <w:szCs w:val="22"/>
        </w:rPr>
      </w:pPr>
    </w:p>
    <w:p w14:paraId="3E683601"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w:t>
      </w:r>
      <w:r>
        <w:rPr>
          <w:rFonts w:ascii="Palatino Linotype" w:eastAsia="Palatino Linotype" w:hAnsi="Palatino Linotype" w:cs="Palatino Linotype"/>
          <w:sz w:val="22"/>
          <w:szCs w:val="22"/>
        </w:rPr>
        <w:lastRenderedPageBreak/>
        <w:t>actualice alguno de los supuestos establecidos en el artículo 191 de la Ley de Transparencia y Acceso a la Información Pública del Estado de México y Municipios, por ser improcedente.</w:t>
      </w:r>
    </w:p>
    <w:p w14:paraId="3EECAB8A" w14:textId="77777777" w:rsidR="00C53EC4" w:rsidRDefault="00C53EC4" w:rsidP="00576F4C">
      <w:pPr>
        <w:spacing w:line="360" w:lineRule="auto"/>
        <w:jc w:val="both"/>
        <w:rPr>
          <w:rFonts w:ascii="Palatino Linotype" w:eastAsia="Palatino Linotype" w:hAnsi="Palatino Linotype" w:cs="Palatino Linotype"/>
          <w:sz w:val="22"/>
          <w:szCs w:val="22"/>
        </w:rPr>
      </w:pPr>
    </w:p>
    <w:p w14:paraId="187DAB8C"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282AC83E" w14:textId="77777777" w:rsidR="00C53EC4" w:rsidRDefault="00C53EC4" w:rsidP="00576F4C">
      <w:pPr>
        <w:spacing w:line="360" w:lineRule="auto"/>
        <w:jc w:val="both"/>
        <w:rPr>
          <w:rFonts w:ascii="Palatino Linotype" w:eastAsia="Palatino Linotype" w:hAnsi="Palatino Linotype" w:cs="Palatino Linotype"/>
          <w:sz w:val="22"/>
          <w:szCs w:val="22"/>
        </w:rPr>
      </w:pPr>
    </w:p>
    <w:p w14:paraId="0C50B6B6"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se actualiza la causal de procedencia del Recurso de Revisión establecida en el artículo 179, fracción V, de la Ley de Transparencia y Acceso a la Información Pública del Estado de México y Municipios, referente a la entrega de información incompleta.</w:t>
      </w:r>
    </w:p>
    <w:p w14:paraId="0F7E22D6" w14:textId="77777777" w:rsidR="00C53EC4" w:rsidRDefault="00C53EC4" w:rsidP="00576F4C">
      <w:pPr>
        <w:spacing w:line="360" w:lineRule="auto"/>
        <w:jc w:val="both"/>
        <w:rPr>
          <w:rFonts w:ascii="Palatino Linotype" w:eastAsia="Palatino Linotype" w:hAnsi="Palatino Linotype" w:cs="Palatino Linotype"/>
          <w:sz w:val="22"/>
          <w:szCs w:val="22"/>
        </w:rPr>
      </w:pPr>
    </w:p>
    <w:p w14:paraId="750B207D"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Causales de sobreseimiento</w:t>
      </w:r>
    </w:p>
    <w:p w14:paraId="46EA56D1" w14:textId="77777777" w:rsidR="00C53EC4" w:rsidRDefault="00C53EC4" w:rsidP="00576F4C">
      <w:pPr>
        <w:spacing w:line="360" w:lineRule="auto"/>
        <w:jc w:val="both"/>
        <w:rPr>
          <w:rFonts w:ascii="Palatino Linotype" w:eastAsia="Palatino Linotype" w:hAnsi="Palatino Linotype" w:cs="Palatino Linotype"/>
          <w:sz w:val="22"/>
          <w:szCs w:val="22"/>
        </w:rPr>
      </w:pPr>
    </w:p>
    <w:p w14:paraId="27117010"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ser de previo y especial pronunciamiento, este Instituto analiza si se actualiza alguna causal de sobreseimiento.</w:t>
      </w:r>
    </w:p>
    <w:p w14:paraId="6304CB03" w14:textId="77777777" w:rsidR="00C53EC4" w:rsidRDefault="00C53EC4" w:rsidP="00576F4C">
      <w:pPr>
        <w:spacing w:line="360" w:lineRule="auto"/>
        <w:jc w:val="both"/>
        <w:rPr>
          <w:rFonts w:ascii="Palatino Linotype" w:eastAsia="Palatino Linotype" w:hAnsi="Palatino Linotype" w:cs="Palatino Linotype"/>
          <w:sz w:val="22"/>
          <w:szCs w:val="22"/>
        </w:rPr>
      </w:pPr>
    </w:p>
    <w:p w14:paraId="49ED0A94"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w:t>
      </w:r>
      <w:r>
        <w:rPr>
          <w:rFonts w:ascii="Palatino Linotype" w:eastAsia="Palatino Linotype" w:hAnsi="Palatino Linotype" w:cs="Palatino Linotype"/>
          <w:sz w:val="22"/>
          <w:szCs w:val="22"/>
        </w:rPr>
        <w:lastRenderedPageBreak/>
        <w:t>Obligado hubiese modificado o revocado el acto impugnado o bien, haya quedado sin materia.</w:t>
      </w:r>
    </w:p>
    <w:p w14:paraId="25BBBD76" w14:textId="77777777" w:rsidR="00C53EC4" w:rsidRDefault="00C53EC4" w:rsidP="00576F4C">
      <w:pPr>
        <w:spacing w:line="360" w:lineRule="auto"/>
        <w:jc w:val="both"/>
        <w:rPr>
          <w:rFonts w:ascii="Palatino Linotype" w:eastAsia="Palatino Linotype" w:hAnsi="Palatino Linotype" w:cs="Palatino Linotype"/>
          <w:sz w:val="22"/>
          <w:szCs w:val="22"/>
        </w:rPr>
      </w:pPr>
    </w:p>
    <w:p w14:paraId="2E602EB6" w14:textId="77777777" w:rsidR="00C53EC4" w:rsidRDefault="0035717E" w:rsidP="00576F4C">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tales motivos, se considera procedente entrar al fondo del presente asunto. </w:t>
      </w:r>
    </w:p>
    <w:p w14:paraId="3AECC399" w14:textId="77777777" w:rsidR="00C53EC4" w:rsidRDefault="00C53EC4" w:rsidP="00576F4C">
      <w:pPr>
        <w:tabs>
          <w:tab w:val="left" w:pos="4962"/>
        </w:tabs>
        <w:spacing w:line="360" w:lineRule="auto"/>
        <w:jc w:val="both"/>
        <w:rPr>
          <w:rFonts w:ascii="Palatino Linotype" w:eastAsia="Palatino Linotype" w:hAnsi="Palatino Linotype" w:cs="Palatino Linotype"/>
          <w:sz w:val="22"/>
          <w:szCs w:val="22"/>
        </w:rPr>
      </w:pPr>
    </w:p>
    <w:p w14:paraId="2818A95D" w14:textId="77777777" w:rsidR="00C53EC4" w:rsidRDefault="0035717E" w:rsidP="00576F4C">
      <w:pPr>
        <w:pStyle w:val="Ttulo2"/>
        <w:spacing w:before="0" w:after="0" w:line="360" w:lineRule="auto"/>
        <w:rPr>
          <w:rFonts w:ascii="Palatino Linotype" w:eastAsia="Palatino Linotype" w:hAnsi="Palatino Linotype" w:cs="Palatino Linotype"/>
          <w:b/>
          <w:color w:val="000000"/>
          <w:sz w:val="22"/>
          <w:szCs w:val="22"/>
        </w:rPr>
      </w:pPr>
      <w:bookmarkStart w:id="11" w:name="_heading=h.6uvmur8qaqqr" w:colFirst="0" w:colLast="0"/>
      <w:bookmarkEnd w:id="11"/>
      <w:r>
        <w:rPr>
          <w:rFonts w:ascii="Palatino Linotype" w:eastAsia="Palatino Linotype" w:hAnsi="Palatino Linotype" w:cs="Palatino Linotype"/>
          <w:b/>
          <w:color w:val="000000"/>
          <w:sz w:val="22"/>
          <w:szCs w:val="22"/>
        </w:rPr>
        <w:t>TERCERO. Determinación de la Controversia</w:t>
      </w:r>
    </w:p>
    <w:p w14:paraId="55261406" w14:textId="77777777" w:rsidR="00C53EC4" w:rsidRDefault="00C53EC4" w:rsidP="00576F4C">
      <w:pPr>
        <w:spacing w:line="360" w:lineRule="auto"/>
        <w:jc w:val="both"/>
        <w:rPr>
          <w:rFonts w:ascii="Palatino Linotype" w:eastAsia="Palatino Linotype" w:hAnsi="Palatino Linotype" w:cs="Palatino Linotype"/>
          <w:sz w:val="22"/>
          <w:szCs w:val="22"/>
        </w:rPr>
      </w:pPr>
    </w:p>
    <w:p w14:paraId="30DB0FB5" w14:textId="77777777" w:rsidR="00C53EC4" w:rsidRDefault="0035717E" w:rsidP="00576F4C">
      <w:pPr>
        <w:widowControl w:val="0"/>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Con el objeto de ilustrar la controversia planteada, resulta conveniente realizar un cuadro, con la solicitud de información, la respuesta, el agravio, y el informe justificado en los términos siguientes: </w:t>
      </w:r>
    </w:p>
    <w:p w14:paraId="5EF67150" w14:textId="77777777" w:rsidR="00C53EC4" w:rsidRDefault="00C53EC4" w:rsidP="00576F4C">
      <w:pPr>
        <w:tabs>
          <w:tab w:val="left" w:pos="4962"/>
        </w:tabs>
        <w:spacing w:line="360" w:lineRule="auto"/>
        <w:jc w:val="both"/>
        <w:rPr>
          <w:rFonts w:ascii="Palatino Linotype" w:eastAsia="Palatino Linotype" w:hAnsi="Palatino Linotype" w:cs="Palatino Linotype"/>
          <w:color w:val="000000"/>
          <w:sz w:val="18"/>
          <w:szCs w:val="18"/>
        </w:rPr>
      </w:pPr>
    </w:p>
    <w:tbl>
      <w:tblPr>
        <w:tblStyle w:val="a"/>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8"/>
        <w:gridCol w:w="2682"/>
        <w:gridCol w:w="2658"/>
      </w:tblGrid>
      <w:tr w:rsidR="00C53EC4" w14:paraId="0DC91F1E" w14:textId="77777777">
        <w:trPr>
          <w:jc w:val="center"/>
        </w:trPr>
        <w:tc>
          <w:tcPr>
            <w:tcW w:w="3488" w:type="dxa"/>
            <w:shd w:val="clear" w:color="auto" w:fill="D9D9D9"/>
          </w:tcPr>
          <w:p w14:paraId="2F65ECBF" w14:textId="77777777" w:rsidR="00C53EC4" w:rsidRDefault="0035717E" w:rsidP="00576F4C">
            <w:pPr>
              <w:tabs>
                <w:tab w:val="left" w:pos="4962"/>
              </w:tabs>
              <w:spacing w:line="360" w:lineRule="auto"/>
              <w:jc w:val="center"/>
              <w:rPr>
                <w:rFonts w:ascii="Palatino Linotype" w:eastAsia="Palatino Linotype" w:hAnsi="Palatino Linotype" w:cs="Palatino Linotype"/>
                <w:b/>
                <w:i/>
                <w:color w:val="000000"/>
              </w:rPr>
            </w:pPr>
            <w:bookmarkStart w:id="12" w:name="_heading=h.5hrkwrbn09ux" w:colFirst="0" w:colLast="0"/>
            <w:bookmarkEnd w:id="12"/>
            <w:r>
              <w:rPr>
                <w:rFonts w:ascii="Palatino Linotype" w:eastAsia="Palatino Linotype" w:hAnsi="Palatino Linotype" w:cs="Palatino Linotype"/>
                <w:b/>
                <w:i/>
                <w:color w:val="000000"/>
              </w:rPr>
              <w:t>Solicitud</w:t>
            </w:r>
          </w:p>
        </w:tc>
        <w:tc>
          <w:tcPr>
            <w:tcW w:w="2682" w:type="dxa"/>
            <w:shd w:val="clear" w:color="auto" w:fill="D9D9D9"/>
          </w:tcPr>
          <w:p w14:paraId="74381754" w14:textId="77777777" w:rsidR="00C53EC4" w:rsidRDefault="0035717E" w:rsidP="00576F4C">
            <w:pPr>
              <w:tabs>
                <w:tab w:val="left" w:pos="4962"/>
              </w:tabs>
              <w:spacing w:line="360" w:lineRule="auto"/>
              <w:jc w:val="center"/>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Respuesta</w:t>
            </w:r>
          </w:p>
        </w:tc>
        <w:tc>
          <w:tcPr>
            <w:tcW w:w="2658" w:type="dxa"/>
            <w:shd w:val="clear" w:color="auto" w:fill="D9D9D9"/>
          </w:tcPr>
          <w:p w14:paraId="26E3D758" w14:textId="77777777" w:rsidR="00C53EC4" w:rsidRDefault="0035717E" w:rsidP="00576F4C">
            <w:pPr>
              <w:tabs>
                <w:tab w:val="left" w:pos="4962"/>
              </w:tabs>
              <w:spacing w:line="360" w:lineRule="auto"/>
              <w:jc w:val="center"/>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Agravio </w:t>
            </w:r>
          </w:p>
        </w:tc>
      </w:tr>
      <w:tr w:rsidR="00C53EC4" w14:paraId="003FE545" w14:textId="77777777">
        <w:trPr>
          <w:jc w:val="center"/>
        </w:trPr>
        <w:tc>
          <w:tcPr>
            <w:tcW w:w="3488" w:type="dxa"/>
          </w:tcPr>
          <w:p w14:paraId="77BB74B2" w14:textId="77777777" w:rsidR="00C53EC4" w:rsidRDefault="0035717E" w:rsidP="00576F4C">
            <w:pPr>
              <w:spacing w:line="360" w:lineRule="auto"/>
              <w:jc w:val="both"/>
              <w:rPr>
                <w:rFonts w:ascii="Palatino Linotype" w:eastAsia="Palatino Linotype" w:hAnsi="Palatino Linotype" w:cs="Palatino Linotype"/>
              </w:rPr>
            </w:pPr>
            <w:bookmarkStart w:id="13" w:name="_heading=h.aogcqp9w6rmc" w:colFirst="0" w:colLast="0"/>
            <w:bookmarkEnd w:id="13"/>
            <w:r>
              <w:rPr>
                <w:rFonts w:ascii="Palatino Linotype" w:eastAsia="Palatino Linotype" w:hAnsi="Palatino Linotype" w:cs="Palatino Linotype"/>
              </w:rPr>
              <w:t>Respecto de la Segunda y Quinta Regidurías del Ayuntamiento de Toluca, del primero de enero al veintitrés de mayo de dos mil veinticinco, los documentos que dieran cuenta de lo siguiente:</w:t>
            </w:r>
          </w:p>
          <w:p w14:paraId="6D78D6B5" w14:textId="77777777" w:rsidR="00C53EC4" w:rsidRDefault="00C53EC4" w:rsidP="00576F4C">
            <w:pPr>
              <w:spacing w:line="360" w:lineRule="auto"/>
              <w:jc w:val="both"/>
              <w:rPr>
                <w:rFonts w:ascii="Palatino Linotype" w:eastAsia="Palatino Linotype" w:hAnsi="Palatino Linotype" w:cs="Palatino Linotype"/>
              </w:rPr>
            </w:pPr>
          </w:p>
          <w:p w14:paraId="4FD1DC4F" w14:textId="77777777" w:rsidR="00C53EC4" w:rsidRDefault="0035717E" w:rsidP="00576F4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i) Oficios firmados y enviados;</w:t>
            </w:r>
          </w:p>
          <w:p w14:paraId="40FD9499" w14:textId="77777777" w:rsidR="00C53EC4" w:rsidRDefault="00C53EC4" w:rsidP="00576F4C">
            <w:pPr>
              <w:spacing w:line="360" w:lineRule="auto"/>
              <w:jc w:val="both"/>
            </w:pPr>
          </w:p>
          <w:p w14:paraId="5B3A7983" w14:textId="77777777" w:rsidR="00C53EC4" w:rsidRDefault="00C53EC4" w:rsidP="00576F4C">
            <w:pPr>
              <w:spacing w:line="360" w:lineRule="auto"/>
              <w:jc w:val="both"/>
            </w:pPr>
          </w:p>
          <w:p w14:paraId="6D547ED0" w14:textId="77777777" w:rsidR="00C53EC4" w:rsidRDefault="00C53EC4" w:rsidP="00576F4C">
            <w:pPr>
              <w:spacing w:line="360" w:lineRule="auto"/>
              <w:jc w:val="both"/>
            </w:pPr>
          </w:p>
          <w:p w14:paraId="5D91E4CD" w14:textId="77777777" w:rsidR="00C53EC4" w:rsidRDefault="00C53EC4" w:rsidP="00576F4C">
            <w:pPr>
              <w:spacing w:line="360" w:lineRule="auto"/>
              <w:jc w:val="both"/>
            </w:pPr>
          </w:p>
          <w:p w14:paraId="41037466" w14:textId="77777777" w:rsidR="00C53EC4" w:rsidRDefault="00C53EC4" w:rsidP="00576F4C">
            <w:pPr>
              <w:spacing w:line="360" w:lineRule="auto"/>
              <w:jc w:val="both"/>
            </w:pPr>
          </w:p>
          <w:p w14:paraId="3C95446C" w14:textId="77777777" w:rsidR="00C53EC4" w:rsidRDefault="0035717E" w:rsidP="00576F4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ii) Respecto de las Comisiones en las que participan lo siguiente:</w:t>
            </w:r>
          </w:p>
          <w:p w14:paraId="456EB522" w14:textId="77777777" w:rsidR="00C53EC4" w:rsidRDefault="0035717E" w:rsidP="00576F4C">
            <w:pPr>
              <w:numPr>
                <w:ilvl w:val="0"/>
                <w:numId w:val="18"/>
              </w:numPr>
              <w:pBdr>
                <w:top w:val="nil"/>
                <w:left w:val="nil"/>
                <w:bottom w:val="nil"/>
                <w:right w:val="nil"/>
                <w:between w:val="nil"/>
              </w:pBdr>
              <w:spacing w:line="360" w:lineRule="auto"/>
              <w:ind w:left="64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Acta de sesión; </w:t>
            </w:r>
          </w:p>
          <w:p w14:paraId="4327A148" w14:textId="77777777" w:rsidR="00C53EC4" w:rsidRDefault="0035717E" w:rsidP="00576F4C">
            <w:pPr>
              <w:numPr>
                <w:ilvl w:val="0"/>
                <w:numId w:val="18"/>
              </w:numPr>
              <w:pBdr>
                <w:top w:val="nil"/>
                <w:left w:val="nil"/>
                <w:bottom w:val="nil"/>
                <w:right w:val="nil"/>
                <w:between w:val="nil"/>
              </w:pBdr>
              <w:spacing w:line="360" w:lineRule="auto"/>
              <w:ind w:left="64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Convocatoria;</w:t>
            </w:r>
          </w:p>
          <w:p w14:paraId="62632F61" w14:textId="77777777" w:rsidR="00C53EC4" w:rsidRDefault="0035717E" w:rsidP="00576F4C">
            <w:pPr>
              <w:numPr>
                <w:ilvl w:val="0"/>
                <w:numId w:val="18"/>
              </w:numPr>
              <w:pBdr>
                <w:top w:val="nil"/>
                <w:left w:val="nil"/>
                <w:bottom w:val="nil"/>
                <w:right w:val="nil"/>
                <w:between w:val="nil"/>
              </w:pBdr>
              <w:spacing w:line="360" w:lineRule="auto"/>
              <w:ind w:left="64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Acuerdos generados; y </w:t>
            </w:r>
          </w:p>
          <w:p w14:paraId="121D8F7B" w14:textId="77777777" w:rsidR="00C53EC4" w:rsidRDefault="0035717E" w:rsidP="00576F4C">
            <w:pPr>
              <w:numPr>
                <w:ilvl w:val="0"/>
                <w:numId w:val="18"/>
              </w:numPr>
              <w:pBdr>
                <w:top w:val="nil"/>
                <w:left w:val="nil"/>
                <w:bottom w:val="nil"/>
                <w:right w:val="nil"/>
                <w:between w:val="nil"/>
              </w:pBdr>
              <w:spacing w:line="360" w:lineRule="auto"/>
              <w:ind w:left="64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Seguimiento a los acuerdos;</w:t>
            </w:r>
          </w:p>
          <w:p w14:paraId="13162319" w14:textId="77777777" w:rsidR="00C53EC4" w:rsidRDefault="00C53EC4" w:rsidP="00576F4C">
            <w:pPr>
              <w:spacing w:line="360" w:lineRule="auto"/>
              <w:jc w:val="both"/>
              <w:rPr>
                <w:rFonts w:ascii="Palatino Linotype" w:eastAsia="Palatino Linotype" w:hAnsi="Palatino Linotype" w:cs="Palatino Linotype"/>
              </w:rPr>
            </w:pPr>
          </w:p>
          <w:p w14:paraId="534D3F83" w14:textId="77777777" w:rsidR="00C53EC4" w:rsidRDefault="0035717E" w:rsidP="00576F4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iii) Respecto del personal adscrito:</w:t>
            </w:r>
          </w:p>
          <w:p w14:paraId="558A5EBA" w14:textId="77777777" w:rsidR="00C53EC4" w:rsidRDefault="0035717E" w:rsidP="00576F4C">
            <w:pPr>
              <w:numPr>
                <w:ilvl w:val="0"/>
                <w:numId w:val="19"/>
              </w:numPr>
              <w:pBdr>
                <w:top w:val="nil"/>
                <w:left w:val="nil"/>
                <w:bottom w:val="nil"/>
                <w:right w:val="nil"/>
                <w:between w:val="nil"/>
              </w:pBdr>
              <w:spacing w:line="360" w:lineRule="auto"/>
              <w:ind w:left="64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Horario del personal adscrito;</w:t>
            </w:r>
          </w:p>
          <w:p w14:paraId="3860F31E" w14:textId="77777777" w:rsidR="00C53EC4" w:rsidRDefault="0035717E" w:rsidP="00576F4C">
            <w:pPr>
              <w:numPr>
                <w:ilvl w:val="0"/>
                <w:numId w:val="19"/>
              </w:numPr>
              <w:pBdr>
                <w:top w:val="nil"/>
                <w:left w:val="nil"/>
                <w:bottom w:val="nil"/>
                <w:right w:val="nil"/>
                <w:between w:val="nil"/>
              </w:pBdr>
              <w:spacing w:line="360" w:lineRule="auto"/>
              <w:ind w:left="64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Funciones;</w:t>
            </w:r>
          </w:p>
          <w:p w14:paraId="7A5B8ECD" w14:textId="77777777" w:rsidR="00C53EC4" w:rsidRDefault="0035717E" w:rsidP="00576F4C">
            <w:pPr>
              <w:numPr>
                <w:ilvl w:val="0"/>
                <w:numId w:val="19"/>
              </w:numPr>
              <w:pBdr>
                <w:top w:val="nil"/>
                <w:left w:val="nil"/>
                <w:bottom w:val="nil"/>
                <w:right w:val="nil"/>
                <w:between w:val="nil"/>
              </w:pBdr>
              <w:spacing w:line="360" w:lineRule="auto"/>
              <w:ind w:left="64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Currículum Vitae; y</w:t>
            </w:r>
          </w:p>
          <w:p w14:paraId="25824490" w14:textId="77777777" w:rsidR="00C53EC4" w:rsidRDefault="0035717E" w:rsidP="00576F4C">
            <w:pPr>
              <w:numPr>
                <w:ilvl w:val="0"/>
                <w:numId w:val="19"/>
              </w:numPr>
              <w:pBdr>
                <w:top w:val="nil"/>
                <w:left w:val="nil"/>
                <w:bottom w:val="nil"/>
                <w:right w:val="nil"/>
                <w:between w:val="nil"/>
              </w:pBdr>
              <w:spacing w:line="360" w:lineRule="auto"/>
              <w:ind w:left="64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Grado de estudios.</w:t>
            </w:r>
          </w:p>
        </w:tc>
        <w:tc>
          <w:tcPr>
            <w:tcW w:w="2682" w:type="dxa"/>
          </w:tcPr>
          <w:p w14:paraId="118D05FB" w14:textId="77777777" w:rsidR="00C53EC4" w:rsidRDefault="00C53EC4" w:rsidP="00576F4C">
            <w:pPr>
              <w:tabs>
                <w:tab w:val="left" w:pos="4962"/>
              </w:tabs>
              <w:spacing w:line="360" w:lineRule="auto"/>
              <w:jc w:val="both"/>
              <w:rPr>
                <w:rFonts w:ascii="Palatino Linotype" w:eastAsia="Palatino Linotype" w:hAnsi="Palatino Linotype" w:cs="Palatino Linotype"/>
                <w:color w:val="000000"/>
              </w:rPr>
            </w:pPr>
          </w:p>
          <w:p w14:paraId="6A2B3477" w14:textId="77777777" w:rsidR="00C53EC4" w:rsidRDefault="00C53EC4" w:rsidP="00576F4C">
            <w:pPr>
              <w:tabs>
                <w:tab w:val="left" w:pos="4962"/>
              </w:tabs>
              <w:spacing w:line="360" w:lineRule="auto"/>
              <w:jc w:val="both"/>
              <w:rPr>
                <w:rFonts w:ascii="Palatino Linotype" w:eastAsia="Palatino Linotype" w:hAnsi="Palatino Linotype" w:cs="Palatino Linotype"/>
                <w:color w:val="000000"/>
              </w:rPr>
            </w:pPr>
          </w:p>
          <w:p w14:paraId="1688A19C" w14:textId="77777777" w:rsidR="00C53EC4" w:rsidRDefault="00C53EC4" w:rsidP="00576F4C">
            <w:pPr>
              <w:tabs>
                <w:tab w:val="left" w:pos="4962"/>
              </w:tabs>
              <w:spacing w:line="360" w:lineRule="auto"/>
              <w:jc w:val="both"/>
              <w:rPr>
                <w:rFonts w:ascii="Palatino Linotype" w:eastAsia="Palatino Linotype" w:hAnsi="Palatino Linotype" w:cs="Palatino Linotype"/>
                <w:color w:val="000000"/>
              </w:rPr>
            </w:pPr>
          </w:p>
          <w:p w14:paraId="12AC9220" w14:textId="77777777" w:rsidR="00C53EC4" w:rsidRDefault="00C53EC4" w:rsidP="00576F4C">
            <w:pPr>
              <w:tabs>
                <w:tab w:val="left" w:pos="4962"/>
              </w:tabs>
              <w:spacing w:line="360" w:lineRule="auto"/>
              <w:jc w:val="both"/>
              <w:rPr>
                <w:rFonts w:ascii="Palatino Linotype" w:eastAsia="Palatino Linotype" w:hAnsi="Palatino Linotype" w:cs="Palatino Linotype"/>
                <w:color w:val="000000"/>
              </w:rPr>
            </w:pPr>
          </w:p>
          <w:p w14:paraId="016E8ECD" w14:textId="77777777" w:rsidR="00C53EC4" w:rsidRDefault="00C53EC4" w:rsidP="00576F4C">
            <w:pPr>
              <w:tabs>
                <w:tab w:val="left" w:pos="4962"/>
              </w:tabs>
              <w:spacing w:line="360" w:lineRule="auto"/>
              <w:jc w:val="both"/>
              <w:rPr>
                <w:rFonts w:ascii="Palatino Linotype" w:eastAsia="Palatino Linotype" w:hAnsi="Palatino Linotype" w:cs="Palatino Linotype"/>
                <w:color w:val="000000"/>
              </w:rPr>
            </w:pPr>
          </w:p>
          <w:p w14:paraId="0968F24B" w14:textId="77777777" w:rsidR="00C53EC4" w:rsidRDefault="00C53EC4" w:rsidP="00576F4C">
            <w:pPr>
              <w:tabs>
                <w:tab w:val="left" w:pos="4962"/>
              </w:tabs>
              <w:spacing w:line="360" w:lineRule="auto"/>
              <w:jc w:val="both"/>
              <w:rPr>
                <w:rFonts w:ascii="Palatino Linotype" w:eastAsia="Palatino Linotype" w:hAnsi="Palatino Linotype" w:cs="Palatino Linotype"/>
                <w:color w:val="000000"/>
              </w:rPr>
            </w:pPr>
          </w:p>
          <w:p w14:paraId="1A23D3FB" w14:textId="77777777" w:rsidR="00C53EC4" w:rsidRDefault="00C53EC4" w:rsidP="00576F4C">
            <w:pPr>
              <w:spacing w:line="360" w:lineRule="auto"/>
              <w:jc w:val="both"/>
              <w:rPr>
                <w:rFonts w:ascii="Palatino Linotype" w:eastAsia="Palatino Linotype" w:hAnsi="Palatino Linotype" w:cs="Palatino Linotype"/>
                <w:color w:val="000000"/>
              </w:rPr>
            </w:pPr>
          </w:p>
          <w:p w14:paraId="6B881404" w14:textId="77777777" w:rsidR="00C53EC4" w:rsidRDefault="0035717E" w:rsidP="00576F4C">
            <w:pPr>
              <w:tabs>
                <w:tab w:val="left" w:pos="4962"/>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Quinta regiduría proporcionó los oficios firmados y enviados de enero a mayo de dos mil veinticinco.</w:t>
            </w:r>
          </w:p>
          <w:p w14:paraId="5E74DF1D" w14:textId="77777777" w:rsidR="00C53EC4" w:rsidRDefault="00C53EC4" w:rsidP="00576F4C">
            <w:pPr>
              <w:tabs>
                <w:tab w:val="left" w:pos="4962"/>
              </w:tabs>
              <w:spacing w:line="360" w:lineRule="auto"/>
              <w:jc w:val="both"/>
              <w:rPr>
                <w:rFonts w:ascii="Palatino Linotype" w:eastAsia="Palatino Linotype" w:hAnsi="Palatino Linotype" w:cs="Palatino Linotype"/>
                <w:color w:val="000000"/>
              </w:rPr>
            </w:pPr>
          </w:p>
          <w:p w14:paraId="44A0554B" w14:textId="77777777" w:rsidR="00C53EC4" w:rsidRDefault="0035717E" w:rsidP="00576F4C">
            <w:pPr>
              <w:tabs>
                <w:tab w:val="left" w:pos="4962"/>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Quinta regiduría proporcionó tres actas de las comisiones en las que </w:t>
            </w:r>
            <w:r>
              <w:rPr>
                <w:rFonts w:ascii="Palatino Linotype" w:eastAsia="Palatino Linotype" w:hAnsi="Palatino Linotype" w:cs="Palatino Linotype"/>
                <w:color w:val="000000"/>
              </w:rPr>
              <w:lastRenderedPageBreak/>
              <w:t>participa en la que se advierten los acuerdos generados.</w:t>
            </w:r>
          </w:p>
          <w:p w14:paraId="55F4FE74" w14:textId="77777777" w:rsidR="00C53EC4" w:rsidRDefault="00C53EC4" w:rsidP="00576F4C">
            <w:pPr>
              <w:tabs>
                <w:tab w:val="left" w:pos="4962"/>
              </w:tabs>
              <w:spacing w:line="360" w:lineRule="auto"/>
              <w:jc w:val="both"/>
              <w:rPr>
                <w:rFonts w:ascii="Palatino Linotype" w:eastAsia="Palatino Linotype" w:hAnsi="Palatino Linotype" w:cs="Palatino Linotype"/>
                <w:color w:val="000000"/>
              </w:rPr>
            </w:pPr>
          </w:p>
          <w:p w14:paraId="32D28AAC" w14:textId="77777777" w:rsidR="00C53EC4" w:rsidRDefault="0035717E" w:rsidP="00576F4C">
            <w:pPr>
              <w:spacing w:line="360" w:lineRule="auto"/>
              <w:jc w:val="both"/>
            </w:pPr>
            <w:r>
              <w:rPr>
                <w:rFonts w:ascii="Palatino Linotype" w:eastAsia="Palatino Linotype" w:hAnsi="Palatino Linotype" w:cs="Palatino Linotype"/>
                <w:color w:val="000000"/>
              </w:rPr>
              <w:t>La Quinta regiduría informó que el horario de trabajo del personal era de 9:00am a 18:00horas, las funciones del personal eran administrativas.</w:t>
            </w:r>
          </w:p>
        </w:tc>
        <w:tc>
          <w:tcPr>
            <w:tcW w:w="2658" w:type="dxa"/>
          </w:tcPr>
          <w:p w14:paraId="521EBCDA" w14:textId="77777777" w:rsidR="00C53EC4" w:rsidRDefault="0035717E" w:rsidP="00576F4C">
            <w:pPr>
              <w:tabs>
                <w:tab w:val="left" w:pos="4962"/>
              </w:tabs>
              <w:spacing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color w:val="000000"/>
              </w:rPr>
              <w:lastRenderedPageBreak/>
              <w:t>El Recurrente se inconformó con la entrega de Información incompleta, lo cual actualiza la causal de procedencia establecida en el artículo 179, fracción V, de la Ley de la Materia.</w:t>
            </w:r>
          </w:p>
        </w:tc>
      </w:tr>
    </w:tbl>
    <w:p w14:paraId="2E4B3506" w14:textId="77777777" w:rsidR="00C53EC4" w:rsidRDefault="00C53EC4" w:rsidP="00576F4C">
      <w:pPr>
        <w:spacing w:line="360" w:lineRule="auto"/>
        <w:jc w:val="both"/>
        <w:rPr>
          <w:rFonts w:ascii="Palatino Linotype" w:eastAsia="Palatino Linotype" w:hAnsi="Palatino Linotype" w:cs="Palatino Linotype"/>
          <w:sz w:val="22"/>
          <w:szCs w:val="22"/>
        </w:rPr>
      </w:pPr>
    </w:p>
    <w:p w14:paraId="163E006C" w14:textId="77777777" w:rsidR="00C53EC4" w:rsidRDefault="0035717E" w:rsidP="00576F4C">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sz w:val="22"/>
          <w:szCs w:val="22"/>
        </w:rPr>
        <w:t xml:space="preserve">Lo anterior, se desprende de las documentales que obran en el expediente de referencia, materia de la presente resolución, consistentes en la solicitud de acceso a la información, la respuesta, el escrito recursal, y el informe justificado instrumentales que se toman en cuenta a efecto de resolver el presente medio de impugnación, conforme a lo dispuesto por el artículo 185, fracción IV, de la Ley de Transparencia y Acceso a la Información Pública del Estado de México y Municipios. </w:t>
      </w:r>
      <w:r>
        <w:rPr>
          <w:rFonts w:ascii="Palatino Linotype" w:eastAsia="Palatino Linotype" w:hAnsi="Palatino Linotype" w:cs="Palatino Linotype"/>
          <w:color w:val="0D0D0D"/>
          <w:sz w:val="22"/>
          <w:szCs w:val="22"/>
        </w:rPr>
        <w:t xml:space="preserve">Así las cosas, admitido y notificado el recurso de revisión a las partes el Sujeto Obligado ratificó su respuesta inicial. </w:t>
      </w:r>
      <w:r>
        <w:rPr>
          <w:rFonts w:ascii="Palatino Linotype" w:eastAsia="Palatino Linotype" w:hAnsi="Palatino Linotype" w:cs="Palatino Linotype"/>
          <w:b/>
          <w:sz w:val="22"/>
          <w:szCs w:val="22"/>
        </w:rPr>
        <w:t>Cabe señalar que el Particular fue omiso en realizar manifestaciones o alegatos.</w:t>
      </w:r>
    </w:p>
    <w:p w14:paraId="63A2FDE8" w14:textId="77777777" w:rsidR="00C53EC4" w:rsidRDefault="00C53EC4" w:rsidP="00576F4C">
      <w:pPr>
        <w:spacing w:line="360" w:lineRule="auto"/>
        <w:jc w:val="both"/>
        <w:rPr>
          <w:rFonts w:ascii="Palatino Linotype" w:eastAsia="Palatino Linotype" w:hAnsi="Palatino Linotype" w:cs="Palatino Linotype"/>
          <w:color w:val="000000"/>
          <w:sz w:val="22"/>
          <w:szCs w:val="22"/>
        </w:rPr>
      </w:pPr>
    </w:p>
    <w:p w14:paraId="7EF3A2D7" w14:textId="77777777" w:rsidR="00C53EC4" w:rsidRDefault="0035717E" w:rsidP="00576F4C">
      <w:pPr>
        <w:pStyle w:val="Ttulo2"/>
        <w:spacing w:before="0" w:after="0" w:line="360" w:lineRule="auto"/>
        <w:jc w:val="both"/>
        <w:rPr>
          <w:rFonts w:ascii="Palatino Linotype" w:eastAsia="Palatino Linotype" w:hAnsi="Palatino Linotype" w:cs="Palatino Linotype"/>
          <w:b/>
          <w:color w:val="000000"/>
          <w:sz w:val="22"/>
          <w:szCs w:val="22"/>
        </w:rPr>
      </w:pPr>
      <w:bookmarkStart w:id="14" w:name="_heading=h.tz2onlhtldtw" w:colFirst="0" w:colLast="0"/>
      <w:bookmarkEnd w:id="14"/>
      <w:r>
        <w:rPr>
          <w:rFonts w:ascii="Palatino Linotype" w:eastAsia="Palatino Linotype" w:hAnsi="Palatino Linotype" w:cs="Palatino Linotype"/>
          <w:b/>
          <w:color w:val="000000"/>
          <w:sz w:val="22"/>
          <w:szCs w:val="22"/>
        </w:rPr>
        <w:t>CUARTO. Marco normativo aplicable en materia de transparencia y acceso a la información pública</w:t>
      </w:r>
    </w:p>
    <w:p w14:paraId="63BB1215" w14:textId="77777777" w:rsidR="00C53EC4" w:rsidRDefault="00C53EC4" w:rsidP="00576F4C">
      <w:pPr>
        <w:widowControl w:val="0"/>
        <w:spacing w:line="360" w:lineRule="auto"/>
        <w:jc w:val="both"/>
        <w:rPr>
          <w:rFonts w:ascii="Palatino Linotype" w:eastAsia="Palatino Linotype" w:hAnsi="Palatino Linotype" w:cs="Palatino Linotype"/>
          <w:sz w:val="22"/>
          <w:szCs w:val="22"/>
        </w:rPr>
      </w:pPr>
    </w:p>
    <w:p w14:paraId="1AB192C3" w14:textId="77777777" w:rsidR="00C53EC4" w:rsidRDefault="0035717E" w:rsidP="00576F4C">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958023B" w14:textId="77777777" w:rsidR="00C53EC4" w:rsidRDefault="00C53EC4" w:rsidP="00576F4C">
      <w:pPr>
        <w:widowControl w:val="0"/>
        <w:spacing w:line="360" w:lineRule="auto"/>
        <w:jc w:val="both"/>
        <w:rPr>
          <w:rFonts w:ascii="Palatino Linotype" w:eastAsia="Palatino Linotype" w:hAnsi="Palatino Linotype" w:cs="Palatino Linotype"/>
          <w:sz w:val="22"/>
          <w:szCs w:val="22"/>
        </w:rPr>
      </w:pPr>
    </w:p>
    <w:p w14:paraId="305A5E89"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Por su parte, 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5E98417" w14:textId="77777777" w:rsidR="00C53EC4" w:rsidRDefault="00C53EC4" w:rsidP="00576F4C">
      <w:pPr>
        <w:widowControl w:val="0"/>
        <w:spacing w:line="360" w:lineRule="auto"/>
        <w:jc w:val="both"/>
        <w:rPr>
          <w:rFonts w:ascii="Palatino Linotype" w:eastAsia="Palatino Linotype" w:hAnsi="Palatino Linotype" w:cs="Palatino Linotype"/>
          <w:sz w:val="22"/>
          <w:szCs w:val="22"/>
        </w:rPr>
      </w:pPr>
    </w:p>
    <w:p w14:paraId="3A7D236C" w14:textId="77777777" w:rsidR="00C53EC4" w:rsidRDefault="0035717E" w:rsidP="00576F4C">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su parte, la Ley de Transparencia y Acceso a la Información Pública del Estado de México y Municipios (Reglamentaria del artículo 5° de la Constitución Local), establece lo siguiente:</w:t>
      </w:r>
    </w:p>
    <w:p w14:paraId="6DC4C17F" w14:textId="77777777" w:rsidR="00C53EC4" w:rsidRDefault="00C53EC4" w:rsidP="00576F4C">
      <w:pPr>
        <w:widowControl w:val="0"/>
        <w:spacing w:line="360" w:lineRule="auto"/>
        <w:jc w:val="both"/>
        <w:rPr>
          <w:rFonts w:ascii="Palatino Linotype" w:eastAsia="Palatino Linotype" w:hAnsi="Palatino Linotype" w:cs="Palatino Linotype"/>
          <w:sz w:val="22"/>
          <w:szCs w:val="22"/>
        </w:rPr>
      </w:pPr>
    </w:p>
    <w:p w14:paraId="3040081E" w14:textId="77777777" w:rsidR="00C53EC4" w:rsidRDefault="0035717E" w:rsidP="00576F4C">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12, que, quienes generen, recopilen, administren, manejen, procesen, archiven o conserven información pública serán responsables de la misma.</w:t>
      </w:r>
    </w:p>
    <w:p w14:paraId="23843ECB" w14:textId="77777777" w:rsidR="00C53EC4" w:rsidRDefault="00C53EC4" w:rsidP="00576F4C">
      <w:pPr>
        <w:widowControl w:val="0"/>
        <w:spacing w:line="360" w:lineRule="auto"/>
        <w:jc w:val="both"/>
        <w:rPr>
          <w:rFonts w:ascii="Palatino Linotype" w:eastAsia="Palatino Linotype" w:hAnsi="Palatino Linotype" w:cs="Palatino Linotype"/>
          <w:sz w:val="22"/>
          <w:szCs w:val="22"/>
        </w:rPr>
      </w:pPr>
    </w:p>
    <w:p w14:paraId="2369A7B2" w14:textId="77777777" w:rsidR="00C53EC4" w:rsidRDefault="0035717E" w:rsidP="00576F4C">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2753291D" w14:textId="77777777" w:rsidR="00C53EC4" w:rsidRDefault="00C53EC4" w:rsidP="00576F4C">
      <w:pPr>
        <w:widowControl w:val="0"/>
        <w:spacing w:line="360" w:lineRule="auto"/>
        <w:jc w:val="both"/>
        <w:rPr>
          <w:rFonts w:ascii="Palatino Linotype" w:eastAsia="Palatino Linotype" w:hAnsi="Palatino Linotype" w:cs="Palatino Linotype"/>
          <w:sz w:val="22"/>
          <w:szCs w:val="22"/>
        </w:rPr>
      </w:pPr>
    </w:p>
    <w:p w14:paraId="3C5D0205" w14:textId="77777777" w:rsidR="00C53EC4" w:rsidRDefault="0035717E" w:rsidP="00576F4C">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57235467" w14:textId="77777777" w:rsidR="00C53EC4" w:rsidRDefault="00C53EC4" w:rsidP="00576F4C">
      <w:pPr>
        <w:widowControl w:val="0"/>
        <w:spacing w:line="360" w:lineRule="auto"/>
        <w:jc w:val="both"/>
        <w:rPr>
          <w:rFonts w:ascii="Palatino Linotype" w:eastAsia="Palatino Linotype" w:hAnsi="Palatino Linotype" w:cs="Palatino Linotype"/>
          <w:sz w:val="22"/>
          <w:szCs w:val="22"/>
        </w:rPr>
      </w:pPr>
    </w:p>
    <w:p w14:paraId="0169E46A" w14:textId="77777777" w:rsidR="00C53EC4" w:rsidRDefault="0035717E" w:rsidP="00576F4C">
      <w:pPr>
        <w:pStyle w:val="Ttulo2"/>
        <w:spacing w:before="0" w:after="0" w:line="360" w:lineRule="auto"/>
        <w:rPr>
          <w:rFonts w:ascii="Palatino Linotype" w:eastAsia="Palatino Linotype" w:hAnsi="Palatino Linotype" w:cs="Palatino Linotype"/>
          <w:b/>
          <w:color w:val="000000"/>
          <w:sz w:val="22"/>
          <w:szCs w:val="22"/>
        </w:rPr>
      </w:pPr>
      <w:bookmarkStart w:id="15" w:name="_heading=h.6igtz0memmru" w:colFirst="0" w:colLast="0"/>
      <w:bookmarkEnd w:id="15"/>
      <w:r>
        <w:rPr>
          <w:rFonts w:ascii="Palatino Linotype" w:eastAsia="Palatino Linotype" w:hAnsi="Palatino Linotype" w:cs="Palatino Linotype"/>
          <w:b/>
          <w:color w:val="000000"/>
          <w:sz w:val="22"/>
          <w:szCs w:val="22"/>
        </w:rPr>
        <w:t>QUINTO. Estudio de Fondo</w:t>
      </w:r>
    </w:p>
    <w:p w14:paraId="566C66B0" w14:textId="77777777" w:rsidR="00C53EC4" w:rsidRDefault="00C53EC4" w:rsidP="00576F4C">
      <w:pPr>
        <w:spacing w:line="360" w:lineRule="auto"/>
        <w:jc w:val="both"/>
        <w:rPr>
          <w:rFonts w:ascii="Palatino Linotype" w:eastAsia="Palatino Linotype" w:hAnsi="Palatino Linotype" w:cs="Palatino Linotype"/>
          <w:b/>
          <w:sz w:val="22"/>
          <w:szCs w:val="22"/>
        </w:rPr>
      </w:pPr>
    </w:p>
    <w:p w14:paraId="7B229459" w14:textId="77777777" w:rsidR="000E32E5" w:rsidRDefault="000E32E5" w:rsidP="00576F4C">
      <w:pPr>
        <w:spacing w:line="360" w:lineRule="auto"/>
        <w:jc w:val="both"/>
        <w:rPr>
          <w:rFonts w:ascii="Palatino Linotype" w:eastAsia="Palatino Linotype" w:hAnsi="Palatino Linotype" w:cs="Palatino Linotype"/>
          <w:b/>
          <w:sz w:val="22"/>
          <w:szCs w:val="22"/>
        </w:rPr>
      </w:pPr>
    </w:p>
    <w:p w14:paraId="17AC3FEA" w14:textId="77777777" w:rsidR="00C53EC4" w:rsidRDefault="0035717E" w:rsidP="00576F4C">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Expuestas las posturas de las partes, se procede a realizar el análisis del agravio hecho valer por el ahora Recurrente, concerniente a la entrega de información incompleta por parte del Sujeto Obligado, por lo que en principio resulta necesario contextualizar la solicitud de información relacionada con la Segunda y Quinta Regidurías del Ayuntamiento de Toluca administración 2025-2027.</w:t>
      </w:r>
    </w:p>
    <w:p w14:paraId="461CA802" w14:textId="77777777" w:rsidR="00C53EC4" w:rsidRDefault="00C53EC4" w:rsidP="00576F4C">
      <w:pPr>
        <w:widowControl w:val="0"/>
        <w:spacing w:line="360" w:lineRule="auto"/>
        <w:jc w:val="both"/>
        <w:rPr>
          <w:rFonts w:ascii="Palatino Linotype" w:eastAsia="Palatino Linotype" w:hAnsi="Palatino Linotype" w:cs="Palatino Linotype"/>
          <w:sz w:val="22"/>
          <w:szCs w:val="22"/>
        </w:rPr>
      </w:pPr>
    </w:p>
    <w:p w14:paraId="546630D0" w14:textId="77777777" w:rsidR="00C53EC4" w:rsidRDefault="0035717E" w:rsidP="00576F4C">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principio, resulta necesario traer a estudio los artículos 89 y 90 del Bando Municipal de Toluca, dos mil veinticinco, en relación con los artículos 2.1, 2.2, 2.3, y 2.4 Bis del Código Reglamentario Municipal de Toluca, en los cuales se establece que el Ayuntamiento contará con un cuerpo colegiado denominado Ayuntamiento que se integrará por el presidente municipal, dos síndicos, y doce regidores.</w:t>
      </w:r>
    </w:p>
    <w:p w14:paraId="6F6B7E77" w14:textId="77777777" w:rsidR="00C53EC4" w:rsidRDefault="00C53EC4" w:rsidP="00576F4C">
      <w:pPr>
        <w:widowControl w:val="0"/>
        <w:spacing w:line="360" w:lineRule="auto"/>
        <w:jc w:val="both"/>
        <w:rPr>
          <w:rFonts w:ascii="Palatino Linotype" w:eastAsia="Palatino Linotype" w:hAnsi="Palatino Linotype" w:cs="Palatino Linotype"/>
          <w:sz w:val="22"/>
          <w:szCs w:val="22"/>
        </w:rPr>
      </w:pPr>
    </w:p>
    <w:p w14:paraId="09DF9272" w14:textId="77777777" w:rsidR="00C53EC4" w:rsidRDefault="0035717E" w:rsidP="00576F4C">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Las y los síndicos, las y los regidores, además de las atribuciones que les confiere la Ley Orgánica Municipal, contarán con las siguientes atribuciones:</w:t>
      </w:r>
    </w:p>
    <w:p w14:paraId="6101D297" w14:textId="77777777" w:rsidR="00C53EC4" w:rsidRDefault="00C53EC4" w:rsidP="00576F4C">
      <w:pPr>
        <w:widowControl w:val="0"/>
        <w:spacing w:line="360" w:lineRule="auto"/>
        <w:jc w:val="both"/>
        <w:rPr>
          <w:rFonts w:ascii="Palatino Linotype" w:eastAsia="Palatino Linotype" w:hAnsi="Palatino Linotype" w:cs="Palatino Linotype"/>
          <w:sz w:val="22"/>
          <w:szCs w:val="22"/>
        </w:rPr>
      </w:pPr>
    </w:p>
    <w:p w14:paraId="1DF8C705" w14:textId="77777777" w:rsidR="00C53EC4" w:rsidRDefault="0035717E" w:rsidP="00576F4C">
      <w:pPr>
        <w:widowControl w:val="0"/>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Asistir con puntualidad a las sesiones de Cabildo; </w:t>
      </w:r>
    </w:p>
    <w:p w14:paraId="6BF7CE53" w14:textId="77777777" w:rsidR="00C53EC4" w:rsidRDefault="0035717E" w:rsidP="00576F4C">
      <w:pPr>
        <w:widowControl w:val="0"/>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Formular, las propuestas que juzguen pertinentes; </w:t>
      </w:r>
    </w:p>
    <w:p w14:paraId="1CB3393F" w14:textId="77777777" w:rsidR="00C53EC4" w:rsidRDefault="0035717E" w:rsidP="00576F4C">
      <w:pPr>
        <w:widowControl w:val="0"/>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Cumplir oportunamente con las obligaciones y comisiones que les hayan sido encomendadas; </w:t>
      </w:r>
    </w:p>
    <w:p w14:paraId="22A7D95D" w14:textId="77777777" w:rsidR="00C53EC4" w:rsidRDefault="0035717E" w:rsidP="00576F4C">
      <w:pPr>
        <w:widowControl w:val="0"/>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Rendir por escrito, de manera trimestral, los informes de las actividades realizadas con motivo de sus comisiones y de las que les sean encomendadas por el Presidente Municipal; </w:t>
      </w:r>
    </w:p>
    <w:p w14:paraId="1C4A9676" w14:textId="77777777" w:rsidR="00C53EC4" w:rsidRDefault="0035717E" w:rsidP="00576F4C">
      <w:pPr>
        <w:widowControl w:val="0"/>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Fomentar la participación ciudadana en apoyo a los programas que implemente el Ayuntamiento; y </w:t>
      </w:r>
    </w:p>
    <w:p w14:paraId="747ADFE4" w14:textId="77777777" w:rsidR="00C53EC4" w:rsidRDefault="0035717E" w:rsidP="00576F4C">
      <w:pPr>
        <w:widowControl w:val="0"/>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Las demás que resulten procedentes, conforme a los ordenamientos jurídicos y acuerdos del Ayuntamiento.  </w:t>
      </w:r>
    </w:p>
    <w:p w14:paraId="05F12EA1"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En este contexto, resulta oportuno traer al estudio el Bando Municipal de Toluca, dos mil veinticinco, en el cual se logró localizar que el Ayuntamiento de Toluca Administración 2025-2027 se encuentra integrado conforme a lo siguiente:</w:t>
      </w:r>
    </w:p>
    <w:p w14:paraId="10967C1B" w14:textId="77777777" w:rsidR="00C53EC4" w:rsidRDefault="00C53EC4" w:rsidP="00576F4C">
      <w:pPr>
        <w:spacing w:line="360" w:lineRule="auto"/>
        <w:jc w:val="both"/>
        <w:rPr>
          <w:rFonts w:ascii="Palatino Linotype" w:eastAsia="Palatino Linotype" w:hAnsi="Palatino Linotype" w:cs="Palatino Linotype"/>
          <w:sz w:val="22"/>
          <w:szCs w:val="22"/>
        </w:rPr>
      </w:pPr>
    </w:p>
    <w:p w14:paraId="7823D253" w14:textId="77777777" w:rsidR="00C53EC4" w:rsidRDefault="0035717E" w:rsidP="00576F4C">
      <w:pPr>
        <w:numPr>
          <w:ilvl w:val="0"/>
          <w:numId w:val="1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Presidente Municipal Constitucional</w:t>
      </w:r>
      <w:r>
        <w:rPr>
          <w:rFonts w:ascii="Palatino Linotype" w:eastAsia="Palatino Linotype" w:hAnsi="Palatino Linotype" w:cs="Palatino Linotype"/>
          <w:color w:val="000000"/>
          <w:sz w:val="22"/>
          <w:szCs w:val="22"/>
        </w:rPr>
        <w:t xml:space="preserve"> (Ricardo Moreno Bastida);</w:t>
      </w:r>
    </w:p>
    <w:p w14:paraId="1148B50A" w14:textId="77777777" w:rsidR="00C53EC4" w:rsidRDefault="0035717E" w:rsidP="00576F4C">
      <w:pPr>
        <w:numPr>
          <w:ilvl w:val="0"/>
          <w:numId w:val="1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Primera Síndica</w:t>
      </w:r>
      <w:r>
        <w:rPr>
          <w:rFonts w:ascii="Palatino Linotype" w:eastAsia="Palatino Linotype" w:hAnsi="Palatino Linotype" w:cs="Palatino Linotype"/>
          <w:color w:val="000000"/>
          <w:sz w:val="22"/>
          <w:szCs w:val="22"/>
        </w:rPr>
        <w:t xml:space="preserve"> (Yazmín Nájera Romero);</w:t>
      </w:r>
    </w:p>
    <w:p w14:paraId="2D55EFEA" w14:textId="77777777" w:rsidR="00C53EC4" w:rsidRDefault="0035717E" w:rsidP="00576F4C">
      <w:pPr>
        <w:numPr>
          <w:ilvl w:val="0"/>
          <w:numId w:val="1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Segundo Síndico</w:t>
      </w:r>
      <w:r>
        <w:rPr>
          <w:rFonts w:ascii="Palatino Linotype" w:eastAsia="Palatino Linotype" w:hAnsi="Palatino Linotype" w:cs="Palatino Linotype"/>
          <w:color w:val="000000"/>
          <w:sz w:val="22"/>
          <w:szCs w:val="22"/>
        </w:rPr>
        <w:t xml:space="preserve"> (Jaime Amado López Gómez);</w:t>
      </w:r>
    </w:p>
    <w:p w14:paraId="54E1AF16" w14:textId="77777777" w:rsidR="00C53EC4" w:rsidRDefault="0035717E" w:rsidP="00576F4C">
      <w:pPr>
        <w:numPr>
          <w:ilvl w:val="0"/>
          <w:numId w:val="1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Primer Regidor</w:t>
      </w:r>
      <w:r>
        <w:rPr>
          <w:rFonts w:ascii="Palatino Linotype" w:eastAsia="Palatino Linotype" w:hAnsi="Palatino Linotype" w:cs="Palatino Linotype"/>
          <w:color w:val="000000"/>
          <w:sz w:val="22"/>
          <w:szCs w:val="22"/>
        </w:rPr>
        <w:t xml:space="preserve"> (Mario Magno Díaz);</w:t>
      </w:r>
    </w:p>
    <w:p w14:paraId="7106B8FA" w14:textId="77777777" w:rsidR="00C53EC4" w:rsidRDefault="0035717E" w:rsidP="00576F4C">
      <w:pPr>
        <w:numPr>
          <w:ilvl w:val="0"/>
          <w:numId w:val="1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Segunda Regidora</w:t>
      </w:r>
      <w:r>
        <w:rPr>
          <w:rFonts w:ascii="Palatino Linotype" w:eastAsia="Palatino Linotype" w:hAnsi="Palatino Linotype" w:cs="Palatino Linotype"/>
          <w:color w:val="000000"/>
          <w:sz w:val="22"/>
          <w:szCs w:val="22"/>
        </w:rPr>
        <w:t xml:space="preserve"> (Ana Victoria Pliego Tapia); </w:t>
      </w:r>
    </w:p>
    <w:p w14:paraId="29F354CB" w14:textId="77777777" w:rsidR="00C53EC4" w:rsidRDefault="0035717E" w:rsidP="00576F4C">
      <w:pPr>
        <w:numPr>
          <w:ilvl w:val="0"/>
          <w:numId w:val="1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Tercer Regidor</w:t>
      </w:r>
      <w:r>
        <w:rPr>
          <w:rFonts w:ascii="Palatino Linotype" w:eastAsia="Palatino Linotype" w:hAnsi="Palatino Linotype" w:cs="Palatino Linotype"/>
          <w:color w:val="000000"/>
          <w:sz w:val="22"/>
          <w:szCs w:val="22"/>
        </w:rPr>
        <w:t xml:space="preserve"> (Edgardo Rebollar Pérez);</w:t>
      </w:r>
    </w:p>
    <w:p w14:paraId="7708C0E4" w14:textId="77777777" w:rsidR="00C53EC4" w:rsidRDefault="0035717E" w:rsidP="00576F4C">
      <w:pPr>
        <w:numPr>
          <w:ilvl w:val="0"/>
          <w:numId w:val="1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Cuarta Regidora</w:t>
      </w:r>
      <w:r>
        <w:rPr>
          <w:rFonts w:ascii="Palatino Linotype" w:eastAsia="Palatino Linotype" w:hAnsi="Palatino Linotype" w:cs="Palatino Linotype"/>
          <w:color w:val="000000"/>
          <w:sz w:val="22"/>
          <w:szCs w:val="22"/>
        </w:rPr>
        <w:t xml:space="preserve"> (Belém Garay Garduño);</w:t>
      </w:r>
    </w:p>
    <w:p w14:paraId="25DCE02B" w14:textId="77777777" w:rsidR="00C53EC4" w:rsidRDefault="0035717E" w:rsidP="00576F4C">
      <w:pPr>
        <w:numPr>
          <w:ilvl w:val="0"/>
          <w:numId w:val="1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Quinto Regidor</w:t>
      </w:r>
      <w:r>
        <w:rPr>
          <w:rFonts w:ascii="Palatino Linotype" w:eastAsia="Palatino Linotype" w:hAnsi="Palatino Linotype" w:cs="Palatino Linotype"/>
          <w:color w:val="000000"/>
          <w:sz w:val="22"/>
          <w:szCs w:val="22"/>
        </w:rPr>
        <w:t xml:space="preserve"> (Víctor Armando Díaz Rodríguez);</w:t>
      </w:r>
    </w:p>
    <w:p w14:paraId="2590967B" w14:textId="77777777" w:rsidR="00C53EC4" w:rsidRDefault="0035717E" w:rsidP="00576F4C">
      <w:pPr>
        <w:numPr>
          <w:ilvl w:val="0"/>
          <w:numId w:val="1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Sexta Regidora</w:t>
      </w:r>
      <w:r>
        <w:rPr>
          <w:rFonts w:ascii="Palatino Linotype" w:eastAsia="Palatino Linotype" w:hAnsi="Palatino Linotype" w:cs="Palatino Linotype"/>
          <w:color w:val="000000"/>
          <w:sz w:val="22"/>
          <w:szCs w:val="22"/>
        </w:rPr>
        <w:t xml:space="preserve"> (Edna Viridiana Flores Santa Olalla);</w:t>
      </w:r>
    </w:p>
    <w:p w14:paraId="36E9C3C0" w14:textId="77777777" w:rsidR="00C53EC4" w:rsidRDefault="0035717E" w:rsidP="00576F4C">
      <w:pPr>
        <w:numPr>
          <w:ilvl w:val="0"/>
          <w:numId w:val="1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Séptima Regidora</w:t>
      </w:r>
      <w:r>
        <w:rPr>
          <w:rFonts w:ascii="Palatino Linotype" w:eastAsia="Palatino Linotype" w:hAnsi="Palatino Linotype" w:cs="Palatino Linotype"/>
          <w:color w:val="000000"/>
          <w:sz w:val="22"/>
          <w:szCs w:val="22"/>
        </w:rPr>
        <w:t xml:space="preserve"> (Clara Patricia Medel Díaz);</w:t>
      </w:r>
    </w:p>
    <w:p w14:paraId="41077923" w14:textId="77777777" w:rsidR="00C53EC4" w:rsidRDefault="0035717E" w:rsidP="00576F4C">
      <w:pPr>
        <w:numPr>
          <w:ilvl w:val="0"/>
          <w:numId w:val="1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Octava Regidora</w:t>
      </w:r>
      <w:r>
        <w:rPr>
          <w:rFonts w:ascii="Palatino Linotype" w:eastAsia="Palatino Linotype" w:hAnsi="Palatino Linotype" w:cs="Palatino Linotype"/>
          <w:color w:val="000000"/>
          <w:sz w:val="22"/>
          <w:szCs w:val="22"/>
        </w:rPr>
        <w:t xml:space="preserve"> (Shantall Zepeda Escobar);</w:t>
      </w:r>
    </w:p>
    <w:p w14:paraId="56BF0C21" w14:textId="77777777" w:rsidR="00C53EC4" w:rsidRDefault="0035717E" w:rsidP="00576F4C">
      <w:pPr>
        <w:numPr>
          <w:ilvl w:val="0"/>
          <w:numId w:val="1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Novena Regidora</w:t>
      </w:r>
      <w:r>
        <w:rPr>
          <w:rFonts w:ascii="Palatino Linotype" w:eastAsia="Palatino Linotype" w:hAnsi="Palatino Linotype" w:cs="Palatino Linotype"/>
          <w:color w:val="000000"/>
          <w:sz w:val="22"/>
          <w:szCs w:val="22"/>
        </w:rPr>
        <w:t xml:space="preserve"> (Araceli Mendoza Flores);</w:t>
      </w:r>
    </w:p>
    <w:p w14:paraId="7A4134B6" w14:textId="77777777" w:rsidR="00C53EC4" w:rsidRDefault="0035717E" w:rsidP="00576F4C">
      <w:pPr>
        <w:numPr>
          <w:ilvl w:val="0"/>
          <w:numId w:val="1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Décima Regidora</w:t>
      </w:r>
      <w:r>
        <w:rPr>
          <w:rFonts w:ascii="Palatino Linotype" w:eastAsia="Palatino Linotype" w:hAnsi="Palatino Linotype" w:cs="Palatino Linotype"/>
          <w:color w:val="000000"/>
          <w:sz w:val="22"/>
          <w:szCs w:val="22"/>
        </w:rPr>
        <w:t xml:space="preserve"> (Irma Carolina Álvarez Mendoza);</w:t>
      </w:r>
    </w:p>
    <w:p w14:paraId="32902B72" w14:textId="77777777" w:rsidR="00C53EC4" w:rsidRDefault="0035717E" w:rsidP="00576F4C">
      <w:pPr>
        <w:numPr>
          <w:ilvl w:val="0"/>
          <w:numId w:val="1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Décimo Primer Regidor</w:t>
      </w:r>
      <w:r>
        <w:rPr>
          <w:rFonts w:ascii="Palatino Linotype" w:eastAsia="Palatino Linotype" w:hAnsi="Palatino Linotype" w:cs="Palatino Linotype"/>
          <w:color w:val="000000"/>
          <w:sz w:val="22"/>
          <w:szCs w:val="22"/>
        </w:rPr>
        <w:t xml:space="preserve"> (Luis Felipe García Chávez); y</w:t>
      </w:r>
    </w:p>
    <w:p w14:paraId="5FDF7BAB" w14:textId="77777777" w:rsidR="00C53EC4" w:rsidRDefault="0035717E" w:rsidP="00576F4C">
      <w:pPr>
        <w:numPr>
          <w:ilvl w:val="0"/>
          <w:numId w:val="1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Décima Segunda Regidora</w:t>
      </w:r>
      <w:r>
        <w:rPr>
          <w:rFonts w:ascii="Palatino Linotype" w:eastAsia="Palatino Linotype" w:hAnsi="Palatino Linotype" w:cs="Palatino Linotype"/>
          <w:color w:val="000000"/>
          <w:sz w:val="22"/>
          <w:szCs w:val="22"/>
        </w:rPr>
        <w:t xml:space="preserve"> (Cristina Sierra Castillo).</w:t>
      </w:r>
    </w:p>
    <w:p w14:paraId="1B98455C" w14:textId="77777777" w:rsidR="00C53EC4" w:rsidRDefault="00C53EC4" w:rsidP="00576F4C">
      <w:pPr>
        <w:spacing w:line="360" w:lineRule="auto"/>
        <w:jc w:val="both"/>
        <w:rPr>
          <w:rFonts w:ascii="Palatino Linotype" w:eastAsia="Palatino Linotype" w:hAnsi="Palatino Linotype" w:cs="Palatino Linotype"/>
          <w:sz w:val="22"/>
          <w:szCs w:val="22"/>
        </w:rPr>
      </w:pPr>
    </w:p>
    <w:p w14:paraId="3BA9A606"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Conforme a lo anterior, se logra colegir que el Particular pretende acceder a diversa información respecto de la segunda y quinta regidurías, del primero de enero al veintitrés de mayo de dos mil veinticinco, relacionada con los documentos que dieran cuenta de lo siguiente: </w:t>
      </w:r>
    </w:p>
    <w:p w14:paraId="76531895" w14:textId="77777777" w:rsidR="00C53EC4" w:rsidRDefault="00C53EC4" w:rsidP="00576F4C">
      <w:pPr>
        <w:spacing w:line="360" w:lineRule="auto"/>
        <w:rPr>
          <w:rFonts w:ascii="Palatino Linotype" w:eastAsia="Palatino Linotype" w:hAnsi="Palatino Linotype" w:cs="Palatino Linotype"/>
          <w:sz w:val="22"/>
          <w:szCs w:val="22"/>
        </w:rPr>
      </w:pPr>
    </w:p>
    <w:p w14:paraId="6CE2F540" w14:textId="77777777" w:rsidR="00C53EC4" w:rsidRDefault="0035717E" w:rsidP="00576F4C">
      <w:pPr>
        <w:numPr>
          <w:ilvl w:val="0"/>
          <w:numId w:val="13"/>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Oficios firmados y enviados;</w:t>
      </w:r>
    </w:p>
    <w:p w14:paraId="59E79275" w14:textId="77777777" w:rsidR="00C53EC4" w:rsidRDefault="0035717E" w:rsidP="00576F4C">
      <w:pPr>
        <w:numPr>
          <w:ilvl w:val="0"/>
          <w:numId w:val="13"/>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Respecto de las Comisiones en las que participan lo siguiente:</w:t>
      </w:r>
    </w:p>
    <w:p w14:paraId="23EA763C" w14:textId="77777777" w:rsidR="00C53EC4" w:rsidRDefault="0035717E" w:rsidP="00576F4C">
      <w:pPr>
        <w:numPr>
          <w:ilvl w:val="0"/>
          <w:numId w:val="4"/>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Acta de sesión; </w:t>
      </w:r>
    </w:p>
    <w:p w14:paraId="74C6AC91" w14:textId="77777777" w:rsidR="00C53EC4" w:rsidRDefault="0035717E" w:rsidP="00576F4C">
      <w:pPr>
        <w:numPr>
          <w:ilvl w:val="0"/>
          <w:numId w:val="4"/>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Convocatoria;</w:t>
      </w:r>
    </w:p>
    <w:p w14:paraId="04D72F8A" w14:textId="77777777" w:rsidR="00C53EC4" w:rsidRDefault="0035717E" w:rsidP="00576F4C">
      <w:pPr>
        <w:numPr>
          <w:ilvl w:val="0"/>
          <w:numId w:val="4"/>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Acuerdos generados; y </w:t>
      </w:r>
    </w:p>
    <w:p w14:paraId="4E477429" w14:textId="77777777" w:rsidR="00C53EC4" w:rsidRDefault="0035717E" w:rsidP="00576F4C">
      <w:pPr>
        <w:numPr>
          <w:ilvl w:val="0"/>
          <w:numId w:val="4"/>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Seguimiento a los acuerdos.</w:t>
      </w:r>
    </w:p>
    <w:p w14:paraId="2640171F" w14:textId="77777777" w:rsidR="00C53EC4" w:rsidRDefault="0035717E" w:rsidP="00576F4C">
      <w:pPr>
        <w:numPr>
          <w:ilvl w:val="0"/>
          <w:numId w:val="13"/>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Respecto del personal adscrito:</w:t>
      </w:r>
    </w:p>
    <w:p w14:paraId="03C3CC05" w14:textId="77777777" w:rsidR="00C53EC4" w:rsidRDefault="0035717E" w:rsidP="00576F4C">
      <w:pPr>
        <w:numPr>
          <w:ilvl w:val="0"/>
          <w:numId w:val="5"/>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Horario del personal adscrito;</w:t>
      </w:r>
    </w:p>
    <w:p w14:paraId="0976816F" w14:textId="77777777" w:rsidR="00C53EC4" w:rsidRDefault="0035717E" w:rsidP="00576F4C">
      <w:pPr>
        <w:numPr>
          <w:ilvl w:val="0"/>
          <w:numId w:val="5"/>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Funciones;</w:t>
      </w:r>
    </w:p>
    <w:p w14:paraId="225039D8" w14:textId="77777777" w:rsidR="00C53EC4" w:rsidRDefault="0035717E" w:rsidP="00576F4C">
      <w:pPr>
        <w:numPr>
          <w:ilvl w:val="0"/>
          <w:numId w:val="5"/>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Currículum Vitae; y</w:t>
      </w:r>
    </w:p>
    <w:p w14:paraId="7AC7E7FC" w14:textId="77777777" w:rsidR="00C53EC4" w:rsidRDefault="0035717E" w:rsidP="00576F4C">
      <w:pPr>
        <w:numPr>
          <w:ilvl w:val="0"/>
          <w:numId w:val="5"/>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Grado de estudios.</w:t>
      </w:r>
    </w:p>
    <w:p w14:paraId="621BAA8D" w14:textId="77777777" w:rsidR="00C53EC4" w:rsidRDefault="00C53EC4" w:rsidP="00576F4C">
      <w:pPr>
        <w:pBdr>
          <w:top w:val="nil"/>
          <w:left w:val="nil"/>
          <w:bottom w:val="nil"/>
          <w:right w:val="nil"/>
          <w:between w:val="nil"/>
        </w:pBdr>
        <w:spacing w:line="360" w:lineRule="auto"/>
        <w:ind w:left="1080"/>
        <w:rPr>
          <w:rFonts w:ascii="Palatino Linotype" w:eastAsia="Palatino Linotype" w:hAnsi="Palatino Linotype" w:cs="Palatino Linotype"/>
          <w:color w:val="000000"/>
          <w:sz w:val="22"/>
          <w:szCs w:val="22"/>
        </w:rPr>
      </w:pPr>
    </w:p>
    <w:p w14:paraId="5A6AD4BD" w14:textId="77777777" w:rsidR="00C53EC4" w:rsidRDefault="0035717E" w:rsidP="00576F4C">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Así, de las constancias que obran en el expediente, se logra vislumbrar que el Sujeto Obligado turnó la solicitud de información a la Segunda y Quinta Regidurías, y a la Dirección General de Administración, por lo que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14:paraId="4F70379E" w14:textId="77777777" w:rsidR="00C53EC4" w:rsidRDefault="00C53EC4" w:rsidP="00576F4C">
      <w:pPr>
        <w:widowControl w:val="0"/>
        <w:spacing w:line="360" w:lineRule="auto"/>
        <w:jc w:val="both"/>
        <w:rPr>
          <w:rFonts w:ascii="Palatino Linotype" w:eastAsia="Palatino Linotype" w:hAnsi="Palatino Linotype" w:cs="Palatino Linotype"/>
          <w:sz w:val="22"/>
          <w:szCs w:val="22"/>
        </w:rPr>
      </w:pPr>
    </w:p>
    <w:p w14:paraId="1F1283E3" w14:textId="77777777" w:rsidR="00C53EC4" w:rsidRDefault="0035717E" w:rsidP="00576F4C">
      <w:pP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Así, resulta necesario traer al estudio los artículos </w:t>
      </w:r>
      <w:r>
        <w:rPr>
          <w:rFonts w:ascii="Palatino Linotype" w:eastAsia="Palatino Linotype" w:hAnsi="Palatino Linotype" w:cs="Palatino Linotype"/>
          <w:sz w:val="22"/>
          <w:szCs w:val="22"/>
        </w:rPr>
        <w:t>89 y 90 Fracción I numerales 1, 2, 3, y 6 del Bando Municipal de Toluca, dos mil veinticinco</w:t>
      </w:r>
      <w:r>
        <w:rPr>
          <w:rFonts w:ascii="Palatino Linotype" w:eastAsia="Palatino Linotype" w:hAnsi="Palatino Linotype" w:cs="Palatino Linotype"/>
          <w:color w:val="000000"/>
          <w:sz w:val="22"/>
          <w:szCs w:val="22"/>
        </w:rPr>
        <w:t xml:space="preserve">, en relación con los artículos 3.1, 3.2 fracción I numerales 1, 2, 3, y 6, artículos 3.11, </w:t>
      </w:r>
      <w:r>
        <w:rPr>
          <w:rFonts w:ascii="Palatino Linotype" w:eastAsia="Palatino Linotype" w:hAnsi="Palatino Linotype" w:cs="Palatino Linotype"/>
          <w:sz w:val="22"/>
          <w:szCs w:val="22"/>
        </w:rPr>
        <w:t>3.12, 3.19, 3.20, 3.25, 3.40 y 3.41 del Reglamento Orgánico Municipal de Toluca</w:t>
      </w:r>
      <w:r>
        <w:rPr>
          <w:rFonts w:ascii="Palatino Linotype" w:eastAsia="Palatino Linotype" w:hAnsi="Palatino Linotype" w:cs="Palatino Linotype"/>
          <w:color w:val="000000"/>
          <w:sz w:val="22"/>
          <w:szCs w:val="22"/>
        </w:rPr>
        <w:t xml:space="preserve">,  los cuales establecen, que el Sujeto Obligado para el ejercicio </w:t>
      </w:r>
      <w:r>
        <w:rPr>
          <w:rFonts w:ascii="Palatino Linotype" w:eastAsia="Palatino Linotype" w:hAnsi="Palatino Linotype" w:cs="Palatino Linotype"/>
          <w:color w:val="000000"/>
          <w:sz w:val="22"/>
          <w:szCs w:val="22"/>
        </w:rPr>
        <w:lastRenderedPageBreak/>
        <w:t xml:space="preserve">de sus funciones contará con diversas unidades administrativas para el ejercicio de sus atribuciones, entre otras las siguientes: </w:t>
      </w:r>
    </w:p>
    <w:p w14:paraId="245A6CFD" w14:textId="77777777" w:rsidR="00C53EC4" w:rsidRDefault="00C53EC4" w:rsidP="00576F4C">
      <w:pPr>
        <w:spacing w:line="360" w:lineRule="auto"/>
        <w:ind w:right="-28"/>
        <w:jc w:val="both"/>
        <w:rPr>
          <w:rFonts w:ascii="Palatino Linotype" w:eastAsia="Palatino Linotype" w:hAnsi="Palatino Linotype" w:cs="Palatino Linotype"/>
          <w:color w:val="000000"/>
          <w:sz w:val="22"/>
          <w:szCs w:val="22"/>
        </w:rPr>
      </w:pPr>
    </w:p>
    <w:p w14:paraId="3C13F15D" w14:textId="77777777" w:rsidR="00C53EC4" w:rsidRDefault="0035717E" w:rsidP="00576F4C">
      <w:pPr>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la Secretaría del Ayuntamiento, </w:t>
      </w:r>
      <w:r>
        <w:rPr>
          <w:rFonts w:ascii="Palatino Linotype" w:eastAsia="Palatino Linotype" w:hAnsi="Palatino Linotype" w:cs="Palatino Linotype"/>
          <w:color w:val="000000"/>
          <w:sz w:val="22"/>
          <w:szCs w:val="22"/>
        </w:rPr>
        <w:t>a quien le corresponderá el despacho de diversos asuntos, entre otros, los siguientes:</w:t>
      </w:r>
    </w:p>
    <w:p w14:paraId="641F5340" w14:textId="77777777" w:rsidR="00C53EC4" w:rsidRDefault="0035717E" w:rsidP="00576F4C">
      <w:pPr>
        <w:numPr>
          <w:ilvl w:val="0"/>
          <w:numId w:val="14"/>
        </w:numPr>
        <w:pBdr>
          <w:top w:val="nil"/>
          <w:left w:val="nil"/>
          <w:bottom w:val="nil"/>
          <w:right w:val="nil"/>
          <w:between w:val="nil"/>
        </w:pBdr>
        <w:spacing w:line="360" w:lineRule="auto"/>
        <w:ind w:left="109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Preparar y coordinar las sesiones de cabildo, teniendo bajo su resguardo los libros de actas y sus apéndices;</w:t>
      </w:r>
    </w:p>
    <w:p w14:paraId="20C9AF9E" w14:textId="77777777" w:rsidR="00C53EC4" w:rsidRDefault="0035717E" w:rsidP="00576F4C">
      <w:pPr>
        <w:numPr>
          <w:ilvl w:val="0"/>
          <w:numId w:val="14"/>
        </w:numPr>
        <w:pBdr>
          <w:top w:val="nil"/>
          <w:left w:val="nil"/>
          <w:bottom w:val="nil"/>
          <w:right w:val="nil"/>
          <w:between w:val="nil"/>
        </w:pBdr>
        <w:spacing w:line="360" w:lineRule="auto"/>
        <w:ind w:left="109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Entregar con oportunidad a los miembros del H. Ayuntamiento los dictámenes de las comisiones edilicias, los proyectos de actas y demás documentación necesaria para las sesiones;</w:t>
      </w:r>
    </w:p>
    <w:p w14:paraId="7463136B" w14:textId="77777777" w:rsidR="00C53EC4" w:rsidRDefault="0035717E" w:rsidP="00576F4C">
      <w:pPr>
        <w:numPr>
          <w:ilvl w:val="0"/>
          <w:numId w:val="14"/>
        </w:numPr>
        <w:pBdr>
          <w:top w:val="nil"/>
          <w:left w:val="nil"/>
          <w:bottom w:val="nil"/>
          <w:right w:val="nil"/>
          <w:between w:val="nil"/>
        </w:pBdr>
        <w:spacing w:line="360" w:lineRule="auto"/>
        <w:ind w:left="109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Asistir puntualmente a las sesiones que celebre el H. Ayuntamiento, para apoyar al presidente municipal en la celebración de las mismas;</w:t>
      </w:r>
    </w:p>
    <w:p w14:paraId="17ECD39A" w14:textId="77777777" w:rsidR="00C53EC4" w:rsidRDefault="0035717E" w:rsidP="00576F4C">
      <w:pPr>
        <w:numPr>
          <w:ilvl w:val="0"/>
          <w:numId w:val="14"/>
        </w:numPr>
        <w:pBdr>
          <w:top w:val="nil"/>
          <w:left w:val="nil"/>
          <w:bottom w:val="nil"/>
          <w:right w:val="nil"/>
          <w:between w:val="nil"/>
        </w:pBdr>
        <w:spacing w:line="360" w:lineRule="auto"/>
        <w:ind w:left="109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Pasar lista de asistencia a los integrantes del H. Ayuntamiento, en las sesiones de cabildo;</w:t>
      </w:r>
    </w:p>
    <w:p w14:paraId="737E8BCA" w14:textId="77777777" w:rsidR="00C53EC4" w:rsidRDefault="0035717E" w:rsidP="00576F4C">
      <w:pPr>
        <w:numPr>
          <w:ilvl w:val="0"/>
          <w:numId w:val="14"/>
        </w:numPr>
        <w:pBdr>
          <w:top w:val="nil"/>
          <w:left w:val="nil"/>
          <w:bottom w:val="nil"/>
          <w:right w:val="nil"/>
          <w:between w:val="nil"/>
        </w:pBdr>
        <w:spacing w:line="360" w:lineRule="auto"/>
        <w:ind w:left="109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Publicar las disposiciones que determine el H. Ayuntamiento y el presidente municipal, en la Gaceta Municipal;</w:t>
      </w:r>
    </w:p>
    <w:p w14:paraId="58C5C436" w14:textId="77777777" w:rsidR="00C53EC4" w:rsidRDefault="0035717E" w:rsidP="00576F4C">
      <w:pPr>
        <w:numPr>
          <w:ilvl w:val="0"/>
          <w:numId w:val="14"/>
        </w:numPr>
        <w:pBdr>
          <w:top w:val="nil"/>
          <w:left w:val="nil"/>
          <w:bottom w:val="nil"/>
          <w:right w:val="nil"/>
          <w:between w:val="nil"/>
        </w:pBdr>
        <w:spacing w:line="360" w:lineRule="auto"/>
        <w:ind w:left="109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Hacer cumplir las disposiciones en materia de transparencia, acceso a la información pública y protección de datos personales, de conformidad a la normatividad aplicable; y</w:t>
      </w:r>
    </w:p>
    <w:p w14:paraId="360520F6" w14:textId="77777777" w:rsidR="00C53EC4" w:rsidRDefault="0035717E" w:rsidP="00576F4C">
      <w:pPr>
        <w:numPr>
          <w:ilvl w:val="0"/>
          <w:numId w:val="14"/>
        </w:numPr>
        <w:pBdr>
          <w:top w:val="nil"/>
          <w:left w:val="nil"/>
          <w:bottom w:val="nil"/>
          <w:right w:val="nil"/>
          <w:between w:val="nil"/>
        </w:pBdr>
        <w:spacing w:line="360" w:lineRule="auto"/>
        <w:ind w:left="109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Impulsar acciones tendientes a la innovación y el desarrollo institucional en los procesos de la administración pública municipal.</w:t>
      </w:r>
    </w:p>
    <w:p w14:paraId="7DCE52EF" w14:textId="77777777" w:rsidR="00C53EC4" w:rsidRDefault="0035717E" w:rsidP="00576F4C">
      <w:pPr>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Dirección General de Administración; </w:t>
      </w:r>
      <w:r>
        <w:rPr>
          <w:rFonts w:ascii="Palatino Linotype" w:eastAsia="Palatino Linotype" w:hAnsi="Palatino Linotype" w:cs="Palatino Linotype"/>
          <w:color w:val="000000"/>
          <w:sz w:val="22"/>
          <w:szCs w:val="22"/>
        </w:rPr>
        <w:t xml:space="preserve">Que para el ejercicio de sus atribuciones contará con diversas unidades administrativas entre otras la </w:t>
      </w:r>
      <w:r>
        <w:rPr>
          <w:rFonts w:ascii="Palatino Linotype" w:eastAsia="Palatino Linotype" w:hAnsi="Palatino Linotype" w:cs="Palatino Linotype"/>
          <w:b/>
          <w:color w:val="000000"/>
          <w:sz w:val="22"/>
          <w:szCs w:val="22"/>
        </w:rPr>
        <w:t>Dirección de Recursos Humanos</w:t>
      </w:r>
      <w:r>
        <w:rPr>
          <w:rFonts w:ascii="Palatino Linotype" w:eastAsia="Palatino Linotype" w:hAnsi="Palatino Linotype" w:cs="Palatino Linotype"/>
          <w:color w:val="000000"/>
          <w:sz w:val="22"/>
          <w:szCs w:val="22"/>
        </w:rPr>
        <w:t xml:space="preserve"> encargada de planear, implementar, organizar, dirigir y controlar, conforme a las normas aplicables, los sistemas, procesos, </w:t>
      </w:r>
      <w:r>
        <w:rPr>
          <w:rFonts w:ascii="Palatino Linotype" w:eastAsia="Palatino Linotype" w:hAnsi="Palatino Linotype" w:cs="Palatino Linotype"/>
          <w:color w:val="000000"/>
          <w:sz w:val="22"/>
          <w:szCs w:val="22"/>
        </w:rPr>
        <w:lastRenderedPageBreak/>
        <w:t>procedimientos y mecanismos para la administración y desarrollo de los recursos humanos.</w:t>
      </w:r>
    </w:p>
    <w:p w14:paraId="6F50854B" w14:textId="77777777" w:rsidR="00C53EC4" w:rsidRDefault="00C53EC4" w:rsidP="00576F4C">
      <w:pPr>
        <w:pBdr>
          <w:top w:val="nil"/>
          <w:left w:val="nil"/>
          <w:bottom w:val="nil"/>
          <w:right w:val="nil"/>
          <w:between w:val="nil"/>
        </w:pBdr>
        <w:spacing w:line="360" w:lineRule="auto"/>
        <w:ind w:left="720" w:right="-28"/>
        <w:jc w:val="both"/>
        <w:rPr>
          <w:rFonts w:ascii="Palatino Linotype" w:eastAsia="Palatino Linotype" w:hAnsi="Palatino Linotype" w:cs="Palatino Linotype"/>
          <w:color w:val="000000"/>
          <w:sz w:val="22"/>
          <w:szCs w:val="22"/>
        </w:rPr>
      </w:pPr>
    </w:p>
    <w:p w14:paraId="7F1692CA"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logra observar que el Ayuntamiento de Toluca, si bien turnó la solicitud a la segunda, quinta regidurías y Dirección General de Administración, áreas competentes para conocer sobre lo peticionado, lo cierto es que omitió turnar la solicitud a la Secretaría del Ayuntamiento encargada de conservar las actas, acuerdos y todo lo relacionado con las sesiones de los integrantes del cabildo, por lo que se considera que cumplió con parte del procedimiento de búsqueda previamente establecido en el artículo 162 de la Ley de la materia.</w:t>
      </w:r>
    </w:p>
    <w:p w14:paraId="200A5C07" w14:textId="77777777" w:rsidR="00C53EC4" w:rsidRDefault="00C53EC4" w:rsidP="00576F4C">
      <w:pPr>
        <w:spacing w:line="360" w:lineRule="auto"/>
        <w:jc w:val="both"/>
        <w:rPr>
          <w:rFonts w:ascii="Palatino Linotype" w:eastAsia="Palatino Linotype" w:hAnsi="Palatino Linotype" w:cs="Palatino Linotype"/>
          <w:sz w:val="22"/>
          <w:szCs w:val="22"/>
        </w:rPr>
      </w:pPr>
    </w:p>
    <w:p w14:paraId="487929C5"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No obstante, se considera oportuno analizar la respuesta proporcionada por el Sujeto Obligado, a efecto de determinar si con la información remitida atiende la solicitud de información, o por el contrario procede ordenar lo conducente, circunstancia que se realiza conforme a lo siguiente:</w:t>
      </w:r>
    </w:p>
    <w:p w14:paraId="6B44515E" w14:textId="77777777" w:rsidR="00C53EC4" w:rsidRDefault="00C53EC4" w:rsidP="00576F4C">
      <w:pPr>
        <w:spacing w:line="360" w:lineRule="auto"/>
        <w:rPr>
          <w:rFonts w:ascii="Palatino Linotype" w:eastAsia="Palatino Linotype" w:hAnsi="Palatino Linotype" w:cs="Palatino Linotype"/>
          <w:b/>
          <w:sz w:val="22"/>
          <w:szCs w:val="22"/>
        </w:rPr>
      </w:pPr>
    </w:p>
    <w:p w14:paraId="36F26515" w14:textId="77777777" w:rsidR="00C53EC4" w:rsidRDefault="0035717E" w:rsidP="00576F4C">
      <w:pPr>
        <w:spacing w:line="360" w:lineRule="auto"/>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Oficios firmados y enviados</w:t>
      </w:r>
    </w:p>
    <w:p w14:paraId="0C1C99B1" w14:textId="77777777" w:rsidR="00C53EC4" w:rsidRDefault="00C53EC4" w:rsidP="00576F4C">
      <w:pPr>
        <w:spacing w:line="360" w:lineRule="auto"/>
        <w:rPr>
          <w:rFonts w:ascii="Palatino Linotype" w:eastAsia="Palatino Linotype" w:hAnsi="Palatino Linotype" w:cs="Palatino Linotype"/>
          <w:b/>
          <w:sz w:val="22"/>
          <w:szCs w:val="22"/>
        </w:rPr>
      </w:pPr>
    </w:p>
    <w:p w14:paraId="4040E495" w14:textId="77777777" w:rsidR="00C53EC4" w:rsidRDefault="0035717E" w:rsidP="00576F4C">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 xml:space="preserve">En principio, cabe precisar que de conformidad con los artículos 6°, apartado A, de la Constitución Política de los Estados Unidos Mexicanos, 5° de la Constitución Política del Estado Libre y Soberano de México, 4° de la Ley General de Transparencia y Acceso a la Información Pública y 4° de la Ley de Transparencia y Acceso a la Información Pública del Estado de México y Municipios, </w:t>
      </w:r>
      <w:r>
        <w:rPr>
          <w:rFonts w:ascii="Palatino Linotype" w:eastAsia="Palatino Linotype" w:hAnsi="Palatino Linotype" w:cs="Palatino Linotype"/>
          <w:b/>
          <w:sz w:val="22"/>
          <w:szCs w:val="22"/>
        </w:rPr>
        <w:t>toda la información generada, obtenida, adquirida, transformada o en posesión de los sujetos obligados es pública y accesible a cualquier persona.</w:t>
      </w:r>
    </w:p>
    <w:p w14:paraId="148DF455"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24E3304E"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En ese contexto, el artículo 18 de la Ley de Transparencia y Acceso a la Información Pública del Estado de México y Municipios, contempla que los sujetos obligados deberán documentar todo acto que derive del ejercicio de sus facultades, competencias o funciones.</w:t>
      </w:r>
    </w:p>
    <w:p w14:paraId="3AC0E87E"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15A4008B"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4FB59502"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042256A1"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 </w:t>
      </w:r>
    </w:p>
    <w:p w14:paraId="34621D5B"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330CEEBF"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contexto, los diversos 12 y 24 de dicho ordenamiento jurídico, prevén que, es deber de los Sujetos Obligados proporcionar la información pública que se les requiera siempre y cuando obre en sus archivos; lo cual no implica que tengan que procesar, generar, resumir, efectuar cálculos o practicar investigaciones a fin de satisfacer la pretensión de los solicitantes.</w:t>
      </w:r>
    </w:p>
    <w:p w14:paraId="122FE231" w14:textId="77777777" w:rsidR="00C53EC4" w:rsidRDefault="00C53EC4" w:rsidP="00576F4C">
      <w:pPr>
        <w:spacing w:line="360" w:lineRule="auto"/>
        <w:jc w:val="both"/>
        <w:rPr>
          <w:rFonts w:ascii="Palatino Linotype" w:eastAsia="Palatino Linotype" w:hAnsi="Palatino Linotype" w:cs="Palatino Linotype"/>
          <w:sz w:val="22"/>
          <w:szCs w:val="22"/>
        </w:rPr>
      </w:pPr>
    </w:p>
    <w:p w14:paraId="52052C3E"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Conforme a lo anterior, se logra colegir que el Particular pretende acceder a los oficios firmados y enviados por parte de los titulares de la segunda regiduría (Ana Victoria Pliego </w:t>
      </w:r>
      <w:r>
        <w:rPr>
          <w:rFonts w:ascii="Palatino Linotype" w:eastAsia="Palatino Linotype" w:hAnsi="Palatino Linotype" w:cs="Palatino Linotype"/>
          <w:sz w:val="22"/>
          <w:szCs w:val="22"/>
        </w:rPr>
        <w:lastRenderedPageBreak/>
        <w:t>Tapia), y quinta regiduría (Víctor Armando Díaz Rodríguez), del primero de enero al veintitrés de mayo de dos mil veinticinco.</w:t>
      </w:r>
    </w:p>
    <w:p w14:paraId="2B7F3A70" w14:textId="77777777" w:rsidR="00C53EC4" w:rsidRDefault="00C53EC4" w:rsidP="00576F4C">
      <w:pPr>
        <w:spacing w:line="360" w:lineRule="auto"/>
        <w:jc w:val="both"/>
        <w:rPr>
          <w:rFonts w:ascii="Palatino Linotype" w:eastAsia="Palatino Linotype" w:hAnsi="Palatino Linotype" w:cs="Palatino Linotype"/>
          <w:sz w:val="22"/>
          <w:szCs w:val="22"/>
        </w:rPr>
      </w:pPr>
    </w:p>
    <w:p w14:paraId="4AF1B474"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respuesta únicamente el quinto regidor proporcionó diversos oficios firmados y enviados de enero a mayo de dos mil veinticinco, no obstante, dicha información no puede ser validada en su totalidad en virtud de las siguientes consideraciones:</w:t>
      </w:r>
    </w:p>
    <w:p w14:paraId="35A490D8" w14:textId="77777777" w:rsidR="00C53EC4" w:rsidRDefault="00C53EC4" w:rsidP="00576F4C">
      <w:pPr>
        <w:spacing w:line="360" w:lineRule="auto"/>
        <w:jc w:val="both"/>
        <w:rPr>
          <w:rFonts w:ascii="Palatino Linotype" w:eastAsia="Palatino Linotype" w:hAnsi="Palatino Linotype" w:cs="Palatino Linotype"/>
          <w:sz w:val="22"/>
          <w:szCs w:val="22"/>
        </w:rPr>
      </w:pPr>
    </w:p>
    <w:p w14:paraId="05558BFC" w14:textId="77777777" w:rsidR="00C53EC4" w:rsidRDefault="0035717E" w:rsidP="00576F4C">
      <w:pPr>
        <w:numPr>
          <w:ilvl w:val="0"/>
          <w:numId w:val="2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Los folios de los oficios proporcionados no se encuentran de forma consecutiva ya que omitió la entrega a manera de ejemplo los folios siguientes QR/015/2025, QR/016/2025, QR/017/2025, QR/018/2025. </w:t>
      </w:r>
    </w:p>
    <w:p w14:paraId="3DE7EA09" w14:textId="77777777" w:rsidR="00C53EC4" w:rsidRDefault="0035717E" w:rsidP="00576F4C">
      <w:pPr>
        <w:numPr>
          <w:ilvl w:val="0"/>
          <w:numId w:val="2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No proporcionó todos los oficios generados en toda la temporalidad solicitada; </w:t>
      </w:r>
    </w:p>
    <w:p w14:paraId="050A2A8C" w14:textId="77777777" w:rsidR="00C53EC4" w:rsidRDefault="0035717E" w:rsidP="00576F4C">
      <w:pPr>
        <w:numPr>
          <w:ilvl w:val="0"/>
          <w:numId w:val="2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Omitió la entrega del acuerdo de clasificación que sustentara la versión pública de los oficios con folios siguientes QR/023/2025, QR/032/2025, QR/039/2025, QR/041/2025, y QR/153/2025; y</w:t>
      </w:r>
    </w:p>
    <w:p w14:paraId="720EF713" w14:textId="77777777" w:rsidR="00C53EC4" w:rsidRDefault="0035717E" w:rsidP="00576F4C">
      <w:pPr>
        <w:numPr>
          <w:ilvl w:val="0"/>
          <w:numId w:val="2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Se localizó información de carácter confidencial en diversos oficios. </w:t>
      </w:r>
    </w:p>
    <w:p w14:paraId="43299946" w14:textId="77777777" w:rsidR="00C53EC4" w:rsidRDefault="00C53EC4" w:rsidP="00576F4C">
      <w:pPr>
        <w:spacing w:line="360" w:lineRule="auto"/>
        <w:jc w:val="both"/>
        <w:rPr>
          <w:rFonts w:ascii="Palatino Linotype" w:eastAsia="Palatino Linotype" w:hAnsi="Palatino Linotype" w:cs="Palatino Linotype"/>
          <w:sz w:val="22"/>
          <w:szCs w:val="22"/>
        </w:rPr>
      </w:pPr>
    </w:p>
    <w:p w14:paraId="2DE9F88F"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considera que si bien, el Sujeto Obligado proporcionó diversos oficios firmados y enviados que daban cuenta de lo peticionado, lo cierto es que no procede validar en su totalidad la información, en virtud de que se encuentran incompletos y no corresponden con la temporalidad solicitada, sumado a que omitió la entrega del acuerdo de clasificación que sustentara la versión pública de diversos oficios, además de que proporcionó diversa información de carácter confidencial por lo que este Organismo Garante considera que deberá proporcionar los oficios faltantes, así como el acuerdo de clasificación que sustente las versiones públicas de los oficios previamente señalados.</w:t>
      </w:r>
    </w:p>
    <w:p w14:paraId="03F14F88" w14:textId="77777777" w:rsidR="00C53EC4" w:rsidRDefault="00C53EC4" w:rsidP="00576F4C">
      <w:pPr>
        <w:spacing w:line="360" w:lineRule="auto"/>
        <w:jc w:val="both"/>
        <w:rPr>
          <w:rFonts w:ascii="Palatino Linotype" w:eastAsia="Palatino Linotype" w:hAnsi="Palatino Linotype" w:cs="Palatino Linotype"/>
          <w:sz w:val="22"/>
          <w:szCs w:val="22"/>
        </w:rPr>
      </w:pPr>
    </w:p>
    <w:p w14:paraId="5B84D61E" w14:textId="77777777" w:rsidR="00C53EC4" w:rsidRDefault="0035717E" w:rsidP="00576F4C">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lastRenderedPageBreak/>
        <w:t>Acta de sesión; Convocatoria; Acuerdos generados; y Seguimiento a los acuerdos de las Comisiones en las que participan</w:t>
      </w:r>
    </w:p>
    <w:p w14:paraId="12172234" w14:textId="77777777" w:rsidR="00C53EC4" w:rsidRDefault="00C53EC4" w:rsidP="00576F4C">
      <w:pPr>
        <w:spacing w:line="360" w:lineRule="auto"/>
        <w:jc w:val="both"/>
        <w:rPr>
          <w:rFonts w:ascii="Palatino Linotype" w:eastAsia="Palatino Linotype" w:hAnsi="Palatino Linotype" w:cs="Palatino Linotype"/>
          <w:b/>
          <w:sz w:val="22"/>
          <w:szCs w:val="22"/>
        </w:rPr>
      </w:pPr>
    </w:p>
    <w:p w14:paraId="1C87EE8C"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Sobre el tema, resulta oportuno traer a estudio los artículos 27, 28, 29, 30 y 31 Bis de la Ley Orgánica Municipal del Estado de México, los cuales establecen que los Ayuntamientos deberán resolver colegiadamente los asuntos de su competencia, sesionarán en sesión ordinaria y extraordinaria en pleno de cabildo y mediante comisiones, las sesiones del Ayuntamiento serán presididas por el presidente municipal, o por quien lo sustituya, como parte de sus atribuciones, el Ayuntamiento contará con diversas funciones entre otras; designar entre sus miembros a los integrantes de las comisiones.</w:t>
      </w:r>
    </w:p>
    <w:p w14:paraId="25D7398B"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4CC74450"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este contexto los artículos 48, 55, y 91 fracción I de la Ley Orgánica previamente señalada establecen que la persona titular de la presidencia municipal tendrá el ejercicio de diversas atribuciones entre otras convocar a sesiones ordinarias y extraordinarias a los integrantes del Ayuntamiento, por su parte a los regidores les corresponderá entre otras atribuciones; Asistir puntualmente a las sesiones que celebre el Ayuntamiento, la secretaría del Ayuntamiento se encargará entre otras cosas de asistir a las sesiones y levantar las actas correspondientes. </w:t>
      </w:r>
    </w:p>
    <w:p w14:paraId="1394A175"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4802CAAA"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otro lado, los artículos 2.7, 2.8, 2.13 del Código Reglamentario de Toluca, dos mil veinticinco, establecen que las sesiones de Cabildo tendrán el carácter de ordinarias, extraordinarias, abiertas, juveniles o solemnes, para poder atender y en su caso resolver los asuntos de su competencia, funcionará en pleno y mediante comisiones, para instalar legalmente la sesión de Cabildo, sea en pleno o en comisiones, se requiere que hayan sido convocados todos los integrantes y que se encuentren la mayoría de sus miembros.</w:t>
      </w:r>
    </w:p>
    <w:p w14:paraId="2E25A856"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75B7B724"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Finalmente, los artículos 2.39 y 2.40 de la normatividad municipal señalada, establece que, para el eficaz desempeño de sus funciones, el Ayuntamiento se auxiliará de comisiones, que serán permanentes o transitorias, la integración de las comisiones permanentes se hará a más tardar en la tercera sesión ordinaria de Cabildo, a propuesta del Presidente Municipal y se conformarán de la siguiente forma:</w:t>
      </w:r>
    </w:p>
    <w:p w14:paraId="23F9E05B"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4420DBB3" w14:textId="77777777" w:rsidR="00C53EC4" w:rsidRDefault="0035717E" w:rsidP="00576F4C">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Comisiones edilicias permanentes:</w:t>
      </w:r>
    </w:p>
    <w:p w14:paraId="3B99374C" w14:textId="77777777" w:rsidR="00C53EC4" w:rsidRDefault="0035717E" w:rsidP="00576F4C">
      <w:pPr>
        <w:numPr>
          <w:ilvl w:val="0"/>
          <w:numId w:val="16"/>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Un(a) presidente(a), </w:t>
      </w:r>
    </w:p>
    <w:p w14:paraId="7FEB2D35" w14:textId="77777777" w:rsidR="00C53EC4" w:rsidRDefault="0035717E" w:rsidP="00576F4C">
      <w:pPr>
        <w:numPr>
          <w:ilvl w:val="0"/>
          <w:numId w:val="16"/>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Un(a) secretario(a); y </w:t>
      </w:r>
    </w:p>
    <w:p w14:paraId="7C3238D8" w14:textId="77777777" w:rsidR="00C53EC4" w:rsidRDefault="0035717E" w:rsidP="00576F4C">
      <w:pPr>
        <w:numPr>
          <w:ilvl w:val="0"/>
          <w:numId w:val="16"/>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Tres vocales. </w:t>
      </w:r>
    </w:p>
    <w:p w14:paraId="2DBBBA92" w14:textId="77777777" w:rsidR="00C53EC4" w:rsidRDefault="0035717E" w:rsidP="00576F4C">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Comisiones edilicias Transitorias:</w:t>
      </w:r>
    </w:p>
    <w:p w14:paraId="15F12F82" w14:textId="77777777" w:rsidR="00C53EC4" w:rsidRDefault="0035717E" w:rsidP="00576F4C">
      <w:pPr>
        <w:numPr>
          <w:ilvl w:val="0"/>
          <w:numId w:val="16"/>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Un(a) presidente(a), </w:t>
      </w:r>
    </w:p>
    <w:p w14:paraId="60B8581B" w14:textId="77777777" w:rsidR="00C53EC4" w:rsidRDefault="0035717E" w:rsidP="00576F4C">
      <w:pPr>
        <w:numPr>
          <w:ilvl w:val="0"/>
          <w:numId w:val="16"/>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Un(a) secretario(a); </w:t>
      </w:r>
    </w:p>
    <w:p w14:paraId="1B18E166" w14:textId="77777777" w:rsidR="00C53EC4" w:rsidRDefault="0035717E" w:rsidP="00576F4C">
      <w:pPr>
        <w:numPr>
          <w:ilvl w:val="0"/>
          <w:numId w:val="16"/>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Tres vocales; y</w:t>
      </w:r>
    </w:p>
    <w:p w14:paraId="248BB483" w14:textId="77777777" w:rsidR="00C53EC4" w:rsidRDefault="0035717E" w:rsidP="00576F4C">
      <w:pPr>
        <w:numPr>
          <w:ilvl w:val="0"/>
          <w:numId w:val="16"/>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Un Secretario Técnico, que será el titular de la Dependencia Municipal que tenga relación con el asunto que motivó a la integración de la comisión o en su caso la o él servidor público municipal que designe el Presidente Municipal.</w:t>
      </w:r>
    </w:p>
    <w:p w14:paraId="1E98D0BF"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678CE9FB"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el Ayuntamiento, serán comisiones permanentes las siguientes:</w:t>
      </w:r>
    </w:p>
    <w:p w14:paraId="23F91DAC" w14:textId="77777777" w:rsidR="00C53EC4" w:rsidRDefault="0035717E" w:rsidP="00576F4C">
      <w:pPr>
        <w:numPr>
          <w:ilvl w:val="0"/>
          <w:numId w:val="17"/>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Gobernación; </w:t>
      </w:r>
    </w:p>
    <w:p w14:paraId="26F42102" w14:textId="77777777" w:rsidR="00C53EC4" w:rsidRDefault="0035717E" w:rsidP="00576F4C">
      <w:pPr>
        <w:numPr>
          <w:ilvl w:val="0"/>
          <w:numId w:val="17"/>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Planeación para el desarrollo; </w:t>
      </w:r>
    </w:p>
    <w:p w14:paraId="7EA3152D" w14:textId="77777777" w:rsidR="00C53EC4" w:rsidRDefault="0035717E" w:rsidP="00576F4C">
      <w:pPr>
        <w:numPr>
          <w:ilvl w:val="0"/>
          <w:numId w:val="17"/>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Hacienda (Ingresos); </w:t>
      </w:r>
    </w:p>
    <w:p w14:paraId="51705C2D" w14:textId="77777777" w:rsidR="00C53EC4" w:rsidRDefault="0035717E" w:rsidP="00576F4C">
      <w:pPr>
        <w:numPr>
          <w:ilvl w:val="0"/>
          <w:numId w:val="17"/>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Hacienda (Egresos); </w:t>
      </w:r>
    </w:p>
    <w:p w14:paraId="5E8D1BDD" w14:textId="77777777" w:rsidR="00C53EC4" w:rsidRDefault="0035717E" w:rsidP="00576F4C">
      <w:pPr>
        <w:numPr>
          <w:ilvl w:val="0"/>
          <w:numId w:val="17"/>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Salud pública y población; </w:t>
      </w:r>
    </w:p>
    <w:p w14:paraId="6672CE3E" w14:textId="77777777" w:rsidR="00C53EC4" w:rsidRDefault="0035717E" w:rsidP="00576F4C">
      <w:pPr>
        <w:numPr>
          <w:ilvl w:val="0"/>
          <w:numId w:val="17"/>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Reglamentación Municipal; </w:t>
      </w:r>
    </w:p>
    <w:p w14:paraId="5D5EFC02" w14:textId="77777777" w:rsidR="00C53EC4" w:rsidRDefault="0035717E" w:rsidP="00576F4C">
      <w:pPr>
        <w:numPr>
          <w:ilvl w:val="0"/>
          <w:numId w:val="17"/>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Prevención y Atención de Conflictos Laborales; </w:t>
      </w:r>
    </w:p>
    <w:p w14:paraId="1FF6D09D" w14:textId="77777777" w:rsidR="00C53EC4" w:rsidRDefault="0035717E" w:rsidP="00576F4C">
      <w:pPr>
        <w:numPr>
          <w:ilvl w:val="0"/>
          <w:numId w:val="17"/>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Prevención Social de la Violencia y Delincuencia; </w:t>
      </w:r>
    </w:p>
    <w:p w14:paraId="5AADE27D" w14:textId="77777777" w:rsidR="00C53EC4" w:rsidRDefault="0035717E" w:rsidP="00576F4C">
      <w:pPr>
        <w:numPr>
          <w:ilvl w:val="0"/>
          <w:numId w:val="17"/>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Juventud, Deporte y Recreación; </w:t>
      </w:r>
    </w:p>
    <w:p w14:paraId="5BD6ABE0" w14:textId="77777777" w:rsidR="00C53EC4" w:rsidRDefault="0035717E" w:rsidP="00576F4C">
      <w:pPr>
        <w:numPr>
          <w:ilvl w:val="0"/>
          <w:numId w:val="17"/>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Cultura y Educación; </w:t>
      </w:r>
    </w:p>
    <w:p w14:paraId="558CA1BE" w14:textId="77777777" w:rsidR="00C53EC4" w:rsidRDefault="0035717E" w:rsidP="00576F4C">
      <w:pPr>
        <w:numPr>
          <w:ilvl w:val="0"/>
          <w:numId w:val="17"/>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Servicios Públicos (agua, alcantarillado, drenaje, panteones, alumbrado público); </w:t>
      </w:r>
    </w:p>
    <w:p w14:paraId="0F25C90C" w14:textId="77777777" w:rsidR="00C53EC4" w:rsidRDefault="0035717E" w:rsidP="00576F4C">
      <w:pPr>
        <w:numPr>
          <w:ilvl w:val="0"/>
          <w:numId w:val="17"/>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Medio Ambiente; </w:t>
      </w:r>
    </w:p>
    <w:p w14:paraId="379E8EBA" w14:textId="77777777" w:rsidR="00C53EC4" w:rsidRDefault="0035717E" w:rsidP="00576F4C">
      <w:pPr>
        <w:numPr>
          <w:ilvl w:val="0"/>
          <w:numId w:val="17"/>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Fomento Agropecuario y Forestal; </w:t>
      </w:r>
    </w:p>
    <w:p w14:paraId="58D64658" w14:textId="77777777" w:rsidR="00C53EC4" w:rsidRDefault="0035717E" w:rsidP="00576F4C">
      <w:pPr>
        <w:numPr>
          <w:ilvl w:val="0"/>
          <w:numId w:val="17"/>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Turismo; </w:t>
      </w:r>
    </w:p>
    <w:p w14:paraId="2F557077" w14:textId="77777777" w:rsidR="00C53EC4" w:rsidRDefault="0035717E" w:rsidP="00576F4C">
      <w:pPr>
        <w:numPr>
          <w:ilvl w:val="0"/>
          <w:numId w:val="17"/>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Asuntos indígenas; </w:t>
      </w:r>
    </w:p>
    <w:p w14:paraId="7BC85E8B" w14:textId="77777777" w:rsidR="00C53EC4" w:rsidRDefault="0035717E" w:rsidP="00576F4C">
      <w:pPr>
        <w:numPr>
          <w:ilvl w:val="0"/>
          <w:numId w:val="17"/>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Infraestructura e Inversión Pública; </w:t>
      </w:r>
    </w:p>
    <w:p w14:paraId="50DFE81E" w14:textId="77777777" w:rsidR="00C53EC4" w:rsidRDefault="0035717E" w:rsidP="00576F4C">
      <w:pPr>
        <w:numPr>
          <w:ilvl w:val="0"/>
          <w:numId w:val="17"/>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Seguridad Pública, Tránsito y Protección Civil; </w:t>
      </w:r>
    </w:p>
    <w:p w14:paraId="38D896D9" w14:textId="77777777" w:rsidR="00C53EC4" w:rsidRDefault="0035717E" w:rsidP="00576F4C">
      <w:pPr>
        <w:numPr>
          <w:ilvl w:val="0"/>
          <w:numId w:val="17"/>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Asuntos Internacionales y Apoyo al Migrante; </w:t>
      </w:r>
    </w:p>
    <w:p w14:paraId="681FD567" w14:textId="77777777" w:rsidR="00C53EC4" w:rsidRDefault="0035717E" w:rsidP="00576F4C">
      <w:pPr>
        <w:numPr>
          <w:ilvl w:val="0"/>
          <w:numId w:val="17"/>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Desarrollo Económico (mercados, tianguis, central de abastos, rastro); </w:t>
      </w:r>
    </w:p>
    <w:p w14:paraId="284AB0B4" w14:textId="77777777" w:rsidR="00C53EC4" w:rsidRDefault="0035717E" w:rsidP="00576F4C">
      <w:pPr>
        <w:numPr>
          <w:ilvl w:val="0"/>
          <w:numId w:val="17"/>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Protección e Inclusión a Personas con Discapacidad; </w:t>
      </w:r>
    </w:p>
    <w:p w14:paraId="5469AC87" w14:textId="77777777" w:rsidR="00C53EC4" w:rsidRDefault="0035717E" w:rsidP="00576F4C">
      <w:pPr>
        <w:numPr>
          <w:ilvl w:val="0"/>
          <w:numId w:val="17"/>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Atención al Adulto Mayor; </w:t>
      </w:r>
    </w:p>
    <w:p w14:paraId="750C874A" w14:textId="77777777" w:rsidR="00C53EC4" w:rsidRDefault="0035717E" w:rsidP="00576F4C">
      <w:pPr>
        <w:numPr>
          <w:ilvl w:val="0"/>
          <w:numId w:val="17"/>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Protección y Bienestar Animal; </w:t>
      </w:r>
    </w:p>
    <w:p w14:paraId="7CAF1053" w14:textId="77777777" w:rsidR="00C53EC4" w:rsidRDefault="0035717E" w:rsidP="00576F4C">
      <w:pPr>
        <w:numPr>
          <w:ilvl w:val="0"/>
          <w:numId w:val="17"/>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Límites Territoriales y Nomenclatura Municipal; </w:t>
      </w:r>
    </w:p>
    <w:p w14:paraId="63123676" w14:textId="77777777" w:rsidR="00C53EC4" w:rsidRDefault="0035717E" w:rsidP="00576F4C">
      <w:pPr>
        <w:numPr>
          <w:ilvl w:val="0"/>
          <w:numId w:val="17"/>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Movilidad; </w:t>
      </w:r>
    </w:p>
    <w:p w14:paraId="4CC045E0" w14:textId="77777777" w:rsidR="00C53EC4" w:rsidRDefault="0035717E" w:rsidP="00576F4C">
      <w:pPr>
        <w:numPr>
          <w:ilvl w:val="0"/>
          <w:numId w:val="17"/>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Comisión de atención a la violencia en contra de las mujeres; </w:t>
      </w:r>
    </w:p>
    <w:p w14:paraId="074589A1" w14:textId="77777777" w:rsidR="00C53EC4" w:rsidRDefault="0035717E" w:rsidP="00576F4C">
      <w:pPr>
        <w:numPr>
          <w:ilvl w:val="0"/>
          <w:numId w:val="17"/>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Derechos humanos; </w:t>
      </w:r>
    </w:p>
    <w:p w14:paraId="11BDA482" w14:textId="77777777" w:rsidR="00C53EC4" w:rsidRDefault="0035717E" w:rsidP="00576F4C">
      <w:pPr>
        <w:numPr>
          <w:ilvl w:val="0"/>
          <w:numId w:val="17"/>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Transparencia, Acceso a la Información Pública y Protección de Datos Personales; </w:t>
      </w:r>
    </w:p>
    <w:p w14:paraId="335CB97D" w14:textId="77777777" w:rsidR="00C53EC4" w:rsidRDefault="0035717E" w:rsidP="00576F4C">
      <w:pPr>
        <w:numPr>
          <w:ilvl w:val="0"/>
          <w:numId w:val="17"/>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Transversalidad de Género (equidad de género); </w:t>
      </w:r>
    </w:p>
    <w:p w14:paraId="0744B4F9" w14:textId="77777777" w:rsidR="00C53EC4" w:rsidRDefault="0035717E" w:rsidP="00576F4C">
      <w:pPr>
        <w:numPr>
          <w:ilvl w:val="0"/>
          <w:numId w:val="17"/>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Desarrollo Metropolitano; </w:t>
      </w:r>
    </w:p>
    <w:p w14:paraId="71DF6FA6" w14:textId="77777777" w:rsidR="00C53EC4" w:rsidRDefault="0035717E" w:rsidP="00576F4C">
      <w:pPr>
        <w:numPr>
          <w:ilvl w:val="0"/>
          <w:numId w:val="17"/>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Patrimonio Municipal;</w:t>
      </w:r>
    </w:p>
    <w:p w14:paraId="23CB202D" w14:textId="77777777" w:rsidR="00C53EC4" w:rsidRDefault="0035717E" w:rsidP="00576F4C">
      <w:pPr>
        <w:numPr>
          <w:ilvl w:val="0"/>
          <w:numId w:val="17"/>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Innovación y Desarrollo Tecnológico; </w:t>
      </w:r>
    </w:p>
    <w:p w14:paraId="429E3557" w14:textId="77777777" w:rsidR="00C53EC4" w:rsidRDefault="0035717E" w:rsidP="00576F4C">
      <w:pPr>
        <w:numPr>
          <w:ilvl w:val="0"/>
          <w:numId w:val="17"/>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Para el Seguimiento a la Implementación de la Agenda 2030 en Toluca; y</w:t>
      </w:r>
    </w:p>
    <w:p w14:paraId="4A712006" w14:textId="77777777" w:rsidR="00C53EC4" w:rsidRDefault="0035717E" w:rsidP="00576F4C">
      <w:pPr>
        <w:numPr>
          <w:ilvl w:val="0"/>
          <w:numId w:val="17"/>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Desarrollo social.</w:t>
      </w:r>
    </w:p>
    <w:p w14:paraId="70E662B7"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5165ECD5"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se localizó en la página oficial del Ayuntamiento de Toluca en el siguiente enlace </w:t>
      </w:r>
      <w:hyperlink r:id="rId8">
        <w:r>
          <w:rPr>
            <w:rFonts w:ascii="Palatino Linotype" w:eastAsia="Palatino Linotype" w:hAnsi="Palatino Linotype" w:cs="Palatino Linotype"/>
            <w:color w:val="0563C1"/>
            <w:sz w:val="22"/>
            <w:szCs w:val="22"/>
            <w:u w:val="single"/>
          </w:rPr>
          <w:t>https://www2.toluca.gob.mx/wp-content/uploads/2025/07/COMISIONES-EDILICIAS-2025.pdf</w:t>
        </w:r>
      </w:hyperlink>
      <w:r>
        <w:rPr>
          <w:rFonts w:ascii="Palatino Linotype" w:eastAsia="Palatino Linotype" w:hAnsi="Palatino Linotype" w:cs="Palatino Linotype"/>
          <w:sz w:val="22"/>
          <w:szCs w:val="22"/>
        </w:rPr>
        <w:t xml:space="preserve">, un documento con el Directorio de las Comisiones Edilicias de la administración 2025-2027, de las cuales se logra vislumbrar que se han instalado treinta y seis, en las que participa la segunda y quinta regidurías, tal como se muestra conforme a los siguientes extractos: </w:t>
      </w:r>
    </w:p>
    <w:p w14:paraId="4E3B8603" w14:textId="77777777" w:rsidR="00C53EC4" w:rsidRDefault="00C53EC4" w:rsidP="00576F4C">
      <w:pPr>
        <w:spacing w:line="360" w:lineRule="auto"/>
        <w:jc w:val="both"/>
        <w:rPr>
          <w:rFonts w:ascii="Palatino Linotype" w:eastAsia="Palatino Linotype" w:hAnsi="Palatino Linotype" w:cs="Palatino Linotype"/>
          <w:sz w:val="22"/>
          <w:szCs w:val="22"/>
        </w:rPr>
      </w:pPr>
    </w:p>
    <w:p w14:paraId="5C910ABD"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14:anchorId="6B466979" wp14:editId="0749273E">
            <wp:extent cx="5443346" cy="1841279"/>
            <wp:effectExtent l="0" t="0" r="0" b="0"/>
            <wp:docPr id="205032824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l="5806"/>
                    <a:stretch>
                      <a:fillRect/>
                    </a:stretch>
                  </pic:blipFill>
                  <pic:spPr>
                    <a:xfrm>
                      <a:off x="0" y="0"/>
                      <a:ext cx="5443346" cy="1841279"/>
                    </a:xfrm>
                    <a:prstGeom prst="rect">
                      <a:avLst/>
                    </a:prstGeom>
                    <a:ln/>
                  </pic:spPr>
                </pic:pic>
              </a:graphicData>
            </a:graphic>
          </wp:inline>
        </w:drawing>
      </w:r>
      <w:r>
        <w:rPr>
          <w:rFonts w:ascii="Palatino Linotype" w:eastAsia="Palatino Linotype" w:hAnsi="Palatino Linotype" w:cs="Palatino Linotype"/>
          <w:sz w:val="22"/>
          <w:szCs w:val="22"/>
        </w:rPr>
        <w:t xml:space="preserve"> </w:t>
      </w:r>
    </w:p>
    <w:p w14:paraId="4355D2D8" w14:textId="77777777" w:rsidR="00C53EC4" w:rsidRDefault="00C53EC4" w:rsidP="00576F4C">
      <w:pPr>
        <w:spacing w:line="360" w:lineRule="auto"/>
        <w:jc w:val="both"/>
        <w:rPr>
          <w:rFonts w:ascii="Palatino Linotype" w:eastAsia="Palatino Linotype" w:hAnsi="Palatino Linotype" w:cs="Palatino Linotype"/>
          <w:sz w:val="22"/>
          <w:szCs w:val="22"/>
        </w:rPr>
      </w:pPr>
    </w:p>
    <w:p w14:paraId="4E868EAC"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14:anchorId="1C7338BD" wp14:editId="0B545B84">
            <wp:extent cx="5452189" cy="1624611"/>
            <wp:effectExtent l="0" t="0" r="0" b="0"/>
            <wp:docPr id="20503282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6365"/>
                    <a:stretch>
                      <a:fillRect/>
                    </a:stretch>
                  </pic:blipFill>
                  <pic:spPr>
                    <a:xfrm>
                      <a:off x="0" y="0"/>
                      <a:ext cx="5452189" cy="1624611"/>
                    </a:xfrm>
                    <a:prstGeom prst="rect">
                      <a:avLst/>
                    </a:prstGeom>
                    <a:ln/>
                  </pic:spPr>
                </pic:pic>
              </a:graphicData>
            </a:graphic>
          </wp:inline>
        </w:drawing>
      </w:r>
    </w:p>
    <w:p w14:paraId="1B1C2D09"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22F86FDD" w14:textId="77777777" w:rsidR="00C53EC4" w:rsidRDefault="0035717E" w:rsidP="00576F4C">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 xml:space="preserve">Conforme a lo anterior, se logra colegir que el ahora Recurrente pretende acceder a los documentos que dieran cuenta de las Actas de sesión; Convocatorias; Acuerdos generados; </w:t>
      </w:r>
      <w:r>
        <w:rPr>
          <w:rFonts w:ascii="Palatino Linotype" w:eastAsia="Palatino Linotype" w:hAnsi="Palatino Linotype" w:cs="Palatino Linotype"/>
          <w:sz w:val="22"/>
          <w:szCs w:val="22"/>
        </w:rPr>
        <w:lastRenderedPageBreak/>
        <w:t>y Seguimiento a los acuerdos de las Comisiones edilicias permanentes y transitorias en las que participan la segunda y quinta regidurías, generadas del primero de enero al veintitrés de mayo de dos mil veinticinco.</w:t>
      </w:r>
    </w:p>
    <w:p w14:paraId="2FE8309A" w14:textId="77777777" w:rsidR="00C53EC4" w:rsidRDefault="00C53EC4" w:rsidP="00576F4C">
      <w:pPr>
        <w:spacing w:line="360" w:lineRule="auto"/>
        <w:jc w:val="both"/>
        <w:rPr>
          <w:rFonts w:ascii="Palatino Linotype" w:eastAsia="Palatino Linotype" w:hAnsi="Palatino Linotype" w:cs="Palatino Linotype"/>
          <w:b/>
          <w:sz w:val="22"/>
          <w:szCs w:val="22"/>
        </w:rPr>
      </w:pPr>
    </w:p>
    <w:p w14:paraId="799D4A13"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respuesta únicamente la quinta regiduría proporcionó las actas de las comisiones del Ayuntamiento de Toluca 2025-2027 siguientes:</w:t>
      </w:r>
    </w:p>
    <w:p w14:paraId="222FBBB5" w14:textId="77777777" w:rsidR="00C53EC4" w:rsidRDefault="00C53EC4" w:rsidP="00576F4C">
      <w:pPr>
        <w:spacing w:line="360" w:lineRule="auto"/>
        <w:jc w:val="both"/>
        <w:rPr>
          <w:rFonts w:ascii="Palatino Linotype" w:eastAsia="Palatino Linotype" w:hAnsi="Palatino Linotype" w:cs="Palatino Linotype"/>
          <w:sz w:val="22"/>
          <w:szCs w:val="22"/>
        </w:rPr>
      </w:pPr>
    </w:p>
    <w:p w14:paraId="1C40CB86" w14:textId="77777777" w:rsidR="00C53EC4" w:rsidRDefault="0035717E" w:rsidP="00576F4C">
      <w:pPr>
        <w:numPr>
          <w:ilvl w:val="0"/>
          <w:numId w:val="20"/>
        </w:numPr>
        <w:pBdr>
          <w:top w:val="nil"/>
          <w:left w:val="nil"/>
          <w:bottom w:val="nil"/>
          <w:right w:val="nil"/>
          <w:between w:val="nil"/>
        </w:pBdr>
        <w:tabs>
          <w:tab w:val="left" w:pos="4667"/>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Acta de la Primera Sesión Ordinaria de la Comisión de Asuntos Indígenas;</w:t>
      </w:r>
    </w:p>
    <w:p w14:paraId="7CCC9311" w14:textId="77777777" w:rsidR="00C53EC4" w:rsidRDefault="0035717E" w:rsidP="00576F4C">
      <w:pPr>
        <w:numPr>
          <w:ilvl w:val="0"/>
          <w:numId w:val="20"/>
        </w:numPr>
        <w:pBdr>
          <w:top w:val="nil"/>
          <w:left w:val="nil"/>
          <w:bottom w:val="nil"/>
          <w:right w:val="nil"/>
          <w:between w:val="nil"/>
        </w:pBdr>
        <w:tabs>
          <w:tab w:val="left" w:pos="4667"/>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Acta de Instalación de la Comisión edilicia de Asuntos Indígenas; y</w:t>
      </w:r>
    </w:p>
    <w:p w14:paraId="4F32E6A4" w14:textId="77777777" w:rsidR="00C53EC4" w:rsidRDefault="0035717E" w:rsidP="00576F4C">
      <w:pPr>
        <w:numPr>
          <w:ilvl w:val="0"/>
          <w:numId w:val="20"/>
        </w:numPr>
        <w:pBdr>
          <w:top w:val="nil"/>
          <w:left w:val="nil"/>
          <w:bottom w:val="nil"/>
          <w:right w:val="nil"/>
          <w:between w:val="nil"/>
        </w:pBdr>
        <w:tabs>
          <w:tab w:val="left" w:pos="4667"/>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Acta de la Sesión de Instalación de la Comisión edilicia de Protección e Inclusión a Personas con Discapacidad.</w:t>
      </w:r>
    </w:p>
    <w:p w14:paraId="6EC6F7F8" w14:textId="77777777" w:rsidR="00C53EC4" w:rsidRDefault="00C53EC4" w:rsidP="00576F4C">
      <w:pPr>
        <w:spacing w:line="360" w:lineRule="auto"/>
        <w:jc w:val="both"/>
        <w:rPr>
          <w:rFonts w:ascii="Palatino Linotype" w:eastAsia="Palatino Linotype" w:hAnsi="Palatino Linotype" w:cs="Palatino Linotype"/>
          <w:b/>
          <w:sz w:val="22"/>
          <w:szCs w:val="22"/>
        </w:rPr>
      </w:pPr>
    </w:p>
    <w:p w14:paraId="6223CF7D"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del análisis de la información remitida por parte de la quinta regiduría se logró advertir que dichas actas contienen los acuerdos generados, sin embargo, omitió la entrega de las convocatorias, así como del seguimiento de los acuerdos generados en las actas remitidas en respuesta. </w:t>
      </w:r>
    </w:p>
    <w:p w14:paraId="12DBEBEB" w14:textId="77777777" w:rsidR="00C53EC4" w:rsidRDefault="00C53EC4" w:rsidP="00576F4C">
      <w:pPr>
        <w:spacing w:line="360" w:lineRule="auto"/>
        <w:jc w:val="both"/>
        <w:rPr>
          <w:rFonts w:ascii="Palatino Linotype" w:eastAsia="Palatino Linotype" w:hAnsi="Palatino Linotype" w:cs="Palatino Linotype"/>
          <w:sz w:val="22"/>
          <w:szCs w:val="22"/>
        </w:rPr>
      </w:pPr>
    </w:p>
    <w:p w14:paraId="19F6535E"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logra colegir que si bien el Sujeto Obligado proporcionó las actas de sesión de tres comisiones permanentes que contenían los acuerdos generados, lo cierto es que omitió la entrega de las convocatorias y el seguimiento a los acuerdos generados, sumado a que proporcionó información de forma incompleta, omitiendo además la entrega de las comisiones transitorias, por lo que deberá proporcionar la información faltante de  las comisiones en las que participa la quinta regiduría, a efecto de dar cumplimiento a los artículos 12 y 160 de la Ley de la materia.</w:t>
      </w:r>
    </w:p>
    <w:p w14:paraId="19E8EB15" w14:textId="77777777" w:rsidR="00C53EC4" w:rsidRDefault="00C53EC4" w:rsidP="00576F4C">
      <w:pPr>
        <w:spacing w:line="360" w:lineRule="auto"/>
        <w:jc w:val="both"/>
        <w:rPr>
          <w:rFonts w:ascii="Palatino Linotype" w:eastAsia="Palatino Linotype" w:hAnsi="Palatino Linotype" w:cs="Palatino Linotype"/>
          <w:sz w:val="22"/>
          <w:szCs w:val="22"/>
        </w:rPr>
      </w:pPr>
    </w:p>
    <w:p w14:paraId="178F455F" w14:textId="77777777" w:rsidR="00C53EC4" w:rsidRDefault="0035717E" w:rsidP="00576F4C">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lastRenderedPageBreak/>
        <w:t>Horario; Funciones; Currículum Vitae; y Último grado de estudios del personal adscrito a la segunda y quinta regidurías</w:t>
      </w:r>
    </w:p>
    <w:p w14:paraId="6E64FE96" w14:textId="77777777" w:rsidR="00C53EC4" w:rsidRDefault="00C53EC4" w:rsidP="00576F4C">
      <w:pPr>
        <w:spacing w:line="360" w:lineRule="auto"/>
        <w:rPr>
          <w:rFonts w:ascii="Palatino Linotype" w:eastAsia="Palatino Linotype" w:hAnsi="Palatino Linotype" w:cs="Palatino Linotype"/>
          <w:b/>
          <w:sz w:val="22"/>
          <w:szCs w:val="22"/>
        </w:rPr>
      </w:pPr>
    </w:p>
    <w:p w14:paraId="3387BFB9" w14:textId="77777777" w:rsidR="00C53EC4" w:rsidRDefault="0035717E" w:rsidP="00576F4C">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Horario laboral</w:t>
      </w:r>
    </w:p>
    <w:p w14:paraId="79D2E02A" w14:textId="77777777" w:rsidR="00C53EC4" w:rsidRDefault="00C53EC4" w:rsidP="00576F4C">
      <w:pPr>
        <w:spacing w:line="360" w:lineRule="auto"/>
        <w:jc w:val="both"/>
        <w:rPr>
          <w:rFonts w:ascii="Palatino Linotype" w:eastAsia="Palatino Linotype" w:hAnsi="Palatino Linotype" w:cs="Palatino Linotype"/>
          <w:sz w:val="22"/>
          <w:szCs w:val="22"/>
        </w:rPr>
      </w:pPr>
    </w:p>
    <w:p w14:paraId="29EEA1CC"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Sobre el tema, cabe traer a colación el artículo 4°, fracción VI, de la Ley del Trabajo de los Servidores Públicos del Estado y Municipios, precisa que son </w:t>
      </w:r>
      <w:r>
        <w:rPr>
          <w:rFonts w:ascii="Palatino Linotype" w:eastAsia="Palatino Linotype" w:hAnsi="Palatino Linotype" w:cs="Palatino Linotype"/>
          <w:b/>
          <w:sz w:val="22"/>
          <w:szCs w:val="22"/>
        </w:rPr>
        <w:t>servidores públicos</w:t>
      </w:r>
      <w:r>
        <w:rPr>
          <w:rFonts w:ascii="Palatino Linotype" w:eastAsia="Palatino Linotype" w:hAnsi="Palatino Linotype" w:cs="Palatino Linotype"/>
          <w:sz w:val="22"/>
          <w:szCs w:val="22"/>
        </w:rPr>
        <w:t xml:space="preserve">, todas las personas físicas que preste a una institución pública un trabajo personal subordinado, mediante el pago de un sueldo. </w:t>
      </w:r>
    </w:p>
    <w:p w14:paraId="42C1D05F"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2063AE5F"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contexto, los artículos 59 y 84 de dicha normatividad, establece que la </w:t>
      </w:r>
      <w:r>
        <w:rPr>
          <w:rFonts w:ascii="Palatino Linotype" w:eastAsia="Palatino Linotype" w:hAnsi="Palatino Linotype" w:cs="Palatino Linotype"/>
          <w:b/>
          <w:sz w:val="22"/>
          <w:szCs w:val="22"/>
        </w:rPr>
        <w:t>jornada de trabajo, es el tiempo durante el cual la o el servidor público está a disposición del Ayuntamiento o Unidad Administrativa</w:t>
      </w:r>
      <w:r>
        <w:rPr>
          <w:rFonts w:ascii="Palatino Linotype" w:eastAsia="Palatino Linotype" w:hAnsi="Palatino Linotype" w:cs="Palatino Linotype"/>
          <w:sz w:val="22"/>
          <w:szCs w:val="22"/>
        </w:rPr>
        <w:t xml:space="preserve"> para prestar sus servicios, y el horario estará determinado en las condiciones generales de trabajo de conformidad con las necesidades de la institución o dependencia, así mismo se harán retenciones, descuentos o deducciones al sueldo, por faltas de puntualidad o de asistencia injustificada. </w:t>
      </w:r>
    </w:p>
    <w:p w14:paraId="2B252E88"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4C76DDD7" w14:textId="77777777" w:rsidR="00C53EC4" w:rsidRDefault="0035717E" w:rsidP="00576F4C">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 xml:space="preserve">Además, los artículos 88, fracción III, y 220 K de la Ley de referencia, estipula como </w:t>
      </w:r>
      <w:r>
        <w:rPr>
          <w:rFonts w:ascii="Palatino Linotype" w:eastAsia="Palatino Linotype" w:hAnsi="Palatino Linotype" w:cs="Palatino Linotype"/>
          <w:b/>
          <w:sz w:val="22"/>
          <w:szCs w:val="22"/>
        </w:rPr>
        <w:t>obligación de los servidores públicos asistir a sus labores y no faltar sin causa justificada o sin permiso</w:t>
      </w:r>
      <w:r>
        <w:rPr>
          <w:rFonts w:ascii="Palatino Linotype" w:eastAsia="Palatino Linotype" w:hAnsi="Palatino Linotype" w:cs="Palatino Linotype"/>
          <w:sz w:val="22"/>
          <w:szCs w:val="22"/>
        </w:rPr>
        <w:t xml:space="preserve">, por otro lado, las instituciones o dependencias tienen </w:t>
      </w:r>
      <w:r>
        <w:rPr>
          <w:rFonts w:ascii="Palatino Linotype" w:eastAsia="Palatino Linotype" w:hAnsi="Palatino Linotype" w:cs="Palatino Linotype"/>
          <w:b/>
          <w:sz w:val="22"/>
          <w:szCs w:val="22"/>
        </w:rPr>
        <w:t>la obligación de conservar y exhibir los controles de asistencia o la información electrónica de asistencia de los servidores públicos.</w:t>
      </w:r>
    </w:p>
    <w:p w14:paraId="0729510F"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571758A8"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logra vislumbrar, que la pretensión del Solicitante es obtener, los documentos en los que se advierta su horario laboral del personal adscrito a la segunda y quinta regidurías, del primero de enero al veintitrés de mayo de dos mil veinticinco.</w:t>
      </w:r>
    </w:p>
    <w:p w14:paraId="35B10551" w14:textId="77777777" w:rsidR="00C53EC4" w:rsidRDefault="00C53EC4" w:rsidP="00576F4C">
      <w:pPr>
        <w:spacing w:line="360" w:lineRule="auto"/>
        <w:jc w:val="both"/>
        <w:rPr>
          <w:rFonts w:ascii="Palatino Linotype" w:eastAsia="Palatino Linotype" w:hAnsi="Palatino Linotype" w:cs="Palatino Linotype"/>
          <w:sz w:val="22"/>
          <w:szCs w:val="22"/>
        </w:rPr>
      </w:pPr>
    </w:p>
    <w:p w14:paraId="6325B78F"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 respecto, únicamente la quinta regiduría informó que el personal adscrito a su área contaba con horario de 9am a 6pm, sin embargo, omitió la entrega de los documentos que dieran cuenta de lo peticionado, por lo que se considera que deberá proporcionar los documentos que acrediten el horario laboral del personal adscrito a la segunda y quinta regidurías, a efecto de dar cumplimiento a los artículos 12 y 160 de la Ley de Transparencia.</w:t>
      </w:r>
    </w:p>
    <w:p w14:paraId="38FFDF90" w14:textId="77777777" w:rsidR="00C53EC4" w:rsidRDefault="00C53EC4" w:rsidP="00576F4C">
      <w:pPr>
        <w:spacing w:line="360" w:lineRule="auto"/>
        <w:jc w:val="both"/>
        <w:rPr>
          <w:rFonts w:ascii="Palatino Linotype" w:eastAsia="Palatino Linotype" w:hAnsi="Palatino Linotype" w:cs="Palatino Linotype"/>
          <w:sz w:val="22"/>
          <w:szCs w:val="22"/>
        </w:rPr>
      </w:pPr>
    </w:p>
    <w:p w14:paraId="4B305F65" w14:textId="77777777" w:rsidR="00C53EC4" w:rsidRDefault="0035717E" w:rsidP="00576F4C">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Funciones</w:t>
      </w:r>
    </w:p>
    <w:p w14:paraId="19C8757E" w14:textId="77777777" w:rsidR="00C53EC4" w:rsidRDefault="00C53EC4" w:rsidP="00576F4C">
      <w:pPr>
        <w:spacing w:line="360" w:lineRule="auto"/>
        <w:jc w:val="both"/>
        <w:rPr>
          <w:rFonts w:ascii="Palatino Linotype" w:eastAsia="Palatino Linotype" w:hAnsi="Palatino Linotype" w:cs="Palatino Linotype"/>
          <w:sz w:val="22"/>
          <w:szCs w:val="22"/>
        </w:rPr>
      </w:pPr>
    </w:p>
    <w:p w14:paraId="3A502769"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Sobre el tema,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precisan que las facultades de los servidores públicos, corresponden a las aptitudes o potestades (actividades) que deben realizar para llevar a cabo actos administrativos o legales, de los cuales surgen derechos u obligaciones.</w:t>
      </w:r>
    </w:p>
    <w:p w14:paraId="3004A94F"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3DDFFE16"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orden de ideas, el artículo 70, fracción III, de la Ley General de Transparencia y Acceso a la Información Pública, con relación al 92, fracción III, de la Ley de Transparencia y Acceso a la Información Pública del Estado de México y Municipios, precisa que es una obligación común de transparencia que deben publicar todos los Sujetos Obligados, son las facultades de cada área.</w:t>
      </w:r>
    </w:p>
    <w:p w14:paraId="55236948"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4A8AE073"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Conforme a lo anterior, se logra vislumbrar que las actividades que deben realizar las unidades administrativas o servidores públicos, son sus funciones o atribuciones establecidas en los ordenamientos jurídicos aplicables; así, se logra vislumbrar que la </w:t>
      </w:r>
      <w:r>
        <w:rPr>
          <w:rFonts w:ascii="Palatino Linotype" w:eastAsia="Palatino Linotype" w:hAnsi="Palatino Linotype" w:cs="Palatino Linotype"/>
          <w:sz w:val="22"/>
          <w:szCs w:val="22"/>
        </w:rPr>
        <w:lastRenderedPageBreak/>
        <w:t xml:space="preserve">pretensión del ahora Recurrente, es obtener el documento que dé cuenta de las funciones realizadas por el personal adscrito a la segunda y quinta regidurías, del primero de enero al veintitrés de mayo de dos mil veinticinco. </w:t>
      </w:r>
    </w:p>
    <w:p w14:paraId="4CD167D4" w14:textId="77777777" w:rsidR="00C53EC4" w:rsidRDefault="00C53EC4" w:rsidP="00576F4C">
      <w:pPr>
        <w:spacing w:line="360" w:lineRule="auto"/>
        <w:jc w:val="both"/>
        <w:rPr>
          <w:rFonts w:ascii="Palatino Linotype" w:eastAsia="Palatino Linotype" w:hAnsi="Palatino Linotype" w:cs="Palatino Linotype"/>
          <w:sz w:val="22"/>
          <w:szCs w:val="22"/>
        </w:rPr>
      </w:pPr>
    </w:p>
    <w:p w14:paraId="188917DE"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 respecto, únicamente la quinta regiduría informó que el personal adscrito a su área contaba con horario de 9am a 6pm, sin embargo, omitió la entrega de los documentos que dieran cuenta de lo peticionado, por lo que se considera que deberá proporcionar los documentos que acrediten las funciones del personal adscrito a la quinta regiduría, a efecto de dar cumplimiento a los artículos 12 y 160 de la Ley de Transparencia</w:t>
      </w:r>
    </w:p>
    <w:p w14:paraId="5E65700C" w14:textId="77777777" w:rsidR="00C53EC4" w:rsidRDefault="00C53EC4" w:rsidP="00576F4C">
      <w:pPr>
        <w:spacing w:line="360" w:lineRule="auto"/>
        <w:jc w:val="both"/>
        <w:rPr>
          <w:rFonts w:ascii="Palatino Linotype" w:eastAsia="Palatino Linotype" w:hAnsi="Palatino Linotype" w:cs="Palatino Linotype"/>
          <w:sz w:val="22"/>
          <w:szCs w:val="22"/>
        </w:rPr>
      </w:pPr>
    </w:p>
    <w:p w14:paraId="74885260" w14:textId="77777777" w:rsidR="00C53EC4" w:rsidRDefault="0035717E" w:rsidP="00576F4C">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Currículum Vitae</w:t>
      </w:r>
    </w:p>
    <w:p w14:paraId="2CCD1ACC" w14:textId="77777777" w:rsidR="00C53EC4" w:rsidRDefault="00C53EC4" w:rsidP="00576F4C">
      <w:pPr>
        <w:spacing w:line="360" w:lineRule="auto"/>
        <w:jc w:val="both"/>
        <w:rPr>
          <w:rFonts w:ascii="Palatino Linotype" w:eastAsia="Palatino Linotype" w:hAnsi="Palatino Linotype" w:cs="Palatino Linotype"/>
          <w:b/>
          <w:sz w:val="22"/>
          <w:szCs w:val="22"/>
        </w:rPr>
      </w:pPr>
    </w:p>
    <w:p w14:paraId="5389C991"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 respecto, es necesario señalar que, el documento donde consta la información curricular de una persona, corresponde aquel que las personas elaboran con los datos de identificación y contacto, preparación académica y experiencia profesional, para presentarse ante un posible empleador. Por lo que, dicho documento da cuenta de la preparación académica y la experiencia laboral, lo cual permite identificar el nivel de conocimientos de su titular, así como, su perfil profesional o laboral.</w:t>
      </w:r>
    </w:p>
    <w:p w14:paraId="6806A820"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626CB568"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sentido, si bien el currículum, se trata de aquel elaborado por cada persona, sin ninguna validez oficial, también lo es, que tiene por objetivo que las personas puedan conocer la trayectoria de quién lo presenta; por lo que, existe un interés público para dar a conocer dicha información, pues transparenta que el personal que labora para el Sujeto Obligado cuenta con las capacidades, conocimientos y experiencia necesaria para cumplir con sus funciones.</w:t>
      </w:r>
    </w:p>
    <w:p w14:paraId="7F783231"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412A72B8"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Lo anterior, se robustece con la fracción XXI, del artículo 92 de la Ley de Transparencia y Acceso a la Información Pública del Estado de México y Municipios, que establece que la </w:t>
      </w:r>
      <w:r>
        <w:rPr>
          <w:rFonts w:ascii="Palatino Linotype" w:eastAsia="Palatino Linotype" w:hAnsi="Palatino Linotype" w:cs="Palatino Linotype"/>
          <w:b/>
          <w:sz w:val="22"/>
          <w:szCs w:val="22"/>
        </w:rPr>
        <w:t>información curricular</w:t>
      </w:r>
      <w:r>
        <w:rPr>
          <w:rFonts w:ascii="Palatino Linotype" w:eastAsia="Palatino Linotype" w:hAnsi="Palatino Linotype" w:cs="Palatino Linotype"/>
          <w:sz w:val="22"/>
          <w:szCs w:val="22"/>
        </w:rPr>
        <w:t xml:space="preserve"> es información que deben de poner a disposición del público los sujetos obligados.</w:t>
      </w:r>
    </w:p>
    <w:p w14:paraId="147FCC7F"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05D4DAD7"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contexto, según Islas, Jorge (2016), en la “Ley General de Transparencia y Acceso a la Información Pública Comentada” (p. 244), refirió que el </w:t>
      </w:r>
      <w:r>
        <w:rPr>
          <w:rFonts w:ascii="Palatino Linotype" w:eastAsia="Palatino Linotype" w:hAnsi="Palatino Linotype" w:cs="Palatino Linotype"/>
          <w:b/>
          <w:sz w:val="22"/>
          <w:szCs w:val="22"/>
        </w:rPr>
        <w:t xml:space="preserve">currículum vitae </w:t>
      </w:r>
      <w:r>
        <w:rPr>
          <w:rFonts w:ascii="Palatino Linotype" w:eastAsia="Palatino Linotype" w:hAnsi="Palatino Linotype" w:cs="Palatino Linotype"/>
          <w:sz w:val="22"/>
          <w:szCs w:val="22"/>
        </w:rPr>
        <w:t>d</w:t>
      </w:r>
      <w:r>
        <w:rPr>
          <w:rFonts w:ascii="Palatino Linotype" w:eastAsia="Palatino Linotype" w:hAnsi="Palatino Linotype" w:cs="Palatino Linotype"/>
          <w:b/>
          <w:sz w:val="22"/>
          <w:szCs w:val="22"/>
        </w:rPr>
        <w:t>e un servidor público, justifica que su formación académica resulta viable para el desempeño eficiente y correcto de su encargo; lo anterior, con el fin de acreditar que dichos trabajadores sean los más capacitados acordes al área solicitada.</w:t>
      </w:r>
    </w:p>
    <w:p w14:paraId="51DC0E25"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02178972"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el mismo sentido, el Criterio orientador, de la Tercera de Época, con número de registro SO/007/2023, emitido por el entonces Instituto Nacional de Transparencia, Acceso a la Información y Protección de Datos Personales, vigente al veinte de marzo de dos mil veinticinco, estableció que una de las formas en que los ciudadanos pueden evaluar las aptitudes para desempeñar un cargo público determinado, es mediante la </w:t>
      </w:r>
      <w:r>
        <w:rPr>
          <w:rFonts w:ascii="Palatino Linotype" w:eastAsia="Palatino Linotype" w:hAnsi="Palatino Linotype" w:cs="Palatino Linotype"/>
          <w:b/>
          <w:sz w:val="22"/>
          <w:szCs w:val="22"/>
        </w:rPr>
        <w:t xml:space="preserve">publicidad de ciertos datos contenidos en el </w:t>
      </w:r>
      <w:r>
        <w:rPr>
          <w:rFonts w:ascii="Palatino Linotype" w:eastAsia="Palatino Linotype" w:hAnsi="Palatino Linotype" w:cs="Palatino Linotype"/>
          <w:sz w:val="22"/>
          <w:szCs w:val="22"/>
        </w:rPr>
        <w:t>currículum vitae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sz w:val="22"/>
          <w:szCs w:val="22"/>
        </w:rPr>
        <w:t>tales como,</w:t>
      </w:r>
      <w:r>
        <w:rPr>
          <w:rFonts w:ascii="Palatino Linotype" w:eastAsia="Palatino Linotype" w:hAnsi="Palatino Linotype" w:cs="Palatino Linotype"/>
          <w:b/>
          <w:sz w:val="22"/>
          <w:szCs w:val="22"/>
        </w:rPr>
        <w:t xml:space="preserve"> la trayectoria académica, profesional, laboral, así como todos aquellos que acrediten su capacidad, habilidades pericia para ocupar el puesto público. </w:t>
      </w:r>
      <w:r>
        <w:rPr>
          <w:rFonts w:ascii="Palatino Linotype" w:eastAsia="Palatino Linotype" w:hAnsi="Palatino Linotype" w:cs="Palatino Linotype"/>
          <w:sz w:val="22"/>
          <w:szCs w:val="22"/>
        </w:rPr>
        <w:t>Lo anterior, para favorecer la rendición de cuentas, pues la publicidad de lo anterior tiene como fin verificar el correcto desempeño de los sujetos obligados.</w:t>
      </w:r>
    </w:p>
    <w:p w14:paraId="5C009262" w14:textId="77777777" w:rsidR="00C53EC4" w:rsidRDefault="00C53EC4" w:rsidP="00576F4C">
      <w:pPr>
        <w:spacing w:line="360" w:lineRule="auto"/>
        <w:jc w:val="both"/>
        <w:rPr>
          <w:rFonts w:ascii="Palatino Linotype" w:eastAsia="Palatino Linotype" w:hAnsi="Palatino Linotype" w:cs="Palatino Linotype"/>
          <w:sz w:val="22"/>
          <w:szCs w:val="22"/>
        </w:rPr>
      </w:pPr>
    </w:p>
    <w:p w14:paraId="1CFCADBF"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logra vislumbrar, que la pretensión del Solicitante es obtener, los documentos en los que se advierta el currículum vitae, ficha curricular o documento análogo del personal adscrito a la segunda y quinta regidurías, al veintitrés de mayo de dos mil veinticinco.</w:t>
      </w:r>
    </w:p>
    <w:p w14:paraId="7D4B6583"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Así, del análisis de la respuesta se logró advertir que el Sujeto Obligado omitió proporcionar los documentos que dieran cuenta de la información curricular requerida del personal solicitado, por lo que se considera que el Ente Recurrido a través de sus unidades administrativas competentes, deberá realizar una búsqueda exhaustiva y razonable de la información, a efecto de que proporcione los documentos que den cuenta de lo peticionado, y de esta forma dar cumplimiento a lo dispuesto por los artículos 12 y 160 de la Ley de Transparencia. </w:t>
      </w:r>
    </w:p>
    <w:p w14:paraId="50825869" w14:textId="77777777" w:rsidR="00C53EC4" w:rsidRDefault="00C53EC4" w:rsidP="00576F4C">
      <w:pPr>
        <w:spacing w:line="360" w:lineRule="auto"/>
        <w:jc w:val="both"/>
        <w:rPr>
          <w:rFonts w:ascii="Palatino Linotype" w:eastAsia="Palatino Linotype" w:hAnsi="Palatino Linotype" w:cs="Palatino Linotype"/>
          <w:sz w:val="22"/>
          <w:szCs w:val="22"/>
        </w:rPr>
      </w:pPr>
    </w:p>
    <w:p w14:paraId="33869DDF" w14:textId="77777777" w:rsidR="00C53EC4" w:rsidRDefault="0035717E" w:rsidP="00576F4C">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Grado de Estudios</w:t>
      </w:r>
    </w:p>
    <w:p w14:paraId="4E6332CD" w14:textId="77777777" w:rsidR="00C53EC4" w:rsidRDefault="00C53EC4" w:rsidP="00576F4C">
      <w:pPr>
        <w:spacing w:line="360" w:lineRule="auto"/>
        <w:jc w:val="both"/>
        <w:rPr>
          <w:rFonts w:ascii="Palatino Linotype" w:eastAsia="Palatino Linotype" w:hAnsi="Palatino Linotype" w:cs="Palatino Linotype"/>
          <w:sz w:val="22"/>
          <w:szCs w:val="22"/>
        </w:rPr>
      </w:pPr>
    </w:p>
    <w:p w14:paraId="4EA0C48E"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Sobre el documento, resulta conveniente señalar lo establecido por el artículo 47 de la Ley del Trabajo de los Servidores Públicos del Estado y Municipios, refiere que para ingresar al servicio público se requiere, entre otras cosas, cumplir con los requisitos que se establezcan para los diferentes puestos, como es el nivel académico. </w:t>
      </w:r>
    </w:p>
    <w:p w14:paraId="08A14C83"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2F00F7A9"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contexto, el Título profesional, certificado de estudios u homólogo corresponde al documento expedido por instituciones del Estado o descentralizadas, y por instituciones particulares que tenga reconocimiento de validez oficial de estudios, a favor de la persona que esté en proceso o haya concluido los estudios correspondientes o demostrado tener los conocimientos necesarios de conformidad con esta Ley y otras disposiciones aplicables, y para su obtención es indispensable acreditar que se han cumplido los requisitos académicos previstos por las leyes aplicables; lo anterior de conformidad con los artículos 1° y 8° de la Ley Reglamentaria del Artículo 5° Constitucional, Relativo al Ejercicio de las Profesiones en la Ciudad de México.</w:t>
      </w:r>
    </w:p>
    <w:p w14:paraId="5329DF77"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086EC69B"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Además, es de señalar que la cédula profesional, es aquella expresión documental con validez legal, para certificar o demostrar que efectivamente una persona está calificada para ejercer la profesión para la cual se ha preparado y ha recibido un título profesional, conforme a lo referido en la página oficial de la Secretaría de Educación Pública.</w:t>
      </w:r>
    </w:p>
    <w:p w14:paraId="1CC5CAC7"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6B00FD0C"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los documentos que dan cuenta de la preparación académica, sirven como medios de identificación, para que a su titular lo relacionen con el nivel de estudios con que cuenta, tales como el título y cédula profesional, independientemente de que estos sean o no medios de identificación oficiales. </w:t>
      </w:r>
    </w:p>
    <w:p w14:paraId="1FF89D83"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1FBF70A6"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debe tenerse presente que la naturaleza del título profesional o bien, del certificado, consiste en la de ser documentos de identificación para que a sus titulares, los acrediten como profesionales o expertos en algún área de estudio o conocimiento frente a terceros; por lo que, proporcionar dicha información abona a la transparencia y a la rendición de cuentas, pues sirven a la ciudadanía para comprobar que las personas que se desempeñan como servidores públicos tienen el perfil idóneo, la capacidad, las habilidades y la pericia para desarrollar las actividades y atribuciones que se deriven de su encargo.</w:t>
      </w:r>
    </w:p>
    <w:p w14:paraId="0E5163C7"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636D8A1B"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logra vislumbrar que el Particular pretende acceder a los documentos donde se advierta el grado de estudios del personal adscrito a la segunda y quinta regidurías del Ayuntamiento de Toluca, al veintitrés de mayo de dos mil veinticinco.</w:t>
      </w:r>
    </w:p>
    <w:p w14:paraId="7C580C37" w14:textId="77777777" w:rsidR="00C53EC4" w:rsidRDefault="00C53EC4" w:rsidP="00576F4C">
      <w:pPr>
        <w:spacing w:line="360" w:lineRule="auto"/>
        <w:jc w:val="both"/>
        <w:rPr>
          <w:rFonts w:ascii="Palatino Linotype" w:eastAsia="Palatino Linotype" w:hAnsi="Palatino Linotype" w:cs="Palatino Linotype"/>
          <w:sz w:val="22"/>
          <w:szCs w:val="22"/>
        </w:rPr>
      </w:pPr>
    </w:p>
    <w:p w14:paraId="58D99516"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del análisis de la respuesta se logró advertir que el Sujeto Obligado omitió proporcionar los documentos que dieran cuenta de la información requerida relacionada con el grado de estudios del personal adscrito a la segunda y quinta regidurías, por lo que se considera que el Ente Recurrido a través de sus unidades administrativas competentes, deberá realizar una </w:t>
      </w:r>
      <w:r>
        <w:rPr>
          <w:rFonts w:ascii="Palatino Linotype" w:eastAsia="Palatino Linotype" w:hAnsi="Palatino Linotype" w:cs="Palatino Linotype"/>
          <w:sz w:val="22"/>
          <w:szCs w:val="22"/>
        </w:rPr>
        <w:lastRenderedPageBreak/>
        <w:t xml:space="preserve">búsqueda exhaustiva y razonable de la información, a efecto de que proporcione lo peticionado, y de esta forma dar cumplimiento a lo dispuesto por los artículos 12 y 160 de la Ley de Transparencia. </w:t>
      </w:r>
    </w:p>
    <w:p w14:paraId="2E39579E" w14:textId="77777777" w:rsidR="00C53EC4" w:rsidRDefault="00C53EC4" w:rsidP="00576F4C">
      <w:pPr>
        <w:spacing w:line="360" w:lineRule="auto"/>
        <w:jc w:val="both"/>
        <w:rPr>
          <w:rFonts w:ascii="Palatino Linotype" w:eastAsia="Palatino Linotype" w:hAnsi="Palatino Linotype" w:cs="Palatino Linotype"/>
          <w:sz w:val="22"/>
          <w:szCs w:val="22"/>
        </w:rPr>
      </w:pPr>
    </w:p>
    <w:p w14:paraId="68E30E14"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No pasa por alto que para el caso de que no cuente con la información que, de cuenta del grado de estudios del personal solicitado, deberá hacerlo del conocimiento del particular, en términos del último párrafo del artículo 19 de la Ley de la materia al no existir obligación normativa. </w:t>
      </w:r>
    </w:p>
    <w:p w14:paraId="69A0129E" w14:textId="77777777" w:rsidR="00C53EC4" w:rsidRDefault="00C53EC4" w:rsidP="00576F4C">
      <w:pPr>
        <w:spacing w:line="360" w:lineRule="auto"/>
        <w:jc w:val="both"/>
        <w:rPr>
          <w:rFonts w:ascii="Palatino Linotype" w:eastAsia="Palatino Linotype" w:hAnsi="Palatino Linotype" w:cs="Palatino Linotype"/>
          <w:sz w:val="22"/>
          <w:szCs w:val="22"/>
        </w:rPr>
      </w:pPr>
    </w:p>
    <w:p w14:paraId="3CF7332E"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otra parte, cabe mencionar que si bien, la quinta regiduría proporcionó diversos documentos que daban cuenta de la información, lo cierto es que la segunda regiduría omitió pronunciarse sobre los documentos requeridos. </w:t>
      </w:r>
    </w:p>
    <w:p w14:paraId="7273483F" w14:textId="77777777" w:rsidR="00C53EC4" w:rsidRDefault="00C53EC4" w:rsidP="00576F4C">
      <w:pPr>
        <w:spacing w:line="360" w:lineRule="auto"/>
        <w:jc w:val="both"/>
        <w:rPr>
          <w:rFonts w:ascii="Palatino Linotype" w:eastAsia="Palatino Linotype" w:hAnsi="Palatino Linotype" w:cs="Palatino Linotype"/>
          <w:sz w:val="22"/>
          <w:szCs w:val="22"/>
        </w:rPr>
      </w:pPr>
    </w:p>
    <w:p w14:paraId="4BA77F3D"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Sobre el tema el artículo 1.8, fracción IX, del Código Administrativo del Estado de México, establece que para que un acto administrativo tenga validez, deberá guardar congruencia con lo solicitado. Además, resulta necesario traer por analogía, el Criterio de Interpretación, con clave de control SO/002/2017, de la Segunda Época, emitido por el Instituto Nacional de Transparencia, Acceso a la Información y Protección de Datos Personales, del cual se desprende que todo acto administrativo debe apegarse al </w:t>
      </w:r>
      <w:r>
        <w:rPr>
          <w:rFonts w:ascii="Palatino Linotype" w:eastAsia="Palatino Linotype" w:hAnsi="Palatino Linotype" w:cs="Palatino Linotype"/>
          <w:b/>
          <w:sz w:val="22"/>
          <w:szCs w:val="22"/>
        </w:rPr>
        <w:t>Principio de Congruencia</w:t>
      </w:r>
      <w:r>
        <w:rPr>
          <w:rFonts w:ascii="Palatino Linotype" w:eastAsia="Palatino Linotype" w:hAnsi="Palatino Linotype" w:cs="Palatino Linotype"/>
          <w:sz w:val="22"/>
          <w:szCs w:val="22"/>
        </w:rPr>
        <w:t>, el cual implica que exista concordancia entre el requerimiento formulado y la respuesta entregada.</w:t>
      </w:r>
    </w:p>
    <w:p w14:paraId="73C925CB" w14:textId="77777777" w:rsidR="00C53EC4" w:rsidRDefault="00C53EC4" w:rsidP="00576F4C">
      <w:pPr>
        <w:spacing w:line="360" w:lineRule="auto"/>
        <w:jc w:val="both"/>
        <w:rPr>
          <w:rFonts w:ascii="Palatino Linotype" w:eastAsia="Palatino Linotype" w:hAnsi="Palatino Linotype" w:cs="Palatino Linotype"/>
          <w:sz w:val="22"/>
          <w:szCs w:val="22"/>
        </w:rPr>
      </w:pPr>
    </w:p>
    <w:p w14:paraId="06BBC666"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expuesto se considera que el Ente Recurrido a través de sus unidades administrativas competentes, deberá realizar una búsqueda exhaustiva y razonable de la información, a efecto de que proporcione lo peticionado respecto de la segunda regiduría, y de esta forma dar cumplimiento a lo dispuesto por los artículos 12 y 160 de la Ley de Transparencia.</w:t>
      </w:r>
    </w:p>
    <w:p w14:paraId="6CB6EF06"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  </w:t>
      </w:r>
    </w:p>
    <w:p w14:paraId="40FCAD52" w14:textId="77777777" w:rsidR="00C53EC4" w:rsidRDefault="0035717E" w:rsidP="00576F4C">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 xml:space="preserve">Conforme a todo lo expuesto, si bien el Sujeto Obligado proporcionó diversos documentos que daban cuenta de lo solicitado, lo cierto es que los proporcionó de forma incompleta, sumado a que inobservó el principio de congruencia, al omitir la entrega de la información requerida respecto de la segunda regiduría, por lo que se considera que el agravio es </w:t>
      </w:r>
      <w:r>
        <w:rPr>
          <w:rFonts w:ascii="Palatino Linotype" w:eastAsia="Palatino Linotype" w:hAnsi="Palatino Linotype" w:cs="Palatino Linotype"/>
          <w:b/>
          <w:sz w:val="22"/>
          <w:szCs w:val="22"/>
        </w:rPr>
        <w:t xml:space="preserve">FUNDADO. </w:t>
      </w:r>
    </w:p>
    <w:p w14:paraId="3891EB3F" w14:textId="77777777" w:rsidR="00C53EC4" w:rsidRDefault="00C53EC4" w:rsidP="00576F4C">
      <w:pPr>
        <w:spacing w:line="360" w:lineRule="auto"/>
        <w:jc w:val="both"/>
        <w:rPr>
          <w:rFonts w:ascii="Palatino Linotype" w:eastAsia="Palatino Linotype" w:hAnsi="Palatino Linotype" w:cs="Palatino Linotype"/>
          <w:b/>
          <w:sz w:val="22"/>
          <w:szCs w:val="22"/>
        </w:rPr>
      </w:pPr>
    </w:p>
    <w:p w14:paraId="50FA9C2A" w14:textId="77777777" w:rsidR="00C53EC4" w:rsidRDefault="0035717E" w:rsidP="00576F4C">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Por lo expuesto, se considera que el Sujeto Obligado a través de sus unidades administrativas competentes, deberá realizar una búsqueda exhaustiva y razonable de la información, a efecto de que proporcione los documentos faltantes relacionados con la segunda y quinta regidurías del Ayuntamiento de Toluca en la temporalidad requerida.</w:t>
      </w:r>
      <w:r>
        <w:rPr>
          <w:rFonts w:ascii="Palatino Linotype" w:eastAsia="Palatino Linotype" w:hAnsi="Palatino Linotype" w:cs="Palatino Linotype"/>
          <w:b/>
          <w:sz w:val="22"/>
          <w:szCs w:val="22"/>
        </w:rPr>
        <w:t xml:space="preserve"> </w:t>
      </w:r>
    </w:p>
    <w:p w14:paraId="3945CDA7" w14:textId="77777777" w:rsidR="00C53EC4" w:rsidRDefault="00C53EC4" w:rsidP="00576F4C">
      <w:pPr>
        <w:spacing w:line="360" w:lineRule="auto"/>
        <w:jc w:val="both"/>
        <w:rPr>
          <w:rFonts w:ascii="Palatino Linotype" w:eastAsia="Palatino Linotype" w:hAnsi="Palatino Linotype" w:cs="Palatino Linotype"/>
          <w:b/>
          <w:sz w:val="22"/>
          <w:szCs w:val="22"/>
        </w:rPr>
      </w:pPr>
    </w:p>
    <w:p w14:paraId="45EF43B4" w14:textId="77777777" w:rsidR="00C53EC4" w:rsidRDefault="0035717E" w:rsidP="00576F4C">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Dicha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07052789"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6BCA6FC2"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esta manera, el derecho de acceso a la información pública se satisface en aquellos casos en que se entregue el soporte documental en el que conste la información solicitada, sin necesidad de elaborar documentos </w:t>
      </w:r>
      <w:r>
        <w:rPr>
          <w:rFonts w:ascii="Palatino Linotype" w:eastAsia="Palatino Linotype" w:hAnsi="Palatino Linotype" w:cs="Palatino Linotype"/>
          <w:i/>
          <w:sz w:val="22"/>
          <w:szCs w:val="22"/>
        </w:rPr>
        <w:t>ad hoc</w:t>
      </w:r>
      <w:r>
        <w:rPr>
          <w:rFonts w:ascii="Palatino Linotype" w:eastAsia="Palatino Linotype" w:hAnsi="Palatino Linotype" w:cs="Palatino Linotype"/>
          <w:sz w:val="22"/>
          <w:szCs w:val="22"/>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14:paraId="502E6022"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1E2ADF88"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proporcionar los documentos donde conste la información faltante. </w:t>
      </w:r>
    </w:p>
    <w:p w14:paraId="6DCE1C73"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172662E3"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no pasa desapercibido para este Instituto que los documentos que den cuenta de lo peticionado pudieran contener entre otros los siguientes datos:</w:t>
      </w:r>
    </w:p>
    <w:p w14:paraId="36AC62BA"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0E543F42" w14:textId="77777777" w:rsidR="00C53EC4" w:rsidRDefault="0035717E" w:rsidP="00576F4C">
      <w:pPr>
        <w:numPr>
          <w:ilvl w:val="0"/>
          <w:numId w:val="8"/>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Clave Única de Registro de Población;</w:t>
      </w:r>
    </w:p>
    <w:p w14:paraId="510B779B" w14:textId="77777777" w:rsidR="00C53EC4" w:rsidRDefault="0035717E" w:rsidP="00576F4C">
      <w:pPr>
        <w:numPr>
          <w:ilvl w:val="0"/>
          <w:numId w:val="8"/>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Registro Federal de Contribuyentes del servidor público;</w:t>
      </w:r>
    </w:p>
    <w:p w14:paraId="3FF84ABA" w14:textId="77777777" w:rsidR="00C53EC4" w:rsidRDefault="0035717E" w:rsidP="00576F4C">
      <w:pPr>
        <w:numPr>
          <w:ilvl w:val="0"/>
          <w:numId w:val="8"/>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Número de seguridad social del Instituto de Seguridad Social del Estado de México y Municipios;</w:t>
      </w:r>
    </w:p>
    <w:p w14:paraId="33579E1C" w14:textId="77777777" w:rsidR="00C53EC4" w:rsidRDefault="0035717E" w:rsidP="00576F4C">
      <w:pPr>
        <w:numPr>
          <w:ilvl w:val="0"/>
          <w:numId w:val="8"/>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Fotografía, y</w:t>
      </w:r>
    </w:p>
    <w:p w14:paraId="43595829" w14:textId="77777777" w:rsidR="00C53EC4" w:rsidRDefault="0035717E" w:rsidP="00576F4C">
      <w:pPr>
        <w:numPr>
          <w:ilvl w:val="0"/>
          <w:numId w:val="8"/>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Firma de servidores públicos en comprobante de estudios.</w:t>
      </w:r>
    </w:p>
    <w:p w14:paraId="5597FB61"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429393F3"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se procede analizar si dichos datos son confidenciales o públicos; para lo cual, cabe mencionar que el artículo 143, fracción I, de la Ley previamente citada, establece que la información privada y los datos personales, concernientes a una persona física o jurídica colectiva identificada o identificable son confidenciales.</w:t>
      </w:r>
    </w:p>
    <w:p w14:paraId="329FB7B5"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345759D8"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w:t>
      </w:r>
      <w:r>
        <w:rPr>
          <w:rFonts w:ascii="Palatino Linotype" w:eastAsia="Palatino Linotype" w:hAnsi="Palatino Linotype" w:cs="Palatino Linotype"/>
          <w:sz w:val="22"/>
          <w:szCs w:val="22"/>
        </w:rPr>
        <w:lastRenderedPageBreak/>
        <w:t>exista una orden judicial, iv) por razones de seguridad nacional y salubridad general o v) para proteger los derechos de terceros o cuando se transmita entre sujetos obligados en términos de los tratados y los acuerdos interinstitucionales.</w:t>
      </w:r>
    </w:p>
    <w:p w14:paraId="161E8B10"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2CC9A541"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términos de lo expuesto, la documentación y aquellos datos que se consideren confidenciales, serán una limitante del derecho de acceso a la información, siempre y cuando:</w:t>
      </w:r>
    </w:p>
    <w:p w14:paraId="4ED56A2E" w14:textId="77777777" w:rsidR="00C53EC4" w:rsidRDefault="00C53EC4" w:rsidP="00576F4C">
      <w:pPr>
        <w:spacing w:line="360" w:lineRule="auto"/>
        <w:jc w:val="both"/>
        <w:rPr>
          <w:rFonts w:ascii="Palatino Linotype" w:eastAsia="Palatino Linotype" w:hAnsi="Palatino Linotype" w:cs="Palatino Linotype"/>
          <w:sz w:val="22"/>
          <w:szCs w:val="22"/>
        </w:rPr>
      </w:pPr>
    </w:p>
    <w:p w14:paraId="6C57500F" w14:textId="77777777" w:rsidR="00C53EC4" w:rsidRDefault="0035717E" w:rsidP="00576F4C">
      <w:pPr>
        <w:numPr>
          <w:ilvl w:val="0"/>
          <w:numId w:val="9"/>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Se trate de datos personales o información privada; esto es, información concerniente a una persona física o jurídico colectiva y que esta sea identificada o identificable. </w:t>
      </w:r>
    </w:p>
    <w:p w14:paraId="6CA7381F" w14:textId="77777777" w:rsidR="00C53EC4" w:rsidRDefault="00C53EC4" w:rsidP="00576F4C">
      <w:pPr>
        <w:spacing w:line="360" w:lineRule="auto"/>
        <w:ind w:left="720"/>
        <w:jc w:val="both"/>
        <w:rPr>
          <w:rFonts w:ascii="Palatino Linotype" w:eastAsia="Palatino Linotype" w:hAnsi="Palatino Linotype" w:cs="Palatino Linotype"/>
          <w:sz w:val="22"/>
          <w:szCs w:val="22"/>
        </w:rPr>
      </w:pPr>
    </w:p>
    <w:p w14:paraId="6620F405" w14:textId="77777777" w:rsidR="00C53EC4" w:rsidRDefault="0035717E" w:rsidP="00576F4C">
      <w:pPr>
        <w:numPr>
          <w:ilvl w:val="0"/>
          <w:numId w:val="9"/>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Para la difusión de los datos, se requiera el consentimiento del titular. </w:t>
      </w:r>
    </w:p>
    <w:p w14:paraId="193E6046"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09002BF5"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66A31744"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19C06D90"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este sentido, un dato personal es cualquier información que pueda hacer a una persona física o jurídica colectiva identificada e identificable; sin embargo, cuando las personas tienen una relación comercial, laboral, de servicios, trámites o del tipo que sea, </w:t>
      </w:r>
      <w:r>
        <w:rPr>
          <w:rFonts w:ascii="Palatino Linotype" w:eastAsia="Palatino Linotype" w:hAnsi="Palatino Linotype" w:cs="Palatino Linotype"/>
          <w:sz w:val="22"/>
          <w:szCs w:val="22"/>
        </w:rPr>
        <w:lastRenderedPageBreak/>
        <w:t>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 Bajo ese contexto, se analizarán si los datos mencionados, deben ser considerados confidenciales, en términos del artículo 143, fracción I, de la Ley de Transparencia y Acceso a la Información Pública del Estado de México y Municipios, o públicos.</w:t>
      </w:r>
    </w:p>
    <w:p w14:paraId="0637E955" w14:textId="77777777" w:rsidR="00C53EC4" w:rsidRDefault="0035717E" w:rsidP="00576F4C">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w:t>
      </w:r>
    </w:p>
    <w:p w14:paraId="29FF2850" w14:textId="77777777" w:rsidR="00C53EC4" w:rsidRDefault="0035717E" w:rsidP="00576F4C">
      <w:pPr>
        <w:numPr>
          <w:ilvl w:val="0"/>
          <w:numId w:val="10"/>
        </w:num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Clave Única de Registro de Población (CURP)</w:t>
      </w:r>
    </w:p>
    <w:p w14:paraId="3CBA5503" w14:textId="77777777" w:rsidR="00C53EC4" w:rsidRDefault="0035717E" w:rsidP="00576F4C">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w:t>
      </w:r>
    </w:p>
    <w:p w14:paraId="535C26A9"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114401AE"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79013358"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3E1BAD95"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46DEF549"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orden de ideas, la Secretaría de Gobernación en las direcciones </w:t>
      </w:r>
      <w:hyperlink r:id="rId11">
        <w:r>
          <w:rPr>
            <w:rFonts w:ascii="Palatino Linotype" w:eastAsia="Palatino Linotype" w:hAnsi="Palatino Linotype" w:cs="Palatino Linotype"/>
            <w:color w:val="0563C1"/>
            <w:sz w:val="22"/>
            <w:szCs w:val="22"/>
            <w:u w:val="single"/>
          </w:rPr>
          <w:t>https://consultas.curp.gob.mx/CurpSP/html/informacionecurpPS.html</w:t>
        </w:r>
      </w:hyperlink>
      <w:r>
        <w:rPr>
          <w:rFonts w:ascii="Palatino Linotype" w:eastAsia="Palatino Linotype" w:hAnsi="Palatino Linotype" w:cs="Palatino Linotype"/>
          <w:sz w:val="22"/>
          <w:szCs w:val="22"/>
        </w:rPr>
        <w:t xml:space="preserve"> y </w:t>
      </w:r>
      <w:hyperlink r:id="rId12">
        <w:r>
          <w:rPr>
            <w:rFonts w:ascii="Palatino Linotype" w:eastAsia="Palatino Linotype" w:hAnsi="Palatino Linotype" w:cs="Palatino Linotype"/>
            <w:color w:val="0563C1"/>
            <w:sz w:val="22"/>
            <w:szCs w:val="22"/>
            <w:u w:val="single"/>
          </w:rPr>
          <w:t>https://www.gob.mx/segob/renapo/acciones-y-programas/clave-unica-de-registro-de-</w:t>
        </w:r>
        <w:r>
          <w:rPr>
            <w:rFonts w:ascii="Palatino Linotype" w:eastAsia="Palatino Linotype" w:hAnsi="Palatino Linotype" w:cs="Palatino Linotype"/>
            <w:color w:val="0563C1"/>
            <w:sz w:val="22"/>
            <w:szCs w:val="22"/>
            <w:u w:val="single"/>
          </w:rPr>
          <w:lastRenderedPageBreak/>
          <w:t>poblacion-curp-142226</w:t>
        </w:r>
      </w:hyperlink>
      <w:r>
        <w:rPr>
          <w:rFonts w:ascii="Palatino Linotype" w:eastAsia="Palatino Linotype" w:hAnsi="Palatino Linotype" w:cs="Palatino Linotype"/>
          <w:sz w:val="22"/>
          <w:szCs w:val="22"/>
        </w:rPr>
        <w:t xml:space="preserve"> (consultadas el diecisiete de mayo de dos mil veintitrés),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Pr>
          <w:rFonts w:ascii="Palatino Linotype" w:eastAsia="Palatino Linotype" w:hAnsi="Palatino Linotype" w:cs="Palatino Linotype"/>
          <w:b/>
          <w:sz w:val="22"/>
          <w:szCs w:val="22"/>
        </w:rPr>
        <w:t>se generan a partir de los datos contenidos en el documento probatorio de la identidad</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 xml:space="preserve">del interesado </w:t>
      </w:r>
      <w:r>
        <w:rPr>
          <w:rFonts w:ascii="Palatino Linotype" w:eastAsia="Palatino Linotype" w:hAnsi="Palatino Linotype" w:cs="Palatino Linotype"/>
          <w:sz w:val="22"/>
          <w:szCs w:val="22"/>
        </w:rPr>
        <w:t>(acta de nacimiento, carta de naturalización o documento migratorio) de la siguiente forma:</w:t>
      </w:r>
    </w:p>
    <w:p w14:paraId="7274C849"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05347F66" w14:textId="77777777" w:rsidR="00C53EC4" w:rsidRDefault="0035717E" w:rsidP="00576F4C">
      <w:pPr>
        <w:numPr>
          <w:ilvl w:val="0"/>
          <w:numId w:val="1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primero y segundo apellidos, así como al nombre de pila;</w:t>
      </w:r>
    </w:p>
    <w:p w14:paraId="4A082EAA" w14:textId="77777777" w:rsidR="00C53EC4" w:rsidRDefault="0035717E" w:rsidP="00576F4C">
      <w:pPr>
        <w:numPr>
          <w:ilvl w:val="0"/>
          <w:numId w:val="1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 fecha de nacimiento;</w:t>
      </w:r>
    </w:p>
    <w:p w14:paraId="36F31BF5" w14:textId="77777777" w:rsidR="00C53EC4" w:rsidRDefault="0035717E" w:rsidP="00576F4C">
      <w:pPr>
        <w:numPr>
          <w:ilvl w:val="0"/>
          <w:numId w:val="1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sexo, y</w:t>
      </w:r>
    </w:p>
    <w:p w14:paraId="27844492" w14:textId="77777777" w:rsidR="00C53EC4" w:rsidRDefault="0035717E" w:rsidP="00576F4C">
      <w:pPr>
        <w:numPr>
          <w:ilvl w:val="0"/>
          <w:numId w:val="1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 entidad federativa de nacimiento.</w:t>
      </w:r>
    </w:p>
    <w:p w14:paraId="18476238"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058FB545"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Los dos últimos elementos de la Clave Única de Registro de Población evitan la duplicidad de la Clave y garantizan su correcta integración.</w:t>
      </w:r>
    </w:p>
    <w:p w14:paraId="7529D102"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60443BBA"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34B42E1B"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7F598BFC"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Situación que se robustece, con el Criterio de Interpretación, de la Segunda Época, con número de registro SO/018/2017, emitido por el Instituto Nacional de Transparencia, Acceso a la Información y Protección de Datos Personales, que establece lo siguiente:</w:t>
      </w:r>
    </w:p>
    <w:p w14:paraId="295C3C02"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 </w:t>
      </w:r>
    </w:p>
    <w:p w14:paraId="5276DD23" w14:textId="77777777" w:rsidR="00C53EC4" w:rsidRDefault="0035717E" w:rsidP="00576F4C">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 xml:space="preserve">“Clave Única de Registro de Población (CURP). </w:t>
      </w:r>
      <w:r>
        <w:rPr>
          <w:rFonts w:ascii="Palatino Linotype" w:eastAsia="Palatino Linotype" w:hAnsi="Palatino Linotype" w:cs="Palatino Linotype"/>
          <w:i/>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350E5B56" w14:textId="77777777" w:rsidR="00C53EC4" w:rsidRDefault="0035717E" w:rsidP="00576F4C">
      <w:pPr>
        <w:spacing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14:paraId="02D2C0FF"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acuerdo con lo anterior, resulta procedente la clasificación de </w:t>
      </w:r>
      <w:r>
        <w:rPr>
          <w:rFonts w:ascii="Palatino Linotype" w:eastAsia="Palatino Linotype" w:hAnsi="Palatino Linotype" w:cs="Palatino Linotype"/>
          <w:b/>
          <w:sz w:val="22"/>
          <w:szCs w:val="22"/>
        </w:rPr>
        <w:t>la Clave Única de Registro de Población</w:t>
      </w:r>
      <w:r>
        <w:rPr>
          <w:rFonts w:ascii="Palatino Linotype" w:eastAsia="Palatino Linotype" w:hAnsi="Palatino Linotype" w:cs="Palatino Linotype"/>
          <w:sz w:val="22"/>
          <w:szCs w:val="22"/>
        </w:rPr>
        <w:t xml:space="preserve">, por tratarse de un dato personal confidencial, en términos del artículo 143, fracción I, de la Ley de Transparencia y Acceso a la Información Pública del Estado de México y Municipios. </w:t>
      </w:r>
    </w:p>
    <w:p w14:paraId="6A42A670"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19F8128D" w14:textId="77777777" w:rsidR="00C53EC4" w:rsidRDefault="0035717E" w:rsidP="00576F4C">
      <w:pPr>
        <w:numPr>
          <w:ilvl w:val="0"/>
          <w:numId w:val="10"/>
        </w:num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Registro Federal de Contribuyentes (RFC)</w:t>
      </w:r>
    </w:p>
    <w:p w14:paraId="5CEC5901" w14:textId="77777777" w:rsidR="00C53EC4" w:rsidRDefault="0035717E" w:rsidP="00576F4C">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w:t>
      </w:r>
    </w:p>
    <w:p w14:paraId="721F5486"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36FA9EBA"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47A81DC3"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14:paraId="178A93AA"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3A4FA1B9"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1BFBFC31"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2D06B04E"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74A66544"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2E87E61A"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 anterior, resulta congruente con el Criterio de Interpretación, de la Segunda Época, con número de registro SO/019/2017, emitido por el Instituto Nacional de Transparencia, Acceso a la Información y Protección de Datos Personales, en el cual se señala lo siguiente:</w:t>
      </w:r>
    </w:p>
    <w:p w14:paraId="2E934BCA"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63CF3DC7" w14:textId="77777777" w:rsidR="00C53EC4" w:rsidRDefault="0035717E" w:rsidP="00576F4C">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“Registro Federal de Contribuyentes (RFC) de personas físicas.</w:t>
      </w:r>
      <w:r>
        <w:rPr>
          <w:rFonts w:ascii="Palatino Linotype" w:eastAsia="Palatino Linotype" w:hAnsi="Palatino Linotype" w:cs="Palatino Linotype"/>
          <w:i/>
        </w:rPr>
        <w:t xml:space="preserve"> El RFC es una clave de carácter fiscal, única e irrepetible, que permite identificar al titular, su edad y fecha de nacimiento, por lo que es un dato personal de carácter confidencial.”</w:t>
      </w:r>
    </w:p>
    <w:p w14:paraId="2081DA61"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30A381F9"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0BBDF2EB"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111CE376" w14:textId="77777777" w:rsidR="00C53EC4" w:rsidRDefault="0035717E" w:rsidP="00576F4C">
      <w:pPr>
        <w:numPr>
          <w:ilvl w:val="0"/>
          <w:numId w:val="10"/>
        </w:num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lastRenderedPageBreak/>
        <w:t>Número de seguridad social del Instituto de Seguridad Social del Estado de México y Municipios</w:t>
      </w:r>
    </w:p>
    <w:p w14:paraId="1C4EE14A" w14:textId="77777777" w:rsidR="00C53EC4" w:rsidRDefault="0035717E" w:rsidP="00576F4C">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w:t>
      </w:r>
    </w:p>
    <w:p w14:paraId="192588EF"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50030361"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1EA56FD1"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w:t>
      </w:r>
      <w:r>
        <w:rPr>
          <w:rFonts w:ascii="Palatino Linotype" w:eastAsia="Palatino Linotype" w:hAnsi="Palatino Linotype" w:cs="Palatino Linotype"/>
          <w:b/>
          <w:sz w:val="22"/>
          <w:szCs w:val="22"/>
        </w:rPr>
        <w:t>y se le asigna una clave para hacer identificable al trabajador con el objetivo de poder proporcionar los servicios que brinda el Instituto de Seguridad Social del Estado de México y Municipios.</w:t>
      </w:r>
    </w:p>
    <w:p w14:paraId="4BBF54A8"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061F7F8F"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016D5237"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 </w:t>
      </w:r>
    </w:p>
    <w:p w14:paraId="59F7C379"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1112DB58"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1B756A81" w14:textId="77777777" w:rsidR="00C53EC4" w:rsidRDefault="0035717E" w:rsidP="00576F4C">
      <w:pPr>
        <w:numPr>
          <w:ilvl w:val="0"/>
          <w:numId w:val="10"/>
        </w:num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Fotografía de servidores públicos </w:t>
      </w:r>
    </w:p>
    <w:p w14:paraId="02839ECC" w14:textId="77777777" w:rsidR="00C53EC4" w:rsidRDefault="0035717E" w:rsidP="00576F4C">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w:t>
      </w:r>
    </w:p>
    <w:p w14:paraId="0E6FB9FA"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6F3E5255"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44E985A8"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4DB964C2"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5C5B4170"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33EA5329"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3F850DD5"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este sentido, resultan aplicables por analogía, los Criterios SO/015/2017 y SO/001/2013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6E707839"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6BC1065C"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671DE7BD"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0150224B"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7A40488C"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0F2C10A2"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2886D9EA"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w:t>
      </w:r>
    </w:p>
    <w:p w14:paraId="5862AF49"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5CEB7615" w14:textId="77777777" w:rsidR="00C53EC4" w:rsidRDefault="0035717E" w:rsidP="00576F4C">
      <w:pPr>
        <w:numPr>
          <w:ilvl w:val="0"/>
          <w:numId w:val="12"/>
        </w:num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Firma de servidores públicos</w:t>
      </w:r>
    </w:p>
    <w:p w14:paraId="501DF96A"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28F64607"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Sobre dicho dato,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14:paraId="0AE95150"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33E12A94"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w:t>
      </w:r>
    </w:p>
    <w:p w14:paraId="602B324D"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74359933"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 publicidad de dichos datos, se robustece, con el Criterio de Interpretación, de la Segunda Época, con clave de control SO/002/2019, emitido por el Instituto Nacional de Transparencia, Acceso a la Información y Protección de Datos Personales, que establece lo siguiente:</w:t>
      </w:r>
    </w:p>
    <w:p w14:paraId="47432294"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759254B7" w14:textId="77777777" w:rsidR="00C53EC4" w:rsidRDefault="0035717E" w:rsidP="00576F4C">
      <w:pPr>
        <w:spacing w:line="360"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b/>
          <w:i/>
        </w:rPr>
        <w:t>“Firma y rúbrica de servidores públicos.</w:t>
      </w:r>
      <w:r>
        <w:rPr>
          <w:rFonts w:ascii="Palatino Linotype" w:eastAsia="Palatino Linotype" w:hAnsi="Palatino Linotype" w:cs="Palatino Linotype"/>
          <w:i/>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09C8DF3A"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7A287987"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Conforme a lo expuesto, en el presente caso, procede la clasificación, en términos del artículo 143, fracción I de la Ley de Transparencia y Acceso a la Información Pública del Estado de México y Municipios, de la firma localizada en el documento comprobatoria de nivel de estudios, pues da cuenta de la aceptación de un grado ante la Secretaría de Educación Pública. </w:t>
      </w:r>
    </w:p>
    <w:p w14:paraId="7DCB187D"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73777BB4"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considera que el Sujeto Obliga deberá entregar en versión pública los documentos, en donde podrá clasificar como confidencial el Registro Federal de Contribuyentes, la Clave Única de Registro de Población, el número de Seguridad del Instituto de Seguridad Social del Estado de México y Municipios y la firma de los servidores públicos en documentos de grado académico, los cuales se establecen de manera enunciativa, más no limitativa.</w:t>
      </w:r>
    </w:p>
    <w:p w14:paraId="49D191D1"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07D3C849"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Lo anterior, de conformidad con el artículo 3°, fracción XLV, relacionado con el 137, ambos de la Ley de Transparencia y Acceso a la Información Pública del Estado de México y Municipios, que precisa que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 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 </w:t>
      </w:r>
    </w:p>
    <w:p w14:paraId="62B74553" w14:textId="77777777" w:rsidR="00C53EC4" w:rsidRDefault="00C53EC4" w:rsidP="00576F4C">
      <w:pPr>
        <w:spacing w:line="360" w:lineRule="auto"/>
        <w:jc w:val="both"/>
        <w:rPr>
          <w:rFonts w:ascii="Palatino Linotype" w:eastAsia="Palatino Linotype" w:hAnsi="Palatino Linotype" w:cs="Palatino Linotype"/>
          <w:sz w:val="22"/>
          <w:szCs w:val="22"/>
        </w:rPr>
      </w:pPr>
    </w:p>
    <w:p w14:paraId="2BEB72D2" w14:textId="77777777" w:rsidR="00C53EC4" w:rsidRDefault="0035717E" w:rsidP="00576F4C">
      <w:pPr>
        <w:pStyle w:val="Ttulo2"/>
        <w:spacing w:before="0" w:after="0" w:line="360" w:lineRule="auto"/>
        <w:rPr>
          <w:rFonts w:ascii="Palatino Linotype" w:eastAsia="Palatino Linotype" w:hAnsi="Palatino Linotype" w:cs="Palatino Linotype"/>
          <w:b/>
          <w:color w:val="000000"/>
          <w:sz w:val="22"/>
          <w:szCs w:val="22"/>
        </w:rPr>
      </w:pPr>
      <w:bookmarkStart w:id="16" w:name="_heading=h.k1i3x49xq3bs" w:colFirst="0" w:colLast="0"/>
      <w:bookmarkEnd w:id="16"/>
      <w:r>
        <w:rPr>
          <w:rFonts w:ascii="Palatino Linotype" w:eastAsia="Palatino Linotype" w:hAnsi="Palatino Linotype" w:cs="Palatino Linotype"/>
          <w:b/>
          <w:color w:val="000000"/>
          <w:sz w:val="22"/>
          <w:szCs w:val="22"/>
        </w:rPr>
        <w:t>SEXTO. Decisión</w:t>
      </w:r>
    </w:p>
    <w:p w14:paraId="02A0AAD3" w14:textId="77777777" w:rsidR="00C53EC4" w:rsidRDefault="00C53EC4" w:rsidP="00576F4C">
      <w:pPr>
        <w:spacing w:line="360" w:lineRule="auto"/>
        <w:jc w:val="both"/>
        <w:rPr>
          <w:rFonts w:ascii="Palatino Linotype" w:eastAsia="Palatino Linotype" w:hAnsi="Palatino Linotype" w:cs="Palatino Linotype"/>
          <w:sz w:val="22"/>
          <w:szCs w:val="22"/>
        </w:rPr>
      </w:pPr>
    </w:p>
    <w:p w14:paraId="68C60D88" w14:textId="77777777" w:rsidR="00C53EC4" w:rsidRDefault="0035717E" w:rsidP="00576F4C">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 fundamento en el artículo 186, fracción III, de la Ley de Transparencia y Acceso a la Información Pública del Estado de México y Municipios, este Instituto considera procedente </w:t>
      </w:r>
      <w:r>
        <w:rPr>
          <w:rFonts w:ascii="Palatino Linotype" w:eastAsia="Palatino Linotype" w:hAnsi="Palatino Linotype" w:cs="Palatino Linotype"/>
          <w:b/>
          <w:sz w:val="22"/>
          <w:szCs w:val="22"/>
        </w:rPr>
        <w:t>MODIFICAR</w:t>
      </w:r>
      <w:r>
        <w:rPr>
          <w:rFonts w:ascii="Palatino Linotype" w:eastAsia="Palatino Linotype" w:hAnsi="Palatino Linotype" w:cs="Palatino Linotype"/>
          <w:sz w:val="22"/>
          <w:szCs w:val="22"/>
        </w:rPr>
        <w:t xml:space="preserve"> la respuesta otorgada a la solicitud de información 02996/TOLUCA/IP/2025, a efecto de que, proporcione en su caso en versión pública la información faltante.</w:t>
      </w:r>
    </w:p>
    <w:p w14:paraId="1102130C" w14:textId="77777777" w:rsidR="00C53EC4" w:rsidRDefault="00C53EC4" w:rsidP="00576F4C">
      <w:pPr>
        <w:tabs>
          <w:tab w:val="left" w:pos="4962"/>
        </w:tabs>
        <w:spacing w:line="360" w:lineRule="auto"/>
        <w:jc w:val="both"/>
        <w:rPr>
          <w:rFonts w:ascii="Palatino Linotype" w:eastAsia="Palatino Linotype" w:hAnsi="Palatino Linotype" w:cs="Palatino Linotype"/>
          <w:sz w:val="22"/>
          <w:szCs w:val="22"/>
        </w:rPr>
      </w:pPr>
    </w:p>
    <w:p w14:paraId="17A16869" w14:textId="77777777" w:rsidR="00C53EC4" w:rsidRDefault="0035717E" w:rsidP="00576F4C">
      <w:pPr>
        <w:pStyle w:val="Ttulo2"/>
        <w:spacing w:before="0" w:after="0" w:line="360" w:lineRule="auto"/>
        <w:rPr>
          <w:rFonts w:ascii="Palatino Linotype" w:eastAsia="Palatino Linotype" w:hAnsi="Palatino Linotype" w:cs="Palatino Linotype"/>
          <w:b/>
          <w:color w:val="000000"/>
          <w:sz w:val="22"/>
          <w:szCs w:val="22"/>
        </w:rPr>
      </w:pPr>
      <w:bookmarkStart w:id="17" w:name="_heading=h.8zmofutjiv2m" w:colFirst="0" w:colLast="0"/>
      <w:bookmarkEnd w:id="17"/>
      <w:r>
        <w:rPr>
          <w:rFonts w:ascii="Palatino Linotype" w:eastAsia="Palatino Linotype" w:hAnsi="Palatino Linotype" w:cs="Palatino Linotype"/>
          <w:b/>
          <w:color w:val="000000"/>
          <w:sz w:val="22"/>
          <w:szCs w:val="22"/>
        </w:rPr>
        <w:t>SÉPTIMO. Vista la Dirección General de Protección de Datos Personales.</w:t>
      </w:r>
    </w:p>
    <w:p w14:paraId="262F4EB3" w14:textId="77777777" w:rsidR="00C53EC4" w:rsidRDefault="0035717E" w:rsidP="00576F4C">
      <w:pPr>
        <w:tabs>
          <w:tab w:val="left" w:pos="4962"/>
        </w:tabs>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w:t>
      </w:r>
    </w:p>
    <w:p w14:paraId="7FEAF899" w14:textId="77777777" w:rsidR="00C53EC4" w:rsidRDefault="0035717E" w:rsidP="00576F4C">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Ahora bien, toda vez que el Sujeto Obligado proporcionó documentos que daban cuenta de los oficios donde dejó visible nombre de particulares, correo electrónico, y número de teléfono, que son susceptibles de clasificarse como información confidencial, circunstancia que vulnera lo previsto en el artículo 143, fracción I, de la Ley de Transparencia y Acceso a la Información Pública del Estado de México y Municipios. Por lo tanto, el Ente Recurrido, </w:t>
      </w:r>
      <w:r>
        <w:rPr>
          <w:rFonts w:ascii="Palatino Linotype" w:eastAsia="Palatino Linotype" w:hAnsi="Palatino Linotype" w:cs="Palatino Linotype"/>
          <w:sz w:val="22"/>
          <w:szCs w:val="22"/>
        </w:rPr>
        <w:lastRenderedPageBreak/>
        <w:t>inobservó la Ley de Transparencia y Acceso a la Información Pública del Estado de México y Municipios y la Ley de Protección de Datos Personales en Posesión de Sujetos Obligados del Estado de México y Municipios.</w:t>
      </w:r>
    </w:p>
    <w:p w14:paraId="74500209" w14:textId="77777777" w:rsidR="00C53EC4" w:rsidRDefault="0035717E" w:rsidP="00576F4C">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3C6B083C" w14:textId="77777777" w:rsidR="00C53EC4" w:rsidRDefault="0035717E" w:rsidP="00576F4C">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Sobre el particular, si bien, la presente resolución no tiene por objetivo investigar y determinar posibles violaciones al derecho de acceso a la información; toda vez que este Organismo Autónomo, advirtió la posible publicación de información de datos personales, se considera procedente dar vista a la Dirección General de Protección de Datos Personales de este Instituto con fundamento en el artículo 24, fracciones XI, XII y XIII del Reglamento Interior del Instituto de Transparencia, Acceso a la Información Pública y Protección de Datos Personales del Estado de México y Municipios, a fin de llevar a cabo el procedimiento que conforme a Derecho corresponda.</w:t>
      </w:r>
    </w:p>
    <w:p w14:paraId="7127AE1A" w14:textId="77777777" w:rsidR="00C53EC4" w:rsidRDefault="00C53EC4" w:rsidP="00576F4C">
      <w:pPr>
        <w:tabs>
          <w:tab w:val="left" w:pos="4962"/>
        </w:tabs>
        <w:spacing w:line="360" w:lineRule="auto"/>
        <w:jc w:val="both"/>
        <w:rPr>
          <w:rFonts w:ascii="Palatino Linotype" w:eastAsia="Palatino Linotype" w:hAnsi="Palatino Linotype" w:cs="Palatino Linotype"/>
          <w:sz w:val="22"/>
          <w:szCs w:val="22"/>
        </w:rPr>
      </w:pPr>
    </w:p>
    <w:p w14:paraId="1A4F0027" w14:textId="77777777" w:rsidR="00C53EC4" w:rsidRDefault="0035717E" w:rsidP="00576F4C">
      <w:pPr>
        <w:spacing w:line="360" w:lineRule="auto"/>
        <w:jc w:val="both"/>
        <w:rPr>
          <w:rFonts w:ascii="Palatino Linotype" w:eastAsia="Palatino Linotype" w:hAnsi="Palatino Linotype" w:cs="Palatino Linotype"/>
          <w:b/>
          <w:color w:val="000000"/>
          <w:sz w:val="22"/>
          <w:szCs w:val="22"/>
        </w:rPr>
      </w:pPr>
      <w:bookmarkStart w:id="18" w:name="_heading=h.u9526am5hh65" w:colFirst="0" w:colLast="0"/>
      <w:bookmarkEnd w:id="18"/>
      <w:r>
        <w:rPr>
          <w:rFonts w:ascii="Palatino Linotype" w:eastAsia="Palatino Linotype" w:hAnsi="Palatino Linotype" w:cs="Palatino Linotype"/>
          <w:b/>
          <w:color w:val="000000"/>
          <w:sz w:val="22"/>
          <w:szCs w:val="22"/>
        </w:rPr>
        <w:t>Términos de la Resolución para el Recurrente</w:t>
      </w:r>
    </w:p>
    <w:p w14:paraId="63C59070" w14:textId="77777777" w:rsidR="00C53EC4" w:rsidRDefault="00C53EC4" w:rsidP="00576F4C">
      <w:pPr>
        <w:spacing w:line="360" w:lineRule="auto"/>
        <w:jc w:val="both"/>
        <w:rPr>
          <w:rFonts w:ascii="Palatino Linotype" w:eastAsia="Palatino Linotype" w:hAnsi="Palatino Linotype" w:cs="Palatino Linotype"/>
          <w:b/>
          <w:color w:val="000000"/>
          <w:sz w:val="22"/>
          <w:szCs w:val="22"/>
        </w:rPr>
      </w:pPr>
    </w:p>
    <w:p w14:paraId="2D430256" w14:textId="77777777" w:rsidR="00C53EC4" w:rsidRDefault="0035717E" w:rsidP="00576F4C">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Se le hace del conocimiento al Particular, que, en el presente caso, se le concede la razón, pues el Ayuntamiento de Toluca, no entregó la información de manera completa. La labor del Instituto, es apoyar a la población para acceder a la información pública y garantizar la protección de los datos personales.</w:t>
      </w:r>
    </w:p>
    <w:p w14:paraId="7EBD7B6C" w14:textId="77777777" w:rsidR="00C53EC4" w:rsidRDefault="00C53EC4" w:rsidP="00576F4C">
      <w:pPr>
        <w:spacing w:line="360" w:lineRule="auto"/>
        <w:jc w:val="both"/>
        <w:rPr>
          <w:rFonts w:ascii="Palatino Linotype" w:eastAsia="Palatino Linotype" w:hAnsi="Palatino Linotype" w:cs="Palatino Linotype"/>
          <w:color w:val="000000"/>
          <w:sz w:val="22"/>
          <w:szCs w:val="22"/>
        </w:rPr>
      </w:pPr>
    </w:p>
    <w:p w14:paraId="4634EACD" w14:textId="77777777" w:rsidR="00C53EC4" w:rsidRDefault="0035717E" w:rsidP="00576F4C">
      <w:pPr>
        <w:spacing w:line="360" w:lineRule="auto"/>
        <w:ind w:right="-93"/>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Por lo expuesto y fundado, este Pleno:</w:t>
      </w:r>
    </w:p>
    <w:p w14:paraId="77208B04" w14:textId="77777777" w:rsidR="00C53EC4" w:rsidRDefault="00C53EC4" w:rsidP="00576F4C">
      <w:pPr>
        <w:spacing w:line="360" w:lineRule="auto"/>
        <w:ind w:right="-93"/>
        <w:jc w:val="both"/>
        <w:rPr>
          <w:rFonts w:ascii="Palatino Linotype" w:eastAsia="Palatino Linotype" w:hAnsi="Palatino Linotype" w:cs="Palatino Linotype"/>
          <w:color w:val="000000"/>
          <w:sz w:val="22"/>
          <w:szCs w:val="22"/>
        </w:rPr>
      </w:pPr>
    </w:p>
    <w:p w14:paraId="368222C6" w14:textId="77777777" w:rsidR="00C53EC4" w:rsidRDefault="0035717E" w:rsidP="00576F4C">
      <w:pPr>
        <w:pStyle w:val="Ttulo1"/>
        <w:spacing w:before="0" w:after="0" w:line="360" w:lineRule="auto"/>
        <w:jc w:val="center"/>
        <w:rPr>
          <w:rFonts w:ascii="Palatino Linotype" w:eastAsia="Palatino Linotype" w:hAnsi="Palatino Linotype" w:cs="Palatino Linotype"/>
          <w:b/>
          <w:color w:val="000000"/>
          <w:sz w:val="22"/>
          <w:szCs w:val="22"/>
        </w:rPr>
      </w:pPr>
      <w:bookmarkStart w:id="19" w:name="_heading=h.4hg1cz3ki8vk" w:colFirst="0" w:colLast="0"/>
      <w:bookmarkEnd w:id="19"/>
      <w:r>
        <w:rPr>
          <w:rFonts w:ascii="Palatino Linotype" w:eastAsia="Palatino Linotype" w:hAnsi="Palatino Linotype" w:cs="Palatino Linotype"/>
          <w:b/>
          <w:color w:val="000000"/>
          <w:sz w:val="22"/>
          <w:szCs w:val="22"/>
        </w:rPr>
        <w:t>R E S U E L V E</w:t>
      </w:r>
    </w:p>
    <w:p w14:paraId="397CC565" w14:textId="77777777" w:rsidR="00C53EC4" w:rsidRDefault="00C53EC4" w:rsidP="00576F4C">
      <w:pPr>
        <w:spacing w:line="360" w:lineRule="auto"/>
        <w:ind w:right="-28"/>
        <w:jc w:val="both"/>
        <w:rPr>
          <w:rFonts w:ascii="Palatino Linotype" w:eastAsia="Palatino Linotype" w:hAnsi="Palatino Linotype" w:cs="Palatino Linotype"/>
          <w:b/>
          <w:sz w:val="22"/>
          <w:szCs w:val="22"/>
        </w:rPr>
      </w:pPr>
    </w:p>
    <w:p w14:paraId="02AD87C4" w14:textId="77777777" w:rsidR="00C53EC4" w:rsidRDefault="0035717E" w:rsidP="00576F4C">
      <w:pPr>
        <w:widowControl w:val="0"/>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PRIMERO. </w:t>
      </w:r>
      <w:r>
        <w:rPr>
          <w:rFonts w:ascii="Palatino Linotype" w:eastAsia="Palatino Linotype" w:hAnsi="Palatino Linotype" w:cs="Palatino Linotype"/>
          <w:sz w:val="22"/>
          <w:szCs w:val="22"/>
        </w:rPr>
        <w:t xml:space="preserve">Se </w:t>
      </w:r>
      <w:r>
        <w:rPr>
          <w:rFonts w:ascii="Palatino Linotype" w:eastAsia="Palatino Linotype" w:hAnsi="Palatino Linotype" w:cs="Palatino Linotype"/>
          <w:b/>
          <w:sz w:val="22"/>
          <w:szCs w:val="22"/>
        </w:rPr>
        <w:t xml:space="preserve">MODIFICA </w:t>
      </w:r>
      <w:r>
        <w:rPr>
          <w:rFonts w:ascii="Palatino Linotype" w:eastAsia="Palatino Linotype" w:hAnsi="Palatino Linotype" w:cs="Palatino Linotype"/>
          <w:sz w:val="22"/>
          <w:szCs w:val="22"/>
        </w:rPr>
        <w:t>la</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 xml:space="preserve">respuesta entregada por el Ayuntamiento de Toluca a la solicitud de información 02996/TOLUCA/IP/2025 por resultar </w:t>
      </w:r>
      <w:r>
        <w:rPr>
          <w:rFonts w:ascii="Palatino Linotype" w:eastAsia="Palatino Linotype" w:hAnsi="Palatino Linotype" w:cs="Palatino Linotype"/>
          <w:b/>
          <w:smallCaps/>
          <w:sz w:val="22"/>
          <w:szCs w:val="22"/>
        </w:rPr>
        <w:t>FUNDADAS</w:t>
      </w:r>
      <w:r>
        <w:rPr>
          <w:rFonts w:ascii="Palatino Linotype" w:eastAsia="Palatino Linotype" w:hAnsi="Palatino Linotype" w:cs="Palatino Linotype"/>
          <w:sz w:val="22"/>
          <w:szCs w:val="22"/>
        </w:rPr>
        <w:t xml:space="preserve"> las razones o </w:t>
      </w:r>
      <w:r>
        <w:rPr>
          <w:rFonts w:ascii="Palatino Linotype" w:eastAsia="Palatino Linotype" w:hAnsi="Palatino Linotype" w:cs="Palatino Linotype"/>
          <w:sz w:val="22"/>
          <w:szCs w:val="22"/>
        </w:rPr>
        <w:lastRenderedPageBreak/>
        <w:t>motivos de inconformidad hechos valer por el Recurrente, en términos de los considerandos QUINTO y SEXTO de la presente Resolución.</w:t>
      </w:r>
    </w:p>
    <w:p w14:paraId="563E1609" w14:textId="77777777" w:rsidR="00C53EC4" w:rsidRDefault="00C53EC4" w:rsidP="00576F4C">
      <w:pPr>
        <w:widowControl w:val="0"/>
        <w:spacing w:line="360" w:lineRule="auto"/>
        <w:jc w:val="both"/>
        <w:rPr>
          <w:rFonts w:ascii="Palatino Linotype" w:eastAsia="Palatino Linotype" w:hAnsi="Palatino Linotype" w:cs="Palatino Linotype"/>
          <w:sz w:val="22"/>
          <w:szCs w:val="22"/>
        </w:rPr>
      </w:pPr>
    </w:p>
    <w:p w14:paraId="26E03B14"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SEGUNDO. </w:t>
      </w:r>
      <w:r>
        <w:rPr>
          <w:rFonts w:ascii="Palatino Linotype" w:eastAsia="Palatino Linotype" w:hAnsi="Palatino Linotype" w:cs="Palatino Linotype"/>
          <w:sz w:val="22"/>
          <w:szCs w:val="22"/>
        </w:rPr>
        <w:t xml:space="preserve">Se </w:t>
      </w:r>
      <w:r>
        <w:rPr>
          <w:rFonts w:ascii="Palatino Linotype" w:eastAsia="Palatino Linotype" w:hAnsi="Palatino Linotype" w:cs="Palatino Linotype"/>
          <w:b/>
          <w:sz w:val="22"/>
          <w:szCs w:val="22"/>
        </w:rPr>
        <w:t>ORDENA</w:t>
      </w:r>
      <w:r>
        <w:rPr>
          <w:rFonts w:ascii="Palatino Linotype" w:eastAsia="Palatino Linotype" w:hAnsi="Palatino Linotype" w:cs="Palatino Linotype"/>
          <w:sz w:val="22"/>
          <w:szCs w:val="22"/>
        </w:rPr>
        <w:t xml:space="preserve"> al Ente Recurrido</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a efecto de que entregue, en su caso en versión pública, a través del SAIMEX, previa búsqueda exhaustiva y razonable en las unidades administrativas competentes, del primero de enero al veintitrés de mayo de dos mil veinticinco, los documentos en los que se advierta lo siguiente:</w:t>
      </w:r>
    </w:p>
    <w:p w14:paraId="034736A6" w14:textId="77777777" w:rsidR="00C53EC4" w:rsidRDefault="00C53EC4" w:rsidP="00576F4C">
      <w:pPr>
        <w:spacing w:line="360" w:lineRule="auto"/>
        <w:jc w:val="both"/>
        <w:rPr>
          <w:rFonts w:ascii="Palatino Linotype" w:eastAsia="Palatino Linotype" w:hAnsi="Palatino Linotype" w:cs="Palatino Linotype"/>
          <w:sz w:val="22"/>
          <w:szCs w:val="22"/>
        </w:rPr>
      </w:pPr>
    </w:p>
    <w:p w14:paraId="5E08439D" w14:textId="77777777" w:rsidR="00C53EC4" w:rsidRDefault="0035717E" w:rsidP="00576F4C">
      <w:pPr>
        <w:spacing w:line="360" w:lineRule="auto"/>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Respecto de la Quinta regiduría</w:t>
      </w:r>
    </w:p>
    <w:p w14:paraId="7E16B88C" w14:textId="19FF804A" w:rsidR="00C53EC4" w:rsidRDefault="0035717E" w:rsidP="00576F4C">
      <w:pPr>
        <w:numPr>
          <w:ilvl w:val="0"/>
          <w:numId w:val="1"/>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Oficios </w:t>
      </w:r>
      <w:r w:rsidR="00576F4C">
        <w:rPr>
          <w:rFonts w:ascii="Palatino Linotype" w:eastAsia="Palatino Linotype" w:hAnsi="Palatino Linotype" w:cs="Palatino Linotype"/>
          <w:color w:val="000000"/>
          <w:sz w:val="22"/>
          <w:szCs w:val="22"/>
        </w:rPr>
        <w:t>emitidos</w:t>
      </w:r>
      <w:r>
        <w:rPr>
          <w:rFonts w:ascii="Palatino Linotype" w:eastAsia="Palatino Linotype" w:hAnsi="Palatino Linotype" w:cs="Palatino Linotype"/>
          <w:color w:val="000000"/>
          <w:sz w:val="22"/>
          <w:szCs w:val="22"/>
        </w:rPr>
        <w:t xml:space="preserve"> faltantes;</w:t>
      </w:r>
    </w:p>
    <w:p w14:paraId="48B2D3E3" w14:textId="238B4D68" w:rsidR="00C53EC4" w:rsidRDefault="0035717E" w:rsidP="00576F4C">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D0D0D"/>
          <w:sz w:val="22"/>
          <w:szCs w:val="22"/>
        </w:rPr>
        <w:t>Acuerdo de Clasificación donde el Comité de Transparencia, sustente la versión pública de los oficios proporcionados</w:t>
      </w:r>
      <w:r w:rsidR="00576F4C">
        <w:rPr>
          <w:rFonts w:ascii="Palatino Linotype" w:eastAsia="Palatino Linotype" w:hAnsi="Palatino Linotype" w:cs="Palatino Linotype"/>
          <w:color w:val="0D0D0D"/>
          <w:sz w:val="22"/>
          <w:szCs w:val="22"/>
        </w:rPr>
        <w:t xml:space="preserve"> en respuesta</w:t>
      </w:r>
      <w:r>
        <w:rPr>
          <w:rFonts w:ascii="Palatino Linotype" w:eastAsia="Palatino Linotype" w:hAnsi="Palatino Linotype" w:cs="Palatino Linotype"/>
          <w:color w:val="0D0D0D"/>
          <w:sz w:val="22"/>
          <w:szCs w:val="22"/>
        </w:rPr>
        <w:t>, de conformidad con los artículos 49, fracciones II y VIII, 132, fracción II, 143, fracción I, y 149 de la Ley de Transparencia</w:t>
      </w:r>
      <w:r>
        <w:rPr>
          <w:rFonts w:ascii="Palatino Linotype" w:eastAsia="Palatino Linotype" w:hAnsi="Palatino Linotype" w:cs="Palatino Linotype"/>
          <w:color w:val="000000"/>
          <w:sz w:val="22"/>
          <w:szCs w:val="22"/>
        </w:rPr>
        <w:t>;</w:t>
      </w:r>
    </w:p>
    <w:p w14:paraId="0F777D37" w14:textId="77777777" w:rsidR="00C53EC4" w:rsidRDefault="0035717E" w:rsidP="00576F4C">
      <w:pPr>
        <w:numPr>
          <w:ilvl w:val="0"/>
          <w:numId w:val="1"/>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Respecto de las Comisiones en las que participa lo siguiente:</w:t>
      </w:r>
    </w:p>
    <w:p w14:paraId="760B60F9" w14:textId="77777777" w:rsidR="00C53EC4" w:rsidRDefault="0035717E" w:rsidP="00576F4C">
      <w:pPr>
        <w:numPr>
          <w:ilvl w:val="0"/>
          <w:numId w:val="2"/>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Actas de sesión faltantes; </w:t>
      </w:r>
    </w:p>
    <w:p w14:paraId="2D9420ED" w14:textId="77777777" w:rsidR="00C53EC4" w:rsidRDefault="0035717E" w:rsidP="00576F4C">
      <w:pPr>
        <w:numPr>
          <w:ilvl w:val="0"/>
          <w:numId w:val="2"/>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Convocatoria; </w:t>
      </w:r>
    </w:p>
    <w:p w14:paraId="26BFF04D" w14:textId="77777777" w:rsidR="00C53EC4" w:rsidRDefault="0035717E" w:rsidP="00576F4C">
      <w:pPr>
        <w:numPr>
          <w:ilvl w:val="0"/>
          <w:numId w:val="2"/>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Acuerdos generados faltantes; y </w:t>
      </w:r>
    </w:p>
    <w:p w14:paraId="2C728966" w14:textId="77777777" w:rsidR="00C53EC4" w:rsidRDefault="0035717E" w:rsidP="00576F4C">
      <w:pPr>
        <w:numPr>
          <w:ilvl w:val="0"/>
          <w:numId w:val="2"/>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Seguimiento a los acuerdos generados.</w:t>
      </w:r>
    </w:p>
    <w:p w14:paraId="410DD636" w14:textId="77777777" w:rsidR="00C53EC4" w:rsidRDefault="0035717E" w:rsidP="00576F4C">
      <w:pPr>
        <w:numPr>
          <w:ilvl w:val="0"/>
          <w:numId w:val="1"/>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Respecto del personal adscrito:</w:t>
      </w:r>
    </w:p>
    <w:p w14:paraId="4ADFAC62" w14:textId="77777777" w:rsidR="00C53EC4" w:rsidRDefault="0035717E" w:rsidP="00576F4C">
      <w:pPr>
        <w:numPr>
          <w:ilvl w:val="0"/>
          <w:numId w:val="3"/>
        </w:numPr>
        <w:pBdr>
          <w:top w:val="nil"/>
          <w:left w:val="nil"/>
          <w:bottom w:val="nil"/>
          <w:right w:val="nil"/>
          <w:between w:val="nil"/>
        </w:pBdr>
        <w:spacing w:line="360" w:lineRule="auto"/>
        <w:ind w:left="1494"/>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Listas de Asistencia;</w:t>
      </w:r>
    </w:p>
    <w:p w14:paraId="01E5127B" w14:textId="77777777" w:rsidR="00C53EC4" w:rsidRDefault="0035717E" w:rsidP="00576F4C">
      <w:pPr>
        <w:numPr>
          <w:ilvl w:val="0"/>
          <w:numId w:val="3"/>
        </w:numPr>
        <w:pBdr>
          <w:top w:val="nil"/>
          <w:left w:val="nil"/>
          <w:bottom w:val="nil"/>
          <w:right w:val="nil"/>
          <w:between w:val="nil"/>
        </w:pBdr>
        <w:spacing w:line="360" w:lineRule="auto"/>
        <w:ind w:left="1494"/>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Funciones;</w:t>
      </w:r>
    </w:p>
    <w:p w14:paraId="4C02BB38" w14:textId="51EC8048" w:rsidR="00C53EC4" w:rsidRDefault="00576F4C" w:rsidP="00576F4C">
      <w:pPr>
        <w:numPr>
          <w:ilvl w:val="0"/>
          <w:numId w:val="3"/>
        </w:numPr>
        <w:pBdr>
          <w:top w:val="nil"/>
          <w:left w:val="nil"/>
          <w:bottom w:val="nil"/>
          <w:right w:val="nil"/>
          <w:between w:val="nil"/>
        </w:pBdr>
        <w:spacing w:line="360" w:lineRule="auto"/>
        <w:ind w:left="1491" w:hanging="357"/>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Información curricular; y</w:t>
      </w:r>
    </w:p>
    <w:p w14:paraId="1FD53894" w14:textId="77777777" w:rsidR="00C53EC4" w:rsidRDefault="0035717E" w:rsidP="00576F4C">
      <w:pPr>
        <w:numPr>
          <w:ilvl w:val="0"/>
          <w:numId w:val="3"/>
        </w:numPr>
        <w:pBdr>
          <w:top w:val="nil"/>
          <w:left w:val="nil"/>
          <w:bottom w:val="nil"/>
          <w:right w:val="nil"/>
          <w:between w:val="nil"/>
        </w:pBdr>
        <w:spacing w:line="360" w:lineRule="auto"/>
        <w:ind w:left="1491" w:hanging="357"/>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Grado de estudios.</w:t>
      </w:r>
    </w:p>
    <w:p w14:paraId="2D30BCD3" w14:textId="77777777" w:rsidR="00576F4C" w:rsidRDefault="00576F4C" w:rsidP="00576F4C">
      <w:pPr>
        <w:spacing w:line="360" w:lineRule="auto"/>
        <w:rPr>
          <w:rFonts w:ascii="Palatino Linotype" w:eastAsia="Palatino Linotype" w:hAnsi="Palatino Linotype" w:cs="Palatino Linotype"/>
          <w:b/>
          <w:sz w:val="22"/>
          <w:szCs w:val="22"/>
        </w:rPr>
      </w:pPr>
    </w:p>
    <w:p w14:paraId="51E83917" w14:textId="462C511E" w:rsidR="00C53EC4" w:rsidRDefault="0035717E" w:rsidP="00576F4C">
      <w:pPr>
        <w:spacing w:line="360" w:lineRule="auto"/>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Respecto de la Segunda regiduría</w:t>
      </w:r>
    </w:p>
    <w:p w14:paraId="54E31174" w14:textId="19479D86" w:rsidR="00C53EC4" w:rsidRDefault="0035717E" w:rsidP="00576F4C">
      <w:pPr>
        <w:numPr>
          <w:ilvl w:val="0"/>
          <w:numId w:val="1"/>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Oficios </w:t>
      </w:r>
      <w:r w:rsidR="00576F4C">
        <w:rPr>
          <w:rFonts w:ascii="Palatino Linotype" w:eastAsia="Palatino Linotype" w:hAnsi="Palatino Linotype" w:cs="Palatino Linotype"/>
          <w:color w:val="000000"/>
          <w:sz w:val="22"/>
          <w:szCs w:val="22"/>
        </w:rPr>
        <w:t>emitidos</w:t>
      </w:r>
      <w:r>
        <w:rPr>
          <w:rFonts w:ascii="Palatino Linotype" w:eastAsia="Palatino Linotype" w:hAnsi="Palatino Linotype" w:cs="Palatino Linotype"/>
          <w:color w:val="000000"/>
          <w:sz w:val="22"/>
          <w:szCs w:val="22"/>
        </w:rPr>
        <w:t>;</w:t>
      </w:r>
    </w:p>
    <w:p w14:paraId="262170C6" w14:textId="77777777" w:rsidR="00C53EC4" w:rsidRDefault="0035717E" w:rsidP="00576F4C">
      <w:pPr>
        <w:numPr>
          <w:ilvl w:val="0"/>
          <w:numId w:val="1"/>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Respecto de las Comisiones en las que participa lo siguiente:</w:t>
      </w:r>
    </w:p>
    <w:p w14:paraId="6BF02967" w14:textId="77777777" w:rsidR="00C53EC4" w:rsidRDefault="0035717E" w:rsidP="00576F4C">
      <w:pPr>
        <w:numPr>
          <w:ilvl w:val="0"/>
          <w:numId w:val="2"/>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Actas de sesión; </w:t>
      </w:r>
    </w:p>
    <w:p w14:paraId="77714D93" w14:textId="77777777" w:rsidR="00C53EC4" w:rsidRDefault="0035717E" w:rsidP="00576F4C">
      <w:pPr>
        <w:numPr>
          <w:ilvl w:val="0"/>
          <w:numId w:val="2"/>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Convocatoria; </w:t>
      </w:r>
    </w:p>
    <w:p w14:paraId="50B9F5AA" w14:textId="77777777" w:rsidR="00C53EC4" w:rsidRDefault="0035717E" w:rsidP="00576F4C">
      <w:pPr>
        <w:numPr>
          <w:ilvl w:val="0"/>
          <w:numId w:val="2"/>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Acuerdos generados; y </w:t>
      </w:r>
    </w:p>
    <w:p w14:paraId="09125EF1" w14:textId="77777777" w:rsidR="00C53EC4" w:rsidRDefault="0035717E" w:rsidP="00576F4C">
      <w:pPr>
        <w:numPr>
          <w:ilvl w:val="0"/>
          <w:numId w:val="2"/>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Seguimiento a los acuerdos.</w:t>
      </w:r>
    </w:p>
    <w:p w14:paraId="20D0F169" w14:textId="77777777" w:rsidR="00C53EC4" w:rsidRDefault="0035717E" w:rsidP="00576F4C">
      <w:pPr>
        <w:numPr>
          <w:ilvl w:val="0"/>
          <w:numId w:val="1"/>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Respecto del personal adscrito:</w:t>
      </w:r>
    </w:p>
    <w:p w14:paraId="0ACA02EB" w14:textId="77777777" w:rsidR="00C53EC4" w:rsidRDefault="0035717E" w:rsidP="00576F4C">
      <w:pPr>
        <w:numPr>
          <w:ilvl w:val="0"/>
          <w:numId w:val="3"/>
        </w:numPr>
        <w:pBdr>
          <w:top w:val="nil"/>
          <w:left w:val="nil"/>
          <w:bottom w:val="nil"/>
          <w:right w:val="nil"/>
          <w:between w:val="nil"/>
        </w:pBdr>
        <w:spacing w:line="360" w:lineRule="auto"/>
        <w:ind w:left="1494"/>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Listas de Asistencia;</w:t>
      </w:r>
    </w:p>
    <w:p w14:paraId="02DEA693" w14:textId="77777777" w:rsidR="00C53EC4" w:rsidRDefault="0035717E" w:rsidP="00576F4C">
      <w:pPr>
        <w:numPr>
          <w:ilvl w:val="0"/>
          <w:numId w:val="3"/>
        </w:numPr>
        <w:pBdr>
          <w:top w:val="nil"/>
          <w:left w:val="nil"/>
          <w:bottom w:val="nil"/>
          <w:right w:val="nil"/>
          <w:between w:val="nil"/>
        </w:pBdr>
        <w:spacing w:line="360" w:lineRule="auto"/>
        <w:ind w:left="1494"/>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Funciones;</w:t>
      </w:r>
    </w:p>
    <w:p w14:paraId="32A90788" w14:textId="5D45C7A6" w:rsidR="00C53EC4" w:rsidRDefault="00576F4C" w:rsidP="00576F4C">
      <w:pPr>
        <w:numPr>
          <w:ilvl w:val="0"/>
          <w:numId w:val="3"/>
        </w:numPr>
        <w:pBdr>
          <w:top w:val="nil"/>
          <w:left w:val="nil"/>
          <w:bottom w:val="nil"/>
          <w:right w:val="nil"/>
          <w:between w:val="nil"/>
        </w:pBdr>
        <w:spacing w:line="360" w:lineRule="auto"/>
        <w:ind w:left="1494"/>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Información curricular; y</w:t>
      </w:r>
    </w:p>
    <w:p w14:paraId="1992B3BE" w14:textId="77777777" w:rsidR="00C53EC4" w:rsidRDefault="0035717E" w:rsidP="00576F4C">
      <w:pPr>
        <w:numPr>
          <w:ilvl w:val="0"/>
          <w:numId w:val="3"/>
        </w:numPr>
        <w:pBdr>
          <w:top w:val="nil"/>
          <w:left w:val="nil"/>
          <w:bottom w:val="nil"/>
          <w:right w:val="nil"/>
          <w:between w:val="nil"/>
        </w:pBdr>
        <w:spacing w:line="360" w:lineRule="auto"/>
        <w:ind w:left="1494"/>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Grado de estudios.</w:t>
      </w:r>
    </w:p>
    <w:p w14:paraId="2C064782" w14:textId="77777777" w:rsidR="00C53EC4" w:rsidRDefault="00C53EC4" w:rsidP="00576F4C">
      <w:pPr>
        <w:spacing w:line="360" w:lineRule="auto"/>
        <w:jc w:val="both"/>
        <w:rPr>
          <w:rFonts w:ascii="Palatino Linotype" w:eastAsia="Palatino Linotype" w:hAnsi="Palatino Linotype" w:cs="Palatino Linotype"/>
          <w:color w:val="0D0D0D"/>
          <w:sz w:val="22"/>
          <w:szCs w:val="22"/>
        </w:rPr>
      </w:pPr>
    </w:p>
    <w:p w14:paraId="07F204A5" w14:textId="77777777" w:rsidR="00C53EC4" w:rsidRDefault="0035717E" w:rsidP="00576F4C">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Además, respecto de los puntos 1, 3, 4, 5, 6, y 7 el Sujeto Obligado deberá proporcionar el Acuerdo de Clasificación donde el Comité de Transparencia, confirme la eliminación de los datos confidenciales de los documentos, en la versión pública, de conformidad con los artículos 49, fracciones II y VIII, 132, fracción II, 143, fracción I, y 149 de la Ley de Transparencia y Acceso a la Información Pública del Estado de México y Municipios. Para el caso de que los oficios faltantes hayan sido cancelados, deberá hacerlo del conocimiento del ahora Recurrente, de manera precisa y clara.</w:t>
      </w:r>
    </w:p>
    <w:p w14:paraId="6AA8ED2E" w14:textId="77777777" w:rsidR="00C53EC4" w:rsidRDefault="00C53EC4" w:rsidP="00576F4C">
      <w:pPr>
        <w:spacing w:line="360" w:lineRule="auto"/>
        <w:jc w:val="both"/>
        <w:rPr>
          <w:rFonts w:ascii="Palatino Linotype" w:eastAsia="Palatino Linotype" w:hAnsi="Palatino Linotype" w:cs="Palatino Linotype"/>
          <w:color w:val="0D0D0D"/>
          <w:sz w:val="22"/>
          <w:szCs w:val="22"/>
        </w:rPr>
      </w:pPr>
    </w:p>
    <w:p w14:paraId="6D9FE33C" w14:textId="765D95F1" w:rsidR="00C53EC4" w:rsidRDefault="0035717E" w:rsidP="00576F4C">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Por lo que hace a los puntos 4 d</w:t>
      </w:r>
      <w:r w:rsidR="00576F4C">
        <w:rPr>
          <w:rFonts w:ascii="Palatino Linotype" w:eastAsia="Palatino Linotype" w:hAnsi="Palatino Linotype" w:cs="Palatino Linotype"/>
          <w:color w:val="0D0D0D"/>
          <w:sz w:val="22"/>
          <w:szCs w:val="22"/>
        </w:rPr>
        <w:t xml:space="preserve"> y </w:t>
      </w:r>
      <w:r>
        <w:rPr>
          <w:rFonts w:ascii="Palatino Linotype" w:eastAsia="Palatino Linotype" w:hAnsi="Palatino Linotype" w:cs="Palatino Linotype"/>
          <w:color w:val="0D0D0D"/>
          <w:sz w:val="22"/>
          <w:szCs w:val="22"/>
        </w:rPr>
        <w:t>7 h</w:t>
      </w:r>
      <w:r w:rsidR="00576F4C">
        <w:rPr>
          <w:rFonts w:ascii="Palatino Linotype" w:eastAsia="Palatino Linotype" w:hAnsi="Palatino Linotype" w:cs="Palatino Linotype"/>
          <w:color w:val="0D0D0D"/>
          <w:sz w:val="22"/>
          <w:szCs w:val="22"/>
        </w:rPr>
        <w:t>,</w:t>
      </w:r>
      <w:r>
        <w:rPr>
          <w:rFonts w:ascii="Palatino Linotype" w:eastAsia="Palatino Linotype" w:hAnsi="Palatino Linotype" w:cs="Palatino Linotype"/>
          <w:color w:val="0D0D0D"/>
          <w:sz w:val="22"/>
          <w:szCs w:val="22"/>
        </w:rPr>
        <w:t xml:space="preserve"> que no cuente con la información, al no contar con obligación normativa deberá hacerlo del conocimiento del Recurrente en los términos previamente expuestos. En cuanto a los puntos 4</w:t>
      </w:r>
      <w:r w:rsidR="00576F4C">
        <w:rPr>
          <w:rFonts w:ascii="Palatino Linotype" w:eastAsia="Palatino Linotype" w:hAnsi="Palatino Linotype" w:cs="Palatino Linotype"/>
          <w:color w:val="0D0D0D"/>
          <w:sz w:val="22"/>
          <w:szCs w:val="22"/>
        </w:rPr>
        <w:t xml:space="preserve"> </w:t>
      </w:r>
      <w:r>
        <w:rPr>
          <w:rFonts w:ascii="Palatino Linotype" w:eastAsia="Palatino Linotype" w:hAnsi="Palatino Linotype" w:cs="Palatino Linotype"/>
          <w:color w:val="0D0D0D"/>
          <w:sz w:val="22"/>
          <w:szCs w:val="22"/>
        </w:rPr>
        <w:t>a y 7</w:t>
      </w:r>
      <w:r w:rsidR="00576F4C">
        <w:rPr>
          <w:rFonts w:ascii="Palatino Linotype" w:eastAsia="Palatino Linotype" w:hAnsi="Palatino Linotype" w:cs="Palatino Linotype"/>
          <w:color w:val="0D0D0D"/>
          <w:sz w:val="22"/>
          <w:szCs w:val="22"/>
        </w:rPr>
        <w:t xml:space="preserve"> </w:t>
      </w:r>
      <w:r>
        <w:rPr>
          <w:rFonts w:ascii="Palatino Linotype" w:eastAsia="Palatino Linotype" w:hAnsi="Palatino Linotype" w:cs="Palatino Linotype"/>
          <w:color w:val="0D0D0D"/>
          <w:sz w:val="22"/>
          <w:szCs w:val="22"/>
        </w:rPr>
        <w:t>e,</w:t>
      </w:r>
      <w:r w:rsidR="00576F4C">
        <w:rPr>
          <w:rFonts w:ascii="Palatino Linotype" w:eastAsia="Palatino Linotype" w:hAnsi="Palatino Linotype" w:cs="Palatino Linotype"/>
          <w:color w:val="0D0D0D"/>
          <w:sz w:val="22"/>
          <w:szCs w:val="22"/>
        </w:rPr>
        <w:t xml:space="preserve"> si no cuenta con el registro de asistencia,</w:t>
      </w:r>
      <w:r>
        <w:rPr>
          <w:rFonts w:ascii="Palatino Linotype" w:eastAsia="Palatino Linotype" w:hAnsi="Palatino Linotype" w:cs="Palatino Linotype"/>
          <w:color w:val="0D0D0D"/>
          <w:sz w:val="22"/>
          <w:szCs w:val="22"/>
        </w:rPr>
        <w:t xml:space="preserve"> deberá proporcionar autorización emitida por autoridad competente para exceptuar el registro de asistencia.</w:t>
      </w:r>
    </w:p>
    <w:p w14:paraId="29DD79B9" w14:textId="77777777" w:rsidR="00C53EC4" w:rsidRDefault="00C53EC4" w:rsidP="00576F4C">
      <w:pPr>
        <w:spacing w:line="360" w:lineRule="auto"/>
        <w:jc w:val="both"/>
        <w:rPr>
          <w:rFonts w:ascii="Palatino Linotype" w:eastAsia="Palatino Linotype" w:hAnsi="Palatino Linotype" w:cs="Palatino Linotype"/>
          <w:color w:val="0D0D0D"/>
          <w:sz w:val="22"/>
          <w:szCs w:val="22"/>
        </w:rPr>
      </w:pPr>
    </w:p>
    <w:p w14:paraId="74856532" w14:textId="31C66E8F" w:rsidR="00576F4C" w:rsidRDefault="00576F4C" w:rsidP="00576F4C">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lastRenderedPageBreak/>
        <w:t>Para el supuesto respecto al punto 1 y 5 de que alguno de los oficios haya sido cancelado, deberá hacerlo del conocimiento a la parte Recurrente, de manera clara y precisa.</w:t>
      </w:r>
    </w:p>
    <w:p w14:paraId="4FE43704" w14:textId="77777777" w:rsidR="00576F4C" w:rsidRDefault="00576F4C" w:rsidP="00576F4C">
      <w:pPr>
        <w:spacing w:line="360" w:lineRule="auto"/>
        <w:jc w:val="both"/>
        <w:rPr>
          <w:rFonts w:ascii="Palatino Linotype" w:eastAsia="Palatino Linotype" w:hAnsi="Palatino Linotype" w:cs="Palatino Linotype"/>
          <w:color w:val="0D0D0D"/>
          <w:sz w:val="22"/>
          <w:szCs w:val="22"/>
        </w:rPr>
      </w:pPr>
    </w:p>
    <w:p w14:paraId="30936AAD"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TERCERO. NOTIFÍQUESE POR SAIMEX</w:t>
      </w:r>
      <w:r>
        <w:rPr>
          <w:rFonts w:ascii="Palatino Linotype" w:eastAsia="Palatino Linotype" w:hAnsi="Palatino Linotype" w:cs="Palatino Linotype"/>
          <w:sz w:val="22"/>
          <w:szCs w:val="22"/>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 </w:t>
      </w:r>
    </w:p>
    <w:p w14:paraId="227038BB" w14:textId="77777777" w:rsidR="00C53EC4" w:rsidRDefault="00C53EC4" w:rsidP="00576F4C">
      <w:pPr>
        <w:spacing w:line="360" w:lineRule="auto"/>
        <w:jc w:val="both"/>
        <w:rPr>
          <w:rFonts w:ascii="Palatino Linotype" w:eastAsia="Palatino Linotype" w:hAnsi="Palatino Linotype" w:cs="Palatino Linotype"/>
          <w:sz w:val="22"/>
          <w:szCs w:val="22"/>
        </w:rPr>
      </w:pPr>
    </w:p>
    <w:p w14:paraId="463D1528"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conformidad con el artículo 198 de la Ley de la materia, de considerarlo procedente, el Sujeto Obligado de manera fundada y motivada, podrá solicitar una ampliación de plazo para el cumplimiento de la presente Resolución.</w:t>
      </w:r>
    </w:p>
    <w:p w14:paraId="3061745A"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25B96BDA"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CUARTO. NOTIFÍQUESE POR SAIMEX</w:t>
      </w:r>
      <w:r>
        <w:rPr>
          <w:rFonts w:ascii="Palatino Linotype" w:eastAsia="Palatino Linotype" w:hAnsi="Palatino Linotype" w:cs="Palatino Linotype"/>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56B44CA" w14:textId="77777777" w:rsidR="00C53EC4" w:rsidRDefault="00C53EC4" w:rsidP="00576F4C">
      <w:pPr>
        <w:spacing w:line="360" w:lineRule="auto"/>
        <w:jc w:val="both"/>
        <w:rPr>
          <w:rFonts w:ascii="Palatino Linotype" w:eastAsia="Palatino Linotype" w:hAnsi="Palatino Linotype" w:cs="Palatino Linotype"/>
          <w:sz w:val="22"/>
          <w:szCs w:val="22"/>
        </w:rPr>
      </w:pPr>
    </w:p>
    <w:p w14:paraId="0F3AD4E0" w14:textId="77777777" w:rsidR="00C53EC4" w:rsidRDefault="0035717E" w:rsidP="00576F4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QUINTO. </w:t>
      </w:r>
      <w:r>
        <w:rPr>
          <w:rFonts w:ascii="Palatino Linotype" w:eastAsia="Palatino Linotype" w:hAnsi="Palatino Linotype" w:cs="Palatino Linotype"/>
          <w:sz w:val="22"/>
          <w:szCs w:val="22"/>
        </w:rPr>
        <w:t xml:space="preserve">Con fundamento en lo dispuesto en el artículo 24, fracciones XI, XII y XIII del Reglamento Interior del Instituto de Transparencia, Acceso a la Información Pública y Protección de Datos Personales del Estado de México y Municipios, gírese oficio a la </w:t>
      </w:r>
      <w:r>
        <w:rPr>
          <w:rFonts w:ascii="Palatino Linotype" w:eastAsia="Palatino Linotype" w:hAnsi="Palatino Linotype" w:cs="Palatino Linotype"/>
          <w:sz w:val="22"/>
          <w:szCs w:val="22"/>
        </w:rPr>
        <w:lastRenderedPageBreak/>
        <w:t>Dirección General de Protección de Datos Personales de este Instituto, en términos de lo dispuesto en el Considerando QUINTO de la presente Resolución.</w:t>
      </w:r>
    </w:p>
    <w:p w14:paraId="5F054088" w14:textId="77777777" w:rsidR="00C53EC4" w:rsidRDefault="00C53EC4" w:rsidP="00576F4C">
      <w:pPr>
        <w:spacing w:line="360" w:lineRule="auto"/>
        <w:jc w:val="both"/>
        <w:rPr>
          <w:rFonts w:ascii="Palatino Linotype" w:eastAsia="Palatino Linotype" w:hAnsi="Palatino Linotype" w:cs="Palatino Linotype"/>
          <w:sz w:val="22"/>
          <w:szCs w:val="22"/>
        </w:rPr>
      </w:pPr>
    </w:p>
    <w:p w14:paraId="530DBED6" w14:textId="454B764F" w:rsidR="00800220" w:rsidRDefault="00800220" w:rsidP="0080022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LO RESUELVE, POR </w:t>
      </w:r>
      <w:r>
        <w:rPr>
          <w:rFonts w:ascii="Palatino Linotype" w:eastAsia="Palatino Linotype" w:hAnsi="Palatino Linotype" w:cs="Palatino Linotype"/>
          <w:b/>
          <w:sz w:val="22"/>
          <w:szCs w:val="22"/>
        </w:rPr>
        <w:t>UNANIMIDAD</w:t>
      </w:r>
      <w:r>
        <w:rPr>
          <w:rFonts w:ascii="Palatino Linotype" w:eastAsia="Palatino Linotype" w:hAnsi="Palatino Linotype" w:cs="Palatino Linotype"/>
          <w:sz w:val="22"/>
          <w:szCs w:val="22"/>
        </w:rPr>
        <w:t xml:space="preserve"> DE VOTOS EL PLENO DEL INSTITUTO DE TRANSPARENCIA, ACCESO A LA INFORMACIÓN PÚBLICA Y PROTECCIÓN DE DATOS PERSONALES DEL ESTADO DE MÉXICO Y MUNICIPIOS, CONFORMADO POR LOS COMISIONADOS JOSÉ MARTÍNEZ VILCHIS CON VOTO PARTICULAR, MARÍA DEL ROSARIO MEJÍA AYALA</w:t>
      </w:r>
      <w:r w:rsidR="00506393">
        <w:rPr>
          <w:rFonts w:ascii="Palatino Linotype" w:eastAsia="Palatino Linotype" w:hAnsi="Palatino Linotype" w:cs="Palatino Linotype"/>
          <w:sz w:val="22"/>
          <w:szCs w:val="22"/>
        </w:rPr>
        <w:t xml:space="preserve"> CON</w:t>
      </w:r>
      <w:r>
        <w:rPr>
          <w:rFonts w:ascii="Palatino Linotype" w:eastAsia="Palatino Linotype" w:hAnsi="Palatino Linotype" w:cs="Palatino Linotype"/>
          <w:sz w:val="22"/>
          <w:szCs w:val="22"/>
        </w:rPr>
        <w:t xml:space="preserve"> VOTO PARTICULAR, SHARON CRISTINA MORALES MARTÍNEZ </w:t>
      </w:r>
      <w:r w:rsidR="00506393">
        <w:rPr>
          <w:rFonts w:ascii="Palatino Linotype" w:eastAsia="Palatino Linotype" w:hAnsi="Palatino Linotype" w:cs="Palatino Linotype"/>
          <w:sz w:val="22"/>
          <w:szCs w:val="22"/>
        </w:rPr>
        <w:t xml:space="preserve">CON </w:t>
      </w:r>
      <w:r>
        <w:rPr>
          <w:rFonts w:ascii="Palatino Linotype" w:eastAsia="Palatino Linotype" w:hAnsi="Palatino Linotype" w:cs="Palatino Linotype"/>
          <w:sz w:val="22"/>
          <w:szCs w:val="22"/>
        </w:rPr>
        <w:t>VOTO PARTICULAR, LUIS GUSTAVO PARRA NORIEGA CON VOTO PARTICULA</w:t>
      </w:r>
      <w:r w:rsidR="00821404">
        <w:rPr>
          <w:rFonts w:ascii="Palatino Linotype" w:eastAsia="Palatino Linotype" w:hAnsi="Palatino Linotype" w:cs="Palatino Linotype"/>
          <w:sz w:val="22"/>
          <w:szCs w:val="22"/>
        </w:rPr>
        <w:t>R</w:t>
      </w:r>
      <w:r w:rsidR="00506393">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 xml:space="preserve"> Y GUADALUPE RAMÍREZ PEÑA CON VOTO PARTICULAR, EN LA CUADRAGÉSIMA SESIÓN ORDINARIA, CELEBRADA EL DOCE DE NOVIEMBRE DE DOS MIL VEINTICINCO, ANTE EL SECRETARIO TÉCNICO DEL PLENO, ALEXIS TAPIA RAMÍREZ.</w:t>
      </w:r>
    </w:p>
    <w:p w14:paraId="515EE811" w14:textId="77777777" w:rsidR="00800220" w:rsidRDefault="00800220" w:rsidP="00800220">
      <w:pPr>
        <w:spacing w:line="360" w:lineRule="auto"/>
        <w:contextualSpacing/>
        <w:jc w:val="both"/>
        <w:rPr>
          <w:rFonts w:ascii="Palatino Linotype" w:eastAsia="Palatino Linotype" w:hAnsi="Palatino Linotype" w:cs="Palatino Linotype"/>
          <w:sz w:val="22"/>
          <w:szCs w:val="22"/>
        </w:rPr>
      </w:pPr>
    </w:p>
    <w:p w14:paraId="23E1C82D" w14:textId="77777777" w:rsidR="00C53EC4" w:rsidRDefault="00C53EC4" w:rsidP="00576F4C">
      <w:pPr>
        <w:spacing w:line="360" w:lineRule="auto"/>
        <w:jc w:val="both"/>
        <w:rPr>
          <w:rFonts w:ascii="Palatino Linotype" w:eastAsia="Palatino Linotype" w:hAnsi="Palatino Linotype" w:cs="Palatino Linotype"/>
          <w:sz w:val="22"/>
          <w:szCs w:val="22"/>
        </w:rPr>
      </w:pPr>
    </w:p>
    <w:p w14:paraId="27C9315A" w14:textId="77777777" w:rsidR="00C53EC4" w:rsidRDefault="00C53EC4" w:rsidP="00576F4C">
      <w:pPr>
        <w:spacing w:line="360" w:lineRule="auto"/>
        <w:rPr>
          <w:rFonts w:ascii="Palatino Linotype" w:eastAsia="Palatino Linotype" w:hAnsi="Palatino Linotype" w:cs="Palatino Linotype"/>
        </w:rPr>
      </w:pPr>
    </w:p>
    <w:p w14:paraId="6C771CB7" w14:textId="77777777" w:rsidR="00C53EC4" w:rsidRDefault="00C53EC4" w:rsidP="00576F4C">
      <w:pPr>
        <w:spacing w:line="360" w:lineRule="auto"/>
        <w:rPr>
          <w:rFonts w:ascii="Palatino Linotype" w:eastAsia="Palatino Linotype" w:hAnsi="Palatino Linotype" w:cs="Palatino Linotype"/>
        </w:rPr>
      </w:pPr>
    </w:p>
    <w:p w14:paraId="30957C36" w14:textId="77777777" w:rsidR="00C53EC4" w:rsidRDefault="00C53EC4" w:rsidP="00576F4C">
      <w:pPr>
        <w:spacing w:line="360" w:lineRule="auto"/>
        <w:rPr>
          <w:rFonts w:ascii="Palatino Linotype" w:eastAsia="Palatino Linotype" w:hAnsi="Palatino Linotype" w:cs="Palatino Linotype"/>
        </w:rPr>
      </w:pPr>
    </w:p>
    <w:p w14:paraId="71CAF476" w14:textId="77777777" w:rsidR="00C53EC4" w:rsidRDefault="00C53EC4" w:rsidP="00576F4C">
      <w:pPr>
        <w:spacing w:line="360" w:lineRule="auto"/>
        <w:rPr>
          <w:rFonts w:ascii="Palatino Linotype" w:eastAsia="Palatino Linotype" w:hAnsi="Palatino Linotype" w:cs="Palatino Linotype"/>
        </w:rPr>
      </w:pPr>
    </w:p>
    <w:p w14:paraId="121152B3" w14:textId="77777777" w:rsidR="00C53EC4" w:rsidRDefault="00C53EC4" w:rsidP="00576F4C">
      <w:pPr>
        <w:spacing w:line="360" w:lineRule="auto"/>
        <w:rPr>
          <w:rFonts w:ascii="Palatino Linotype" w:eastAsia="Palatino Linotype" w:hAnsi="Palatino Linotype" w:cs="Palatino Linotype"/>
        </w:rPr>
      </w:pPr>
    </w:p>
    <w:p w14:paraId="3D9E4C02" w14:textId="77777777" w:rsidR="00C53EC4" w:rsidRDefault="00C53EC4" w:rsidP="00576F4C">
      <w:pPr>
        <w:spacing w:line="360" w:lineRule="auto"/>
        <w:rPr>
          <w:rFonts w:ascii="Palatino Linotype" w:eastAsia="Palatino Linotype" w:hAnsi="Palatino Linotype" w:cs="Palatino Linotype"/>
        </w:rPr>
      </w:pPr>
    </w:p>
    <w:p w14:paraId="7CD6BE4B" w14:textId="77777777" w:rsidR="00C53EC4" w:rsidRDefault="00C53EC4" w:rsidP="00576F4C">
      <w:pPr>
        <w:spacing w:line="360" w:lineRule="auto"/>
        <w:rPr>
          <w:rFonts w:ascii="Palatino Linotype" w:eastAsia="Palatino Linotype" w:hAnsi="Palatino Linotype" w:cs="Palatino Linotype"/>
        </w:rPr>
      </w:pPr>
    </w:p>
    <w:p w14:paraId="554F2DB8" w14:textId="77777777" w:rsidR="00C53EC4" w:rsidRDefault="00C53EC4" w:rsidP="00576F4C">
      <w:pPr>
        <w:spacing w:line="360" w:lineRule="auto"/>
        <w:rPr>
          <w:rFonts w:ascii="Palatino Linotype" w:eastAsia="Palatino Linotype" w:hAnsi="Palatino Linotype" w:cs="Palatino Linotype"/>
        </w:rPr>
      </w:pPr>
    </w:p>
    <w:p w14:paraId="5999CA07" w14:textId="77777777" w:rsidR="00C53EC4" w:rsidRDefault="00C53EC4" w:rsidP="00576F4C">
      <w:pPr>
        <w:spacing w:line="360" w:lineRule="auto"/>
        <w:rPr>
          <w:rFonts w:ascii="Palatino Linotype" w:eastAsia="Palatino Linotype" w:hAnsi="Palatino Linotype" w:cs="Palatino Linotype"/>
        </w:rPr>
      </w:pPr>
    </w:p>
    <w:p w14:paraId="7BE854BE" w14:textId="77777777" w:rsidR="00C53EC4" w:rsidRDefault="00C53EC4" w:rsidP="00576F4C">
      <w:pPr>
        <w:spacing w:line="360" w:lineRule="auto"/>
        <w:rPr>
          <w:rFonts w:ascii="Palatino Linotype" w:eastAsia="Palatino Linotype" w:hAnsi="Palatino Linotype" w:cs="Palatino Linotype"/>
        </w:rPr>
      </w:pPr>
    </w:p>
    <w:p w14:paraId="1B07F3F0" w14:textId="77777777" w:rsidR="00C53EC4" w:rsidRDefault="00C53EC4" w:rsidP="00576F4C">
      <w:pPr>
        <w:spacing w:line="360" w:lineRule="auto"/>
        <w:rPr>
          <w:rFonts w:ascii="Palatino Linotype" w:eastAsia="Palatino Linotype" w:hAnsi="Palatino Linotype" w:cs="Palatino Linotype"/>
        </w:rPr>
      </w:pPr>
    </w:p>
    <w:p w14:paraId="1B25FBDB" w14:textId="77777777" w:rsidR="00C53EC4" w:rsidRDefault="00C53EC4" w:rsidP="00576F4C">
      <w:pPr>
        <w:spacing w:line="360" w:lineRule="auto"/>
        <w:rPr>
          <w:rFonts w:ascii="Palatino Linotype" w:eastAsia="Palatino Linotype" w:hAnsi="Palatino Linotype" w:cs="Palatino Linotype"/>
        </w:rPr>
      </w:pPr>
    </w:p>
    <w:p w14:paraId="1B3BC6D8" w14:textId="77777777" w:rsidR="00C53EC4" w:rsidRDefault="00C53EC4" w:rsidP="00576F4C">
      <w:pPr>
        <w:spacing w:line="360" w:lineRule="auto"/>
        <w:rPr>
          <w:rFonts w:ascii="Palatino Linotype" w:eastAsia="Palatino Linotype" w:hAnsi="Palatino Linotype" w:cs="Palatino Linotype"/>
        </w:rPr>
      </w:pPr>
    </w:p>
    <w:p w14:paraId="5F480E7B" w14:textId="77777777" w:rsidR="00C53EC4" w:rsidRDefault="00C53EC4" w:rsidP="00576F4C">
      <w:pPr>
        <w:spacing w:line="360" w:lineRule="auto"/>
        <w:rPr>
          <w:rFonts w:ascii="Palatino Linotype" w:eastAsia="Palatino Linotype" w:hAnsi="Palatino Linotype" w:cs="Palatino Linotype"/>
        </w:rPr>
      </w:pPr>
    </w:p>
    <w:p w14:paraId="6A605F7F" w14:textId="77777777" w:rsidR="00C53EC4" w:rsidRDefault="00C53EC4" w:rsidP="00576F4C">
      <w:pPr>
        <w:spacing w:line="360" w:lineRule="auto"/>
      </w:pPr>
    </w:p>
    <w:p w14:paraId="0E3C6AAC" w14:textId="77777777" w:rsidR="00C53EC4" w:rsidRDefault="00C53EC4" w:rsidP="00576F4C">
      <w:pPr>
        <w:spacing w:line="360" w:lineRule="auto"/>
      </w:pPr>
    </w:p>
    <w:p w14:paraId="3ED512AA" w14:textId="77777777" w:rsidR="00C53EC4" w:rsidRDefault="00C53EC4" w:rsidP="00576F4C">
      <w:pPr>
        <w:spacing w:line="360" w:lineRule="auto"/>
      </w:pPr>
    </w:p>
    <w:p w14:paraId="0F39D6DB" w14:textId="77777777" w:rsidR="00C53EC4" w:rsidRDefault="00C53EC4" w:rsidP="00576F4C">
      <w:pPr>
        <w:spacing w:line="360" w:lineRule="auto"/>
      </w:pPr>
    </w:p>
    <w:p w14:paraId="38F453E5" w14:textId="77777777" w:rsidR="00C53EC4" w:rsidRDefault="00C53EC4" w:rsidP="00576F4C">
      <w:pPr>
        <w:spacing w:line="360" w:lineRule="auto"/>
      </w:pPr>
    </w:p>
    <w:p w14:paraId="104344D9" w14:textId="77777777" w:rsidR="00C53EC4" w:rsidRDefault="00C53EC4" w:rsidP="00576F4C">
      <w:pPr>
        <w:spacing w:line="360" w:lineRule="auto"/>
      </w:pPr>
    </w:p>
    <w:p w14:paraId="7FB4E556" w14:textId="77777777" w:rsidR="00C53EC4" w:rsidRDefault="00C53EC4" w:rsidP="00576F4C">
      <w:pPr>
        <w:spacing w:line="360" w:lineRule="auto"/>
      </w:pPr>
    </w:p>
    <w:p w14:paraId="59CF1066" w14:textId="77777777" w:rsidR="00C53EC4" w:rsidRDefault="00C53EC4" w:rsidP="00576F4C">
      <w:pPr>
        <w:spacing w:line="360" w:lineRule="auto"/>
      </w:pPr>
    </w:p>
    <w:p w14:paraId="77B4F224" w14:textId="77777777" w:rsidR="00C53EC4" w:rsidRDefault="00C53EC4" w:rsidP="00576F4C">
      <w:pPr>
        <w:spacing w:line="360" w:lineRule="auto"/>
      </w:pPr>
    </w:p>
    <w:p w14:paraId="73BA4E27" w14:textId="77777777" w:rsidR="00C53EC4" w:rsidRDefault="00C53EC4" w:rsidP="00576F4C">
      <w:pPr>
        <w:spacing w:line="360" w:lineRule="auto"/>
      </w:pPr>
    </w:p>
    <w:p w14:paraId="4D5530C4" w14:textId="77777777" w:rsidR="00C53EC4" w:rsidRDefault="00C53EC4" w:rsidP="00576F4C">
      <w:pPr>
        <w:spacing w:line="360" w:lineRule="auto"/>
      </w:pPr>
    </w:p>
    <w:p w14:paraId="583CC01E" w14:textId="77777777" w:rsidR="00C53EC4" w:rsidRDefault="00C53EC4" w:rsidP="00576F4C">
      <w:pPr>
        <w:spacing w:line="360" w:lineRule="auto"/>
      </w:pPr>
    </w:p>
    <w:p w14:paraId="2DA334D6" w14:textId="77777777" w:rsidR="00C53EC4" w:rsidRDefault="00C53EC4" w:rsidP="00576F4C">
      <w:pPr>
        <w:spacing w:line="360" w:lineRule="auto"/>
      </w:pPr>
    </w:p>
    <w:p w14:paraId="692ECBD5" w14:textId="77777777" w:rsidR="00C53EC4" w:rsidRDefault="00C53EC4" w:rsidP="00576F4C">
      <w:pPr>
        <w:spacing w:line="360" w:lineRule="auto"/>
      </w:pPr>
    </w:p>
    <w:p w14:paraId="434E9F44" w14:textId="77777777" w:rsidR="00C53EC4" w:rsidRDefault="00C53EC4" w:rsidP="00576F4C">
      <w:pPr>
        <w:spacing w:line="360" w:lineRule="auto"/>
      </w:pPr>
    </w:p>
    <w:p w14:paraId="3A40DB54" w14:textId="77777777" w:rsidR="00C53EC4" w:rsidRDefault="00C53EC4" w:rsidP="00576F4C">
      <w:pPr>
        <w:spacing w:line="360" w:lineRule="auto"/>
      </w:pPr>
    </w:p>
    <w:p w14:paraId="652B075F" w14:textId="77777777" w:rsidR="00C53EC4" w:rsidRDefault="00C53EC4" w:rsidP="00576F4C">
      <w:pPr>
        <w:spacing w:line="360" w:lineRule="auto"/>
      </w:pPr>
    </w:p>
    <w:p w14:paraId="3EC6A9E5" w14:textId="77777777" w:rsidR="00C53EC4" w:rsidRDefault="00C53EC4" w:rsidP="00576F4C">
      <w:pPr>
        <w:spacing w:line="360" w:lineRule="auto"/>
      </w:pPr>
    </w:p>
    <w:p w14:paraId="66707C9F" w14:textId="77777777" w:rsidR="00C53EC4" w:rsidRDefault="00C53EC4" w:rsidP="00576F4C">
      <w:pPr>
        <w:spacing w:line="360" w:lineRule="auto"/>
      </w:pPr>
    </w:p>
    <w:p w14:paraId="0469D614" w14:textId="77777777" w:rsidR="00C53EC4" w:rsidRDefault="00C53EC4" w:rsidP="00576F4C">
      <w:pPr>
        <w:spacing w:line="360" w:lineRule="auto"/>
      </w:pPr>
    </w:p>
    <w:sectPr w:rsidR="00C53EC4">
      <w:headerReference w:type="even" r:id="rId13"/>
      <w:headerReference w:type="default" r:id="rId14"/>
      <w:footerReference w:type="even" r:id="rId15"/>
      <w:footerReference w:type="default" r:id="rId16"/>
      <w:headerReference w:type="first" r:id="rId17"/>
      <w:footerReference w:type="first" r:id="rId18"/>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FA499A" w14:textId="77777777" w:rsidR="00430748" w:rsidRDefault="00430748">
      <w:r>
        <w:separator/>
      </w:r>
    </w:p>
  </w:endnote>
  <w:endnote w:type="continuationSeparator" w:id="0">
    <w:p w14:paraId="7CA7CBE0" w14:textId="77777777" w:rsidR="00430748" w:rsidRDefault="004307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A9E3BEE-D1CE-4EAA-95B9-C2323BB5F3FA}"/>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F35F242A-923A-4420-ABF4-17FECA384A5A}"/>
    <w:embedBold r:id="rId3" w:fontKey="{54309D61-C9B2-4A08-9CC8-78D19F224B04}"/>
    <w:embedItalic r:id="rId4" w:fontKey="{8326BEBD-BAEB-4938-BDF1-F3C69B9089FD}"/>
    <w:embedBoldItalic r:id="rId5" w:fontKey="{4D07AB9F-1ADC-4335-8459-E9A088798EB7}"/>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8EACFC22-D425-46A7-8D5A-7A58E58B7407}"/>
  </w:font>
  <w:font w:name="Calibri Light">
    <w:panose1 w:val="020F0302020204030204"/>
    <w:charset w:val="00"/>
    <w:family w:val="swiss"/>
    <w:pitch w:val="variable"/>
    <w:sig w:usb0="E4002EFF" w:usb1="C000247B" w:usb2="00000009" w:usb3="00000000" w:csb0="000001FF" w:csb1="00000000"/>
    <w:embedRegular r:id="rId7" w:fontKey="{0C984FC5-E5D2-48E3-A73F-3F75FC511521}"/>
  </w:font>
  <w:font w:name="Garamond">
    <w:panose1 w:val="02020404030301010803"/>
    <w:charset w:val="00"/>
    <w:family w:val="roman"/>
    <w:pitch w:val="variable"/>
    <w:sig w:usb0="00000287" w:usb1="00000000" w:usb2="00000000" w:usb3="00000000" w:csb0="0000009F" w:csb1="00000000"/>
    <w:embedRegular r:id="rId8" w:fontKey="{8CB381AE-BDD3-4A11-9588-B8D1993EEA9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3B0E8" w14:textId="61F5D1BD" w:rsidR="00C53EC4" w:rsidRDefault="0035717E">
    <w:pPr>
      <w:pBdr>
        <w:top w:val="nil"/>
        <w:left w:val="nil"/>
        <w:bottom w:val="nil"/>
        <w:right w:val="nil"/>
        <w:between w:val="nil"/>
      </w:pBdr>
      <w:tabs>
        <w:tab w:val="center" w:pos="4419"/>
        <w:tab w:val="right" w:pos="8838"/>
      </w:tabs>
      <w:jc w:val="right"/>
      <w:rPr>
        <w:color w:val="000000"/>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PAGE</w:instrText>
    </w:r>
    <w:r>
      <w:rPr>
        <w:rFonts w:ascii="Palatino Linotype" w:eastAsia="Palatino Linotype" w:hAnsi="Palatino Linotype" w:cs="Palatino Linotype"/>
        <w:b/>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NUMPAGES</w:instrText>
    </w:r>
    <w:r w:rsidR="00A428B3">
      <w:rPr>
        <w:rFonts w:ascii="Palatino Linotype" w:eastAsia="Palatino Linotype" w:hAnsi="Palatino Linotype" w:cs="Palatino Linotype"/>
        <w:b/>
        <w:color w:val="000000"/>
        <w:sz w:val="22"/>
        <w:szCs w:val="22"/>
      </w:rPr>
      <w:fldChar w:fldCharType="separate"/>
    </w:r>
    <w:r w:rsidR="00A428B3">
      <w:rPr>
        <w:rFonts w:ascii="Palatino Linotype" w:eastAsia="Palatino Linotype" w:hAnsi="Palatino Linotype" w:cs="Palatino Linotype"/>
        <w:b/>
        <w:noProof/>
        <w:color w:val="000000"/>
        <w:sz w:val="22"/>
        <w:szCs w:val="22"/>
      </w:rPr>
      <w:t>49</w:t>
    </w:r>
    <w:r>
      <w:rPr>
        <w:rFonts w:ascii="Palatino Linotype" w:eastAsia="Palatino Linotype" w:hAnsi="Palatino Linotype" w:cs="Palatino Linotype"/>
        <w:b/>
        <w:color w:val="000000"/>
        <w:sz w:val="22"/>
        <w:szCs w:val="22"/>
      </w:rPr>
      <w:fldChar w:fldCharType="end"/>
    </w:r>
  </w:p>
  <w:p w14:paraId="65C6777D" w14:textId="77777777" w:rsidR="00C53EC4" w:rsidRDefault="00C53EC4">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71B3B" w14:textId="77777777" w:rsidR="00C53EC4" w:rsidRDefault="0035717E">
    <w:pPr>
      <w:pBdr>
        <w:top w:val="nil"/>
        <w:left w:val="nil"/>
        <w:bottom w:val="nil"/>
        <w:right w:val="nil"/>
        <w:between w:val="nil"/>
      </w:pBdr>
      <w:tabs>
        <w:tab w:val="center" w:pos="4419"/>
        <w:tab w:val="right" w:pos="8838"/>
      </w:tabs>
      <w:jc w:val="right"/>
      <w:rPr>
        <w:color w:val="000000"/>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PAGE</w:instrText>
    </w:r>
    <w:r>
      <w:rPr>
        <w:rFonts w:ascii="Palatino Linotype" w:eastAsia="Palatino Linotype" w:hAnsi="Palatino Linotype" w:cs="Palatino Linotype"/>
        <w:b/>
        <w:color w:val="000000"/>
        <w:sz w:val="22"/>
        <w:szCs w:val="22"/>
      </w:rPr>
      <w:fldChar w:fldCharType="separate"/>
    </w:r>
    <w:r w:rsidR="00506393">
      <w:rPr>
        <w:rFonts w:ascii="Palatino Linotype" w:eastAsia="Palatino Linotype" w:hAnsi="Palatino Linotype" w:cs="Palatino Linotype"/>
        <w:b/>
        <w:noProof/>
        <w:color w:val="000000"/>
        <w:sz w:val="22"/>
        <w:szCs w:val="22"/>
      </w:rPr>
      <w:t>2</w:t>
    </w:r>
    <w:r>
      <w:rPr>
        <w:rFonts w:ascii="Palatino Linotype" w:eastAsia="Palatino Linotype" w:hAnsi="Palatino Linotype" w:cs="Palatino Linotype"/>
        <w:b/>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NUMPAGES</w:instrText>
    </w:r>
    <w:r>
      <w:rPr>
        <w:rFonts w:ascii="Palatino Linotype" w:eastAsia="Palatino Linotype" w:hAnsi="Palatino Linotype" w:cs="Palatino Linotype"/>
        <w:b/>
        <w:color w:val="000000"/>
        <w:sz w:val="22"/>
        <w:szCs w:val="22"/>
      </w:rPr>
      <w:fldChar w:fldCharType="separate"/>
    </w:r>
    <w:r w:rsidR="00506393">
      <w:rPr>
        <w:rFonts w:ascii="Palatino Linotype" w:eastAsia="Palatino Linotype" w:hAnsi="Palatino Linotype" w:cs="Palatino Linotype"/>
        <w:b/>
        <w:noProof/>
        <w:color w:val="000000"/>
        <w:sz w:val="22"/>
        <w:szCs w:val="22"/>
      </w:rPr>
      <w:t>49</w:t>
    </w:r>
    <w:r>
      <w:rPr>
        <w:rFonts w:ascii="Palatino Linotype" w:eastAsia="Palatino Linotype" w:hAnsi="Palatino Linotype" w:cs="Palatino Linotype"/>
        <w:b/>
        <w:color w:val="000000"/>
        <w:sz w:val="22"/>
        <w:szCs w:val="22"/>
      </w:rPr>
      <w:fldChar w:fldCharType="end"/>
    </w:r>
  </w:p>
  <w:p w14:paraId="259C9CF9" w14:textId="77777777" w:rsidR="00C53EC4" w:rsidRDefault="00C53EC4">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4D00D" w14:textId="77777777" w:rsidR="00C53EC4" w:rsidRDefault="0035717E">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PAGE</w:instrText>
    </w:r>
    <w:r>
      <w:rPr>
        <w:rFonts w:ascii="Palatino Linotype" w:eastAsia="Palatino Linotype" w:hAnsi="Palatino Linotype" w:cs="Palatino Linotype"/>
        <w:b/>
        <w:color w:val="000000"/>
        <w:sz w:val="22"/>
        <w:szCs w:val="22"/>
      </w:rPr>
      <w:fldChar w:fldCharType="separate"/>
    </w:r>
    <w:r w:rsidR="00292903">
      <w:rPr>
        <w:rFonts w:ascii="Palatino Linotype" w:eastAsia="Palatino Linotype" w:hAnsi="Palatino Linotype" w:cs="Palatino Linotype"/>
        <w:b/>
        <w:noProof/>
        <w:color w:val="000000"/>
        <w:sz w:val="22"/>
        <w:szCs w:val="22"/>
      </w:rPr>
      <w:t>1</w:t>
    </w:r>
    <w:r>
      <w:rPr>
        <w:rFonts w:ascii="Palatino Linotype" w:eastAsia="Palatino Linotype" w:hAnsi="Palatino Linotype" w:cs="Palatino Linotype"/>
        <w:b/>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NUMPAGES</w:instrText>
    </w:r>
    <w:r>
      <w:rPr>
        <w:rFonts w:ascii="Palatino Linotype" w:eastAsia="Palatino Linotype" w:hAnsi="Palatino Linotype" w:cs="Palatino Linotype"/>
        <w:b/>
        <w:color w:val="000000"/>
        <w:sz w:val="22"/>
        <w:szCs w:val="22"/>
      </w:rPr>
      <w:fldChar w:fldCharType="separate"/>
    </w:r>
    <w:r w:rsidR="00292903">
      <w:rPr>
        <w:rFonts w:ascii="Palatino Linotype" w:eastAsia="Palatino Linotype" w:hAnsi="Palatino Linotype" w:cs="Palatino Linotype"/>
        <w:b/>
        <w:noProof/>
        <w:color w:val="000000"/>
        <w:sz w:val="22"/>
        <w:szCs w:val="22"/>
      </w:rPr>
      <w:t>1</w:t>
    </w:r>
    <w:r>
      <w:rPr>
        <w:rFonts w:ascii="Palatino Linotype" w:eastAsia="Palatino Linotype" w:hAnsi="Palatino Linotype" w:cs="Palatino Linotype"/>
        <w:b/>
        <w:color w:val="000000"/>
        <w:sz w:val="22"/>
        <w:szCs w:val="22"/>
      </w:rPr>
      <w:fldChar w:fldCharType="end"/>
    </w:r>
  </w:p>
  <w:p w14:paraId="5A1E718A" w14:textId="77777777" w:rsidR="00C53EC4" w:rsidRDefault="00C53EC4">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9267AC" w14:textId="77777777" w:rsidR="00430748" w:rsidRDefault="00430748">
      <w:r>
        <w:separator/>
      </w:r>
    </w:p>
  </w:footnote>
  <w:footnote w:type="continuationSeparator" w:id="0">
    <w:p w14:paraId="1CF81AC1" w14:textId="77777777" w:rsidR="00430748" w:rsidRDefault="004307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BF4FB" w14:textId="77777777" w:rsidR="00C53EC4" w:rsidRDefault="00C53EC4">
    <w:pPr>
      <w:widowControl w:val="0"/>
      <w:pBdr>
        <w:top w:val="nil"/>
        <w:left w:val="nil"/>
        <w:bottom w:val="nil"/>
        <w:right w:val="nil"/>
        <w:between w:val="nil"/>
      </w:pBdr>
      <w:spacing w:line="276" w:lineRule="auto"/>
    </w:pPr>
  </w:p>
  <w:tbl>
    <w:tblPr>
      <w:tblStyle w:val="a0"/>
      <w:tblW w:w="9705" w:type="dxa"/>
      <w:tblInd w:w="0" w:type="dxa"/>
      <w:tblLayout w:type="fixed"/>
      <w:tblLook w:val="0400" w:firstRow="0" w:lastRow="0" w:firstColumn="0" w:lastColumn="0" w:noHBand="0" w:noVBand="1"/>
    </w:tblPr>
    <w:tblGrid>
      <w:gridCol w:w="2972"/>
      <w:gridCol w:w="6733"/>
    </w:tblGrid>
    <w:tr w:rsidR="00C53EC4" w14:paraId="45014006" w14:textId="77777777">
      <w:trPr>
        <w:trHeight w:val="1435"/>
      </w:trPr>
      <w:tc>
        <w:tcPr>
          <w:tcW w:w="2972" w:type="dxa"/>
        </w:tcPr>
        <w:p w14:paraId="53D1F94E" w14:textId="77777777" w:rsidR="00C53EC4" w:rsidRDefault="00C53EC4">
          <w:pPr>
            <w:tabs>
              <w:tab w:val="right" w:pos="4273"/>
            </w:tabs>
            <w:spacing w:line="256" w:lineRule="auto"/>
            <w:rPr>
              <w:rFonts w:ascii="Garamond" w:eastAsia="Garamond" w:hAnsi="Garamond" w:cs="Garamond"/>
              <w:sz w:val="22"/>
              <w:szCs w:val="22"/>
            </w:rPr>
          </w:pPr>
        </w:p>
      </w:tc>
      <w:tc>
        <w:tcPr>
          <w:tcW w:w="6733" w:type="dxa"/>
        </w:tcPr>
        <w:p w14:paraId="3956010D" w14:textId="77777777" w:rsidR="00C53EC4" w:rsidRDefault="00C53EC4">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1"/>
            <w:tblW w:w="5535" w:type="dxa"/>
            <w:tblInd w:w="322" w:type="dxa"/>
            <w:tblBorders>
              <w:top w:val="nil"/>
              <w:left w:val="nil"/>
              <w:bottom w:val="nil"/>
              <w:right w:val="nil"/>
              <w:insideH w:val="nil"/>
              <w:insideV w:val="nil"/>
            </w:tblBorders>
            <w:tblLayout w:type="fixed"/>
            <w:tblLook w:val="0400" w:firstRow="0" w:lastRow="0" w:firstColumn="0" w:lastColumn="0" w:noHBand="0" w:noVBand="1"/>
          </w:tblPr>
          <w:tblGrid>
            <w:gridCol w:w="2447"/>
            <w:gridCol w:w="3088"/>
          </w:tblGrid>
          <w:tr w:rsidR="00C53EC4" w14:paraId="64C1348C" w14:textId="77777777">
            <w:trPr>
              <w:trHeight w:val="144"/>
            </w:trPr>
            <w:tc>
              <w:tcPr>
                <w:tcW w:w="2447" w:type="dxa"/>
              </w:tcPr>
              <w:p w14:paraId="33730FCA" w14:textId="77777777" w:rsidR="00C53EC4" w:rsidRDefault="0035717E">
                <w:pPr>
                  <w:tabs>
                    <w:tab w:val="right" w:pos="8838"/>
                  </w:tabs>
                  <w:ind w:left="-69"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088" w:type="dxa"/>
              </w:tcPr>
              <w:p w14:paraId="60317779" w14:textId="77777777" w:rsidR="00C53EC4" w:rsidRDefault="0035717E">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02946/INFOEM/IP/RR/2021</w:t>
                </w:r>
              </w:p>
            </w:tc>
          </w:tr>
          <w:tr w:rsidR="00C53EC4" w14:paraId="17F54781" w14:textId="77777777">
            <w:trPr>
              <w:trHeight w:val="283"/>
            </w:trPr>
            <w:tc>
              <w:tcPr>
                <w:tcW w:w="2447" w:type="dxa"/>
              </w:tcPr>
              <w:p w14:paraId="6309C5A9" w14:textId="77777777" w:rsidR="00C53EC4" w:rsidRDefault="0035717E">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088" w:type="dxa"/>
              </w:tcPr>
              <w:p w14:paraId="08F0C654" w14:textId="77777777" w:rsidR="00C53EC4" w:rsidRDefault="0035717E">
                <w:pPr>
                  <w:tabs>
                    <w:tab w:val="left" w:pos="2834"/>
                    <w:tab w:val="right" w:pos="8838"/>
                  </w:tabs>
                  <w:ind w:left="-74" w:right="-105"/>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Ayuntamiento de San Antonio la Isla</w:t>
                </w:r>
              </w:p>
            </w:tc>
          </w:tr>
          <w:tr w:rsidR="00C53EC4" w14:paraId="03DC5C73" w14:textId="77777777">
            <w:trPr>
              <w:trHeight w:val="283"/>
            </w:trPr>
            <w:tc>
              <w:tcPr>
                <w:tcW w:w="2447" w:type="dxa"/>
              </w:tcPr>
              <w:p w14:paraId="37C4E22D" w14:textId="77777777" w:rsidR="00C53EC4" w:rsidRDefault="0035717E">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3088" w:type="dxa"/>
              </w:tcPr>
              <w:p w14:paraId="1725A8AC" w14:textId="77777777" w:rsidR="00C53EC4" w:rsidRDefault="0035717E">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p w14:paraId="1AC49D89" w14:textId="77777777" w:rsidR="00C53EC4" w:rsidRDefault="00C53EC4">
                <w:pPr>
                  <w:tabs>
                    <w:tab w:val="right" w:pos="8838"/>
                  </w:tabs>
                  <w:ind w:left="-74" w:right="-105"/>
                  <w:jc w:val="both"/>
                  <w:rPr>
                    <w:rFonts w:ascii="Palatino Linotype" w:eastAsia="Palatino Linotype" w:hAnsi="Palatino Linotype" w:cs="Palatino Linotype"/>
                    <w:b/>
                    <w:sz w:val="22"/>
                    <w:szCs w:val="22"/>
                  </w:rPr>
                </w:pPr>
              </w:p>
            </w:tc>
          </w:tr>
        </w:tbl>
        <w:p w14:paraId="37D36CCA" w14:textId="77777777" w:rsidR="00C53EC4" w:rsidRDefault="00C53EC4">
          <w:pPr>
            <w:tabs>
              <w:tab w:val="right" w:pos="8838"/>
            </w:tabs>
            <w:spacing w:line="256" w:lineRule="auto"/>
            <w:ind w:left="-28"/>
            <w:jc w:val="both"/>
            <w:rPr>
              <w:rFonts w:ascii="Arial" w:eastAsia="Arial" w:hAnsi="Arial" w:cs="Arial"/>
              <w:b/>
              <w:sz w:val="22"/>
              <w:szCs w:val="22"/>
            </w:rPr>
          </w:pPr>
        </w:p>
      </w:tc>
    </w:tr>
  </w:tbl>
  <w:p w14:paraId="5C01FA53" w14:textId="77777777" w:rsidR="00C53EC4" w:rsidRDefault="0035717E">
    <w:pPr>
      <w:pBdr>
        <w:top w:val="nil"/>
        <w:left w:val="nil"/>
        <w:bottom w:val="nil"/>
        <w:right w:val="nil"/>
        <w:between w:val="nil"/>
      </w:pBdr>
      <w:tabs>
        <w:tab w:val="center" w:pos="4419"/>
        <w:tab w:val="right" w:pos="8838"/>
      </w:tabs>
      <w:rPr>
        <w:color w:val="000000"/>
      </w:rPr>
    </w:pPr>
    <w:r>
      <w:rPr>
        <w:rFonts w:ascii="Garamond" w:eastAsia="Garamond" w:hAnsi="Garamond" w:cs="Garamond"/>
        <w:noProof/>
        <w:color w:val="000000"/>
        <w:sz w:val="22"/>
        <w:szCs w:val="22"/>
      </w:rPr>
      <w:drawing>
        <wp:anchor distT="0" distB="0" distL="0" distR="0" simplePos="0" relativeHeight="251657728" behindDoc="1" locked="0" layoutInCell="1" hidden="0" allowOverlap="1" wp14:anchorId="773D432F" wp14:editId="04475F95">
          <wp:simplePos x="0" y="0"/>
          <wp:positionH relativeFrom="margin">
            <wp:posOffset>-1381123</wp:posOffset>
          </wp:positionH>
          <wp:positionV relativeFrom="margin">
            <wp:posOffset>-1611628</wp:posOffset>
          </wp:positionV>
          <wp:extent cx="5612130" cy="7308215"/>
          <wp:effectExtent l="0" t="0" r="0" b="0"/>
          <wp:wrapNone/>
          <wp:docPr id="205032824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612130" cy="730821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DD21B" w14:textId="1DFFE987" w:rsidR="00C53EC4" w:rsidRDefault="00000000">
    <w:pPr>
      <w:widowControl w:val="0"/>
      <w:pBdr>
        <w:top w:val="nil"/>
        <w:left w:val="nil"/>
        <w:bottom w:val="nil"/>
        <w:right w:val="nil"/>
        <w:between w:val="nil"/>
      </w:pBdr>
      <w:spacing w:line="276" w:lineRule="auto"/>
      <w:rPr>
        <w:color w:val="000000"/>
      </w:rPr>
    </w:pPr>
    <w:r>
      <w:rPr>
        <w:rFonts w:ascii="Garamond" w:eastAsia="Garamond" w:hAnsi="Garamond" w:cs="Garamond"/>
        <w:noProof/>
        <w:sz w:val="22"/>
        <w:szCs w:val="22"/>
      </w:rPr>
      <w:pict w14:anchorId="7C69C1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79.05pt;margin-top:-131.5pt;width:663.5pt;height:12in;z-index:-251656704;mso-position-horizontal-relative:margin;mso-position-vertical-relative:margin">
          <v:imagedata r:id="rId1" o:title="image1"/>
          <w10:wrap anchorx="margin" anchory="margin"/>
        </v:shape>
      </w:pict>
    </w:r>
  </w:p>
  <w:tbl>
    <w:tblPr>
      <w:tblStyle w:val="a2"/>
      <w:tblW w:w="9356" w:type="dxa"/>
      <w:tblInd w:w="0" w:type="dxa"/>
      <w:tblLayout w:type="fixed"/>
      <w:tblLook w:val="0400" w:firstRow="0" w:lastRow="0" w:firstColumn="0" w:lastColumn="0" w:noHBand="0" w:noVBand="1"/>
    </w:tblPr>
    <w:tblGrid>
      <w:gridCol w:w="1985"/>
      <w:gridCol w:w="7371"/>
    </w:tblGrid>
    <w:tr w:rsidR="00C53EC4" w14:paraId="7C1B20C5" w14:textId="77777777">
      <w:trPr>
        <w:trHeight w:val="1435"/>
      </w:trPr>
      <w:tc>
        <w:tcPr>
          <w:tcW w:w="1985" w:type="dxa"/>
        </w:tcPr>
        <w:p w14:paraId="77B25449" w14:textId="731C413E" w:rsidR="00C53EC4" w:rsidRDefault="00C53EC4">
          <w:pPr>
            <w:tabs>
              <w:tab w:val="right" w:pos="4273"/>
            </w:tabs>
            <w:spacing w:line="256" w:lineRule="auto"/>
            <w:rPr>
              <w:rFonts w:ascii="Garamond" w:eastAsia="Garamond" w:hAnsi="Garamond" w:cs="Garamond"/>
              <w:sz w:val="22"/>
              <w:szCs w:val="22"/>
            </w:rPr>
          </w:pPr>
        </w:p>
      </w:tc>
      <w:tc>
        <w:tcPr>
          <w:tcW w:w="7371" w:type="dxa"/>
        </w:tcPr>
        <w:p w14:paraId="0F5865BD" w14:textId="77777777" w:rsidR="00C53EC4" w:rsidRDefault="00C53EC4">
          <w:pPr>
            <w:rPr>
              <w:sz w:val="28"/>
              <w:szCs w:val="28"/>
            </w:rPr>
          </w:pPr>
        </w:p>
        <w:tbl>
          <w:tblPr>
            <w:tblStyle w:val="a3"/>
            <w:tblW w:w="8072" w:type="dxa"/>
            <w:tblInd w:w="1161" w:type="dxa"/>
            <w:tblBorders>
              <w:top w:val="nil"/>
              <w:left w:val="nil"/>
              <w:bottom w:val="nil"/>
              <w:right w:val="nil"/>
              <w:insideH w:val="nil"/>
              <w:insideV w:val="nil"/>
            </w:tblBorders>
            <w:tblLayout w:type="fixed"/>
            <w:tblLook w:val="0400" w:firstRow="0" w:lastRow="0" w:firstColumn="0" w:lastColumn="0" w:noHBand="0" w:noVBand="1"/>
          </w:tblPr>
          <w:tblGrid>
            <w:gridCol w:w="2841"/>
            <w:gridCol w:w="2835"/>
            <w:gridCol w:w="2396"/>
          </w:tblGrid>
          <w:tr w:rsidR="00C53EC4" w14:paraId="5FC61723" w14:textId="77777777">
            <w:trPr>
              <w:trHeight w:val="194"/>
            </w:trPr>
            <w:tc>
              <w:tcPr>
                <w:tcW w:w="2841" w:type="dxa"/>
              </w:tcPr>
              <w:p w14:paraId="4D43C8D2" w14:textId="77777777" w:rsidR="00C53EC4" w:rsidRDefault="0035717E">
                <w:pPr>
                  <w:tabs>
                    <w:tab w:val="right" w:pos="8838"/>
                  </w:tabs>
                  <w:ind w:left="-11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Recurso de Revisión:</w:t>
                </w:r>
              </w:p>
            </w:tc>
            <w:tc>
              <w:tcPr>
                <w:tcW w:w="2835" w:type="dxa"/>
              </w:tcPr>
              <w:p w14:paraId="3C7BECDE" w14:textId="77777777" w:rsidR="00C53EC4" w:rsidRDefault="0035717E">
                <w:pPr>
                  <w:tabs>
                    <w:tab w:val="right" w:pos="8838"/>
                  </w:tabs>
                  <w:ind w:left="-11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07336/INFOEM/IP/RR/2025</w:t>
                </w:r>
              </w:p>
            </w:tc>
            <w:tc>
              <w:tcPr>
                <w:tcW w:w="2396" w:type="dxa"/>
              </w:tcPr>
              <w:p w14:paraId="793ACC8C" w14:textId="77777777" w:rsidR="00C53EC4" w:rsidRDefault="00C53EC4">
                <w:pPr>
                  <w:tabs>
                    <w:tab w:val="right" w:pos="8838"/>
                  </w:tabs>
                  <w:ind w:left="-114" w:right="-105"/>
                  <w:jc w:val="both"/>
                  <w:rPr>
                    <w:rFonts w:ascii="Palatino Linotype" w:eastAsia="Palatino Linotype" w:hAnsi="Palatino Linotype" w:cs="Palatino Linotype"/>
                    <w:sz w:val="22"/>
                    <w:szCs w:val="22"/>
                  </w:rPr>
                </w:pPr>
              </w:p>
            </w:tc>
          </w:tr>
          <w:tr w:rsidR="00C53EC4" w14:paraId="74F56A20" w14:textId="77777777">
            <w:trPr>
              <w:trHeight w:val="88"/>
            </w:trPr>
            <w:tc>
              <w:tcPr>
                <w:tcW w:w="2841" w:type="dxa"/>
              </w:tcPr>
              <w:p w14:paraId="4D72725B" w14:textId="77777777" w:rsidR="00C53EC4" w:rsidRDefault="0035717E">
                <w:pPr>
                  <w:tabs>
                    <w:tab w:val="right" w:pos="8838"/>
                  </w:tabs>
                  <w:ind w:left="-11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Sujeto Obligado:</w:t>
                </w:r>
              </w:p>
            </w:tc>
            <w:tc>
              <w:tcPr>
                <w:tcW w:w="2835" w:type="dxa"/>
              </w:tcPr>
              <w:p w14:paraId="3A99E254" w14:textId="77777777" w:rsidR="00C53EC4" w:rsidRDefault="0035717E">
                <w:pPr>
                  <w:tabs>
                    <w:tab w:val="left" w:pos="2834"/>
                    <w:tab w:val="right" w:pos="8838"/>
                  </w:tabs>
                  <w:ind w:left="-114"/>
                  <w:jc w:val="both"/>
                  <w:rPr>
                    <w:rFonts w:ascii="Palatino Linotype" w:eastAsia="Palatino Linotype" w:hAnsi="Palatino Linotype" w:cs="Palatino Linotype"/>
                    <w:b/>
                    <w:sz w:val="32"/>
                    <w:szCs w:val="32"/>
                  </w:rPr>
                </w:pPr>
                <w:r>
                  <w:rPr>
                    <w:rFonts w:ascii="Palatino Linotype" w:eastAsia="Palatino Linotype" w:hAnsi="Palatino Linotype" w:cs="Palatino Linotype"/>
                    <w:sz w:val="22"/>
                    <w:szCs w:val="22"/>
                  </w:rPr>
                  <w:t>Ayuntamiento de Toluca</w:t>
                </w:r>
              </w:p>
            </w:tc>
            <w:tc>
              <w:tcPr>
                <w:tcW w:w="2396" w:type="dxa"/>
              </w:tcPr>
              <w:p w14:paraId="3C8C7F1E" w14:textId="77777777" w:rsidR="00C53EC4" w:rsidRDefault="00C53EC4">
                <w:pPr>
                  <w:tabs>
                    <w:tab w:val="left" w:pos="2834"/>
                    <w:tab w:val="right" w:pos="8838"/>
                  </w:tabs>
                  <w:ind w:left="-114"/>
                  <w:jc w:val="both"/>
                  <w:rPr>
                    <w:rFonts w:ascii="Palatino Linotype" w:eastAsia="Palatino Linotype" w:hAnsi="Palatino Linotype" w:cs="Palatino Linotype"/>
                    <w:sz w:val="22"/>
                    <w:szCs w:val="22"/>
                  </w:rPr>
                </w:pPr>
              </w:p>
            </w:tc>
          </w:tr>
          <w:tr w:rsidR="00C53EC4" w14:paraId="4848152D" w14:textId="77777777">
            <w:trPr>
              <w:trHeight w:val="383"/>
            </w:trPr>
            <w:tc>
              <w:tcPr>
                <w:tcW w:w="2841" w:type="dxa"/>
              </w:tcPr>
              <w:p w14:paraId="05F551BA" w14:textId="77777777" w:rsidR="00C53EC4" w:rsidRDefault="0035717E">
                <w:pPr>
                  <w:tabs>
                    <w:tab w:val="right" w:pos="8838"/>
                  </w:tabs>
                  <w:ind w:left="-11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Comisionado Ponente:</w:t>
                </w:r>
              </w:p>
            </w:tc>
            <w:tc>
              <w:tcPr>
                <w:tcW w:w="2835" w:type="dxa"/>
              </w:tcPr>
              <w:p w14:paraId="2F4D090A" w14:textId="77777777" w:rsidR="00C53EC4" w:rsidRDefault="0035717E">
                <w:pPr>
                  <w:tabs>
                    <w:tab w:val="right" w:pos="8838"/>
                  </w:tabs>
                  <w:ind w:left="-11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c>
              <w:tcPr>
                <w:tcW w:w="2396" w:type="dxa"/>
              </w:tcPr>
              <w:p w14:paraId="39608E83" w14:textId="77777777" w:rsidR="00C53EC4" w:rsidRDefault="00C53EC4">
                <w:pPr>
                  <w:tabs>
                    <w:tab w:val="right" w:pos="8838"/>
                  </w:tabs>
                  <w:ind w:left="-114" w:right="-105"/>
                  <w:jc w:val="both"/>
                  <w:rPr>
                    <w:rFonts w:ascii="Palatino Linotype" w:eastAsia="Palatino Linotype" w:hAnsi="Palatino Linotype" w:cs="Palatino Linotype"/>
                    <w:sz w:val="22"/>
                    <w:szCs w:val="22"/>
                  </w:rPr>
                </w:pPr>
              </w:p>
            </w:tc>
          </w:tr>
        </w:tbl>
        <w:p w14:paraId="1061342B" w14:textId="77777777" w:rsidR="00C53EC4" w:rsidRDefault="00C53EC4">
          <w:pPr>
            <w:tabs>
              <w:tab w:val="right" w:pos="8838"/>
            </w:tabs>
            <w:spacing w:line="256" w:lineRule="auto"/>
            <w:ind w:left="-28"/>
            <w:jc w:val="both"/>
            <w:rPr>
              <w:rFonts w:ascii="Arial" w:eastAsia="Arial" w:hAnsi="Arial" w:cs="Arial"/>
              <w:b/>
              <w:sz w:val="22"/>
              <w:szCs w:val="22"/>
            </w:rPr>
          </w:pPr>
        </w:p>
      </w:tc>
    </w:tr>
  </w:tbl>
  <w:p w14:paraId="37C52CE3" w14:textId="77777777" w:rsidR="00C53EC4" w:rsidRDefault="0035717E">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6704" behindDoc="1" locked="0" layoutInCell="1" hidden="0" allowOverlap="1" wp14:anchorId="412A9432" wp14:editId="19841D6E">
          <wp:simplePos x="0" y="0"/>
          <wp:positionH relativeFrom="margin">
            <wp:posOffset>-1019807</wp:posOffset>
          </wp:positionH>
          <wp:positionV relativeFrom="margin">
            <wp:posOffset>7588322</wp:posOffset>
          </wp:positionV>
          <wp:extent cx="7835900" cy="10203815"/>
          <wp:effectExtent l="0" t="0" r="0" b="0"/>
          <wp:wrapNone/>
          <wp:docPr id="205032824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7835900" cy="1020381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B5DF5" w14:textId="783E244C" w:rsidR="00C53EC4" w:rsidRDefault="00000000">
    <w:pPr>
      <w:widowControl w:val="0"/>
      <w:pBdr>
        <w:top w:val="nil"/>
        <w:left w:val="nil"/>
        <w:bottom w:val="nil"/>
        <w:right w:val="nil"/>
        <w:between w:val="nil"/>
      </w:pBdr>
      <w:spacing w:line="276" w:lineRule="auto"/>
      <w:rPr>
        <w:color w:val="000000"/>
      </w:rPr>
    </w:pPr>
    <w:r>
      <w:rPr>
        <w:rFonts w:ascii="Garamond" w:eastAsia="Garamond" w:hAnsi="Garamond" w:cs="Garamond"/>
        <w:color w:val="000000"/>
        <w:sz w:val="22"/>
        <w:szCs w:val="22"/>
      </w:rPr>
      <w:pict w14:anchorId="7C69C1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85.05pt;margin-top:-122.85pt;width:663.5pt;height:12in;z-index:-251657728;mso-position-horizontal-relative:margin;mso-position-vertical-relative:margin">
          <v:imagedata r:id="rId1" o:title="image1"/>
          <w10:wrap anchorx="margin" anchory="margin"/>
        </v:shape>
      </w:pict>
    </w:r>
  </w:p>
  <w:tbl>
    <w:tblPr>
      <w:tblStyle w:val="a4"/>
      <w:tblW w:w="9214" w:type="dxa"/>
      <w:tblInd w:w="0" w:type="dxa"/>
      <w:tblLayout w:type="fixed"/>
      <w:tblLook w:val="0400" w:firstRow="0" w:lastRow="0" w:firstColumn="0" w:lastColumn="0" w:noHBand="0" w:noVBand="1"/>
    </w:tblPr>
    <w:tblGrid>
      <w:gridCol w:w="1560"/>
      <w:gridCol w:w="7654"/>
    </w:tblGrid>
    <w:tr w:rsidR="00C53EC4" w14:paraId="33EF62AB" w14:textId="77777777">
      <w:trPr>
        <w:trHeight w:val="1435"/>
      </w:trPr>
      <w:tc>
        <w:tcPr>
          <w:tcW w:w="1560" w:type="dxa"/>
        </w:tcPr>
        <w:p w14:paraId="47506AA0" w14:textId="77777777" w:rsidR="00C53EC4" w:rsidRDefault="00C53EC4">
          <w:pPr>
            <w:tabs>
              <w:tab w:val="right" w:pos="4273"/>
            </w:tabs>
            <w:spacing w:line="256" w:lineRule="auto"/>
            <w:rPr>
              <w:rFonts w:ascii="Garamond" w:eastAsia="Garamond" w:hAnsi="Garamond" w:cs="Garamond"/>
              <w:sz w:val="22"/>
              <w:szCs w:val="22"/>
            </w:rPr>
          </w:pPr>
        </w:p>
      </w:tc>
      <w:tc>
        <w:tcPr>
          <w:tcW w:w="7654" w:type="dxa"/>
        </w:tcPr>
        <w:p w14:paraId="7317683E" w14:textId="77777777" w:rsidR="00C53EC4" w:rsidRDefault="00C53EC4">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5"/>
            <w:tblW w:w="7111" w:type="dxa"/>
            <w:tblInd w:w="607" w:type="dxa"/>
            <w:tblBorders>
              <w:top w:val="nil"/>
              <w:left w:val="nil"/>
              <w:bottom w:val="nil"/>
              <w:right w:val="nil"/>
              <w:insideH w:val="nil"/>
              <w:insideV w:val="nil"/>
            </w:tblBorders>
            <w:tblLayout w:type="fixed"/>
            <w:tblLook w:val="0400" w:firstRow="0" w:lastRow="0" w:firstColumn="0" w:lastColumn="0" w:noHBand="0" w:noVBand="1"/>
          </w:tblPr>
          <w:tblGrid>
            <w:gridCol w:w="3817"/>
            <w:gridCol w:w="2835"/>
            <w:gridCol w:w="459"/>
          </w:tblGrid>
          <w:tr w:rsidR="00C53EC4" w14:paraId="642212A4" w14:textId="77777777">
            <w:trPr>
              <w:gridAfter w:val="1"/>
              <w:wAfter w:w="459" w:type="dxa"/>
              <w:trHeight w:val="132"/>
            </w:trPr>
            <w:tc>
              <w:tcPr>
                <w:tcW w:w="3817" w:type="dxa"/>
              </w:tcPr>
              <w:p w14:paraId="640716D8" w14:textId="77777777" w:rsidR="00C53EC4" w:rsidRDefault="0035717E">
                <w:pPr>
                  <w:tabs>
                    <w:tab w:val="right" w:pos="8838"/>
                  </w:tabs>
                  <w:ind w:left="-69"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Recurso de Revisión:</w:t>
                </w:r>
              </w:p>
            </w:tc>
            <w:tc>
              <w:tcPr>
                <w:tcW w:w="2835" w:type="dxa"/>
              </w:tcPr>
              <w:p w14:paraId="7F045447" w14:textId="77777777" w:rsidR="00C53EC4" w:rsidRDefault="0035717E">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07336/INFOEM/IP/RR/2025 </w:t>
                </w:r>
              </w:p>
            </w:tc>
          </w:tr>
          <w:tr w:rsidR="00C53EC4" w14:paraId="15DBC594" w14:textId="77777777">
            <w:trPr>
              <w:gridAfter w:val="1"/>
              <w:wAfter w:w="459" w:type="dxa"/>
              <w:trHeight w:val="132"/>
            </w:trPr>
            <w:tc>
              <w:tcPr>
                <w:tcW w:w="3817" w:type="dxa"/>
              </w:tcPr>
              <w:p w14:paraId="0A31F852" w14:textId="77777777" w:rsidR="00C53EC4" w:rsidRDefault="0035717E">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Recurrente:</w:t>
                </w:r>
              </w:p>
            </w:tc>
            <w:tc>
              <w:tcPr>
                <w:tcW w:w="2835" w:type="dxa"/>
              </w:tcPr>
              <w:p w14:paraId="3A1013FE" w14:textId="77777777" w:rsidR="00C53EC4" w:rsidRDefault="00C53EC4">
                <w:pPr>
                  <w:tabs>
                    <w:tab w:val="left" w:pos="3122"/>
                    <w:tab w:val="right" w:pos="8838"/>
                  </w:tabs>
                  <w:ind w:left="-74" w:right="-105"/>
                  <w:jc w:val="both"/>
                  <w:rPr>
                    <w:rFonts w:ascii="Palatino Linotype" w:eastAsia="Palatino Linotype" w:hAnsi="Palatino Linotype" w:cs="Palatino Linotype"/>
                    <w:sz w:val="22"/>
                    <w:szCs w:val="22"/>
                  </w:rPr>
                </w:pPr>
              </w:p>
            </w:tc>
          </w:tr>
          <w:tr w:rsidR="00C53EC4" w14:paraId="39D5B9F1" w14:textId="77777777">
            <w:trPr>
              <w:gridAfter w:val="1"/>
              <w:wAfter w:w="459" w:type="dxa"/>
              <w:trHeight w:val="261"/>
            </w:trPr>
            <w:tc>
              <w:tcPr>
                <w:tcW w:w="3817" w:type="dxa"/>
              </w:tcPr>
              <w:p w14:paraId="2B376B20" w14:textId="77777777" w:rsidR="00C53EC4" w:rsidRDefault="0035717E">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Sujeto Obligado:</w:t>
                </w:r>
              </w:p>
            </w:tc>
            <w:tc>
              <w:tcPr>
                <w:tcW w:w="2835" w:type="dxa"/>
              </w:tcPr>
              <w:p w14:paraId="0815727C" w14:textId="77777777" w:rsidR="00C53EC4" w:rsidRDefault="0035717E">
                <w:pPr>
                  <w:tabs>
                    <w:tab w:val="left" w:pos="2834"/>
                    <w:tab w:val="right" w:pos="8838"/>
                  </w:tabs>
                  <w:ind w:left="-7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Ayuntamiento de Toluca </w:t>
                </w:r>
              </w:p>
            </w:tc>
          </w:tr>
          <w:tr w:rsidR="00C53EC4" w14:paraId="1DC76C4B" w14:textId="77777777">
            <w:trPr>
              <w:trHeight w:val="261"/>
            </w:trPr>
            <w:tc>
              <w:tcPr>
                <w:tcW w:w="3817" w:type="dxa"/>
              </w:tcPr>
              <w:p w14:paraId="574B238C" w14:textId="77777777" w:rsidR="00C53EC4" w:rsidRDefault="0035717E">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Comisionado Ponente:</w:t>
                </w:r>
              </w:p>
            </w:tc>
            <w:tc>
              <w:tcPr>
                <w:tcW w:w="3294" w:type="dxa"/>
                <w:gridSpan w:val="2"/>
              </w:tcPr>
              <w:p w14:paraId="789F9942" w14:textId="77777777" w:rsidR="00C53EC4" w:rsidRDefault="0035717E">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069241B5" w14:textId="77777777" w:rsidR="00C53EC4" w:rsidRDefault="00C53EC4">
          <w:pPr>
            <w:tabs>
              <w:tab w:val="right" w:pos="8838"/>
            </w:tabs>
            <w:spacing w:line="256" w:lineRule="auto"/>
            <w:ind w:left="-28"/>
            <w:jc w:val="both"/>
            <w:rPr>
              <w:rFonts w:ascii="Arial" w:eastAsia="Arial" w:hAnsi="Arial" w:cs="Arial"/>
              <w:b/>
              <w:sz w:val="22"/>
              <w:szCs w:val="22"/>
            </w:rPr>
          </w:pPr>
        </w:p>
      </w:tc>
    </w:tr>
  </w:tbl>
  <w:p w14:paraId="01A91084" w14:textId="523FE4EC" w:rsidR="00C53EC4" w:rsidRDefault="00C53EC4">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94D31"/>
    <w:multiLevelType w:val="multilevel"/>
    <w:tmpl w:val="487EA0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E4322C"/>
    <w:multiLevelType w:val="multilevel"/>
    <w:tmpl w:val="182C8E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0048D7"/>
    <w:multiLevelType w:val="multilevel"/>
    <w:tmpl w:val="41EA308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C231110"/>
    <w:multiLevelType w:val="multilevel"/>
    <w:tmpl w:val="7A0C95D8"/>
    <w:lvl w:ilvl="0">
      <w:start w:val="6"/>
      <w:numFmt w:val="bullet"/>
      <w:lvlText w:val="-"/>
      <w:lvlJc w:val="left"/>
      <w:pPr>
        <w:ind w:left="1080" w:hanging="360"/>
      </w:pPr>
      <w:rPr>
        <w:rFonts w:ascii="Palatino Linotype" w:eastAsia="Palatino Linotype" w:hAnsi="Palatino Linotype" w:cs="Palatino Linotyp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1C7C6A8F"/>
    <w:multiLevelType w:val="multilevel"/>
    <w:tmpl w:val="57D27924"/>
    <w:lvl w:ilvl="0">
      <w:start w:val="1"/>
      <w:numFmt w:val="upp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abstractNum w:abstractNumId="5" w15:restartNumberingAfterBreak="0">
    <w:nsid w:val="1DC845D3"/>
    <w:multiLevelType w:val="multilevel"/>
    <w:tmpl w:val="DA36FB7A"/>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EC665F"/>
    <w:multiLevelType w:val="multilevel"/>
    <w:tmpl w:val="21201B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47C70DC"/>
    <w:multiLevelType w:val="multilevel"/>
    <w:tmpl w:val="D13EB976"/>
    <w:lvl w:ilvl="0">
      <w:start w:val="6"/>
      <w:numFmt w:val="bullet"/>
      <w:lvlText w:val="-"/>
      <w:lvlJc w:val="left"/>
      <w:pPr>
        <w:ind w:left="1080" w:hanging="360"/>
      </w:pPr>
      <w:rPr>
        <w:rFonts w:ascii="Palatino Linotype" w:eastAsia="Palatino Linotype" w:hAnsi="Palatino Linotype" w:cs="Palatino Linotyp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273C5CD4"/>
    <w:multiLevelType w:val="multilevel"/>
    <w:tmpl w:val="E244CA12"/>
    <w:lvl w:ilvl="0">
      <w:start w:val="1"/>
      <w:numFmt w:val="decimal"/>
      <w:lvlText w:val="%1."/>
      <w:lvlJc w:val="left"/>
      <w:pPr>
        <w:ind w:left="1080" w:hanging="360"/>
      </w:pPr>
      <w:rPr>
        <w:rFonts w:ascii="Palatino Linotype" w:eastAsia="Palatino Linotype" w:hAnsi="Palatino Linotype" w:cs="Palatino Linotyp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2F174E66"/>
    <w:multiLevelType w:val="multilevel"/>
    <w:tmpl w:val="EA821994"/>
    <w:lvl w:ilvl="0">
      <w:start w:val="1"/>
      <w:numFmt w:val="decimal"/>
      <w:lvlText w:val="%1."/>
      <w:lvlJc w:val="left"/>
      <w:pPr>
        <w:ind w:left="720" w:hanging="360"/>
      </w:pPr>
      <w:rPr>
        <w:rFonts w:ascii="Palatino Linotype" w:eastAsia="Palatino Linotype" w:hAnsi="Palatino Linotype" w:cs="Palatino Linotyp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0C81C80"/>
    <w:multiLevelType w:val="multilevel"/>
    <w:tmpl w:val="276CBF68"/>
    <w:lvl w:ilvl="0">
      <w:start w:val="6"/>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A8F3ADE"/>
    <w:multiLevelType w:val="multilevel"/>
    <w:tmpl w:val="2F6460F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417555F7"/>
    <w:multiLevelType w:val="multilevel"/>
    <w:tmpl w:val="6874BC22"/>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1A32583"/>
    <w:multiLevelType w:val="multilevel"/>
    <w:tmpl w:val="85F0C230"/>
    <w:lvl w:ilvl="0">
      <w:start w:val="1"/>
      <w:numFmt w:val="bullet"/>
      <w:lvlText w:val="●"/>
      <w:lvlJc w:val="left"/>
      <w:pPr>
        <w:ind w:left="1457" w:hanging="360"/>
      </w:pPr>
      <w:rPr>
        <w:rFonts w:ascii="Noto Sans Symbols" w:eastAsia="Noto Sans Symbols" w:hAnsi="Noto Sans Symbols" w:cs="Noto Sans Symbols"/>
      </w:rPr>
    </w:lvl>
    <w:lvl w:ilvl="1">
      <w:start w:val="1"/>
      <w:numFmt w:val="bullet"/>
      <w:lvlText w:val="o"/>
      <w:lvlJc w:val="left"/>
      <w:pPr>
        <w:ind w:left="2177" w:hanging="360"/>
      </w:pPr>
      <w:rPr>
        <w:rFonts w:ascii="Courier New" w:eastAsia="Courier New" w:hAnsi="Courier New" w:cs="Courier New"/>
      </w:rPr>
    </w:lvl>
    <w:lvl w:ilvl="2">
      <w:start w:val="1"/>
      <w:numFmt w:val="bullet"/>
      <w:lvlText w:val="▪"/>
      <w:lvlJc w:val="left"/>
      <w:pPr>
        <w:ind w:left="2897" w:hanging="360"/>
      </w:pPr>
      <w:rPr>
        <w:rFonts w:ascii="Noto Sans Symbols" w:eastAsia="Noto Sans Symbols" w:hAnsi="Noto Sans Symbols" w:cs="Noto Sans Symbols"/>
      </w:rPr>
    </w:lvl>
    <w:lvl w:ilvl="3">
      <w:start w:val="1"/>
      <w:numFmt w:val="bullet"/>
      <w:lvlText w:val="●"/>
      <w:lvlJc w:val="left"/>
      <w:pPr>
        <w:ind w:left="3617" w:hanging="360"/>
      </w:pPr>
      <w:rPr>
        <w:rFonts w:ascii="Noto Sans Symbols" w:eastAsia="Noto Sans Symbols" w:hAnsi="Noto Sans Symbols" w:cs="Noto Sans Symbols"/>
      </w:rPr>
    </w:lvl>
    <w:lvl w:ilvl="4">
      <w:start w:val="1"/>
      <w:numFmt w:val="bullet"/>
      <w:lvlText w:val="o"/>
      <w:lvlJc w:val="left"/>
      <w:pPr>
        <w:ind w:left="4337" w:hanging="360"/>
      </w:pPr>
      <w:rPr>
        <w:rFonts w:ascii="Courier New" w:eastAsia="Courier New" w:hAnsi="Courier New" w:cs="Courier New"/>
      </w:rPr>
    </w:lvl>
    <w:lvl w:ilvl="5">
      <w:start w:val="1"/>
      <w:numFmt w:val="bullet"/>
      <w:lvlText w:val="▪"/>
      <w:lvlJc w:val="left"/>
      <w:pPr>
        <w:ind w:left="5057" w:hanging="360"/>
      </w:pPr>
      <w:rPr>
        <w:rFonts w:ascii="Noto Sans Symbols" w:eastAsia="Noto Sans Symbols" w:hAnsi="Noto Sans Symbols" w:cs="Noto Sans Symbols"/>
      </w:rPr>
    </w:lvl>
    <w:lvl w:ilvl="6">
      <w:start w:val="1"/>
      <w:numFmt w:val="bullet"/>
      <w:lvlText w:val="●"/>
      <w:lvlJc w:val="left"/>
      <w:pPr>
        <w:ind w:left="5777" w:hanging="360"/>
      </w:pPr>
      <w:rPr>
        <w:rFonts w:ascii="Noto Sans Symbols" w:eastAsia="Noto Sans Symbols" w:hAnsi="Noto Sans Symbols" w:cs="Noto Sans Symbols"/>
      </w:rPr>
    </w:lvl>
    <w:lvl w:ilvl="7">
      <w:start w:val="1"/>
      <w:numFmt w:val="bullet"/>
      <w:lvlText w:val="o"/>
      <w:lvlJc w:val="left"/>
      <w:pPr>
        <w:ind w:left="6497" w:hanging="360"/>
      </w:pPr>
      <w:rPr>
        <w:rFonts w:ascii="Courier New" w:eastAsia="Courier New" w:hAnsi="Courier New" w:cs="Courier New"/>
      </w:rPr>
    </w:lvl>
    <w:lvl w:ilvl="8">
      <w:start w:val="1"/>
      <w:numFmt w:val="bullet"/>
      <w:lvlText w:val="▪"/>
      <w:lvlJc w:val="left"/>
      <w:pPr>
        <w:ind w:left="7217" w:hanging="360"/>
      </w:pPr>
      <w:rPr>
        <w:rFonts w:ascii="Noto Sans Symbols" w:eastAsia="Noto Sans Symbols" w:hAnsi="Noto Sans Symbols" w:cs="Noto Sans Symbols"/>
      </w:rPr>
    </w:lvl>
  </w:abstractNum>
  <w:abstractNum w:abstractNumId="14" w15:restartNumberingAfterBreak="0">
    <w:nsid w:val="553C273D"/>
    <w:multiLevelType w:val="multilevel"/>
    <w:tmpl w:val="30D81EE6"/>
    <w:lvl w:ilvl="0">
      <w:start w:val="6"/>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87677CA"/>
    <w:multiLevelType w:val="multilevel"/>
    <w:tmpl w:val="A08CA9E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5B2C7825"/>
    <w:multiLevelType w:val="multilevel"/>
    <w:tmpl w:val="0372870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64403963"/>
    <w:multiLevelType w:val="multilevel"/>
    <w:tmpl w:val="97FAF8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55171BC"/>
    <w:multiLevelType w:val="multilevel"/>
    <w:tmpl w:val="1AACA982"/>
    <w:lvl w:ilvl="0">
      <w:start w:val="6"/>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6422240"/>
    <w:multiLevelType w:val="multilevel"/>
    <w:tmpl w:val="4732985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7F652AAE"/>
    <w:multiLevelType w:val="multilevel"/>
    <w:tmpl w:val="26A875E0"/>
    <w:lvl w:ilvl="0">
      <w:start w:val="1"/>
      <w:numFmt w:val="decimal"/>
      <w:lvlText w:val="%1."/>
      <w:lvlJc w:val="left"/>
      <w:pPr>
        <w:ind w:left="1080" w:hanging="720"/>
      </w:pPr>
      <w:rPr>
        <w:rFonts w:ascii="Times New Roman" w:eastAsia="Times New Roman" w:hAnsi="Times New Roman" w:cs="Times New Roman"/>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num w:numId="1" w16cid:durableId="479228602">
    <w:abstractNumId w:val="8"/>
  </w:num>
  <w:num w:numId="2" w16cid:durableId="1237322602">
    <w:abstractNumId w:val="16"/>
  </w:num>
  <w:num w:numId="3" w16cid:durableId="1635716575">
    <w:abstractNumId w:val="17"/>
  </w:num>
  <w:num w:numId="4" w16cid:durableId="1125347798">
    <w:abstractNumId w:val="7"/>
  </w:num>
  <w:num w:numId="5" w16cid:durableId="2085180212">
    <w:abstractNumId w:val="3"/>
  </w:num>
  <w:num w:numId="6" w16cid:durableId="307327480">
    <w:abstractNumId w:val="13"/>
  </w:num>
  <w:num w:numId="7" w16cid:durableId="6444116">
    <w:abstractNumId w:val="10"/>
  </w:num>
  <w:num w:numId="8" w16cid:durableId="123935090">
    <w:abstractNumId w:val="6"/>
  </w:num>
  <w:num w:numId="9" w16cid:durableId="94447614">
    <w:abstractNumId w:val="4"/>
  </w:num>
  <w:num w:numId="10" w16cid:durableId="2050909607">
    <w:abstractNumId w:val="12"/>
  </w:num>
  <w:num w:numId="11" w16cid:durableId="739061697">
    <w:abstractNumId w:val="5"/>
  </w:num>
  <w:num w:numId="12" w16cid:durableId="291904120">
    <w:abstractNumId w:val="1"/>
  </w:num>
  <w:num w:numId="13" w16cid:durableId="1474981344">
    <w:abstractNumId w:val="9"/>
  </w:num>
  <w:num w:numId="14" w16cid:durableId="2019959102">
    <w:abstractNumId w:val="14"/>
  </w:num>
  <w:num w:numId="15" w16cid:durableId="781923290">
    <w:abstractNumId w:val="11"/>
  </w:num>
  <w:num w:numId="16" w16cid:durableId="2086759041">
    <w:abstractNumId w:val="18"/>
  </w:num>
  <w:num w:numId="17" w16cid:durableId="985888881">
    <w:abstractNumId w:val="20"/>
  </w:num>
  <w:num w:numId="18" w16cid:durableId="1779376056">
    <w:abstractNumId w:val="19"/>
  </w:num>
  <w:num w:numId="19" w16cid:durableId="640308106">
    <w:abstractNumId w:val="15"/>
  </w:num>
  <w:num w:numId="20" w16cid:durableId="1813133363">
    <w:abstractNumId w:val="2"/>
  </w:num>
  <w:num w:numId="21" w16cid:durableId="12876656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EC4"/>
    <w:rsid w:val="000E32E5"/>
    <w:rsid w:val="00292903"/>
    <w:rsid w:val="0035717E"/>
    <w:rsid w:val="00430748"/>
    <w:rsid w:val="00506393"/>
    <w:rsid w:val="00576F4C"/>
    <w:rsid w:val="00800220"/>
    <w:rsid w:val="00821404"/>
    <w:rsid w:val="00A428B3"/>
    <w:rsid w:val="00C53EC4"/>
    <w:rsid w:val="00C81F89"/>
    <w:rsid w:val="00EA7F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1F8378"/>
  <w15:docId w15:val="{6FF50C02-8063-4873-B185-187EE4B90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Calibri" w:eastAsia="Calibri" w:hAnsi="Calibri" w:cs="Calibri"/>
      <w:color w:val="2F5496"/>
      <w:sz w:val="40"/>
      <w:szCs w:val="40"/>
    </w:rPr>
  </w:style>
  <w:style w:type="paragraph" w:styleId="Ttulo2">
    <w:name w:val="heading 2"/>
    <w:basedOn w:val="Normal"/>
    <w:next w:val="Normal"/>
    <w:uiPriority w:val="9"/>
    <w:unhideWhenUsed/>
    <w:qFormat/>
    <w:pPr>
      <w:keepNext/>
      <w:keepLines/>
      <w:spacing w:before="160" w:after="80"/>
      <w:outlineLvl w:val="1"/>
    </w:pPr>
    <w:rPr>
      <w:rFonts w:ascii="Calibri" w:eastAsia="Calibri" w:hAnsi="Calibri" w:cs="Calibri"/>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paragraph" w:styleId="Ttulo7">
    <w:name w:val="heading 7"/>
    <w:basedOn w:val="Normal"/>
    <w:next w:val="Normal"/>
    <w:link w:val="Ttulo7Car"/>
    <w:uiPriority w:val="9"/>
    <w:semiHidden/>
    <w:unhideWhenUsed/>
    <w:qFormat/>
    <w:rsid w:val="0032022F"/>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2022F"/>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2022F"/>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pPr>
    <w:rPr>
      <w:rFonts w:ascii="Calibri" w:eastAsia="Calibri" w:hAnsi="Calibri" w:cs="Calibri"/>
      <w:sz w:val="56"/>
      <w:szCs w:val="56"/>
    </w:rPr>
  </w:style>
  <w:style w:type="character" w:customStyle="1" w:styleId="Ttulo1Car">
    <w:name w:val="Título 1 Car"/>
    <w:basedOn w:val="Fuentedeprrafopredeter"/>
    <w:uiPriority w:val="9"/>
    <w:rsid w:val="0032022F"/>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uiPriority w:val="9"/>
    <w:semiHidden/>
    <w:rsid w:val="0032022F"/>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uiPriority w:val="9"/>
    <w:semiHidden/>
    <w:rsid w:val="0032022F"/>
    <w:rPr>
      <w:rFonts w:eastAsiaTheme="majorEastAsia" w:cstheme="majorBidi"/>
      <w:color w:val="2F5496" w:themeColor="accent1" w:themeShade="BF"/>
      <w:sz w:val="28"/>
      <w:szCs w:val="28"/>
    </w:rPr>
  </w:style>
  <w:style w:type="character" w:customStyle="1" w:styleId="Ttulo4Car">
    <w:name w:val="Título 4 Car"/>
    <w:basedOn w:val="Fuentedeprrafopredeter"/>
    <w:uiPriority w:val="9"/>
    <w:semiHidden/>
    <w:rsid w:val="0032022F"/>
    <w:rPr>
      <w:rFonts w:eastAsiaTheme="majorEastAsia" w:cstheme="majorBidi"/>
      <w:i/>
      <w:iCs/>
      <w:color w:val="2F5496" w:themeColor="accent1" w:themeShade="BF"/>
    </w:rPr>
  </w:style>
  <w:style w:type="character" w:customStyle="1" w:styleId="Ttulo5Car">
    <w:name w:val="Título 5 Car"/>
    <w:basedOn w:val="Fuentedeprrafopredeter"/>
    <w:uiPriority w:val="9"/>
    <w:semiHidden/>
    <w:rsid w:val="0032022F"/>
    <w:rPr>
      <w:rFonts w:eastAsiaTheme="majorEastAsia" w:cstheme="majorBidi"/>
      <w:color w:val="2F5496" w:themeColor="accent1" w:themeShade="BF"/>
    </w:rPr>
  </w:style>
  <w:style w:type="character" w:customStyle="1" w:styleId="Ttulo6Car">
    <w:name w:val="Título 6 Car"/>
    <w:basedOn w:val="Fuentedeprrafopredeter"/>
    <w:uiPriority w:val="9"/>
    <w:semiHidden/>
    <w:rsid w:val="0032022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2022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2022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2022F"/>
    <w:rPr>
      <w:rFonts w:eastAsiaTheme="majorEastAsia" w:cstheme="majorBidi"/>
      <w:color w:val="272727" w:themeColor="text1" w:themeTint="D8"/>
    </w:rPr>
  </w:style>
  <w:style w:type="character" w:customStyle="1" w:styleId="TtuloCar">
    <w:name w:val="Título Car"/>
    <w:basedOn w:val="Fuentedeprrafopredeter"/>
    <w:uiPriority w:val="10"/>
    <w:rsid w:val="0032022F"/>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32022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2022F"/>
    <w:pPr>
      <w:spacing w:before="160"/>
      <w:jc w:val="center"/>
    </w:pPr>
    <w:rPr>
      <w:i/>
      <w:iCs/>
      <w:color w:val="404040" w:themeColor="text1" w:themeTint="BF"/>
    </w:rPr>
  </w:style>
  <w:style w:type="character" w:customStyle="1" w:styleId="CitaCar">
    <w:name w:val="Cita Car"/>
    <w:basedOn w:val="Fuentedeprrafopredeter"/>
    <w:link w:val="Cita"/>
    <w:uiPriority w:val="29"/>
    <w:rsid w:val="0032022F"/>
    <w:rPr>
      <w:i/>
      <w:iCs/>
      <w:color w:val="404040" w:themeColor="text1" w:themeTint="BF"/>
    </w:rPr>
  </w:style>
  <w:style w:type="paragraph" w:styleId="Prrafodelista">
    <w:name w:val="List Paragraph"/>
    <w:basedOn w:val="Normal"/>
    <w:uiPriority w:val="34"/>
    <w:qFormat/>
    <w:rsid w:val="0032022F"/>
    <w:pPr>
      <w:ind w:left="720"/>
      <w:contextualSpacing/>
    </w:pPr>
  </w:style>
  <w:style w:type="character" w:styleId="nfasisintenso">
    <w:name w:val="Intense Emphasis"/>
    <w:basedOn w:val="Fuentedeprrafopredeter"/>
    <w:uiPriority w:val="21"/>
    <w:qFormat/>
    <w:rsid w:val="0032022F"/>
    <w:rPr>
      <w:i/>
      <w:iCs/>
      <w:color w:val="2F5496" w:themeColor="accent1" w:themeShade="BF"/>
    </w:rPr>
  </w:style>
  <w:style w:type="paragraph" w:styleId="Citadestacada">
    <w:name w:val="Intense Quote"/>
    <w:basedOn w:val="Normal"/>
    <w:next w:val="Normal"/>
    <w:link w:val="CitadestacadaCar"/>
    <w:uiPriority w:val="30"/>
    <w:qFormat/>
    <w:rsid w:val="0032022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32022F"/>
    <w:rPr>
      <w:i/>
      <w:iCs/>
      <w:color w:val="2F5496" w:themeColor="accent1" w:themeShade="BF"/>
    </w:rPr>
  </w:style>
  <w:style w:type="character" w:styleId="Referenciaintensa">
    <w:name w:val="Intense Reference"/>
    <w:basedOn w:val="Fuentedeprrafopredeter"/>
    <w:uiPriority w:val="32"/>
    <w:qFormat/>
    <w:rsid w:val="0032022F"/>
    <w:rPr>
      <w:b/>
      <w:bCs/>
      <w:smallCaps/>
      <w:color w:val="2F5496" w:themeColor="accent1" w:themeShade="BF"/>
      <w:spacing w:val="5"/>
    </w:rPr>
  </w:style>
  <w:style w:type="paragraph" w:styleId="Listaconvietas2">
    <w:name w:val="List Bullet 2"/>
    <w:basedOn w:val="Normal"/>
    <w:uiPriority w:val="99"/>
    <w:unhideWhenUsed/>
    <w:rsid w:val="0032022F"/>
    <w:pPr>
      <w:numPr>
        <w:numId w:val="11"/>
      </w:numPr>
      <w:ind w:left="0" w:firstLine="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32022F"/>
    <w:rPr>
      <w:color w:val="0563C1" w:themeColor="hyperlink"/>
      <w:u w:val="single"/>
    </w:rPr>
  </w:style>
  <w:style w:type="character" w:customStyle="1" w:styleId="Mencinsinresolver1">
    <w:name w:val="Mención sin resolver1"/>
    <w:basedOn w:val="Fuentedeprrafopredeter"/>
    <w:uiPriority w:val="99"/>
    <w:semiHidden/>
    <w:unhideWhenUsed/>
    <w:rsid w:val="0032022F"/>
    <w:rPr>
      <w:color w:val="605E5C"/>
      <w:shd w:val="clear" w:color="auto" w:fill="E1DFDD"/>
    </w:rPr>
  </w:style>
  <w:style w:type="paragraph" w:styleId="TtuloTDC">
    <w:name w:val="TOC Heading"/>
    <w:next w:val="Normal"/>
    <w:uiPriority w:val="39"/>
    <w:unhideWhenUsed/>
    <w:qFormat/>
    <w:rsid w:val="0032022F"/>
    <w:pPr>
      <w:spacing w:before="240"/>
    </w:pPr>
    <w:rPr>
      <w:sz w:val="32"/>
      <w:szCs w:val="32"/>
    </w:rPr>
  </w:style>
  <w:style w:type="paragraph" w:styleId="TDC1">
    <w:name w:val="toc 1"/>
    <w:basedOn w:val="Normal"/>
    <w:next w:val="Normal"/>
    <w:autoRedefine/>
    <w:uiPriority w:val="39"/>
    <w:unhideWhenUsed/>
    <w:rsid w:val="0032022F"/>
    <w:pPr>
      <w:spacing w:after="100" w:line="254" w:lineRule="auto"/>
      <w:jc w:val="both"/>
    </w:pPr>
    <w:rPr>
      <w:rFonts w:ascii="Palatino Linotype" w:eastAsia="Palatino Linotype" w:hAnsi="Palatino Linotype" w:cs="Palatino Linotype"/>
      <w:color w:val="000000" w:themeColor="text1"/>
      <w:sz w:val="22"/>
      <w:szCs w:val="22"/>
    </w:rPr>
  </w:style>
  <w:style w:type="paragraph" w:styleId="TDC2">
    <w:name w:val="toc 2"/>
    <w:basedOn w:val="Normal"/>
    <w:next w:val="Normal"/>
    <w:autoRedefine/>
    <w:uiPriority w:val="39"/>
    <w:unhideWhenUsed/>
    <w:rsid w:val="0032022F"/>
    <w:pPr>
      <w:spacing w:after="100" w:line="254" w:lineRule="auto"/>
      <w:ind w:left="220"/>
      <w:jc w:val="both"/>
    </w:pPr>
    <w:rPr>
      <w:rFonts w:ascii="Palatino Linotype" w:eastAsia="Palatino Linotype" w:hAnsi="Palatino Linotype" w:cs="Palatino Linotype"/>
      <w:color w:val="000000" w:themeColor="text1"/>
      <w:sz w:val="22"/>
      <w:szCs w:val="22"/>
    </w:rPr>
  </w:style>
  <w:style w:type="paragraph" w:styleId="Subttulo">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2.toluca.gob.mx/wp-content/uploads/2025/07/COMISIONES-EDILICIAS-2025.pdf"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b.mx/segob/renapo/acciones-y-programas/clave-unica-de-registro-de-poblacion-curp-142226"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sultas.curp.gob.mx/CurpSP/html/informacionecurpPS.htm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rsFWORPQXkc0zMK1MGKnet16CA==">CgMxLjAyDmgudDc3a3drOGUyY2g3Mg5oLjk5cmg0bHFwcG80eDIOaC5zOHJ6dHluOWxyaXkyDmgueXJmaXhvOWkwZXB4Mg1oLjI3MHVnZ2x2aHlvMg5oLmRtcHI2dmF4ZnlqazIOaC5pdjk0MWExZDFld3MyDmguOXFwajFlano4NWxwMg5oLjFiZzBldHF3Z2V2aDIOaC5qdGFyN2FjcXk4d2syDmgubW5rbXk4NXBiamMxMg5oLjZ1dm11cjhxYXFxcjIOaC41aHJrd3JibjA5dXgyDmguYW9nY3FwOXc2cm1jMg5oLnR6Mm9ubGh0bGR0dzIOaC42aWd0ejBtZW1tcnUyDmguazFpM3g0OXhxM2JzMg5oLjh6bW9mdXRqaXYybTIOaC51OTUyNmFtNWhoNjUyDmguNGhnMWN6M2tpOHZrOAByITFUVEo1X2RwSjdwZmVFNmUweWxhbkU2WWg2U2RJZmky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11599</Words>
  <Characters>62058</Characters>
  <Application>Microsoft Office Word</Application>
  <DocSecurity>0</DocSecurity>
  <Lines>1320</Lines>
  <Paragraphs>420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PEÑA VARA</dc:creator>
  <cp:lastModifiedBy>Office</cp:lastModifiedBy>
  <cp:revision>3</cp:revision>
  <cp:lastPrinted>2025-11-14T12:47:00Z</cp:lastPrinted>
  <dcterms:created xsi:type="dcterms:W3CDTF">2025-11-14T12:47:00Z</dcterms:created>
  <dcterms:modified xsi:type="dcterms:W3CDTF">2025-11-14T12:47:00Z</dcterms:modified>
</cp:coreProperties>
</file>