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AA9A0" w14:textId="77777777" w:rsidR="004639EE" w:rsidRPr="0048359C" w:rsidRDefault="00E72281">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837F1B" w:rsidRPr="0048359C">
        <w:rPr>
          <w:rFonts w:ascii="Palatino Linotype" w:eastAsia="Palatino Linotype" w:hAnsi="Palatino Linotype" w:cs="Palatino Linotype"/>
        </w:rPr>
        <w:t>quince de octubre</w:t>
      </w:r>
      <w:r w:rsidRPr="0048359C">
        <w:rPr>
          <w:rFonts w:ascii="Palatino Linotype" w:eastAsia="Palatino Linotype" w:hAnsi="Palatino Linotype" w:cs="Palatino Linotype"/>
        </w:rPr>
        <w:t xml:space="preserve"> de dos mil veinticinco. </w:t>
      </w:r>
    </w:p>
    <w:p w14:paraId="027A499A" w14:textId="77777777" w:rsidR="004639EE" w:rsidRPr="0048359C" w:rsidRDefault="004639EE">
      <w:pPr>
        <w:spacing w:after="0" w:line="360" w:lineRule="auto"/>
        <w:ind w:right="49"/>
        <w:jc w:val="center"/>
        <w:rPr>
          <w:rFonts w:ascii="Palatino Linotype" w:eastAsia="Palatino Linotype" w:hAnsi="Palatino Linotype" w:cs="Palatino Linotype"/>
        </w:rPr>
      </w:pPr>
    </w:p>
    <w:p w14:paraId="286650B2" w14:textId="537D0652" w:rsidR="004639EE" w:rsidRPr="0048359C" w:rsidRDefault="00E72281">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Visto el expediente relativo al recurso de revisión </w:t>
      </w:r>
      <w:r w:rsidR="00837F1B" w:rsidRPr="0048359C">
        <w:rPr>
          <w:rFonts w:ascii="Palatino Linotype" w:eastAsia="Palatino Linotype" w:hAnsi="Palatino Linotype" w:cs="Palatino Linotype"/>
          <w:b/>
        </w:rPr>
        <w:t>06769</w:t>
      </w:r>
      <w:r w:rsidRPr="0048359C">
        <w:rPr>
          <w:rFonts w:ascii="Palatino Linotype" w:eastAsia="Palatino Linotype" w:hAnsi="Palatino Linotype" w:cs="Palatino Linotype"/>
          <w:b/>
        </w:rPr>
        <w:t>/INFOEM/IP/RR/2025</w:t>
      </w:r>
      <w:r w:rsidRPr="0048359C">
        <w:rPr>
          <w:rFonts w:ascii="Palatino Linotype" w:eastAsia="Palatino Linotype" w:hAnsi="Palatino Linotype" w:cs="Palatino Linotype"/>
        </w:rPr>
        <w:t xml:space="preserve">, interpuesto por </w:t>
      </w:r>
      <w:r w:rsidR="00160CA8" w:rsidRPr="00160CA8">
        <w:rPr>
          <w:rFonts w:ascii="Palatino Linotype" w:eastAsia="Palatino Linotype" w:hAnsi="Palatino Linotype" w:cs="Palatino Linotype"/>
          <w:b/>
        </w:rPr>
        <w:t>XXXXXXXXX XXXXXXXX</w:t>
      </w:r>
      <w:r w:rsidRPr="00160CA8">
        <w:rPr>
          <w:rFonts w:ascii="Palatino Linotype" w:eastAsia="Palatino Linotype" w:hAnsi="Palatino Linotype" w:cs="Palatino Linotype"/>
          <w:b/>
        </w:rPr>
        <w:t>,</w:t>
      </w:r>
      <w:bookmarkStart w:id="0" w:name="_GoBack"/>
      <w:bookmarkEnd w:id="0"/>
      <w:r w:rsidRPr="0048359C">
        <w:rPr>
          <w:rFonts w:ascii="Palatino Linotype" w:eastAsia="Palatino Linotype" w:hAnsi="Palatino Linotype" w:cs="Palatino Linotype"/>
        </w:rPr>
        <w:t xml:space="preserve"> al cual en lo sucesivo se le denominará la parte </w:t>
      </w:r>
      <w:r w:rsidRPr="0048359C">
        <w:rPr>
          <w:rFonts w:ascii="Palatino Linotype" w:eastAsia="Palatino Linotype" w:hAnsi="Palatino Linotype" w:cs="Palatino Linotype"/>
          <w:b/>
        </w:rPr>
        <w:t>RECURRENTE</w:t>
      </w:r>
      <w:r w:rsidRPr="0048359C">
        <w:rPr>
          <w:rFonts w:ascii="Palatino Linotype" w:eastAsia="Palatino Linotype" w:hAnsi="Palatino Linotype" w:cs="Palatino Linotype"/>
        </w:rPr>
        <w:t xml:space="preserve">, en contra de la respuesta a su solicitud de información identificada con número de folio </w:t>
      </w:r>
      <w:r w:rsidR="00837F1B" w:rsidRPr="0048359C">
        <w:rPr>
          <w:rFonts w:ascii="Palatino Linotype" w:eastAsia="Palatino Linotype" w:hAnsi="Palatino Linotype" w:cs="Palatino Linotype"/>
          <w:b/>
        </w:rPr>
        <w:t>00195</w:t>
      </w:r>
      <w:r w:rsidRPr="0048359C">
        <w:rPr>
          <w:rFonts w:ascii="Palatino Linotype" w:eastAsia="Palatino Linotype" w:hAnsi="Palatino Linotype" w:cs="Palatino Linotype"/>
          <w:b/>
        </w:rPr>
        <w:t>/</w:t>
      </w:r>
      <w:r w:rsidR="00837F1B" w:rsidRPr="0048359C">
        <w:rPr>
          <w:rFonts w:ascii="Palatino Linotype" w:eastAsia="Palatino Linotype" w:hAnsi="Palatino Linotype" w:cs="Palatino Linotype"/>
          <w:b/>
        </w:rPr>
        <w:t>JUCHITE/</w:t>
      </w:r>
      <w:r w:rsidRPr="0048359C">
        <w:rPr>
          <w:rFonts w:ascii="Palatino Linotype" w:eastAsia="Palatino Linotype" w:hAnsi="Palatino Linotype" w:cs="Palatino Linotype"/>
          <w:b/>
        </w:rPr>
        <w:t xml:space="preserve">IP/2025 </w:t>
      </w:r>
      <w:r w:rsidRPr="0048359C">
        <w:rPr>
          <w:rFonts w:ascii="Palatino Linotype" w:eastAsia="Palatino Linotype" w:hAnsi="Palatino Linotype" w:cs="Palatino Linotype"/>
        </w:rPr>
        <w:t xml:space="preserve">proporcionada por parte del </w:t>
      </w:r>
      <w:r w:rsidRPr="0048359C">
        <w:rPr>
          <w:rFonts w:ascii="Palatino Linotype" w:eastAsia="Palatino Linotype" w:hAnsi="Palatino Linotype" w:cs="Palatino Linotype"/>
          <w:b/>
        </w:rPr>
        <w:t xml:space="preserve">Ayuntamiento de </w:t>
      </w:r>
      <w:r w:rsidR="00837F1B" w:rsidRPr="0048359C">
        <w:rPr>
          <w:rFonts w:ascii="Palatino Linotype" w:eastAsia="Palatino Linotype" w:hAnsi="Palatino Linotype" w:cs="Palatino Linotype"/>
          <w:b/>
        </w:rPr>
        <w:t>Juchitepec</w:t>
      </w:r>
      <w:r w:rsidRPr="0048359C">
        <w:rPr>
          <w:rFonts w:ascii="Palatino Linotype" w:eastAsia="Palatino Linotype" w:hAnsi="Palatino Linotype" w:cs="Palatino Linotype"/>
        </w:rPr>
        <w:t xml:space="preserve">, en lo sucesivo el </w:t>
      </w:r>
      <w:r w:rsidRPr="0048359C">
        <w:rPr>
          <w:rFonts w:ascii="Palatino Linotype" w:eastAsia="Palatino Linotype" w:hAnsi="Palatino Linotype" w:cs="Palatino Linotype"/>
          <w:b/>
        </w:rPr>
        <w:t>SUJETO OBLIGADO</w:t>
      </w:r>
      <w:r w:rsidRPr="0048359C">
        <w:rPr>
          <w:rFonts w:ascii="Palatino Linotype" w:eastAsia="Palatino Linotype" w:hAnsi="Palatino Linotype" w:cs="Palatino Linotype"/>
        </w:rPr>
        <w:t>; se procede a dictar la presente resolución, con base en los siguientes:</w:t>
      </w:r>
    </w:p>
    <w:p w14:paraId="78327589" w14:textId="77777777" w:rsidR="004639EE" w:rsidRPr="0048359C" w:rsidRDefault="004639EE">
      <w:pPr>
        <w:spacing w:after="0" w:line="360" w:lineRule="auto"/>
        <w:ind w:right="49"/>
        <w:jc w:val="both"/>
        <w:rPr>
          <w:rFonts w:ascii="Palatino Linotype" w:eastAsia="Palatino Linotype" w:hAnsi="Palatino Linotype" w:cs="Palatino Linotype"/>
        </w:rPr>
      </w:pPr>
    </w:p>
    <w:p w14:paraId="42D3F471" w14:textId="77777777" w:rsidR="004639EE" w:rsidRPr="0048359C" w:rsidRDefault="00E72281">
      <w:pPr>
        <w:spacing w:after="0" w:line="360" w:lineRule="auto"/>
        <w:ind w:right="49"/>
        <w:jc w:val="center"/>
        <w:rPr>
          <w:rFonts w:ascii="Palatino Linotype" w:eastAsia="Palatino Linotype" w:hAnsi="Palatino Linotype" w:cs="Palatino Linotype"/>
          <w:b/>
        </w:rPr>
      </w:pPr>
      <w:r w:rsidRPr="0048359C">
        <w:rPr>
          <w:rFonts w:ascii="Palatino Linotype" w:eastAsia="Palatino Linotype" w:hAnsi="Palatino Linotype" w:cs="Palatino Linotype"/>
          <w:b/>
        </w:rPr>
        <w:t>I.</w:t>
      </w:r>
      <w:r w:rsidRPr="0048359C">
        <w:rPr>
          <w:rFonts w:ascii="Palatino Linotype" w:eastAsia="Palatino Linotype" w:hAnsi="Palatino Linotype" w:cs="Palatino Linotype"/>
          <w:b/>
        </w:rPr>
        <w:tab/>
        <w:t>A N T E C E D E N T E S</w:t>
      </w:r>
    </w:p>
    <w:p w14:paraId="58556DA3" w14:textId="77777777" w:rsidR="004639EE" w:rsidRPr="0048359C" w:rsidRDefault="004639EE">
      <w:pPr>
        <w:spacing w:after="0" w:line="360" w:lineRule="auto"/>
        <w:ind w:right="49"/>
        <w:jc w:val="both"/>
        <w:rPr>
          <w:rFonts w:ascii="Palatino Linotype" w:eastAsia="Palatino Linotype" w:hAnsi="Palatino Linotype" w:cs="Palatino Linotype"/>
        </w:rPr>
      </w:pPr>
    </w:p>
    <w:p w14:paraId="605BF734" w14:textId="77777777" w:rsidR="004639EE" w:rsidRPr="0048359C" w:rsidRDefault="00E7228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8359C">
        <w:rPr>
          <w:rFonts w:ascii="Palatino Linotype" w:eastAsia="Palatino Linotype" w:hAnsi="Palatino Linotype" w:cs="Palatino Linotype"/>
          <w:b/>
        </w:rPr>
        <w:t>Solicitud de acceso a la información.</w:t>
      </w:r>
      <w:r w:rsidRPr="0048359C">
        <w:rPr>
          <w:rFonts w:ascii="Palatino Linotype" w:eastAsia="Palatino Linotype" w:hAnsi="Palatino Linotype" w:cs="Palatino Linotype"/>
        </w:rPr>
        <w:t xml:space="preserve"> Con fecha </w:t>
      </w:r>
      <w:r w:rsidR="00837F1B" w:rsidRPr="0048359C">
        <w:rPr>
          <w:rFonts w:ascii="Palatino Linotype" w:eastAsia="Palatino Linotype" w:hAnsi="Palatino Linotype" w:cs="Palatino Linotype"/>
          <w:b/>
        </w:rPr>
        <w:t>diez de mayo</w:t>
      </w:r>
      <w:r w:rsidRPr="0048359C">
        <w:rPr>
          <w:rFonts w:ascii="Palatino Linotype" w:eastAsia="Palatino Linotype" w:hAnsi="Palatino Linotype" w:cs="Palatino Linotype"/>
          <w:b/>
        </w:rPr>
        <w:t xml:space="preserve"> de dos mil veinticinco</w:t>
      </w:r>
      <w:r w:rsidRPr="0048359C">
        <w:rPr>
          <w:rFonts w:ascii="Palatino Linotype" w:eastAsia="Palatino Linotype" w:hAnsi="Palatino Linotype" w:cs="Palatino Linotype"/>
        </w:rPr>
        <w:t xml:space="preserve">, la parte </w:t>
      </w:r>
      <w:r w:rsidRPr="0048359C">
        <w:rPr>
          <w:rFonts w:ascii="Palatino Linotype" w:eastAsia="Palatino Linotype" w:hAnsi="Palatino Linotype" w:cs="Palatino Linotype"/>
          <w:b/>
        </w:rPr>
        <w:t>RECURRENTE</w:t>
      </w:r>
      <w:r w:rsidRPr="0048359C">
        <w:rPr>
          <w:rFonts w:ascii="Palatino Linotype" w:eastAsia="Palatino Linotype" w:hAnsi="Palatino Linotype" w:cs="Palatino Linotype"/>
        </w:rPr>
        <w:t xml:space="preserve"> formuló solicitud de acceso a información pública al</w:t>
      </w:r>
      <w:r w:rsidRPr="0048359C">
        <w:rPr>
          <w:rFonts w:ascii="Palatino Linotype" w:eastAsia="Palatino Linotype" w:hAnsi="Palatino Linotype" w:cs="Palatino Linotype"/>
          <w:b/>
        </w:rPr>
        <w:t xml:space="preserve"> SUJETO OBLIGADO</w:t>
      </w:r>
      <w:r w:rsidRPr="0048359C">
        <w:rPr>
          <w:rFonts w:ascii="Palatino Linotype" w:eastAsia="Palatino Linotype" w:hAnsi="Palatino Linotype" w:cs="Palatino Linotype"/>
        </w:rPr>
        <w:t xml:space="preserve"> a través del Sistema de Acceso a la Información Mexiquense, en adelante SAIMEX, </w:t>
      </w:r>
      <w:r w:rsidR="00837F1B" w:rsidRPr="0048359C">
        <w:rPr>
          <w:rFonts w:ascii="Palatino Linotype" w:eastAsia="Palatino Linotype" w:hAnsi="Palatino Linotype" w:cs="Palatino Linotype"/>
        </w:rPr>
        <w:t xml:space="preserve">no obstante, por corresponder a un día inhábil quedó registrado el </w:t>
      </w:r>
      <w:r w:rsidR="00837F1B" w:rsidRPr="0048359C">
        <w:rPr>
          <w:rFonts w:ascii="Palatino Linotype" w:eastAsia="Palatino Linotype" w:hAnsi="Palatino Linotype" w:cs="Palatino Linotype"/>
          <w:b/>
        </w:rPr>
        <w:t xml:space="preserve">doce de mayo de dos mil veinticinco </w:t>
      </w:r>
      <w:r w:rsidRPr="0048359C">
        <w:rPr>
          <w:rFonts w:ascii="Palatino Linotype" w:eastAsia="Palatino Linotype" w:hAnsi="Palatino Linotype" w:cs="Palatino Linotype"/>
        </w:rPr>
        <w:t xml:space="preserve">en la que requirió lo siguiente: </w:t>
      </w:r>
    </w:p>
    <w:p w14:paraId="432782CC" w14:textId="77777777" w:rsidR="004639EE" w:rsidRPr="0048359C" w:rsidRDefault="00E72281">
      <w:pPr>
        <w:tabs>
          <w:tab w:val="left" w:pos="1530"/>
        </w:tabs>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ab/>
      </w:r>
    </w:p>
    <w:p w14:paraId="5DD19E14" w14:textId="77777777" w:rsidR="004639EE" w:rsidRPr="0048359C" w:rsidRDefault="00E72281">
      <w:pPr>
        <w:spacing w:after="0" w:line="240" w:lineRule="auto"/>
        <w:ind w:left="567" w:right="560"/>
        <w:jc w:val="both"/>
        <w:rPr>
          <w:rFonts w:ascii="Palatino Linotype" w:eastAsia="Palatino Linotype" w:hAnsi="Palatino Linotype" w:cs="Palatino Linotype"/>
          <w:i/>
        </w:rPr>
      </w:pPr>
      <w:bookmarkStart w:id="1" w:name="_heading=h.30j0zll" w:colFirst="0" w:colLast="0"/>
      <w:bookmarkEnd w:id="1"/>
      <w:r w:rsidRPr="0048359C">
        <w:rPr>
          <w:rFonts w:ascii="Palatino Linotype" w:eastAsia="Palatino Linotype" w:hAnsi="Palatino Linotype" w:cs="Palatino Linotype"/>
          <w:i/>
        </w:rPr>
        <w:t>“</w:t>
      </w:r>
      <w:r w:rsidR="00837F1B" w:rsidRPr="0048359C">
        <w:rPr>
          <w:rFonts w:ascii="Palatino Linotype" w:eastAsia="Palatino Linotype" w:hAnsi="Palatino Linotype" w:cs="Palatino Linotype"/>
          <w:i/>
        </w:rPr>
        <w:t xml:space="preserve">SOLICITO COPIA DE </w:t>
      </w:r>
      <w:r w:rsidR="00837F1B" w:rsidRPr="0048359C">
        <w:rPr>
          <w:rFonts w:ascii="Palatino Linotype" w:eastAsia="Palatino Linotype" w:hAnsi="Palatino Linotype" w:cs="Palatino Linotype"/>
          <w:b/>
          <w:i/>
          <w:u w:val="single"/>
        </w:rPr>
        <w:t>RECIBO DE NOMINA DE LOS MESES FEBRERO, MARZO Y ABRIL DEL AÑO 2025</w:t>
      </w:r>
      <w:r w:rsidR="00837F1B" w:rsidRPr="0048359C">
        <w:rPr>
          <w:rFonts w:ascii="Palatino Linotype" w:eastAsia="Palatino Linotype" w:hAnsi="Palatino Linotype" w:cs="Palatino Linotype"/>
          <w:i/>
        </w:rPr>
        <w:t xml:space="preserve"> DEL SEÑOR MANUEL QUIROZ SERRANO TRABAJADOR DEL H. AYUNTAMIENTO DE JUCHITEPEC ESTADO MEXICO</w:t>
      </w:r>
      <w:r w:rsidRPr="0048359C">
        <w:rPr>
          <w:rFonts w:ascii="Palatino Linotype" w:eastAsia="Palatino Linotype" w:hAnsi="Palatino Linotype" w:cs="Palatino Linotype"/>
          <w:i/>
        </w:rPr>
        <w:t>.</w:t>
      </w:r>
      <w:r w:rsidR="00837F1B" w:rsidRPr="0048359C">
        <w:rPr>
          <w:rFonts w:ascii="Palatino Linotype" w:eastAsia="Palatino Linotype" w:hAnsi="Palatino Linotype" w:cs="Palatino Linotype"/>
          <w:i/>
        </w:rPr>
        <w:t>”</w:t>
      </w:r>
    </w:p>
    <w:p w14:paraId="4DAA5A87" w14:textId="77777777" w:rsidR="004639EE" w:rsidRPr="0048359C" w:rsidRDefault="00E72281">
      <w:pPr>
        <w:spacing w:after="0"/>
        <w:ind w:left="567" w:right="560"/>
        <w:jc w:val="both"/>
        <w:rPr>
          <w:rFonts w:ascii="Palatino Linotype" w:eastAsia="Palatino Linotype" w:hAnsi="Palatino Linotype" w:cs="Palatino Linotype"/>
          <w:i/>
        </w:rPr>
      </w:pPr>
      <w:r w:rsidRPr="0048359C">
        <w:rPr>
          <w:rFonts w:ascii="Palatino Linotype" w:eastAsia="Palatino Linotype" w:hAnsi="Palatino Linotype" w:cs="Palatino Linotype"/>
          <w:i/>
        </w:rPr>
        <w:t xml:space="preserve"> </w:t>
      </w:r>
    </w:p>
    <w:p w14:paraId="1B5FD126" w14:textId="77777777" w:rsidR="004639EE" w:rsidRPr="0048359C" w:rsidRDefault="00E72281">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b/>
        </w:rPr>
        <w:t>Modalidad elegida para la entrega de la información:</w:t>
      </w:r>
      <w:r w:rsidRPr="0048359C">
        <w:rPr>
          <w:rFonts w:ascii="Palatino Linotype" w:eastAsia="Palatino Linotype" w:hAnsi="Palatino Linotype" w:cs="Palatino Linotype"/>
        </w:rPr>
        <w:t xml:space="preserve"> a través del Sistema de Acceso a la Información Mexiquense (SAIMEX). </w:t>
      </w:r>
    </w:p>
    <w:p w14:paraId="45E76C0E" w14:textId="77777777" w:rsidR="004639EE" w:rsidRPr="0048359C" w:rsidRDefault="004639EE">
      <w:pPr>
        <w:spacing w:after="0" w:line="360" w:lineRule="auto"/>
        <w:ind w:right="49"/>
        <w:jc w:val="both"/>
        <w:rPr>
          <w:rFonts w:ascii="Palatino Linotype" w:eastAsia="Palatino Linotype" w:hAnsi="Palatino Linotype" w:cs="Palatino Linotype"/>
        </w:rPr>
      </w:pPr>
    </w:p>
    <w:p w14:paraId="5A293957" w14:textId="77777777" w:rsidR="004639EE" w:rsidRPr="0048359C" w:rsidRDefault="00E72281" w:rsidP="00837F1B">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8359C">
        <w:rPr>
          <w:rFonts w:ascii="Palatino Linotype" w:eastAsia="Palatino Linotype" w:hAnsi="Palatino Linotype" w:cs="Palatino Linotype"/>
          <w:b/>
        </w:rPr>
        <w:lastRenderedPageBreak/>
        <w:t xml:space="preserve">Respuesta. </w:t>
      </w:r>
      <w:r w:rsidRPr="0048359C">
        <w:rPr>
          <w:rFonts w:ascii="Palatino Linotype" w:eastAsia="Palatino Linotype" w:hAnsi="Palatino Linotype" w:cs="Palatino Linotype"/>
        </w:rPr>
        <w:t xml:space="preserve">En </w:t>
      </w:r>
      <w:r w:rsidR="00837F1B" w:rsidRPr="0048359C">
        <w:rPr>
          <w:rFonts w:ascii="Palatino Linotype" w:eastAsia="Palatino Linotype" w:hAnsi="Palatino Linotype" w:cs="Palatino Linotype"/>
          <w:b/>
        </w:rPr>
        <w:t>veintidós de mayo</w:t>
      </w:r>
      <w:r w:rsidRPr="0048359C">
        <w:rPr>
          <w:rFonts w:ascii="Palatino Linotype" w:eastAsia="Palatino Linotype" w:hAnsi="Palatino Linotype" w:cs="Palatino Linotype"/>
          <w:b/>
        </w:rPr>
        <w:t xml:space="preserve"> de dos mil veinticinco</w:t>
      </w:r>
      <w:r w:rsidRPr="0048359C">
        <w:rPr>
          <w:rFonts w:ascii="Palatino Linotype" w:eastAsia="Palatino Linotype" w:hAnsi="Palatino Linotype" w:cs="Palatino Linotype"/>
        </w:rPr>
        <w:t xml:space="preserve">, </w:t>
      </w:r>
      <w:r w:rsidR="00837F1B" w:rsidRPr="0048359C">
        <w:rPr>
          <w:rFonts w:ascii="Palatino Linotype" w:eastAsia="Palatino Linotype" w:hAnsi="Palatino Linotype" w:cs="Palatino Linotype"/>
        </w:rPr>
        <w:t xml:space="preserve">el </w:t>
      </w:r>
      <w:r w:rsidR="00837F1B" w:rsidRPr="0048359C">
        <w:rPr>
          <w:rFonts w:ascii="Palatino Linotype" w:eastAsia="Palatino Linotype" w:hAnsi="Palatino Linotype" w:cs="Palatino Linotype"/>
          <w:b/>
        </w:rPr>
        <w:t xml:space="preserve">SUJETO OBLIGADO </w:t>
      </w:r>
      <w:r w:rsidR="00837F1B" w:rsidRPr="0048359C">
        <w:rPr>
          <w:rFonts w:ascii="Palatino Linotype" w:eastAsia="Palatino Linotype" w:hAnsi="Palatino Linotype" w:cs="Palatino Linotype"/>
        </w:rPr>
        <w:t xml:space="preserve">remitió su respuesta, la cual fue del conocimiento de las partes. </w:t>
      </w:r>
    </w:p>
    <w:p w14:paraId="7A8999CA" w14:textId="77777777" w:rsidR="00837F1B" w:rsidRPr="0048359C" w:rsidRDefault="00837F1B" w:rsidP="00837F1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BDDDCC3" w14:textId="77777777" w:rsidR="004639EE" w:rsidRPr="0048359C" w:rsidRDefault="00E7228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8359C">
        <w:rPr>
          <w:rFonts w:ascii="Palatino Linotype" w:eastAsia="Palatino Linotype" w:hAnsi="Palatino Linotype" w:cs="Palatino Linotype"/>
          <w:b/>
        </w:rPr>
        <w:t xml:space="preserve">Recurso de Revisión. </w:t>
      </w:r>
      <w:r w:rsidRPr="0048359C">
        <w:rPr>
          <w:rFonts w:ascii="Palatino Linotype" w:eastAsia="Palatino Linotype" w:hAnsi="Palatino Linotype" w:cs="Palatino Linotype"/>
        </w:rPr>
        <w:t xml:space="preserve">En fecha </w:t>
      </w:r>
      <w:r w:rsidR="00837F1B" w:rsidRPr="0048359C">
        <w:rPr>
          <w:rFonts w:ascii="Palatino Linotype" w:eastAsia="Palatino Linotype" w:hAnsi="Palatino Linotype" w:cs="Palatino Linotype"/>
          <w:b/>
        </w:rPr>
        <w:t>diez de junio</w:t>
      </w:r>
      <w:r w:rsidRPr="0048359C">
        <w:rPr>
          <w:rFonts w:ascii="Palatino Linotype" w:eastAsia="Palatino Linotype" w:hAnsi="Palatino Linotype" w:cs="Palatino Linotype"/>
          <w:b/>
        </w:rPr>
        <w:t xml:space="preserve"> de dos mil veinticinco</w:t>
      </w:r>
      <w:r w:rsidRPr="0048359C">
        <w:rPr>
          <w:rFonts w:ascii="Palatino Linotype" w:eastAsia="Palatino Linotype" w:hAnsi="Palatino Linotype" w:cs="Palatino Linotype"/>
        </w:rPr>
        <w:t xml:space="preserve"> la persona Solicitante interpuso Recurso de Revisión a través del </w:t>
      </w:r>
      <w:r w:rsidRPr="0048359C">
        <w:rPr>
          <w:rFonts w:ascii="Palatino Linotype" w:eastAsia="Palatino Linotype" w:hAnsi="Palatino Linotype" w:cs="Palatino Linotype"/>
          <w:b/>
        </w:rPr>
        <w:t>SAIMEX</w:t>
      </w:r>
      <w:r w:rsidRPr="0048359C">
        <w:rPr>
          <w:rFonts w:ascii="Palatino Linotype" w:eastAsia="Palatino Linotype" w:hAnsi="Palatino Linotype" w:cs="Palatino Linotype"/>
        </w:rPr>
        <w:t>, a través del cual expresó lo siguiente:</w:t>
      </w:r>
    </w:p>
    <w:p w14:paraId="596ADA6A" w14:textId="77777777" w:rsidR="004639EE" w:rsidRPr="0048359C" w:rsidRDefault="004639E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349E979" w14:textId="77777777" w:rsidR="004639EE" w:rsidRPr="0048359C" w:rsidRDefault="00E72281" w:rsidP="00837F1B">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r w:rsidRPr="0048359C">
        <w:rPr>
          <w:rFonts w:ascii="Palatino Linotype" w:eastAsia="Palatino Linotype" w:hAnsi="Palatino Linotype" w:cs="Palatino Linotype"/>
          <w:b/>
        </w:rPr>
        <w:t>Acto impugnado</w:t>
      </w:r>
      <w:r w:rsidRPr="0048359C">
        <w:rPr>
          <w:rFonts w:ascii="Palatino Linotype" w:eastAsia="Palatino Linotype" w:hAnsi="Palatino Linotype" w:cs="Palatino Linotype"/>
          <w:b/>
          <w:i/>
        </w:rPr>
        <w:t xml:space="preserve">. </w:t>
      </w:r>
      <w:r w:rsidR="00837F1B" w:rsidRPr="0048359C">
        <w:rPr>
          <w:rFonts w:ascii="Palatino Linotype" w:eastAsia="Palatino Linotype" w:hAnsi="Palatino Linotype" w:cs="Palatino Linotype"/>
          <w:i/>
        </w:rPr>
        <w:t>“</w:t>
      </w:r>
      <w:r w:rsidR="00837F1B" w:rsidRPr="0048359C">
        <w:rPr>
          <w:rFonts w:ascii="Palatino Linotype" w:eastAsia="Palatino Linotype" w:hAnsi="Palatino Linotype" w:cs="Palatino Linotype"/>
          <w:b/>
          <w:i/>
          <w:u w:val="single"/>
        </w:rPr>
        <w:t>SOLICITO ME PROPORCIONEN LA INFORMACIÓN SOLICITADA,</w:t>
      </w:r>
      <w:r w:rsidR="00837F1B" w:rsidRPr="0048359C">
        <w:rPr>
          <w:rFonts w:ascii="Palatino Linotype" w:eastAsia="Palatino Linotype" w:hAnsi="Palatino Linotype" w:cs="Palatino Linotype"/>
          <w:i/>
        </w:rPr>
        <w:t xml:space="preserve"> YA QUE UNA SESIÓN EXTRAORDINARIA DEL COMITÉ DE TRANSPARENCIA DEL MUNICIPIO DE JUCHITEPEC ESTADO DE MEXICO NO ESTA POR ENCIMA DE LA CARTA MAGNA</w:t>
      </w:r>
      <w:r w:rsidRPr="0048359C">
        <w:rPr>
          <w:rFonts w:ascii="Palatino Linotype" w:eastAsia="Palatino Linotype" w:hAnsi="Palatino Linotype" w:cs="Palatino Linotype"/>
          <w:i/>
        </w:rPr>
        <w:t>”</w:t>
      </w:r>
      <w:r w:rsidR="00837F1B" w:rsidRPr="0048359C">
        <w:rPr>
          <w:rFonts w:ascii="Palatino Linotype" w:eastAsia="Palatino Linotype" w:hAnsi="Palatino Linotype" w:cs="Palatino Linotype"/>
          <w:i/>
        </w:rPr>
        <w:t xml:space="preserve"> </w:t>
      </w:r>
    </w:p>
    <w:p w14:paraId="758EC668" w14:textId="77777777" w:rsidR="004639EE" w:rsidRPr="0048359C" w:rsidRDefault="004639EE" w:rsidP="00837F1B">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p>
    <w:p w14:paraId="015E82F0" w14:textId="77777777" w:rsidR="004639EE" w:rsidRPr="0048359C" w:rsidRDefault="00E72281" w:rsidP="00837F1B">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i/>
        </w:rPr>
      </w:pPr>
      <w:r w:rsidRPr="0048359C">
        <w:rPr>
          <w:rFonts w:ascii="Palatino Linotype" w:eastAsia="Palatino Linotype" w:hAnsi="Palatino Linotype" w:cs="Palatino Linotype"/>
          <w:b/>
        </w:rPr>
        <w:t xml:space="preserve">Razones o motivos de la inconformidad: </w:t>
      </w:r>
      <w:r w:rsidRPr="0048359C">
        <w:rPr>
          <w:rFonts w:ascii="Palatino Linotype" w:eastAsia="Palatino Linotype" w:hAnsi="Palatino Linotype" w:cs="Palatino Linotype"/>
          <w:i/>
        </w:rPr>
        <w:t>“</w:t>
      </w:r>
      <w:r w:rsidR="00837F1B" w:rsidRPr="0048359C">
        <w:rPr>
          <w:rFonts w:ascii="Palatino Linotype" w:eastAsia="Palatino Linotype" w:hAnsi="Palatino Linotype" w:cs="Palatino Linotype"/>
          <w:i/>
        </w:rPr>
        <w:t>El Artículo 8 de la Constitución Política de los Estados Unidos Mexicanos establece el derecho de petición, garantizando que los funcionarios y empleados públicos respeten el ejercicio de este derecho siempre que se formule por escrito, de manera pacífica y respetuosa. En materia política, solo los ciudadanos de la República pueden ejercer este derecho”</w:t>
      </w:r>
    </w:p>
    <w:p w14:paraId="21D1EE1B" w14:textId="77777777" w:rsidR="004639EE" w:rsidRPr="0048359C" w:rsidRDefault="004639EE">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0DA84F24" w14:textId="77777777" w:rsidR="004639EE" w:rsidRPr="0048359C" w:rsidRDefault="00E7228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8359C">
        <w:rPr>
          <w:rFonts w:ascii="Palatino Linotype" w:eastAsia="Palatino Linotype" w:hAnsi="Palatino Linotype" w:cs="Palatino Linotype"/>
          <w:b/>
        </w:rPr>
        <w:t>Turno.</w:t>
      </w:r>
      <w:r w:rsidRPr="0048359C">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837F1B" w:rsidRPr="0048359C">
        <w:rPr>
          <w:rFonts w:ascii="Palatino Linotype" w:eastAsia="Palatino Linotype" w:hAnsi="Palatino Linotype" w:cs="Palatino Linotype"/>
          <w:b/>
        </w:rPr>
        <w:t>06769</w:t>
      </w:r>
      <w:r w:rsidRPr="0048359C">
        <w:rPr>
          <w:rFonts w:ascii="Palatino Linotype" w:eastAsia="Palatino Linotype" w:hAnsi="Palatino Linotype" w:cs="Palatino Linotype"/>
          <w:b/>
        </w:rPr>
        <w:t>/INFOEM/IP/RR/2025</w:t>
      </w:r>
      <w:r w:rsidRPr="0048359C">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0CF0C214" w14:textId="77777777" w:rsidR="004639EE" w:rsidRPr="0048359C" w:rsidRDefault="004639E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B52389F" w14:textId="77777777" w:rsidR="004639EE" w:rsidRPr="0048359C" w:rsidRDefault="00E7228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8359C">
        <w:rPr>
          <w:rFonts w:ascii="Palatino Linotype" w:eastAsia="Palatino Linotype" w:hAnsi="Palatino Linotype" w:cs="Palatino Linotype"/>
          <w:b/>
        </w:rPr>
        <w:t>Admisión del recurso de revisión</w:t>
      </w:r>
      <w:r w:rsidRPr="0048359C">
        <w:rPr>
          <w:rFonts w:ascii="Palatino Linotype" w:eastAsia="Palatino Linotype" w:hAnsi="Palatino Linotype" w:cs="Palatino Linotype"/>
        </w:rPr>
        <w:t>: En fecha</w:t>
      </w:r>
      <w:r w:rsidRPr="0048359C">
        <w:rPr>
          <w:rFonts w:ascii="Palatino Linotype" w:eastAsia="Palatino Linotype" w:hAnsi="Palatino Linotype" w:cs="Palatino Linotype"/>
          <w:b/>
        </w:rPr>
        <w:t xml:space="preserve"> </w:t>
      </w:r>
      <w:r w:rsidR="00837F1B" w:rsidRPr="0048359C">
        <w:rPr>
          <w:rFonts w:ascii="Palatino Linotype" w:eastAsia="Palatino Linotype" w:hAnsi="Palatino Linotype" w:cs="Palatino Linotype"/>
          <w:b/>
        </w:rPr>
        <w:t>trece de junio</w:t>
      </w:r>
      <w:r w:rsidRPr="0048359C">
        <w:rPr>
          <w:rFonts w:ascii="Palatino Linotype" w:eastAsia="Palatino Linotype" w:hAnsi="Palatino Linotype" w:cs="Palatino Linotype"/>
          <w:b/>
        </w:rPr>
        <w:t xml:space="preserve"> de dos mil veinticinco</w:t>
      </w:r>
      <w:r w:rsidRPr="0048359C">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w:t>
      </w:r>
      <w:r w:rsidRPr="0048359C">
        <w:rPr>
          <w:rFonts w:ascii="Palatino Linotype" w:eastAsia="Palatino Linotype" w:hAnsi="Palatino Linotype" w:cs="Palatino Linotype"/>
        </w:rPr>
        <w:lastRenderedPageBreak/>
        <w:t xml:space="preserve">derecho resultara conveniente, ofrecieran pruebas, formularan alegatos y el Sujeto Obligado presentara su informe justificado. </w:t>
      </w:r>
    </w:p>
    <w:p w14:paraId="6C52E232" w14:textId="77777777" w:rsidR="004639EE" w:rsidRPr="0048359C" w:rsidRDefault="004639EE">
      <w:pPr>
        <w:pBdr>
          <w:top w:val="nil"/>
          <w:left w:val="nil"/>
          <w:bottom w:val="nil"/>
          <w:right w:val="nil"/>
          <w:between w:val="nil"/>
        </w:pBdr>
        <w:spacing w:after="0"/>
        <w:ind w:left="720"/>
        <w:rPr>
          <w:rFonts w:ascii="Palatino Linotype" w:eastAsia="Palatino Linotype" w:hAnsi="Palatino Linotype" w:cs="Palatino Linotype"/>
        </w:rPr>
      </w:pPr>
    </w:p>
    <w:p w14:paraId="42BC83B9" w14:textId="77777777" w:rsidR="004639EE" w:rsidRPr="0048359C" w:rsidRDefault="00E72281" w:rsidP="00837F1B">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8359C">
        <w:rPr>
          <w:rFonts w:ascii="Palatino Linotype" w:eastAsia="Palatino Linotype" w:hAnsi="Palatino Linotype" w:cs="Palatino Linotype"/>
          <w:b/>
        </w:rPr>
        <w:t xml:space="preserve">Manifestaciones: </w:t>
      </w:r>
      <w:r w:rsidRPr="0048359C">
        <w:rPr>
          <w:rFonts w:ascii="Palatino Linotype" w:eastAsia="Palatino Linotype" w:hAnsi="Palatino Linotype" w:cs="Palatino Linotype"/>
        </w:rPr>
        <w:t xml:space="preserve">En fecha </w:t>
      </w:r>
      <w:r w:rsidR="00837F1B" w:rsidRPr="0048359C">
        <w:rPr>
          <w:rFonts w:ascii="Palatino Linotype" w:eastAsia="Palatino Linotype" w:hAnsi="Palatino Linotype" w:cs="Palatino Linotype"/>
          <w:b/>
        </w:rPr>
        <w:t>diecinueve de junio de dos mil veinticinco</w:t>
      </w:r>
      <w:r w:rsidR="00837F1B" w:rsidRPr="0048359C">
        <w:rPr>
          <w:rFonts w:ascii="Palatino Linotype" w:eastAsia="Palatino Linotype" w:hAnsi="Palatino Linotype" w:cs="Palatino Linotype"/>
        </w:rPr>
        <w:t xml:space="preserve">, el </w:t>
      </w:r>
      <w:r w:rsidR="00837F1B" w:rsidRPr="0048359C">
        <w:rPr>
          <w:rFonts w:ascii="Palatino Linotype" w:eastAsia="Palatino Linotype" w:hAnsi="Palatino Linotype" w:cs="Palatino Linotype"/>
          <w:b/>
        </w:rPr>
        <w:t xml:space="preserve">SUJETO OBLIGADO </w:t>
      </w:r>
      <w:r w:rsidR="00837F1B" w:rsidRPr="0048359C">
        <w:rPr>
          <w:rFonts w:ascii="Palatino Linotype" w:eastAsia="Palatino Linotype" w:hAnsi="Palatino Linotype" w:cs="Palatino Linotype"/>
        </w:rPr>
        <w:t xml:space="preserve">rindió su informe justificado, mediante el cual se ratificó su respuesta. </w:t>
      </w:r>
    </w:p>
    <w:p w14:paraId="2D487F50" w14:textId="77777777" w:rsidR="003E14CF" w:rsidRPr="0048359C" w:rsidRDefault="003E14CF" w:rsidP="00837F1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FC20FBC" w14:textId="77777777" w:rsidR="00837F1B" w:rsidRPr="0048359C" w:rsidRDefault="00837F1B" w:rsidP="00837F1B">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48359C">
        <w:rPr>
          <w:rFonts w:ascii="Palatino Linotype" w:eastAsia="Palatino Linotype" w:hAnsi="Palatino Linotype" w:cs="Palatino Linotype"/>
        </w:rPr>
        <w:t xml:space="preserve">Los documentos se hicieron del conocimiento en fecha </w:t>
      </w:r>
      <w:r w:rsidR="0037689E" w:rsidRPr="0048359C">
        <w:rPr>
          <w:rFonts w:ascii="Palatino Linotype" w:eastAsia="Palatino Linotype" w:hAnsi="Palatino Linotype" w:cs="Palatino Linotype"/>
          <w:b/>
        </w:rPr>
        <w:t>ocho</w:t>
      </w:r>
      <w:r w:rsidRPr="0048359C">
        <w:rPr>
          <w:rFonts w:ascii="Palatino Linotype" w:eastAsia="Palatino Linotype" w:hAnsi="Palatino Linotype" w:cs="Palatino Linotype"/>
          <w:b/>
        </w:rPr>
        <w:t xml:space="preserve"> de octubre de dos mil veinticinco. </w:t>
      </w:r>
    </w:p>
    <w:p w14:paraId="62E28A84" w14:textId="77777777" w:rsidR="00837F1B" w:rsidRPr="0048359C" w:rsidRDefault="00837F1B" w:rsidP="00837F1B">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27E8E763" w14:textId="77777777" w:rsidR="00837F1B" w:rsidRPr="0048359C" w:rsidRDefault="00837F1B" w:rsidP="00837F1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La parte Recurrente fue omiso en rendir manifestaciones. </w:t>
      </w:r>
    </w:p>
    <w:p w14:paraId="2D0176FD" w14:textId="77777777" w:rsidR="00837F1B" w:rsidRPr="0048359C" w:rsidRDefault="00837F1B" w:rsidP="00837F1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C3EA054" w14:textId="77777777" w:rsidR="00837F1B" w:rsidRPr="0048359C" w:rsidRDefault="00837F1B" w:rsidP="00837F1B">
      <w:pPr>
        <w:pStyle w:val="Prrafodelista"/>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8359C">
        <w:rPr>
          <w:rFonts w:ascii="Palatino Linotype" w:eastAsia="Palatino Linotype" w:hAnsi="Palatino Linotype" w:cs="Palatino Linotype"/>
          <w:b/>
        </w:rPr>
        <w:t xml:space="preserve">Ampliación de plazo. </w:t>
      </w:r>
      <w:r w:rsidRPr="0048359C">
        <w:rPr>
          <w:rFonts w:ascii="Palatino Linotype" w:eastAsia="Palatino Linotype" w:hAnsi="Palatino Linotype" w:cs="Palatino Linotype"/>
        </w:rPr>
        <w:t xml:space="preserve">El </w:t>
      </w:r>
      <w:r w:rsidR="0037689E" w:rsidRPr="0048359C">
        <w:rPr>
          <w:rFonts w:ascii="Palatino Linotype" w:eastAsia="Palatino Linotype" w:hAnsi="Palatino Linotype" w:cs="Palatino Linotype"/>
          <w:b/>
        </w:rPr>
        <w:t>ocho</w:t>
      </w:r>
      <w:r w:rsidRPr="0048359C">
        <w:rPr>
          <w:rFonts w:ascii="Palatino Linotype" w:eastAsia="Palatino Linotype" w:hAnsi="Palatino Linotype" w:cs="Palatino Linotype"/>
          <w:b/>
        </w:rPr>
        <w:t xml:space="preserve"> de octubre de dos mil veinticinco</w:t>
      </w:r>
      <w:r w:rsidRPr="0048359C">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799976E0" w14:textId="77777777" w:rsidR="00837F1B" w:rsidRPr="0048359C" w:rsidRDefault="00837F1B" w:rsidP="00837F1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F7270B4" w14:textId="77777777" w:rsidR="00837F1B" w:rsidRPr="0048359C" w:rsidRDefault="00837F1B" w:rsidP="00837F1B">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45A70A6" w14:textId="77777777" w:rsidR="00837F1B" w:rsidRPr="0048359C" w:rsidRDefault="00837F1B" w:rsidP="00837F1B">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 </w:t>
      </w:r>
    </w:p>
    <w:p w14:paraId="0CA0602F" w14:textId="77777777" w:rsidR="00837F1B" w:rsidRPr="0048359C" w:rsidRDefault="00837F1B" w:rsidP="00837F1B">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F96904F" w14:textId="77777777" w:rsidR="00837F1B" w:rsidRPr="0048359C" w:rsidRDefault="00837F1B" w:rsidP="00837F1B">
      <w:pPr>
        <w:spacing w:after="0" w:line="360" w:lineRule="auto"/>
        <w:ind w:right="49"/>
        <w:jc w:val="both"/>
        <w:rPr>
          <w:rFonts w:ascii="Palatino Linotype" w:eastAsia="Palatino Linotype" w:hAnsi="Palatino Linotype" w:cs="Palatino Linotype"/>
        </w:rPr>
      </w:pPr>
    </w:p>
    <w:p w14:paraId="4E2B3177" w14:textId="77777777" w:rsidR="00837F1B" w:rsidRPr="0048359C" w:rsidRDefault="00837F1B" w:rsidP="00837F1B">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158B5A" w14:textId="77777777" w:rsidR="00837F1B" w:rsidRPr="0048359C" w:rsidRDefault="00837F1B" w:rsidP="00837F1B">
      <w:pPr>
        <w:spacing w:after="0" w:line="360" w:lineRule="auto"/>
        <w:ind w:right="49"/>
        <w:jc w:val="both"/>
        <w:rPr>
          <w:rFonts w:ascii="Palatino Linotype" w:eastAsia="Palatino Linotype" w:hAnsi="Palatino Linotype" w:cs="Palatino Linotype"/>
        </w:rPr>
      </w:pPr>
    </w:p>
    <w:p w14:paraId="578FF5D4" w14:textId="77777777" w:rsidR="00837F1B" w:rsidRPr="0048359C" w:rsidRDefault="00837F1B" w:rsidP="00837F1B">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8D6A2B4" w14:textId="77777777" w:rsidR="00837F1B" w:rsidRPr="0048359C" w:rsidRDefault="00837F1B" w:rsidP="00837F1B">
      <w:pPr>
        <w:spacing w:after="0" w:line="360" w:lineRule="auto"/>
        <w:ind w:right="49"/>
        <w:jc w:val="both"/>
        <w:rPr>
          <w:rFonts w:ascii="Palatino Linotype" w:eastAsia="Palatino Linotype" w:hAnsi="Palatino Linotype" w:cs="Palatino Linotype"/>
        </w:rPr>
      </w:pPr>
    </w:p>
    <w:p w14:paraId="6D2CA150" w14:textId="77777777" w:rsidR="00837F1B" w:rsidRPr="0048359C" w:rsidRDefault="00837F1B" w:rsidP="00837F1B">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43576AB" w14:textId="77777777" w:rsidR="00837F1B" w:rsidRPr="0048359C" w:rsidRDefault="00837F1B" w:rsidP="00837F1B">
      <w:pPr>
        <w:spacing w:after="0" w:line="360" w:lineRule="auto"/>
        <w:ind w:right="49"/>
        <w:jc w:val="both"/>
        <w:rPr>
          <w:rFonts w:ascii="Palatino Linotype" w:eastAsia="Palatino Linotype" w:hAnsi="Palatino Linotype" w:cs="Palatino Linotype"/>
        </w:rPr>
      </w:pPr>
    </w:p>
    <w:p w14:paraId="72165AA8" w14:textId="77777777" w:rsidR="00837F1B" w:rsidRPr="0048359C" w:rsidRDefault="00837F1B" w:rsidP="00837F1B">
      <w:pPr>
        <w:tabs>
          <w:tab w:val="left" w:pos="709"/>
        </w:tabs>
        <w:spacing w:after="0" w:line="360" w:lineRule="auto"/>
        <w:ind w:left="567" w:right="560"/>
        <w:jc w:val="both"/>
        <w:rPr>
          <w:rFonts w:ascii="Palatino Linotype" w:eastAsia="Palatino Linotype" w:hAnsi="Palatino Linotype" w:cs="Palatino Linotype"/>
        </w:rPr>
      </w:pPr>
      <w:r w:rsidRPr="0048359C">
        <w:rPr>
          <w:rFonts w:ascii="Palatino Linotype" w:eastAsia="Palatino Linotype" w:hAnsi="Palatino Linotype" w:cs="Palatino Linotype"/>
          <w:b/>
        </w:rPr>
        <w:t>a)    Complejidad del asunto:</w:t>
      </w:r>
      <w:r w:rsidRPr="0048359C">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5EA0C562" w14:textId="77777777" w:rsidR="00837F1B" w:rsidRPr="0048359C" w:rsidRDefault="00837F1B" w:rsidP="00837F1B">
      <w:pPr>
        <w:tabs>
          <w:tab w:val="left" w:pos="709"/>
        </w:tabs>
        <w:spacing w:after="0" w:line="360" w:lineRule="auto"/>
        <w:ind w:left="567" w:right="560"/>
        <w:jc w:val="both"/>
        <w:rPr>
          <w:rFonts w:ascii="Palatino Linotype" w:eastAsia="Palatino Linotype" w:hAnsi="Palatino Linotype" w:cs="Palatino Linotype"/>
        </w:rPr>
      </w:pPr>
      <w:r w:rsidRPr="0048359C">
        <w:rPr>
          <w:rFonts w:ascii="Palatino Linotype" w:eastAsia="Palatino Linotype" w:hAnsi="Palatino Linotype" w:cs="Palatino Linotype"/>
          <w:b/>
        </w:rPr>
        <w:t>b)   Actividad Procesal del interesado</w:t>
      </w:r>
      <w:r w:rsidRPr="0048359C">
        <w:rPr>
          <w:rFonts w:ascii="Palatino Linotype" w:eastAsia="Palatino Linotype" w:hAnsi="Palatino Linotype" w:cs="Palatino Linotype"/>
        </w:rPr>
        <w:t>: Acciones u omisiones del interesado.</w:t>
      </w:r>
    </w:p>
    <w:p w14:paraId="58C11F3C" w14:textId="77777777" w:rsidR="00837F1B" w:rsidRPr="0048359C" w:rsidRDefault="00837F1B" w:rsidP="00837F1B">
      <w:pPr>
        <w:tabs>
          <w:tab w:val="left" w:pos="851"/>
        </w:tabs>
        <w:spacing w:after="0" w:line="360" w:lineRule="auto"/>
        <w:ind w:left="567" w:right="560"/>
        <w:jc w:val="both"/>
        <w:rPr>
          <w:rFonts w:ascii="Palatino Linotype" w:eastAsia="Palatino Linotype" w:hAnsi="Palatino Linotype" w:cs="Palatino Linotype"/>
        </w:rPr>
      </w:pPr>
      <w:r w:rsidRPr="0048359C">
        <w:rPr>
          <w:rFonts w:ascii="Palatino Linotype" w:eastAsia="Palatino Linotype" w:hAnsi="Palatino Linotype" w:cs="Palatino Linotype"/>
          <w:b/>
        </w:rPr>
        <w:t>c)  Conducta de la Autoridad:</w:t>
      </w:r>
      <w:r w:rsidRPr="0048359C">
        <w:rPr>
          <w:rFonts w:ascii="Palatino Linotype" w:eastAsia="Palatino Linotype" w:hAnsi="Palatino Linotype" w:cs="Palatino Linotype"/>
        </w:rPr>
        <w:t xml:space="preserve"> Las Acciones u omisiones realizadas en el procedimiento. Así como si la autoridad actuó con la debida diligencia.</w:t>
      </w:r>
    </w:p>
    <w:p w14:paraId="03D82A73" w14:textId="77777777" w:rsidR="00837F1B" w:rsidRPr="0048359C" w:rsidRDefault="00837F1B" w:rsidP="00837F1B">
      <w:pPr>
        <w:tabs>
          <w:tab w:val="left" w:pos="851"/>
        </w:tabs>
        <w:spacing w:after="0" w:line="360" w:lineRule="auto"/>
        <w:ind w:left="567" w:right="560"/>
        <w:jc w:val="both"/>
        <w:rPr>
          <w:rFonts w:ascii="Palatino Linotype" w:eastAsia="Palatino Linotype" w:hAnsi="Palatino Linotype" w:cs="Palatino Linotype"/>
        </w:rPr>
      </w:pPr>
      <w:r w:rsidRPr="0048359C">
        <w:rPr>
          <w:rFonts w:ascii="Palatino Linotype" w:eastAsia="Palatino Linotype" w:hAnsi="Palatino Linotype" w:cs="Palatino Linotype"/>
          <w:b/>
        </w:rPr>
        <w:t>d) La afectación generada en la situación jurídica de la persona involucrada en el proceso:</w:t>
      </w:r>
      <w:r w:rsidRPr="0048359C">
        <w:rPr>
          <w:rFonts w:ascii="Palatino Linotype" w:eastAsia="Palatino Linotype" w:hAnsi="Palatino Linotype" w:cs="Palatino Linotype"/>
        </w:rPr>
        <w:t xml:space="preserve"> Violación a sus derechos humanos.</w:t>
      </w:r>
    </w:p>
    <w:p w14:paraId="16E1359A" w14:textId="77777777" w:rsidR="00837F1B" w:rsidRPr="0048359C" w:rsidRDefault="00837F1B" w:rsidP="00837F1B">
      <w:pPr>
        <w:spacing w:after="0" w:line="360" w:lineRule="auto"/>
        <w:ind w:right="49"/>
        <w:jc w:val="both"/>
        <w:rPr>
          <w:rFonts w:ascii="Palatino Linotype" w:eastAsia="Palatino Linotype" w:hAnsi="Palatino Linotype" w:cs="Palatino Linotype"/>
        </w:rPr>
      </w:pPr>
    </w:p>
    <w:p w14:paraId="58D214C8" w14:textId="77777777" w:rsidR="00837F1B" w:rsidRPr="0048359C" w:rsidRDefault="00837F1B" w:rsidP="00837F1B">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E743392" w14:textId="77777777" w:rsidR="00837F1B" w:rsidRPr="0048359C" w:rsidRDefault="00837F1B" w:rsidP="00837F1B">
      <w:pPr>
        <w:spacing w:after="0" w:line="360" w:lineRule="auto"/>
        <w:ind w:right="49"/>
        <w:jc w:val="both"/>
        <w:rPr>
          <w:rFonts w:ascii="Palatino Linotype" w:eastAsia="Palatino Linotype" w:hAnsi="Palatino Linotype" w:cs="Palatino Linotype"/>
        </w:rPr>
      </w:pPr>
    </w:p>
    <w:p w14:paraId="1AEB25A2" w14:textId="77777777" w:rsidR="00837F1B" w:rsidRPr="0048359C" w:rsidRDefault="00837F1B" w:rsidP="00837F1B">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Argumento que encuentra sustento en la jurisprudencia P./J. 32/92 emitida por el Pleno de la Suprema Corte de Justicia de la Nación de rubro “</w:t>
      </w:r>
      <w:r w:rsidRPr="0048359C">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48359C">
        <w:rPr>
          <w:rFonts w:ascii="Palatino Linotype" w:eastAsia="Palatino Linotype" w:hAnsi="Palatino Linotype" w:cs="Palatino Linotype"/>
        </w:rPr>
        <w:t>, visible en la Gaceta del Seminario Judicial de la Federación con el registro digital 205635.</w:t>
      </w:r>
    </w:p>
    <w:p w14:paraId="4A0F772A" w14:textId="77777777" w:rsidR="00837F1B" w:rsidRPr="0048359C" w:rsidRDefault="00837F1B" w:rsidP="00837F1B">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 </w:t>
      </w:r>
    </w:p>
    <w:p w14:paraId="4E5B72C1" w14:textId="77777777" w:rsidR="00837F1B" w:rsidRPr="0048359C" w:rsidRDefault="00837F1B" w:rsidP="00837F1B">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54E308E" w14:textId="77777777" w:rsidR="00837F1B" w:rsidRPr="0048359C" w:rsidRDefault="00837F1B" w:rsidP="00837F1B">
      <w:pPr>
        <w:spacing w:after="0" w:line="360" w:lineRule="auto"/>
        <w:ind w:right="49"/>
        <w:jc w:val="both"/>
        <w:rPr>
          <w:rFonts w:ascii="Palatino Linotype" w:eastAsia="Palatino Linotype" w:hAnsi="Palatino Linotype" w:cs="Palatino Linotype"/>
        </w:rPr>
      </w:pPr>
    </w:p>
    <w:p w14:paraId="43A97447" w14:textId="77777777" w:rsidR="00837F1B" w:rsidRPr="0048359C" w:rsidRDefault="00837F1B" w:rsidP="00837F1B">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6DEA694" w14:textId="77777777" w:rsidR="00837F1B" w:rsidRPr="0048359C" w:rsidRDefault="00837F1B" w:rsidP="00837F1B">
      <w:pPr>
        <w:spacing w:after="0" w:line="360" w:lineRule="auto"/>
        <w:ind w:right="49"/>
        <w:jc w:val="both"/>
        <w:rPr>
          <w:rFonts w:ascii="Palatino Linotype" w:eastAsia="Palatino Linotype" w:hAnsi="Palatino Linotype" w:cs="Palatino Linotype"/>
        </w:rPr>
      </w:pPr>
    </w:p>
    <w:p w14:paraId="36A94CFD" w14:textId="77777777" w:rsidR="00837F1B" w:rsidRPr="0048359C" w:rsidRDefault="00837F1B" w:rsidP="00837F1B">
      <w:pPr>
        <w:spacing w:after="0" w:line="360" w:lineRule="auto"/>
        <w:ind w:left="567" w:right="560"/>
        <w:jc w:val="both"/>
        <w:rPr>
          <w:rFonts w:ascii="Palatino Linotype" w:eastAsia="Palatino Linotype" w:hAnsi="Palatino Linotype" w:cs="Palatino Linotype"/>
        </w:rPr>
      </w:pPr>
      <w:r w:rsidRPr="0048359C">
        <w:rPr>
          <w:rFonts w:ascii="Palatino Linotype" w:eastAsia="Palatino Linotype" w:hAnsi="Palatino Linotype" w:cs="Palatino Linotype"/>
          <w:b/>
        </w:rPr>
        <w:t xml:space="preserve"> “PLAZO RAZONABLE PARA RESOLVER. DIMENSIÓN Y EFECTOS DE ESTE CONCEPTO CUANDO SE ADUCE EXCESIVA CARGA DE TRABAJO.”</w:t>
      </w:r>
      <w:r w:rsidRPr="0048359C">
        <w:rPr>
          <w:rFonts w:ascii="Palatino Linotype" w:eastAsia="Palatino Linotype" w:hAnsi="Palatino Linotype" w:cs="Palatino Linotype"/>
        </w:rPr>
        <w:t xml:space="preserve"> consultable en el Seminario Judicial de la Federación y su gaceta, con el registro digital 2002351.</w:t>
      </w:r>
    </w:p>
    <w:p w14:paraId="17FB5BDB" w14:textId="77777777" w:rsidR="00837F1B" w:rsidRPr="0048359C" w:rsidRDefault="00837F1B" w:rsidP="00837F1B">
      <w:pPr>
        <w:spacing w:after="0" w:line="360" w:lineRule="auto"/>
        <w:ind w:left="567" w:right="560"/>
        <w:jc w:val="both"/>
        <w:rPr>
          <w:rFonts w:ascii="Palatino Linotype" w:eastAsia="Palatino Linotype" w:hAnsi="Palatino Linotype" w:cs="Palatino Linotype"/>
        </w:rPr>
      </w:pPr>
      <w:r w:rsidRPr="0048359C">
        <w:rPr>
          <w:rFonts w:ascii="Palatino Linotype" w:eastAsia="Palatino Linotype" w:hAnsi="Palatino Linotype" w:cs="Palatino Linotype"/>
          <w:b/>
        </w:rPr>
        <w:t>“PLAZO RAZONABLE PARA RESOLVER. CONCEPTO Y ELEMENTOS QUE LO INTEGRAN A LA LUZ DEL DERECHO INTERNACIONAL DE LOS DERECHOS HUMANOS.”,</w:t>
      </w:r>
      <w:r w:rsidRPr="0048359C">
        <w:rPr>
          <w:rFonts w:ascii="Palatino Linotype" w:eastAsia="Palatino Linotype" w:hAnsi="Palatino Linotype" w:cs="Palatino Linotype"/>
        </w:rPr>
        <w:t xml:space="preserve"> visible en el Seminario Judicial de la Federación y su gaceta, con el registro digital 2002350.</w:t>
      </w:r>
    </w:p>
    <w:p w14:paraId="20FFA126" w14:textId="77777777" w:rsidR="00837F1B" w:rsidRPr="0048359C" w:rsidRDefault="00837F1B" w:rsidP="00837F1B">
      <w:pPr>
        <w:spacing w:after="0" w:line="360" w:lineRule="auto"/>
        <w:ind w:left="567" w:right="560"/>
        <w:jc w:val="both"/>
        <w:rPr>
          <w:rFonts w:ascii="Palatino Linotype" w:eastAsia="Palatino Linotype" w:hAnsi="Palatino Linotype" w:cs="Palatino Linotype"/>
        </w:rPr>
      </w:pPr>
    </w:p>
    <w:p w14:paraId="09D5F850" w14:textId="77777777" w:rsidR="00837F1B" w:rsidRPr="0048359C" w:rsidRDefault="00837F1B" w:rsidP="00837F1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Por ello, este organismo garante comprometido con la tutela de los derechos humanos confiados señala que este exceso del plazo legal para resolver el presente asunto resulta de carácter excepcional. </w:t>
      </w:r>
    </w:p>
    <w:p w14:paraId="70A3CFCE" w14:textId="77777777" w:rsidR="00837F1B" w:rsidRPr="0048359C" w:rsidRDefault="00837F1B" w:rsidP="00837F1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767FB42" w14:textId="77777777" w:rsidR="00837F1B" w:rsidRPr="0048359C" w:rsidRDefault="00837F1B" w:rsidP="00837F1B">
      <w:pPr>
        <w:pStyle w:val="Prrafodelista"/>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8359C">
        <w:rPr>
          <w:rFonts w:ascii="Palatino Linotype" w:eastAsia="Palatino Linotype" w:hAnsi="Palatino Linotype" w:cs="Palatino Linotype"/>
          <w:b/>
        </w:rPr>
        <w:t>Cierre de instrucción</w:t>
      </w:r>
      <w:r w:rsidRPr="0048359C">
        <w:rPr>
          <w:rFonts w:ascii="Palatino Linotype" w:eastAsia="Palatino Linotype" w:hAnsi="Palatino Linotype" w:cs="Palatino Linotype"/>
        </w:rPr>
        <w:t xml:space="preserve">. En fecha </w:t>
      </w:r>
      <w:r w:rsidR="0037689E" w:rsidRPr="0048359C">
        <w:rPr>
          <w:rFonts w:ascii="Palatino Linotype" w:eastAsia="Palatino Linotype" w:hAnsi="Palatino Linotype" w:cs="Palatino Linotype"/>
          <w:b/>
          <w:bCs/>
        </w:rPr>
        <w:t>catorce</w:t>
      </w:r>
      <w:r w:rsidRPr="0048359C">
        <w:rPr>
          <w:rFonts w:ascii="Palatino Linotype" w:eastAsia="Palatino Linotype" w:hAnsi="Palatino Linotype" w:cs="Palatino Linotype"/>
          <w:b/>
          <w:bCs/>
        </w:rPr>
        <w:t xml:space="preserve"> de octubre de dos mil veinticinco</w:t>
      </w:r>
      <w:r w:rsidRPr="0048359C">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B1F02B2" w14:textId="77777777" w:rsidR="00837F1B" w:rsidRPr="0048359C" w:rsidRDefault="00837F1B" w:rsidP="00837F1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FB739D5" w14:textId="77777777" w:rsidR="00837F1B" w:rsidRPr="0048359C" w:rsidRDefault="00837F1B" w:rsidP="00837F1B">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3332920C" w14:textId="77777777" w:rsidR="004639EE" w:rsidRPr="0048359C" w:rsidRDefault="004639EE">
      <w:pPr>
        <w:spacing w:after="0" w:line="360" w:lineRule="auto"/>
        <w:ind w:right="49"/>
        <w:jc w:val="both"/>
        <w:rPr>
          <w:rFonts w:ascii="Palatino Linotype" w:eastAsia="Palatino Linotype" w:hAnsi="Palatino Linotype" w:cs="Palatino Linotype"/>
        </w:rPr>
      </w:pPr>
    </w:p>
    <w:p w14:paraId="36199EF7" w14:textId="77777777" w:rsidR="004639EE" w:rsidRPr="0048359C" w:rsidRDefault="00E72281">
      <w:pPr>
        <w:spacing w:after="0" w:line="360" w:lineRule="auto"/>
        <w:ind w:right="49"/>
        <w:jc w:val="center"/>
        <w:rPr>
          <w:rFonts w:ascii="Palatino Linotype" w:eastAsia="Palatino Linotype" w:hAnsi="Palatino Linotype" w:cs="Palatino Linotype"/>
          <w:b/>
        </w:rPr>
      </w:pPr>
      <w:r w:rsidRPr="0048359C">
        <w:rPr>
          <w:rFonts w:ascii="Palatino Linotype" w:eastAsia="Palatino Linotype" w:hAnsi="Palatino Linotype" w:cs="Palatino Linotype"/>
          <w:b/>
        </w:rPr>
        <w:t>II.</w:t>
      </w:r>
      <w:r w:rsidRPr="0048359C">
        <w:rPr>
          <w:rFonts w:ascii="Palatino Linotype" w:eastAsia="Palatino Linotype" w:hAnsi="Palatino Linotype" w:cs="Palatino Linotype"/>
          <w:b/>
        </w:rPr>
        <w:tab/>
        <w:t>C O N S I D E R A N D O:</w:t>
      </w:r>
    </w:p>
    <w:p w14:paraId="0FF443F3" w14:textId="77777777" w:rsidR="004639EE" w:rsidRPr="0048359C" w:rsidRDefault="004639EE">
      <w:pPr>
        <w:spacing w:after="0" w:line="360" w:lineRule="auto"/>
        <w:ind w:right="49"/>
        <w:jc w:val="both"/>
        <w:rPr>
          <w:rFonts w:ascii="Palatino Linotype" w:eastAsia="Palatino Linotype" w:hAnsi="Palatino Linotype" w:cs="Palatino Linotype"/>
        </w:rPr>
      </w:pPr>
    </w:p>
    <w:p w14:paraId="28DF6911" w14:textId="77777777" w:rsidR="00837F1B" w:rsidRPr="0048359C" w:rsidRDefault="00837F1B" w:rsidP="00837F1B">
      <w:pPr>
        <w:spacing w:after="0" w:line="360" w:lineRule="auto"/>
        <w:jc w:val="both"/>
        <w:rPr>
          <w:rFonts w:ascii="Palatino Linotype" w:eastAsia="Palatino Linotype" w:hAnsi="Palatino Linotype" w:cs="Palatino Linotype"/>
        </w:rPr>
      </w:pPr>
      <w:r w:rsidRPr="0048359C">
        <w:rPr>
          <w:rFonts w:ascii="Palatino Linotype" w:eastAsia="Palatino Linotype" w:hAnsi="Palatino Linotype" w:cs="Palatino Linotype"/>
          <w:b/>
        </w:rPr>
        <w:t xml:space="preserve">Primero. Competencia. </w:t>
      </w:r>
      <w:r w:rsidRPr="0048359C">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DCE75F6" w14:textId="77777777" w:rsidR="004639EE" w:rsidRPr="0048359C" w:rsidRDefault="004639EE">
      <w:pPr>
        <w:spacing w:after="0" w:line="360" w:lineRule="auto"/>
        <w:ind w:right="49"/>
        <w:jc w:val="both"/>
        <w:rPr>
          <w:rFonts w:ascii="Palatino Linotype" w:eastAsia="Palatino Linotype" w:hAnsi="Palatino Linotype" w:cs="Palatino Linotype"/>
        </w:rPr>
      </w:pPr>
    </w:p>
    <w:p w14:paraId="14902E78" w14:textId="77777777" w:rsidR="004639EE" w:rsidRPr="0048359C" w:rsidRDefault="00E72281">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b/>
        </w:rPr>
        <w:t>Segundo. Oportunidad y Procedibilidad del Recurso de Revisión.</w:t>
      </w:r>
      <w:r w:rsidRPr="0048359C">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7A536BBC" w14:textId="77777777" w:rsidR="00837F1B" w:rsidRPr="0048359C" w:rsidRDefault="00837F1B">
      <w:pPr>
        <w:spacing w:after="0" w:line="360" w:lineRule="auto"/>
        <w:ind w:right="49"/>
        <w:jc w:val="both"/>
        <w:rPr>
          <w:rFonts w:ascii="Palatino Linotype" w:eastAsia="Palatino Linotype" w:hAnsi="Palatino Linotype" w:cs="Palatino Linotype"/>
        </w:rPr>
      </w:pPr>
    </w:p>
    <w:p w14:paraId="6D5909B3" w14:textId="77777777" w:rsidR="004639EE" w:rsidRPr="0048359C" w:rsidRDefault="00E72281">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48359C">
        <w:rPr>
          <w:rFonts w:ascii="Palatino Linotype" w:eastAsia="Palatino Linotype" w:hAnsi="Palatino Linotype" w:cs="Palatino Linotype"/>
          <w:b/>
        </w:rPr>
        <w:t>SUJETO OBLIGADO</w:t>
      </w:r>
      <w:r w:rsidRPr="0048359C">
        <w:rPr>
          <w:rFonts w:ascii="Palatino Linotype" w:eastAsia="Palatino Linotype" w:hAnsi="Palatino Linotype" w:cs="Palatino Linotype"/>
        </w:rPr>
        <w:t xml:space="preserve"> remitió la respuesta a la solicitud de información del </w:t>
      </w:r>
      <w:r w:rsidR="00837F1B" w:rsidRPr="0048359C">
        <w:rPr>
          <w:rFonts w:ascii="Palatino Linotype" w:eastAsia="Palatino Linotype" w:hAnsi="Palatino Linotype" w:cs="Palatino Linotype"/>
          <w:b/>
        </w:rPr>
        <w:t>veintidós de mayo</w:t>
      </w:r>
      <w:r w:rsidRPr="0048359C">
        <w:rPr>
          <w:rFonts w:ascii="Palatino Linotype" w:eastAsia="Palatino Linotype" w:hAnsi="Palatino Linotype" w:cs="Palatino Linotype"/>
          <w:b/>
        </w:rPr>
        <w:t xml:space="preserve"> de dos mil veinticinco</w:t>
      </w:r>
      <w:r w:rsidRPr="0048359C">
        <w:rPr>
          <w:rFonts w:ascii="Palatino Linotype" w:eastAsia="Palatino Linotype" w:hAnsi="Palatino Linotype" w:cs="Palatino Linotype"/>
        </w:rPr>
        <w:t xml:space="preserve">, mientras que el recurso de revisión interpuesto por la parte </w:t>
      </w:r>
      <w:r w:rsidRPr="0048359C">
        <w:rPr>
          <w:rFonts w:ascii="Palatino Linotype" w:eastAsia="Palatino Linotype" w:hAnsi="Palatino Linotype" w:cs="Palatino Linotype"/>
          <w:b/>
        </w:rPr>
        <w:t xml:space="preserve">RECURRENTE </w:t>
      </w:r>
      <w:r w:rsidRPr="0048359C">
        <w:rPr>
          <w:rFonts w:ascii="Palatino Linotype" w:eastAsia="Palatino Linotype" w:hAnsi="Palatino Linotype" w:cs="Palatino Linotype"/>
        </w:rPr>
        <w:t xml:space="preserve">se tuvo por presentado el </w:t>
      </w:r>
      <w:r w:rsidR="00837F1B" w:rsidRPr="0048359C">
        <w:rPr>
          <w:rFonts w:ascii="Palatino Linotype" w:eastAsia="Palatino Linotype" w:hAnsi="Palatino Linotype" w:cs="Palatino Linotype"/>
          <w:b/>
        </w:rPr>
        <w:t>diez de junio</w:t>
      </w:r>
      <w:r w:rsidRPr="0048359C">
        <w:rPr>
          <w:rFonts w:ascii="Palatino Linotype" w:eastAsia="Palatino Linotype" w:hAnsi="Palatino Linotype" w:cs="Palatino Linotype"/>
          <w:b/>
        </w:rPr>
        <w:t xml:space="preserve"> de dos mil veinticinco</w:t>
      </w:r>
      <w:r w:rsidRPr="0048359C">
        <w:rPr>
          <w:rFonts w:ascii="Palatino Linotype" w:eastAsia="Palatino Linotype" w:hAnsi="Palatino Linotype" w:cs="Palatino Linotype"/>
        </w:rPr>
        <w:t xml:space="preserve">, esto es al </w:t>
      </w:r>
      <w:r w:rsidR="00837F1B" w:rsidRPr="0048359C">
        <w:rPr>
          <w:rFonts w:ascii="Palatino Linotype" w:eastAsia="Palatino Linotype" w:hAnsi="Palatino Linotype" w:cs="Palatino Linotype"/>
        </w:rPr>
        <w:t>décimo tercer</w:t>
      </w:r>
      <w:r w:rsidRPr="0048359C">
        <w:rPr>
          <w:rFonts w:ascii="Palatino Linotype" w:eastAsia="Palatino Linotype" w:hAnsi="Palatino Linotype" w:cs="Palatino Linotype"/>
        </w:rPr>
        <w:t xml:space="preserve"> día hábil en que se tuvo conocimiento de la respuesta.</w:t>
      </w:r>
    </w:p>
    <w:p w14:paraId="0BD6025B" w14:textId="77777777" w:rsidR="004639EE" w:rsidRPr="0048359C" w:rsidRDefault="004639EE">
      <w:pPr>
        <w:spacing w:after="0" w:line="360" w:lineRule="auto"/>
        <w:ind w:right="49"/>
        <w:jc w:val="both"/>
        <w:rPr>
          <w:rFonts w:ascii="Palatino Linotype" w:eastAsia="Palatino Linotype" w:hAnsi="Palatino Linotype" w:cs="Palatino Linotype"/>
        </w:rPr>
      </w:pPr>
    </w:p>
    <w:p w14:paraId="2C2506F2" w14:textId="29DD4ED3" w:rsidR="004639EE" w:rsidRPr="0048359C" w:rsidRDefault="00E72281">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48359C">
        <w:rPr>
          <w:rFonts w:ascii="Palatino Linotype" w:eastAsia="Palatino Linotype" w:hAnsi="Palatino Linotype" w:cs="Palatino Linotype"/>
          <w:b/>
        </w:rPr>
        <w:t>SAIMEX</w:t>
      </w:r>
      <w:r w:rsidRPr="0048359C">
        <w:rPr>
          <w:rFonts w:ascii="Palatino Linotype" w:eastAsia="Palatino Linotype" w:hAnsi="Palatino Linotype" w:cs="Palatino Linotype"/>
        </w:rPr>
        <w:t xml:space="preserve">.  </w:t>
      </w:r>
    </w:p>
    <w:p w14:paraId="238839FF" w14:textId="77777777" w:rsidR="004639EE" w:rsidRPr="0048359C" w:rsidRDefault="004639EE">
      <w:pPr>
        <w:spacing w:after="0" w:line="360" w:lineRule="auto"/>
        <w:ind w:right="49"/>
        <w:jc w:val="both"/>
        <w:rPr>
          <w:rFonts w:ascii="Palatino Linotype" w:eastAsia="Palatino Linotype" w:hAnsi="Palatino Linotype" w:cs="Palatino Linotype"/>
        </w:rPr>
      </w:pPr>
    </w:p>
    <w:p w14:paraId="3C25BB70" w14:textId="77777777" w:rsidR="004639EE" w:rsidRPr="0048359C" w:rsidRDefault="00E72281">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Finalmente, resulta procedente la interposición del recurso de revisión al rubro anotado, toda vez que se actualizan las hipótesis de procedencia previstas en</w:t>
      </w:r>
      <w:r w:rsidR="00837F1B" w:rsidRPr="0048359C">
        <w:rPr>
          <w:rFonts w:ascii="Palatino Linotype" w:eastAsia="Palatino Linotype" w:hAnsi="Palatino Linotype" w:cs="Palatino Linotype"/>
        </w:rPr>
        <w:t xml:space="preserve"> el artículo 179 fracción I</w:t>
      </w:r>
      <w:r w:rsidRPr="0048359C">
        <w:rPr>
          <w:rFonts w:ascii="Palatino Linotype" w:eastAsia="Palatino Linotype" w:hAnsi="Palatino Linotype" w:cs="Palatino Linotype"/>
        </w:rPr>
        <w:t xml:space="preserve">  de la Ley de la materia, que a la letra dice:</w:t>
      </w:r>
    </w:p>
    <w:p w14:paraId="0E947C53" w14:textId="77777777" w:rsidR="004639EE" w:rsidRPr="0048359C" w:rsidRDefault="004639EE">
      <w:pPr>
        <w:spacing w:after="0" w:line="360" w:lineRule="auto"/>
        <w:ind w:right="49"/>
        <w:jc w:val="both"/>
        <w:rPr>
          <w:rFonts w:ascii="Palatino Linotype" w:eastAsia="Palatino Linotype" w:hAnsi="Palatino Linotype" w:cs="Palatino Linotype"/>
        </w:rPr>
      </w:pPr>
    </w:p>
    <w:p w14:paraId="71723E50" w14:textId="77777777" w:rsidR="004639EE" w:rsidRPr="0048359C" w:rsidRDefault="00E72281">
      <w:pPr>
        <w:spacing w:after="0"/>
        <w:ind w:left="567" w:right="560"/>
        <w:jc w:val="both"/>
        <w:rPr>
          <w:rFonts w:ascii="Palatino Linotype" w:eastAsia="Palatino Linotype" w:hAnsi="Palatino Linotype" w:cs="Palatino Linotype"/>
          <w:i/>
        </w:rPr>
      </w:pPr>
      <w:r w:rsidRPr="0048359C">
        <w:rPr>
          <w:rFonts w:ascii="Palatino Linotype" w:eastAsia="Palatino Linotype" w:hAnsi="Palatino Linotype" w:cs="Palatino Linotype"/>
          <w:i/>
        </w:rPr>
        <w:t>“</w:t>
      </w:r>
      <w:r w:rsidRPr="0048359C">
        <w:rPr>
          <w:rFonts w:ascii="Palatino Linotype" w:eastAsia="Palatino Linotype" w:hAnsi="Palatino Linotype" w:cs="Palatino Linotype"/>
          <w:b/>
          <w:i/>
        </w:rPr>
        <w:t>Artículo 179.</w:t>
      </w:r>
      <w:r w:rsidRPr="0048359C">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6CD6BD0" w14:textId="77777777" w:rsidR="004639EE" w:rsidRPr="0048359C" w:rsidRDefault="00E72281">
      <w:pPr>
        <w:spacing w:after="0"/>
        <w:ind w:left="567" w:right="560"/>
        <w:jc w:val="both"/>
        <w:rPr>
          <w:rFonts w:ascii="Palatino Linotype" w:eastAsia="Palatino Linotype" w:hAnsi="Palatino Linotype" w:cs="Palatino Linotype"/>
          <w:i/>
        </w:rPr>
      </w:pPr>
      <w:r w:rsidRPr="0048359C">
        <w:rPr>
          <w:rFonts w:ascii="Palatino Linotype" w:eastAsia="Palatino Linotype" w:hAnsi="Palatino Linotype" w:cs="Palatino Linotype"/>
          <w:i/>
        </w:rPr>
        <w:t>…</w:t>
      </w:r>
    </w:p>
    <w:p w14:paraId="51ADE201" w14:textId="77777777" w:rsidR="004639EE" w:rsidRPr="0048359C" w:rsidRDefault="00E72281">
      <w:pPr>
        <w:spacing w:after="0"/>
        <w:ind w:left="567" w:right="560"/>
        <w:jc w:val="both"/>
        <w:rPr>
          <w:rFonts w:ascii="Palatino Linotype" w:eastAsia="Palatino Linotype" w:hAnsi="Palatino Linotype" w:cs="Palatino Linotype"/>
          <w:i/>
        </w:rPr>
      </w:pPr>
      <w:r w:rsidRPr="0048359C">
        <w:rPr>
          <w:rFonts w:ascii="Palatino Linotype" w:eastAsia="Palatino Linotype" w:hAnsi="Palatino Linotype" w:cs="Palatino Linotype"/>
          <w:i/>
        </w:rPr>
        <w:t>I. La negativa de entrega de la información</w:t>
      </w:r>
    </w:p>
    <w:p w14:paraId="16C4193B" w14:textId="77777777" w:rsidR="004639EE" w:rsidRPr="0048359C" w:rsidRDefault="00E72281">
      <w:pPr>
        <w:spacing w:after="0"/>
        <w:ind w:left="567" w:right="560"/>
        <w:jc w:val="both"/>
        <w:rPr>
          <w:rFonts w:ascii="Palatino Linotype" w:eastAsia="Palatino Linotype" w:hAnsi="Palatino Linotype" w:cs="Palatino Linotype"/>
          <w:i/>
        </w:rPr>
      </w:pPr>
      <w:r w:rsidRPr="0048359C">
        <w:rPr>
          <w:rFonts w:ascii="Palatino Linotype" w:eastAsia="Palatino Linotype" w:hAnsi="Palatino Linotype" w:cs="Palatino Linotype"/>
          <w:i/>
        </w:rPr>
        <w:t>…</w:t>
      </w:r>
    </w:p>
    <w:p w14:paraId="7C08B03E" w14:textId="77777777" w:rsidR="004639EE" w:rsidRPr="0048359C" w:rsidRDefault="004639EE">
      <w:pPr>
        <w:spacing w:after="0" w:line="360" w:lineRule="auto"/>
        <w:ind w:right="49"/>
        <w:jc w:val="both"/>
        <w:rPr>
          <w:rFonts w:ascii="Palatino Linotype" w:eastAsia="Palatino Linotype" w:hAnsi="Palatino Linotype" w:cs="Palatino Linotype"/>
          <w:b/>
        </w:rPr>
      </w:pPr>
    </w:p>
    <w:p w14:paraId="745E231F" w14:textId="77777777" w:rsidR="004639EE" w:rsidRPr="0048359C" w:rsidRDefault="00E72281">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b/>
        </w:rPr>
        <w:t>Tercero. Materia de la revisión</w:t>
      </w:r>
      <w:r w:rsidRPr="0048359C">
        <w:rPr>
          <w:rFonts w:ascii="Palatino Linotype" w:eastAsia="Palatino Linotype" w:hAnsi="Palatino Linotype" w:cs="Palatino Linotype"/>
        </w:rPr>
        <w:t xml:space="preserve">. De la revisión a las constancias y documentos que obran en el expediente electrónico se advierte, que el tema sobre el que este Organismo Garante de Transparencia y Acceso a la Información se pronunciará será para determinar, si se actualiza la hipótesis prevista en la fracción </w:t>
      </w:r>
      <w:r w:rsidR="00837F1B" w:rsidRPr="0048359C">
        <w:rPr>
          <w:rFonts w:ascii="Palatino Linotype" w:eastAsia="Palatino Linotype" w:hAnsi="Palatino Linotype" w:cs="Palatino Linotype"/>
        </w:rPr>
        <w:t>I</w:t>
      </w:r>
      <w:r w:rsidRPr="0048359C">
        <w:rPr>
          <w:rFonts w:ascii="Palatino Linotype" w:eastAsia="Palatino Linotype" w:hAnsi="Palatino Linotype" w:cs="Palatino Linotype"/>
        </w:rPr>
        <w:t xml:space="preserve"> del artículo 179 de la Ley en la materia. </w:t>
      </w:r>
    </w:p>
    <w:p w14:paraId="5A764BFB" w14:textId="77777777" w:rsidR="004639EE" w:rsidRPr="0048359C" w:rsidRDefault="004639EE">
      <w:pPr>
        <w:spacing w:after="0" w:line="360" w:lineRule="auto"/>
        <w:ind w:right="49"/>
        <w:jc w:val="both"/>
        <w:rPr>
          <w:rFonts w:ascii="Palatino Linotype" w:eastAsia="Palatino Linotype" w:hAnsi="Palatino Linotype" w:cs="Palatino Linotype"/>
        </w:rPr>
      </w:pPr>
    </w:p>
    <w:p w14:paraId="074DAF6F" w14:textId="77777777" w:rsidR="00837F1B" w:rsidRPr="0048359C" w:rsidRDefault="00837F1B" w:rsidP="00837F1B">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b/>
        </w:rPr>
        <w:t>Cuarto.</w:t>
      </w:r>
      <w:r w:rsidRPr="0048359C">
        <w:rPr>
          <w:rFonts w:ascii="Palatino Linotype" w:eastAsia="Palatino Linotype" w:hAnsi="Palatino Linotype" w:cs="Palatino Linotype"/>
        </w:rPr>
        <w:t xml:space="preserve"> </w:t>
      </w:r>
      <w:r w:rsidRPr="0048359C">
        <w:rPr>
          <w:rFonts w:ascii="Palatino Linotype" w:eastAsia="Palatino Linotype" w:hAnsi="Palatino Linotype" w:cs="Palatino Linotype"/>
          <w:b/>
        </w:rPr>
        <w:t>Estudio de fondo del asunto.</w:t>
      </w:r>
      <w:r w:rsidRPr="0048359C">
        <w:rPr>
          <w:rFonts w:ascii="Palatino Linotype" w:eastAsia="Palatino Linotype" w:hAnsi="Palatino Linotype" w:cs="Palatino Linotype"/>
        </w:rPr>
        <w:t xml:space="preserve">  Es conveniente analizar si la respuesta del Sujeto Obligado</w:t>
      </w:r>
      <w:r w:rsidRPr="0048359C">
        <w:rPr>
          <w:rFonts w:ascii="Palatino Linotype" w:eastAsia="Palatino Linotype" w:hAnsi="Palatino Linotype" w:cs="Palatino Linotype"/>
          <w:b/>
        </w:rPr>
        <w:t xml:space="preserve"> </w:t>
      </w:r>
      <w:r w:rsidRPr="0048359C">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A4FE13B" w14:textId="77777777" w:rsidR="00837F1B" w:rsidRPr="0048359C" w:rsidRDefault="00837F1B" w:rsidP="00837F1B">
      <w:pPr>
        <w:spacing w:after="0" w:line="360" w:lineRule="auto"/>
        <w:ind w:right="49"/>
        <w:jc w:val="both"/>
        <w:rPr>
          <w:rFonts w:ascii="Palatino Linotype" w:eastAsia="Palatino Linotype" w:hAnsi="Palatino Linotype" w:cs="Palatino Linotype"/>
        </w:rPr>
      </w:pPr>
    </w:p>
    <w:p w14:paraId="15B2FECF" w14:textId="5148F2C8" w:rsidR="00001CDB" w:rsidRPr="0048359C" w:rsidRDefault="00837F1B" w:rsidP="003E14CF">
      <w:pPr>
        <w:tabs>
          <w:tab w:val="left" w:pos="851"/>
        </w:tabs>
        <w:spacing w:after="0"/>
        <w:ind w:left="567" w:right="616"/>
        <w:jc w:val="both"/>
        <w:rPr>
          <w:rFonts w:ascii="Palatino Linotype" w:eastAsia="Palatino Linotype" w:hAnsi="Palatino Linotype" w:cs="Palatino Linotype"/>
          <w:i/>
        </w:rPr>
      </w:pPr>
      <w:r w:rsidRPr="0048359C">
        <w:rPr>
          <w:rFonts w:ascii="Palatino Linotype" w:eastAsia="Palatino Linotype" w:hAnsi="Palatino Linotype" w:cs="Palatino Linotype"/>
          <w:i/>
        </w:rPr>
        <w:t>“</w:t>
      </w:r>
      <w:r w:rsidRPr="0048359C">
        <w:rPr>
          <w:rFonts w:ascii="Palatino Linotype" w:eastAsia="Palatino Linotype" w:hAnsi="Palatino Linotype" w:cs="Palatino Linotype"/>
          <w:b/>
          <w:i/>
        </w:rPr>
        <w:t>Artículo 4</w:t>
      </w:r>
      <w:r w:rsidRPr="0048359C">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D9CE7DF" w14:textId="77777777" w:rsidR="00837F1B" w:rsidRPr="0048359C" w:rsidRDefault="00837F1B" w:rsidP="00837F1B">
      <w:pPr>
        <w:tabs>
          <w:tab w:val="left" w:pos="851"/>
        </w:tabs>
        <w:spacing w:after="0"/>
        <w:ind w:left="567" w:right="616"/>
        <w:jc w:val="both"/>
        <w:rPr>
          <w:rFonts w:ascii="Palatino Linotype" w:eastAsia="Palatino Linotype" w:hAnsi="Palatino Linotype" w:cs="Palatino Linotype"/>
          <w:i/>
        </w:rPr>
      </w:pPr>
      <w:r w:rsidRPr="0048359C">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48359C">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7784B1F" w14:textId="77777777" w:rsidR="00837F1B" w:rsidRPr="0048359C" w:rsidRDefault="00837F1B" w:rsidP="00837F1B">
      <w:pPr>
        <w:tabs>
          <w:tab w:val="left" w:pos="851"/>
        </w:tabs>
        <w:spacing w:after="0"/>
        <w:ind w:left="567" w:right="616"/>
        <w:jc w:val="both"/>
        <w:rPr>
          <w:rFonts w:ascii="Palatino Linotype" w:eastAsia="Palatino Linotype" w:hAnsi="Palatino Linotype" w:cs="Palatino Linotype"/>
          <w:i/>
        </w:rPr>
      </w:pPr>
      <w:r w:rsidRPr="0048359C">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48359C">
        <w:rPr>
          <w:rFonts w:ascii="Palatino Linotype" w:eastAsia="Palatino Linotype" w:hAnsi="Palatino Linotype" w:cs="Palatino Linotype"/>
          <w:i/>
        </w:rPr>
        <w:t>.”</w:t>
      </w:r>
    </w:p>
    <w:p w14:paraId="0CE6E0CC" w14:textId="77777777" w:rsidR="00837F1B" w:rsidRPr="0048359C" w:rsidRDefault="00837F1B" w:rsidP="00837F1B">
      <w:pPr>
        <w:spacing w:after="0" w:line="360" w:lineRule="auto"/>
        <w:jc w:val="both"/>
        <w:rPr>
          <w:rFonts w:ascii="Palatino Linotype" w:eastAsia="Palatino Linotype" w:hAnsi="Palatino Linotype" w:cs="Palatino Linotype"/>
        </w:rPr>
      </w:pPr>
    </w:p>
    <w:p w14:paraId="104AA13E" w14:textId="77777777" w:rsidR="00837F1B" w:rsidRPr="0048359C" w:rsidRDefault="00837F1B" w:rsidP="00837F1B">
      <w:pPr>
        <w:spacing w:after="0" w:line="360" w:lineRule="auto"/>
        <w:jc w:val="both"/>
        <w:rPr>
          <w:rFonts w:ascii="Palatino Linotype" w:eastAsia="Palatino Linotype" w:hAnsi="Palatino Linotype" w:cs="Palatino Linotype"/>
        </w:rPr>
      </w:pPr>
      <w:r w:rsidRPr="0048359C">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A1884AB" w14:textId="77777777" w:rsidR="00837F1B" w:rsidRPr="0048359C" w:rsidRDefault="00837F1B" w:rsidP="00837F1B">
      <w:pPr>
        <w:spacing w:after="0" w:line="360" w:lineRule="auto"/>
        <w:jc w:val="both"/>
        <w:rPr>
          <w:rFonts w:ascii="Palatino Linotype" w:eastAsia="Palatino Linotype" w:hAnsi="Palatino Linotype" w:cs="Palatino Linotype"/>
        </w:rPr>
      </w:pPr>
    </w:p>
    <w:p w14:paraId="39A64FFD" w14:textId="77777777" w:rsidR="00837F1B" w:rsidRPr="0048359C" w:rsidRDefault="00837F1B" w:rsidP="00837F1B">
      <w:pPr>
        <w:spacing w:after="0"/>
        <w:ind w:left="567" w:right="616"/>
        <w:jc w:val="both"/>
        <w:rPr>
          <w:rFonts w:ascii="Palatino Linotype" w:eastAsia="Palatino Linotype" w:hAnsi="Palatino Linotype" w:cs="Palatino Linotype"/>
          <w:i/>
        </w:rPr>
      </w:pPr>
      <w:r w:rsidRPr="0048359C">
        <w:rPr>
          <w:rFonts w:ascii="Palatino Linotype" w:eastAsia="Palatino Linotype" w:hAnsi="Palatino Linotype" w:cs="Palatino Linotype"/>
          <w:i/>
        </w:rPr>
        <w:t>“</w:t>
      </w:r>
      <w:r w:rsidRPr="0048359C">
        <w:rPr>
          <w:rFonts w:ascii="Palatino Linotype" w:eastAsia="Palatino Linotype" w:hAnsi="Palatino Linotype" w:cs="Palatino Linotype"/>
          <w:b/>
          <w:i/>
        </w:rPr>
        <w:t>Artículo 12.-</w:t>
      </w:r>
      <w:r w:rsidRPr="0048359C">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C577BC5" w14:textId="77777777" w:rsidR="00837F1B" w:rsidRPr="0048359C" w:rsidRDefault="00837F1B" w:rsidP="00837F1B">
      <w:pPr>
        <w:spacing w:after="0"/>
        <w:ind w:left="567" w:right="616"/>
        <w:jc w:val="both"/>
        <w:rPr>
          <w:rFonts w:ascii="Palatino Linotype" w:eastAsia="Palatino Linotype" w:hAnsi="Palatino Linotype" w:cs="Palatino Linotype"/>
          <w:i/>
        </w:rPr>
      </w:pPr>
    </w:p>
    <w:p w14:paraId="03340CC3" w14:textId="77777777" w:rsidR="00837F1B" w:rsidRPr="0048359C" w:rsidRDefault="00837F1B" w:rsidP="00837F1B">
      <w:pPr>
        <w:spacing w:after="0"/>
        <w:ind w:left="567" w:right="616"/>
        <w:jc w:val="both"/>
        <w:rPr>
          <w:rFonts w:ascii="Palatino Linotype" w:eastAsia="Palatino Linotype" w:hAnsi="Palatino Linotype" w:cs="Palatino Linotype"/>
          <w:i/>
        </w:rPr>
      </w:pPr>
      <w:r w:rsidRPr="0048359C">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48359C">
        <w:rPr>
          <w:rFonts w:ascii="Palatino Linotype" w:eastAsia="Palatino Linotype" w:hAnsi="Palatino Linotype" w:cs="Palatino Linotype"/>
          <w:i/>
        </w:rPr>
        <w:t xml:space="preserve">. </w:t>
      </w:r>
      <w:r w:rsidRPr="0048359C">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48359C">
        <w:rPr>
          <w:rFonts w:ascii="Palatino Linotype" w:eastAsia="Palatino Linotype" w:hAnsi="Palatino Linotype" w:cs="Palatino Linotype"/>
          <w:i/>
        </w:rPr>
        <w:t xml:space="preserve">.” </w:t>
      </w:r>
    </w:p>
    <w:p w14:paraId="7EDA404B" w14:textId="77777777" w:rsidR="00837F1B" w:rsidRPr="0048359C" w:rsidRDefault="00837F1B" w:rsidP="00837F1B">
      <w:pPr>
        <w:spacing w:after="0"/>
        <w:ind w:left="567" w:right="616"/>
        <w:jc w:val="both"/>
        <w:rPr>
          <w:rFonts w:ascii="Palatino Linotype" w:eastAsia="Palatino Linotype" w:hAnsi="Palatino Linotype" w:cs="Palatino Linotype"/>
          <w:i/>
        </w:rPr>
      </w:pPr>
    </w:p>
    <w:p w14:paraId="15E18AF1" w14:textId="77777777" w:rsidR="00837F1B" w:rsidRPr="0048359C" w:rsidRDefault="00837F1B" w:rsidP="00837F1B">
      <w:pPr>
        <w:spacing w:after="0" w:line="360" w:lineRule="auto"/>
        <w:ind w:right="-93"/>
        <w:jc w:val="both"/>
        <w:rPr>
          <w:rFonts w:ascii="Palatino Linotype" w:eastAsia="Palatino Linotype" w:hAnsi="Palatino Linotype" w:cs="Palatino Linotype"/>
        </w:rPr>
      </w:pPr>
      <w:r w:rsidRPr="0048359C">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089BF62D" w14:textId="77777777" w:rsidR="00837F1B" w:rsidRPr="0048359C" w:rsidRDefault="00837F1B" w:rsidP="00837F1B">
      <w:pPr>
        <w:spacing w:after="0" w:line="360" w:lineRule="auto"/>
        <w:ind w:right="-93"/>
        <w:jc w:val="both"/>
        <w:rPr>
          <w:rFonts w:ascii="Palatino Linotype" w:eastAsia="Palatino Linotype" w:hAnsi="Palatino Linotype" w:cs="Palatino Linotype"/>
        </w:rPr>
      </w:pPr>
    </w:p>
    <w:p w14:paraId="623FDFC8" w14:textId="7E9E9EA5" w:rsidR="00837F1B" w:rsidRPr="0048359C" w:rsidRDefault="00837F1B" w:rsidP="00837F1B">
      <w:pPr>
        <w:spacing w:after="0" w:line="360" w:lineRule="auto"/>
        <w:jc w:val="both"/>
        <w:rPr>
          <w:rFonts w:ascii="Palatino Linotype" w:eastAsia="Palatino Linotype" w:hAnsi="Palatino Linotype" w:cs="Palatino Linotype"/>
          <w:b/>
        </w:rPr>
      </w:pPr>
      <w:r w:rsidRPr="0048359C">
        <w:rPr>
          <w:rFonts w:ascii="Palatino Linotype" w:eastAsia="Palatino Linotype" w:hAnsi="Palatino Linotype" w:cs="Palatino Linotype"/>
        </w:rPr>
        <w:t xml:space="preserve">Sirve de apoyo a lo anterior, el criterio </w:t>
      </w:r>
      <w:r w:rsidR="00001CDB" w:rsidRPr="0048359C">
        <w:rPr>
          <w:rFonts w:ascii="Palatino Linotype" w:eastAsia="Palatino Linotype" w:hAnsi="Palatino Linotype" w:cs="Palatino Linotype"/>
        </w:rPr>
        <w:t xml:space="preserve">orientador </w:t>
      </w:r>
      <w:r w:rsidRPr="0048359C">
        <w:rPr>
          <w:rFonts w:ascii="Palatino Linotype" w:eastAsia="Palatino Linotype" w:hAnsi="Palatino Linotype" w:cs="Palatino Linotype"/>
        </w:rPr>
        <w:t>03-17, expuesto por el entonces Instituto Nacional de Transparencia, Acceso a la Información y Protección de Datos Personales, que dice:</w:t>
      </w:r>
      <w:r w:rsidRPr="0048359C">
        <w:rPr>
          <w:rFonts w:ascii="Palatino Linotype" w:eastAsia="Palatino Linotype" w:hAnsi="Palatino Linotype" w:cs="Palatino Linotype"/>
          <w:b/>
        </w:rPr>
        <w:t xml:space="preserve"> </w:t>
      </w:r>
    </w:p>
    <w:p w14:paraId="4778E7C7" w14:textId="77777777" w:rsidR="00837F1B" w:rsidRPr="0048359C" w:rsidRDefault="00837F1B" w:rsidP="00837F1B">
      <w:pPr>
        <w:spacing w:after="0"/>
        <w:ind w:left="851" w:right="850"/>
        <w:jc w:val="both"/>
        <w:rPr>
          <w:rFonts w:ascii="Palatino Linotype" w:eastAsia="Palatino Linotype" w:hAnsi="Palatino Linotype" w:cs="Palatino Linotype"/>
        </w:rPr>
      </w:pPr>
    </w:p>
    <w:p w14:paraId="04609B42" w14:textId="77777777" w:rsidR="00837F1B" w:rsidRPr="0048359C" w:rsidRDefault="00837F1B" w:rsidP="00837F1B">
      <w:pPr>
        <w:spacing w:after="0"/>
        <w:ind w:left="567" w:right="616"/>
        <w:jc w:val="both"/>
        <w:rPr>
          <w:rFonts w:ascii="Palatino Linotype" w:eastAsia="Palatino Linotype" w:hAnsi="Palatino Linotype" w:cs="Palatino Linotype"/>
          <w:i/>
        </w:rPr>
      </w:pPr>
      <w:r w:rsidRPr="0048359C">
        <w:rPr>
          <w:rFonts w:ascii="Palatino Linotype" w:eastAsia="Palatino Linotype" w:hAnsi="Palatino Linotype" w:cs="Palatino Linotype"/>
          <w:i/>
        </w:rPr>
        <w:t>“</w:t>
      </w:r>
      <w:r w:rsidRPr="0048359C">
        <w:rPr>
          <w:rFonts w:ascii="Palatino Linotype" w:eastAsia="Palatino Linotype" w:hAnsi="Palatino Linotype" w:cs="Palatino Linotype"/>
          <w:b/>
          <w:i/>
        </w:rPr>
        <w:t>No existe obligación de elaborar documentos ad hoc para atender las solicitudes de acceso a la información.</w:t>
      </w:r>
      <w:r w:rsidRPr="0048359C">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930DDEA" w14:textId="77777777" w:rsidR="00837F1B" w:rsidRPr="0048359C" w:rsidRDefault="00837F1B" w:rsidP="00837F1B">
      <w:pPr>
        <w:spacing w:after="0"/>
        <w:ind w:left="567" w:right="616"/>
        <w:jc w:val="both"/>
        <w:rPr>
          <w:rFonts w:ascii="Palatino Linotype" w:eastAsia="Palatino Linotype" w:hAnsi="Palatino Linotype" w:cs="Palatino Linotype"/>
          <w:i/>
        </w:rPr>
      </w:pPr>
    </w:p>
    <w:p w14:paraId="32BE108F" w14:textId="77777777" w:rsidR="00837F1B" w:rsidRPr="0048359C" w:rsidRDefault="00837F1B" w:rsidP="00837F1B">
      <w:pPr>
        <w:spacing w:after="0" w:line="360" w:lineRule="auto"/>
        <w:jc w:val="both"/>
        <w:rPr>
          <w:rFonts w:ascii="Palatino Linotype" w:eastAsia="Palatino Linotype" w:hAnsi="Palatino Linotype" w:cs="Palatino Linotype"/>
        </w:rPr>
      </w:pPr>
      <w:r w:rsidRPr="0048359C">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08DFA6B" w14:textId="77777777" w:rsidR="00837F1B" w:rsidRPr="0048359C" w:rsidRDefault="00837F1B" w:rsidP="00837F1B">
      <w:pPr>
        <w:spacing w:after="0" w:line="360" w:lineRule="auto"/>
        <w:jc w:val="both"/>
        <w:rPr>
          <w:rFonts w:ascii="Palatino Linotype" w:eastAsia="Palatino Linotype" w:hAnsi="Palatino Linotype" w:cs="Palatino Linotype"/>
        </w:rPr>
      </w:pPr>
    </w:p>
    <w:p w14:paraId="21CCA4C1" w14:textId="77777777" w:rsidR="00837F1B" w:rsidRPr="0048359C" w:rsidRDefault="00837F1B" w:rsidP="00837F1B">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2D93756" w14:textId="77777777" w:rsidR="00837F1B" w:rsidRPr="0048359C" w:rsidRDefault="00837F1B" w:rsidP="00837F1B">
      <w:pPr>
        <w:spacing w:after="0" w:line="360" w:lineRule="auto"/>
        <w:ind w:right="49"/>
        <w:jc w:val="both"/>
        <w:rPr>
          <w:rFonts w:ascii="Palatino Linotype" w:eastAsia="Palatino Linotype" w:hAnsi="Palatino Linotype" w:cs="Palatino Linotype"/>
        </w:rPr>
      </w:pPr>
    </w:p>
    <w:p w14:paraId="222CB310" w14:textId="77777777" w:rsidR="00837F1B" w:rsidRPr="0048359C" w:rsidRDefault="00837F1B" w:rsidP="00837F1B">
      <w:pPr>
        <w:spacing w:after="0" w:line="360" w:lineRule="auto"/>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7DE37F8" w14:textId="77777777" w:rsidR="00837F1B" w:rsidRPr="0048359C" w:rsidRDefault="00837F1B" w:rsidP="00837F1B">
      <w:pPr>
        <w:spacing w:after="0" w:line="360" w:lineRule="auto"/>
        <w:jc w:val="both"/>
        <w:rPr>
          <w:rFonts w:ascii="Palatino Linotype" w:eastAsia="Palatino Linotype" w:hAnsi="Palatino Linotype" w:cs="Palatino Linotype"/>
        </w:rPr>
      </w:pPr>
    </w:p>
    <w:p w14:paraId="1315DFB1" w14:textId="77777777" w:rsidR="00837F1B" w:rsidRPr="0048359C" w:rsidRDefault="00837F1B" w:rsidP="00837F1B">
      <w:pPr>
        <w:spacing w:after="0"/>
        <w:ind w:left="567" w:right="616"/>
        <w:jc w:val="both"/>
        <w:rPr>
          <w:rFonts w:ascii="Palatino Linotype" w:eastAsia="Palatino Linotype" w:hAnsi="Palatino Linotype" w:cs="Palatino Linotype"/>
          <w:i/>
        </w:rPr>
      </w:pPr>
      <w:r w:rsidRPr="0048359C">
        <w:rPr>
          <w:rFonts w:ascii="Palatino Linotype" w:eastAsia="Palatino Linotype" w:hAnsi="Palatino Linotype" w:cs="Palatino Linotype"/>
          <w:i/>
        </w:rPr>
        <w:t>“</w:t>
      </w:r>
      <w:r w:rsidRPr="0048359C">
        <w:rPr>
          <w:rFonts w:ascii="Palatino Linotype" w:eastAsia="Palatino Linotype" w:hAnsi="Palatino Linotype" w:cs="Palatino Linotype"/>
          <w:b/>
          <w:i/>
        </w:rPr>
        <w:t xml:space="preserve">Artículo 3. </w:t>
      </w:r>
      <w:r w:rsidRPr="0048359C">
        <w:rPr>
          <w:rFonts w:ascii="Palatino Linotype" w:eastAsia="Palatino Linotype" w:hAnsi="Palatino Linotype" w:cs="Palatino Linotype"/>
          <w:i/>
        </w:rPr>
        <w:t>Para los efectos de la presente Ley se entenderá por:</w:t>
      </w:r>
    </w:p>
    <w:p w14:paraId="49333E6D" w14:textId="77777777" w:rsidR="00837F1B" w:rsidRPr="0048359C" w:rsidRDefault="00837F1B" w:rsidP="00837F1B">
      <w:pPr>
        <w:spacing w:after="0"/>
        <w:ind w:left="567" w:right="616"/>
        <w:jc w:val="both"/>
        <w:rPr>
          <w:rFonts w:ascii="Palatino Linotype" w:eastAsia="Palatino Linotype" w:hAnsi="Palatino Linotype" w:cs="Palatino Linotype"/>
          <w:i/>
        </w:rPr>
      </w:pPr>
      <w:r w:rsidRPr="0048359C">
        <w:rPr>
          <w:rFonts w:ascii="Palatino Linotype" w:eastAsia="Palatino Linotype" w:hAnsi="Palatino Linotype" w:cs="Palatino Linotype"/>
          <w:i/>
        </w:rPr>
        <w:t>…</w:t>
      </w:r>
    </w:p>
    <w:p w14:paraId="4DEEAD1E" w14:textId="77777777" w:rsidR="00837F1B" w:rsidRPr="0048359C" w:rsidRDefault="00837F1B" w:rsidP="00837F1B">
      <w:pPr>
        <w:spacing w:after="0"/>
        <w:ind w:left="567" w:right="616"/>
        <w:jc w:val="both"/>
        <w:rPr>
          <w:rFonts w:ascii="Palatino Linotype" w:eastAsia="Palatino Linotype" w:hAnsi="Palatino Linotype" w:cs="Palatino Linotype"/>
          <w:i/>
        </w:rPr>
      </w:pPr>
      <w:r w:rsidRPr="0048359C">
        <w:rPr>
          <w:rFonts w:ascii="Palatino Linotype" w:eastAsia="Palatino Linotype" w:hAnsi="Palatino Linotype" w:cs="Palatino Linotype"/>
          <w:b/>
          <w:i/>
        </w:rPr>
        <w:t>XI. Documento:</w:t>
      </w:r>
      <w:r w:rsidRPr="0048359C">
        <w:rPr>
          <w:rFonts w:ascii="Palatino Linotype" w:eastAsia="Palatino Linotype" w:hAnsi="Palatino Linotype" w:cs="Palatino Linotype"/>
          <w:i/>
        </w:rPr>
        <w:t xml:space="preserve"> Los expedientes, reportes, estudios, actas</w:t>
      </w:r>
      <w:r w:rsidRPr="0048359C">
        <w:rPr>
          <w:rFonts w:ascii="Palatino Linotype" w:eastAsia="Palatino Linotype" w:hAnsi="Palatino Linotype" w:cs="Palatino Linotype"/>
          <w:b/>
          <w:i/>
        </w:rPr>
        <w:t>,</w:t>
      </w:r>
      <w:r w:rsidRPr="0048359C">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87449B7" w14:textId="77777777" w:rsidR="00837F1B" w:rsidRPr="0048359C" w:rsidRDefault="00837F1B" w:rsidP="00837F1B">
      <w:pPr>
        <w:spacing w:after="0" w:line="360" w:lineRule="auto"/>
        <w:ind w:left="851" w:right="899"/>
        <w:jc w:val="both"/>
        <w:rPr>
          <w:rFonts w:ascii="Palatino Linotype" w:eastAsia="Palatino Linotype" w:hAnsi="Palatino Linotype" w:cs="Palatino Linotype"/>
        </w:rPr>
      </w:pPr>
    </w:p>
    <w:p w14:paraId="003CC7F4" w14:textId="77777777" w:rsidR="00837F1B" w:rsidRPr="0048359C" w:rsidRDefault="00837F1B" w:rsidP="00837F1B">
      <w:pPr>
        <w:spacing w:after="0" w:line="360" w:lineRule="auto"/>
        <w:jc w:val="both"/>
        <w:rPr>
          <w:rFonts w:ascii="Palatino Linotype" w:eastAsia="Palatino Linotype" w:hAnsi="Palatino Linotype" w:cs="Palatino Linotype"/>
        </w:rPr>
      </w:pPr>
      <w:r w:rsidRPr="0048359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6CF8048" w14:textId="77777777" w:rsidR="00837F1B" w:rsidRPr="0048359C" w:rsidRDefault="00837F1B" w:rsidP="00837F1B">
      <w:pPr>
        <w:spacing w:after="0" w:line="360" w:lineRule="auto"/>
        <w:ind w:left="851" w:right="899"/>
        <w:jc w:val="both"/>
        <w:rPr>
          <w:rFonts w:ascii="Palatino Linotype" w:eastAsia="Palatino Linotype" w:hAnsi="Palatino Linotype" w:cs="Palatino Linotype"/>
        </w:rPr>
      </w:pPr>
    </w:p>
    <w:p w14:paraId="51791D2D" w14:textId="77777777" w:rsidR="00837F1B" w:rsidRPr="0048359C" w:rsidRDefault="00837F1B" w:rsidP="00837F1B">
      <w:pPr>
        <w:tabs>
          <w:tab w:val="left" w:pos="7797"/>
        </w:tabs>
        <w:spacing w:after="0"/>
        <w:ind w:left="709" w:right="616"/>
        <w:jc w:val="both"/>
        <w:rPr>
          <w:rFonts w:ascii="Palatino Linotype" w:eastAsia="Palatino Linotype" w:hAnsi="Palatino Linotype" w:cs="Palatino Linotype"/>
          <w:b/>
          <w:i/>
        </w:rPr>
      </w:pPr>
      <w:r w:rsidRPr="0048359C">
        <w:rPr>
          <w:rFonts w:ascii="Palatino Linotype" w:eastAsia="Palatino Linotype" w:hAnsi="Palatino Linotype" w:cs="Palatino Linotype"/>
          <w:b/>
        </w:rPr>
        <w:t>“</w:t>
      </w:r>
      <w:r w:rsidRPr="0048359C">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48359C">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E613977" w14:textId="77777777" w:rsidR="00837F1B" w:rsidRPr="0048359C" w:rsidRDefault="00837F1B" w:rsidP="00837F1B">
      <w:pPr>
        <w:tabs>
          <w:tab w:val="left" w:pos="7797"/>
        </w:tabs>
        <w:spacing w:after="0"/>
        <w:ind w:left="709" w:right="616"/>
        <w:jc w:val="both"/>
        <w:rPr>
          <w:rFonts w:ascii="Palatino Linotype" w:eastAsia="Palatino Linotype" w:hAnsi="Palatino Linotype" w:cs="Palatino Linotype"/>
          <w:i/>
        </w:rPr>
      </w:pPr>
      <w:r w:rsidRPr="0048359C">
        <w:rPr>
          <w:rFonts w:ascii="Palatino Linotype" w:eastAsia="Palatino Linotype" w:hAnsi="Palatino Linotype" w:cs="Palatino Linotype"/>
          <w:i/>
        </w:rPr>
        <w:t>En consecuencia el acceso a la información se refiere a que se cumplan cualquiera de los siguientes tres supuestos:</w:t>
      </w:r>
    </w:p>
    <w:p w14:paraId="62E65635" w14:textId="77777777" w:rsidR="00837F1B" w:rsidRPr="0048359C" w:rsidRDefault="00837F1B" w:rsidP="00837F1B">
      <w:pPr>
        <w:tabs>
          <w:tab w:val="left" w:pos="7797"/>
        </w:tabs>
        <w:spacing w:after="0"/>
        <w:ind w:left="709" w:right="616"/>
        <w:jc w:val="both"/>
        <w:rPr>
          <w:rFonts w:ascii="Palatino Linotype" w:eastAsia="Palatino Linotype" w:hAnsi="Palatino Linotype" w:cs="Palatino Linotype"/>
          <w:i/>
        </w:rPr>
      </w:pPr>
      <w:r w:rsidRPr="0048359C">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39861023" w14:textId="77777777" w:rsidR="00837F1B" w:rsidRPr="0048359C" w:rsidRDefault="00837F1B" w:rsidP="00837F1B">
      <w:pPr>
        <w:tabs>
          <w:tab w:val="left" w:pos="7797"/>
        </w:tabs>
        <w:spacing w:after="0"/>
        <w:ind w:left="709" w:right="616"/>
        <w:jc w:val="both"/>
        <w:rPr>
          <w:rFonts w:ascii="Palatino Linotype" w:eastAsia="Palatino Linotype" w:hAnsi="Palatino Linotype" w:cs="Palatino Linotype"/>
          <w:b/>
          <w:i/>
        </w:rPr>
      </w:pPr>
      <w:r w:rsidRPr="0048359C">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6725E33B" w14:textId="77777777" w:rsidR="00837F1B" w:rsidRPr="0048359C" w:rsidRDefault="00837F1B" w:rsidP="00837F1B">
      <w:pPr>
        <w:tabs>
          <w:tab w:val="left" w:pos="7797"/>
        </w:tabs>
        <w:spacing w:after="0"/>
        <w:ind w:left="709" w:right="616"/>
        <w:jc w:val="both"/>
        <w:rPr>
          <w:rFonts w:ascii="Palatino Linotype" w:eastAsia="Palatino Linotype" w:hAnsi="Palatino Linotype" w:cs="Palatino Linotype"/>
          <w:b/>
          <w:i/>
        </w:rPr>
      </w:pPr>
      <w:r w:rsidRPr="0048359C">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338B4A71" w14:textId="77777777" w:rsidR="00837F1B" w:rsidRPr="0048359C" w:rsidRDefault="00837F1B" w:rsidP="00837F1B">
      <w:pPr>
        <w:spacing w:after="0" w:line="360" w:lineRule="auto"/>
        <w:jc w:val="both"/>
        <w:rPr>
          <w:rFonts w:ascii="Palatino Linotype" w:eastAsia="Palatino Linotype" w:hAnsi="Palatino Linotype" w:cs="Palatino Linotype"/>
        </w:rPr>
      </w:pPr>
    </w:p>
    <w:p w14:paraId="01B39C22" w14:textId="77777777" w:rsidR="00837F1B" w:rsidRPr="0048359C" w:rsidRDefault="00837F1B" w:rsidP="00837F1B">
      <w:pPr>
        <w:spacing w:after="0" w:line="360" w:lineRule="auto"/>
        <w:jc w:val="both"/>
        <w:rPr>
          <w:rFonts w:ascii="Palatino Linotype" w:eastAsia="Palatino Linotype" w:hAnsi="Palatino Linotype" w:cs="Palatino Linotype"/>
        </w:rPr>
      </w:pPr>
      <w:r w:rsidRPr="0048359C">
        <w:rPr>
          <w:rFonts w:ascii="Palatino Linotype" w:eastAsia="Palatino Linotype" w:hAnsi="Palatino Linotype" w:cs="Palatino Linotype"/>
        </w:rPr>
        <w:t>Dicho lo anterior, es de recordar que la parte Solicitante requirió se le proporc</w:t>
      </w:r>
      <w:r w:rsidR="00F96E79" w:rsidRPr="0048359C">
        <w:rPr>
          <w:rFonts w:ascii="Palatino Linotype" w:eastAsia="Palatino Linotype" w:hAnsi="Palatino Linotype" w:cs="Palatino Linotype"/>
        </w:rPr>
        <w:t xml:space="preserve">ionara el </w:t>
      </w:r>
      <w:r w:rsidR="00F96E79" w:rsidRPr="0048359C">
        <w:rPr>
          <w:rFonts w:ascii="Palatino Linotype" w:eastAsia="Palatino Linotype" w:hAnsi="Palatino Linotype" w:cs="Palatino Linotype"/>
          <w:b/>
        </w:rPr>
        <w:t>recibo de nómina de febrero, marzo y abril del año dos mil veinticinco, de la persona referida en la solicitud de información.</w:t>
      </w:r>
    </w:p>
    <w:p w14:paraId="627977FA" w14:textId="77777777" w:rsidR="004639EE" w:rsidRPr="0048359C" w:rsidRDefault="004639EE">
      <w:pPr>
        <w:spacing w:after="0" w:line="360" w:lineRule="auto"/>
        <w:ind w:right="49"/>
        <w:jc w:val="both"/>
        <w:rPr>
          <w:rFonts w:ascii="Palatino Linotype" w:eastAsia="Palatino Linotype" w:hAnsi="Palatino Linotype" w:cs="Palatino Linotype"/>
        </w:rPr>
      </w:pPr>
    </w:p>
    <w:p w14:paraId="68FC916E" w14:textId="77777777" w:rsidR="00F96E79" w:rsidRPr="0048359C" w:rsidRDefault="00F96E79">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En respuesta,</w:t>
      </w:r>
      <w:r w:rsidR="00E50E40" w:rsidRPr="0048359C">
        <w:rPr>
          <w:rFonts w:ascii="Palatino Linotype" w:eastAsia="Palatino Linotype" w:hAnsi="Palatino Linotype" w:cs="Palatino Linotype"/>
        </w:rPr>
        <w:t xml:space="preserve"> el Sujeto Obligado proporcionó, del servidor público referido en la solicitud de información, lo siguiente</w:t>
      </w:r>
      <w:r w:rsidRPr="0048359C">
        <w:rPr>
          <w:rFonts w:ascii="Palatino Linotype" w:eastAsia="Palatino Linotype" w:hAnsi="Palatino Linotype" w:cs="Palatino Linotype"/>
        </w:rPr>
        <w:t>:</w:t>
      </w:r>
    </w:p>
    <w:p w14:paraId="3C64111D" w14:textId="77777777" w:rsidR="00F96E79" w:rsidRPr="0048359C" w:rsidRDefault="00F96E79">
      <w:pPr>
        <w:spacing w:after="0" w:line="360" w:lineRule="auto"/>
        <w:ind w:right="49"/>
        <w:jc w:val="both"/>
        <w:rPr>
          <w:rFonts w:ascii="Palatino Linotype" w:eastAsia="Palatino Linotype" w:hAnsi="Palatino Linotype" w:cs="Palatino Linotype"/>
        </w:rPr>
      </w:pPr>
    </w:p>
    <w:p w14:paraId="65F14B71" w14:textId="77777777" w:rsidR="00F96E79" w:rsidRPr="0048359C" w:rsidRDefault="00F96E79" w:rsidP="00F96E79">
      <w:pPr>
        <w:pStyle w:val="Prrafodelista"/>
        <w:numPr>
          <w:ilvl w:val="0"/>
          <w:numId w:val="6"/>
        </w:num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Recibo de nómina de la primera quincena de febrero de dos mil veinticinco, en versión pública. </w:t>
      </w:r>
    </w:p>
    <w:p w14:paraId="74E819F2" w14:textId="77777777" w:rsidR="00F96E79" w:rsidRPr="0048359C" w:rsidRDefault="00F96E79" w:rsidP="00F96E79">
      <w:pPr>
        <w:pStyle w:val="Prrafodelista"/>
        <w:numPr>
          <w:ilvl w:val="0"/>
          <w:numId w:val="6"/>
        </w:num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Recibo de nómina de la segunda quincena de febrero de dos mil veinticinco, en versión pública. </w:t>
      </w:r>
    </w:p>
    <w:p w14:paraId="07384856" w14:textId="77777777" w:rsidR="00F96E79" w:rsidRPr="0048359C" w:rsidRDefault="00F96E79" w:rsidP="00F96E79">
      <w:pPr>
        <w:pStyle w:val="Prrafodelista"/>
        <w:numPr>
          <w:ilvl w:val="0"/>
          <w:numId w:val="6"/>
        </w:num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Recibo de nómina de la primera quincena de marzo de dos mil veinticinco, en versión pública. </w:t>
      </w:r>
    </w:p>
    <w:p w14:paraId="153BC29E" w14:textId="77777777" w:rsidR="00F96E79" w:rsidRPr="0048359C" w:rsidRDefault="00F96E79" w:rsidP="00F96E79">
      <w:pPr>
        <w:pStyle w:val="Prrafodelista"/>
        <w:numPr>
          <w:ilvl w:val="0"/>
          <w:numId w:val="6"/>
        </w:num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Recibo de nómina de la segunda quincena de marzo de dos mil veinticinco, en versión pública. </w:t>
      </w:r>
    </w:p>
    <w:p w14:paraId="30A5E3CB" w14:textId="77777777" w:rsidR="00F96E79" w:rsidRPr="0048359C" w:rsidRDefault="00F96E79" w:rsidP="00F96E79">
      <w:pPr>
        <w:pStyle w:val="Prrafodelista"/>
        <w:numPr>
          <w:ilvl w:val="0"/>
          <w:numId w:val="6"/>
        </w:num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Recibo de nómina de la primera quincena de abril de dos mil veinticinco, en versión pública. </w:t>
      </w:r>
    </w:p>
    <w:p w14:paraId="6720A5A8" w14:textId="77777777" w:rsidR="00F96E79" w:rsidRPr="0048359C" w:rsidRDefault="00F96E79" w:rsidP="00F96E79">
      <w:pPr>
        <w:pStyle w:val="Prrafodelista"/>
        <w:numPr>
          <w:ilvl w:val="0"/>
          <w:numId w:val="6"/>
        </w:num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Recibo de nómina de la segunda quincena de abril de dos mil v</w:t>
      </w:r>
      <w:r w:rsidR="00E50E40" w:rsidRPr="0048359C">
        <w:rPr>
          <w:rFonts w:ascii="Palatino Linotype" w:eastAsia="Palatino Linotype" w:hAnsi="Palatino Linotype" w:cs="Palatino Linotype"/>
        </w:rPr>
        <w:t xml:space="preserve">einticinco, en versión pública y; </w:t>
      </w:r>
    </w:p>
    <w:p w14:paraId="6A7FFFBC" w14:textId="77777777" w:rsidR="00F96E79" w:rsidRPr="0048359C" w:rsidRDefault="00F96E79" w:rsidP="00F96E79">
      <w:pPr>
        <w:pStyle w:val="Prrafodelista"/>
        <w:numPr>
          <w:ilvl w:val="0"/>
          <w:numId w:val="6"/>
        </w:num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Acta de la Doceava Sesión Extraordinaria del veintidós de mayo de dos mil veinticinco, donde se aprueba la clasificación de la información como confidencial. </w:t>
      </w:r>
    </w:p>
    <w:p w14:paraId="4B82CA1B" w14:textId="77777777" w:rsidR="00E50E40" w:rsidRPr="0048359C" w:rsidRDefault="00E50E40" w:rsidP="00E50E40">
      <w:pPr>
        <w:pStyle w:val="Prrafodelista"/>
        <w:numPr>
          <w:ilvl w:val="0"/>
          <w:numId w:val="6"/>
        </w:num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Cuadro de clasificación. </w:t>
      </w:r>
    </w:p>
    <w:p w14:paraId="73903C7B" w14:textId="77777777" w:rsidR="004639EE" w:rsidRPr="0048359C" w:rsidRDefault="004639EE">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7F6D303E" w14:textId="77777777" w:rsidR="004639EE" w:rsidRPr="0048359C" w:rsidRDefault="00E72281">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Derivado de ello, la parte Recurrente se inconform</w:t>
      </w:r>
      <w:r w:rsidR="00F96E79" w:rsidRPr="0048359C">
        <w:rPr>
          <w:rFonts w:ascii="Palatino Linotype" w:eastAsia="Palatino Linotype" w:hAnsi="Palatino Linotype" w:cs="Palatino Linotype"/>
        </w:rPr>
        <w:t xml:space="preserve">ó arguyendo medularmente que se solicitaba que se proporcionara la información solicitada. </w:t>
      </w:r>
      <w:r w:rsidRPr="0048359C">
        <w:rPr>
          <w:rFonts w:ascii="Palatino Linotype" w:eastAsia="Palatino Linotype" w:hAnsi="Palatino Linotype" w:cs="Palatino Linotype"/>
        </w:rPr>
        <w:t xml:space="preserve"> </w:t>
      </w:r>
    </w:p>
    <w:p w14:paraId="1AE0BA94" w14:textId="77777777" w:rsidR="004639EE" w:rsidRPr="0048359C" w:rsidRDefault="004639EE">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3A628394" w14:textId="77777777" w:rsidR="004639EE" w:rsidRPr="0048359C" w:rsidRDefault="00F96E79">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El Sujeto Obligado ratificó su respuesta inicial, la parte Recurrente fue omisa en remitir manifestaciones.</w:t>
      </w:r>
    </w:p>
    <w:p w14:paraId="705E8700" w14:textId="77777777" w:rsidR="004639EE" w:rsidRPr="0048359C" w:rsidRDefault="004639EE">
      <w:pPr>
        <w:spacing w:after="0" w:line="360" w:lineRule="auto"/>
        <w:ind w:right="49"/>
        <w:jc w:val="both"/>
        <w:rPr>
          <w:rFonts w:ascii="Palatino Linotype" w:eastAsia="Palatino Linotype" w:hAnsi="Palatino Linotype" w:cs="Palatino Linotype"/>
        </w:rPr>
      </w:pPr>
    </w:p>
    <w:p w14:paraId="756DFAB7" w14:textId="77777777" w:rsidR="004639EE" w:rsidRPr="0048359C" w:rsidRDefault="00E72281">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Dicho lo anterior, se procede a contextualizar la información solicitada, debido a que la información solicitada se relaciona con el </w:t>
      </w:r>
      <w:r w:rsidRPr="0048359C">
        <w:rPr>
          <w:rFonts w:ascii="Palatino Linotype" w:eastAsia="Palatino Linotype" w:hAnsi="Palatino Linotype" w:cs="Palatino Linotype"/>
          <w:b/>
        </w:rPr>
        <w:t>pago quincenal de servidores públicos</w:t>
      </w:r>
      <w:r w:rsidRPr="0048359C">
        <w:rPr>
          <w:rFonts w:ascii="Palatino Linotype" w:eastAsia="Palatino Linotype" w:hAnsi="Palatino Linotype" w:cs="Palatino Linotype"/>
        </w:rPr>
        <w:t xml:space="preserve">; el Glosario localizado en la página de Transparencia Presupuestaria de la Secretaría de Hacienda y Crédito Público (consultado en </w:t>
      </w:r>
      <w:hyperlink r:id="rId8">
        <w:r w:rsidRPr="0048359C">
          <w:rPr>
            <w:rFonts w:ascii="Palatino Linotype" w:eastAsia="Palatino Linotype" w:hAnsi="Palatino Linotype" w:cs="Palatino Linotype"/>
            <w:u w:val="single"/>
          </w:rPr>
          <w:t>https://www.transparenciapresupuestaria.gob.mx/es/PTP/Glosario</w:t>
        </w:r>
      </w:hyperlink>
      <w:r w:rsidRPr="0048359C">
        <w:rPr>
          <w:rFonts w:ascii="Palatino Linotype" w:eastAsia="Palatino Linotype" w:hAnsi="Palatino Linotype" w:cs="Palatino Linotype"/>
        </w:rPr>
        <w:t>), establece que:</w:t>
      </w:r>
    </w:p>
    <w:p w14:paraId="17383818" w14:textId="77777777" w:rsidR="004639EE" w:rsidRPr="0048359C" w:rsidRDefault="004639EE">
      <w:pPr>
        <w:tabs>
          <w:tab w:val="left" w:pos="3261"/>
        </w:tabs>
        <w:spacing w:after="0" w:line="360" w:lineRule="auto"/>
        <w:jc w:val="both"/>
        <w:rPr>
          <w:rFonts w:ascii="Palatino Linotype" w:eastAsia="Palatino Linotype" w:hAnsi="Palatino Linotype" w:cs="Palatino Linotype"/>
        </w:rPr>
      </w:pPr>
    </w:p>
    <w:p w14:paraId="62CC9CB3" w14:textId="77777777" w:rsidR="004639EE" w:rsidRPr="0048359C" w:rsidRDefault="00E72281">
      <w:pPr>
        <w:spacing w:after="0" w:line="360" w:lineRule="auto"/>
        <w:jc w:val="center"/>
        <w:rPr>
          <w:rFonts w:ascii="Palatino Linotype" w:eastAsia="Palatino Linotype" w:hAnsi="Palatino Linotype" w:cs="Palatino Linotype"/>
        </w:rPr>
      </w:pPr>
      <w:r w:rsidRPr="0048359C">
        <w:rPr>
          <w:rFonts w:ascii="Palatino Linotype" w:eastAsia="Palatino Linotype" w:hAnsi="Palatino Linotype" w:cs="Palatino Linotype"/>
          <w:noProof/>
        </w:rPr>
        <w:drawing>
          <wp:inline distT="0" distB="0" distL="0" distR="0" wp14:anchorId="232CC3B0" wp14:editId="075BEF96">
            <wp:extent cx="4186953" cy="119743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186953" cy="1197435"/>
                    </a:xfrm>
                    <a:prstGeom prst="rect">
                      <a:avLst/>
                    </a:prstGeom>
                    <a:ln/>
                  </pic:spPr>
                </pic:pic>
              </a:graphicData>
            </a:graphic>
          </wp:inline>
        </w:drawing>
      </w:r>
    </w:p>
    <w:p w14:paraId="5EA470C4" w14:textId="77777777" w:rsidR="004639EE" w:rsidRPr="0048359C" w:rsidRDefault="004639EE">
      <w:pPr>
        <w:spacing w:after="0" w:line="360" w:lineRule="auto"/>
        <w:jc w:val="both"/>
        <w:rPr>
          <w:rFonts w:ascii="Palatino Linotype" w:eastAsia="Palatino Linotype" w:hAnsi="Palatino Linotype" w:cs="Palatino Linotype"/>
        </w:rPr>
      </w:pPr>
    </w:p>
    <w:p w14:paraId="65870510" w14:textId="77777777" w:rsidR="004639EE" w:rsidRPr="0048359C" w:rsidRDefault="00E72281">
      <w:pPr>
        <w:spacing w:after="0" w:line="360" w:lineRule="auto"/>
        <w:jc w:val="both"/>
        <w:rPr>
          <w:rFonts w:ascii="Palatino Linotype" w:eastAsia="Palatino Linotype" w:hAnsi="Palatino Linotype" w:cs="Palatino Linotype"/>
        </w:rPr>
      </w:pPr>
      <w:r w:rsidRPr="0048359C">
        <w:rPr>
          <w:rFonts w:ascii="Palatino Linotype" w:eastAsia="Palatino Linotype" w:hAnsi="Palatino Linotype" w:cs="Palatino Linotype"/>
        </w:rPr>
        <w:t>De la misma manera, el Glosario de términos más usuales en la Administración Pública Federal, emitido por la Secretaría de Hacienda y Crédito Público (</w:t>
      </w:r>
      <w:hyperlink r:id="rId10">
        <w:r w:rsidRPr="0048359C">
          <w:rPr>
            <w:rFonts w:ascii="Palatino Linotype" w:eastAsia="Palatino Linotype" w:hAnsi="Palatino Linotype" w:cs="Palatino Linotype"/>
            <w:u w:val="single"/>
          </w:rPr>
          <w:t>http://www.apartados.hacienda.gob.mx/contabilidad/documentos/informe_cuenta/1998/cuenta_publica/Glosario/n.htm</w:t>
        </w:r>
      </w:hyperlink>
      <w:r w:rsidRPr="0048359C">
        <w:rPr>
          <w:rFonts w:ascii="Palatino Linotype" w:eastAsia="Palatino Linotype" w:hAnsi="Palatino Linotype" w:cs="Palatino Linotype"/>
        </w:rPr>
        <w:t>), establece que la nómina es un listado general de los trabajadores de una institución, en el cual se asientan las percepciones brutas, deducciones y alcance neto de las mismas.</w:t>
      </w:r>
    </w:p>
    <w:p w14:paraId="07DA2C4E" w14:textId="77777777" w:rsidR="004639EE" w:rsidRPr="0048359C" w:rsidRDefault="004639EE">
      <w:pPr>
        <w:spacing w:after="0" w:line="360" w:lineRule="auto"/>
        <w:jc w:val="both"/>
        <w:rPr>
          <w:rFonts w:ascii="Palatino Linotype" w:eastAsia="Palatino Linotype" w:hAnsi="Palatino Linotype" w:cs="Palatino Linotype"/>
        </w:rPr>
      </w:pPr>
    </w:p>
    <w:p w14:paraId="57E2589E" w14:textId="77777777" w:rsidR="004639EE" w:rsidRPr="0048359C" w:rsidRDefault="00E72281">
      <w:pPr>
        <w:spacing w:after="0" w:line="360" w:lineRule="auto"/>
        <w:jc w:val="both"/>
        <w:rPr>
          <w:rFonts w:ascii="Palatino Linotype" w:eastAsia="Palatino Linotype" w:hAnsi="Palatino Linotype" w:cs="Palatino Linotype"/>
        </w:rPr>
      </w:pPr>
      <w:r w:rsidRPr="0048359C">
        <w:rPr>
          <w:rFonts w:ascii="Palatino Linotype" w:eastAsia="Palatino Linotype" w:hAnsi="Palatino Linotype" w:cs="Palatino Linotype"/>
        </w:rPr>
        <w:t>Conforme a lo anterior, se puede advertir que la nómina se puede referir a lo siguiente:</w:t>
      </w:r>
    </w:p>
    <w:p w14:paraId="216E8CA7" w14:textId="77777777" w:rsidR="004639EE" w:rsidRPr="0048359C" w:rsidRDefault="00E72281">
      <w:pPr>
        <w:spacing w:after="0" w:line="360" w:lineRule="auto"/>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 </w:t>
      </w:r>
    </w:p>
    <w:p w14:paraId="2916A1AF" w14:textId="77777777" w:rsidR="004639EE" w:rsidRPr="0048359C" w:rsidRDefault="00E72281">
      <w:pPr>
        <w:tabs>
          <w:tab w:val="left" w:pos="8222"/>
        </w:tabs>
        <w:spacing w:after="0"/>
        <w:ind w:left="567" w:right="709"/>
        <w:jc w:val="both"/>
        <w:rPr>
          <w:rFonts w:ascii="Palatino Linotype" w:eastAsia="Palatino Linotype" w:hAnsi="Palatino Linotype" w:cs="Palatino Linotype"/>
        </w:rPr>
      </w:pPr>
      <w:r w:rsidRPr="0048359C">
        <w:rPr>
          <w:rFonts w:ascii="Palatino Linotype" w:eastAsia="Palatino Linotype" w:hAnsi="Palatino Linotype" w:cs="Palatino Linotype"/>
        </w:rPr>
        <w:t>a)      Relación de trabajadores con las percepciones monetarias de cada uno.</w:t>
      </w:r>
    </w:p>
    <w:p w14:paraId="64458732" w14:textId="77777777" w:rsidR="004639EE" w:rsidRPr="0048359C" w:rsidRDefault="00E72281">
      <w:pPr>
        <w:tabs>
          <w:tab w:val="left" w:pos="8222"/>
        </w:tabs>
        <w:spacing w:after="0"/>
        <w:ind w:left="567" w:right="709"/>
        <w:jc w:val="both"/>
        <w:rPr>
          <w:rFonts w:ascii="Palatino Linotype" w:eastAsia="Palatino Linotype" w:hAnsi="Palatino Linotype" w:cs="Palatino Linotype"/>
          <w:b/>
          <w:u w:val="single"/>
        </w:rPr>
      </w:pPr>
      <w:r w:rsidRPr="0048359C">
        <w:rPr>
          <w:rFonts w:ascii="Palatino Linotype" w:eastAsia="Palatino Linotype" w:hAnsi="Palatino Linotype" w:cs="Palatino Linotype"/>
          <w:b/>
          <w:u w:val="single"/>
        </w:rPr>
        <w:t>b)      Recibo individual que contiene las prestaciones y deducciones de un trabajador.</w:t>
      </w:r>
    </w:p>
    <w:p w14:paraId="5A607416" w14:textId="77777777" w:rsidR="004639EE" w:rsidRPr="0048359C" w:rsidRDefault="00E72281">
      <w:pPr>
        <w:tabs>
          <w:tab w:val="left" w:pos="8222"/>
        </w:tabs>
        <w:spacing w:after="0"/>
        <w:ind w:left="567" w:right="709"/>
        <w:jc w:val="both"/>
        <w:rPr>
          <w:rFonts w:ascii="Palatino Linotype" w:eastAsia="Palatino Linotype" w:hAnsi="Palatino Linotype" w:cs="Palatino Linotype"/>
        </w:rPr>
      </w:pPr>
      <w:r w:rsidRPr="0048359C">
        <w:rPr>
          <w:rFonts w:ascii="Palatino Linotype" w:eastAsia="Palatino Linotype" w:hAnsi="Palatino Linotype" w:cs="Palatino Linotype"/>
        </w:rPr>
        <w:t>c)       Listado general de los servidores públicos de una institución o dependencia, en el cual se asientan las percepciones brutas, deducciones y alcance neto de las mismas.</w:t>
      </w:r>
    </w:p>
    <w:p w14:paraId="4152518D" w14:textId="77777777" w:rsidR="004639EE" w:rsidRPr="0048359C" w:rsidRDefault="004639EE">
      <w:pPr>
        <w:spacing w:after="0" w:line="360" w:lineRule="auto"/>
        <w:jc w:val="both"/>
        <w:rPr>
          <w:rFonts w:ascii="Palatino Linotype" w:eastAsia="Palatino Linotype" w:hAnsi="Palatino Linotype" w:cs="Palatino Linotype"/>
        </w:rPr>
      </w:pPr>
    </w:p>
    <w:p w14:paraId="0E0F54BC" w14:textId="77777777" w:rsidR="004639EE" w:rsidRPr="0048359C" w:rsidRDefault="00E72281">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Ahora bien, de conformidad con 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14:paraId="7D3260D9" w14:textId="77777777" w:rsidR="00E50E40" w:rsidRPr="0048359C" w:rsidRDefault="00E50E40">
      <w:pPr>
        <w:spacing w:after="0" w:line="360" w:lineRule="auto"/>
        <w:ind w:right="49"/>
        <w:jc w:val="both"/>
        <w:rPr>
          <w:rFonts w:ascii="Palatino Linotype" w:eastAsia="Palatino Linotype" w:hAnsi="Palatino Linotype" w:cs="Palatino Linotype"/>
        </w:rPr>
      </w:pPr>
    </w:p>
    <w:p w14:paraId="10BA59A6" w14:textId="77777777" w:rsidR="004639EE" w:rsidRPr="0048359C" w:rsidRDefault="00E72281">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580DEFAC" w14:textId="77777777" w:rsidR="004639EE" w:rsidRPr="0048359C" w:rsidRDefault="004639EE">
      <w:pPr>
        <w:spacing w:after="0" w:line="360" w:lineRule="auto"/>
        <w:ind w:right="49"/>
        <w:jc w:val="both"/>
        <w:rPr>
          <w:rFonts w:ascii="Palatino Linotype" w:eastAsia="Palatino Linotype" w:hAnsi="Palatino Linotype" w:cs="Palatino Linotype"/>
        </w:rPr>
      </w:pPr>
    </w:p>
    <w:p w14:paraId="29B0866F" w14:textId="77777777" w:rsidR="004639EE" w:rsidRPr="0048359C" w:rsidRDefault="00E72281">
      <w:pPr>
        <w:spacing w:after="0" w:line="360" w:lineRule="auto"/>
        <w:jc w:val="both"/>
        <w:rPr>
          <w:rFonts w:ascii="Palatino Linotype" w:eastAsia="Palatino Linotype" w:hAnsi="Palatino Linotype" w:cs="Palatino Linotype"/>
        </w:rPr>
      </w:pPr>
      <w:r w:rsidRPr="0048359C">
        <w:rPr>
          <w:rFonts w:ascii="Palatino Linotype" w:eastAsia="Palatino Linotype" w:hAnsi="Palatino Linotype" w:cs="Palatino Linotype"/>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742207D8" w14:textId="77777777" w:rsidR="004639EE" w:rsidRPr="0048359C" w:rsidRDefault="004639EE">
      <w:pPr>
        <w:spacing w:after="0" w:line="360" w:lineRule="auto"/>
        <w:ind w:right="843"/>
        <w:jc w:val="both"/>
        <w:rPr>
          <w:rFonts w:ascii="Palatino Linotype" w:eastAsia="Palatino Linotype" w:hAnsi="Palatino Linotype" w:cs="Palatino Linotype"/>
          <w:i/>
        </w:rPr>
      </w:pPr>
    </w:p>
    <w:p w14:paraId="5893DA29" w14:textId="77777777" w:rsidR="004639EE" w:rsidRPr="0048359C" w:rsidRDefault="00E72281">
      <w:pPr>
        <w:spacing w:after="0" w:line="360" w:lineRule="auto"/>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Por su parte, la Ley del Trabajo de los Servidores Públicos del Estado y Municipios, en su artículo 220 K, fracciones II y IV, establece que: </w:t>
      </w:r>
    </w:p>
    <w:p w14:paraId="3B2537ED" w14:textId="77777777" w:rsidR="004639EE" w:rsidRPr="0048359C" w:rsidRDefault="004639EE">
      <w:pPr>
        <w:spacing w:after="0" w:line="360" w:lineRule="auto"/>
        <w:jc w:val="both"/>
        <w:rPr>
          <w:rFonts w:ascii="Palatino Linotype" w:eastAsia="Palatino Linotype" w:hAnsi="Palatino Linotype" w:cs="Palatino Linotype"/>
        </w:rPr>
      </w:pPr>
    </w:p>
    <w:p w14:paraId="1DDF618E" w14:textId="77777777" w:rsidR="004639EE" w:rsidRPr="0048359C" w:rsidRDefault="00E72281">
      <w:pPr>
        <w:spacing w:after="0"/>
        <w:ind w:left="567" w:right="843"/>
        <w:jc w:val="both"/>
        <w:rPr>
          <w:rFonts w:ascii="Palatino Linotype" w:eastAsia="Palatino Linotype" w:hAnsi="Palatino Linotype" w:cs="Palatino Linotype"/>
          <w:i/>
        </w:rPr>
      </w:pPr>
      <w:r w:rsidRPr="0048359C">
        <w:rPr>
          <w:rFonts w:ascii="Palatino Linotype" w:eastAsia="Palatino Linotype" w:hAnsi="Palatino Linotype" w:cs="Palatino Linotype"/>
          <w:b/>
          <w:i/>
        </w:rPr>
        <w:t>ARTÍCULO 220 K</w:t>
      </w:r>
      <w:r w:rsidRPr="0048359C">
        <w:rPr>
          <w:rFonts w:ascii="Palatino Linotype" w:eastAsia="Palatino Linotype" w:hAnsi="Palatino Linotype" w:cs="Palatino Linotype"/>
          <w:i/>
        </w:rPr>
        <w:t>.- La institución o dependencia pública tiene la obligación de conservar y exhibir en el proceso los documentos que a continuación se precisan:</w:t>
      </w:r>
    </w:p>
    <w:p w14:paraId="1DAE51FD" w14:textId="77777777" w:rsidR="004639EE" w:rsidRPr="0048359C" w:rsidRDefault="00E72281">
      <w:pPr>
        <w:spacing w:after="0"/>
        <w:ind w:left="567" w:right="843"/>
        <w:jc w:val="both"/>
        <w:rPr>
          <w:rFonts w:ascii="Palatino Linotype" w:eastAsia="Palatino Linotype" w:hAnsi="Palatino Linotype" w:cs="Palatino Linotype"/>
          <w:i/>
        </w:rPr>
      </w:pPr>
      <w:r w:rsidRPr="0048359C">
        <w:rPr>
          <w:rFonts w:ascii="Palatino Linotype" w:eastAsia="Palatino Linotype" w:hAnsi="Palatino Linotype" w:cs="Palatino Linotype"/>
          <w:i/>
        </w:rPr>
        <w:t>…</w:t>
      </w:r>
    </w:p>
    <w:p w14:paraId="438C22BD" w14:textId="77777777" w:rsidR="004639EE" w:rsidRPr="0048359C" w:rsidRDefault="00E72281">
      <w:pPr>
        <w:spacing w:after="0"/>
        <w:ind w:left="567" w:right="843"/>
        <w:jc w:val="both"/>
        <w:rPr>
          <w:rFonts w:ascii="Palatino Linotype" w:eastAsia="Palatino Linotype" w:hAnsi="Palatino Linotype" w:cs="Palatino Linotype"/>
          <w:i/>
        </w:rPr>
      </w:pPr>
      <w:r w:rsidRPr="0048359C">
        <w:rPr>
          <w:rFonts w:ascii="Palatino Linotype" w:eastAsia="Palatino Linotype" w:hAnsi="Palatino Linotype" w:cs="Palatino Linotype"/>
          <w:i/>
        </w:rPr>
        <w:t>II. Recibos de pagos de salarios o las constancias documentales del pago de salario cuando sea por depósito o mediante información electrónica;</w:t>
      </w:r>
    </w:p>
    <w:p w14:paraId="721D7F9A" w14:textId="77777777" w:rsidR="004639EE" w:rsidRPr="0048359C" w:rsidRDefault="00E72281">
      <w:pPr>
        <w:spacing w:after="0"/>
        <w:ind w:left="567" w:right="843"/>
        <w:jc w:val="both"/>
        <w:rPr>
          <w:rFonts w:ascii="Palatino Linotype" w:eastAsia="Palatino Linotype" w:hAnsi="Palatino Linotype" w:cs="Palatino Linotype"/>
          <w:i/>
        </w:rPr>
      </w:pPr>
      <w:r w:rsidRPr="0048359C">
        <w:rPr>
          <w:rFonts w:ascii="Palatino Linotype" w:eastAsia="Palatino Linotype" w:hAnsi="Palatino Linotype" w:cs="Palatino Linotype"/>
          <w:i/>
        </w:rPr>
        <w:t>…</w:t>
      </w:r>
    </w:p>
    <w:p w14:paraId="70B53A11" w14:textId="77777777" w:rsidR="004639EE" w:rsidRPr="0048359C" w:rsidRDefault="00E72281">
      <w:pPr>
        <w:spacing w:after="0"/>
        <w:ind w:left="567" w:right="843"/>
        <w:jc w:val="both"/>
        <w:rPr>
          <w:rFonts w:ascii="Palatino Linotype" w:eastAsia="Palatino Linotype" w:hAnsi="Palatino Linotype" w:cs="Palatino Linotype"/>
          <w:i/>
        </w:rPr>
      </w:pPr>
      <w:r w:rsidRPr="0048359C">
        <w:rPr>
          <w:rFonts w:ascii="Palatino Linotype" w:eastAsia="Palatino Linotype" w:hAnsi="Palatino Linotype" w:cs="Palatino Linotype"/>
          <w:i/>
        </w:rPr>
        <w:t xml:space="preserve">IV. Recibos o las constancias de deposito o del medio de información magnética o electrónica que sean utilizadas para el pago de salarios, prima vacacional, aguinaldo y demás prestaciones establecidas en la presente ley; </w:t>
      </w:r>
    </w:p>
    <w:p w14:paraId="73819994" w14:textId="77777777" w:rsidR="004639EE" w:rsidRPr="0048359C" w:rsidRDefault="004639EE">
      <w:pPr>
        <w:spacing w:after="0"/>
        <w:ind w:left="567" w:right="843"/>
        <w:jc w:val="both"/>
        <w:rPr>
          <w:rFonts w:ascii="Palatino Linotype" w:eastAsia="Palatino Linotype" w:hAnsi="Palatino Linotype" w:cs="Palatino Linotype"/>
          <w:i/>
        </w:rPr>
      </w:pPr>
    </w:p>
    <w:p w14:paraId="4DEDC943" w14:textId="77777777" w:rsidR="004639EE" w:rsidRPr="0048359C" w:rsidRDefault="00E72281">
      <w:pPr>
        <w:spacing w:after="0" w:line="360" w:lineRule="auto"/>
        <w:jc w:val="both"/>
        <w:rPr>
          <w:rFonts w:ascii="Palatino Linotype" w:eastAsia="Palatino Linotype" w:hAnsi="Palatino Linotype" w:cs="Palatino Linotype"/>
        </w:rPr>
      </w:pPr>
      <w:r w:rsidRPr="0048359C">
        <w:rPr>
          <w:rFonts w:ascii="Palatino Linotype" w:eastAsia="Palatino Linotype" w:hAnsi="Palatino Linotype" w:cs="Palatino Linotype"/>
        </w:rPr>
        <w:t>Es decir, del precepto normativo se advierte que entre los documentos que tiene la obligación de conservar el Sujeto Obligado, se encuentran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364EEAFA" w14:textId="77777777" w:rsidR="004639EE" w:rsidRPr="0048359C" w:rsidRDefault="004639EE">
      <w:pPr>
        <w:spacing w:after="0" w:line="360" w:lineRule="auto"/>
        <w:jc w:val="both"/>
        <w:rPr>
          <w:rFonts w:ascii="Palatino Linotype" w:eastAsia="Palatino Linotype" w:hAnsi="Palatino Linotype" w:cs="Palatino Linotype"/>
        </w:rPr>
      </w:pPr>
    </w:p>
    <w:p w14:paraId="0C995848" w14:textId="77777777" w:rsidR="004639EE" w:rsidRPr="0048359C" w:rsidRDefault="00E72281">
      <w:pPr>
        <w:spacing w:after="0" w:line="360" w:lineRule="auto"/>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Ahora bien, respecto a los datos que componen el Comprobante Fiscal Digital por Internet, en principio es de mencionar que este es una factura electrónica emitida a los trabajadores dentro de una relación laboral para hacer constatar sus ingresos percibidos, así como las retenciones de impuestos u otros descuentos laborales aplicados. </w:t>
      </w:r>
    </w:p>
    <w:p w14:paraId="71DC855D" w14:textId="77777777" w:rsidR="004639EE" w:rsidRPr="0048359C" w:rsidRDefault="004639EE">
      <w:pPr>
        <w:spacing w:after="0" w:line="360" w:lineRule="auto"/>
        <w:jc w:val="both"/>
        <w:rPr>
          <w:rFonts w:ascii="Palatino Linotype" w:eastAsia="Palatino Linotype" w:hAnsi="Palatino Linotype" w:cs="Palatino Linotype"/>
        </w:rPr>
      </w:pPr>
    </w:p>
    <w:p w14:paraId="33F53E5E" w14:textId="77777777" w:rsidR="004639EE" w:rsidRPr="0048359C" w:rsidRDefault="00E72281">
      <w:pPr>
        <w:spacing w:after="0" w:line="360" w:lineRule="auto"/>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En ese sentido, de acuerdo con el Sistema de Administración Tributaria, los comprobantes fiscales digitales por internet deben emitirse por los actos o actividades que realicen, por los ingresos que perciban o por las retenciones de contribuciones que efectúen los contribuyentes ya sean personas físicas o personas morales. De tal forma que, expedir comprobantes fiscales digitales por internet (CFDI) por concepto de nómina es una </w:t>
      </w:r>
      <w:r w:rsidRPr="0048359C">
        <w:rPr>
          <w:rFonts w:ascii="Palatino Linotype" w:eastAsia="Palatino Linotype" w:hAnsi="Palatino Linotype" w:cs="Palatino Linotype"/>
          <w:b/>
        </w:rPr>
        <w:t>obligación de los contribuyentes personas físicas o morales que en la realización de una actividad económica efectúen pagos a sus trabajadores por concepto de salarios y en general por la prestación de un servicio personal subordinado o a contribuyentes asimilados a salarios</w:t>
      </w:r>
      <w:r w:rsidRPr="0048359C">
        <w:rPr>
          <w:rFonts w:ascii="Palatino Linotype" w:eastAsia="Palatino Linotype" w:hAnsi="Palatino Linotype" w:cs="Palatino Linotype"/>
        </w:rPr>
        <w:t>, conforme a lo establecido en los artículos 27, fracciones V, segundo párrafo y XVIII y 99, fracción III de la Ley del Impuesto sobre la Renta (LISR) y artículo 54 del Reglamento de dicha Ley, en relación con los artículos 29, segundo párrafo, fracción IV del CFF y 39 del Reglamento del CFF y las reglas 2.7.5.1., 2.7.5.2. y, 2.7.5.3., de la Resolución Miscelánea Fiscal vigente.</w:t>
      </w:r>
    </w:p>
    <w:p w14:paraId="6266601B" w14:textId="77777777" w:rsidR="004639EE" w:rsidRPr="0048359C" w:rsidRDefault="004639EE">
      <w:pPr>
        <w:spacing w:after="0" w:line="360" w:lineRule="auto"/>
        <w:jc w:val="both"/>
        <w:rPr>
          <w:rFonts w:ascii="Palatino Linotype" w:eastAsia="Palatino Linotype" w:hAnsi="Palatino Linotype" w:cs="Palatino Linotype"/>
        </w:rPr>
      </w:pPr>
    </w:p>
    <w:p w14:paraId="0C81E259" w14:textId="77777777" w:rsidR="004639EE" w:rsidRPr="0048359C" w:rsidRDefault="00E72281">
      <w:pPr>
        <w:spacing w:after="0" w:line="360" w:lineRule="auto"/>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Es decir, este comprobante electrónico se utiliza como constancia o recibo de pago para efectos de la legislación laboral a que se refieren en los artículos 132 fracciones VII y VIII y 804, primer párrafo, fracciones II y IV de la Ley Federal de Trabajo, por lo que, en efecto deben contener datos como, el nombre del servidor público, su cargo, monto de percepciones netas y brutas, por mencionar algunas. </w:t>
      </w:r>
    </w:p>
    <w:p w14:paraId="6DD53171" w14:textId="77777777" w:rsidR="004639EE" w:rsidRPr="0048359C" w:rsidRDefault="004639EE">
      <w:pPr>
        <w:spacing w:after="0" w:line="360" w:lineRule="auto"/>
        <w:jc w:val="both"/>
        <w:rPr>
          <w:rFonts w:ascii="Palatino Linotype" w:eastAsia="Palatino Linotype" w:hAnsi="Palatino Linotype" w:cs="Palatino Linotype"/>
        </w:rPr>
      </w:pPr>
    </w:p>
    <w:p w14:paraId="26D6B656" w14:textId="77777777" w:rsidR="004639EE" w:rsidRPr="0048359C" w:rsidRDefault="00E72281">
      <w:pPr>
        <w:spacing w:after="0" w:line="360" w:lineRule="auto"/>
        <w:jc w:val="both"/>
        <w:rPr>
          <w:rFonts w:ascii="Palatino Linotype" w:eastAsia="Palatino Linotype" w:hAnsi="Palatino Linotype" w:cs="Palatino Linotype"/>
        </w:rPr>
      </w:pPr>
      <w:r w:rsidRPr="0048359C">
        <w:rPr>
          <w:rFonts w:ascii="Palatino Linotype" w:eastAsia="Palatino Linotype" w:hAnsi="Palatino Linotype" w:cs="Palatino Linotype"/>
        </w:rPr>
        <w:t>En lo que hace a</w:t>
      </w:r>
      <w:r w:rsidR="00F96E79" w:rsidRPr="0048359C">
        <w:rPr>
          <w:rFonts w:ascii="Palatino Linotype" w:eastAsia="Palatino Linotype" w:hAnsi="Palatino Linotype" w:cs="Palatino Linotype"/>
        </w:rPr>
        <w:t xml:space="preserve"> nuestra materia, el artículo 65</w:t>
      </w:r>
      <w:r w:rsidR="00E50E40" w:rsidRPr="0048359C">
        <w:rPr>
          <w:rFonts w:ascii="Palatino Linotype" w:eastAsia="Palatino Linotype" w:hAnsi="Palatino Linotype" w:cs="Palatino Linotype"/>
        </w:rPr>
        <w:t>, fracción VI</w:t>
      </w:r>
      <w:r w:rsidRPr="0048359C">
        <w:rPr>
          <w:rFonts w:ascii="Palatino Linotype" w:eastAsia="Palatino Linotype" w:hAnsi="Palatino Linotype" w:cs="Palatino Linotype"/>
        </w:rPr>
        <w:t xml:space="preserve">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161DC581" w14:textId="77777777" w:rsidR="004639EE" w:rsidRPr="0048359C" w:rsidRDefault="004639EE">
      <w:pPr>
        <w:spacing w:after="0" w:line="360" w:lineRule="auto"/>
        <w:jc w:val="both"/>
        <w:rPr>
          <w:rFonts w:ascii="Palatino Linotype" w:eastAsia="Palatino Linotype" w:hAnsi="Palatino Linotype" w:cs="Palatino Linotype"/>
        </w:rPr>
      </w:pPr>
    </w:p>
    <w:p w14:paraId="0F2EAB8D" w14:textId="77777777" w:rsidR="004639EE" w:rsidRPr="0048359C" w:rsidRDefault="00E72281">
      <w:pPr>
        <w:spacing w:after="0"/>
        <w:ind w:left="567" w:right="843"/>
        <w:jc w:val="center"/>
        <w:rPr>
          <w:rFonts w:ascii="Palatino Linotype" w:eastAsia="Palatino Linotype" w:hAnsi="Palatino Linotype" w:cs="Palatino Linotype"/>
          <w:b/>
          <w:i/>
        </w:rPr>
      </w:pPr>
      <w:r w:rsidRPr="0048359C">
        <w:rPr>
          <w:rFonts w:ascii="Palatino Linotype" w:eastAsia="Palatino Linotype" w:hAnsi="Palatino Linotype" w:cs="Palatino Linotype"/>
          <w:b/>
          <w:i/>
        </w:rPr>
        <w:t>Ley General de Transparencia y Acceso a la Información Pública</w:t>
      </w:r>
    </w:p>
    <w:p w14:paraId="0C77F0DB" w14:textId="77777777" w:rsidR="004639EE" w:rsidRPr="0048359C" w:rsidRDefault="004639EE">
      <w:pPr>
        <w:spacing w:after="0"/>
        <w:ind w:left="567" w:right="843"/>
        <w:jc w:val="both"/>
        <w:rPr>
          <w:rFonts w:ascii="Palatino Linotype" w:eastAsia="Palatino Linotype" w:hAnsi="Palatino Linotype" w:cs="Palatino Linotype"/>
          <w:i/>
        </w:rPr>
      </w:pPr>
    </w:p>
    <w:p w14:paraId="705FB09C" w14:textId="77777777" w:rsidR="004639EE" w:rsidRPr="0048359C" w:rsidRDefault="00E50E40" w:rsidP="00E50E40">
      <w:pPr>
        <w:spacing w:after="0"/>
        <w:ind w:left="567" w:right="843"/>
        <w:jc w:val="both"/>
        <w:rPr>
          <w:rFonts w:ascii="Palatino Linotype" w:eastAsia="Palatino Linotype" w:hAnsi="Palatino Linotype" w:cs="Palatino Linotype"/>
          <w:b/>
          <w:i/>
        </w:rPr>
      </w:pPr>
      <w:r w:rsidRPr="0048359C">
        <w:rPr>
          <w:rFonts w:ascii="Palatino Linotype" w:eastAsia="Palatino Linotype" w:hAnsi="Palatino Linotype" w:cs="Palatino Linotype"/>
          <w:b/>
          <w:i/>
        </w:rPr>
        <w:t xml:space="preserve">Artículo 65. </w:t>
      </w:r>
      <w:r w:rsidRPr="0048359C">
        <w:rPr>
          <w:rFonts w:ascii="Palatino Linotype" w:eastAsia="Palatino Linotype" w:hAnsi="Palatino Linotype" w:cs="Palatino Linotype"/>
          <w:i/>
        </w:rPr>
        <w:t>Los sujetos obligados pondrán a disposición del público y mantendrán actualizada, en los respectivos medios electrónicos, de acuerdo con sus facultades, atribuciones, funciones u objeto social, según corresponda, la información, por lo menos, de los temas, documentos y políticas que a continuación se señalan:</w:t>
      </w:r>
      <w:r w:rsidRPr="0048359C">
        <w:rPr>
          <w:rFonts w:ascii="Palatino Linotype" w:eastAsia="Palatino Linotype" w:hAnsi="Palatino Linotype" w:cs="Palatino Linotype"/>
          <w:b/>
          <w:i/>
        </w:rPr>
        <w:cr/>
      </w:r>
      <w:r w:rsidR="00E72281" w:rsidRPr="0048359C">
        <w:rPr>
          <w:rFonts w:ascii="Palatino Linotype" w:eastAsia="Palatino Linotype" w:hAnsi="Palatino Linotype" w:cs="Palatino Linotype"/>
          <w:i/>
        </w:rPr>
        <w:t>…</w:t>
      </w:r>
    </w:p>
    <w:p w14:paraId="22075393" w14:textId="77777777" w:rsidR="004639EE" w:rsidRPr="0048359C" w:rsidRDefault="00E50E40">
      <w:pPr>
        <w:spacing w:after="0"/>
        <w:ind w:left="567" w:right="843"/>
        <w:jc w:val="both"/>
        <w:rPr>
          <w:rFonts w:ascii="Palatino Linotype" w:eastAsia="Palatino Linotype" w:hAnsi="Palatino Linotype" w:cs="Palatino Linotype"/>
          <w:i/>
        </w:rPr>
      </w:pPr>
      <w:r w:rsidRPr="0048359C">
        <w:rPr>
          <w:rFonts w:ascii="Palatino Linotype" w:hAnsi="Palatino Linotype"/>
          <w:i/>
        </w:rPr>
        <w:t>VII. La remuneración bruta y neta de todas las personas servidoras públicas de base o de confianza, de todas las percepciones, incluyendo sueldos, prestaciones, gratificaciones, primas, comisiones, dietas, bonos, estímulos, ingresos y sistemas de compensación, señalando la periodicidad de dicha remuneración</w:t>
      </w:r>
      <w:r w:rsidR="00E72281" w:rsidRPr="0048359C">
        <w:rPr>
          <w:rFonts w:ascii="Palatino Linotype" w:eastAsia="Palatino Linotype" w:hAnsi="Palatino Linotype" w:cs="Palatino Linotype"/>
          <w:i/>
        </w:rPr>
        <w:t>;</w:t>
      </w:r>
    </w:p>
    <w:p w14:paraId="0E1DEE78" w14:textId="77777777" w:rsidR="004639EE" w:rsidRPr="0048359C" w:rsidRDefault="00E72281">
      <w:pPr>
        <w:spacing w:after="0"/>
        <w:ind w:left="567" w:right="843"/>
        <w:jc w:val="both"/>
        <w:rPr>
          <w:rFonts w:ascii="Palatino Linotype" w:eastAsia="Palatino Linotype" w:hAnsi="Palatino Linotype" w:cs="Palatino Linotype"/>
          <w:i/>
        </w:rPr>
      </w:pPr>
      <w:r w:rsidRPr="0048359C">
        <w:rPr>
          <w:rFonts w:ascii="Palatino Linotype" w:eastAsia="Palatino Linotype" w:hAnsi="Palatino Linotype" w:cs="Palatino Linotype"/>
          <w:i/>
        </w:rPr>
        <w:t>…</w:t>
      </w:r>
    </w:p>
    <w:p w14:paraId="2D5230AF" w14:textId="77777777" w:rsidR="004639EE" w:rsidRPr="0048359C" w:rsidRDefault="004639EE">
      <w:pPr>
        <w:spacing w:after="0"/>
        <w:ind w:left="567" w:right="843"/>
        <w:jc w:val="both"/>
        <w:rPr>
          <w:rFonts w:ascii="Palatino Linotype" w:eastAsia="Palatino Linotype" w:hAnsi="Palatino Linotype" w:cs="Palatino Linotype"/>
          <w:i/>
        </w:rPr>
      </w:pPr>
    </w:p>
    <w:p w14:paraId="4522812A" w14:textId="77777777" w:rsidR="004639EE" w:rsidRPr="0048359C" w:rsidRDefault="00E72281">
      <w:pPr>
        <w:spacing w:after="0"/>
        <w:ind w:left="567" w:right="843"/>
        <w:jc w:val="center"/>
        <w:rPr>
          <w:rFonts w:ascii="Palatino Linotype" w:eastAsia="Palatino Linotype" w:hAnsi="Palatino Linotype" w:cs="Palatino Linotype"/>
          <w:b/>
          <w:i/>
        </w:rPr>
      </w:pPr>
      <w:r w:rsidRPr="0048359C">
        <w:rPr>
          <w:rFonts w:ascii="Palatino Linotype" w:eastAsia="Palatino Linotype" w:hAnsi="Palatino Linotype" w:cs="Palatino Linotype"/>
          <w:b/>
          <w:i/>
        </w:rPr>
        <w:t>Ley de Transparencia y Acceso a la Información Pública del Estado de México y Municipios</w:t>
      </w:r>
    </w:p>
    <w:p w14:paraId="57C20F0F" w14:textId="77777777" w:rsidR="004639EE" w:rsidRPr="0048359C" w:rsidRDefault="004639EE">
      <w:pPr>
        <w:spacing w:after="0"/>
        <w:ind w:left="567" w:right="843"/>
        <w:jc w:val="both"/>
        <w:rPr>
          <w:rFonts w:ascii="Palatino Linotype" w:eastAsia="Palatino Linotype" w:hAnsi="Palatino Linotype" w:cs="Palatino Linotype"/>
          <w:i/>
        </w:rPr>
      </w:pPr>
    </w:p>
    <w:p w14:paraId="4AC89461" w14:textId="77777777" w:rsidR="004639EE" w:rsidRPr="0048359C" w:rsidRDefault="00E72281">
      <w:pPr>
        <w:spacing w:after="0"/>
        <w:ind w:left="567" w:right="843"/>
        <w:jc w:val="both"/>
        <w:rPr>
          <w:rFonts w:ascii="Palatino Linotype" w:eastAsia="Palatino Linotype" w:hAnsi="Palatino Linotype" w:cs="Palatino Linotype"/>
          <w:i/>
        </w:rPr>
      </w:pPr>
      <w:r w:rsidRPr="0048359C">
        <w:rPr>
          <w:rFonts w:ascii="Palatino Linotype" w:eastAsia="Palatino Linotype" w:hAnsi="Palatino Linotype" w:cs="Palatino Linotype"/>
          <w:b/>
          <w:i/>
        </w:rPr>
        <w:t>Artículo 92.</w:t>
      </w:r>
      <w:r w:rsidRPr="0048359C">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BF13697" w14:textId="77777777" w:rsidR="004639EE" w:rsidRPr="0048359C" w:rsidRDefault="00E72281">
      <w:pPr>
        <w:spacing w:after="0"/>
        <w:ind w:left="567" w:right="843"/>
        <w:jc w:val="both"/>
        <w:rPr>
          <w:rFonts w:ascii="Palatino Linotype" w:eastAsia="Palatino Linotype" w:hAnsi="Palatino Linotype" w:cs="Palatino Linotype"/>
          <w:i/>
        </w:rPr>
      </w:pPr>
      <w:r w:rsidRPr="0048359C">
        <w:rPr>
          <w:rFonts w:ascii="Palatino Linotype" w:eastAsia="Palatino Linotype" w:hAnsi="Palatino Linotype" w:cs="Palatino Linotype"/>
          <w:i/>
        </w:rPr>
        <w:t>…</w:t>
      </w:r>
    </w:p>
    <w:p w14:paraId="3FC8012B" w14:textId="77777777" w:rsidR="004639EE" w:rsidRPr="0048359C" w:rsidRDefault="00E72281">
      <w:pPr>
        <w:spacing w:after="0"/>
        <w:ind w:left="567" w:right="843"/>
        <w:jc w:val="both"/>
        <w:rPr>
          <w:rFonts w:ascii="Palatino Linotype" w:eastAsia="Palatino Linotype" w:hAnsi="Palatino Linotype" w:cs="Palatino Linotype"/>
          <w:i/>
        </w:rPr>
      </w:pPr>
      <w:r w:rsidRPr="0048359C">
        <w:rPr>
          <w:rFonts w:ascii="Palatino Linotype" w:eastAsia="Palatino Linotype" w:hAnsi="Palatino Linotype" w:cs="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6E19EF1" w14:textId="77777777" w:rsidR="004639EE" w:rsidRPr="0048359C" w:rsidRDefault="00E72281">
      <w:pPr>
        <w:spacing w:after="0"/>
        <w:ind w:left="567" w:right="843"/>
        <w:jc w:val="both"/>
        <w:rPr>
          <w:rFonts w:ascii="Palatino Linotype" w:eastAsia="Palatino Linotype" w:hAnsi="Palatino Linotype" w:cs="Palatino Linotype"/>
          <w:i/>
        </w:rPr>
      </w:pPr>
      <w:r w:rsidRPr="0048359C">
        <w:rPr>
          <w:rFonts w:ascii="Palatino Linotype" w:eastAsia="Palatino Linotype" w:hAnsi="Palatino Linotype" w:cs="Palatino Linotype"/>
          <w:i/>
        </w:rPr>
        <w:t>…</w:t>
      </w:r>
    </w:p>
    <w:p w14:paraId="489B78F7" w14:textId="77777777" w:rsidR="004639EE" w:rsidRPr="0048359C" w:rsidRDefault="004639EE">
      <w:pPr>
        <w:spacing w:after="0"/>
        <w:ind w:left="567" w:right="843"/>
        <w:jc w:val="both"/>
        <w:rPr>
          <w:rFonts w:ascii="Palatino Linotype" w:eastAsia="Palatino Linotype" w:hAnsi="Palatino Linotype" w:cs="Palatino Linotype"/>
          <w:i/>
        </w:rPr>
      </w:pPr>
    </w:p>
    <w:p w14:paraId="0F7C677C" w14:textId="77777777" w:rsidR="004639EE" w:rsidRPr="0048359C" w:rsidRDefault="00E72281">
      <w:pPr>
        <w:spacing w:after="0" w:line="360" w:lineRule="auto"/>
        <w:ind w:right="134"/>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Por lo anterior, se puede apreciar que, proporcionar información relacionada con la remuneración de los servidores públicos, es información que obra en los archivos de los sujetos obligados y que se encuentra relacionada con obligaciones de transparencia, situación que constriñe a los sujetos obligados a poner a disposición de los particulares esta información de manera actualizada y permanente. </w:t>
      </w:r>
    </w:p>
    <w:p w14:paraId="329ACC06" w14:textId="77777777" w:rsidR="004639EE" w:rsidRPr="0048359C" w:rsidRDefault="004639EE">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7791E30F" w14:textId="77777777" w:rsidR="004639EE" w:rsidRPr="0048359C" w:rsidRDefault="00E72281">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Ahora bien, en atención a los agravios hechos valer por la parte Recurrente, relativos a que </w:t>
      </w:r>
      <w:r w:rsidR="00E50E40" w:rsidRPr="0048359C">
        <w:rPr>
          <w:rFonts w:ascii="Palatino Linotype" w:eastAsia="Palatino Linotype" w:hAnsi="Palatino Linotype" w:cs="Palatino Linotype"/>
        </w:rPr>
        <w:t xml:space="preserve">se pedía se le proporcionara la información solicitada. </w:t>
      </w:r>
    </w:p>
    <w:p w14:paraId="32C0B155" w14:textId="77777777" w:rsidR="00E50E40" w:rsidRPr="0048359C" w:rsidRDefault="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255FDF86" w14:textId="77777777" w:rsidR="00E50E40" w:rsidRPr="0048359C" w:rsidRDefault="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Es menester referir que, del análisis a los documentos proporcionados en respuesta, se advierte que, el Sujeto Obligado remitió los recibos de nómina de la temporalidad solicitada, del servidor público referido en la solicitud de información, no obstante, se clasificaron datos contenidos en estos, los cuales serán analizados a continuación: </w:t>
      </w:r>
    </w:p>
    <w:p w14:paraId="581E0677" w14:textId="77777777" w:rsidR="00E50E40" w:rsidRPr="0048359C" w:rsidRDefault="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12EAE2D8" w14:textId="77777777" w:rsidR="00E50E40" w:rsidRPr="0048359C" w:rsidRDefault="00E50E40" w:rsidP="00E50E40">
      <w:pPr>
        <w:pStyle w:val="Prrafodelista"/>
        <w:numPr>
          <w:ilvl w:val="0"/>
          <w:numId w:val="6"/>
        </w:numPr>
        <w:pBdr>
          <w:top w:val="nil"/>
          <w:left w:val="nil"/>
          <w:bottom w:val="nil"/>
          <w:right w:val="nil"/>
          <w:between w:val="nil"/>
        </w:pBdr>
        <w:spacing w:after="0" w:line="360" w:lineRule="auto"/>
        <w:ind w:right="-7"/>
        <w:jc w:val="both"/>
        <w:rPr>
          <w:rFonts w:ascii="Palatino Linotype" w:eastAsia="Palatino Linotype" w:hAnsi="Palatino Linotype" w:cs="Palatino Linotype"/>
          <w:b/>
        </w:rPr>
      </w:pPr>
      <w:r w:rsidRPr="0048359C">
        <w:rPr>
          <w:rFonts w:ascii="Palatino Linotype" w:eastAsia="Palatino Linotype" w:hAnsi="Palatino Linotype" w:cs="Palatino Linotype"/>
          <w:b/>
        </w:rPr>
        <w:t>Registro Federal de Contribuyentes.</w:t>
      </w:r>
    </w:p>
    <w:p w14:paraId="580D2340"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b/>
        </w:rPr>
      </w:pPr>
    </w:p>
    <w:p w14:paraId="0B0E4397"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48359C">
        <w:rPr>
          <w:rFonts w:ascii="Palatino Linotype" w:eastAsia="Palatino Linotype" w:hAnsi="Palatino Linotype" w:cs="Palatino Linotype"/>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D43BC91"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6AA5CFCE"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48359C">
        <w:rPr>
          <w:rFonts w:ascii="Palatino Linotype" w:eastAsia="Palatino Linotype" w:hAnsi="Palatino Linotype" w:cs="Palatino Linotype"/>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7621F676"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0FF90AE6"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48359C">
        <w:rPr>
          <w:rFonts w:ascii="Palatino Linotype" w:eastAsia="Palatino Linotype" w:hAnsi="Palatino Linotype" w:cs="Palatino Linotype"/>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023E11C"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5B7FDAEB" w14:textId="263909BE"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753783C7" w14:textId="77777777" w:rsidR="00001CDB" w:rsidRPr="0048359C" w:rsidRDefault="00001CDB"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52FE4ADA"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48359C">
        <w:rPr>
          <w:rFonts w:ascii="Palatino Linotype" w:eastAsia="Palatino Linotype" w:hAnsi="Palatino Linotype" w:cs="Palatino Linotype"/>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008A731A"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5A6E611E" w14:textId="77777777" w:rsidR="00E50E40" w:rsidRPr="0048359C" w:rsidRDefault="00E50E40" w:rsidP="00001CDB">
      <w:pPr>
        <w:pBdr>
          <w:top w:val="nil"/>
          <w:left w:val="nil"/>
          <w:bottom w:val="nil"/>
          <w:right w:val="nil"/>
          <w:between w:val="nil"/>
        </w:pBdr>
        <w:tabs>
          <w:tab w:val="left" w:pos="8647"/>
        </w:tabs>
        <w:spacing w:after="0" w:line="360" w:lineRule="auto"/>
        <w:ind w:left="567" w:right="709"/>
        <w:jc w:val="both"/>
        <w:rPr>
          <w:rFonts w:ascii="Palatino Linotype" w:eastAsia="Palatino Linotype" w:hAnsi="Palatino Linotype" w:cs="Palatino Linotype"/>
          <w:i/>
          <w:iCs/>
        </w:rPr>
      </w:pPr>
      <w:r w:rsidRPr="0048359C">
        <w:rPr>
          <w:rFonts w:ascii="Palatino Linotype" w:eastAsia="Palatino Linotype" w:hAnsi="Palatino Linotype" w:cs="Palatino Linotype"/>
          <w:i/>
          <w:iCs/>
        </w:rPr>
        <w:t>“Registro Federal de Contribuyentes (RFC) de personas físicas. El RFC es una clave de carácter fiscal, única e irrepetible, que permite identificar al titular, su edad y fecha de nacimiento, por lo que es un dato personal de carácter confidencial.”</w:t>
      </w:r>
    </w:p>
    <w:p w14:paraId="5790B056"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64C9C2E2"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48359C">
        <w:rPr>
          <w:rFonts w:ascii="Palatino Linotype" w:eastAsia="Palatino Linotype" w:hAnsi="Palatino Linotype" w:cs="Palatino Linotype"/>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B464AAB"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42AB518C" w14:textId="77777777" w:rsidR="00E50E40" w:rsidRPr="0048359C" w:rsidRDefault="00E50E40" w:rsidP="00E50E40">
      <w:pPr>
        <w:pStyle w:val="Prrafodelista"/>
        <w:numPr>
          <w:ilvl w:val="0"/>
          <w:numId w:val="6"/>
        </w:numPr>
        <w:pBdr>
          <w:top w:val="nil"/>
          <w:left w:val="nil"/>
          <w:bottom w:val="nil"/>
          <w:right w:val="nil"/>
          <w:between w:val="nil"/>
        </w:pBdr>
        <w:spacing w:after="0" w:line="360" w:lineRule="auto"/>
        <w:ind w:right="-7"/>
        <w:jc w:val="both"/>
        <w:rPr>
          <w:rFonts w:ascii="Palatino Linotype" w:eastAsia="Palatino Linotype" w:hAnsi="Palatino Linotype" w:cs="Palatino Linotype"/>
          <w:b/>
        </w:rPr>
      </w:pPr>
      <w:r w:rsidRPr="0048359C">
        <w:rPr>
          <w:rFonts w:ascii="Palatino Linotype" w:eastAsia="Palatino Linotype" w:hAnsi="Palatino Linotype" w:cs="Palatino Linotype"/>
          <w:b/>
        </w:rPr>
        <w:t>Clave Única de Registro de Población.</w:t>
      </w:r>
    </w:p>
    <w:p w14:paraId="41643004" w14:textId="77777777" w:rsidR="00E50E40" w:rsidRPr="0048359C" w:rsidRDefault="00E50E40" w:rsidP="00E50E40">
      <w:pPr>
        <w:pStyle w:val="Prrafodelista"/>
        <w:pBdr>
          <w:top w:val="nil"/>
          <w:left w:val="nil"/>
          <w:bottom w:val="nil"/>
          <w:right w:val="nil"/>
          <w:between w:val="nil"/>
        </w:pBdr>
        <w:spacing w:after="0" w:line="360" w:lineRule="auto"/>
        <w:ind w:right="-7"/>
        <w:jc w:val="both"/>
        <w:rPr>
          <w:rFonts w:ascii="Palatino Linotype" w:eastAsia="Palatino Linotype" w:hAnsi="Palatino Linotype" w:cs="Palatino Linotype"/>
          <w:b/>
        </w:rPr>
      </w:pPr>
    </w:p>
    <w:p w14:paraId="3B92E038"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48359C">
        <w:rPr>
          <w:rFonts w:ascii="Palatino Linotype" w:eastAsia="Palatino Linotype" w:hAnsi="Palatino Linotype" w:cs="Palatino Linotype"/>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CB0AB39"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70A56C3E"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48359C">
        <w:rPr>
          <w:rFonts w:ascii="Palatino Linotype" w:eastAsia="Palatino Linotype" w:hAnsi="Palatino Linotype" w:cs="Palatino Linotype"/>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5366BC1"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63D08DDF"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48359C">
        <w:rPr>
          <w:rFonts w:ascii="Palatino Linotype" w:eastAsia="Palatino Linotype" w:hAnsi="Palatino Linotype" w:cs="Palatino Linotype"/>
        </w:rPr>
        <w:t>En ese orden de ideas, la Secretaría de Gobernación en las direcciones https://consultas.curp.gob.mx/CurpSP/html/informacionecurpPS.html y https://www.gob.mx/segob/renapo/acciones-y-programas/clave-unica-de-registro-de-poblacion-curp-142226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52DF9E25"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67C2CE20"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48359C">
        <w:rPr>
          <w:rFonts w:ascii="Palatino Linotype" w:eastAsia="Palatino Linotype" w:hAnsi="Palatino Linotype" w:cs="Palatino Linotype"/>
        </w:rPr>
        <w:t>●</w:t>
      </w:r>
      <w:r w:rsidRPr="0048359C">
        <w:rPr>
          <w:rFonts w:ascii="Palatino Linotype" w:eastAsia="Palatino Linotype" w:hAnsi="Palatino Linotype" w:cs="Palatino Linotype"/>
        </w:rPr>
        <w:tab/>
        <w:t>El primero y segundo apellidos, así como al nombre de pila;</w:t>
      </w:r>
    </w:p>
    <w:p w14:paraId="376A95EA"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48359C">
        <w:rPr>
          <w:rFonts w:ascii="Palatino Linotype" w:eastAsia="Palatino Linotype" w:hAnsi="Palatino Linotype" w:cs="Palatino Linotype"/>
        </w:rPr>
        <w:t>●</w:t>
      </w:r>
      <w:r w:rsidRPr="0048359C">
        <w:rPr>
          <w:rFonts w:ascii="Palatino Linotype" w:eastAsia="Palatino Linotype" w:hAnsi="Palatino Linotype" w:cs="Palatino Linotype"/>
        </w:rPr>
        <w:tab/>
        <w:t>La fecha de nacimiento;</w:t>
      </w:r>
    </w:p>
    <w:p w14:paraId="0F060841"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48359C">
        <w:rPr>
          <w:rFonts w:ascii="Palatino Linotype" w:eastAsia="Palatino Linotype" w:hAnsi="Palatino Linotype" w:cs="Palatino Linotype"/>
        </w:rPr>
        <w:t>●</w:t>
      </w:r>
      <w:r w:rsidRPr="0048359C">
        <w:rPr>
          <w:rFonts w:ascii="Palatino Linotype" w:eastAsia="Palatino Linotype" w:hAnsi="Palatino Linotype" w:cs="Palatino Linotype"/>
        </w:rPr>
        <w:tab/>
        <w:t>El sexo, y</w:t>
      </w:r>
    </w:p>
    <w:p w14:paraId="75775BB5"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48359C">
        <w:rPr>
          <w:rFonts w:ascii="Palatino Linotype" w:eastAsia="Palatino Linotype" w:hAnsi="Palatino Linotype" w:cs="Palatino Linotype"/>
        </w:rPr>
        <w:t>●</w:t>
      </w:r>
      <w:r w:rsidRPr="0048359C">
        <w:rPr>
          <w:rFonts w:ascii="Palatino Linotype" w:eastAsia="Palatino Linotype" w:hAnsi="Palatino Linotype" w:cs="Palatino Linotype"/>
        </w:rPr>
        <w:tab/>
        <w:t>La entidad federativa de nacimiento.</w:t>
      </w:r>
    </w:p>
    <w:p w14:paraId="7F06347F"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2C18F52F"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48359C">
        <w:rPr>
          <w:rFonts w:ascii="Palatino Linotype" w:eastAsia="Palatino Linotype" w:hAnsi="Palatino Linotype" w:cs="Palatino Linotype"/>
        </w:rPr>
        <w:t>Los dos últimos elementos de la Clave Única de Registro de Población evitan la duplicidad de la Clave y garantizan su correcta integración.</w:t>
      </w:r>
    </w:p>
    <w:p w14:paraId="5482C817"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38430727"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48359C">
        <w:rPr>
          <w:rFonts w:ascii="Palatino Linotype" w:eastAsia="Palatino Linotype" w:hAnsi="Palatino Linotype" w:cs="Palatino Linotype"/>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E76331D"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1793D879" w14:textId="1B7CB8FB"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48359C">
        <w:rPr>
          <w:rFonts w:ascii="Palatino Linotype" w:eastAsia="Palatino Linotype" w:hAnsi="Palatino Linotype" w:cs="Palatino Linotype"/>
        </w:rPr>
        <w:t>Situación que se robustece, con el Criterio Orientador, de la Segunda Época, con número de registro SO/018/2017, emitido por el</w:t>
      </w:r>
      <w:r w:rsidR="00001CDB" w:rsidRPr="0048359C">
        <w:rPr>
          <w:rFonts w:ascii="Palatino Linotype" w:eastAsia="Palatino Linotype" w:hAnsi="Palatino Linotype" w:cs="Palatino Linotype"/>
        </w:rPr>
        <w:t xml:space="preserve"> entonces</w:t>
      </w:r>
      <w:r w:rsidRPr="0048359C">
        <w:rPr>
          <w:rFonts w:ascii="Palatino Linotype" w:eastAsia="Palatino Linotype" w:hAnsi="Palatino Linotype" w:cs="Palatino Linotype"/>
        </w:rPr>
        <w:t xml:space="preserve"> Instituto Nacional de Transparencia, Acceso a la Información y Protección de Datos Personales, vigente a la fecha de la solicitud, que establece lo siguiente:</w:t>
      </w:r>
    </w:p>
    <w:p w14:paraId="1DE45407"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5B78619D" w14:textId="77777777" w:rsidR="00E50E40" w:rsidRPr="0048359C" w:rsidRDefault="00E50E40" w:rsidP="00E50E40">
      <w:pPr>
        <w:pBdr>
          <w:top w:val="nil"/>
          <w:left w:val="nil"/>
          <w:bottom w:val="nil"/>
          <w:right w:val="nil"/>
          <w:between w:val="nil"/>
        </w:pBdr>
        <w:spacing w:after="0"/>
        <w:ind w:left="567" w:right="426"/>
        <w:jc w:val="both"/>
        <w:rPr>
          <w:rFonts w:ascii="Palatino Linotype" w:eastAsia="Palatino Linotype" w:hAnsi="Palatino Linotype" w:cs="Palatino Linotype"/>
          <w:i/>
        </w:rPr>
      </w:pPr>
      <w:r w:rsidRPr="0048359C">
        <w:rPr>
          <w:rFonts w:ascii="Palatino Linotype" w:eastAsia="Palatino Linotype" w:hAnsi="Palatino Linotype" w:cs="Palatino Linotype"/>
          <w:i/>
        </w:rPr>
        <w:t xml:space="preserve">“Clave Única de Registro de Población (CURP).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445B268"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70DA089C"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48359C">
        <w:rPr>
          <w:rFonts w:ascii="Palatino Linotype" w:eastAsia="Palatino Linotype" w:hAnsi="Palatino Linotype" w:cs="Palatino Linotype"/>
        </w:rPr>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778937CA"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662E289B" w14:textId="77777777" w:rsidR="00E50E40" w:rsidRPr="0048359C" w:rsidRDefault="00E50E40" w:rsidP="00E50E40">
      <w:pPr>
        <w:pStyle w:val="Prrafodelista"/>
        <w:numPr>
          <w:ilvl w:val="0"/>
          <w:numId w:val="6"/>
        </w:numPr>
        <w:pBdr>
          <w:top w:val="nil"/>
          <w:left w:val="nil"/>
          <w:bottom w:val="nil"/>
          <w:right w:val="nil"/>
          <w:between w:val="nil"/>
        </w:pBdr>
        <w:spacing w:after="0" w:line="360" w:lineRule="auto"/>
        <w:ind w:right="-7"/>
        <w:jc w:val="both"/>
        <w:rPr>
          <w:rFonts w:ascii="Palatino Linotype" w:eastAsia="Palatino Linotype" w:hAnsi="Palatino Linotype" w:cs="Palatino Linotype"/>
          <w:b/>
        </w:rPr>
      </w:pPr>
      <w:r w:rsidRPr="0048359C">
        <w:rPr>
          <w:rFonts w:ascii="Palatino Linotype" w:eastAsia="Palatino Linotype" w:hAnsi="Palatino Linotype" w:cs="Palatino Linotype"/>
          <w:b/>
        </w:rPr>
        <w:t xml:space="preserve">Código bidimensional o Qr. </w:t>
      </w:r>
    </w:p>
    <w:p w14:paraId="13D8B5A0"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7BBC8381"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En principio, resulta necesario señalar que los comprobantes fiscales digitales por Internet, deben de incluir un código bidimensional conforme al formato QR Code (Quick Response Code), el cual contiene el Registro Federal de Contribuyentes del receptor, del emisor, o de ambos; lo anterior, conforme al Anexo 20 de la Segunda Resolución de modificación a la Resolución Miscelánea Fiscal. </w:t>
      </w:r>
    </w:p>
    <w:p w14:paraId="0A0DD78A"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50127D5B"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48359C">
        <w:rPr>
          <w:rFonts w:ascii="Palatino Linotype" w:eastAsia="Palatino Linotype" w:hAnsi="Palatino Linotype" w:cs="Palatino Linotype"/>
        </w:rPr>
        <w:t>Incluso con la captura de dicho código, a través de la aplicación móvil del Servicio de Administración Tributaria, permite el acceso al Registro Federal de Contribuyentes, como del Sujeto Obligado, como de los servidores públicos.</w:t>
      </w:r>
    </w:p>
    <w:p w14:paraId="705FFD0C"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2D7BB244"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48359C">
        <w:rPr>
          <w:rFonts w:ascii="Palatino Linotype" w:eastAsia="Palatino Linotype" w:hAnsi="Palatino Linotype" w:cs="Palatino Linotype"/>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7D72ACBF" w14:textId="77777777" w:rsidR="00E50E40" w:rsidRPr="0048359C" w:rsidRDefault="00E50E40" w:rsidP="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335A179E" w14:textId="77777777" w:rsidR="00E50E40" w:rsidRPr="0048359C" w:rsidRDefault="00E50E40" w:rsidP="00E50E40">
      <w:pPr>
        <w:pStyle w:val="Prrafodelista"/>
        <w:numPr>
          <w:ilvl w:val="0"/>
          <w:numId w:val="6"/>
        </w:numPr>
        <w:pBdr>
          <w:top w:val="nil"/>
          <w:left w:val="nil"/>
          <w:bottom w:val="nil"/>
          <w:right w:val="nil"/>
          <w:between w:val="nil"/>
        </w:pBdr>
        <w:spacing w:after="0" w:line="360" w:lineRule="auto"/>
        <w:ind w:right="-7"/>
        <w:jc w:val="both"/>
        <w:rPr>
          <w:rFonts w:ascii="Palatino Linotype" w:eastAsia="Palatino Linotype" w:hAnsi="Palatino Linotype" w:cs="Palatino Linotype"/>
          <w:b/>
        </w:rPr>
      </w:pPr>
      <w:r w:rsidRPr="0048359C">
        <w:rPr>
          <w:rFonts w:ascii="Palatino Linotype" w:eastAsia="Palatino Linotype" w:hAnsi="Palatino Linotype" w:cs="Palatino Linotype"/>
          <w:b/>
        </w:rPr>
        <w:t xml:space="preserve">Cadenas originales y sellos. </w:t>
      </w:r>
    </w:p>
    <w:p w14:paraId="2248E889" w14:textId="77777777" w:rsidR="00E50E40" w:rsidRPr="0048359C" w:rsidRDefault="00E50E40" w:rsidP="00E50E40">
      <w:pPr>
        <w:spacing w:before="100" w:beforeAutospacing="1" w:after="100" w:afterAutospacing="1" w:line="360" w:lineRule="auto"/>
        <w:jc w:val="both"/>
        <w:rPr>
          <w:rFonts w:ascii="Palatino Linotype" w:eastAsia="Calibri" w:hAnsi="Palatino Linotype" w:cs="Tahoma"/>
          <w:bCs/>
          <w:lang w:val="es-ES" w:eastAsia="en-US"/>
        </w:rPr>
      </w:pPr>
      <w:r w:rsidRPr="0048359C">
        <w:rPr>
          <w:rFonts w:ascii="Palatino Linotype" w:eastAsia="Calibri" w:hAnsi="Palatino Linotype" w:cs="Tahoma"/>
          <w:bCs/>
          <w:lang w:val="es-ES" w:eastAsia="en-US"/>
        </w:rPr>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620D84F8" w14:textId="77777777" w:rsidR="00E50E40" w:rsidRPr="0048359C" w:rsidRDefault="00E50E40" w:rsidP="00E50E40">
      <w:pPr>
        <w:spacing w:after="0" w:line="240" w:lineRule="auto"/>
        <w:ind w:left="567" w:right="992"/>
        <w:jc w:val="both"/>
        <w:rPr>
          <w:rFonts w:ascii="Palatino Linotype" w:eastAsia="Calibri" w:hAnsi="Palatino Linotype" w:cs="Tahoma"/>
          <w:bCs/>
          <w:i/>
          <w:lang w:val="es-ES" w:eastAsia="en-US"/>
        </w:rPr>
      </w:pPr>
      <w:r w:rsidRPr="0048359C">
        <w:rPr>
          <w:rFonts w:ascii="Palatino Linotype" w:eastAsia="Calibri" w:hAnsi="Palatino Linotype" w:cs="Tahoma"/>
          <w:bCs/>
          <w:i/>
          <w:lang w:val="es-ES" w:eastAsia="en-US"/>
        </w:rPr>
        <w:t>“Elementos utilizados en la generación de Sellos Digitales:</w:t>
      </w:r>
    </w:p>
    <w:p w14:paraId="3BB2F696" w14:textId="77777777" w:rsidR="00E50E40" w:rsidRPr="0048359C" w:rsidRDefault="00E50E40" w:rsidP="00E50E40">
      <w:pPr>
        <w:spacing w:after="0" w:line="240" w:lineRule="auto"/>
        <w:ind w:left="567" w:right="992"/>
        <w:jc w:val="both"/>
        <w:rPr>
          <w:rFonts w:ascii="Palatino Linotype" w:eastAsia="Calibri" w:hAnsi="Palatino Linotype" w:cs="Tahoma"/>
          <w:bCs/>
          <w:i/>
          <w:lang w:val="es-ES" w:eastAsia="en-US"/>
        </w:rPr>
      </w:pPr>
      <w:r w:rsidRPr="0048359C">
        <w:rPr>
          <w:rFonts w:ascii="Palatino Linotype" w:eastAsia="Calibri" w:hAnsi="Palatino Linotype" w:cs="Tahoma"/>
          <w:bCs/>
          <w:i/>
          <w:lang w:val="es-ES" w:eastAsia="en-US"/>
        </w:rPr>
        <w:t>•</w:t>
      </w:r>
      <w:r w:rsidRPr="0048359C">
        <w:rPr>
          <w:rFonts w:ascii="Palatino Linotype" w:eastAsia="Calibri" w:hAnsi="Palatino Linotype" w:cs="Tahoma"/>
          <w:bCs/>
          <w:i/>
          <w:lang w:val="es-ES" w:eastAsia="en-US"/>
        </w:rPr>
        <w:tab/>
        <w:t>Cadena Original, el elemento a sellar, en este caso de un comprobante fiscal digital a través de Internet.</w:t>
      </w:r>
    </w:p>
    <w:p w14:paraId="5BAA9FD3" w14:textId="77777777" w:rsidR="00E50E40" w:rsidRPr="0048359C" w:rsidRDefault="00E50E40" w:rsidP="00E50E40">
      <w:pPr>
        <w:spacing w:after="0" w:line="240" w:lineRule="auto"/>
        <w:ind w:left="567" w:right="992"/>
        <w:jc w:val="both"/>
        <w:rPr>
          <w:rFonts w:ascii="Palatino Linotype" w:eastAsia="Calibri" w:hAnsi="Palatino Linotype" w:cs="Tahoma"/>
          <w:bCs/>
          <w:i/>
          <w:lang w:val="es-ES" w:eastAsia="en-US"/>
        </w:rPr>
      </w:pPr>
      <w:r w:rsidRPr="0048359C">
        <w:rPr>
          <w:rFonts w:ascii="Palatino Linotype" w:eastAsia="Calibri" w:hAnsi="Palatino Linotype" w:cs="Tahoma"/>
          <w:bCs/>
          <w:i/>
          <w:lang w:val="es-ES" w:eastAsia="en-US"/>
        </w:rPr>
        <w:t>•</w:t>
      </w:r>
      <w:r w:rsidRPr="0048359C">
        <w:rPr>
          <w:rFonts w:ascii="Palatino Linotype" w:eastAsia="Calibri" w:hAnsi="Palatino Linotype" w:cs="Tahoma"/>
          <w:bCs/>
          <w:i/>
          <w:lang w:val="es-ES" w:eastAsia="en-US"/>
        </w:rPr>
        <w:tab/>
        <w:t>Certificado de Sello Digital y su correspondiente clave privada.</w:t>
      </w:r>
    </w:p>
    <w:p w14:paraId="3BC2387F" w14:textId="77777777" w:rsidR="00E50E40" w:rsidRPr="0048359C" w:rsidRDefault="00E50E40" w:rsidP="00E50E40">
      <w:pPr>
        <w:spacing w:after="0" w:line="240" w:lineRule="auto"/>
        <w:ind w:left="567" w:right="992"/>
        <w:jc w:val="both"/>
        <w:rPr>
          <w:rFonts w:ascii="Palatino Linotype" w:eastAsia="Calibri" w:hAnsi="Palatino Linotype" w:cs="Tahoma"/>
          <w:bCs/>
          <w:i/>
          <w:lang w:val="es-ES" w:eastAsia="en-US"/>
        </w:rPr>
      </w:pPr>
      <w:r w:rsidRPr="0048359C">
        <w:rPr>
          <w:rFonts w:ascii="Palatino Linotype" w:eastAsia="Calibri" w:hAnsi="Palatino Linotype" w:cs="Tahoma"/>
          <w:bCs/>
          <w:i/>
          <w:lang w:val="es-ES" w:eastAsia="en-US"/>
        </w:rPr>
        <w:t>•</w:t>
      </w:r>
      <w:r w:rsidRPr="0048359C">
        <w:rPr>
          <w:rFonts w:ascii="Palatino Linotype" w:eastAsia="Calibri" w:hAnsi="Palatino Linotype" w:cs="Tahoma"/>
          <w:bCs/>
          <w:i/>
          <w:lang w:val="es-ES" w:eastAsia="en-US"/>
        </w:rPr>
        <w:tab/>
        <w:t>Algoritmos de criptografía de clave pública para firma electrónica avanzada.</w:t>
      </w:r>
    </w:p>
    <w:p w14:paraId="24FE279F" w14:textId="77777777" w:rsidR="00E50E40" w:rsidRPr="0048359C" w:rsidRDefault="00E50E40" w:rsidP="00E50E40">
      <w:pPr>
        <w:spacing w:after="0" w:line="240" w:lineRule="auto"/>
        <w:ind w:left="567" w:right="992"/>
        <w:jc w:val="both"/>
        <w:rPr>
          <w:rFonts w:ascii="Palatino Linotype" w:eastAsia="Calibri" w:hAnsi="Palatino Linotype" w:cs="Tahoma"/>
          <w:bCs/>
          <w:i/>
          <w:lang w:val="es-ES" w:eastAsia="en-US"/>
        </w:rPr>
      </w:pPr>
      <w:r w:rsidRPr="0048359C">
        <w:rPr>
          <w:rFonts w:ascii="Palatino Linotype" w:eastAsia="Calibri" w:hAnsi="Palatino Linotype" w:cs="Tahoma"/>
          <w:bCs/>
          <w:i/>
          <w:lang w:val="es-ES" w:eastAsia="en-US"/>
        </w:rPr>
        <w:t>•</w:t>
      </w:r>
      <w:r w:rsidRPr="0048359C">
        <w:rPr>
          <w:rFonts w:ascii="Palatino Linotype" w:eastAsia="Calibri" w:hAnsi="Palatino Linotype" w:cs="Tahoma"/>
          <w:bCs/>
          <w:i/>
          <w:lang w:val="es-ES" w:eastAsia="en-US"/>
        </w:rPr>
        <w:tab/>
        <w:t>Especificaciones de conversión de la firma electrónica avanzada a Base 64.</w:t>
      </w:r>
    </w:p>
    <w:p w14:paraId="4542BD2D" w14:textId="77777777" w:rsidR="00E50E40" w:rsidRPr="0048359C" w:rsidRDefault="00E50E40" w:rsidP="00E50E40">
      <w:pPr>
        <w:spacing w:after="0" w:line="240" w:lineRule="auto"/>
        <w:ind w:left="567" w:right="992"/>
        <w:jc w:val="both"/>
        <w:rPr>
          <w:rFonts w:ascii="Palatino Linotype" w:eastAsia="Calibri" w:hAnsi="Palatino Linotype" w:cs="Tahoma"/>
          <w:bCs/>
          <w:i/>
          <w:lang w:val="es-ES" w:eastAsia="en-US"/>
        </w:rPr>
      </w:pPr>
      <w:r w:rsidRPr="0048359C">
        <w:rPr>
          <w:rFonts w:ascii="Palatino Linotype" w:eastAsia="Calibri" w:hAnsi="Palatino Linotype" w:cs="Tahoma"/>
          <w:bCs/>
          <w:i/>
          <w:lang w:val="es-ES" w:eastAsia="en-US"/>
        </w:rPr>
        <w:t>Para la generación de sellos digitales se utiliza criptografía de clave pública aplicada a una cadena original.</w:t>
      </w:r>
    </w:p>
    <w:p w14:paraId="2C604CF4" w14:textId="77777777" w:rsidR="00E50E40" w:rsidRPr="0048359C" w:rsidRDefault="00E50E40" w:rsidP="00E50E40">
      <w:pPr>
        <w:spacing w:after="0" w:line="240" w:lineRule="auto"/>
        <w:ind w:left="567" w:right="992"/>
        <w:jc w:val="both"/>
        <w:rPr>
          <w:rFonts w:ascii="Palatino Linotype" w:eastAsia="Calibri" w:hAnsi="Palatino Linotype" w:cs="Tahoma"/>
          <w:bCs/>
          <w:i/>
          <w:lang w:val="es-ES" w:eastAsia="en-US"/>
        </w:rPr>
      </w:pPr>
      <w:r w:rsidRPr="0048359C">
        <w:rPr>
          <w:rFonts w:ascii="Palatino Linotype" w:eastAsia="Calibri" w:hAnsi="Palatino Linotype" w:cs="Tahoma"/>
          <w:bCs/>
          <w:i/>
          <w:lang w:val="es-ES" w:eastAsia="en-US"/>
        </w:rPr>
        <w:t>Criptografía de la Clave Pública</w:t>
      </w:r>
    </w:p>
    <w:p w14:paraId="0574EBCF" w14:textId="77777777" w:rsidR="00E50E40" w:rsidRPr="0048359C" w:rsidRDefault="00E50E40" w:rsidP="00E50E40">
      <w:pPr>
        <w:spacing w:after="0" w:line="240" w:lineRule="auto"/>
        <w:ind w:left="567" w:right="992"/>
        <w:jc w:val="both"/>
        <w:rPr>
          <w:rFonts w:ascii="Palatino Linotype" w:eastAsia="Calibri" w:hAnsi="Palatino Linotype" w:cs="Tahoma"/>
          <w:bCs/>
          <w:i/>
          <w:lang w:val="es-ES" w:eastAsia="en-US"/>
        </w:rPr>
      </w:pPr>
      <w:r w:rsidRPr="0048359C">
        <w:rPr>
          <w:rFonts w:ascii="Palatino Linotype" w:eastAsia="Calibri" w:hAnsi="Palatino Linotype" w:cs="Tahoma"/>
          <w:bCs/>
          <w:i/>
          <w:lang w:val="es-ES" w:eastAsia="en-U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71871C65" w14:textId="7BBFE0AB" w:rsidR="00E50E40" w:rsidRPr="0048359C" w:rsidRDefault="00E50E40" w:rsidP="00E50E40">
      <w:pPr>
        <w:spacing w:before="100" w:beforeAutospacing="1" w:after="100" w:afterAutospacing="1" w:line="360" w:lineRule="auto"/>
        <w:jc w:val="both"/>
        <w:rPr>
          <w:rFonts w:ascii="Palatino Linotype" w:eastAsia="Calibri" w:hAnsi="Palatino Linotype" w:cs="Tahoma"/>
          <w:bCs/>
          <w:lang w:val="es-ES" w:eastAsia="en-US"/>
        </w:rPr>
      </w:pPr>
      <w:r w:rsidRPr="0048359C">
        <w:rPr>
          <w:rFonts w:ascii="Palatino Linotype" w:eastAsia="Calibri" w:hAnsi="Palatino Linotype" w:cs="Tahoma"/>
          <w:bCs/>
          <w:lang w:val="es-ES" w:eastAsia="en-US"/>
        </w:rPr>
        <w:t xml:space="preserve">Es decir, por sí solos las cadenas originales y los sellos originales </w:t>
      </w:r>
      <w:r w:rsidR="003E14CF" w:rsidRPr="0048359C">
        <w:rPr>
          <w:rFonts w:ascii="Palatino Linotype" w:eastAsia="Calibri" w:hAnsi="Palatino Linotype" w:cs="Tahoma"/>
          <w:bCs/>
          <w:lang w:val="es-ES" w:eastAsia="en-US"/>
        </w:rPr>
        <w:t xml:space="preserve">pueden o no contener </w:t>
      </w:r>
      <w:r w:rsidRPr="0048359C">
        <w:rPr>
          <w:rFonts w:ascii="Palatino Linotype" w:eastAsia="Calibri" w:hAnsi="Palatino Linotype" w:cs="Tahoma"/>
          <w:bCs/>
          <w:lang w:val="es-ES" w:eastAsia="en-US"/>
        </w:rPr>
        <w:t xml:space="preserve">datos personales confidenciales, por lo que se considera que </w:t>
      </w:r>
      <w:r w:rsidR="003E14CF" w:rsidRPr="0048359C">
        <w:rPr>
          <w:rFonts w:ascii="Palatino Linotype" w:eastAsia="Calibri" w:hAnsi="Palatino Linotype" w:cs="Tahoma"/>
          <w:b/>
          <w:bCs/>
          <w:lang w:val="es-ES" w:eastAsia="en-US"/>
        </w:rPr>
        <w:t>el Sujeto Obligado deberá analizar la conformación de este dato para determinar si su composición</w:t>
      </w:r>
      <w:r w:rsidRPr="0048359C">
        <w:rPr>
          <w:rFonts w:ascii="Palatino Linotype" w:eastAsia="Calibri" w:hAnsi="Palatino Linotype" w:cs="Tahoma"/>
          <w:b/>
          <w:bCs/>
          <w:lang w:val="es-ES" w:eastAsia="en-US"/>
        </w:rPr>
        <w:t xml:space="preserve"> actualiza</w:t>
      </w:r>
      <w:r w:rsidR="003E14CF" w:rsidRPr="0048359C">
        <w:rPr>
          <w:rFonts w:ascii="Palatino Linotype" w:eastAsia="Calibri" w:hAnsi="Palatino Linotype" w:cs="Tahoma"/>
          <w:b/>
          <w:bCs/>
          <w:lang w:val="es-ES" w:eastAsia="en-US"/>
        </w:rPr>
        <w:t xml:space="preserve"> un</w:t>
      </w:r>
      <w:r w:rsidRPr="0048359C">
        <w:rPr>
          <w:rFonts w:ascii="Palatino Linotype" w:eastAsia="Calibri" w:hAnsi="Palatino Linotype" w:cs="Tahoma"/>
          <w:b/>
          <w:bCs/>
          <w:lang w:val="es-ES" w:eastAsia="en-US"/>
        </w:rPr>
        <w:t xml:space="preserve"> supuesto de confidencialidad</w:t>
      </w:r>
      <w:r w:rsidRPr="0048359C">
        <w:rPr>
          <w:rFonts w:ascii="Palatino Linotype" w:eastAsia="Calibri" w:hAnsi="Palatino Linotype" w:cs="Tahoma"/>
          <w:bCs/>
          <w:lang w:val="es-ES" w:eastAsia="en-US"/>
        </w:rPr>
        <w:t xml:space="preserve"> previsto en el artículo 143, fracción I, de la Ley de Transparencia y Acceso a la Información Pública de</w:t>
      </w:r>
      <w:r w:rsidR="003E14CF" w:rsidRPr="0048359C">
        <w:rPr>
          <w:rFonts w:ascii="Palatino Linotype" w:eastAsia="Calibri" w:hAnsi="Palatino Linotype" w:cs="Tahoma"/>
          <w:bCs/>
          <w:lang w:val="es-ES" w:eastAsia="en-US"/>
        </w:rPr>
        <w:t xml:space="preserve">l Estado de México y Municipios y, en su caso deberá fundamentar y motivar dicha situación mediante su acuerdo de clasificación. </w:t>
      </w:r>
    </w:p>
    <w:p w14:paraId="6759315F" w14:textId="77777777" w:rsidR="00E50E40" w:rsidRPr="0048359C" w:rsidRDefault="00E50E40" w:rsidP="00E50E40">
      <w:pPr>
        <w:numPr>
          <w:ilvl w:val="0"/>
          <w:numId w:val="7"/>
        </w:numPr>
        <w:spacing w:after="0" w:line="240" w:lineRule="auto"/>
        <w:contextualSpacing/>
        <w:jc w:val="both"/>
        <w:rPr>
          <w:rFonts w:ascii="Palatino Linotype" w:eastAsia="Calibri" w:hAnsi="Palatino Linotype" w:cs="Tahoma"/>
          <w:b/>
          <w:bCs/>
          <w:lang w:val="es-ES" w:eastAsia="en-US"/>
        </w:rPr>
      </w:pPr>
      <w:r w:rsidRPr="0048359C">
        <w:rPr>
          <w:rFonts w:ascii="Palatino Linotype" w:eastAsia="Calibri" w:hAnsi="Palatino Linotype" w:cs="Tahoma"/>
          <w:b/>
          <w:bCs/>
          <w:lang w:val="es-ES" w:eastAsia="en-US"/>
        </w:rPr>
        <w:t xml:space="preserve">Número de serie del emisor y/o CSD y </w:t>
      </w:r>
      <w:r w:rsidRPr="0048359C">
        <w:rPr>
          <w:rFonts w:ascii="Palatino Linotype" w:hAnsi="Palatino Linotype"/>
          <w:b/>
          <w:noProof/>
        </w:rPr>
        <w:t>número de certificado del SAT</w:t>
      </w:r>
    </w:p>
    <w:p w14:paraId="63C7EBE4" w14:textId="77777777" w:rsidR="00E50E40" w:rsidRPr="0048359C" w:rsidRDefault="00E50E40" w:rsidP="00E50E40">
      <w:pPr>
        <w:spacing w:after="0" w:line="360" w:lineRule="auto"/>
        <w:contextualSpacing/>
        <w:jc w:val="both"/>
        <w:rPr>
          <w:rFonts w:ascii="Palatino Linotype" w:eastAsia="Calibri" w:hAnsi="Palatino Linotype" w:cs="Tahoma"/>
          <w:b/>
          <w:bCs/>
          <w:lang w:val="es-ES" w:eastAsia="en-US"/>
        </w:rPr>
      </w:pPr>
    </w:p>
    <w:p w14:paraId="07B176A1" w14:textId="77777777" w:rsidR="00E50E40" w:rsidRPr="0048359C" w:rsidRDefault="00E50E40" w:rsidP="00E50E40">
      <w:pPr>
        <w:spacing w:after="0" w:line="360" w:lineRule="auto"/>
        <w:jc w:val="both"/>
        <w:rPr>
          <w:rFonts w:ascii="Palatino Linotype" w:eastAsia="Calibri" w:hAnsi="Palatino Linotype" w:cs="Tahoma"/>
          <w:bCs/>
          <w:lang w:val="es-ES" w:eastAsia="en-US"/>
        </w:rPr>
      </w:pPr>
      <w:r w:rsidRPr="0048359C">
        <w:rPr>
          <w:rFonts w:ascii="Palatino Linotype" w:eastAsia="Calibri" w:hAnsi="Palatino Linotype" w:cs="Tahoma"/>
          <w:bCs/>
          <w:lang w:val="es-ES" w:eastAsia="en-U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en la página </w:t>
      </w:r>
      <w:hyperlink r:id="rId11" w:history="1">
        <w:r w:rsidRPr="0048359C">
          <w:rPr>
            <w:rFonts w:ascii="Palatino Linotype" w:eastAsia="Calibri" w:hAnsi="Palatino Linotype" w:cs="Tahoma"/>
            <w:bCs/>
            <w:lang w:eastAsia="en-US"/>
          </w:rPr>
          <w:t>https://portalanterior.ine.mx/archivos2/tutoriales/sistemas/ApoyoInstitucional/SIF/docs/candidatos/folioFiscalFactura.pdf</w:t>
        </w:r>
      </w:hyperlink>
      <w:r w:rsidRPr="0048359C">
        <w:rPr>
          <w:rFonts w:ascii="Palatino Linotype" w:eastAsia="Calibri" w:hAnsi="Palatino Linotype" w:cs="Tahoma"/>
          <w:bCs/>
          <w:lang w:val="es-ES" w:eastAsia="en-US"/>
        </w:rPr>
        <w:t>, en la cual se advierte que únicamente se encuentra conformado por números, se muestra a continuación:</w:t>
      </w:r>
    </w:p>
    <w:p w14:paraId="3E20A813" w14:textId="77777777" w:rsidR="00E50E40" w:rsidRPr="0048359C" w:rsidRDefault="00E50E40" w:rsidP="00E50E40">
      <w:pPr>
        <w:spacing w:before="100" w:beforeAutospacing="1" w:after="100" w:afterAutospacing="1" w:line="360" w:lineRule="auto"/>
        <w:jc w:val="center"/>
        <w:rPr>
          <w:rFonts w:ascii="Palatino Linotype" w:eastAsia="Calibri" w:hAnsi="Palatino Linotype" w:cs="Tahoma"/>
          <w:bCs/>
          <w:lang w:val="es-ES" w:eastAsia="en-US"/>
        </w:rPr>
      </w:pPr>
      <w:r w:rsidRPr="0048359C">
        <w:rPr>
          <w:noProof/>
        </w:rPr>
        <mc:AlternateContent>
          <mc:Choice Requires="wps">
            <w:drawing>
              <wp:anchor distT="0" distB="0" distL="114300" distR="114300" simplePos="0" relativeHeight="251659264" behindDoc="0" locked="0" layoutInCell="1" allowOverlap="1" wp14:anchorId="6D030D41" wp14:editId="2920668F">
                <wp:simplePos x="0" y="0"/>
                <wp:positionH relativeFrom="column">
                  <wp:posOffset>315595</wp:posOffset>
                </wp:positionH>
                <wp:positionV relativeFrom="paragraph">
                  <wp:posOffset>837565</wp:posOffset>
                </wp:positionV>
                <wp:extent cx="3457575" cy="219075"/>
                <wp:effectExtent l="19050" t="19050" r="28575" b="28575"/>
                <wp:wrapNone/>
                <wp:docPr id="36" name="Rectángulo 3"/>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EC2DB08" id="Rectángulo 3" o:spid="_x0000_s1026" style="position:absolute;margin-left:24.8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" filled="f" strokecolor="windowText" strokeweight="2.25pt"/>
            </w:pict>
          </mc:Fallback>
        </mc:AlternateContent>
      </w:r>
      <w:r w:rsidRPr="0048359C">
        <w:rPr>
          <w:rFonts w:ascii="Palatino Linotype" w:hAnsi="Palatino Linotype"/>
          <w:noProof/>
        </w:rPr>
        <w:drawing>
          <wp:inline distT="0" distB="0" distL="0" distR="0" wp14:anchorId="5B0B3DCF" wp14:editId="594F2170">
            <wp:extent cx="5191125" cy="1009650"/>
            <wp:effectExtent l="0" t="0" r="9525"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91125" cy="1009650"/>
                    </a:xfrm>
                    <a:prstGeom prst="rect">
                      <a:avLst/>
                    </a:prstGeom>
                    <a:noFill/>
                    <a:ln>
                      <a:noFill/>
                    </a:ln>
                  </pic:spPr>
                </pic:pic>
              </a:graphicData>
            </a:graphic>
          </wp:inline>
        </w:drawing>
      </w:r>
    </w:p>
    <w:p w14:paraId="05DCB37A" w14:textId="77777777" w:rsidR="00E50E40" w:rsidRPr="0048359C" w:rsidRDefault="00E50E40" w:rsidP="00E50E40">
      <w:pPr>
        <w:spacing w:before="100" w:beforeAutospacing="1" w:after="100" w:afterAutospacing="1" w:line="360" w:lineRule="auto"/>
        <w:jc w:val="both"/>
        <w:rPr>
          <w:rFonts w:ascii="Palatino Linotype" w:eastAsia="Calibri" w:hAnsi="Palatino Linotype" w:cs="Tahoma"/>
          <w:bCs/>
          <w:lang w:val="es-ES" w:eastAsia="en-US"/>
        </w:rPr>
      </w:pPr>
      <w:r w:rsidRPr="0048359C">
        <w:rPr>
          <w:rFonts w:ascii="Palatino Linotype" w:eastAsia="Calibri" w:hAnsi="Palatino Linotype" w:cs="Tahoma"/>
          <w:bCs/>
          <w:lang w:val="es-ES" w:eastAsia="en-US"/>
        </w:rPr>
        <w:t>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los CDFI, pues amparan la utilización de los certificados de sellos digitales válidos</w:t>
      </w:r>
    </w:p>
    <w:p w14:paraId="7EDE093D" w14:textId="77777777" w:rsidR="00FC105E" w:rsidRPr="0048359C" w:rsidRDefault="00E50E40">
      <w:pPr>
        <w:pBdr>
          <w:top w:val="nil"/>
          <w:left w:val="nil"/>
          <w:bottom w:val="nil"/>
          <w:right w:val="nil"/>
          <w:between w:val="nil"/>
        </w:pBdr>
        <w:spacing w:after="0" w:line="360" w:lineRule="auto"/>
        <w:ind w:right="-7"/>
        <w:jc w:val="both"/>
        <w:rPr>
          <w:rFonts w:ascii="Palatino Linotype" w:eastAsia="Palatino Linotype" w:hAnsi="Palatino Linotype" w:cs="Palatino Linotype"/>
          <w:b/>
        </w:rPr>
      </w:pPr>
      <w:r w:rsidRPr="0048359C">
        <w:rPr>
          <w:rFonts w:ascii="Palatino Linotype" w:eastAsia="Palatino Linotype" w:hAnsi="Palatino Linotype" w:cs="Palatino Linotype"/>
        </w:rPr>
        <w:t xml:space="preserve">De lo anterior, se advierte que el Sujeto Obligado clasificó información susceptible de ser clasificada, no obstante, también restringió el acceso a datos que no actualizan alguna causal de clasificación, como lo es, el </w:t>
      </w:r>
      <w:r w:rsidRPr="0048359C">
        <w:rPr>
          <w:rFonts w:ascii="Palatino Linotype" w:eastAsia="Palatino Linotype" w:hAnsi="Palatino Linotype" w:cs="Palatino Linotype"/>
          <w:b/>
        </w:rPr>
        <w:t>número de serie del emisor y el</w:t>
      </w:r>
      <w:r w:rsidR="00CA04D0" w:rsidRPr="0048359C">
        <w:rPr>
          <w:rFonts w:ascii="Palatino Linotype" w:eastAsia="Palatino Linotype" w:hAnsi="Palatino Linotype" w:cs="Palatino Linotype"/>
          <w:b/>
        </w:rPr>
        <w:t xml:space="preserve"> número de certificado del SAT, así como, las cadenas originales y sellos</w:t>
      </w:r>
      <w:r w:rsidR="00FC105E" w:rsidRPr="0048359C">
        <w:rPr>
          <w:rFonts w:ascii="Palatino Linotype" w:eastAsia="Palatino Linotype" w:hAnsi="Palatino Linotype" w:cs="Palatino Linotype"/>
          <w:b/>
        </w:rPr>
        <w:t xml:space="preserve">. </w:t>
      </w:r>
    </w:p>
    <w:p w14:paraId="40E5FC48" w14:textId="77777777" w:rsidR="00F62279" w:rsidRPr="0048359C" w:rsidRDefault="00F62279">
      <w:pPr>
        <w:pBdr>
          <w:top w:val="nil"/>
          <w:left w:val="nil"/>
          <w:bottom w:val="nil"/>
          <w:right w:val="nil"/>
          <w:between w:val="nil"/>
        </w:pBdr>
        <w:spacing w:after="0" w:line="360" w:lineRule="auto"/>
        <w:ind w:right="-7"/>
        <w:jc w:val="both"/>
        <w:rPr>
          <w:rFonts w:ascii="Palatino Linotype" w:eastAsia="Palatino Linotype" w:hAnsi="Palatino Linotype" w:cs="Palatino Linotype"/>
          <w:b/>
        </w:rPr>
      </w:pPr>
    </w:p>
    <w:p w14:paraId="7810EDA4" w14:textId="77777777" w:rsidR="00FC105E" w:rsidRPr="0048359C" w:rsidRDefault="00FC105E">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Aunado a ello, del análisis del acuerdo de clasificación remitido se advierte que este no cumplió con todas </w:t>
      </w:r>
      <w:r w:rsidR="007C6E7D" w:rsidRPr="0048359C">
        <w:rPr>
          <w:rFonts w:ascii="Palatino Linotype" w:eastAsia="Palatino Linotype" w:hAnsi="Palatino Linotype" w:cs="Palatino Linotype"/>
        </w:rPr>
        <w:t>las fo</w:t>
      </w:r>
      <w:r w:rsidR="0037689E" w:rsidRPr="0048359C">
        <w:rPr>
          <w:rFonts w:ascii="Palatino Linotype" w:eastAsia="Palatino Linotype" w:hAnsi="Palatino Linotype" w:cs="Palatino Linotype"/>
        </w:rPr>
        <w:t xml:space="preserve">rmalidades exigidas por la Ley –como fundamentar y motivar las razones por las cuáles llevó a cabo la clasificación de distintos datos- </w:t>
      </w:r>
      <w:r w:rsidR="007C6E7D" w:rsidRPr="0048359C">
        <w:rPr>
          <w:rFonts w:ascii="Palatino Linotype" w:eastAsia="Palatino Linotype" w:hAnsi="Palatino Linotype" w:cs="Palatino Linotype"/>
        </w:rPr>
        <w:t xml:space="preserve">por lo que, se lleva a cabo este análisis al tenor de lo siguiente: </w:t>
      </w:r>
    </w:p>
    <w:p w14:paraId="3C799B06" w14:textId="77777777" w:rsidR="007C6E7D" w:rsidRPr="0048359C" w:rsidRDefault="007C6E7D">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tbl>
      <w:tblPr>
        <w:tblStyle w:val="Tablaconcuadrcula1"/>
        <w:tblW w:w="9067" w:type="dxa"/>
        <w:tblLayout w:type="fixed"/>
        <w:tblLook w:val="04A0" w:firstRow="1" w:lastRow="0" w:firstColumn="1" w:lastColumn="0" w:noHBand="0" w:noVBand="1"/>
      </w:tblPr>
      <w:tblGrid>
        <w:gridCol w:w="1548"/>
        <w:gridCol w:w="7"/>
        <w:gridCol w:w="6013"/>
        <w:gridCol w:w="1499"/>
      </w:tblGrid>
      <w:tr w:rsidR="00D67F1C" w:rsidRPr="0048359C" w14:paraId="14E013F0" w14:textId="77777777" w:rsidTr="007D1CE6">
        <w:trPr>
          <w:trHeight w:val="569"/>
        </w:trPr>
        <w:tc>
          <w:tcPr>
            <w:tcW w:w="1548" w:type="dxa"/>
            <w:shd w:val="clear" w:color="auto" w:fill="E7E6E6" w:themeFill="background2"/>
          </w:tcPr>
          <w:p w14:paraId="203D0521" w14:textId="77777777" w:rsidR="007C6E7D" w:rsidRPr="0048359C" w:rsidRDefault="007C6E7D" w:rsidP="007D1CE6">
            <w:pPr>
              <w:spacing w:before="100"/>
              <w:jc w:val="center"/>
              <w:rPr>
                <w:rFonts w:ascii="Palatino Linotype" w:hAnsi="Palatino Linotype"/>
                <w:b/>
                <w:sz w:val="18"/>
                <w:szCs w:val="18"/>
              </w:rPr>
            </w:pPr>
            <w:r w:rsidRPr="0048359C">
              <w:rPr>
                <w:rFonts w:ascii="Palatino Linotype" w:hAnsi="Palatino Linotype"/>
                <w:b/>
                <w:sz w:val="18"/>
                <w:szCs w:val="18"/>
              </w:rPr>
              <w:t>Elementos del acuerdo de clasificación</w:t>
            </w:r>
          </w:p>
        </w:tc>
        <w:tc>
          <w:tcPr>
            <w:tcW w:w="6020" w:type="dxa"/>
            <w:gridSpan w:val="2"/>
            <w:shd w:val="clear" w:color="auto" w:fill="E7E6E6" w:themeFill="background2"/>
          </w:tcPr>
          <w:p w14:paraId="5FFA958F" w14:textId="77777777" w:rsidR="007C6E7D" w:rsidRPr="0048359C" w:rsidRDefault="007C6E7D" w:rsidP="007D1CE6">
            <w:pPr>
              <w:spacing w:before="100"/>
              <w:jc w:val="center"/>
              <w:rPr>
                <w:rFonts w:ascii="Palatino Linotype" w:hAnsi="Palatino Linotype"/>
                <w:b/>
                <w:sz w:val="18"/>
                <w:szCs w:val="18"/>
              </w:rPr>
            </w:pPr>
            <w:r w:rsidRPr="0048359C">
              <w:rPr>
                <w:rFonts w:ascii="Palatino Linotype" w:hAnsi="Palatino Linotype"/>
                <w:b/>
                <w:sz w:val="18"/>
                <w:szCs w:val="18"/>
              </w:rPr>
              <w:t>Contenido</w:t>
            </w:r>
          </w:p>
        </w:tc>
        <w:tc>
          <w:tcPr>
            <w:tcW w:w="1499" w:type="dxa"/>
            <w:shd w:val="clear" w:color="auto" w:fill="E7E6E6" w:themeFill="background2"/>
          </w:tcPr>
          <w:p w14:paraId="2B486F3C" w14:textId="77777777" w:rsidR="007C6E7D" w:rsidRPr="0048359C" w:rsidRDefault="007C6E7D" w:rsidP="007D1CE6">
            <w:pPr>
              <w:spacing w:before="100"/>
              <w:jc w:val="center"/>
              <w:rPr>
                <w:rFonts w:ascii="Palatino Linotype" w:hAnsi="Palatino Linotype"/>
                <w:b/>
                <w:sz w:val="18"/>
                <w:szCs w:val="18"/>
              </w:rPr>
            </w:pPr>
            <w:r w:rsidRPr="0048359C">
              <w:rPr>
                <w:rFonts w:ascii="Palatino Linotype" w:hAnsi="Palatino Linotype"/>
                <w:b/>
                <w:sz w:val="18"/>
                <w:szCs w:val="18"/>
              </w:rPr>
              <w:t>¿Cumple?</w:t>
            </w:r>
          </w:p>
        </w:tc>
      </w:tr>
      <w:tr w:rsidR="00D67F1C" w:rsidRPr="0048359C" w14:paraId="720589B4" w14:textId="77777777" w:rsidTr="007D1CE6">
        <w:tc>
          <w:tcPr>
            <w:tcW w:w="1548" w:type="dxa"/>
          </w:tcPr>
          <w:p w14:paraId="73698812" w14:textId="77777777" w:rsidR="007C6E7D" w:rsidRPr="0048359C" w:rsidRDefault="007C6E7D" w:rsidP="007D1CE6">
            <w:pPr>
              <w:spacing w:before="100"/>
              <w:jc w:val="center"/>
              <w:rPr>
                <w:rFonts w:ascii="Palatino Linotype" w:hAnsi="Palatino Linotype"/>
                <w:sz w:val="18"/>
                <w:szCs w:val="18"/>
              </w:rPr>
            </w:pPr>
            <w:r w:rsidRPr="0048359C">
              <w:rPr>
                <w:rFonts w:ascii="Palatino Linotype" w:hAnsi="Palatino Linotype"/>
                <w:b/>
                <w:sz w:val="18"/>
                <w:szCs w:val="18"/>
              </w:rPr>
              <w:t>Número de folio de la solicitud</w:t>
            </w:r>
          </w:p>
        </w:tc>
        <w:tc>
          <w:tcPr>
            <w:tcW w:w="6020" w:type="dxa"/>
            <w:gridSpan w:val="2"/>
          </w:tcPr>
          <w:p w14:paraId="329608FC" w14:textId="77777777" w:rsidR="007C6E7D" w:rsidRPr="0048359C" w:rsidRDefault="007C6E7D" w:rsidP="007C6E7D">
            <w:pPr>
              <w:spacing w:before="100"/>
              <w:jc w:val="center"/>
              <w:rPr>
                <w:rFonts w:ascii="Calibri" w:hAnsi="Calibri"/>
                <w:sz w:val="20"/>
                <w:szCs w:val="20"/>
              </w:rPr>
            </w:pPr>
            <w:r w:rsidRPr="0048359C">
              <w:rPr>
                <w:noProof/>
                <w:sz w:val="20"/>
                <w:szCs w:val="20"/>
              </w:rPr>
              <w:drawing>
                <wp:inline distT="0" distB="0" distL="0" distR="0" wp14:anchorId="4BC2AD76" wp14:editId="068577AA">
                  <wp:extent cx="3514725" cy="1539963"/>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29264" cy="1546333"/>
                          </a:xfrm>
                          <a:prstGeom prst="rect">
                            <a:avLst/>
                          </a:prstGeom>
                        </pic:spPr>
                      </pic:pic>
                    </a:graphicData>
                  </a:graphic>
                </wp:inline>
              </w:drawing>
            </w:r>
          </w:p>
        </w:tc>
        <w:tc>
          <w:tcPr>
            <w:tcW w:w="1499" w:type="dxa"/>
          </w:tcPr>
          <w:p w14:paraId="40E37B7F" w14:textId="77777777" w:rsidR="007C6E7D" w:rsidRPr="0048359C" w:rsidRDefault="007C6E7D" w:rsidP="007D1CE6">
            <w:pPr>
              <w:spacing w:before="100"/>
              <w:jc w:val="center"/>
              <w:rPr>
                <w:rFonts w:ascii="Palatino Linotype" w:hAnsi="Palatino Linotype"/>
                <w:b/>
                <w:sz w:val="22"/>
                <w:szCs w:val="22"/>
              </w:rPr>
            </w:pPr>
            <w:r w:rsidRPr="0048359C">
              <w:rPr>
                <w:rFonts w:ascii="Palatino Linotype" w:hAnsi="Palatino Linotype"/>
                <w:b/>
                <w:sz w:val="22"/>
                <w:szCs w:val="22"/>
              </w:rPr>
              <w:t>Sí</w:t>
            </w:r>
          </w:p>
        </w:tc>
      </w:tr>
      <w:tr w:rsidR="00D67F1C" w:rsidRPr="0048359C" w14:paraId="6BC90FE5" w14:textId="77777777" w:rsidTr="007D1CE6">
        <w:tc>
          <w:tcPr>
            <w:tcW w:w="1548" w:type="dxa"/>
          </w:tcPr>
          <w:p w14:paraId="5980C509" w14:textId="77777777" w:rsidR="007C6E7D" w:rsidRPr="0048359C" w:rsidRDefault="007C6E7D" w:rsidP="007D1CE6">
            <w:pPr>
              <w:spacing w:before="100"/>
              <w:jc w:val="center"/>
              <w:rPr>
                <w:rFonts w:ascii="Palatino Linotype" w:hAnsi="Palatino Linotype"/>
                <w:sz w:val="18"/>
                <w:szCs w:val="18"/>
              </w:rPr>
            </w:pPr>
            <w:r w:rsidRPr="0048359C">
              <w:rPr>
                <w:rFonts w:ascii="Palatino Linotype" w:hAnsi="Palatino Linotype"/>
                <w:b/>
                <w:sz w:val="18"/>
                <w:szCs w:val="18"/>
              </w:rPr>
              <w:t>Referencia de la información solicitada</w:t>
            </w:r>
          </w:p>
        </w:tc>
        <w:tc>
          <w:tcPr>
            <w:tcW w:w="6020" w:type="dxa"/>
            <w:gridSpan w:val="2"/>
          </w:tcPr>
          <w:p w14:paraId="3C13D3D8" w14:textId="77777777" w:rsidR="007C6E7D" w:rsidRPr="0048359C" w:rsidRDefault="007C6E7D" w:rsidP="007D1CE6">
            <w:pPr>
              <w:spacing w:before="100"/>
              <w:jc w:val="center"/>
              <w:rPr>
                <w:rFonts w:ascii="Palatino Linotype" w:hAnsi="Palatino Linotype"/>
              </w:rPr>
            </w:pPr>
            <w:r w:rsidRPr="0048359C">
              <w:rPr>
                <w:rFonts w:ascii="Palatino Linotype" w:hAnsi="Palatino Linotype"/>
                <w:noProof/>
              </w:rPr>
              <w:drawing>
                <wp:inline distT="0" distB="0" distL="0" distR="0" wp14:anchorId="494C6888" wp14:editId="135316F4">
                  <wp:extent cx="3685540" cy="13042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85540" cy="1304290"/>
                          </a:xfrm>
                          <a:prstGeom prst="rect">
                            <a:avLst/>
                          </a:prstGeom>
                        </pic:spPr>
                      </pic:pic>
                    </a:graphicData>
                  </a:graphic>
                </wp:inline>
              </w:drawing>
            </w:r>
          </w:p>
        </w:tc>
        <w:tc>
          <w:tcPr>
            <w:tcW w:w="1499" w:type="dxa"/>
          </w:tcPr>
          <w:p w14:paraId="5FB2DCAF" w14:textId="77777777" w:rsidR="007C6E7D" w:rsidRPr="0048359C" w:rsidRDefault="007C6E7D" w:rsidP="007D1CE6">
            <w:pPr>
              <w:spacing w:before="100"/>
              <w:jc w:val="center"/>
              <w:rPr>
                <w:rFonts w:ascii="Palatino Linotype" w:hAnsi="Palatino Linotype"/>
                <w:b/>
                <w:sz w:val="22"/>
                <w:szCs w:val="22"/>
              </w:rPr>
            </w:pPr>
            <w:r w:rsidRPr="0048359C">
              <w:rPr>
                <w:rFonts w:ascii="Palatino Linotype" w:hAnsi="Palatino Linotype"/>
                <w:b/>
                <w:sz w:val="22"/>
                <w:szCs w:val="22"/>
              </w:rPr>
              <w:t>No</w:t>
            </w:r>
          </w:p>
        </w:tc>
      </w:tr>
      <w:tr w:rsidR="00D67F1C" w:rsidRPr="0048359C" w14:paraId="1F366333" w14:textId="77777777" w:rsidTr="007D1CE6">
        <w:tc>
          <w:tcPr>
            <w:tcW w:w="1548" w:type="dxa"/>
          </w:tcPr>
          <w:p w14:paraId="1B73BABB" w14:textId="77777777" w:rsidR="007C6E7D" w:rsidRPr="0048359C" w:rsidRDefault="007C6E7D" w:rsidP="007D1CE6">
            <w:pPr>
              <w:spacing w:before="100"/>
              <w:jc w:val="center"/>
              <w:rPr>
                <w:rFonts w:ascii="Palatino Linotype" w:hAnsi="Palatino Linotype"/>
                <w:b/>
                <w:sz w:val="18"/>
                <w:szCs w:val="18"/>
              </w:rPr>
            </w:pPr>
            <w:r w:rsidRPr="0048359C">
              <w:rPr>
                <w:rFonts w:ascii="Palatino Linotype" w:hAnsi="Palatino Linotype"/>
                <w:b/>
                <w:sz w:val="18"/>
                <w:szCs w:val="18"/>
              </w:rPr>
              <w:t>Artículo, fracción, inciso, párrafo o numeral de la ley que le otorga el carácter de confidencial.</w:t>
            </w:r>
          </w:p>
        </w:tc>
        <w:tc>
          <w:tcPr>
            <w:tcW w:w="6020" w:type="dxa"/>
            <w:gridSpan w:val="2"/>
          </w:tcPr>
          <w:p w14:paraId="41CF5932" w14:textId="77777777" w:rsidR="007C6E7D" w:rsidRPr="0048359C" w:rsidRDefault="007C6E7D" w:rsidP="007D1CE6">
            <w:pPr>
              <w:spacing w:before="100"/>
              <w:jc w:val="center"/>
              <w:rPr>
                <w:rFonts w:ascii="Calibri" w:hAnsi="Calibri"/>
                <w:sz w:val="20"/>
                <w:szCs w:val="20"/>
              </w:rPr>
            </w:pPr>
            <w:r w:rsidRPr="0048359C">
              <w:rPr>
                <w:noProof/>
                <w:sz w:val="20"/>
                <w:szCs w:val="20"/>
              </w:rPr>
              <w:drawing>
                <wp:inline distT="0" distB="0" distL="0" distR="0" wp14:anchorId="75A4578B" wp14:editId="3CBF6595">
                  <wp:extent cx="2248214" cy="255305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48214" cy="2553056"/>
                          </a:xfrm>
                          <a:prstGeom prst="rect">
                            <a:avLst/>
                          </a:prstGeom>
                        </pic:spPr>
                      </pic:pic>
                    </a:graphicData>
                  </a:graphic>
                </wp:inline>
              </w:drawing>
            </w:r>
          </w:p>
        </w:tc>
        <w:tc>
          <w:tcPr>
            <w:tcW w:w="1499" w:type="dxa"/>
          </w:tcPr>
          <w:p w14:paraId="4A9DB505" w14:textId="77777777" w:rsidR="007C6E7D" w:rsidRPr="0048359C" w:rsidRDefault="007C6E7D" w:rsidP="007D1CE6">
            <w:pPr>
              <w:spacing w:before="100"/>
              <w:jc w:val="center"/>
              <w:rPr>
                <w:rFonts w:ascii="Palatino Linotype" w:hAnsi="Palatino Linotype"/>
                <w:b/>
                <w:sz w:val="22"/>
                <w:szCs w:val="22"/>
              </w:rPr>
            </w:pPr>
            <w:r w:rsidRPr="0048359C">
              <w:rPr>
                <w:rFonts w:ascii="Palatino Linotype" w:hAnsi="Palatino Linotype"/>
                <w:b/>
                <w:sz w:val="22"/>
                <w:szCs w:val="22"/>
              </w:rPr>
              <w:t>Sí</w:t>
            </w:r>
          </w:p>
        </w:tc>
      </w:tr>
      <w:tr w:rsidR="00D67F1C" w:rsidRPr="0048359C" w14:paraId="56CDD212" w14:textId="77777777" w:rsidTr="007D1CE6">
        <w:tc>
          <w:tcPr>
            <w:tcW w:w="1548" w:type="dxa"/>
          </w:tcPr>
          <w:p w14:paraId="048861F7" w14:textId="77777777" w:rsidR="007C6E7D" w:rsidRPr="0048359C" w:rsidRDefault="007C6E7D" w:rsidP="007D1CE6">
            <w:pPr>
              <w:spacing w:before="100"/>
              <w:jc w:val="center"/>
              <w:rPr>
                <w:rFonts w:ascii="Palatino Linotype" w:hAnsi="Palatino Linotype"/>
                <w:sz w:val="18"/>
                <w:szCs w:val="18"/>
              </w:rPr>
            </w:pPr>
            <w:r w:rsidRPr="0048359C">
              <w:rPr>
                <w:rFonts w:ascii="Palatino Linotype" w:hAnsi="Palatino Linotype" w:cs="Palatino Linotype"/>
                <w:b/>
                <w:sz w:val="18"/>
                <w:szCs w:val="18"/>
              </w:rPr>
              <w:t>Motivación Legal</w:t>
            </w:r>
          </w:p>
        </w:tc>
        <w:tc>
          <w:tcPr>
            <w:tcW w:w="6020" w:type="dxa"/>
            <w:gridSpan w:val="2"/>
          </w:tcPr>
          <w:p w14:paraId="7F22EA50" w14:textId="77777777" w:rsidR="007C6E7D" w:rsidRPr="0048359C" w:rsidRDefault="007C6E7D" w:rsidP="007D1CE6">
            <w:pPr>
              <w:spacing w:before="100"/>
              <w:rPr>
                <w:rFonts w:ascii="Calibri" w:hAnsi="Calibri"/>
                <w:sz w:val="20"/>
                <w:szCs w:val="20"/>
              </w:rPr>
            </w:pPr>
          </w:p>
        </w:tc>
        <w:tc>
          <w:tcPr>
            <w:tcW w:w="1499" w:type="dxa"/>
          </w:tcPr>
          <w:p w14:paraId="7983F7FE" w14:textId="77777777" w:rsidR="007C6E7D" w:rsidRPr="0048359C" w:rsidRDefault="00AC7DEA" w:rsidP="007D1CE6">
            <w:pPr>
              <w:spacing w:before="100"/>
              <w:jc w:val="center"/>
              <w:rPr>
                <w:rFonts w:ascii="Palatino Linotype" w:hAnsi="Palatino Linotype"/>
                <w:b/>
                <w:sz w:val="20"/>
                <w:szCs w:val="20"/>
              </w:rPr>
            </w:pPr>
            <w:r w:rsidRPr="0048359C">
              <w:rPr>
                <w:rFonts w:ascii="Palatino Linotype" w:hAnsi="Palatino Linotype"/>
                <w:b/>
                <w:sz w:val="20"/>
                <w:szCs w:val="20"/>
              </w:rPr>
              <w:t>No</w:t>
            </w:r>
          </w:p>
        </w:tc>
      </w:tr>
      <w:tr w:rsidR="007C6E7D" w:rsidRPr="0048359C" w14:paraId="320BDBFA" w14:textId="77777777" w:rsidTr="007D1CE6">
        <w:tc>
          <w:tcPr>
            <w:tcW w:w="1555" w:type="dxa"/>
            <w:gridSpan w:val="2"/>
            <w:shd w:val="clear" w:color="auto" w:fill="auto"/>
          </w:tcPr>
          <w:p w14:paraId="3100CDB0" w14:textId="77777777" w:rsidR="007C6E7D" w:rsidRPr="0048359C" w:rsidRDefault="007C6E7D" w:rsidP="007D1CE6">
            <w:pPr>
              <w:spacing w:before="100"/>
              <w:jc w:val="center"/>
              <w:rPr>
                <w:rFonts w:ascii="Palatino Linotype" w:hAnsi="Palatino Linotype"/>
                <w:b/>
                <w:sz w:val="22"/>
                <w:szCs w:val="20"/>
              </w:rPr>
            </w:pPr>
            <w:r w:rsidRPr="0048359C">
              <w:rPr>
                <w:rFonts w:ascii="Palatino Linotype" w:hAnsi="Palatino Linotype" w:cs="Palatino Linotype"/>
                <w:b/>
                <w:sz w:val="18"/>
                <w:szCs w:val="16"/>
              </w:rPr>
              <w:t>Autoridades competentes.</w:t>
            </w:r>
          </w:p>
        </w:tc>
        <w:tc>
          <w:tcPr>
            <w:tcW w:w="6013" w:type="dxa"/>
            <w:shd w:val="clear" w:color="auto" w:fill="auto"/>
          </w:tcPr>
          <w:p w14:paraId="06DFA7EA" w14:textId="77777777" w:rsidR="007C6E7D" w:rsidRPr="0048359C" w:rsidRDefault="00AC7DEA" w:rsidP="007D1CE6">
            <w:pPr>
              <w:spacing w:before="100"/>
              <w:jc w:val="center"/>
            </w:pPr>
            <w:r w:rsidRPr="0048359C">
              <w:rPr>
                <w:noProof/>
              </w:rPr>
              <w:drawing>
                <wp:inline distT="0" distB="0" distL="0" distR="0" wp14:anchorId="15A8E929" wp14:editId="0C05902E">
                  <wp:extent cx="3238500" cy="1956955"/>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45192" cy="1960999"/>
                          </a:xfrm>
                          <a:prstGeom prst="rect">
                            <a:avLst/>
                          </a:prstGeom>
                        </pic:spPr>
                      </pic:pic>
                    </a:graphicData>
                  </a:graphic>
                </wp:inline>
              </w:drawing>
            </w:r>
          </w:p>
        </w:tc>
        <w:tc>
          <w:tcPr>
            <w:tcW w:w="1499" w:type="dxa"/>
            <w:shd w:val="clear" w:color="auto" w:fill="auto"/>
          </w:tcPr>
          <w:p w14:paraId="4D3980B7" w14:textId="77777777" w:rsidR="007C6E7D" w:rsidRPr="0048359C" w:rsidRDefault="007C6E7D" w:rsidP="007D1CE6">
            <w:pPr>
              <w:spacing w:before="100"/>
              <w:jc w:val="center"/>
              <w:rPr>
                <w:rFonts w:ascii="Palatino Linotype" w:hAnsi="Palatino Linotype"/>
                <w:b/>
                <w:sz w:val="22"/>
                <w:szCs w:val="20"/>
              </w:rPr>
            </w:pPr>
            <w:r w:rsidRPr="0048359C">
              <w:rPr>
                <w:rFonts w:ascii="Palatino Linotype" w:hAnsi="Palatino Linotype"/>
                <w:b/>
                <w:sz w:val="18"/>
                <w:szCs w:val="20"/>
              </w:rPr>
              <w:t>Si</w:t>
            </w:r>
          </w:p>
        </w:tc>
      </w:tr>
    </w:tbl>
    <w:p w14:paraId="0C02C417" w14:textId="77777777" w:rsidR="007C6E7D" w:rsidRPr="0048359C" w:rsidRDefault="007C6E7D">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612957A8" w14:textId="77777777" w:rsidR="00E50E40" w:rsidRPr="0048359C" w:rsidRDefault="00E50E4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578F5748" w14:textId="6DCBE499" w:rsidR="004639EE" w:rsidRPr="0048359C" w:rsidRDefault="00AC7DEA" w:rsidP="00001CDB">
      <w:pPr>
        <w:spacing w:after="0" w:line="360" w:lineRule="auto"/>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Es por lo anterior, que se concluye que el acuerdo de clasificación remitido en respuesta, </w:t>
      </w:r>
      <w:r w:rsidR="0037689E" w:rsidRPr="0048359C">
        <w:rPr>
          <w:rFonts w:ascii="Palatino Linotype" w:eastAsia="Palatino Linotype" w:hAnsi="Palatino Linotype" w:cs="Palatino Linotype"/>
        </w:rPr>
        <w:t xml:space="preserve">no </w:t>
      </w:r>
      <w:r w:rsidRPr="0048359C">
        <w:rPr>
          <w:rFonts w:ascii="Palatino Linotype" w:eastAsia="Palatino Linotype" w:hAnsi="Palatino Linotype" w:cs="Palatino Linotype"/>
        </w:rPr>
        <w:t>cumple con todas las formalidades previstas por la normatividad</w:t>
      </w:r>
      <w:r w:rsidR="00001CDB" w:rsidRPr="0048359C">
        <w:rPr>
          <w:rFonts w:ascii="Palatino Linotype" w:eastAsia="Palatino Linotype" w:hAnsi="Palatino Linotype" w:cs="Palatino Linotype"/>
        </w:rPr>
        <w:t>, ya que como se advierte si bien lo funda en el artículo 143 fracción I</w:t>
      </w:r>
      <w:r w:rsidR="003E14CF" w:rsidRPr="0048359C">
        <w:rPr>
          <w:rFonts w:ascii="Palatino Linotype" w:eastAsia="Palatino Linotype" w:hAnsi="Palatino Linotype" w:cs="Palatino Linotype"/>
        </w:rPr>
        <w:t xml:space="preserve"> de la Ley en la materia, </w:t>
      </w:r>
      <w:r w:rsidR="00001CDB" w:rsidRPr="0048359C">
        <w:rPr>
          <w:rFonts w:ascii="Palatino Linotype" w:eastAsia="Palatino Linotype" w:hAnsi="Palatino Linotype" w:cs="Palatino Linotype"/>
        </w:rPr>
        <w:t xml:space="preserve">no señala de manera especifica los datos que se consideraron confidenciales y la motivación de la clasificación. </w:t>
      </w:r>
    </w:p>
    <w:p w14:paraId="79006B3A" w14:textId="34865C07" w:rsidR="00001CDB" w:rsidRPr="0048359C" w:rsidRDefault="00001CDB" w:rsidP="00001CDB">
      <w:pPr>
        <w:spacing w:after="0" w:line="360" w:lineRule="auto"/>
        <w:jc w:val="both"/>
        <w:rPr>
          <w:rFonts w:ascii="Palatino Linotype" w:eastAsia="Palatino Linotype" w:hAnsi="Palatino Linotype" w:cs="Palatino Linotype"/>
        </w:rPr>
      </w:pPr>
    </w:p>
    <w:p w14:paraId="31144EE2" w14:textId="77777777" w:rsidR="004639EE" w:rsidRPr="0048359C" w:rsidRDefault="00E72281">
      <w:pPr>
        <w:tabs>
          <w:tab w:val="left" w:pos="709"/>
        </w:tabs>
        <w:spacing w:after="0" w:line="360" w:lineRule="auto"/>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Por lo anterior, se determina que los agravios hechos valer por la parte Recurrente en su recurso de revisión devienen </w:t>
      </w:r>
      <w:r w:rsidRPr="0048359C">
        <w:rPr>
          <w:rFonts w:ascii="Palatino Linotype" w:eastAsia="Palatino Linotype" w:hAnsi="Palatino Linotype" w:cs="Palatino Linotype"/>
          <w:b/>
        </w:rPr>
        <w:t xml:space="preserve">FUNDADOS </w:t>
      </w:r>
      <w:r w:rsidRPr="0048359C">
        <w:rPr>
          <w:rFonts w:ascii="Palatino Linotype" w:eastAsia="Palatino Linotype" w:hAnsi="Palatino Linotype" w:cs="Palatino Linotype"/>
        </w:rPr>
        <w:t xml:space="preserve">y, por ende, resulta procedente </w:t>
      </w:r>
      <w:r w:rsidR="00AC7DEA" w:rsidRPr="0048359C">
        <w:rPr>
          <w:rFonts w:ascii="Palatino Linotype" w:eastAsia="Palatino Linotype" w:hAnsi="Palatino Linotype" w:cs="Palatino Linotype"/>
          <w:b/>
        </w:rPr>
        <w:t>MODIFICAR</w:t>
      </w:r>
      <w:r w:rsidRPr="0048359C">
        <w:rPr>
          <w:rFonts w:ascii="Palatino Linotype" w:eastAsia="Palatino Linotype" w:hAnsi="Palatino Linotype" w:cs="Palatino Linotype"/>
          <w:b/>
        </w:rPr>
        <w:t xml:space="preserve"> </w:t>
      </w:r>
      <w:r w:rsidRPr="0048359C">
        <w:rPr>
          <w:rFonts w:ascii="Palatino Linotype" w:eastAsia="Palatino Linotype" w:hAnsi="Palatino Linotype" w:cs="Palatino Linotype"/>
        </w:rPr>
        <w:t xml:space="preserve">la respuesta del Sujeto Obligado y </w:t>
      </w:r>
      <w:r w:rsidRPr="0048359C">
        <w:rPr>
          <w:rFonts w:ascii="Palatino Linotype" w:eastAsia="Palatino Linotype" w:hAnsi="Palatino Linotype" w:cs="Palatino Linotype"/>
          <w:b/>
        </w:rPr>
        <w:t xml:space="preserve">ORDENAR </w:t>
      </w:r>
      <w:r w:rsidRPr="0048359C">
        <w:rPr>
          <w:rFonts w:ascii="Palatino Linotype" w:eastAsia="Palatino Linotype" w:hAnsi="Palatino Linotype" w:cs="Palatino Linotype"/>
        </w:rPr>
        <w:t>la entrega, vía Sistema de Acceso a la Información Mexiquense, en versión pública</w:t>
      </w:r>
      <w:r w:rsidR="00AC7DEA" w:rsidRPr="0048359C">
        <w:rPr>
          <w:rFonts w:ascii="Palatino Linotype" w:eastAsia="Palatino Linotype" w:hAnsi="Palatino Linotype" w:cs="Palatino Linotype"/>
        </w:rPr>
        <w:t xml:space="preserve"> correcta</w:t>
      </w:r>
      <w:r w:rsidRPr="0048359C">
        <w:rPr>
          <w:rFonts w:ascii="Palatino Linotype" w:eastAsia="Palatino Linotype" w:hAnsi="Palatino Linotype" w:cs="Palatino Linotype"/>
        </w:rPr>
        <w:t>, de la siguiente información:</w:t>
      </w:r>
    </w:p>
    <w:p w14:paraId="7322F2E4" w14:textId="77777777" w:rsidR="00E72281" w:rsidRPr="0048359C" w:rsidRDefault="00E72281">
      <w:pPr>
        <w:tabs>
          <w:tab w:val="left" w:pos="709"/>
        </w:tabs>
        <w:spacing w:after="0" w:line="360" w:lineRule="auto"/>
        <w:jc w:val="both"/>
        <w:rPr>
          <w:rFonts w:ascii="Palatino Linotype" w:eastAsia="Palatino Linotype" w:hAnsi="Palatino Linotype" w:cs="Palatino Linotype"/>
        </w:rPr>
      </w:pPr>
    </w:p>
    <w:p w14:paraId="1ECCF6E9" w14:textId="77777777" w:rsidR="004639EE" w:rsidRPr="0048359C" w:rsidRDefault="00AC7DEA" w:rsidP="00E72281">
      <w:pPr>
        <w:numPr>
          <w:ilvl w:val="0"/>
          <w:numId w:val="2"/>
        </w:num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rPr>
      </w:pPr>
      <w:r w:rsidRPr="0048359C">
        <w:rPr>
          <w:rFonts w:ascii="Palatino Linotype" w:eastAsia="Palatino Linotype" w:hAnsi="Palatino Linotype" w:cs="Palatino Linotype"/>
          <w:b/>
        </w:rPr>
        <w:t>Recibos de nómina remitidos en respuesta</w:t>
      </w:r>
      <w:r w:rsidR="00E72281" w:rsidRPr="0048359C">
        <w:rPr>
          <w:rFonts w:ascii="Palatino Linotype" w:eastAsia="Palatino Linotype" w:hAnsi="Palatino Linotype" w:cs="Palatino Linotype"/>
          <w:b/>
        </w:rPr>
        <w:t xml:space="preserve">. </w:t>
      </w:r>
    </w:p>
    <w:p w14:paraId="382919A5" w14:textId="77777777" w:rsidR="00E72281" w:rsidRPr="0048359C" w:rsidRDefault="00E72281" w:rsidP="00AC7DEA">
      <w:pPr>
        <w:pBdr>
          <w:top w:val="nil"/>
          <w:left w:val="nil"/>
          <w:bottom w:val="nil"/>
          <w:right w:val="nil"/>
          <w:between w:val="nil"/>
        </w:pBdr>
        <w:tabs>
          <w:tab w:val="left" w:pos="709"/>
        </w:tabs>
        <w:spacing w:after="0" w:line="360" w:lineRule="auto"/>
        <w:ind w:left="720"/>
        <w:jc w:val="both"/>
        <w:rPr>
          <w:rFonts w:ascii="Palatino Linotype" w:eastAsia="Palatino Linotype" w:hAnsi="Palatino Linotype" w:cs="Palatino Linotype"/>
        </w:rPr>
      </w:pPr>
    </w:p>
    <w:p w14:paraId="1BC98FFB" w14:textId="77777777" w:rsidR="004639EE" w:rsidRPr="0048359C" w:rsidRDefault="00E72281">
      <w:pPr>
        <w:spacing w:after="0"/>
        <w:ind w:left="567" w:right="615"/>
        <w:jc w:val="both"/>
        <w:rPr>
          <w:rFonts w:ascii="Palatino Linotype" w:eastAsia="Palatino Linotype" w:hAnsi="Palatino Linotype" w:cs="Palatino Linotype"/>
          <w:i/>
        </w:rPr>
      </w:pPr>
      <w:r w:rsidRPr="0048359C">
        <w:rPr>
          <w:rFonts w:ascii="Palatino Linotype" w:eastAsia="Palatino Linotype" w:hAnsi="Palatino Linotype" w:cs="Palatino Linotype"/>
          <w:i/>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EA55D23" w14:textId="77777777" w:rsidR="004639EE" w:rsidRPr="0048359C" w:rsidRDefault="004639EE">
      <w:pPr>
        <w:tabs>
          <w:tab w:val="left" w:pos="709"/>
        </w:tabs>
        <w:spacing w:after="0" w:line="360" w:lineRule="auto"/>
        <w:jc w:val="both"/>
        <w:rPr>
          <w:rFonts w:ascii="Palatino Linotype" w:eastAsia="Palatino Linotype" w:hAnsi="Palatino Linotype" w:cs="Palatino Linotype"/>
        </w:rPr>
      </w:pPr>
    </w:p>
    <w:p w14:paraId="29B304F5" w14:textId="77777777" w:rsidR="003E14CF" w:rsidRPr="0048359C" w:rsidRDefault="003E14CF" w:rsidP="003E14CF">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b/>
        </w:rPr>
        <w:t xml:space="preserve">Quinto. Versión Pública. </w:t>
      </w:r>
      <w:r w:rsidRPr="0048359C">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53D1F0FC" w14:textId="77777777" w:rsidR="003E14CF" w:rsidRPr="0048359C" w:rsidRDefault="003E14CF" w:rsidP="003E14CF">
      <w:pPr>
        <w:spacing w:after="0" w:line="360" w:lineRule="auto"/>
        <w:ind w:right="49"/>
        <w:jc w:val="both"/>
        <w:rPr>
          <w:rFonts w:ascii="Palatino Linotype" w:eastAsia="Palatino Linotype" w:hAnsi="Palatino Linotype" w:cs="Palatino Linotype"/>
        </w:rPr>
      </w:pPr>
    </w:p>
    <w:p w14:paraId="3816E66A" w14:textId="77777777" w:rsidR="003E14CF" w:rsidRPr="0048359C" w:rsidRDefault="003E14CF" w:rsidP="003E14CF">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61923571" w14:textId="77777777" w:rsidR="003E14CF" w:rsidRPr="0048359C" w:rsidRDefault="003E14CF" w:rsidP="003E14CF">
      <w:pPr>
        <w:spacing w:after="0" w:line="360" w:lineRule="auto"/>
        <w:ind w:right="49"/>
        <w:jc w:val="both"/>
        <w:rPr>
          <w:rFonts w:ascii="Palatino Linotype" w:eastAsia="Palatino Linotype" w:hAnsi="Palatino Linotype" w:cs="Palatino Linotype"/>
        </w:rPr>
      </w:pPr>
    </w:p>
    <w:p w14:paraId="41190E16" w14:textId="77777777" w:rsidR="003E14CF" w:rsidRPr="0048359C" w:rsidRDefault="003E14CF" w:rsidP="003E14CF">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793E3A41" w14:textId="77777777" w:rsidR="003E14CF" w:rsidRPr="0048359C" w:rsidRDefault="003E14CF" w:rsidP="003E14CF">
      <w:pPr>
        <w:spacing w:after="0" w:line="360" w:lineRule="auto"/>
        <w:ind w:right="49"/>
        <w:jc w:val="both"/>
        <w:rPr>
          <w:rFonts w:ascii="Palatino Linotype" w:eastAsia="Palatino Linotype" w:hAnsi="Palatino Linotype" w:cs="Palatino Linotype"/>
        </w:rPr>
      </w:pPr>
    </w:p>
    <w:p w14:paraId="634DCEC4"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w:t>
      </w:r>
      <w:r w:rsidRPr="0048359C">
        <w:rPr>
          <w:rFonts w:ascii="Palatino Linotype" w:eastAsia="Palatino Linotype" w:hAnsi="Palatino Linotype" w:cs="Palatino Linotype"/>
          <w:b/>
          <w:i/>
        </w:rPr>
        <w:t>Artículo 3.</w:t>
      </w:r>
      <w:r w:rsidRPr="0048359C">
        <w:rPr>
          <w:rFonts w:ascii="Palatino Linotype" w:eastAsia="Palatino Linotype" w:hAnsi="Palatino Linotype" w:cs="Palatino Linotype"/>
          <w:i/>
        </w:rPr>
        <w:t xml:space="preserve"> Para los efectos de la presente Ley se entenderá por:</w:t>
      </w:r>
    </w:p>
    <w:p w14:paraId="3B02187C"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w:t>
      </w:r>
    </w:p>
    <w:p w14:paraId="5A721A5F"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666A99BB"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XX. Información clasificada: Aquella considerada por la presente Ley como reservada o confidencial;</w:t>
      </w:r>
    </w:p>
    <w:p w14:paraId="2298985E"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31A042C"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281EE467"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w:t>
      </w:r>
    </w:p>
    <w:p w14:paraId="442D03C8"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b/>
          <w:i/>
        </w:rPr>
        <w:t>Artículo 91.</w:t>
      </w:r>
      <w:r w:rsidRPr="0048359C">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0DF6EA9F"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b/>
          <w:i/>
        </w:rPr>
        <w:t>Artículo 132.</w:t>
      </w:r>
      <w:r w:rsidRPr="0048359C">
        <w:rPr>
          <w:rFonts w:ascii="Palatino Linotype" w:eastAsia="Palatino Linotype" w:hAnsi="Palatino Linotype" w:cs="Palatino Linotype"/>
          <w:i/>
        </w:rPr>
        <w:t xml:space="preserve"> La clasificación de la información se llevará a cabo en el momento en que:</w:t>
      </w:r>
    </w:p>
    <w:p w14:paraId="54939CDE" w14:textId="77777777" w:rsidR="003E14CF" w:rsidRPr="0048359C" w:rsidRDefault="003E14CF" w:rsidP="003E14CF">
      <w:pPr>
        <w:tabs>
          <w:tab w:val="left" w:pos="1134"/>
        </w:tabs>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I. Se reciba una solicitud de acceso a la información;</w:t>
      </w:r>
    </w:p>
    <w:p w14:paraId="3DF5D8F3" w14:textId="77777777" w:rsidR="003E14CF" w:rsidRPr="0048359C" w:rsidRDefault="003E14CF" w:rsidP="003E14CF">
      <w:pPr>
        <w:tabs>
          <w:tab w:val="left" w:pos="1134"/>
        </w:tabs>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II. Se determine mediante resolución de autoridad competente; o</w:t>
      </w:r>
    </w:p>
    <w:p w14:paraId="1B90B620" w14:textId="77777777" w:rsidR="003E14CF" w:rsidRPr="0048359C" w:rsidRDefault="003E14CF" w:rsidP="003E14CF">
      <w:pPr>
        <w:tabs>
          <w:tab w:val="left" w:pos="1134"/>
        </w:tabs>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III. Se generen versiones públicas para dar cumplimiento a las obligaciones de transparencia previstas en esta Ley.</w:t>
      </w:r>
    </w:p>
    <w:p w14:paraId="19A7A6EB"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w:t>
      </w:r>
    </w:p>
    <w:p w14:paraId="4FBB4F2D"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b/>
          <w:i/>
        </w:rPr>
        <w:t>Artículo 143</w:t>
      </w:r>
      <w:r w:rsidRPr="0048359C">
        <w:rPr>
          <w:rFonts w:ascii="Palatino Linotype" w:eastAsia="Palatino Linotype" w:hAnsi="Palatino Linotype" w:cs="Palatino Linotype"/>
          <w:i/>
        </w:rPr>
        <w:t>. Para los efectos de esta Ley se considera información confidencial, la clasificada como tal, de manera permanente, por su naturaleza, cuando:</w:t>
      </w:r>
    </w:p>
    <w:p w14:paraId="5FD947F7"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2DAAA7AC"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06EF3C44"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III. La que presenten los particulares a los sujetos obligados, de conformidad con lo dispuesto por las leyes o los tratados internacionales.</w:t>
      </w:r>
    </w:p>
    <w:p w14:paraId="22E7BAD2"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2EF6D405"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4E309377" w14:textId="77777777" w:rsidR="003E14CF" w:rsidRPr="0048359C" w:rsidRDefault="003E14CF" w:rsidP="003E14CF">
      <w:pPr>
        <w:spacing w:after="0"/>
        <w:ind w:left="567" w:right="49"/>
        <w:jc w:val="both"/>
        <w:rPr>
          <w:rFonts w:ascii="Palatino Linotype" w:eastAsia="Palatino Linotype" w:hAnsi="Palatino Linotype" w:cs="Palatino Linotype"/>
          <w:i/>
        </w:rPr>
      </w:pPr>
    </w:p>
    <w:p w14:paraId="3896194B" w14:textId="77777777" w:rsidR="003E14CF" w:rsidRPr="0048359C" w:rsidRDefault="003E14CF" w:rsidP="003E14CF">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1551CA6" w14:textId="77777777" w:rsidR="003E14CF" w:rsidRPr="0048359C" w:rsidRDefault="003E14CF" w:rsidP="003E14CF">
      <w:pPr>
        <w:spacing w:after="0" w:line="360" w:lineRule="auto"/>
        <w:ind w:right="49"/>
        <w:jc w:val="both"/>
        <w:rPr>
          <w:rFonts w:ascii="Palatino Linotype" w:eastAsia="Palatino Linotype" w:hAnsi="Palatino Linotype" w:cs="Palatino Linotype"/>
        </w:rPr>
      </w:pPr>
    </w:p>
    <w:p w14:paraId="6938F44E" w14:textId="77777777" w:rsidR="003E14CF" w:rsidRPr="0048359C" w:rsidRDefault="003E14CF" w:rsidP="003E14CF">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490132AC" w14:textId="77777777" w:rsidR="003E14CF" w:rsidRPr="0048359C" w:rsidRDefault="003E14CF" w:rsidP="003E14CF">
      <w:pPr>
        <w:spacing w:after="0" w:line="360" w:lineRule="auto"/>
        <w:ind w:right="49"/>
        <w:jc w:val="both"/>
        <w:rPr>
          <w:rFonts w:ascii="Palatino Linotype" w:eastAsia="Palatino Linotype" w:hAnsi="Palatino Linotype" w:cs="Palatino Linotype"/>
        </w:rPr>
      </w:pPr>
    </w:p>
    <w:p w14:paraId="4E01BE42"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 xml:space="preserve"> “</w:t>
      </w:r>
      <w:r w:rsidRPr="0048359C">
        <w:rPr>
          <w:rFonts w:ascii="Palatino Linotype" w:eastAsia="Palatino Linotype" w:hAnsi="Palatino Linotype" w:cs="Palatino Linotype"/>
          <w:b/>
          <w:i/>
        </w:rPr>
        <w:t>Quincuagésimo</w:t>
      </w:r>
      <w:r w:rsidRPr="0048359C">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3ECD8A6" w14:textId="77777777" w:rsidR="003E14CF" w:rsidRPr="0048359C" w:rsidRDefault="003E14CF" w:rsidP="003E14CF">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b/>
          <w:i/>
        </w:rPr>
        <w:t>Quincuagésimo primero.</w:t>
      </w:r>
      <w:r w:rsidRPr="0048359C">
        <w:rPr>
          <w:rFonts w:ascii="Palatino Linotype" w:eastAsia="Palatino Linotype" w:hAnsi="Palatino Linotype" w:cs="Palatino Linotype"/>
          <w:i/>
        </w:rPr>
        <w:t xml:space="preserve"> Toda acta del Comité de Transparencia deberá contener: </w:t>
      </w:r>
    </w:p>
    <w:p w14:paraId="204016A6" w14:textId="77777777" w:rsidR="003E14CF" w:rsidRPr="0048359C" w:rsidRDefault="003E14CF" w:rsidP="003E14CF">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 xml:space="preserve">I. El número de sesión y fecha; </w:t>
      </w:r>
    </w:p>
    <w:p w14:paraId="55B19693" w14:textId="77777777" w:rsidR="003E14CF" w:rsidRPr="0048359C" w:rsidRDefault="003E14CF" w:rsidP="003E14CF">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 xml:space="preserve">II. El nombre del área que solicitó la clasificación de información; </w:t>
      </w:r>
    </w:p>
    <w:p w14:paraId="18EA6F0E" w14:textId="77777777" w:rsidR="003E14CF" w:rsidRPr="0048359C" w:rsidRDefault="003E14CF" w:rsidP="003E14CF">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 xml:space="preserve">III. La fundamentación legal y motivación correspondiente; </w:t>
      </w:r>
    </w:p>
    <w:p w14:paraId="74B323E8" w14:textId="77777777" w:rsidR="003E14CF" w:rsidRPr="0048359C" w:rsidRDefault="003E14CF" w:rsidP="003E14CF">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 xml:space="preserve">IV. La resolución o resoluciones aprobadas; y </w:t>
      </w:r>
    </w:p>
    <w:p w14:paraId="1775617C" w14:textId="77777777" w:rsidR="003E14CF" w:rsidRPr="0048359C" w:rsidRDefault="003E14CF" w:rsidP="003E14CF">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 xml:space="preserve">V. La rúbrica o firma digital de cada integrante del Comité de Transparencia. </w:t>
      </w:r>
    </w:p>
    <w:p w14:paraId="0D29A299" w14:textId="77777777" w:rsidR="003E14CF" w:rsidRPr="0048359C" w:rsidRDefault="003E14CF" w:rsidP="003E14CF">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114F852D" w14:textId="77777777" w:rsidR="003E14CF" w:rsidRPr="0048359C" w:rsidRDefault="003E14CF" w:rsidP="003E14CF">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I. Los motivos y razonamientos que sustenten la confirmación o modificación de la prueba de daño;</w:t>
      </w:r>
    </w:p>
    <w:p w14:paraId="32B4CEAA" w14:textId="77777777" w:rsidR="003E14CF" w:rsidRPr="0048359C" w:rsidRDefault="003E14CF" w:rsidP="003E14CF">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 xml:space="preserve">II. Descripción de las partes o secciones reservadas, en caso de clasificación parcial; </w:t>
      </w:r>
    </w:p>
    <w:p w14:paraId="5D6915E4" w14:textId="77777777" w:rsidR="003E14CF" w:rsidRPr="0048359C" w:rsidRDefault="003E14CF" w:rsidP="003E14CF">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 xml:space="preserve">III. El periodo por el que mantendrá su clasificación y fecha de expiración; y </w:t>
      </w:r>
    </w:p>
    <w:p w14:paraId="2379A645" w14:textId="77777777" w:rsidR="003E14CF" w:rsidRPr="0048359C" w:rsidRDefault="003E14CF" w:rsidP="003E14CF">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 xml:space="preserve">IV. El nombre del titular y área encargada de realizar la versión pública del documento, en su caso. </w:t>
      </w:r>
    </w:p>
    <w:p w14:paraId="0CEC61C3" w14:textId="77777777" w:rsidR="003E14CF" w:rsidRPr="0048359C" w:rsidRDefault="003E14CF" w:rsidP="003E14CF">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636F2E42" w14:textId="77777777" w:rsidR="003E14CF" w:rsidRPr="0048359C" w:rsidRDefault="003E14CF" w:rsidP="003E14CF">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3B4E9190"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b/>
          <w:i/>
        </w:rPr>
        <w:t>Quincuagésimo segundo.</w:t>
      </w:r>
      <w:r w:rsidRPr="0048359C">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0331741"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530FFF90"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I. Fijar la fecha en que se elaboró la versión pública y la fecha en la cual el Comité de Transparencia confirmó dicha versión;</w:t>
      </w:r>
    </w:p>
    <w:p w14:paraId="27CC272F"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5E07F0D1"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III. Señalar las personas o instancias autorizadas a acceder a la información clasificada.</w:t>
      </w:r>
    </w:p>
    <w:p w14:paraId="71AE6B59"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4B5924FA" w14:textId="77777777" w:rsidR="003E14CF" w:rsidRPr="0048359C" w:rsidRDefault="003E14CF" w:rsidP="003E14CF">
      <w:pPr>
        <w:spacing w:after="0"/>
        <w:ind w:left="567" w:right="49"/>
        <w:jc w:val="both"/>
        <w:rPr>
          <w:rFonts w:ascii="Palatino Linotype" w:eastAsia="Palatino Linotype" w:hAnsi="Palatino Linotype" w:cs="Palatino Linotype"/>
          <w:i/>
        </w:rPr>
      </w:pPr>
    </w:p>
    <w:p w14:paraId="35EC572C" w14:textId="77777777" w:rsidR="003E14CF" w:rsidRPr="0048359C" w:rsidRDefault="003E14CF" w:rsidP="003E14CF">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46D91058" w14:textId="77777777" w:rsidR="003E14CF" w:rsidRPr="0048359C" w:rsidRDefault="003E14CF" w:rsidP="003E14CF">
      <w:pPr>
        <w:spacing w:after="0" w:line="360" w:lineRule="auto"/>
        <w:ind w:right="49"/>
        <w:jc w:val="both"/>
        <w:rPr>
          <w:rFonts w:ascii="Palatino Linotype" w:eastAsia="Palatino Linotype" w:hAnsi="Palatino Linotype" w:cs="Palatino Linotype"/>
        </w:rPr>
      </w:pPr>
    </w:p>
    <w:p w14:paraId="1054E640" w14:textId="77777777" w:rsidR="003E14CF" w:rsidRPr="0048359C" w:rsidRDefault="003E14CF" w:rsidP="003E14CF">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w:t>
      </w:r>
      <w:r w:rsidRPr="0048359C">
        <w:rPr>
          <w:rFonts w:ascii="Palatino Linotype" w:eastAsia="Palatino Linotype" w:hAnsi="Palatino Linotype" w:cs="Palatino Linotype"/>
          <w:b/>
          <w:i/>
        </w:rPr>
        <w:t>Quincuagésimo cuarto.</w:t>
      </w:r>
      <w:r w:rsidRPr="0048359C">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2411D668"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b/>
          <w:i/>
        </w:rPr>
        <w:t>Quincuagésimo quinto.</w:t>
      </w:r>
      <w:r w:rsidRPr="0048359C">
        <w:rPr>
          <w:rFonts w:ascii="Palatino Linotype" w:eastAsia="Palatino Linotype" w:hAnsi="Palatino Linotype" w:cs="Palatino Linotype"/>
          <w:i/>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B5B0D40"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w:t>
      </w:r>
    </w:p>
    <w:p w14:paraId="4F18364D"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b/>
          <w:i/>
        </w:rPr>
        <w:t>Quincuagésimo séptimo.</w:t>
      </w:r>
      <w:r w:rsidRPr="0048359C">
        <w:rPr>
          <w:rFonts w:ascii="Palatino Linotype" w:eastAsia="Palatino Linotype" w:hAnsi="Palatino Linotype" w:cs="Palatino Linotype"/>
          <w:i/>
        </w:rPr>
        <w:t xml:space="preserve"> Se considera, en principio, como información pública y no podrá omitirse de las versiones públicas la siguiente: </w:t>
      </w:r>
    </w:p>
    <w:p w14:paraId="6EE810F2"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57DF001C"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2114171A"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AC70DA0"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61626A0C" w14:textId="77777777" w:rsidR="003E14CF" w:rsidRPr="0048359C" w:rsidRDefault="003E14CF" w:rsidP="003E14CF">
      <w:pPr>
        <w:spacing w:after="0"/>
        <w:ind w:left="567" w:right="49"/>
        <w:jc w:val="both"/>
        <w:rPr>
          <w:rFonts w:ascii="Palatino Linotype" w:eastAsia="Palatino Linotype" w:hAnsi="Palatino Linotype" w:cs="Palatino Linotype"/>
          <w:i/>
        </w:rPr>
      </w:pPr>
      <w:r w:rsidRPr="0048359C">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178B2DAC" w14:textId="77777777" w:rsidR="003E14CF" w:rsidRPr="0048359C" w:rsidRDefault="003E14CF" w:rsidP="003E14CF">
      <w:pPr>
        <w:spacing w:after="0" w:line="360" w:lineRule="auto"/>
        <w:ind w:left="567" w:right="49"/>
        <w:jc w:val="both"/>
        <w:rPr>
          <w:rFonts w:ascii="Palatino Linotype" w:eastAsia="Palatino Linotype" w:hAnsi="Palatino Linotype" w:cs="Palatino Linotype"/>
          <w:i/>
        </w:rPr>
      </w:pPr>
    </w:p>
    <w:p w14:paraId="5163D4C2" w14:textId="77777777" w:rsidR="003E14CF" w:rsidRPr="0048359C" w:rsidRDefault="003E14CF" w:rsidP="003E14CF">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3C74774F" w14:textId="77777777" w:rsidR="004639EE" w:rsidRPr="0048359C" w:rsidRDefault="004639EE">
      <w:pPr>
        <w:spacing w:after="0" w:line="360" w:lineRule="auto"/>
        <w:jc w:val="both"/>
        <w:rPr>
          <w:rFonts w:ascii="Palatino Linotype" w:eastAsia="Palatino Linotype" w:hAnsi="Palatino Linotype" w:cs="Palatino Linotype"/>
        </w:rPr>
      </w:pPr>
    </w:p>
    <w:p w14:paraId="5B11D8F4" w14:textId="77777777" w:rsidR="004639EE" w:rsidRPr="0048359C" w:rsidRDefault="00E72281">
      <w:pPr>
        <w:spacing w:after="0" w:line="360" w:lineRule="auto"/>
        <w:ind w:right="49"/>
        <w:jc w:val="both"/>
        <w:rPr>
          <w:rFonts w:ascii="Palatino Linotype" w:eastAsia="Palatino Linotype" w:hAnsi="Palatino Linotype" w:cs="Palatino Linotype"/>
          <w:b/>
        </w:rPr>
      </w:pPr>
      <w:r w:rsidRPr="0048359C">
        <w:rPr>
          <w:rFonts w:ascii="Palatino Linotype" w:eastAsia="Palatino Linotype" w:hAnsi="Palatino Linotype" w:cs="Palatino Linotype"/>
        </w:rPr>
        <w:t xml:space="preserve">Es así como, en mérito de lo expuesto en líneas anteriores, resultan parcialmente fundadas las razones o motivos de inconformidad hechos valer por la parte </w:t>
      </w:r>
      <w:r w:rsidRPr="0048359C">
        <w:rPr>
          <w:rFonts w:ascii="Palatino Linotype" w:eastAsia="Palatino Linotype" w:hAnsi="Palatino Linotype" w:cs="Palatino Linotype"/>
          <w:b/>
        </w:rPr>
        <w:t>RECURRENTE</w:t>
      </w:r>
      <w:r w:rsidRPr="0048359C">
        <w:rPr>
          <w:rFonts w:ascii="Palatino Linotype" w:eastAsia="Palatino Linotype" w:hAnsi="Palatino Linotype" w:cs="Palatino Linotype"/>
        </w:rPr>
        <w:t xml:space="preserve"> dentro del recurso de revisión </w:t>
      </w:r>
      <w:r w:rsidR="00AC7DEA" w:rsidRPr="0048359C">
        <w:rPr>
          <w:rFonts w:ascii="Palatino Linotype" w:eastAsia="Palatino Linotype" w:hAnsi="Palatino Linotype" w:cs="Palatino Linotype"/>
          <w:b/>
        </w:rPr>
        <w:t>06769</w:t>
      </w:r>
      <w:r w:rsidRPr="0048359C">
        <w:rPr>
          <w:rFonts w:ascii="Palatino Linotype" w:eastAsia="Palatino Linotype" w:hAnsi="Palatino Linotype" w:cs="Palatino Linotype"/>
          <w:b/>
        </w:rPr>
        <w:t>/INFOEM/IP/RR/2025</w:t>
      </w:r>
      <w:r w:rsidRPr="0048359C">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por lo que se </w:t>
      </w:r>
      <w:r w:rsidR="00AC7DEA" w:rsidRPr="0048359C">
        <w:rPr>
          <w:rFonts w:ascii="Palatino Linotype" w:eastAsia="Palatino Linotype" w:hAnsi="Palatino Linotype" w:cs="Palatino Linotype"/>
          <w:b/>
        </w:rPr>
        <w:t>MODIFICA</w:t>
      </w:r>
      <w:r w:rsidRPr="0048359C">
        <w:rPr>
          <w:rFonts w:ascii="Palatino Linotype" w:eastAsia="Palatino Linotype" w:hAnsi="Palatino Linotype" w:cs="Palatino Linotype"/>
          <w:b/>
        </w:rPr>
        <w:t xml:space="preserve"> </w:t>
      </w:r>
      <w:r w:rsidRPr="0048359C">
        <w:rPr>
          <w:rFonts w:ascii="Palatino Linotype" w:eastAsia="Palatino Linotype" w:hAnsi="Palatino Linotype" w:cs="Palatino Linotype"/>
        </w:rPr>
        <w:t xml:space="preserve">la respuesta del </w:t>
      </w:r>
      <w:r w:rsidRPr="0048359C">
        <w:rPr>
          <w:rFonts w:ascii="Palatino Linotype" w:eastAsia="Palatino Linotype" w:hAnsi="Palatino Linotype" w:cs="Palatino Linotype"/>
          <w:b/>
        </w:rPr>
        <w:t xml:space="preserve">SUJETO OBLIGADO </w:t>
      </w:r>
      <w:r w:rsidRPr="0048359C">
        <w:rPr>
          <w:rFonts w:ascii="Palatino Linotype" w:eastAsia="Palatino Linotype" w:hAnsi="Palatino Linotype" w:cs="Palatino Linotype"/>
        </w:rPr>
        <w:t xml:space="preserve">a la solicitud de información </w:t>
      </w:r>
      <w:r w:rsidR="00AC7DEA" w:rsidRPr="0048359C">
        <w:rPr>
          <w:rFonts w:ascii="Palatino Linotype" w:eastAsia="Palatino Linotype" w:hAnsi="Palatino Linotype" w:cs="Palatino Linotype"/>
          <w:b/>
        </w:rPr>
        <w:t>00195</w:t>
      </w:r>
      <w:r w:rsidRPr="0048359C">
        <w:rPr>
          <w:rFonts w:ascii="Palatino Linotype" w:eastAsia="Palatino Linotype" w:hAnsi="Palatino Linotype" w:cs="Palatino Linotype"/>
          <w:b/>
        </w:rPr>
        <w:t>/</w:t>
      </w:r>
      <w:r w:rsidR="00AC7DEA" w:rsidRPr="0048359C">
        <w:rPr>
          <w:rFonts w:ascii="Palatino Linotype" w:eastAsia="Palatino Linotype" w:hAnsi="Palatino Linotype" w:cs="Palatino Linotype"/>
          <w:b/>
        </w:rPr>
        <w:t>JUCHITE</w:t>
      </w:r>
      <w:r w:rsidRPr="0048359C">
        <w:rPr>
          <w:rFonts w:ascii="Palatino Linotype" w:eastAsia="Palatino Linotype" w:hAnsi="Palatino Linotype" w:cs="Palatino Linotype"/>
          <w:b/>
        </w:rPr>
        <w:t>/IP/2025</w:t>
      </w:r>
      <w:r w:rsidRPr="0048359C">
        <w:rPr>
          <w:rFonts w:ascii="Palatino Linotype" w:eastAsia="Palatino Linotype" w:hAnsi="Palatino Linotype" w:cs="Palatino Linotype"/>
        </w:rPr>
        <w:t xml:space="preserve">.  </w:t>
      </w:r>
    </w:p>
    <w:p w14:paraId="56BCFEE0" w14:textId="77777777" w:rsidR="004639EE" w:rsidRPr="0048359C" w:rsidRDefault="004639EE">
      <w:pPr>
        <w:spacing w:after="0" w:line="360" w:lineRule="auto"/>
        <w:ind w:right="49"/>
        <w:jc w:val="both"/>
        <w:rPr>
          <w:rFonts w:ascii="Palatino Linotype" w:eastAsia="Palatino Linotype" w:hAnsi="Palatino Linotype" w:cs="Palatino Linotype"/>
          <w:b/>
        </w:rPr>
      </w:pPr>
    </w:p>
    <w:p w14:paraId="2B8AC958" w14:textId="77777777" w:rsidR="0037689E" w:rsidRPr="0048359C" w:rsidRDefault="0037689E" w:rsidP="0037689E">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65AF303" w14:textId="77777777" w:rsidR="0037689E" w:rsidRPr="0048359C" w:rsidRDefault="0037689E">
      <w:pPr>
        <w:spacing w:after="0" w:line="360" w:lineRule="auto"/>
        <w:ind w:right="49"/>
        <w:jc w:val="center"/>
        <w:rPr>
          <w:rFonts w:ascii="Palatino Linotype" w:eastAsia="Palatino Linotype" w:hAnsi="Palatino Linotype" w:cs="Palatino Linotype"/>
          <w:b/>
        </w:rPr>
      </w:pPr>
    </w:p>
    <w:p w14:paraId="6A297CD9" w14:textId="77777777" w:rsidR="004639EE" w:rsidRPr="0048359C" w:rsidRDefault="00E72281">
      <w:pPr>
        <w:spacing w:after="0" w:line="360" w:lineRule="auto"/>
        <w:ind w:right="49"/>
        <w:jc w:val="center"/>
        <w:rPr>
          <w:rFonts w:ascii="Palatino Linotype" w:eastAsia="Palatino Linotype" w:hAnsi="Palatino Linotype" w:cs="Palatino Linotype"/>
          <w:b/>
        </w:rPr>
      </w:pPr>
      <w:r w:rsidRPr="0048359C">
        <w:rPr>
          <w:rFonts w:ascii="Palatino Linotype" w:eastAsia="Palatino Linotype" w:hAnsi="Palatino Linotype" w:cs="Palatino Linotype"/>
          <w:b/>
        </w:rPr>
        <w:t>III.</w:t>
      </w:r>
      <w:r w:rsidRPr="0048359C">
        <w:rPr>
          <w:rFonts w:ascii="Palatino Linotype" w:eastAsia="Palatino Linotype" w:hAnsi="Palatino Linotype" w:cs="Palatino Linotype"/>
          <w:b/>
        </w:rPr>
        <w:tab/>
        <w:t>R E S U E L V E:</w:t>
      </w:r>
    </w:p>
    <w:p w14:paraId="54A78AF7" w14:textId="77777777" w:rsidR="004639EE" w:rsidRPr="0048359C" w:rsidRDefault="004639EE">
      <w:pPr>
        <w:spacing w:after="0" w:line="360" w:lineRule="auto"/>
        <w:ind w:right="49"/>
        <w:jc w:val="both"/>
        <w:rPr>
          <w:rFonts w:ascii="Palatino Linotype" w:eastAsia="Palatino Linotype" w:hAnsi="Palatino Linotype" w:cs="Palatino Linotype"/>
        </w:rPr>
      </w:pPr>
    </w:p>
    <w:p w14:paraId="3A8B026B" w14:textId="77777777" w:rsidR="004639EE" w:rsidRPr="0048359C" w:rsidRDefault="00E72281">
      <w:pPr>
        <w:spacing w:after="0" w:line="360" w:lineRule="auto"/>
        <w:ind w:right="49"/>
        <w:jc w:val="both"/>
        <w:rPr>
          <w:rFonts w:ascii="Palatino Linotype" w:eastAsia="Palatino Linotype" w:hAnsi="Palatino Linotype" w:cs="Palatino Linotype"/>
        </w:rPr>
      </w:pPr>
      <w:r w:rsidRPr="0048359C">
        <w:rPr>
          <w:rFonts w:ascii="Palatino Linotype" w:eastAsia="Palatino Linotype" w:hAnsi="Palatino Linotype" w:cs="Palatino Linotype"/>
          <w:b/>
        </w:rPr>
        <w:t>Primero.</w:t>
      </w:r>
      <w:r w:rsidRPr="0048359C">
        <w:rPr>
          <w:rFonts w:ascii="Palatino Linotype" w:eastAsia="Palatino Linotype" w:hAnsi="Palatino Linotype" w:cs="Palatino Linotype"/>
        </w:rPr>
        <w:t xml:space="preserve"> Resultan</w:t>
      </w:r>
      <w:r w:rsidRPr="0048359C">
        <w:rPr>
          <w:rFonts w:ascii="Palatino Linotype" w:eastAsia="Palatino Linotype" w:hAnsi="Palatino Linotype" w:cs="Palatino Linotype"/>
          <w:b/>
        </w:rPr>
        <w:t xml:space="preserve"> FUNDADOS</w:t>
      </w:r>
      <w:r w:rsidRPr="0048359C">
        <w:rPr>
          <w:rFonts w:ascii="Palatino Linotype" w:eastAsia="Palatino Linotype" w:hAnsi="Palatino Linotype" w:cs="Palatino Linotype"/>
        </w:rPr>
        <w:t xml:space="preserve"> los motivos de inconformidad hechos valer por la parte </w:t>
      </w:r>
      <w:r w:rsidRPr="0048359C">
        <w:rPr>
          <w:rFonts w:ascii="Palatino Linotype" w:eastAsia="Palatino Linotype" w:hAnsi="Palatino Linotype" w:cs="Palatino Linotype"/>
          <w:b/>
        </w:rPr>
        <w:t>Recurrente</w:t>
      </w:r>
      <w:r w:rsidRPr="0048359C">
        <w:rPr>
          <w:rFonts w:ascii="Palatino Linotype" w:eastAsia="Palatino Linotype" w:hAnsi="Palatino Linotype" w:cs="Palatino Linotype"/>
        </w:rPr>
        <w:t xml:space="preserve"> en el Recurso de Revisión </w:t>
      </w:r>
      <w:r w:rsidR="00AC7DEA" w:rsidRPr="0048359C">
        <w:rPr>
          <w:rFonts w:ascii="Palatino Linotype" w:eastAsia="Palatino Linotype" w:hAnsi="Palatino Linotype" w:cs="Palatino Linotype"/>
          <w:b/>
        </w:rPr>
        <w:t>06769</w:t>
      </w:r>
      <w:r w:rsidRPr="0048359C">
        <w:rPr>
          <w:rFonts w:ascii="Palatino Linotype" w:eastAsia="Palatino Linotype" w:hAnsi="Palatino Linotype" w:cs="Palatino Linotype"/>
          <w:b/>
        </w:rPr>
        <w:t>/INFOEM/IP/RR/2025</w:t>
      </w:r>
      <w:r w:rsidRPr="0048359C">
        <w:rPr>
          <w:rFonts w:ascii="Palatino Linotype" w:eastAsia="Palatino Linotype" w:hAnsi="Palatino Linotype" w:cs="Palatino Linotype"/>
        </w:rPr>
        <w:t xml:space="preserve">, por lo que, en términos del </w:t>
      </w:r>
      <w:r w:rsidRPr="0048359C">
        <w:rPr>
          <w:rFonts w:ascii="Palatino Linotype" w:eastAsia="Palatino Linotype" w:hAnsi="Palatino Linotype" w:cs="Palatino Linotype"/>
          <w:b/>
        </w:rPr>
        <w:t>Considerando Cuarto</w:t>
      </w:r>
      <w:r w:rsidRPr="0048359C">
        <w:rPr>
          <w:rFonts w:ascii="Palatino Linotype" w:eastAsia="Palatino Linotype" w:hAnsi="Palatino Linotype" w:cs="Palatino Linotype"/>
        </w:rPr>
        <w:t xml:space="preserve"> de esta resolución, se </w:t>
      </w:r>
      <w:r w:rsidR="00AC7DEA" w:rsidRPr="0048359C">
        <w:rPr>
          <w:rFonts w:ascii="Palatino Linotype" w:eastAsia="Palatino Linotype" w:hAnsi="Palatino Linotype" w:cs="Palatino Linotype"/>
          <w:b/>
        </w:rPr>
        <w:t>MODIFICA</w:t>
      </w:r>
      <w:r w:rsidRPr="0048359C">
        <w:rPr>
          <w:rFonts w:ascii="Palatino Linotype" w:eastAsia="Palatino Linotype" w:hAnsi="Palatino Linotype" w:cs="Palatino Linotype"/>
        </w:rPr>
        <w:t xml:space="preserve"> la respuesta emitida por el </w:t>
      </w:r>
      <w:r w:rsidRPr="0048359C">
        <w:rPr>
          <w:rFonts w:ascii="Palatino Linotype" w:eastAsia="Palatino Linotype" w:hAnsi="Palatino Linotype" w:cs="Palatino Linotype"/>
          <w:b/>
        </w:rPr>
        <w:t>Sujeto Obligado</w:t>
      </w:r>
      <w:r w:rsidRPr="0048359C">
        <w:rPr>
          <w:rFonts w:ascii="Palatino Linotype" w:eastAsia="Palatino Linotype" w:hAnsi="Palatino Linotype" w:cs="Palatino Linotype"/>
        </w:rPr>
        <w:t>.</w:t>
      </w:r>
    </w:p>
    <w:p w14:paraId="01E890CD" w14:textId="77777777" w:rsidR="004639EE" w:rsidRPr="0048359C" w:rsidRDefault="004639EE">
      <w:pPr>
        <w:spacing w:after="0" w:line="360" w:lineRule="auto"/>
        <w:ind w:right="49"/>
        <w:jc w:val="both"/>
        <w:rPr>
          <w:rFonts w:ascii="Palatino Linotype" w:eastAsia="Palatino Linotype" w:hAnsi="Palatino Linotype" w:cs="Palatino Linotype"/>
        </w:rPr>
      </w:pPr>
    </w:p>
    <w:p w14:paraId="5207B85A" w14:textId="77777777" w:rsidR="004639EE" w:rsidRPr="0048359C" w:rsidRDefault="00E72281">
      <w:pPr>
        <w:spacing w:after="0" w:line="360" w:lineRule="auto"/>
        <w:jc w:val="both"/>
        <w:rPr>
          <w:rFonts w:ascii="Palatino Linotype" w:eastAsia="Palatino Linotype" w:hAnsi="Palatino Linotype" w:cs="Palatino Linotype"/>
        </w:rPr>
      </w:pPr>
      <w:bookmarkStart w:id="2" w:name="_heading=h.1fob9te" w:colFirst="0" w:colLast="0"/>
      <w:bookmarkEnd w:id="2"/>
      <w:r w:rsidRPr="0048359C">
        <w:rPr>
          <w:rFonts w:ascii="Palatino Linotype" w:eastAsia="Palatino Linotype" w:hAnsi="Palatino Linotype" w:cs="Palatino Linotype"/>
          <w:b/>
        </w:rPr>
        <w:t>Segundo</w:t>
      </w:r>
      <w:r w:rsidRPr="0048359C">
        <w:rPr>
          <w:rFonts w:ascii="Palatino Linotype" w:eastAsia="Palatino Linotype" w:hAnsi="Palatino Linotype" w:cs="Palatino Linotype"/>
        </w:rPr>
        <w:t xml:space="preserve">. Se </w:t>
      </w:r>
      <w:r w:rsidRPr="0048359C">
        <w:rPr>
          <w:rFonts w:ascii="Palatino Linotype" w:eastAsia="Palatino Linotype" w:hAnsi="Palatino Linotype" w:cs="Palatino Linotype"/>
          <w:b/>
        </w:rPr>
        <w:t>ORDENA</w:t>
      </w:r>
      <w:r w:rsidRPr="0048359C">
        <w:rPr>
          <w:rFonts w:ascii="Palatino Linotype" w:eastAsia="Palatino Linotype" w:hAnsi="Palatino Linotype" w:cs="Palatino Linotype"/>
        </w:rPr>
        <w:t xml:space="preserve"> al </w:t>
      </w:r>
      <w:r w:rsidRPr="0048359C">
        <w:rPr>
          <w:rFonts w:ascii="Palatino Linotype" w:eastAsia="Palatino Linotype" w:hAnsi="Palatino Linotype" w:cs="Palatino Linotype"/>
          <w:b/>
        </w:rPr>
        <w:t>Sujeto Obligado</w:t>
      </w:r>
      <w:r w:rsidRPr="0048359C">
        <w:rPr>
          <w:rFonts w:ascii="Palatino Linotype" w:eastAsia="Palatino Linotype" w:hAnsi="Palatino Linotype" w:cs="Palatino Linotype"/>
        </w:rPr>
        <w:t xml:space="preserve"> a que, en términos del Considerando </w:t>
      </w:r>
      <w:r w:rsidRPr="0048359C">
        <w:rPr>
          <w:rFonts w:ascii="Palatino Linotype" w:eastAsia="Palatino Linotype" w:hAnsi="Palatino Linotype" w:cs="Palatino Linotype"/>
          <w:b/>
        </w:rPr>
        <w:t>Cuarto y Quinto</w:t>
      </w:r>
      <w:r w:rsidRPr="0048359C">
        <w:rPr>
          <w:rFonts w:ascii="Palatino Linotype" w:eastAsia="Palatino Linotype" w:hAnsi="Palatino Linotype" w:cs="Palatino Linotype"/>
        </w:rPr>
        <w:t>, haga entrega, vía Sistema de Acceso a la Información Mexiquense (</w:t>
      </w:r>
      <w:r w:rsidRPr="0048359C">
        <w:rPr>
          <w:rFonts w:ascii="Palatino Linotype" w:eastAsia="Palatino Linotype" w:hAnsi="Palatino Linotype" w:cs="Palatino Linotype"/>
          <w:b/>
        </w:rPr>
        <w:t>SAIMEX</w:t>
      </w:r>
      <w:r w:rsidRPr="0048359C">
        <w:rPr>
          <w:rFonts w:ascii="Palatino Linotype" w:eastAsia="Palatino Linotype" w:hAnsi="Palatino Linotype" w:cs="Palatino Linotype"/>
        </w:rPr>
        <w:t>), en versión pública</w:t>
      </w:r>
      <w:r w:rsidR="00AC7DEA" w:rsidRPr="0048359C">
        <w:rPr>
          <w:rFonts w:ascii="Palatino Linotype" w:eastAsia="Palatino Linotype" w:hAnsi="Palatino Linotype" w:cs="Palatino Linotype"/>
        </w:rPr>
        <w:t xml:space="preserve"> correcta</w:t>
      </w:r>
      <w:r w:rsidRPr="0048359C">
        <w:rPr>
          <w:rFonts w:ascii="Palatino Linotype" w:eastAsia="Palatino Linotype" w:hAnsi="Palatino Linotype" w:cs="Palatino Linotype"/>
        </w:rPr>
        <w:t xml:space="preserve">, de la siguiente información: </w:t>
      </w:r>
    </w:p>
    <w:p w14:paraId="0D38312A" w14:textId="77777777" w:rsidR="004639EE" w:rsidRPr="0048359C" w:rsidRDefault="004639EE">
      <w:pPr>
        <w:spacing w:after="0" w:line="360" w:lineRule="auto"/>
        <w:jc w:val="both"/>
        <w:rPr>
          <w:rFonts w:ascii="Palatino Linotype" w:eastAsia="Palatino Linotype" w:hAnsi="Palatino Linotype" w:cs="Palatino Linotype"/>
        </w:rPr>
      </w:pPr>
    </w:p>
    <w:p w14:paraId="3FC2C1EB" w14:textId="77777777" w:rsidR="00AC7DEA" w:rsidRPr="0048359C" w:rsidRDefault="00AC7DEA" w:rsidP="00AC7DEA">
      <w:pPr>
        <w:numPr>
          <w:ilvl w:val="0"/>
          <w:numId w:val="2"/>
        </w:num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rPr>
      </w:pPr>
      <w:r w:rsidRPr="0048359C">
        <w:rPr>
          <w:rFonts w:ascii="Palatino Linotype" w:eastAsia="Palatino Linotype" w:hAnsi="Palatino Linotype" w:cs="Palatino Linotype"/>
          <w:b/>
        </w:rPr>
        <w:t xml:space="preserve">Recibos de nómina remitidos en respuesta. </w:t>
      </w:r>
    </w:p>
    <w:p w14:paraId="2D962DE9" w14:textId="77777777" w:rsidR="004639EE" w:rsidRPr="0048359C" w:rsidRDefault="004639EE">
      <w:pPr>
        <w:pBdr>
          <w:top w:val="nil"/>
          <w:left w:val="nil"/>
          <w:bottom w:val="nil"/>
          <w:right w:val="nil"/>
          <w:between w:val="nil"/>
        </w:pBdr>
        <w:tabs>
          <w:tab w:val="left" w:pos="709"/>
        </w:tabs>
        <w:spacing w:after="0" w:line="360" w:lineRule="auto"/>
        <w:ind w:left="720"/>
        <w:jc w:val="both"/>
        <w:rPr>
          <w:rFonts w:ascii="Palatino Linotype" w:eastAsia="Palatino Linotype" w:hAnsi="Palatino Linotype" w:cs="Palatino Linotype"/>
        </w:rPr>
      </w:pPr>
    </w:p>
    <w:p w14:paraId="756C1FCE" w14:textId="77777777" w:rsidR="004639EE" w:rsidRPr="0048359C" w:rsidRDefault="00E72281" w:rsidP="00AC7DEA">
      <w:pPr>
        <w:spacing w:after="0"/>
        <w:ind w:left="567" w:right="615"/>
        <w:jc w:val="both"/>
        <w:rPr>
          <w:rFonts w:ascii="Palatino Linotype" w:eastAsia="Palatino Linotype" w:hAnsi="Palatino Linotype" w:cs="Palatino Linotype"/>
          <w:i/>
        </w:rPr>
      </w:pPr>
      <w:r w:rsidRPr="0048359C">
        <w:rPr>
          <w:rFonts w:ascii="Palatino Linotype" w:eastAsia="Palatino Linotype" w:hAnsi="Palatino Linotype" w:cs="Palatino Linotype"/>
          <w:i/>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500D0BB5" w14:textId="77777777" w:rsidR="0037689E" w:rsidRPr="0048359C" w:rsidRDefault="0037689E">
      <w:pPr>
        <w:spacing w:after="0" w:line="360" w:lineRule="auto"/>
        <w:ind w:right="40"/>
        <w:jc w:val="both"/>
        <w:rPr>
          <w:rFonts w:ascii="Palatino Linotype" w:eastAsia="Palatino Linotype" w:hAnsi="Palatino Linotype" w:cs="Palatino Linotype"/>
          <w:b/>
        </w:rPr>
      </w:pPr>
    </w:p>
    <w:p w14:paraId="1F8711EC" w14:textId="77777777" w:rsidR="004639EE" w:rsidRPr="0048359C" w:rsidRDefault="00E72281">
      <w:pPr>
        <w:spacing w:after="0" w:line="360" w:lineRule="auto"/>
        <w:ind w:right="40"/>
        <w:jc w:val="both"/>
        <w:rPr>
          <w:rFonts w:ascii="Palatino Linotype" w:eastAsia="Palatino Linotype" w:hAnsi="Palatino Linotype" w:cs="Palatino Linotype"/>
        </w:rPr>
      </w:pPr>
      <w:r w:rsidRPr="0048359C">
        <w:rPr>
          <w:rFonts w:ascii="Palatino Linotype" w:eastAsia="Palatino Linotype" w:hAnsi="Palatino Linotype" w:cs="Palatino Linotype"/>
          <w:b/>
        </w:rPr>
        <w:t>Tercero.</w:t>
      </w:r>
      <w:r w:rsidRPr="0048359C">
        <w:rPr>
          <w:rFonts w:ascii="Palatino Linotype" w:eastAsia="Palatino Linotype" w:hAnsi="Palatino Linotype" w:cs="Palatino Linotype"/>
        </w:rPr>
        <w:t xml:space="preserve"> </w:t>
      </w:r>
      <w:r w:rsidRPr="0048359C">
        <w:rPr>
          <w:rFonts w:ascii="Palatino Linotype" w:eastAsia="Palatino Linotype" w:hAnsi="Palatino Linotype" w:cs="Palatino Linotype"/>
          <w:b/>
        </w:rPr>
        <w:t xml:space="preserve">Notifíquese vía SAIMEX </w:t>
      </w:r>
      <w:r w:rsidRPr="0048359C">
        <w:rPr>
          <w:rFonts w:ascii="Palatino Linotype" w:eastAsia="Palatino Linotype" w:hAnsi="Palatino Linotype" w:cs="Palatino Linotype"/>
        </w:rPr>
        <w:t>la presente resolución al T</w:t>
      </w:r>
      <w:r w:rsidRPr="0048359C">
        <w:rPr>
          <w:rFonts w:ascii="Palatino Linotype" w:eastAsia="Palatino Linotype" w:hAnsi="Palatino Linotype" w:cs="Palatino Linotype"/>
          <w:b/>
        </w:rPr>
        <w:t xml:space="preserve">itular de la Unidad de Transparencia </w:t>
      </w:r>
      <w:r w:rsidRPr="0048359C">
        <w:rPr>
          <w:rFonts w:ascii="Palatino Linotype" w:eastAsia="Palatino Linotype" w:hAnsi="Palatino Linotype" w:cs="Palatino Linotype"/>
        </w:rPr>
        <w:t xml:space="preserve">del </w:t>
      </w:r>
      <w:r w:rsidRPr="0048359C">
        <w:rPr>
          <w:rFonts w:ascii="Palatino Linotype" w:eastAsia="Palatino Linotype" w:hAnsi="Palatino Linotype" w:cs="Palatino Linotype"/>
          <w:b/>
        </w:rPr>
        <w:t>SUJETO OBLIGADO</w:t>
      </w:r>
      <w:r w:rsidRPr="0048359C">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BC7452E" w14:textId="77777777" w:rsidR="004639EE" w:rsidRPr="0048359C" w:rsidRDefault="00E72281">
      <w:pPr>
        <w:spacing w:after="0" w:line="360" w:lineRule="auto"/>
        <w:ind w:right="40"/>
        <w:jc w:val="both"/>
        <w:rPr>
          <w:rFonts w:ascii="Palatino Linotype" w:eastAsia="Palatino Linotype" w:hAnsi="Palatino Linotype" w:cs="Palatino Linotype"/>
        </w:rPr>
      </w:pPr>
      <w:r w:rsidRPr="0048359C">
        <w:rPr>
          <w:rFonts w:ascii="Palatino Linotype" w:eastAsia="Palatino Linotype" w:hAnsi="Palatino Linotype" w:cs="Palatino Linotype"/>
        </w:rPr>
        <w:t xml:space="preserve"> </w:t>
      </w:r>
    </w:p>
    <w:p w14:paraId="46B5C343" w14:textId="77777777" w:rsidR="004639EE" w:rsidRPr="0048359C" w:rsidRDefault="00E72281">
      <w:pPr>
        <w:spacing w:after="0" w:line="360" w:lineRule="auto"/>
        <w:ind w:right="40"/>
        <w:jc w:val="both"/>
        <w:rPr>
          <w:rFonts w:ascii="Palatino Linotype" w:eastAsia="Palatino Linotype" w:hAnsi="Palatino Linotype" w:cs="Palatino Linotype"/>
        </w:rPr>
      </w:pPr>
      <w:r w:rsidRPr="0048359C">
        <w:rPr>
          <w:rFonts w:ascii="Palatino Linotype" w:eastAsia="Palatino Linotype" w:hAnsi="Palatino Linotype" w:cs="Palatino Linotype"/>
          <w:b/>
        </w:rPr>
        <w:t xml:space="preserve">Cuarto. Notifíquese vía SAIMEX </w:t>
      </w:r>
      <w:r w:rsidRPr="0048359C">
        <w:rPr>
          <w:rFonts w:ascii="Palatino Linotype" w:eastAsia="Palatino Linotype" w:hAnsi="Palatino Linotype" w:cs="Palatino Linotype"/>
        </w:rPr>
        <w:t xml:space="preserve">a la parte </w:t>
      </w:r>
      <w:r w:rsidRPr="0048359C">
        <w:rPr>
          <w:rFonts w:ascii="Palatino Linotype" w:eastAsia="Palatino Linotype" w:hAnsi="Palatino Linotype" w:cs="Palatino Linotype"/>
          <w:b/>
        </w:rPr>
        <w:t xml:space="preserve">Recurrente </w:t>
      </w:r>
      <w:r w:rsidRPr="0048359C">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610BB1B" w14:textId="77777777" w:rsidR="004639EE" w:rsidRPr="0048359C" w:rsidRDefault="004639EE">
      <w:pPr>
        <w:spacing w:after="0" w:line="360" w:lineRule="auto"/>
        <w:ind w:right="40"/>
        <w:jc w:val="both"/>
        <w:rPr>
          <w:rFonts w:ascii="Palatino Linotype" w:eastAsia="Palatino Linotype" w:hAnsi="Palatino Linotype" w:cs="Palatino Linotype"/>
        </w:rPr>
      </w:pPr>
    </w:p>
    <w:p w14:paraId="0AE6C584" w14:textId="77777777" w:rsidR="004639EE" w:rsidRPr="0048359C" w:rsidRDefault="00E72281">
      <w:pPr>
        <w:spacing w:after="0" w:line="360" w:lineRule="auto"/>
        <w:ind w:right="49"/>
        <w:jc w:val="both"/>
        <w:rPr>
          <w:rFonts w:ascii="Palatino Linotype" w:eastAsia="Palatino Linotype" w:hAnsi="Palatino Linotype" w:cs="Palatino Linotype"/>
          <w:b/>
        </w:rPr>
      </w:pPr>
      <w:r w:rsidRPr="0048359C">
        <w:rPr>
          <w:rFonts w:ascii="Palatino Linotype" w:eastAsia="Palatino Linotype" w:hAnsi="Palatino Linotype" w:cs="Palatino Linotype"/>
          <w:b/>
        </w:rPr>
        <w:t>Quinto.</w:t>
      </w:r>
      <w:r w:rsidRPr="0048359C">
        <w:rPr>
          <w:rFonts w:ascii="Palatino Linotype" w:eastAsia="Palatino Linotype" w:hAnsi="Palatino Linotype" w:cs="Palatino Linotype"/>
        </w:rPr>
        <w:t xml:space="preserve"> </w:t>
      </w:r>
      <w:r w:rsidRPr="0048359C">
        <w:rPr>
          <w:rFonts w:ascii="Palatino Linotype" w:eastAsia="Palatino Linotype" w:hAnsi="Palatino Linotype" w:cs="Palatino Linotype"/>
          <w:b/>
        </w:rPr>
        <w:t xml:space="preserve">Notifíquese vía SAIMEX </w:t>
      </w:r>
      <w:r w:rsidRPr="0048359C">
        <w:rPr>
          <w:rFonts w:ascii="Palatino Linotype" w:eastAsia="Palatino Linotype" w:hAnsi="Palatino Linotype" w:cs="Palatino Linotype"/>
        </w:rPr>
        <w:t>la presente resolución al T</w:t>
      </w:r>
      <w:r w:rsidRPr="0048359C">
        <w:rPr>
          <w:rFonts w:ascii="Palatino Linotype" w:eastAsia="Palatino Linotype" w:hAnsi="Palatino Linotype" w:cs="Palatino Linotype"/>
          <w:b/>
        </w:rPr>
        <w:t xml:space="preserve">itular de la Unidad de Transparencia </w:t>
      </w:r>
      <w:r w:rsidRPr="0048359C">
        <w:rPr>
          <w:rFonts w:ascii="Palatino Linotype" w:eastAsia="Palatino Linotype" w:hAnsi="Palatino Linotype" w:cs="Palatino Linotype"/>
        </w:rPr>
        <w:t xml:space="preserve">del </w:t>
      </w:r>
      <w:r w:rsidRPr="0048359C">
        <w:rPr>
          <w:rFonts w:ascii="Palatino Linotype" w:eastAsia="Palatino Linotype" w:hAnsi="Palatino Linotype" w:cs="Palatino Linotype"/>
          <w:b/>
        </w:rPr>
        <w:t xml:space="preserve">SUJETO OBLIGADO </w:t>
      </w:r>
      <w:r w:rsidRPr="0048359C">
        <w:rPr>
          <w:rFonts w:ascii="Palatino Linotype" w:eastAsia="Palatino Linotype" w:hAnsi="Palatino Linotype" w:cs="Palatino Linotype"/>
        </w:rPr>
        <w:t>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52341019" w14:textId="77777777" w:rsidR="004639EE" w:rsidRPr="0048359C" w:rsidRDefault="004639EE">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325A834C" w14:textId="77777777" w:rsidR="004639EE" w:rsidRPr="00D67F1C" w:rsidRDefault="00E72281">
      <w:pPr>
        <w:spacing w:after="0" w:line="360" w:lineRule="auto"/>
        <w:ind w:right="49"/>
        <w:jc w:val="both"/>
        <w:rPr>
          <w:rFonts w:ascii="Palatino Linotype" w:eastAsia="Palatino Linotype" w:hAnsi="Palatino Linotype" w:cs="Palatino Linotype"/>
        </w:rPr>
      </w:pPr>
      <w:bookmarkStart w:id="3" w:name="_heading=h.gjdgxs" w:colFirst="0" w:colLast="0"/>
      <w:bookmarkEnd w:id="3"/>
      <w:r w:rsidRPr="0048359C">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C7DEA" w:rsidRPr="0048359C">
        <w:rPr>
          <w:rFonts w:ascii="Palatino Linotype" w:eastAsia="Palatino Linotype" w:hAnsi="Palatino Linotype" w:cs="Palatino Linotype"/>
        </w:rPr>
        <w:t>TRIGÉSIMA SÉPTIMA</w:t>
      </w:r>
      <w:r w:rsidRPr="0048359C">
        <w:rPr>
          <w:rFonts w:ascii="Palatino Linotype" w:eastAsia="Palatino Linotype" w:hAnsi="Palatino Linotype" w:cs="Palatino Linotype"/>
        </w:rPr>
        <w:t xml:space="preserve"> SESIÓN ORDINARIA CELEBRADA EL </w:t>
      </w:r>
      <w:r w:rsidR="00AC7DEA" w:rsidRPr="0048359C">
        <w:rPr>
          <w:rFonts w:ascii="Palatino Linotype" w:eastAsia="Palatino Linotype" w:hAnsi="Palatino Linotype" w:cs="Palatino Linotype"/>
        </w:rPr>
        <w:t>QUINCE DE OCTUBRE</w:t>
      </w:r>
      <w:r w:rsidRPr="0048359C">
        <w:rPr>
          <w:rFonts w:ascii="Palatino Linotype" w:eastAsia="Palatino Linotype" w:hAnsi="Palatino Linotype" w:cs="Palatino Linotype"/>
        </w:rPr>
        <w:t xml:space="preserve"> DE DOS MIL VEINTICINCO, ANTE EL SECRETARIO TÉCNICO DEL PLENO ALEXIS TAPIA RAMÍREZ.</w:t>
      </w:r>
      <w:r w:rsidRPr="00D67F1C">
        <w:rPr>
          <w:rFonts w:ascii="Palatino Linotype" w:eastAsia="Palatino Linotype" w:hAnsi="Palatino Linotype" w:cs="Palatino Linotype"/>
        </w:rPr>
        <w:t xml:space="preserve"> </w:t>
      </w:r>
    </w:p>
    <w:p w14:paraId="556BC9E2" w14:textId="7CD68989" w:rsidR="004639EE" w:rsidRPr="00D67F1C" w:rsidRDefault="004639EE"/>
    <w:p w14:paraId="4D675A9C" w14:textId="110BE6AB" w:rsidR="00D67F1C" w:rsidRPr="00D67F1C" w:rsidRDefault="00D67F1C"/>
    <w:p w14:paraId="109CF95A" w14:textId="7116B341" w:rsidR="00D67F1C" w:rsidRPr="00D67F1C" w:rsidRDefault="00D67F1C"/>
    <w:p w14:paraId="0EE7C259" w14:textId="77777777" w:rsidR="00D67F1C" w:rsidRPr="00D67F1C" w:rsidRDefault="00D67F1C"/>
    <w:sectPr w:rsidR="00D67F1C" w:rsidRPr="00D67F1C">
      <w:headerReference w:type="default" r:id="rId17"/>
      <w:footerReference w:type="default" r:id="rId18"/>
      <w:headerReference w:type="first" r:id="rId19"/>
      <w:footerReference w:type="first" r:id="rId20"/>
      <w:pgSz w:w="12240" w:h="15840"/>
      <w:pgMar w:top="2041" w:right="1608"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39458" w14:textId="77777777" w:rsidR="009821A3" w:rsidRDefault="009821A3">
      <w:pPr>
        <w:spacing w:after="0" w:line="240" w:lineRule="auto"/>
      </w:pPr>
      <w:r>
        <w:separator/>
      </w:r>
    </w:p>
  </w:endnote>
  <w:endnote w:type="continuationSeparator" w:id="0">
    <w:p w14:paraId="215A9030" w14:textId="77777777" w:rsidR="009821A3" w:rsidRDefault="00982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7DC60" w14:textId="4004461F" w:rsidR="00E50E40" w:rsidRDefault="00E50E4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60CA8">
      <w:rPr>
        <w:b/>
        <w:noProof/>
        <w:color w:val="000000"/>
        <w:sz w:val="24"/>
        <w:szCs w:val="24"/>
      </w:rPr>
      <w:t>33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60CA8">
      <w:rPr>
        <w:b/>
        <w:noProof/>
        <w:color w:val="000000"/>
        <w:sz w:val="24"/>
        <w:szCs w:val="24"/>
      </w:rPr>
      <w:t>35</w:t>
    </w:r>
    <w:r>
      <w:rPr>
        <w:b/>
        <w:color w:val="000000"/>
        <w:sz w:val="24"/>
        <w:szCs w:val="24"/>
      </w:rPr>
      <w:fldChar w:fldCharType="end"/>
    </w:r>
  </w:p>
  <w:p w14:paraId="6CBE11B5" w14:textId="77777777" w:rsidR="00E50E40" w:rsidRDefault="00E50E4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DA8CE" w14:textId="0E7B6C2B" w:rsidR="00E50E40" w:rsidRDefault="00E50E4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60CA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60CA8">
      <w:rPr>
        <w:b/>
        <w:noProof/>
        <w:color w:val="000000"/>
        <w:sz w:val="24"/>
        <w:szCs w:val="24"/>
      </w:rPr>
      <w:t>35</w:t>
    </w:r>
    <w:r>
      <w:rPr>
        <w:b/>
        <w:color w:val="000000"/>
        <w:sz w:val="24"/>
        <w:szCs w:val="24"/>
      </w:rPr>
      <w:fldChar w:fldCharType="end"/>
    </w:r>
  </w:p>
  <w:p w14:paraId="54F1CADD" w14:textId="77777777" w:rsidR="00E50E40" w:rsidRDefault="00E50E4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E52C6" w14:textId="77777777" w:rsidR="009821A3" w:rsidRDefault="009821A3">
      <w:pPr>
        <w:spacing w:after="0" w:line="240" w:lineRule="auto"/>
      </w:pPr>
      <w:r>
        <w:separator/>
      </w:r>
    </w:p>
  </w:footnote>
  <w:footnote w:type="continuationSeparator" w:id="0">
    <w:p w14:paraId="366A3077" w14:textId="77777777" w:rsidR="009821A3" w:rsidRDefault="00982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36F65" w14:textId="77777777" w:rsidR="00E50E40" w:rsidRDefault="00E50E40">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088EC28F" wp14:editId="67CAA11E">
          <wp:simplePos x="0" y="0"/>
          <wp:positionH relativeFrom="column">
            <wp:posOffset>-744854</wp:posOffset>
          </wp:positionH>
          <wp:positionV relativeFrom="paragraph">
            <wp:posOffset>-315594</wp:posOffset>
          </wp:positionV>
          <wp:extent cx="7809876" cy="10165823"/>
          <wp:effectExtent l="0" t="0" r="0" b="0"/>
          <wp:wrapNone/>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03" w:type="dxa"/>
      <w:tblInd w:w="3611" w:type="dxa"/>
      <w:tblLayout w:type="fixed"/>
      <w:tblLook w:val="0400" w:firstRow="0" w:lastRow="0" w:firstColumn="0" w:lastColumn="0" w:noHBand="0" w:noVBand="1"/>
    </w:tblPr>
    <w:tblGrid>
      <w:gridCol w:w="2551"/>
      <w:gridCol w:w="3052"/>
    </w:tblGrid>
    <w:tr w:rsidR="00E50E40" w14:paraId="68F511D6" w14:textId="77777777">
      <w:tc>
        <w:tcPr>
          <w:tcW w:w="2551" w:type="dxa"/>
          <w:vAlign w:val="center"/>
        </w:tcPr>
        <w:p w14:paraId="49A52858" w14:textId="77777777" w:rsidR="00E50E40" w:rsidRDefault="00E50E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00989B7" w14:textId="77777777" w:rsidR="00E50E40" w:rsidRDefault="00E50E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06769/INFOEM/IP/RR/202</w:t>
          </w:r>
          <w:r>
            <w:rPr>
              <w:rFonts w:ascii="Palatino Linotype" w:eastAsia="Palatino Linotype" w:hAnsi="Palatino Linotype" w:cs="Palatino Linotype"/>
              <w:b/>
              <w:sz w:val="20"/>
              <w:szCs w:val="20"/>
            </w:rPr>
            <w:t>5</w:t>
          </w:r>
        </w:p>
      </w:tc>
    </w:tr>
    <w:tr w:rsidR="00E50E40" w14:paraId="6BD9BBBE" w14:textId="77777777">
      <w:trPr>
        <w:trHeight w:val="217"/>
      </w:trPr>
      <w:tc>
        <w:tcPr>
          <w:tcW w:w="2551" w:type="dxa"/>
          <w:vAlign w:val="center"/>
        </w:tcPr>
        <w:p w14:paraId="1CBA2F36" w14:textId="77777777" w:rsidR="00E50E40" w:rsidRDefault="00E50E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2DB1F6BF" w14:textId="77777777" w:rsidR="00E50E40" w:rsidRDefault="00E50E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F53C5D8" w14:textId="77777777" w:rsidR="00E50E40" w:rsidRDefault="00E50E40" w:rsidP="00837F1B">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Juchitepec</w:t>
          </w:r>
        </w:p>
      </w:tc>
    </w:tr>
    <w:tr w:rsidR="00E50E40" w14:paraId="61DF0D50" w14:textId="77777777">
      <w:tc>
        <w:tcPr>
          <w:tcW w:w="2551" w:type="dxa"/>
          <w:vAlign w:val="center"/>
        </w:tcPr>
        <w:p w14:paraId="1B0464C8" w14:textId="77777777" w:rsidR="00E50E40" w:rsidRDefault="00E50E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29B10C5" w14:textId="77777777" w:rsidR="00E50E40" w:rsidRDefault="00E50E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50E954C" w14:textId="77777777" w:rsidR="00E50E40" w:rsidRDefault="00E50E40">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9A333" w14:textId="77777777" w:rsidR="00E50E40" w:rsidRDefault="00E50E40">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6393EC70" wp14:editId="3CE27E26">
          <wp:simplePos x="0" y="0"/>
          <wp:positionH relativeFrom="column">
            <wp:posOffset>-712468</wp:posOffset>
          </wp:positionH>
          <wp:positionV relativeFrom="paragraph">
            <wp:posOffset>-117473</wp:posOffset>
          </wp:positionV>
          <wp:extent cx="7809865" cy="10165715"/>
          <wp:effectExtent l="0" t="0" r="0" b="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595" w:type="dxa"/>
      <w:tblInd w:w="3611" w:type="dxa"/>
      <w:tblLayout w:type="fixed"/>
      <w:tblLook w:val="0400" w:firstRow="0" w:lastRow="0" w:firstColumn="0" w:lastColumn="0" w:noHBand="0" w:noVBand="1"/>
    </w:tblPr>
    <w:tblGrid>
      <w:gridCol w:w="2565"/>
      <w:gridCol w:w="3030"/>
    </w:tblGrid>
    <w:tr w:rsidR="00E50E40" w14:paraId="035A1E5A" w14:textId="77777777">
      <w:tc>
        <w:tcPr>
          <w:tcW w:w="2565" w:type="dxa"/>
          <w:vAlign w:val="center"/>
        </w:tcPr>
        <w:p w14:paraId="3406B0CC" w14:textId="77777777" w:rsidR="00E50E40" w:rsidRDefault="00E50E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30" w:type="dxa"/>
          <w:vAlign w:val="center"/>
        </w:tcPr>
        <w:p w14:paraId="7FB950B5" w14:textId="77777777" w:rsidR="00E50E40" w:rsidRDefault="00E50E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06769/INFOEM/IP/RR/2025</w:t>
          </w:r>
        </w:p>
      </w:tc>
    </w:tr>
    <w:tr w:rsidR="00E50E40" w14:paraId="5848F3BC" w14:textId="77777777">
      <w:tc>
        <w:tcPr>
          <w:tcW w:w="2565" w:type="dxa"/>
          <w:vAlign w:val="center"/>
        </w:tcPr>
        <w:p w14:paraId="334B1A12" w14:textId="77777777" w:rsidR="00E50E40" w:rsidRDefault="00E50E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30" w:type="dxa"/>
          <w:vAlign w:val="center"/>
        </w:tcPr>
        <w:p w14:paraId="6333E0EE" w14:textId="28701468" w:rsidR="00E50E40" w:rsidRDefault="00160CA8" w:rsidP="00160CA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rPr>
            <w:t xml:space="preserve">XXXXXXXXX XXXXXXXX </w:t>
          </w:r>
        </w:p>
      </w:tc>
    </w:tr>
    <w:tr w:rsidR="00E50E40" w14:paraId="453F1191" w14:textId="77777777">
      <w:trPr>
        <w:trHeight w:val="152"/>
      </w:trPr>
      <w:tc>
        <w:tcPr>
          <w:tcW w:w="2565" w:type="dxa"/>
          <w:vAlign w:val="center"/>
        </w:tcPr>
        <w:p w14:paraId="01BB5502" w14:textId="77777777" w:rsidR="00E50E40" w:rsidRDefault="00E50E40">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0AB8DBD0" w14:textId="77777777" w:rsidR="00E50E40" w:rsidRDefault="00E50E40">
          <w:pPr>
            <w:tabs>
              <w:tab w:val="center" w:pos="4419"/>
              <w:tab w:val="right" w:pos="8838"/>
            </w:tabs>
            <w:spacing w:after="0" w:line="240" w:lineRule="auto"/>
            <w:rPr>
              <w:rFonts w:ascii="Palatino Linotype" w:eastAsia="Palatino Linotype" w:hAnsi="Palatino Linotype" w:cs="Palatino Linotype"/>
              <w:b/>
              <w:color w:val="000000"/>
            </w:rPr>
          </w:pPr>
        </w:p>
      </w:tc>
      <w:tc>
        <w:tcPr>
          <w:tcW w:w="3030" w:type="dxa"/>
          <w:vAlign w:val="center"/>
        </w:tcPr>
        <w:p w14:paraId="70D562E0" w14:textId="77777777" w:rsidR="00E50E40" w:rsidRDefault="00E50E40" w:rsidP="00837F1B">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Juchitepec </w:t>
          </w:r>
        </w:p>
      </w:tc>
    </w:tr>
    <w:tr w:rsidR="00E50E40" w14:paraId="4FC8E12D" w14:textId="77777777">
      <w:tc>
        <w:tcPr>
          <w:tcW w:w="2565" w:type="dxa"/>
          <w:vAlign w:val="center"/>
        </w:tcPr>
        <w:p w14:paraId="1F91CF74" w14:textId="77777777" w:rsidR="00E50E40" w:rsidRDefault="00E50E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30" w:type="dxa"/>
          <w:vAlign w:val="center"/>
        </w:tcPr>
        <w:p w14:paraId="37D05E92" w14:textId="77777777" w:rsidR="00E50E40" w:rsidRDefault="00E50E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87368E4" w14:textId="77777777" w:rsidR="00E50E40" w:rsidRDefault="00E50E40">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73664"/>
    <w:multiLevelType w:val="hybridMultilevel"/>
    <w:tmpl w:val="E056E39E"/>
    <w:lvl w:ilvl="0" w:tplc="E7F2D62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3306A9"/>
    <w:multiLevelType w:val="multilevel"/>
    <w:tmpl w:val="5EDC7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E111DAB"/>
    <w:multiLevelType w:val="multilevel"/>
    <w:tmpl w:val="A22280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59920376"/>
    <w:multiLevelType w:val="hybridMultilevel"/>
    <w:tmpl w:val="5E0EA6FA"/>
    <w:lvl w:ilvl="0" w:tplc="EABCDF40">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FD94910"/>
    <w:multiLevelType w:val="multilevel"/>
    <w:tmpl w:val="52DC4576"/>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E5E1E00"/>
    <w:multiLevelType w:val="multilevel"/>
    <w:tmpl w:val="30708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6"/>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9EE"/>
    <w:rsid w:val="00001CDB"/>
    <w:rsid w:val="00037228"/>
    <w:rsid w:val="00160CA8"/>
    <w:rsid w:val="00165045"/>
    <w:rsid w:val="00297A11"/>
    <w:rsid w:val="0037689E"/>
    <w:rsid w:val="003E14CF"/>
    <w:rsid w:val="004639EE"/>
    <w:rsid w:val="0048359C"/>
    <w:rsid w:val="007C6E7D"/>
    <w:rsid w:val="00837F1B"/>
    <w:rsid w:val="00887DA7"/>
    <w:rsid w:val="009821A3"/>
    <w:rsid w:val="00A6461E"/>
    <w:rsid w:val="00AC7DEA"/>
    <w:rsid w:val="00CA04D0"/>
    <w:rsid w:val="00D67F1C"/>
    <w:rsid w:val="00DB2469"/>
    <w:rsid w:val="00E50E40"/>
    <w:rsid w:val="00E72281"/>
    <w:rsid w:val="00F62279"/>
    <w:rsid w:val="00F96E79"/>
    <w:rsid w:val="00FC10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5FDBB"/>
  <w15:docId w15:val="{E2F9F199-831E-42FA-A123-4B69262D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663"/>
    <w:rPr>
      <w:rFonts w:eastAsia="Times New Roman" w:cs="Times New Roma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9377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77DA"/>
    <w:rPr>
      <w:rFonts w:ascii="Calibri" w:eastAsia="Times New Roman" w:hAnsi="Calibri" w:cs="Times New Roman"/>
    </w:rPr>
  </w:style>
  <w:style w:type="paragraph" w:styleId="Piedepgina">
    <w:name w:val="footer"/>
    <w:basedOn w:val="Normal"/>
    <w:link w:val="PiedepginaCar"/>
    <w:uiPriority w:val="99"/>
    <w:unhideWhenUsed/>
    <w:rsid w:val="009377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77DA"/>
    <w:rPr>
      <w:rFonts w:ascii="Calibri" w:eastAsia="Times New Roman" w:hAnsi="Calibri"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4721"/>
    <w:pPr>
      <w:spacing w:after="160" w:line="259" w:lineRule="auto"/>
      <w:ind w:left="720"/>
      <w:contextualSpacing/>
    </w:pPr>
    <w:rPr>
      <w:rFonts w:eastAsia="Calibri" w:cs="Calibri"/>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4721"/>
    <w:rPr>
      <w:rFonts w:ascii="Calibri" w:eastAsia="Calibri" w:hAnsi="Calibri" w:cs="Calibri"/>
      <w:lang w:eastAsia="es-MX"/>
    </w:rPr>
  </w:style>
  <w:style w:type="character" w:styleId="Hipervnculo">
    <w:name w:val="Hyperlink"/>
    <w:basedOn w:val="Fuentedeprrafopredeter"/>
    <w:uiPriority w:val="99"/>
    <w:unhideWhenUsed/>
    <w:rsid w:val="003E21AB"/>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B20C1F"/>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B20C1F"/>
    <w:rPr>
      <w:rFonts w:ascii="Times New Roman" w:eastAsia="Times New Roman" w:hAnsi="Times New Roman" w:cs="Times New Roman"/>
      <w:sz w:val="24"/>
      <w:szCs w:val="24"/>
      <w:lang w:val="es-ES" w:eastAsia="es-ES"/>
    </w:r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7C6E7D"/>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7C6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53181">
      <w:bodyDiv w:val="1"/>
      <w:marLeft w:val="0"/>
      <w:marRight w:val="0"/>
      <w:marTop w:val="0"/>
      <w:marBottom w:val="0"/>
      <w:divBdr>
        <w:top w:val="none" w:sz="0" w:space="0" w:color="auto"/>
        <w:left w:val="none" w:sz="0" w:space="0" w:color="auto"/>
        <w:bottom w:val="none" w:sz="0" w:space="0" w:color="auto"/>
        <w:right w:val="none" w:sz="0" w:space="0" w:color="auto"/>
      </w:divBdr>
    </w:div>
    <w:div w:id="320083039">
      <w:bodyDiv w:val="1"/>
      <w:marLeft w:val="0"/>
      <w:marRight w:val="0"/>
      <w:marTop w:val="0"/>
      <w:marBottom w:val="0"/>
      <w:divBdr>
        <w:top w:val="none" w:sz="0" w:space="0" w:color="auto"/>
        <w:left w:val="none" w:sz="0" w:space="0" w:color="auto"/>
        <w:bottom w:val="none" w:sz="0" w:space="0" w:color="auto"/>
        <w:right w:val="none" w:sz="0" w:space="0" w:color="auto"/>
      </w:divBdr>
    </w:div>
    <w:div w:id="383676900">
      <w:bodyDiv w:val="1"/>
      <w:marLeft w:val="0"/>
      <w:marRight w:val="0"/>
      <w:marTop w:val="0"/>
      <w:marBottom w:val="0"/>
      <w:divBdr>
        <w:top w:val="none" w:sz="0" w:space="0" w:color="auto"/>
        <w:left w:val="none" w:sz="0" w:space="0" w:color="auto"/>
        <w:bottom w:val="none" w:sz="0" w:space="0" w:color="auto"/>
        <w:right w:val="none" w:sz="0" w:space="0" w:color="auto"/>
      </w:divBdr>
    </w:div>
    <w:div w:id="960527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presupuestaria.gob.mx/es/PTP/Glosario"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anterior.ine.mx/archivos2/tutoriales/sistemas/ApoyoInstitucional/SIF/docs/candidatos/folioFiscalFactura.pdf"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apartados.hacienda.gob.mx/contabilidad/documentos/informe_cuenta/1998/cuenta_publica/Glosario/n.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GCaOeMHazSE8vJWwRrAUWjl9kQ==">CgMxLjAyCWguMzBqMHpsbDIJaC4zem55c2g3MgloLjFmb2I5dGUyCGguZ2pkZ3hzOAByITE0cTFYNXFZT3R4VHR3c1JqS1dsRGttdkVJbnJBTjRTcw==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8780</Words>
  <Characters>48292</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2025-10-17T01:27:00Z</cp:lastPrinted>
  <dcterms:created xsi:type="dcterms:W3CDTF">2025-11-13T23:48:00Z</dcterms:created>
  <dcterms:modified xsi:type="dcterms:W3CDTF">2025-11-13T23:48:00Z</dcterms:modified>
</cp:coreProperties>
</file>