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5148" w14:textId="117C23DE" w:rsidR="00186072" w:rsidRPr="00142E37" w:rsidRDefault="00544B28">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142E3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A65BD" w:rsidRPr="00142E37">
        <w:rPr>
          <w:rFonts w:ascii="Palatino Linotype" w:eastAsia="Palatino Linotype" w:hAnsi="Palatino Linotype" w:cs="Palatino Linotype"/>
        </w:rPr>
        <w:t>seis de agosto</w:t>
      </w:r>
      <w:r w:rsidRPr="00142E37">
        <w:rPr>
          <w:rFonts w:ascii="Palatino Linotype" w:eastAsia="Palatino Linotype" w:hAnsi="Palatino Linotype" w:cs="Palatino Linotype"/>
        </w:rPr>
        <w:t xml:space="preserve"> de dos mil veinticinco. </w:t>
      </w:r>
    </w:p>
    <w:p w14:paraId="205822E8" w14:textId="539006EA" w:rsidR="00186072" w:rsidRPr="00142E37" w:rsidRDefault="00544B28">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142E37">
        <w:rPr>
          <w:rFonts w:ascii="Palatino Linotype" w:eastAsia="Palatino Linotype" w:hAnsi="Palatino Linotype" w:cs="Palatino Linotype"/>
          <w:b/>
        </w:rPr>
        <w:t>VISTO</w:t>
      </w:r>
      <w:r w:rsidRPr="00142E37">
        <w:rPr>
          <w:rFonts w:ascii="Palatino Linotype" w:eastAsia="Palatino Linotype" w:hAnsi="Palatino Linotype" w:cs="Palatino Linotype"/>
        </w:rPr>
        <w:t xml:space="preserve"> el expediente formado con motivo del recurso de revisión </w:t>
      </w:r>
      <w:r w:rsidR="00FF33A5" w:rsidRPr="00142E37">
        <w:rPr>
          <w:rFonts w:ascii="Palatino Linotype" w:eastAsia="Palatino Linotype" w:hAnsi="Palatino Linotype" w:cs="Palatino Linotype"/>
          <w:b/>
        </w:rPr>
        <w:t>04634/INFOEM/IP/RR/2025</w:t>
      </w:r>
      <w:r w:rsidRPr="00142E37">
        <w:rPr>
          <w:rFonts w:ascii="Palatino Linotype" w:eastAsia="Palatino Linotype" w:hAnsi="Palatino Linotype" w:cs="Palatino Linotype"/>
        </w:rPr>
        <w:t>, interpuesto por</w:t>
      </w:r>
      <w:r w:rsidRPr="00142E37">
        <w:rPr>
          <w:rFonts w:ascii="Palatino Linotype" w:eastAsia="Palatino Linotype" w:hAnsi="Palatino Linotype" w:cs="Palatino Linotype"/>
          <w:b/>
        </w:rPr>
        <w:t xml:space="preserve"> </w:t>
      </w:r>
      <w:r w:rsidR="001D4426" w:rsidRPr="001D4426">
        <w:rPr>
          <w:rFonts w:ascii="Palatino Linotype" w:eastAsia="Palatino Linotype" w:hAnsi="Palatino Linotype" w:cs="Palatino Linotype"/>
          <w:b/>
        </w:rPr>
        <w:t>XXXX XXXXXXXXX XXXXXX XXXX</w:t>
      </w:r>
      <w:r w:rsidRPr="00142E37">
        <w:rPr>
          <w:rFonts w:ascii="Palatino Linotype" w:eastAsia="Palatino Linotype" w:hAnsi="Palatino Linotype" w:cs="Palatino Linotype"/>
          <w:b/>
        </w:rPr>
        <w:t>,</w:t>
      </w:r>
      <w:r w:rsidRPr="00142E37">
        <w:rPr>
          <w:rFonts w:ascii="Palatino Linotype" w:eastAsia="Palatino Linotype" w:hAnsi="Palatino Linotype" w:cs="Palatino Linotype"/>
        </w:rPr>
        <w:t xml:space="preserve"> en lo sucesivo</w:t>
      </w:r>
      <w:r w:rsidRPr="00142E37">
        <w:rPr>
          <w:rFonts w:ascii="Palatino Linotype" w:eastAsia="Palatino Linotype" w:hAnsi="Palatino Linotype" w:cs="Palatino Linotype"/>
          <w:b/>
        </w:rPr>
        <w:t xml:space="preserve"> </w:t>
      </w:r>
      <w:r w:rsidRPr="00142E37">
        <w:rPr>
          <w:rFonts w:ascii="Palatino Linotype" w:eastAsia="Palatino Linotype" w:hAnsi="Palatino Linotype" w:cs="Palatino Linotype"/>
        </w:rPr>
        <w:t xml:space="preserve">la parte </w:t>
      </w:r>
      <w:r w:rsidRPr="00142E37">
        <w:rPr>
          <w:rFonts w:ascii="Palatino Linotype" w:eastAsia="Palatino Linotype" w:hAnsi="Palatino Linotype" w:cs="Palatino Linotype"/>
          <w:b/>
        </w:rPr>
        <w:t>Recurrente,</w:t>
      </w:r>
      <w:r w:rsidRPr="00142E37">
        <w:rPr>
          <w:rFonts w:ascii="Palatino Linotype" w:eastAsia="Palatino Linotype" w:hAnsi="Palatino Linotype" w:cs="Palatino Linotype"/>
        </w:rPr>
        <w:t xml:space="preserve"> en contra de la respuesta a la solicitud de información con número de folio</w:t>
      </w:r>
      <w:r w:rsidRPr="00142E37">
        <w:rPr>
          <w:rFonts w:ascii="Palatino Linotype" w:eastAsia="Palatino Linotype" w:hAnsi="Palatino Linotype" w:cs="Palatino Linotype"/>
          <w:b/>
        </w:rPr>
        <w:t xml:space="preserve"> </w:t>
      </w:r>
      <w:r w:rsidR="00FF33A5" w:rsidRPr="00142E37">
        <w:rPr>
          <w:rFonts w:ascii="Palatino Linotype" w:eastAsia="Palatino Linotype" w:hAnsi="Palatino Linotype" w:cs="Palatino Linotype"/>
          <w:b/>
        </w:rPr>
        <w:t>00069/COYOTEP/IP/2025</w:t>
      </w:r>
      <w:r w:rsidRPr="00142E37">
        <w:rPr>
          <w:rFonts w:ascii="Palatino Linotype" w:eastAsia="Palatino Linotype" w:hAnsi="Palatino Linotype" w:cs="Palatino Linotype"/>
          <w:b/>
        </w:rPr>
        <w:t xml:space="preserve">, </w:t>
      </w:r>
      <w:r w:rsidRPr="00142E37">
        <w:rPr>
          <w:rFonts w:ascii="Palatino Linotype" w:eastAsia="Palatino Linotype" w:hAnsi="Palatino Linotype" w:cs="Palatino Linotype"/>
        </w:rPr>
        <w:t xml:space="preserve">por parte del </w:t>
      </w:r>
      <w:r w:rsidR="00FF33A5" w:rsidRPr="00142E37">
        <w:rPr>
          <w:rFonts w:ascii="Palatino Linotype" w:eastAsia="Palatino Linotype" w:hAnsi="Palatino Linotype" w:cs="Palatino Linotype"/>
          <w:b/>
        </w:rPr>
        <w:t>Ayuntamiento de Coyotepec</w:t>
      </w:r>
      <w:r w:rsidRPr="00142E37">
        <w:rPr>
          <w:rFonts w:ascii="Palatino Linotype" w:eastAsia="Palatino Linotype" w:hAnsi="Palatino Linotype" w:cs="Palatino Linotype"/>
          <w:b/>
        </w:rPr>
        <w:t xml:space="preserve">, </w:t>
      </w:r>
      <w:r w:rsidRPr="00142E37">
        <w:rPr>
          <w:rFonts w:ascii="Palatino Linotype" w:eastAsia="Palatino Linotype" w:hAnsi="Palatino Linotype" w:cs="Palatino Linotype"/>
        </w:rPr>
        <w:t xml:space="preserve">en lo sucesivo el </w:t>
      </w:r>
      <w:r w:rsidRPr="00142E37">
        <w:rPr>
          <w:rFonts w:ascii="Palatino Linotype" w:eastAsia="Palatino Linotype" w:hAnsi="Palatino Linotype" w:cs="Palatino Linotype"/>
          <w:b/>
        </w:rPr>
        <w:t xml:space="preserve">Sujeto Obligado, </w:t>
      </w:r>
      <w:r w:rsidRPr="00142E37">
        <w:rPr>
          <w:rFonts w:ascii="Palatino Linotype" w:eastAsia="Palatino Linotype" w:hAnsi="Palatino Linotype" w:cs="Palatino Linotype"/>
        </w:rPr>
        <w:t xml:space="preserve">se procede a dictar la presente resolución con base en los siguientes: </w:t>
      </w:r>
    </w:p>
    <w:p w14:paraId="703FD98C" w14:textId="77777777" w:rsidR="00186072" w:rsidRPr="00142E37" w:rsidRDefault="00544B28">
      <w:pPr>
        <w:spacing w:before="240" w:after="240" w:line="360" w:lineRule="auto"/>
        <w:jc w:val="center"/>
        <w:rPr>
          <w:rFonts w:ascii="Palatino Linotype" w:eastAsia="Palatino Linotype" w:hAnsi="Palatino Linotype" w:cs="Palatino Linotype"/>
          <w:b/>
        </w:rPr>
      </w:pPr>
      <w:r w:rsidRPr="00142E37">
        <w:rPr>
          <w:rFonts w:ascii="Palatino Linotype" w:eastAsia="Palatino Linotype" w:hAnsi="Palatino Linotype" w:cs="Palatino Linotype"/>
          <w:b/>
        </w:rPr>
        <w:t>I. A N T E C E D E N T E S</w:t>
      </w:r>
    </w:p>
    <w:p w14:paraId="5C89C3B2" w14:textId="54797D46" w:rsidR="00186072" w:rsidRPr="00142E37" w:rsidRDefault="00544B28">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142E37">
        <w:rPr>
          <w:rFonts w:ascii="Palatino Linotype" w:eastAsia="Palatino Linotype" w:hAnsi="Palatino Linotype" w:cs="Palatino Linotype"/>
          <w:b/>
        </w:rPr>
        <w:t>1. Solicitud de acceso a la información.</w:t>
      </w:r>
      <w:r w:rsidRPr="00142E37">
        <w:rPr>
          <w:rFonts w:ascii="Palatino Linotype" w:eastAsia="Palatino Linotype" w:hAnsi="Palatino Linotype" w:cs="Palatino Linotype"/>
        </w:rPr>
        <w:t xml:space="preserve"> El </w:t>
      </w:r>
      <w:r w:rsidR="00FF33A5" w:rsidRPr="00142E37">
        <w:rPr>
          <w:rFonts w:ascii="Palatino Linotype" w:eastAsia="Palatino Linotype" w:hAnsi="Palatino Linotype" w:cs="Palatino Linotype"/>
          <w:b/>
        </w:rPr>
        <w:t xml:space="preserve">veinticinco </w:t>
      </w:r>
      <w:r w:rsidRPr="00142E37">
        <w:rPr>
          <w:rFonts w:ascii="Palatino Linotype" w:eastAsia="Palatino Linotype" w:hAnsi="Palatino Linotype" w:cs="Palatino Linotype"/>
          <w:b/>
        </w:rPr>
        <w:t xml:space="preserve">de </w:t>
      </w:r>
      <w:r w:rsidR="00FF33A5" w:rsidRPr="00142E37">
        <w:rPr>
          <w:rFonts w:ascii="Palatino Linotype" w:eastAsia="Palatino Linotype" w:hAnsi="Palatino Linotype" w:cs="Palatino Linotype"/>
          <w:b/>
        </w:rPr>
        <w:t>febrero</w:t>
      </w:r>
      <w:r w:rsidRPr="00142E37">
        <w:rPr>
          <w:rFonts w:ascii="Palatino Linotype" w:eastAsia="Palatino Linotype" w:hAnsi="Palatino Linotype" w:cs="Palatino Linotype"/>
          <w:b/>
        </w:rPr>
        <w:t xml:space="preserve"> de dos mil veinticinco,</w:t>
      </w:r>
      <w:r w:rsidRPr="00142E37">
        <w:rPr>
          <w:rFonts w:ascii="Palatino Linotype" w:eastAsia="Palatino Linotype" w:hAnsi="Palatino Linotype" w:cs="Palatino Linotype"/>
        </w:rPr>
        <w:t xml:space="preserve"> la parte </w:t>
      </w:r>
      <w:r w:rsidRPr="00142E37">
        <w:rPr>
          <w:rFonts w:ascii="Palatino Linotype" w:eastAsia="Palatino Linotype" w:hAnsi="Palatino Linotype" w:cs="Palatino Linotype"/>
          <w:b/>
        </w:rPr>
        <w:t xml:space="preserve">Recurrente </w:t>
      </w:r>
      <w:r w:rsidRPr="00142E37">
        <w:rPr>
          <w:rFonts w:ascii="Palatino Linotype" w:eastAsia="Palatino Linotype" w:hAnsi="Palatino Linotype" w:cs="Palatino Linotype"/>
        </w:rPr>
        <w:t xml:space="preserve">presentó la solicitud de acceso a la información pública ante 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a través del Sistema de Acceso a la Información Mexiquense, en lo subsecuente el </w:t>
      </w:r>
      <w:r w:rsidRPr="00142E37">
        <w:rPr>
          <w:rFonts w:ascii="Palatino Linotype" w:eastAsia="Palatino Linotype" w:hAnsi="Palatino Linotype" w:cs="Palatino Linotype"/>
          <w:b/>
        </w:rPr>
        <w:t>SAIMEX,</w:t>
      </w:r>
      <w:r w:rsidRPr="00142E37">
        <w:rPr>
          <w:rFonts w:ascii="Palatino Linotype" w:eastAsia="Palatino Linotype" w:hAnsi="Palatino Linotype" w:cs="Palatino Linotype"/>
        </w:rPr>
        <w:t xml:space="preserve"> mediante la cual requirió lo siguiente:</w:t>
      </w:r>
    </w:p>
    <w:p w14:paraId="2C257CF9" w14:textId="2D3F1352" w:rsidR="00186072" w:rsidRPr="00142E37" w:rsidRDefault="00544B28">
      <w:pPr>
        <w:spacing w:before="120" w:after="120"/>
        <w:ind w:left="851" w:right="902"/>
        <w:jc w:val="both"/>
        <w:rPr>
          <w:rFonts w:ascii="Palatino Linotype" w:eastAsia="Palatino Linotype" w:hAnsi="Palatino Linotype" w:cs="Palatino Linotype"/>
          <w:b/>
          <w:i/>
          <w:sz w:val="22"/>
          <w:szCs w:val="22"/>
        </w:rPr>
      </w:pPr>
      <w:r w:rsidRPr="00142E37">
        <w:rPr>
          <w:rFonts w:ascii="Palatino Linotype" w:eastAsia="Palatino Linotype" w:hAnsi="Palatino Linotype" w:cs="Palatino Linotype"/>
          <w:i/>
          <w:sz w:val="22"/>
          <w:szCs w:val="22"/>
        </w:rPr>
        <w:t xml:space="preserve"> “</w:t>
      </w:r>
      <w:r w:rsidR="00FF33A5" w:rsidRPr="00142E37">
        <w:rPr>
          <w:rFonts w:ascii="Palatino Linotype" w:eastAsia="Palatino Linotype" w:hAnsi="Palatino Linotype" w:cs="Palatino Linotype"/>
          <w:i/>
          <w:sz w:val="22"/>
          <w:szCs w:val="22"/>
        </w:rPr>
        <w:t>Nómina debidamente firmada y en su Versión Pública de toda la administración Pública (a excepción de personal operativo de seguridad pública) del periodo comprendido del 01 de enero al 15 de enero de 2025, así como el documento que acredite la dispersión de la misma en tiempo y forma.</w:t>
      </w:r>
      <w:r w:rsidRPr="00142E37">
        <w:rPr>
          <w:rFonts w:ascii="Palatino Linotype" w:eastAsia="Palatino Linotype" w:hAnsi="Palatino Linotype" w:cs="Palatino Linotype"/>
          <w:b/>
          <w:i/>
          <w:sz w:val="22"/>
          <w:szCs w:val="22"/>
        </w:rPr>
        <w:t>”</w:t>
      </w:r>
      <w:r w:rsidRPr="00142E37">
        <w:rPr>
          <w:rFonts w:ascii="Palatino Linotype" w:eastAsia="Palatino Linotype" w:hAnsi="Palatino Linotype" w:cs="Palatino Linotype"/>
          <w:i/>
          <w:sz w:val="22"/>
          <w:szCs w:val="22"/>
        </w:rPr>
        <w:t xml:space="preserve"> (sic) </w:t>
      </w:r>
    </w:p>
    <w:p w14:paraId="35383938" w14:textId="77777777" w:rsidR="00186072" w:rsidRPr="00142E37" w:rsidRDefault="00544B28">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142E37">
        <w:rPr>
          <w:rFonts w:ascii="Palatino Linotype" w:eastAsia="Palatino Linotype" w:hAnsi="Palatino Linotype" w:cs="Palatino Linotype"/>
          <w:b/>
        </w:rPr>
        <w:t>Modalidad de Entrega:</w:t>
      </w:r>
      <w:r w:rsidRPr="00142E37">
        <w:rPr>
          <w:rFonts w:ascii="Palatino Linotype" w:eastAsia="Palatino Linotype" w:hAnsi="Palatino Linotype" w:cs="Palatino Linotype"/>
        </w:rPr>
        <w:t xml:space="preserve"> a través del</w:t>
      </w:r>
      <w:r w:rsidRPr="00142E37">
        <w:rPr>
          <w:rFonts w:ascii="Palatino Linotype" w:eastAsia="Palatino Linotype" w:hAnsi="Palatino Linotype" w:cs="Palatino Linotype"/>
          <w:b/>
        </w:rPr>
        <w:t xml:space="preserve"> SAIMEX.</w:t>
      </w:r>
    </w:p>
    <w:p w14:paraId="65490D5D" w14:textId="0430207B" w:rsidR="001803D6" w:rsidRPr="00142E37" w:rsidRDefault="00544B28" w:rsidP="001803D6">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b/>
        </w:rPr>
        <w:lastRenderedPageBreak/>
        <w:t xml:space="preserve">2. </w:t>
      </w:r>
      <w:r w:rsidR="002357D8" w:rsidRPr="00142E37">
        <w:rPr>
          <w:rFonts w:ascii="Palatino Linotype" w:eastAsia="Palatino Linotype" w:hAnsi="Palatino Linotype" w:cs="Palatino Linotype"/>
          <w:b/>
        </w:rPr>
        <w:t>Prórroga</w:t>
      </w:r>
      <w:r w:rsidR="001803D6" w:rsidRPr="00142E37">
        <w:rPr>
          <w:rFonts w:ascii="Palatino Linotype" w:eastAsia="Palatino Linotype" w:hAnsi="Palatino Linotype" w:cs="Palatino Linotype"/>
          <w:b/>
        </w:rPr>
        <w:t xml:space="preserve">. </w:t>
      </w:r>
      <w:r w:rsidR="001803D6" w:rsidRPr="00142E37">
        <w:rPr>
          <w:rFonts w:ascii="Palatino Linotype" w:eastAsia="Palatino Linotype" w:hAnsi="Palatino Linotype" w:cs="Palatino Linotype"/>
        </w:rPr>
        <w:t xml:space="preserve">El </w:t>
      </w:r>
      <w:r w:rsidR="001803D6" w:rsidRPr="00142E37">
        <w:rPr>
          <w:rFonts w:ascii="Palatino Linotype" w:eastAsia="Palatino Linotype" w:hAnsi="Palatino Linotype" w:cs="Palatino Linotype"/>
          <w:b/>
        </w:rPr>
        <w:t xml:space="preserve">veinte de marzo de dos mil veinticinco, </w:t>
      </w:r>
      <w:r w:rsidR="001803D6" w:rsidRPr="00142E37">
        <w:rPr>
          <w:rFonts w:ascii="Palatino Linotype" w:eastAsia="Palatino Linotype" w:hAnsi="Palatino Linotype" w:cs="Palatino Linotype"/>
        </w:rPr>
        <w:t xml:space="preserve">el </w:t>
      </w:r>
      <w:r w:rsidR="001803D6" w:rsidRPr="00142E37">
        <w:rPr>
          <w:rFonts w:ascii="Palatino Linotype" w:eastAsia="Palatino Linotype" w:hAnsi="Palatino Linotype" w:cs="Palatino Linotype"/>
          <w:b/>
        </w:rPr>
        <w:t xml:space="preserve">Sujeto Obligado </w:t>
      </w:r>
      <w:r w:rsidR="001803D6" w:rsidRPr="00142E37">
        <w:rPr>
          <w:rFonts w:ascii="Palatino Linotype" w:eastAsia="Palatino Linotype" w:hAnsi="Palatino Linotype" w:cs="Palatino Linotype"/>
        </w:rPr>
        <w:t>notificó a la persona solicitante la prórroga para dar respuesta a la solicitud</w:t>
      </w:r>
      <w:r w:rsidR="001803D6" w:rsidRPr="00142E37">
        <w:rPr>
          <w:rFonts w:ascii="Palatino Linotype" w:eastAsia="Palatino Linotype" w:hAnsi="Palatino Linotype" w:cs="Palatino Linotype"/>
          <w:b/>
        </w:rPr>
        <w:t>,</w:t>
      </w:r>
      <w:r w:rsidR="001803D6" w:rsidRPr="00142E37">
        <w:rPr>
          <w:rFonts w:ascii="Palatino Linotype" w:eastAsia="Palatino Linotype" w:hAnsi="Palatino Linotype" w:cs="Palatino Linotype"/>
        </w:rPr>
        <w:t xml:space="preserve"> medularmente en los siguientes términos:</w:t>
      </w:r>
    </w:p>
    <w:p w14:paraId="1AD72A2E" w14:textId="207700EB" w:rsidR="001803D6" w:rsidRPr="00142E37" w:rsidRDefault="001803D6" w:rsidP="001803D6">
      <w:pPr>
        <w:spacing w:before="240" w:after="240"/>
        <w:ind w:left="851"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“...La Coordinación de Recursos Humanos solicita a la Unidad de Transparencia someter a consideración la </w:t>
      </w:r>
      <w:proofErr w:type="spellStart"/>
      <w:r w:rsidRPr="00142E37">
        <w:rPr>
          <w:rFonts w:ascii="Palatino Linotype" w:eastAsia="Palatino Linotype" w:hAnsi="Palatino Linotype" w:cs="Palatino Linotype"/>
          <w:i/>
          <w:sz w:val="22"/>
          <w:szCs w:val="22"/>
        </w:rPr>
        <w:t>prorroga</w:t>
      </w:r>
      <w:proofErr w:type="spellEnd"/>
      <w:r w:rsidRPr="00142E37">
        <w:rPr>
          <w:rFonts w:ascii="Palatino Linotype" w:eastAsia="Palatino Linotype" w:hAnsi="Palatino Linotype" w:cs="Palatino Linotype"/>
          <w:i/>
          <w:sz w:val="22"/>
          <w:szCs w:val="22"/>
        </w:rPr>
        <w:t xml:space="preserve"> a la solicitud con folio 00069/COYOTEP/IP/2025 ya que por la excesiva carga de trabajo no se ha podido enviar la información requerida esto con fundamento al artículo 49 fracción II de la Ley de Transparencia y Acceso a la Información Pública, por lo que se aprobó por unanimidad de votos por medio del Acuerdo 5 de la Tercera Sesión Extraordinaria, anexo acuerdo...” (sic)</w:t>
      </w:r>
    </w:p>
    <w:p w14:paraId="7A868E67" w14:textId="06913DB6" w:rsidR="001803D6" w:rsidRPr="00142E37" w:rsidRDefault="001803D6" w:rsidP="001803D6">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El </w:t>
      </w:r>
      <w:r w:rsidRPr="00142E37">
        <w:rPr>
          <w:rFonts w:ascii="Palatino Linotype" w:eastAsia="Palatino Linotype" w:hAnsi="Palatino Linotype" w:cs="Palatino Linotype"/>
          <w:b/>
        </w:rPr>
        <w:t xml:space="preserve">Sujeto Obligado </w:t>
      </w:r>
      <w:r w:rsidRPr="00142E37">
        <w:rPr>
          <w:rFonts w:ascii="Palatino Linotype" w:eastAsia="Palatino Linotype" w:hAnsi="Palatino Linotype" w:cs="Palatino Linotype"/>
        </w:rPr>
        <w:t xml:space="preserve">anexó el Acta de la Tercera Sesión Extraordinaria del Comité de Transparencia, celebrada el </w:t>
      </w:r>
      <w:r w:rsidR="007755B5" w:rsidRPr="00142E37">
        <w:rPr>
          <w:rFonts w:ascii="Palatino Linotype" w:eastAsia="Palatino Linotype" w:hAnsi="Palatino Linotype" w:cs="Palatino Linotype"/>
        </w:rPr>
        <w:t xml:space="preserve">once de marzo </w:t>
      </w:r>
      <w:r w:rsidRPr="00142E37">
        <w:rPr>
          <w:rFonts w:ascii="Palatino Linotype" w:eastAsia="Palatino Linotype" w:hAnsi="Palatino Linotype" w:cs="Palatino Linotype"/>
        </w:rPr>
        <w:t>de dos mil veinticinco, mediante la cual se aprobó la ampliación del plazo para dar respuesta a la solicitud de información, por un plazo adiciona</w:t>
      </w:r>
      <w:r w:rsidR="007755B5" w:rsidRPr="00142E37">
        <w:rPr>
          <w:rFonts w:ascii="Palatino Linotype" w:eastAsia="Palatino Linotype" w:hAnsi="Palatino Linotype" w:cs="Palatino Linotype"/>
        </w:rPr>
        <w:t>l</w:t>
      </w:r>
      <w:r w:rsidRPr="00142E37">
        <w:rPr>
          <w:rFonts w:ascii="Palatino Linotype" w:eastAsia="Palatino Linotype" w:hAnsi="Palatino Linotype" w:cs="Palatino Linotype"/>
        </w:rPr>
        <w:t xml:space="preserve"> de siete días hábiles presentada por el </w:t>
      </w:r>
      <w:r w:rsidRPr="00142E37">
        <w:rPr>
          <w:rFonts w:ascii="Palatino Linotype" w:hAnsi="Palatino Linotype"/>
        </w:rPr>
        <w:t xml:space="preserve">Servidor Público Habilitado de la Coordinación </w:t>
      </w:r>
      <w:r w:rsidR="003E1EAA" w:rsidRPr="00142E37">
        <w:rPr>
          <w:rFonts w:ascii="Palatino Linotype" w:hAnsi="Palatino Linotype"/>
        </w:rPr>
        <w:t>de Recursos Humanos</w:t>
      </w:r>
      <w:r w:rsidRPr="00142E37">
        <w:rPr>
          <w:rFonts w:ascii="Palatino Linotype" w:hAnsi="Palatino Linotype"/>
        </w:rPr>
        <w:t>.</w:t>
      </w:r>
    </w:p>
    <w:p w14:paraId="48F7EE3D" w14:textId="4FFF423F" w:rsidR="00186072" w:rsidRPr="00142E37" w:rsidRDefault="002357D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b/>
        </w:rPr>
        <w:t xml:space="preserve">3. </w:t>
      </w:r>
      <w:r w:rsidR="00544B28" w:rsidRPr="00142E37">
        <w:rPr>
          <w:rFonts w:ascii="Palatino Linotype" w:eastAsia="Palatino Linotype" w:hAnsi="Palatino Linotype" w:cs="Palatino Linotype"/>
          <w:b/>
        </w:rPr>
        <w:t xml:space="preserve">Respuesta. </w:t>
      </w:r>
      <w:r w:rsidR="00544B28" w:rsidRPr="00142E37">
        <w:rPr>
          <w:rFonts w:ascii="Palatino Linotype" w:eastAsia="Palatino Linotype" w:hAnsi="Palatino Linotype" w:cs="Palatino Linotype"/>
        </w:rPr>
        <w:t xml:space="preserve">El </w:t>
      </w:r>
      <w:r w:rsidR="003E1EAA" w:rsidRPr="00142E37">
        <w:rPr>
          <w:rFonts w:ascii="Palatino Linotype" w:eastAsia="Palatino Linotype" w:hAnsi="Palatino Linotype" w:cs="Palatino Linotype"/>
          <w:b/>
        </w:rPr>
        <w:t>treinta y uno de marzo</w:t>
      </w:r>
      <w:r w:rsidR="00544B28" w:rsidRPr="00142E37">
        <w:rPr>
          <w:rFonts w:ascii="Palatino Linotype" w:eastAsia="Palatino Linotype" w:hAnsi="Palatino Linotype" w:cs="Palatino Linotype"/>
          <w:b/>
        </w:rPr>
        <w:t xml:space="preserve"> de dos mil veinticinco,</w:t>
      </w:r>
      <w:r w:rsidR="00544B28" w:rsidRPr="00142E37">
        <w:rPr>
          <w:rFonts w:ascii="Palatino Linotype" w:eastAsia="Palatino Linotype" w:hAnsi="Palatino Linotype" w:cs="Palatino Linotype"/>
        </w:rPr>
        <w:t xml:space="preserve"> el </w:t>
      </w:r>
      <w:r w:rsidR="00544B28" w:rsidRPr="00142E37">
        <w:rPr>
          <w:rFonts w:ascii="Palatino Linotype" w:eastAsia="Palatino Linotype" w:hAnsi="Palatino Linotype" w:cs="Palatino Linotype"/>
          <w:b/>
        </w:rPr>
        <w:t xml:space="preserve">Sujeto Obligado </w:t>
      </w:r>
      <w:r w:rsidR="00544B28" w:rsidRPr="00142E37">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6A7B6C48" w14:textId="72288987" w:rsidR="00186072" w:rsidRPr="00142E37" w:rsidRDefault="00544B28">
      <w:pPr>
        <w:spacing w:before="240" w:after="24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r w:rsidR="003E1EAA" w:rsidRPr="00142E3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 así mismo se anexa acuerdo de la sexta sesión extraordinaria del Comité de Transparencia en el cual se expuso la clasificación de la información de la solicitud 00069/COYOTEP/IP/2025.</w:t>
      </w:r>
      <w:r w:rsidRPr="00142E37">
        <w:rPr>
          <w:rFonts w:ascii="Palatino Linotype" w:eastAsia="Palatino Linotype" w:hAnsi="Palatino Linotype" w:cs="Palatino Linotype"/>
          <w:i/>
          <w:sz w:val="22"/>
          <w:szCs w:val="22"/>
        </w:rPr>
        <w:t>..” (sic)</w:t>
      </w:r>
    </w:p>
    <w:p w14:paraId="1BF5E2FF" w14:textId="77777777" w:rsidR="003A6269" w:rsidRPr="00142E37" w:rsidRDefault="00544B28">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rPr>
        <w:lastRenderedPageBreak/>
        <w:t xml:space="preserve">El </w:t>
      </w:r>
      <w:r w:rsidRPr="00142E37">
        <w:rPr>
          <w:rFonts w:ascii="Palatino Linotype" w:eastAsia="Palatino Linotype" w:hAnsi="Palatino Linotype" w:cs="Palatino Linotype"/>
          <w:b/>
        </w:rPr>
        <w:t xml:space="preserve">Sujeto Obligado </w:t>
      </w:r>
      <w:r w:rsidRPr="00142E37">
        <w:rPr>
          <w:rFonts w:ascii="Palatino Linotype" w:eastAsia="Palatino Linotype" w:hAnsi="Palatino Linotype" w:cs="Palatino Linotype"/>
        </w:rPr>
        <w:t xml:space="preserve">adjuntó </w:t>
      </w:r>
      <w:r w:rsidR="003A6269" w:rsidRPr="00142E37">
        <w:rPr>
          <w:rFonts w:ascii="Palatino Linotype" w:eastAsia="Palatino Linotype" w:hAnsi="Palatino Linotype" w:cs="Palatino Linotype"/>
        </w:rPr>
        <w:t>lo siguiente:</w:t>
      </w:r>
    </w:p>
    <w:p w14:paraId="6443CAC8" w14:textId="61958EDC" w:rsidR="003E1EAA" w:rsidRPr="00142E37" w:rsidRDefault="003A6269" w:rsidP="009609E5">
      <w:pPr>
        <w:spacing w:before="240" w:after="240" w:line="360" w:lineRule="auto"/>
        <w:ind w:right="49"/>
        <w:jc w:val="both"/>
        <w:rPr>
          <w:rFonts w:ascii="Palatino Linotype" w:eastAsia="Palatino Linotype" w:hAnsi="Palatino Linotype" w:cs="Arial"/>
        </w:rPr>
      </w:pPr>
      <w:r w:rsidRPr="00142E37">
        <w:rPr>
          <w:rFonts w:ascii="Palatino Linotype" w:eastAsia="Palatino Linotype" w:hAnsi="Palatino Linotype" w:cs="Palatino Linotype"/>
        </w:rPr>
        <w:t xml:space="preserve">- </w:t>
      </w:r>
      <w:r w:rsidRPr="00142E37">
        <w:rPr>
          <w:rFonts w:ascii="Palatino Linotype" w:eastAsia="Palatino Linotype" w:hAnsi="Palatino Linotype" w:cs="Arial"/>
        </w:rPr>
        <w:t>O</w:t>
      </w:r>
      <w:r w:rsidR="00544B28" w:rsidRPr="00142E37">
        <w:rPr>
          <w:rFonts w:ascii="Palatino Linotype" w:eastAsia="Palatino Linotype" w:hAnsi="Palatino Linotype" w:cs="Arial"/>
        </w:rPr>
        <w:t xml:space="preserve">ficio número </w:t>
      </w:r>
      <w:r w:rsidR="003E1EAA" w:rsidRPr="00142E37">
        <w:rPr>
          <w:rFonts w:ascii="Palatino Linotype" w:eastAsia="Palatino Linotype" w:hAnsi="Palatino Linotype" w:cs="Arial"/>
        </w:rPr>
        <w:t>COY/CRH/INT/03-2025/0020-BIS</w:t>
      </w:r>
      <w:r w:rsidR="00544B28" w:rsidRPr="00142E37">
        <w:rPr>
          <w:rFonts w:ascii="Palatino Linotype" w:eastAsia="Palatino Linotype" w:hAnsi="Palatino Linotype" w:cs="Arial"/>
        </w:rPr>
        <w:t>, del</w:t>
      </w:r>
      <w:r w:rsidR="003E1EAA" w:rsidRPr="00142E37">
        <w:rPr>
          <w:rFonts w:ascii="Palatino Linotype" w:eastAsia="Palatino Linotype" w:hAnsi="Palatino Linotype" w:cs="Arial"/>
        </w:rPr>
        <w:t xml:space="preserve"> veinticuatro de marzo </w:t>
      </w:r>
      <w:r w:rsidR="00544B28" w:rsidRPr="00142E37">
        <w:rPr>
          <w:rFonts w:ascii="Palatino Linotype" w:eastAsia="Palatino Linotype" w:hAnsi="Palatino Linotype" w:cs="Arial"/>
        </w:rPr>
        <w:t>de dos mil veinticinco, mediante el cual la</w:t>
      </w:r>
      <w:r w:rsidR="003E1EAA" w:rsidRPr="00142E37">
        <w:rPr>
          <w:rFonts w:ascii="Palatino Linotype" w:eastAsia="Palatino Linotype" w:hAnsi="Palatino Linotype" w:cs="Arial"/>
        </w:rPr>
        <w:t xml:space="preserve"> t</w:t>
      </w:r>
      <w:r w:rsidR="009609E5" w:rsidRPr="00142E37">
        <w:rPr>
          <w:rFonts w:ascii="Palatino Linotype" w:eastAsia="Palatino Linotype" w:hAnsi="Palatino Linotype" w:cs="Arial"/>
        </w:rPr>
        <w:t>itular de la</w:t>
      </w:r>
      <w:r w:rsidR="003E1EAA" w:rsidRPr="00142E37">
        <w:rPr>
          <w:rFonts w:ascii="Palatino Linotype" w:eastAsia="Palatino Linotype" w:hAnsi="Palatino Linotype" w:cs="Arial"/>
        </w:rPr>
        <w:t xml:space="preserve"> Coordinación de Recursos Humanos refirió remitir de forma digital, la nómina del ayuntamiento debidamente firmada, correspondiente al periodo del uno al quince de enero de dos mil veinticinco, asimismo solicitó a la Unidad de Transparencia someter a consideración del Comité de Transparencia la propuesta de clasificación de los datos personales contenidos en los recibos de nómina.</w:t>
      </w:r>
    </w:p>
    <w:p w14:paraId="0B77AF00" w14:textId="77777777" w:rsidR="003E1EAA" w:rsidRPr="00142E37" w:rsidRDefault="003E1EAA" w:rsidP="009609E5">
      <w:pPr>
        <w:spacing w:before="240" w:after="240" w:line="360" w:lineRule="auto"/>
        <w:ind w:right="49"/>
        <w:jc w:val="both"/>
        <w:rPr>
          <w:rFonts w:ascii="Palatino Linotype" w:eastAsia="Palatino Linotype" w:hAnsi="Palatino Linotype" w:cs="Arial"/>
        </w:rPr>
      </w:pPr>
      <w:r w:rsidRPr="00142E37">
        <w:rPr>
          <w:rFonts w:ascii="Palatino Linotype" w:eastAsia="Palatino Linotype" w:hAnsi="Palatino Linotype" w:cs="Arial"/>
        </w:rPr>
        <w:t>- 204 recibos de nómina de la primera quincena de enero de dos mil veinticinco testados.</w:t>
      </w:r>
    </w:p>
    <w:p w14:paraId="0EC06BEC" w14:textId="77777777" w:rsidR="003E1EAA" w:rsidRPr="00142E37" w:rsidRDefault="003E1EAA" w:rsidP="009609E5">
      <w:pPr>
        <w:spacing w:before="240" w:after="240" w:line="360" w:lineRule="auto"/>
        <w:ind w:right="49"/>
        <w:jc w:val="both"/>
        <w:rPr>
          <w:rFonts w:ascii="Palatino Linotype" w:eastAsia="Palatino Linotype" w:hAnsi="Palatino Linotype" w:cs="Arial"/>
        </w:rPr>
      </w:pPr>
      <w:r w:rsidRPr="00142E37">
        <w:rPr>
          <w:rFonts w:ascii="Palatino Linotype" w:eastAsia="Palatino Linotype" w:hAnsi="Palatino Linotype" w:cs="Arial"/>
        </w:rPr>
        <w:t>- Acta de la Sexta Sesión Extraordinaria del Comité de Transparencia, celebrada el veintiséis de marzo de dos mil veinticinco, en la que se aprobó la clasificación parcial de la información como confidencial de las documentales mediante las cuales se daría respuesta a la solicitud de información 00069/COYOTEP/IP/2025.</w:t>
      </w:r>
    </w:p>
    <w:p w14:paraId="51B16DA4" w14:textId="4D0F8F92" w:rsidR="00186072" w:rsidRPr="00142E37" w:rsidRDefault="00A83C12">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b/>
        </w:rPr>
        <w:t>4</w:t>
      </w:r>
      <w:r w:rsidR="00544B28" w:rsidRPr="00142E37">
        <w:rPr>
          <w:rFonts w:ascii="Palatino Linotype" w:eastAsia="Palatino Linotype" w:hAnsi="Palatino Linotype" w:cs="Palatino Linotype"/>
          <w:b/>
        </w:rPr>
        <w:t xml:space="preserve">. Interposición del recurso de revisión. </w:t>
      </w:r>
      <w:r w:rsidR="00544B28" w:rsidRPr="00142E37">
        <w:rPr>
          <w:rFonts w:ascii="Palatino Linotype" w:eastAsia="Palatino Linotype" w:hAnsi="Palatino Linotype" w:cs="Palatino Linotype"/>
        </w:rPr>
        <w:t xml:space="preserve">Inconforme con los términos de la respuesta emitida por parte del </w:t>
      </w:r>
      <w:r w:rsidR="00544B28" w:rsidRPr="00142E37">
        <w:rPr>
          <w:rFonts w:ascii="Palatino Linotype" w:eastAsia="Palatino Linotype" w:hAnsi="Palatino Linotype" w:cs="Palatino Linotype"/>
          <w:b/>
        </w:rPr>
        <w:t>Sujeto Obligado</w:t>
      </w:r>
      <w:r w:rsidR="00544B28" w:rsidRPr="00142E37">
        <w:rPr>
          <w:rFonts w:ascii="Palatino Linotype" w:eastAsia="Palatino Linotype" w:hAnsi="Palatino Linotype" w:cs="Palatino Linotype"/>
        </w:rPr>
        <w:t xml:space="preserve">, el </w:t>
      </w:r>
      <w:r w:rsidR="003E1EAA" w:rsidRPr="00142E37">
        <w:rPr>
          <w:rFonts w:ascii="Palatino Linotype" w:eastAsia="Palatino Linotype" w:hAnsi="Palatino Linotype" w:cs="Palatino Linotype"/>
          <w:b/>
        </w:rPr>
        <w:t>veintitrés</w:t>
      </w:r>
      <w:r w:rsidR="00340A3C" w:rsidRPr="00142E37">
        <w:rPr>
          <w:rFonts w:ascii="Palatino Linotype" w:eastAsia="Palatino Linotype" w:hAnsi="Palatino Linotype" w:cs="Palatino Linotype"/>
          <w:b/>
        </w:rPr>
        <w:t xml:space="preserve"> </w:t>
      </w:r>
      <w:r w:rsidR="00290C18" w:rsidRPr="00142E37">
        <w:rPr>
          <w:rFonts w:ascii="Palatino Linotype" w:eastAsia="Palatino Linotype" w:hAnsi="Palatino Linotype" w:cs="Palatino Linotype"/>
          <w:b/>
        </w:rPr>
        <w:t>de abril</w:t>
      </w:r>
      <w:r w:rsidR="00544B28" w:rsidRPr="00142E37">
        <w:rPr>
          <w:rFonts w:ascii="Palatino Linotype" w:eastAsia="Palatino Linotype" w:hAnsi="Palatino Linotype" w:cs="Palatino Linotype"/>
          <w:b/>
        </w:rPr>
        <w:t xml:space="preserve"> de dos mil veinticinco,</w:t>
      </w:r>
      <w:r w:rsidR="00544B28" w:rsidRPr="00142E37">
        <w:rPr>
          <w:rFonts w:ascii="Palatino Linotype" w:eastAsia="Palatino Linotype" w:hAnsi="Palatino Linotype" w:cs="Palatino Linotype"/>
        </w:rPr>
        <w:t xml:space="preserve"> la parte </w:t>
      </w:r>
      <w:r w:rsidR="00544B28" w:rsidRPr="00142E37">
        <w:rPr>
          <w:rFonts w:ascii="Palatino Linotype" w:eastAsia="Palatino Linotype" w:hAnsi="Palatino Linotype" w:cs="Palatino Linotype"/>
          <w:b/>
        </w:rPr>
        <w:t>Recurrente</w:t>
      </w:r>
      <w:r w:rsidR="00544B28" w:rsidRPr="00142E37">
        <w:rPr>
          <w:rFonts w:ascii="Palatino Linotype" w:eastAsia="Palatino Linotype" w:hAnsi="Palatino Linotype" w:cs="Palatino Linotype"/>
        </w:rPr>
        <w:t xml:space="preserve"> interpuso el recurso de revisión a través de </w:t>
      </w:r>
      <w:r w:rsidR="00544B28" w:rsidRPr="00142E37">
        <w:rPr>
          <w:rFonts w:ascii="Palatino Linotype" w:eastAsia="Palatino Linotype" w:hAnsi="Palatino Linotype" w:cs="Palatino Linotype"/>
          <w:b/>
        </w:rPr>
        <w:t xml:space="preserve">SAIMEX, </w:t>
      </w:r>
      <w:r w:rsidR="00544B28" w:rsidRPr="00142E37">
        <w:rPr>
          <w:rFonts w:ascii="Palatino Linotype" w:eastAsia="Palatino Linotype" w:hAnsi="Palatino Linotype" w:cs="Palatino Linotype"/>
        </w:rPr>
        <w:t>en donde se manifestó de la siguiente manera:</w:t>
      </w:r>
    </w:p>
    <w:p w14:paraId="1EC80C57" w14:textId="77777777" w:rsidR="00186072" w:rsidRPr="00142E37" w:rsidRDefault="00544B28">
      <w:pPr>
        <w:spacing w:before="240" w:after="240" w:line="360" w:lineRule="auto"/>
        <w:ind w:right="49"/>
        <w:jc w:val="both"/>
        <w:rPr>
          <w:rFonts w:ascii="Palatino Linotype" w:eastAsia="Palatino Linotype" w:hAnsi="Palatino Linotype" w:cs="Palatino Linotype"/>
          <w:b/>
        </w:rPr>
      </w:pPr>
      <w:r w:rsidRPr="00142E37">
        <w:rPr>
          <w:rFonts w:ascii="Palatino Linotype" w:eastAsia="Palatino Linotype" w:hAnsi="Palatino Linotype" w:cs="Palatino Linotype"/>
          <w:b/>
        </w:rPr>
        <w:t xml:space="preserve">Acto impugnado: </w:t>
      </w:r>
    </w:p>
    <w:p w14:paraId="7B8E1E53" w14:textId="7B6D55B1" w:rsidR="00186072" w:rsidRPr="00142E37" w:rsidRDefault="00544B28">
      <w:pPr>
        <w:tabs>
          <w:tab w:val="left" w:pos="2745"/>
        </w:tabs>
        <w:spacing w:before="240" w:after="240"/>
        <w:ind w:left="851"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r w:rsidR="003E1EAA" w:rsidRPr="00142E37">
        <w:rPr>
          <w:rFonts w:ascii="Palatino Linotype" w:eastAsia="Palatino Linotype" w:hAnsi="Palatino Linotype" w:cs="Palatino Linotype"/>
          <w:i/>
          <w:sz w:val="22"/>
          <w:szCs w:val="22"/>
        </w:rPr>
        <w:t>LA RESPUESTA DEL SUJETO OBLIGADO</w:t>
      </w:r>
      <w:r w:rsidRPr="00142E37">
        <w:rPr>
          <w:rFonts w:ascii="Palatino Linotype" w:eastAsia="Palatino Linotype" w:hAnsi="Palatino Linotype" w:cs="Palatino Linotype"/>
          <w:i/>
          <w:sz w:val="22"/>
          <w:szCs w:val="22"/>
        </w:rPr>
        <w:t>” (sic)</w:t>
      </w:r>
    </w:p>
    <w:p w14:paraId="162E4340" w14:textId="77777777" w:rsidR="00186072" w:rsidRPr="00142E37" w:rsidRDefault="00544B28">
      <w:pPr>
        <w:spacing w:line="360" w:lineRule="auto"/>
        <w:jc w:val="both"/>
        <w:rPr>
          <w:rFonts w:ascii="Palatino Linotype" w:eastAsia="Palatino Linotype" w:hAnsi="Palatino Linotype" w:cs="Palatino Linotype"/>
        </w:rPr>
      </w:pPr>
      <w:bookmarkStart w:id="4" w:name="_heading=h.30j0zll" w:colFirst="0" w:colLast="0"/>
      <w:bookmarkEnd w:id="4"/>
      <w:r w:rsidRPr="00142E37">
        <w:rPr>
          <w:rFonts w:ascii="Palatino Linotype" w:eastAsia="Palatino Linotype" w:hAnsi="Palatino Linotype" w:cs="Palatino Linotype"/>
          <w:b/>
        </w:rPr>
        <w:t>Y, Razones o motivos de inconformidad</w:t>
      </w:r>
      <w:r w:rsidRPr="00142E37">
        <w:rPr>
          <w:rFonts w:ascii="Palatino Linotype" w:eastAsia="Palatino Linotype" w:hAnsi="Palatino Linotype" w:cs="Palatino Linotype"/>
        </w:rPr>
        <w:t>:</w:t>
      </w:r>
    </w:p>
    <w:p w14:paraId="07D6B3B6" w14:textId="0319B7B0" w:rsidR="00186072" w:rsidRPr="00142E37" w:rsidRDefault="00544B28">
      <w:pPr>
        <w:tabs>
          <w:tab w:val="left" w:pos="2745"/>
        </w:tabs>
        <w:spacing w:before="240" w:after="240"/>
        <w:ind w:left="851"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lastRenderedPageBreak/>
        <w:t>“</w:t>
      </w:r>
      <w:r w:rsidR="003E1EAA" w:rsidRPr="00142E37">
        <w:rPr>
          <w:rFonts w:ascii="Palatino Linotype" w:eastAsia="Palatino Linotype" w:hAnsi="Palatino Linotype" w:cs="Palatino Linotype"/>
          <w:i/>
          <w:sz w:val="22"/>
          <w:szCs w:val="22"/>
        </w:rPr>
        <w:t>NO CLASIFICA LA INFORMACIÓN CORRECTAMENTE, LA FIRMA DE LOS SERVIDORES PÚBLICOS ES UN DATO PERSONAL QUE REQUIERE CLASIFICACIÓN CONFIDENCIAL, EN VIRTUD DE QUE NO EXPRESAN ACTOS DE AUTORIDAD AL PLASMARLA EN LOS RECIBOS. POR LO ANTERIOR, SOLICITO ADEMÁS DE LA INFORMACIÓN CLASIFICADA CORRECTAMENTE, SE DE VISTA AL ORGANO DE CONTROL COMPETENTE LA PUBLICACIÓN DE LOS MISMOS.</w:t>
      </w:r>
      <w:r w:rsidRPr="00142E37">
        <w:rPr>
          <w:rFonts w:ascii="Palatino Linotype" w:eastAsia="Palatino Linotype" w:hAnsi="Palatino Linotype" w:cs="Palatino Linotype"/>
          <w:i/>
          <w:sz w:val="22"/>
          <w:szCs w:val="22"/>
        </w:rPr>
        <w:t>” (sic)</w:t>
      </w:r>
    </w:p>
    <w:p w14:paraId="52B90F34" w14:textId="2BE4DFCF" w:rsidR="00186072" w:rsidRPr="00142E37" w:rsidRDefault="00A83C12">
      <w:pPr>
        <w:spacing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b/>
        </w:rPr>
        <w:t>5</w:t>
      </w:r>
      <w:r w:rsidR="00544B28" w:rsidRPr="00142E37">
        <w:rPr>
          <w:rFonts w:ascii="Palatino Linotype" w:eastAsia="Palatino Linotype" w:hAnsi="Palatino Linotype" w:cs="Palatino Linotype"/>
          <w:b/>
        </w:rPr>
        <w:t xml:space="preserve">. Turno. </w:t>
      </w:r>
      <w:r w:rsidR="00544B28" w:rsidRPr="00142E3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544B28" w:rsidRPr="00142E37">
        <w:rPr>
          <w:rFonts w:ascii="Palatino Linotype" w:eastAsia="Palatino Linotype" w:hAnsi="Palatino Linotype" w:cs="Palatino Linotype"/>
          <w:b/>
        </w:rPr>
        <w:t xml:space="preserve">Guadalupe Ramírez Peña, </w:t>
      </w:r>
      <w:r w:rsidR="00544B28" w:rsidRPr="00142E37">
        <w:rPr>
          <w:rFonts w:ascii="Palatino Linotype" w:eastAsia="Palatino Linotype" w:hAnsi="Palatino Linotype" w:cs="Palatino Linotype"/>
        </w:rPr>
        <w:t xml:space="preserve">a efecto de que analizara sobre su admisión o su </w:t>
      </w:r>
      <w:proofErr w:type="spellStart"/>
      <w:r w:rsidR="00544B28" w:rsidRPr="00142E37">
        <w:rPr>
          <w:rFonts w:ascii="Palatino Linotype" w:eastAsia="Palatino Linotype" w:hAnsi="Palatino Linotype" w:cs="Palatino Linotype"/>
        </w:rPr>
        <w:t>desechamiento</w:t>
      </w:r>
      <w:proofErr w:type="spellEnd"/>
      <w:r w:rsidR="00544B28" w:rsidRPr="00142E37">
        <w:rPr>
          <w:rFonts w:ascii="Palatino Linotype" w:eastAsia="Palatino Linotype" w:hAnsi="Palatino Linotype" w:cs="Palatino Linotype"/>
        </w:rPr>
        <w:t>.</w:t>
      </w:r>
    </w:p>
    <w:p w14:paraId="20891FAD" w14:textId="5F3FFE24" w:rsidR="00186072" w:rsidRPr="00142E37" w:rsidRDefault="00A83C12">
      <w:pPr>
        <w:spacing w:before="240" w:after="240" w:line="360" w:lineRule="auto"/>
        <w:jc w:val="both"/>
        <w:rPr>
          <w:rFonts w:ascii="Palatino Linotype" w:eastAsia="Palatino Linotype" w:hAnsi="Palatino Linotype" w:cs="Palatino Linotype"/>
          <w:b/>
        </w:rPr>
      </w:pPr>
      <w:r w:rsidRPr="00142E37">
        <w:rPr>
          <w:rFonts w:ascii="Palatino Linotype" w:eastAsia="Palatino Linotype" w:hAnsi="Palatino Linotype" w:cs="Palatino Linotype"/>
          <w:b/>
        </w:rPr>
        <w:t>6</w:t>
      </w:r>
      <w:r w:rsidR="00544B28" w:rsidRPr="00142E37">
        <w:rPr>
          <w:rFonts w:ascii="Palatino Linotype" w:eastAsia="Palatino Linotype" w:hAnsi="Palatino Linotype" w:cs="Palatino Linotype"/>
          <w:b/>
        </w:rPr>
        <w:t>. Admisión del Recurso de revisión.</w:t>
      </w:r>
      <w:r w:rsidR="00544B28" w:rsidRPr="00142E37">
        <w:rPr>
          <w:rFonts w:ascii="Palatino Linotype" w:eastAsia="Palatino Linotype" w:hAnsi="Palatino Linotype" w:cs="Palatino Linotype"/>
        </w:rPr>
        <w:t xml:space="preserve"> El</w:t>
      </w:r>
      <w:r w:rsidR="00340A3C" w:rsidRPr="00142E37">
        <w:rPr>
          <w:rFonts w:ascii="Palatino Linotype" w:eastAsia="Palatino Linotype" w:hAnsi="Palatino Linotype" w:cs="Palatino Linotype"/>
          <w:b/>
        </w:rPr>
        <w:t xml:space="preserve"> veinti</w:t>
      </w:r>
      <w:r w:rsidRPr="00142E37">
        <w:rPr>
          <w:rFonts w:ascii="Palatino Linotype" w:eastAsia="Palatino Linotype" w:hAnsi="Palatino Linotype" w:cs="Palatino Linotype"/>
          <w:b/>
        </w:rPr>
        <w:t>ocho</w:t>
      </w:r>
      <w:r w:rsidR="00544B28" w:rsidRPr="00142E37">
        <w:rPr>
          <w:rFonts w:ascii="Palatino Linotype" w:eastAsia="Palatino Linotype" w:hAnsi="Palatino Linotype" w:cs="Palatino Linotype"/>
          <w:b/>
        </w:rPr>
        <w:t xml:space="preserve"> de abril de dos mil veinticinco, </w:t>
      </w:r>
      <w:r w:rsidR="00544B28" w:rsidRPr="00142E3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544B28" w:rsidRPr="00142E37">
        <w:rPr>
          <w:rFonts w:ascii="Palatino Linotype" w:eastAsia="Palatino Linotype" w:hAnsi="Palatino Linotype" w:cs="Palatino Linotype"/>
          <w:b/>
        </w:rPr>
        <w:t xml:space="preserve">Sujeto Obligado </w:t>
      </w:r>
      <w:r w:rsidR="00544B28" w:rsidRPr="00142E37">
        <w:rPr>
          <w:rFonts w:ascii="Palatino Linotype" w:eastAsia="Palatino Linotype" w:hAnsi="Palatino Linotype" w:cs="Palatino Linotype"/>
        </w:rPr>
        <w:t>presentara su informe justificado.</w:t>
      </w:r>
    </w:p>
    <w:p w14:paraId="0B3CD9E2" w14:textId="4236B6D2" w:rsidR="00AE2643" w:rsidRPr="00142E37" w:rsidRDefault="00AD0CEA" w:rsidP="00A83C12">
      <w:pPr>
        <w:spacing w:before="240" w:after="240" w:line="360" w:lineRule="auto"/>
        <w:jc w:val="both"/>
        <w:rPr>
          <w:rFonts w:ascii="Palatino Linotype" w:eastAsia="Palatino Linotype" w:hAnsi="Palatino Linotype" w:cs="Palatino Linotype"/>
          <w:bCs/>
        </w:rPr>
      </w:pPr>
      <w:bookmarkStart w:id="5" w:name="_heading=h.2s8eyo1" w:colFirst="0" w:colLast="0"/>
      <w:bookmarkEnd w:id="5"/>
      <w:r w:rsidRPr="00142E37">
        <w:rPr>
          <w:rFonts w:ascii="Palatino Linotype" w:eastAsia="Palatino Linotype" w:hAnsi="Palatino Linotype" w:cs="Palatino Linotype"/>
          <w:b/>
        </w:rPr>
        <w:t>7</w:t>
      </w:r>
      <w:r w:rsidR="00544B28" w:rsidRPr="00142E37">
        <w:rPr>
          <w:rFonts w:ascii="Palatino Linotype" w:eastAsia="Palatino Linotype" w:hAnsi="Palatino Linotype" w:cs="Palatino Linotype"/>
          <w:b/>
        </w:rPr>
        <w:t>. Manifestaciones</w:t>
      </w:r>
      <w:r w:rsidR="00544B28" w:rsidRPr="00142E37">
        <w:rPr>
          <w:rFonts w:ascii="Palatino Linotype" w:eastAsia="Palatino Linotype" w:hAnsi="Palatino Linotype" w:cs="Palatino Linotype"/>
        </w:rPr>
        <w:t xml:space="preserve">. </w:t>
      </w:r>
      <w:r w:rsidRPr="00142E37">
        <w:rPr>
          <w:rFonts w:ascii="Palatino Linotype" w:eastAsia="Palatino Linotype" w:hAnsi="Palatino Linotype" w:cs="Palatino Linotype"/>
        </w:rPr>
        <w:t>De las constancias que obran en el expediente electrónico del SAIMEX se desprende que el Sujeto Obligado no rindió su Informe Justificado, del mismo modo la parte Recurrente omitió realizar manifestaciones, como se observa a continuación:</w:t>
      </w:r>
    </w:p>
    <w:p w14:paraId="33F64CEF" w14:textId="77777777" w:rsidR="00A83C12" w:rsidRPr="00142E37" w:rsidRDefault="00A83C12" w:rsidP="00A83C12">
      <w:pPr>
        <w:spacing w:before="240" w:after="240" w:line="360" w:lineRule="auto"/>
        <w:jc w:val="both"/>
        <w:rPr>
          <w:rFonts w:ascii="Palatino Linotype" w:eastAsia="Palatino Linotype" w:hAnsi="Palatino Linotype" w:cs="Palatino Linotype"/>
          <w:bCs/>
        </w:rPr>
      </w:pPr>
    </w:p>
    <w:p w14:paraId="0AF247B7" w14:textId="586B80F1" w:rsidR="00A83C12" w:rsidRPr="00142E37" w:rsidRDefault="00A83C12" w:rsidP="00A83C1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noProof/>
        </w:rPr>
        <w:lastRenderedPageBreak/>
        <w:drawing>
          <wp:inline distT="0" distB="0" distL="0" distR="0" wp14:anchorId="2F3E80E8" wp14:editId="1CA7DB34">
            <wp:extent cx="5612130" cy="1598295"/>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8295"/>
                    </a:xfrm>
                    <a:prstGeom prst="rect">
                      <a:avLst/>
                    </a:prstGeom>
                  </pic:spPr>
                </pic:pic>
              </a:graphicData>
            </a:graphic>
          </wp:inline>
        </w:drawing>
      </w:r>
    </w:p>
    <w:p w14:paraId="387F6E98" w14:textId="3DD10DCF" w:rsidR="00186072" w:rsidRPr="00142E37" w:rsidRDefault="00AD0CEA">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b/>
        </w:rPr>
        <w:t>8</w:t>
      </w:r>
      <w:r w:rsidR="00544B28" w:rsidRPr="00142E37">
        <w:rPr>
          <w:rFonts w:ascii="Palatino Linotype" w:eastAsia="Palatino Linotype" w:hAnsi="Palatino Linotype" w:cs="Palatino Linotype"/>
          <w:b/>
        </w:rPr>
        <w:t xml:space="preserve">. Cierre de instrucción. </w:t>
      </w:r>
      <w:r w:rsidR="00544B28" w:rsidRPr="00142E3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142E37">
        <w:rPr>
          <w:rFonts w:ascii="Palatino Linotype" w:eastAsia="Palatino Linotype" w:hAnsi="Palatino Linotype" w:cs="Palatino Linotype"/>
          <w:b/>
        </w:rPr>
        <w:t>siete</w:t>
      </w:r>
      <w:r w:rsidR="007A687D" w:rsidRPr="00142E37">
        <w:rPr>
          <w:rFonts w:ascii="Palatino Linotype" w:eastAsia="Palatino Linotype" w:hAnsi="Palatino Linotype" w:cs="Palatino Linotype"/>
          <w:b/>
        </w:rPr>
        <w:t xml:space="preserve"> de julio</w:t>
      </w:r>
      <w:r w:rsidR="00AE2643" w:rsidRPr="00142E37">
        <w:rPr>
          <w:rFonts w:ascii="Palatino Linotype" w:eastAsia="Palatino Linotype" w:hAnsi="Palatino Linotype" w:cs="Palatino Linotype"/>
          <w:b/>
        </w:rPr>
        <w:t xml:space="preserve"> </w:t>
      </w:r>
      <w:r w:rsidR="00544B28" w:rsidRPr="00142E37">
        <w:rPr>
          <w:rFonts w:ascii="Palatino Linotype" w:eastAsia="Palatino Linotype" w:hAnsi="Palatino Linotype" w:cs="Palatino Linotype"/>
          <w:b/>
        </w:rPr>
        <w:t>de dos mil veinticinco</w:t>
      </w:r>
      <w:r w:rsidR="00544B28" w:rsidRPr="00142E3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BC29F9A" w14:textId="143C9411" w:rsidR="00186072" w:rsidRPr="00142E37" w:rsidRDefault="00AD0CEA">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b/>
        </w:rPr>
        <w:t>9</w:t>
      </w:r>
      <w:r w:rsidR="00544B28" w:rsidRPr="00142E37">
        <w:rPr>
          <w:rFonts w:ascii="Palatino Linotype" w:eastAsia="Palatino Linotype" w:hAnsi="Palatino Linotype" w:cs="Palatino Linotype"/>
        </w:rPr>
        <w:t xml:space="preserve">. </w:t>
      </w:r>
      <w:r w:rsidR="00544B28" w:rsidRPr="00142E37">
        <w:rPr>
          <w:rFonts w:ascii="Palatino Linotype" w:eastAsia="Palatino Linotype" w:hAnsi="Palatino Linotype" w:cs="Palatino Linotype"/>
          <w:b/>
        </w:rPr>
        <w:t>Ampliación del término para resolver</w:t>
      </w:r>
      <w:r w:rsidR="00544B28" w:rsidRPr="00142E37">
        <w:rPr>
          <w:rFonts w:ascii="Palatino Linotype" w:eastAsia="Palatino Linotype" w:hAnsi="Palatino Linotype" w:cs="Palatino Linotype"/>
        </w:rPr>
        <w:t xml:space="preserve">. El </w:t>
      </w:r>
      <w:r w:rsidR="001E6E98" w:rsidRPr="00142E37">
        <w:rPr>
          <w:rFonts w:ascii="Palatino Linotype" w:eastAsia="Palatino Linotype" w:hAnsi="Palatino Linotype" w:cs="Palatino Linotype"/>
          <w:b/>
        </w:rPr>
        <w:t xml:space="preserve">diecisiete </w:t>
      </w:r>
      <w:r w:rsidR="007A687D" w:rsidRPr="00142E37">
        <w:rPr>
          <w:rFonts w:ascii="Palatino Linotype" w:eastAsia="Palatino Linotype" w:hAnsi="Palatino Linotype" w:cs="Palatino Linotype"/>
          <w:b/>
        </w:rPr>
        <w:t xml:space="preserve">de julio </w:t>
      </w:r>
      <w:r w:rsidR="00544B28" w:rsidRPr="00142E37">
        <w:rPr>
          <w:rFonts w:ascii="Palatino Linotype" w:eastAsia="Palatino Linotype" w:hAnsi="Palatino Linotype" w:cs="Palatino Linotype"/>
          <w:b/>
        </w:rPr>
        <w:t>de dos mil veinticinco</w:t>
      </w:r>
      <w:r w:rsidR="00544B28" w:rsidRPr="00142E3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4719D61"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5AF6230"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142E37">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44569E02"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F89302"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02C9D39" w14:textId="77777777" w:rsidR="00186072" w:rsidRPr="00142E37" w:rsidRDefault="00544B28">
      <w:pPr>
        <w:spacing w:before="240" w:after="240" w:line="360" w:lineRule="auto"/>
        <w:jc w:val="both"/>
        <w:rPr>
          <w:rFonts w:ascii="Palatino Linotype" w:eastAsia="Palatino Linotype" w:hAnsi="Palatino Linotype" w:cs="Palatino Linotype"/>
          <w:strike/>
        </w:rPr>
      </w:pPr>
      <w:r w:rsidRPr="00142E3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A988A52" w14:textId="77777777" w:rsidR="00186072" w:rsidRPr="00142E37" w:rsidRDefault="00544B2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8FF33DF" w14:textId="77777777" w:rsidR="00186072" w:rsidRPr="00142E37" w:rsidRDefault="00544B2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42E37">
        <w:rPr>
          <w:rFonts w:ascii="Palatino Linotype" w:eastAsia="Palatino Linotype" w:hAnsi="Palatino Linotype" w:cs="Palatino Linotype"/>
        </w:rPr>
        <w:t>Actividad Procesal del interesado. Acciones u omisiones del interesado.</w:t>
      </w:r>
    </w:p>
    <w:p w14:paraId="3175C1D0" w14:textId="77777777" w:rsidR="00186072" w:rsidRPr="00142E37" w:rsidRDefault="00544B2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42E37">
        <w:rPr>
          <w:rFonts w:ascii="Palatino Linotype" w:eastAsia="Palatino Linotype" w:hAnsi="Palatino Linotype" w:cs="Palatino Linotype"/>
        </w:rPr>
        <w:t>Conducta de la Autoridad: Las Acciones u omisiones realizadas en el procedimiento. Así como si la autoridad actuó con la debida diligencia.</w:t>
      </w:r>
    </w:p>
    <w:p w14:paraId="0D990D33" w14:textId="77777777" w:rsidR="00186072" w:rsidRPr="00142E37" w:rsidRDefault="00544B28">
      <w:pPr>
        <w:tabs>
          <w:tab w:val="left" w:pos="567"/>
        </w:tabs>
        <w:spacing w:before="240" w:after="240" w:line="360" w:lineRule="auto"/>
        <w:ind w:left="284"/>
        <w:jc w:val="both"/>
        <w:rPr>
          <w:rFonts w:ascii="Palatino Linotype" w:eastAsia="Palatino Linotype" w:hAnsi="Palatino Linotype" w:cs="Palatino Linotype"/>
        </w:rPr>
      </w:pPr>
      <w:r w:rsidRPr="00142E37">
        <w:rPr>
          <w:rFonts w:ascii="Palatino Linotype" w:eastAsia="Palatino Linotype" w:hAnsi="Palatino Linotype" w:cs="Palatino Linotype"/>
        </w:rPr>
        <w:t>d) La afectación generada en la situación jurídica de la persona involucrada en el proceso: Violación a sus derechos humanos.</w:t>
      </w:r>
    </w:p>
    <w:p w14:paraId="439C1FB0"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788BB0" w14:textId="77777777" w:rsidR="00186072" w:rsidRPr="00142E37" w:rsidRDefault="00544B28">
      <w:pPr>
        <w:spacing w:before="240" w:after="240" w:line="360" w:lineRule="auto"/>
        <w:jc w:val="both"/>
        <w:rPr>
          <w:rFonts w:ascii="Palatino Linotype" w:eastAsia="Palatino Linotype" w:hAnsi="Palatino Linotype" w:cs="Palatino Linotype"/>
          <w:b/>
        </w:rPr>
      </w:pPr>
      <w:r w:rsidRPr="00142E3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42E3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42E37">
        <w:rPr>
          <w:rFonts w:ascii="Palatino Linotype" w:eastAsia="Palatino Linotype" w:hAnsi="Palatino Linotype" w:cs="Palatino Linotype"/>
        </w:rPr>
        <w:t>, visible en la Gaceta del Seminario Judicial de la Federación con el registro digital 205635.</w:t>
      </w:r>
    </w:p>
    <w:p w14:paraId="4693B63B"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C2C05D"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95A7BD6" w14:textId="77777777" w:rsidR="00186072" w:rsidRPr="00142E37" w:rsidRDefault="00544B28">
      <w:pPr>
        <w:spacing w:before="120" w:after="120"/>
        <w:ind w:left="851" w:right="902"/>
        <w:jc w:val="both"/>
        <w:rPr>
          <w:rFonts w:ascii="Palatino Linotype" w:eastAsia="Palatino Linotype" w:hAnsi="Palatino Linotype" w:cs="Palatino Linotype"/>
          <w:sz w:val="22"/>
          <w:szCs w:val="22"/>
        </w:rPr>
      </w:pPr>
      <w:r w:rsidRPr="00142E37">
        <w:rPr>
          <w:rFonts w:ascii="Palatino Linotype" w:eastAsia="Palatino Linotype" w:hAnsi="Palatino Linotype" w:cs="Palatino Linotype"/>
          <w:sz w:val="22"/>
          <w:szCs w:val="22"/>
        </w:rPr>
        <w:t xml:space="preserve"> </w:t>
      </w: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b/>
          <w:i/>
          <w:sz w:val="22"/>
          <w:szCs w:val="22"/>
        </w:rPr>
        <w:t>PLAZO RAZONABLE PARA RESOLVER. DIMENSIÓN Y EFECTOS DE ESTE CONCEPTO CUANDO SE ADUCE EXCESIVA CARGA DE TRABAJO</w:t>
      </w: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sz w:val="22"/>
          <w:szCs w:val="22"/>
        </w:rPr>
        <w:t xml:space="preserve"> consultable en el Seminario Judicial de la Federación y su gaceta, con el registro digital 2002351.</w:t>
      </w:r>
    </w:p>
    <w:p w14:paraId="4F4DA898" w14:textId="77777777" w:rsidR="00186072" w:rsidRPr="00142E37" w:rsidRDefault="00544B28">
      <w:pPr>
        <w:spacing w:before="120" w:after="120"/>
        <w:ind w:left="851" w:right="902"/>
        <w:jc w:val="both"/>
        <w:rPr>
          <w:rFonts w:ascii="Palatino Linotype" w:eastAsia="Palatino Linotype" w:hAnsi="Palatino Linotype" w:cs="Palatino Linotype"/>
          <w:sz w:val="22"/>
          <w:szCs w:val="22"/>
        </w:rPr>
      </w:pP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sz w:val="22"/>
          <w:szCs w:val="22"/>
        </w:rPr>
        <w:t>, visible en el Seminario Judicial de la Federación y su gaceta, con el registro digital 2002350.</w:t>
      </w:r>
    </w:p>
    <w:p w14:paraId="71499F9D"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07D466B"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1033E6D" w14:textId="77777777" w:rsidR="00186072" w:rsidRPr="00142E37" w:rsidRDefault="00544B28">
      <w:pPr>
        <w:widowControl w:val="0"/>
        <w:spacing w:before="240" w:after="240" w:line="360" w:lineRule="auto"/>
        <w:jc w:val="center"/>
        <w:rPr>
          <w:rFonts w:ascii="Palatino Linotype" w:eastAsia="Palatino Linotype" w:hAnsi="Palatino Linotype" w:cs="Palatino Linotype"/>
          <w:b/>
        </w:rPr>
      </w:pPr>
      <w:r w:rsidRPr="00142E37">
        <w:rPr>
          <w:rFonts w:ascii="Palatino Linotype" w:eastAsia="Palatino Linotype" w:hAnsi="Palatino Linotype" w:cs="Palatino Linotype"/>
          <w:b/>
        </w:rPr>
        <w:t>II. C O N S I D E R A N D O S</w:t>
      </w:r>
    </w:p>
    <w:p w14:paraId="047EC759"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b/>
        </w:rPr>
        <w:t>Primero. Competencia.</w:t>
      </w:r>
      <w:r w:rsidRPr="00142E3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w:t>
      </w:r>
      <w:r w:rsidRPr="00142E37">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EB25C74" w14:textId="77777777" w:rsidR="00186072" w:rsidRPr="00142E37" w:rsidRDefault="00544B28">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142E37">
        <w:rPr>
          <w:rFonts w:ascii="Palatino Linotype" w:eastAsia="Palatino Linotype" w:hAnsi="Palatino Linotype" w:cs="Palatino Linotype"/>
          <w:b/>
        </w:rPr>
        <w:t>Segundo. Oportunidad y Procedibilidad del Recurso de Revisión</w:t>
      </w:r>
      <w:r w:rsidRPr="00142E3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B918DAD" w14:textId="3B91684F"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42E37">
        <w:rPr>
          <w:rFonts w:ascii="Palatino Linotype" w:eastAsia="Palatino Linotype" w:hAnsi="Palatino Linotype" w:cs="Palatino Linotype"/>
          <w:b/>
        </w:rPr>
        <w:t xml:space="preserve">Sujeto Obligado </w:t>
      </w:r>
      <w:r w:rsidRPr="00142E37">
        <w:rPr>
          <w:rFonts w:ascii="Palatino Linotype" w:eastAsia="Palatino Linotype" w:hAnsi="Palatino Linotype" w:cs="Palatino Linotype"/>
        </w:rPr>
        <w:t xml:space="preserve">remitió la respuesta a la solicitud de información el día </w:t>
      </w:r>
      <w:r w:rsidR="00AD0CEA" w:rsidRPr="00142E37">
        <w:rPr>
          <w:rFonts w:ascii="Palatino Linotype" w:eastAsia="Palatino Linotype" w:hAnsi="Palatino Linotype" w:cs="Palatino Linotype"/>
          <w:b/>
        </w:rPr>
        <w:t>treinta y uno de marzo de dos mil veinticinco</w:t>
      </w:r>
      <w:r w:rsidRPr="00142E37">
        <w:rPr>
          <w:rFonts w:ascii="Palatino Linotype" w:eastAsia="Palatino Linotype" w:hAnsi="Palatino Linotype" w:cs="Palatino Linotype"/>
          <w:b/>
        </w:rPr>
        <w:t xml:space="preserve">, </w:t>
      </w:r>
      <w:r w:rsidRPr="00142E37">
        <w:rPr>
          <w:rFonts w:ascii="Palatino Linotype" w:eastAsia="Palatino Linotype" w:hAnsi="Palatino Linotype" w:cs="Palatino Linotype"/>
        </w:rPr>
        <w:t xml:space="preserve">mientras que el recurso de revisión interpuesto por la parte </w:t>
      </w:r>
      <w:r w:rsidRPr="00142E37">
        <w:rPr>
          <w:rFonts w:ascii="Palatino Linotype" w:eastAsia="Palatino Linotype" w:hAnsi="Palatino Linotype" w:cs="Palatino Linotype"/>
          <w:b/>
        </w:rPr>
        <w:t xml:space="preserve">Recurrente, </w:t>
      </w:r>
      <w:r w:rsidRPr="00142E37">
        <w:rPr>
          <w:rFonts w:ascii="Palatino Linotype" w:eastAsia="Palatino Linotype" w:hAnsi="Palatino Linotype" w:cs="Palatino Linotype"/>
        </w:rPr>
        <w:t>se tuvo por presentado el día</w:t>
      </w:r>
      <w:r w:rsidRPr="00142E37">
        <w:rPr>
          <w:rFonts w:ascii="Palatino Linotype" w:eastAsia="Palatino Linotype" w:hAnsi="Palatino Linotype" w:cs="Palatino Linotype"/>
          <w:b/>
        </w:rPr>
        <w:t xml:space="preserve"> </w:t>
      </w:r>
      <w:r w:rsidR="00DD6932" w:rsidRPr="00142E37">
        <w:rPr>
          <w:rFonts w:ascii="Palatino Linotype" w:eastAsia="Palatino Linotype" w:hAnsi="Palatino Linotype" w:cs="Palatino Linotype"/>
          <w:b/>
        </w:rPr>
        <w:t>veinticuatro de</w:t>
      </w:r>
      <w:r w:rsidR="000545F6" w:rsidRPr="00142E37">
        <w:rPr>
          <w:rFonts w:ascii="Palatino Linotype" w:eastAsia="Palatino Linotype" w:hAnsi="Palatino Linotype" w:cs="Palatino Linotype"/>
          <w:b/>
        </w:rPr>
        <w:t xml:space="preserve"> abril</w:t>
      </w:r>
      <w:r w:rsidRPr="00142E37">
        <w:rPr>
          <w:rFonts w:ascii="Palatino Linotype" w:eastAsia="Palatino Linotype" w:hAnsi="Palatino Linotype" w:cs="Palatino Linotype"/>
          <w:b/>
        </w:rPr>
        <w:t xml:space="preserve"> de dos mil veinticinco, </w:t>
      </w:r>
      <w:r w:rsidRPr="00142E37">
        <w:rPr>
          <w:rFonts w:ascii="Palatino Linotype" w:eastAsia="Palatino Linotype" w:hAnsi="Palatino Linotype" w:cs="Palatino Linotype"/>
        </w:rPr>
        <w:t>esto es, al</w:t>
      </w:r>
      <w:r w:rsidR="00DD6932" w:rsidRPr="00142E37">
        <w:rPr>
          <w:rFonts w:ascii="Palatino Linotype" w:eastAsia="Palatino Linotype" w:hAnsi="Palatino Linotype" w:cs="Palatino Linotype"/>
        </w:rPr>
        <w:t xml:space="preserve"> décimo </w:t>
      </w:r>
      <w:r w:rsidR="000E4BD8" w:rsidRPr="00142E37">
        <w:rPr>
          <w:rFonts w:ascii="Palatino Linotype" w:eastAsia="Palatino Linotype" w:hAnsi="Palatino Linotype" w:cs="Palatino Linotype"/>
        </w:rPr>
        <w:t>segundo</w:t>
      </w:r>
      <w:r w:rsidR="000545F6" w:rsidRPr="00142E37">
        <w:rPr>
          <w:rFonts w:ascii="Palatino Linotype" w:eastAsia="Palatino Linotype" w:hAnsi="Palatino Linotype" w:cs="Palatino Linotype"/>
        </w:rPr>
        <w:t xml:space="preserve"> día </w:t>
      </w:r>
      <w:r w:rsidRPr="00142E37">
        <w:rPr>
          <w:rFonts w:ascii="Palatino Linotype" w:eastAsia="Palatino Linotype" w:hAnsi="Palatino Linotype" w:cs="Palatino Linotype"/>
        </w:rPr>
        <w:t>hábil posterior a aquel en el que tuvo conocimiento de la respuesta impugnada. En este sentido, se concluye que el presente recurso de revisión se encuentra dentro de los márgenes temporales previstos en las disposiciones legales referidas.</w:t>
      </w:r>
    </w:p>
    <w:p w14:paraId="545B64E8" w14:textId="77777777" w:rsidR="00DD6932" w:rsidRPr="00142E37" w:rsidRDefault="00DD6932" w:rsidP="000E3CA5">
      <w:pPr>
        <w:spacing w:before="240" w:after="240" w:line="360" w:lineRule="auto"/>
        <w:jc w:val="both"/>
        <w:rPr>
          <w:rFonts w:ascii="Palatino Linotype" w:eastAsia="Palatino Linotype" w:hAnsi="Palatino Linotype" w:cs="Palatino Linotype"/>
        </w:rPr>
      </w:pPr>
      <w:bookmarkStart w:id="7" w:name="_heading=h.3znysh7" w:colFirst="0" w:colLast="0"/>
      <w:bookmarkEnd w:id="7"/>
    </w:p>
    <w:p w14:paraId="513AF9B0" w14:textId="77777777" w:rsidR="00DD6932" w:rsidRPr="00142E37" w:rsidRDefault="00DD6932" w:rsidP="000E3CA5">
      <w:pPr>
        <w:spacing w:before="240" w:after="240" w:line="360" w:lineRule="auto"/>
        <w:jc w:val="both"/>
        <w:rPr>
          <w:rFonts w:ascii="Palatino Linotype" w:eastAsia="Palatino Linotype" w:hAnsi="Palatino Linotype" w:cs="Palatino Linotype"/>
        </w:rPr>
      </w:pPr>
    </w:p>
    <w:p w14:paraId="054432D6" w14:textId="77777777" w:rsidR="00DD6932" w:rsidRPr="00142E37" w:rsidRDefault="00DD6932" w:rsidP="00DD693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42E37">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42E37">
        <w:rPr>
          <w:rFonts w:ascii="Palatino Linotype" w:eastAsia="Palatino Linotype" w:hAnsi="Palatino Linotype" w:cs="Palatino Linotype"/>
          <w:b/>
          <w:sz w:val="22"/>
          <w:szCs w:val="22"/>
        </w:rPr>
        <w:t>EL</w:t>
      </w:r>
      <w:r w:rsidRPr="00142E37">
        <w:rPr>
          <w:rFonts w:ascii="Palatino Linotype" w:eastAsia="Palatino Linotype" w:hAnsi="Palatino Linotype" w:cs="Palatino Linotype"/>
          <w:sz w:val="22"/>
          <w:szCs w:val="22"/>
        </w:rPr>
        <w:t xml:space="preserve"> </w:t>
      </w:r>
      <w:r w:rsidRPr="00142E37">
        <w:rPr>
          <w:rFonts w:ascii="Palatino Linotype" w:eastAsia="Palatino Linotype" w:hAnsi="Palatino Linotype" w:cs="Palatino Linotype"/>
          <w:b/>
          <w:sz w:val="22"/>
          <w:szCs w:val="22"/>
        </w:rPr>
        <w:t>SAIMEX</w:t>
      </w:r>
      <w:r w:rsidRPr="00142E37">
        <w:rPr>
          <w:rFonts w:ascii="Palatino Linotype" w:eastAsia="Palatino Linotype" w:hAnsi="Palatino Linotype" w:cs="Palatino Linotype"/>
          <w:sz w:val="22"/>
          <w:szCs w:val="22"/>
        </w:rPr>
        <w:t>.</w:t>
      </w:r>
    </w:p>
    <w:p w14:paraId="69738EFD" w14:textId="4F68C66E"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Finalmente, se advierte que resulta procedente la interposición del recurso, según lo manifestado por la parte </w:t>
      </w:r>
      <w:r w:rsidRPr="00142E37">
        <w:rPr>
          <w:rFonts w:ascii="Palatino Linotype" w:eastAsia="Palatino Linotype" w:hAnsi="Palatino Linotype" w:cs="Palatino Linotype"/>
          <w:b/>
        </w:rPr>
        <w:t>Recurrente</w:t>
      </w:r>
      <w:r w:rsidRPr="00142E37">
        <w:rPr>
          <w:rFonts w:ascii="Palatino Linotype" w:eastAsia="Palatino Linotype" w:hAnsi="Palatino Linotype" w:cs="Palatino Linotype"/>
        </w:rPr>
        <w:t xml:space="preserve"> en sus motivos de inconformidad, de acuerdo al artículo 179, fracción </w:t>
      </w:r>
      <w:r w:rsidR="004973F1" w:rsidRPr="00142E37">
        <w:rPr>
          <w:rFonts w:ascii="Palatino Linotype" w:eastAsia="Palatino Linotype" w:hAnsi="Palatino Linotype" w:cs="Palatino Linotype"/>
        </w:rPr>
        <w:t>II</w:t>
      </w:r>
      <w:r w:rsidRPr="00142E37">
        <w:rPr>
          <w:rFonts w:ascii="Palatino Linotype" w:eastAsia="Palatino Linotype" w:hAnsi="Palatino Linotype" w:cs="Palatino Linotype"/>
        </w:rPr>
        <w:t xml:space="preserve"> del ordenamiento legal citado, que a la letra dice: </w:t>
      </w:r>
    </w:p>
    <w:p w14:paraId="1141607F" w14:textId="77777777" w:rsidR="00186072" w:rsidRPr="00142E37" w:rsidRDefault="00544B28">
      <w:pPr>
        <w:tabs>
          <w:tab w:val="left" w:pos="7938"/>
        </w:tabs>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b/>
          <w:i/>
          <w:sz w:val="22"/>
          <w:szCs w:val="22"/>
        </w:rPr>
        <w:t>Artículo 179.</w:t>
      </w:r>
      <w:r w:rsidRPr="00142E3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1FA0C9" w14:textId="77777777" w:rsidR="000545F6" w:rsidRPr="00142E37" w:rsidRDefault="000545F6">
      <w:pPr>
        <w:tabs>
          <w:tab w:val="left" w:pos="7938"/>
        </w:tabs>
        <w:spacing w:before="120" w:after="120"/>
        <w:ind w:left="1134"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p>
    <w:p w14:paraId="1C67FEC9" w14:textId="68954A6C" w:rsidR="00186072" w:rsidRPr="00142E37" w:rsidRDefault="004973F1">
      <w:pPr>
        <w:tabs>
          <w:tab w:val="left" w:pos="7938"/>
        </w:tabs>
        <w:spacing w:before="120" w:after="120"/>
        <w:ind w:left="1134"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w:t>
      </w:r>
      <w:r w:rsidRPr="00142E37">
        <w:rPr>
          <w:rFonts w:ascii="Palatino Linotype" w:eastAsia="Palatino Linotype" w:hAnsi="Palatino Linotype" w:cs="Palatino Linotype"/>
          <w:i/>
          <w:sz w:val="22"/>
          <w:szCs w:val="22"/>
        </w:rPr>
        <w:t>. La clasificación de la información;</w:t>
      </w:r>
      <w:r w:rsidR="000545F6" w:rsidRPr="00142E37">
        <w:rPr>
          <w:rFonts w:ascii="Palatino Linotype" w:eastAsia="Palatino Linotype" w:hAnsi="Palatino Linotype" w:cs="Palatino Linotype"/>
          <w:i/>
          <w:sz w:val="22"/>
          <w:szCs w:val="22"/>
        </w:rPr>
        <w:t>”</w:t>
      </w:r>
    </w:p>
    <w:p w14:paraId="5CA62E99" w14:textId="77777777" w:rsidR="00186072" w:rsidRPr="00142E37" w:rsidRDefault="00544B28">
      <w:pPr>
        <w:spacing w:before="240" w:after="240" w:line="360" w:lineRule="auto"/>
        <w:jc w:val="both"/>
        <w:rPr>
          <w:rFonts w:ascii="Palatino Linotype" w:eastAsia="Palatino Linotype" w:hAnsi="Palatino Linotype" w:cs="Palatino Linotype"/>
          <w:b/>
        </w:rPr>
      </w:pPr>
      <w:r w:rsidRPr="00142E37">
        <w:rPr>
          <w:rFonts w:ascii="Palatino Linotype" w:eastAsia="Palatino Linotype" w:hAnsi="Palatino Linotype" w:cs="Palatino Linotype"/>
          <w:b/>
        </w:rPr>
        <w:t xml:space="preserve">Tercero. Materia de la revisión. </w:t>
      </w:r>
      <w:r w:rsidRPr="00142E3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42E37">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42E37">
        <w:rPr>
          <w:rFonts w:ascii="Palatino Linotype" w:eastAsia="Palatino Linotype" w:hAnsi="Palatino Linotype" w:cs="Palatino Linotype"/>
        </w:rPr>
        <w:t xml:space="preserve">de la parte </w:t>
      </w:r>
      <w:r w:rsidRPr="00142E37">
        <w:rPr>
          <w:rFonts w:ascii="Palatino Linotype" w:eastAsia="Palatino Linotype" w:hAnsi="Palatino Linotype" w:cs="Palatino Linotype"/>
          <w:b/>
        </w:rPr>
        <w:t>Recurrente</w:t>
      </w:r>
      <w:r w:rsidRPr="00142E37">
        <w:rPr>
          <w:rFonts w:ascii="Palatino Linotype" w:eastAsia="Palatino Linotype" w:hAnsi="Palatino Linotype" w:cs="Palatino Linotype"/>
        </w:rPr>
        <w:t>, o en su defecto, en caso de ser procedente, ordenar la entrega de información.</w:t>
      </w:r>
    </w:p>
    <w:p w14:paraId="6E568BA8" w14:textId="77777777" w:rsidR="00186072" w:rsidRPr="00142E37" w:rsidRDefault="00544B28">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142E37">
        <w:rPr>
          <w:rFonts w:ascii="Palatino Linotype" w:eastAsia="Palatino Linotype" w:hAnsi="Palatino Linotype" w:cs="Palatino Linotype"/>
          <w:b/>
        </w:rPr>
        <w:t xml:space="preserve">Cuarto. Estudio del asunto. </w:t>
      </w:r>
      <w:r w:rsidRPr="00142E37">
        <w:rPr>
          <w:rFonts w:ascii="Palatino Linotype" w:eastAsia="Palatino Linotype" w:hAnsi="Palatino Linotype" w:cs="Palatino Linotype"/>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w:t>
      </w:r>
      <w:r w:rsidRPr="00142E37">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14:paraId="09389157" w14:textId="77777777" w:rsidR="00186072" w:rsidRPr="00142E37" w:rsidRDefault="00544B28">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b/>
          <w:i/>
          <w:sz w:val="22"/>
          <w:szCs w:val="22"/>
        </w:rPr>
        <w:t>Artículo 4</w:t>
      </w:r>
      <w:r w:rsidRPr="00142E3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A2C59E5" w14:textId="77777777" w:rsidR="00186072" w:rsidRPr="00142E37" w:rsidRDefault="00544B28">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42E3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81953B" w14:textId="77777777" w:rsidR="00186072" w:rsidRPr="00142E37" w:rsidRDefault="00544B28">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42E37">
        <w:rPr>
          <w:rFonts w:ascii="Palatino Linotype" w:eastAsia="Palatino Linotype" w:hAnsi="Palatino Linotype" w:cs="Palatino Linotype"/>
          <w:i/>
          <w:sz w:val="22"/>
          <w:szCs w:val="22"/>
        </w:rPr>
        <w:t>.”</w:t>
      </w:r>
    </w:p>
    <w:p w14:paraId="7046FFFA"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ED70A49" w14:textId="77777777" w:rsidR="00186072" w:rsidRPr="00142E37" w:rsidRDefault="00544B28">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“Artículo 12.-</w:t>
      </w:r>
      <w:r w:rsidRPr="00142E3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AB28516" w14:textId="77777777" w:rsidR="00186072" w:rsidRPr="00142E37" w:rsidRDefault="00544B28">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142E37">
        <w:rPr>
          <w:rFonts w:ascii="Palatino Linotype" w:eastAsia="Palatino Linotype" w:hAnsi="Palatino Linotype" w:cs="Palatino Linotype"/>
          <w:i/>
          <w:sz w:val="22"/>
          <w:szCs w:val="22"/>
        </w:rPr>
        <w:t xml:space="preserve">. </w:t>
      </w:r>
      <w:r w:rsidRPr="00142E3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3DA86C7E" w14:textId="77777777" w:rsidR="00186072" w:rsidRPr="00142E37" w:rsidRDefault="00544B28">
      <w:pPr>
        <w:spacing w:before="240" w:after="240" w:line="360" w:lineRule="auto"/>
        <w:ind w:right="-93"/>
        <w:jc w:val="both"/>
        <w:rPr>
          <w:rFonts w:ascii="Palatino Linotype" w:eastAsia="Palatino Linotype" w:hAnsi="Palatino Linotype" w:cs="Palatino Linotype"/>
        </w:rPr>
      </w:pPr>
      <w:r w:rsidRPr="00142E3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156ECE7" w14:textId="77777777" w:rsidR="00186072" w:rsidRPr="00142E37" w:rsidRDefault="00544B28">
      <w:pPr>
        <w:spacing w:before="240" w:after="240" w:line="360" w:lineRule="auto"/>
        <w:jc w:val="both"/>
        <w:rPr>
          <w:rFonts w:ascii="Palatino Linotype" w:eastAsia="Palatino Linotype" w:hAnsi="Palatino Linotype" w:cs="Palatino Linotype"/>
          <w:b/>
        </w:rPr>
      </w:pPr>
      <w:r w:rsidRPr="00142E37">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142E37">
        <w:rPr>
          <w:rFonts w:ascii="Palatino Linotype" w:eastAsia="Palatino Linotype" w:hAnsi="Palatino Linotype" w:cs="Palatino Linotype"/>
        </w:rPr>
        <w:t>que</w:t>
      </w:r>
      <w:proofErr w:type="gramEnd"/>
      <w:r w:rsidRPr="00142E37">
        <w:rPr>
          <w:rFonts w:ascii="Palatino Linotype" w:eastAsia="Palatino Linotype" w:hAnsi="Palatino Linotype" w:cs="Palatino Linotype"/>
        </w:rPr>
        <w:t xml:space="preserve"> por rubro y texto, dispone lo siguiente:</w:t>
      </w:r>
      <w:r w:rsidRPr="00142E37">
        <w:rPr>
          <w:rFonts w:ascii="Palatino Linotype" w:eastAsia="Palatino Linotype" w:hAnsi="Palatino Linotype" w:cs="Palatino Linotype"/>
          <w:b/>
        </w:rPr>
        <w:t xml:space="preserve"> </w:t>
      </w:r>
    </w:p>
    <w:p w14:paraId="7ECB0632" w14:textId="77777777" w:rsidR="00186072" w:rsidRPr="00142E37" w:rsidRDefault="00544B28">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 “</w:t>
      </w:r>
      <w:r w:rsidRPr="00142E37">
        <w:rPr>
          <w:rFonts w:ascii="Palatino Linotype" w:eastAsia="Palatino Linotype" w:hAnsi="Palatino Linotype" w:cs="Palatino Linotype"/>
          <w:b/>
          <w:i/>
          <w:sz w:val="22"/>
          <w:szCs w:val="22"/>
        </w:rPr>
        <w:t>No existe obligación de elaborar documentos ad hoc para atender las solicitudes de acceso a la información.</w:t>
      </w:r>
      <w:r w:rsidRPr="00142E3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DB9B9C7" w14:textId="77777777" w:rsidR="00186072" w:rsidRPr="00142E37" w:rsidRDefault="00544B28">
      <w:pPr>
        <w:spacing w:before="120" w:after="12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18F835" w14:textId="77777777" w:rsidR="00186072" w:rsidRPr="00142E37" w:rsidRDefault="00544B28">
      <w:pPr>
        <w:spacing w:before="120" w:after="12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DF6FF30" w14:textId="77777777" w:rsidR="00186072" w:rsidRPr="00142E37" w:rsidRDefault="00544B28">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b/>
          <w:i/>
          <w:sz w:val="22"/>
          <w:szCs w:val="22"/>
        </w:rPr>
        <w:t xml:space="preserve">Artículo 3. </w:t>
      </w:r>
      <w:r w:rsidRPr="00142E37">
        <w:rPr>
          <w:rFonts w:ascii="Palatino Linotype" w:eastAsia="Palatino Linotype" w:hAnsi="Palatino Linotype" w:cs="Palatino Linotype"/>
          <w:i/>
          <w:sz w:val="22"/>
          <w:szCs w:val="22"/>
        </w:rPr>
        <w:t>Para los efectos de la presente Ley se entenderá por:</w:t>
      </w:r>
    </w:p>
    <w:p w14:paraId="07A8D0E6" w14:textId="77777777" w:rsidR="00186072" w:rsidRPr="00142E37" w:rsidRDefault="00544B28">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p>
    <w:p w14:paraId="7262AFCA" w14:textId="77777777" w:rsidR="00186072" w:rsidRPr="00142E37" w:rsidRDefault="00544B28">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XI. Documento:</w:t>
      </w:r>
      <w:r w:rsidRPr="00142E37">
        <w:rPr>
          <w:rFonts w:ascii="Palatino Linotype" w:eastAsia="Palatino Linotype" w:hAnsi="Palatino Linotype" w:cs="Palatino Linotype"/>
          <w:i/>
          <w:sz w:val="22"/>
          <w:szCs w:val="22"/>
        </w:rPr>
        <w:t xml:space="preserve"> Los expedientes, reportes, estudios, actas</w:t>
      </w:r>
      <w:r w:rsidRPr="00142E37">
        <w:rPr>
          <w:rFonts w:ascii="Palatino Linotype" w:eastAsia="Palatino Linotype" w:hAnsi="Palatino Linotype" w:cs="Palatino Linotype"/>
          <w:b/>
          <w:i/>
          <w:sz w:val="22"/>
          <w:szCs w:val="22"/>
        </w:rPr>
        <w:t>,</w:t>
      </w:r>
      <w:r w:rsidRPr="00142E3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EFEC6FA"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Es aplicable, el criterio de interpretación en el orden administrativo número 0002-11, emitido por Acuerdo del Pleno del Instituto de Transparencia y Acceso a la </w:t>
      </w:r>
      <w:r w:rsidRPr="00142E37">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1F24428F" w14:textId="77777777" w:rsidR="00186072" w:rsidRPr="00142E37" w:rsidRDefault="00544B28">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sz w:val="22"/>
          <w:szCs w:val="22"/>
        </w:rPr>
        <w:t>“</w:t>
      </w:r>
      <w:r w:rsidRPr="00142E3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42E3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1A2457" w14:textId="77777777" w:rsidR="00186072" w:rsidRPr="00142E37" w:rsidRDefault="00544B28">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En </w:t>
      </w:r>
      <w:proofErr w:type="gramStart"/>
      <w:r w:rsidRPr="00142E37">
        <w:rPr>
          <w:rFonts w:ascii="Palatino Linotype" w:eastAsia="Palatino Linotype" w:hAnsi="Palatino Linotype" w:cs="Palatino Linotype"/>
          <w:i/>
          <w:sz w:val="22"/>
          <w:szCs w:val="22"/>
        </w:rPr>
        <w:t>consecuencia</w:t>
      </w:r>
      <w:proofErr w:type="gramEnd"/>
      <w:r w:rsidRPr="00142E3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EF106E0" w14:textId="77777777" w:rsidR="00186072" w:rsidRPr="00142E37" w:rsidRDefault="00544B28">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42E37">
        <w:rPr>
          <w:rFonts w:ascii="Palatino Linotype" w:eastAsia="Palatino Linotype" w:hAnsi="Palatino Linotype" w:cs="Palatino Linotype"/>
          <w:i/>
          <w:sz w:val="22"/>
          <w:szCs w:val="22"/>
        </w:rPr>
        <w:t>que</w:t>
      </w:r>
      <w:proofErr w:type="gramEnd"/>
      <w:r w:rsidRPr="00142E37">
        <w:rPr>
          <w:rFonts w:ascii="Palatino Linotype" w:eastAsia="Palatino Linotype" w:hAnsi="Palatino Linotype" w:cs="Palatino Linotype"/>
          <w:i/>
          <w:sz w:val="22"/>
          <w:szCs w:val="22"/>
        </w:rPr>
        <w:t xml:space="preserve"> en ejercicio de las atribuciones conferidas, sea generada por los Sujetos Obligados;</w:t>
      </w:r>
    </w:p>
    <w:p w14:paraId="7FA1C771" w14:textId="77777777" w:rsidR="00186072" w:rsidRPr="00142E37" w:rsidRDefault="00544B28">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2) Que se trate de información registrada en cualquier soporte documental, </w:t>
      </w:r>
      <w:proofErr w:type="gramStart"/>
      <w:r w:rsidRPr="00142E37">
        <w:rPr>
          <w:rFonts w:ascii="Palatino Linotype" w:eastAsia="Palatino Linotype" w:hAnsi="Palatino Linotype" w:cs="Palatino Linotype"/>
          <w:i/>
          <w:sz w:val="22"/>
          <w:szCs w:val="22"/>
        </w:rPr>
        <w:t>que</w:t>
      </w:r>
      <w:proofErr w:type="gramEnd"/>
      <w:r w:rsidRPr="00142E37">
        <w:rPr>
          <w:rFonts w:ascii="Palatino Linotype" w:eastAsia="Palatino Linotype" w:hAnsi="Palatino Linotype" w:cs="Palatino Linotype"/>
          <w:i/>
          <w:sz w:val="22"/>
          <w:szCs w:val="22"/>
        </w:rPr>
        <w:t xml:space="preserve"> en ejercicio de las atribuciones conferidas, sea administrada por los Sujetos Obligados, y</w:t>
      </w:r>
    </w:p>
    <w:p w14:paraId="7C6D34DB" w14:textId="77777777" w:rsidR="00186072" w:rsidRPr="00142E37" w:rsidRDefault="00544B28">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3) Que se trate de información registrada en cualquier soporte documental, </w:t>
      </w:r>
      <w:proofErr w:type="gramStart"/>
      <w:r w:rsidRPr="00142E37">
        <w:rPr>
          <w:rFonts w:ascii="Palatino Linotype" w:eastAsia="Palatino Linotype" w:hAnsi="Palatino Linotype" w:cs="Palatino Linotype"/>
          <w:i/>
          <w:sz w:val="22"/>
          <w:szCs w:val="22"/>
        </w:rPr>
        <w:t>que</w:t>
      </w:r>
      <w:proofErr w:type="gramEnd"/>
      <w:r w:rsidRPr="00142E37">
        <w:rPr>
          <w:rFonts w:ascii="Palatino Linotype" w:eastAsia="Palatino Linotype" w:hAnsi="Palatino Linotype" w:cs="Palatino Linotype"/>
          <w:i/>
          <w:sz w:val="22"/>
          <w:szCs w:val="22"/>
        </w:rPr>
        <w:t xml:space="preserve"> en ejercicio de las atribuciones conferidas, se encuentre en posesión de los Sujetos Obligados.”</w:t>
      </w:r>
    </w:p>
    <w:p w14:paraId="0491AAAD" w14:textId="77777777" w:rsidR="00186072" w:rsidRPr="00142E37" w:rsidRDefault="00544B28">
      <w:pPr>
        <w:spacing w:before="240" w:after="240" w:line="360" w:lineRule="auto"/>
        <w:ind w:right="51"/>
        <w:jc w:val="both"/>
        <w:rPr>
          <w:rFonts w:ascii="Palatino Linotype" w:eastAsia="Palatino Linotype" w:hAnsi="Palatino Linotype" w:cs="Palatino Linotype"/>
        </w:rPr>
      </w:pPr>
      <w:r w:rsidRPr="00142E37">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4D5EBA"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32465B9" w14:textId="46D23810" w:rsidR="00616B12" w:rsidRPr="00142E37" w:rsidRDefault="00616B12" w:rsidP="00616B12">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rPr>
        <w:t>Por otro lado,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65F3BCE" w14:textId="77777777" w:rsidR="00616B12" w:rsidRPr="00142E37" w:rsidRDefault="00616B12" w:rsidP="00616B1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E862042" w14:textId="77777777" w:rsidR="00616B12" w:rsidRPr="00142E37" w:rsidRDefault="00616B12" w:rsidP="00616B12">
      <w:pPr>
        <w:spacing w:before="240" w:after="240" w:line="360" w:lineRule="auto"/>
        <w:ind w:right="51"/>
        <w:jc w:val="both"/>
        <w:rPr>
          <w:rFonts w:ascii="Palatino Linotype" w:eastAsia="Palatino Linotype" w:hAnsi="Palatino Linotype" w:cs="Palatino Linotype"/>
        </w:rPr>
      </w:pPr>
      <w:r w:rsidRPr="00142E37">
        <w:rPr>
          <w:rFonts w:ascii="Palatino Linotype" w:eastAsia="Palatino Linotype" w:hAnsi="Palatino Linotype" w:cs="Palatino Linotype"/>
        </w:rPr>
        <w:lastRenderedPageBreak/>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A905654" w14:textId="77777777" w:rsidR="00616B12" w:rsidRPr="00142E37" w:rsidRDefault="00616B12" w:rsidP="00616B1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E4C7987" w14:textId="2E99899F" w:rsidR="00616B12" w:rsidRPr="00142E37" w:rsidRDefault="00616B12" w:rsidP="00D06F13">
      <w:pPr>
        <w:spacing w:before="280" w:after="28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w:t>
      </w:r>
      <w:r w:rsidRPr="00142E37">
        <w:rPr>
          <w:rFonts w:ascii="Palatino Linotype" w:eastAsia="Palatino Linotype" w:hAnsi="Palatino Linotype" w:cs="Palatino Linotype"/>
        </w:rPr>
        <w:lastRenderedPageBreak/>
        <w:t xml:space="preserve">Transparencia, turnó la solicitud de información a la </w:t>
      </w:r>
      <w:r w:rsidR="004973F1" w:rsidRPr="00142E37">
        <w:rPr>
          <w:rFonts w:ascii="Palatino Linotype" w:eastAsia="Palatino Linotype" w:hAnsi="Palatino Linotype" w:cs="Palatino Linotype"/>
        </w:rPr>
        <w:t>Coordinación de Recursos Humanos adscrita a la Dirección de Administración</w:t>
      </w:r>
      <w:r w:rsidR="00F116C2" w:rsidRPr="00142E37">
        <w:rPr>
          <w:rFonts w:ascii="Palatino Linotype" w:eastAsia="Palatino Linotype" w:hAnsi="Palatino Linotype" w:cs="Palatino Linotype"/>
        </w:rPr>
        <w:t xml:space="preserve"> </w:t>
      </w:r>
      <w:r w:rsidRPr="00142E37">
        <w:rPr>
          <w:rFonts w:ascii="Palatino Linotype" w:eastAsia="Palatino Linotype" w:hAnsi="Palatino Linotype" w:cs="Palatino Linotype"/>
        </w:rPr>
        <w:t>como la</w:t>
      </w:r>
      <w:r w:rsidR="00F116C2" w:rsidRPr="00142E37">
        <w:rPr>
          <w:rFonts w:ascii="Palatino Linotype" w:eastAsia="Palatino Linotype" w:hAnsi="Palatino Linotype" w:cs="Palatino Linotype"/>
        </w:rPr>
        <w:t xml:space="preserve"> dependencia competente</w:t>
      </w:r>
      <w:r w:rsidRPr="00142E37">
        <w:rPr>
          <w:rFonts w:ascii="Palatino Linotype" w:eastAsia="Palatino Linotype" w:hAnsi="Palatino Linotype" w:cs="Palatino Linotype"/>
        </w:rPr>
        <w:t xml:space="preserve"> para conocer de la información que es del interés de la persona solicitante.</w:t>
      </w:r>
    </w:p>
    <w:p w14:paraId="3AD1EACC" w14:textId="52CDA39E" w:rsidR="00E7446D" w:rsidRPr="00142E37" w:rsidRDefault="00616B12" w:rsidP="00F41AEF">
      <w:pPr>
        <w:spacing w:before="240" w:after="240" w:line="360" w:lineRule="auto"/>
        <w:ind w:right="49"/>
        <w:jc w:val="both"/>
        <w:rPr>
          <w:rFonts w:ascii="Palatino Linotype" w:hAnsi="Palatino Linotype"/>
        </w:rPr>
      </w:pPr>
      <w:r w:rsidRPr="00142E37">
        <w:rPr>
          <w:rFonts w:ascii="Palatino Linotype" w:eastAsia="Palatino Linotype" w:hAnsi="Palatino Linotype" w:cs="Palatino Linotype"/>
        </w:rPr>
        <w:t>Como sustento a lo anterior, es oportuno mencionar que</w:t>
      </w:r>
      <w:r w:rsidR="00F116C2" w:rsidRPr="00142E37">
        <w:rPr>
          <w:rFonts w:ascii="Palatino Linotype" w:eastAsia="Palatino Linotype" w:hAnsi="Palatino Linotype" w:cs="Palatino Linotype"/>
        </w:rPr>
        <w:t xml:space="preserve"> de conformidad con el Manual </w:t>
      </w:r>
      <w:r w:rsidR="000B1ED7" w:rsidRPr="00142E37">
        <w:rPr>
          <w:rFonts w:ascii="Palatino Linotype" w:eastAsia="Palatino Linotype" w:hAnsi="Palatino Linotype" w:cs="Palatino Linotype"/>
        </w:rPr>
        <w:t xml:space="preserve">de Organización de la Dirección de Administración </w:t>
      </w:r>
      <w:r w:rsidR="00F41AEF" w:rsidRPr="00142E37">
        <w:rPr>
          <w:rFonts w:ascii="Palatino Linotype" w:eastAsia="Palatino Linotype" w:hAnsi="Palatino Linotype" w:cs="Palatino Linotype"/>
        </w:rPr>
        <w:t>la Coordinación de Recursos Humanos tiene por objetivo c</w:t>
      </w:r>
      <w:r w:rsidR="00F41AEF" w:rsidRPr="00142E37">
        <w:rPr>
          <w:rFonts w:ascii="Palatino Linotype" w:hAnsi="Palatino Linotype"/>
        </w:rPr>
        <w:t xml:space="preserve">oordinar y Supervisar los sistemas idóneos de administración y desarrollo de personal, con el propósito de orientar y proponer que se apliquen correctamente las políticas, procedimientos y disposiciones jurídico-laborales, para el aprovechamiento óptimo, eficiente y racional de los recursos humanos; así como, mejorar y actualizar permanentemente los sistemas de administración y desarrollo del personal esto en coordinación con el o la Director (a) de Administración, y, entre las funciones que se le confieren </w:t>
      </w:r>
      <w:r w:rsidR="00E7446D" w:rsidRPr="00142E37">
        <w:rPr>
          <w:rFonts w:ascii="Palatino Linotype" w:hAnsi="Palatino Linotype"/>
        </w:rPr>
        <w:t>se encuentran las siguientes:</w:t>
      </w:r>
    </w:p>
    <w:p w14:paraId="54174881" w14:textId="256536B5" w:rsidR="00E7446D" w:rsidRPr="00142E37" w:rsidRDefault="00E7446D" w:rsidP="00E7446D">
      <w:pPr>
        <w:spacing w:before="240" w:after="240" w:line="360" w:lineRule="auto"/>
        <w:ind w:left="284" w:right="49"/>
        <w:jc w:val="both"/>
        <w:rPr>
          <w:rFonts w:ascii="Palatino Linotype" w:hAnsi="Palatino Linotype"/>
        </w:rPr>
      </w:pPr>
      <w:r w:rsidRPr="00142E37">
        <w:rPr>
          <w:rFonts w:ascii="Palatino Linotype" w:hAnsi="Palatino Linotype"/>
        </w:rPr>
        <w:t>- Llevar el registro de todos los servidores públicos que laboran en la administración municipal, clasificados por áreas, categorías, sueldos, horarios y responsabilidades,</w:t>
      </w:r>
    </w:p>
    <w:p w14:paraId="36F07FC4" w14:textId="5E1AB1B6" w:rsidR="00E7446D" w:rsidRPr="00142E37" w:rsidRDefault="00E7446D" w:rsidP="00E7446D">
      <w:pPr>
        <w:spacing w:before="240" w:after="240" w:line="360" w:lineRule="auto"/>
        <w:ind w:left="284" w:right="49"/>
        <w:jc w:val="both"/>
        <w:rPr>
          <w:rFonts w:ascii="Palatino Linotype" w:hAnsi="Palatino Linotype"/>
        </w:rPr>
      </w:pPr>
      <w:r w:rsidRPr="00142E37">
        <w:rPr>
          <w:rFonts w:ascii="Palatino Linotype" w:hAnsi="Palatino Linotype"/>
        </w:rPr>
        <w:t>- Cumplir con el informe oportuno en coordinación con el área de Tesorería Municipal de los empleados del H. ayuntamiento, vía nómina o lista de raya.</w:t>
      </w:r>
    </w:p>
    <w:p w14:paraId="41206F0E" w14:textId="1AF65D9E" w:rsidR="00E7446D" w:rsidRPr="00142E37" w:rsidRDefault="00E7446D" w:rsidP="00E7446D">
      <w:pPr>
        <w:spacing w:before="240" w:after="240" w:line="360" w:lineRule="auto"/>
        <w:ind w:left="284" w:right="49"/>
        <w:jc w:val="both"/>
        <w:rPr>
          <w:rFonts w:ascii="Palatino Linotype" w:hAnsi="Palatino Linotype"/>
        </w:rPr>
      </w:pPr>
      <w:r w:rsidRPr="00142E37">
        <w:rPr>
          <w:rFonts w:ascii="Palatino Linotype" w:hAnsi="Palatino Linotype"/>
        </w:rPr>
        <w:t>- Determinar un adecuado sistema de sueldos y salarios, así como el análisis de puestos de los Servidores Públicos del Ayuntamiento; serán los que para las diferentes categorías establezca el tabulador de sueldos en vigor.</w:t>
      </w:r>
    </w:p>
    <w:p w14:paraId="787246A5" w14:textId="3B2BD788" w:rsidR="00E7446D" w:rsidRPr="00142E37" w:rsidRDefault="00E7446D" w:rsidP="00E7446D">
      <w:pPr>
        <w:spacing w:before="240" w:after="240" w:line="360" w:lineRule="auto"/>
        <w:ind w:left="284" w:right="49"/>
        <w:jc w:val="both"/>
        <w:rPr>
          <w:rFonts w:ascii="Palatino Linotype" w:hAnsi="Palatino Linotype"/>
        </w:rPr>
      </w:pPr>
      <w:r w:rsidRPr="00142E37">
        <w:rPr>
          <w:rFonts w:ascii="Palatino Linotype" w:hAnsi="Palatino Linotype"/>
        </w:rPr>
        <w:lastRenderedPageBreak/>
        <w:t xml:space="preserve">- </w:t>
      </w:r>
      <w:r w:rsidRPr="00142E37">
        <w:rPr>
          <w:rFonts w:ascii="Palatino Linotype" w:hAnsi="Palatino Linotype"/>
          <w:b/>
          <w:u w:val="single"/>
        </w:rPr>
        <w:t>Coordinar la elaboración de nómina quincenalmente</w:t>
      </w:r>
      <w:r w:rsidRPr="00142E37">
        <w:rPr>
          <w:rFonts w:ascii="Palatino Linotype" w:hAnsi="Palatino Linotype"/>
        </w:rPr>
        <w:t>, así como las listas de raya para el pago de los sueldos y salarios y efectuar las deducciones correspondientes.</w:t>
      </w:r>
    </w:p>
    <w:p w14:paraId="5FBAB0A4" w14:textId="4CEEB524" w:rsidR="00616B12" w:rsidRPr="00142E37" w:rsidRDefault="00616B12" w:rsidP="00616B12">
      <w:pPr>
        <w:tabs>
          <w:tab w:val="left" w:pos="3544"/>
        </w:tabs>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Atento a lo anterior, se colige que la </w:t>
      </w:r>
      <w:r w:rsidR="00E7446D" w:rsidRPr="00142E37">
        <w:rPr>
          <w:rFonts w:ascii="Palatino Linotype" w:eastAsia="Palatino Linotype" w:hAnsi="Palatino Linotype" w:cs="Palatino Linotype"/>
        </w:rPr>
        <w:t xml:space="preserve">Coordinación de Recursos Humanos de la </w:t>
      </w:r>
      <w:r w:rsidR="00D06F13" w:rsidRPr="00142E37">
        <w:rPr>
          <w:rFonts w:ascii="Palatino Linotype" w:eastAsia="Palatino Linotype" w:hAnsi="Palatino Linotype" w:cs="Arial"/>
        </w:rPr>
        <w:t xml:space="preserve">Dirección de </w:t>
      </w:r>
      <w:r w:rsidR="00E7446D" w:rsidRPr="00142E37">
        <w:rPr>
          <w:rFonts w:ascii="Palatino Linotype" w:eastAsia="Palatino Linotype" w:hAnsi="Palatino Linotype" w:cs="Arial"/>
        </w:rPr>
        <w:t>Administración</w:t>
      </w:r>
      <w:r w:rsidR="00D06F13" w:rsidRPr="00142E37">
        <w:rPr>
          <w:rFonts w:ascii="Palatino Linotype" w:eastAsia="Palatino Linotype" w:hAnsi="Palatino Linotype" w:cs="Palatino Linotype"/>
        </w:rPr>
        <w:t xml:space="preserve"> cuenta</w:t>
      </w:r>
      <w:r w:rsidRPr="00142E37">
        <w:rPr>
          <w:rFonts w:ascii="Palatino Linotype" w:eastAsia="Palatino Linotype" w:hAnsi="Palatino Linotype" w:cs="Palatino Linotype"/>
        </w:rPr>
        <w:t xml:space="preserve"> con atribuciones para conocer de la información solicitada por la parte </w:t>
      </w:r>
      <w:r w:rsidRPr="00142E37">
        <w:rPr>
          <w:rFonts w:ascii="Palatino Linotype" w:eastAsia="Palatino Linotype" w:hAnsi="Palatino Linotype" w:cs="Palatino Linotype"/>
          <w:b/>
        </w:rPr>
        <w:t>Recurrente</w:t>
      </w:r>
      <w:r w:rsidRPr="00142E37">
        <w:rPr>
          <w:rFonts w:ascii="Palatino Linotype" w:eastAsia="Palatino Linotype" w:hAnsi="Palatino Linotype" w:cs="Palatino Linotype"/>
        </w:rPr>
        <w:t xml:space="preserve">, por lo tanto, </w:t>
      </w:r>
      <w:r w:rsidRPr="00142E37">
        <w:rPr>
          <w:rFonts w:ascii="Palatino Linotype" w:eastAsia="Calibri" w:hAnsi="Palatino Linotype" w:cs="Tahoma"/>
          <w:bCs/>
          <w:iCs/>
          <w:lang w:eastAsia="es-ES_tradnl"/>
        </w:rPr>
        <w:t xml:space="preserve">la Unidad de Transparencia cumplió el </w:t>
      </w:r>
      <w:r w:rsidRPr="00142E37">
        <w:rPr>
          <w:rFonts w:ascii="Palatino Linotype" w:eastAsia="Palatino Linotype" w:hAnsi="Palatino Linotype" w:cs="Palatino Linotype"/>
        </w:rPr>
        <w:t>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2A37E209" w14:textId="77777777" w:rsidR="00186072" w:rsidRPr="00142E37" w:rsidRDefault="00544B28">
      <w:pPr>
        <w:spacing w:before="240" w:after="240" w:line="360" w:lineRule="auto"/>
        <w:ind w:right="51"/>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142E37">
        <w:rPr>
          <w:rFonts w:ascii="Palatino Linotype" w:eastAsia="Palatino Linotype" w:hAnsi="Palatino Linotype" w:cs="Palatino Linotype"/>
          <w:b/>
        </w:rPr>
        <w:t>Recurrente</w:t>
      </w:r>
      <w:r w:rsidRPr="00142E37">
        <w:rPr>
          <w:rFonts w:ascii="Palatino Linotype" w:eastAsia="Palatino Linotype" w:hAnsi="Palatino Linotype" w:cs="Palatino Linotype"/>
        </w:rPr>
        <w:t xml:space="preserve"> requirió al </w:t>
      </w:r>
      <w:r w:rsidRPr="00142E37">
        <w:rPr>
          <w:rFonts w:ascii="Palatino Linotype" w:eastAsia="Palatino Linotype" w:hAnsi="Palatino Linotype" w:cs="Palatino Linotype"/>
          <w:b/>
        </w:rPr>
        <w:t xml:space="preserve">Sujeto Obligado </w:t>
      </w:r>
      <w:r w:rsidRPr="00142E37">
        <w:rPr>
          <w:rFonts w:ascii="Palatino Linotype" w:eastAsia="Palatino Linotype" w:hAnsi="Palatino Linotype" w:cs="Palatino Linotype"/>
        </w:rPr>
        <w:t>le proporcione, información consistente en lo siguiente:</w:t>
      </w:r>
    </w:p>
    <w:p w14:paraId="4404CF03" w14:textId="77777777" w:rsidR="00E7446D" w:rsidRPr="00142E37" w:rsidRDefault="002702BE" w:rsidP="00D06F13">
      <w:pPr>
        <w:spacing w:before="240" w:after="240" w:line="360" w:lineRule="auto"/>
        <w:ind w:left="284" w:right="51"/>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1. </w:t>
      </w:r>
      <w:r w:rsidR="00E7446D" w:rsidRPr="00142E37">
        <w:rPr>
          <w:rFonts w:ascii="Palatino Linotype" w:eastAsia="Palatino Linotype" w:hAnsi="Palatino Linotype" w:cs="Palatino Linotype"/>
        </w:rPr>
        <w:t xml:space="preserve">Nómina del periodo comprendido del uno al quince de enero de dos mil veinticinco, debidamente firmada, en versión pública de toda la administración pública, con excepción de personal operativo de seguridad pública, </w:t>
      </w:r>
    </w:p>
    <w:p w14:paraId="0905C27D" w14:textId="3315845D" w:rsidR="00E7446D" w:rsidRPr="00142E37" w:rsidRDefault="00E7446D" w:rsidP="00D06F13">
      <w:pPr>
        <w:spacing w:before="240" w:after="240" w:line="360" w:lineRule="auto"/>
        <w:ind w:left="284" w:right="51"/>
        <w:jc w:val="both"/>
        <w:rPr>
          <w:rFonts w:ascii="Palatino Linotype" w:eastAsia="Palatino Linotype" w:hAnsi="Palatino Linotype" w:cs="Palatino Linotype"/>
        </w:rPr>
      </w:pPr>
      <w:r w:rsidRPr="00142E37">
        <w:rPr>
          <w:rFonts w:ascii="Palatino Linotype" w:eastAsia="Palatino Linotype" w:hAnsi="Palatino Linotype" w:cs="Palatino Linotype"/>
        </w:rPr>
        <w:t>2. Documento que acredite la dispersión de la nómina referida en el punto anterior.</w:t>
      </w:r>
    </w:p>
    <w:p w14:paraId="5B83C26B" w14:textId="4A6C4C90" w:rsidR="00E7446D" w:rsidRPr="00142E37" w:rsidRDefault="00544B28" w:rsidP="002702BE">
      <w:pPr>
        <w:spacing w:before="240" w:after="240" w:line="360" w:lineRule="auto"/>
        <w:ind w:right="51"/>
        <w:jc w:val="both"/>
        <w:rPr>
          <w:rFonts w:ascii="Palatino Linotype" w:eastAsia="Palatino Linotype" w:hAnsi="Palatino Linotype" w:cs="Arial"/>
        </w:rPr>
      </w:pPr>
      <w:r w:rsidRPr="00142E37">
        <w:rPr>
          <w:rFonts w:ascii="Palatino Linotype" w:eastAsia="Palatino Linotype" w:hAnsi="Palatino Linotype" w:cs="Palatino Linotype"/>
        </w:rPr>
        <w:lastRenderedPageBreak/>
        <w:t xml:space="preserve">En respuesta, </w:t>
      </w:r>
      <w:r w:rsidR="00083BE6" w:rsidRPr="00142E37">
        <w:rPr>
          <w:rFonts w:ascii="Palatino Linotype" w:eastAsia="Palatino Linotype" w:hAnsi="Palatino Linotype" w:cs="Palatino Linotype"/>
        </w:rPr>
        <w:t xml:space="preserve">el </w:t>
      </w:r>
      <w:r w:rsidR="00083BE6" w:rsidRPr="00142E37">
        <w:rPr>
          <w:rFonts w:ascii="Palatino Linotype" w:eastAsia="Palatino Linotype" w:hAnsi="Palatino Linotype" w:cs="Palatino Linotype"/>
          <w:b/>
        </w:rPr>
        <w:t xml:space="preserve">Sujeto Obligado, </w:t>
      </w:r>
      <w:r w:rsidR="00083BE6" w:rsidRPr="00142E37">
        <w:rPr>
          <w:rFonts w:ascii="Palatino Linotype" w:eastAsia="Palatino Linotype" w:hAnsi="Palatino Linotype" w:cs="Palatino Linotype"/>
        </w:rPr>
        <w:t xml:space="preserve">por conducto de la </w:t>
      </w:r>
      <w:r w:rsidR="00E7446D" w:rsidRPr="00142E37">
        <w:rPr>
          <w:rFonts w:ascii="Palatino Linotype" w:eastAsia="Palatino Linotype" w:hAnsi="Palatino Linotype" w:cs="Palatino Linotype"/>
        </w:rPr>
        <w:t>Coordinación de Recursos Humanos</w:t>
      </w:r>
      <w:r w:rsidR="00F21513" w:rsidRPr="00142E37">
        <w:rPr>
          <w:rFonts w:ascii="Palatino Linotype" w:eastAsia="Palatino Linotype" w:hAnsi="Palatino Linotype" w:cs="Palatino Linotype"/>
        </w:rPr>
        <w:t xml:space="preserve"> proporcionó </w:t>
      </w:r>
      <w:r w:rsidR="00F21513" w:rsidRPr="00142E37">
        <w:rPr>
          <w:rFonts w:ascii="Palatino Linotype" w:eastAsia="Palatino Linotype" w:hAnsi="Palatino Linotype" w:cs="Arial"/>
        </w:rPr>
        <w:t>204 recibos de nómina de la primera quincena de enero de dos mil veinticinco testados, acompañados del Acta de la Sexta Sesión Extraordinaria del Comité de Transparencia mediante la cual se aprobó la clasificación parcial de los datos personales</w:t>
      </w:r>
      <w:r w:rsidR="002136B1" w:rsidRPr="00142E37">
        <w:rPr>
          <w:rFonts w:ascii="Palatino Linotype" w:eastAsia="Palatino Linotype" w:hAnsi="Palatino Linotype" w:cs="Arial"/>
        </w:rPr>
        <w:t xml:space="preserve"> tales como CURP, código QR, RFC, número ISSEMyM, sello digital, deducciones que no corresponden con erogaciones por concepto de recurso público y cadena original, </w:t>
      </w:r>
      <w:r w:rsidR="00F21513" w:rsidRPr="00142E37">
        <w:rPr>
          <w:rFonts w:ascii="Palatino Linotype" w:eastAsia="Palatino Linotype" w:hAnsi="Palatino Linotype" w:cs="Arial"/>
        </w:rPr>
        <w:t>contenidos en los mismos como información como confidencial.</w:t>
      </w:r>
    </w:p>
    <w:p w14:paraId="2BD55747" w14:textId="1294BD12" w:rsidR="002136B1" w:rsidRPr="00142E37" w:rsidRDefault="002C029C">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Sin embargo, al no estar conforme con los términos de la respuesta proporcionada, la parte </w:t>
      </w:r>
      <w:r w:rsidRPr="00142E37">
        <w:rPr>
          <w:rFonts w:ascii="Palatino Linotype" w:eastAsia="Palatino Linotype" w:hAnsi="Palatino Linotype" w:cs="Palatino Linotype"/>
          <w:b/>
        </w:rPr>
        <w:t xml:space="preserve">Recurrente </w:t>
      </w:r>
      <w:r w:rsidRPr="00142E37">
        <w:rPr>
          <w:rFonts w:ascii="Palatino Linotype" w:eastAsia="Palatino Linotype" w:hAnsi="Palatino Linotype" w:cs="Palatino Linotype"/>
        </w:rPr>
        <w:t xml:space="preserve">presentó el recurso de revisión que nos ocupa, donde señaló como motivo de inconformidad que </w:t>
      </w:r>
      <w:r w:rsidR="002136B1" w:rsidRPr="00142E37">
        <w:rPr>
          <w:rFonts w:ascii="Palatino Linotype" w:eastAsia="Palatino Linotype" w:hAnsi="Palatino Linotype" w:cs="Palatino Linotype"/>
        </w:rPr>
        <w:t>la información entregada no se había clasificado correctamente, asimismo, refirió que la firma de los servidores públicos era un dato personal que debía clasificarse al no corresponder con un acto de autoridad el plasmar o estampar la misma en los recibos de nómina, razón por la cual solicitó a este Organismo Garante dar vista al Órgano Interno de Control competente.</w:t>
      </w:r>
    </w:p>
    <w:p w14:paraId="60EDCA45" w14:textId="29D75EFF" w:rsidR="00E4560E" w:rsidRPr="00142E37" w:rsidRDefault="00E4560E" w:rsidP="00E4560E">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Es de señalar que de la lectura del motivo de inconformidad de la parte </w:t>
      </w:r>
      <w:r w:rsidRPr="00142E37">
        <w:rPr>
          <w:rFonts w:ascii="Palatino Linotype" w:eastAsia="Palatino Linotype" w:hAnsi="Palatino Linotype" w:cs="Palatino Linotype"/>
          <w:b/>
        </w:rPr>
        <w:t xml:space="preserve">Recurrente, </w:t>
      </w:r>
      <w:r w:rsidRPr="00142E37">
        <w:rPr>
          <w:rFonts w:ascii="Palatino Linotype" w:eastAsia="Palatino Linotype" w:hAnsi="Palatino Linotype" w:cs="Palatino Linotype"/>
        </w:rPr>
        <w:t xml:space="preserve">se advierte que esta no manifestó agravios respecto de los recibos de nómina de los servidores públicos que fueron entregados, así como del documento que acredite la dispersión de la nómina de la primera quincena de enero de dos mil veinticinco, sino que su inconformidad se refiere a la versión pública de los recibos de nómina proporcionados, al considerar que no se clasificaron de manera correcta, por tanto, </w:t>
      </w:r>
      <w:r w:rsidR="00722C93" w:rsidRPr="00142E37">
        <w:rPr>
          <w:rFonts w:ascii="Palatino Linotype" w:eastAsia="Palatino Linotype" w:hAnsi="Palatino Linotype" w:cs="Palatino Linotype"/>
        </w:rPr>
        <w:t>debe declararse consentida esta parte de la respuesta</w:t>
      </w:r>
      <w:r w:rsidRPr="00142E37">
        <w:rPr>
          <w:rFonts w:ascii="Palatino Linotype" w:eastAsia="Palatino Linotype" w:hAnsi="Palatino Linotype" w:cs="Palatino Linotype"/>
        </w:rPr>
        <w:t xml:space="preserve">, pues al no haber realizado manifestaciones de inconformidad al respecto, no pueden producirse efectos </w:t>
      </w:r>
      <w:r w:rsidRPr="00142E37">
        <w:rPr>
          <w:rFonts w:ascii="Palatino Linotype" w:eastAsia="Palatino Linotype" w:hAnsi="Palatino Linotype" w:cs="Palatino Linotype"/>
        </w:rPr>
        <w:lastRenderedPageBreak/>
        <w:t>jurídicos tendentes a revocar, confirmar o modificar el acto, y por consiguiente, no es procedente el análisis de fondo en la resolución.</w:t>
      </w:r>
    </w:p>
    <w:p w14:paraId="55CCD93D" w14:textId="77777777" w:rsidR="00E4560E" w:rsidRPr="00142E37" w:rsidRDefault="00E4560E" w:rsidP="00E4560E">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Lo anterior se estima así, en virtud de que, al no haber realizado manifestaciones de inconformidad al respecto, no pueden producirse efectos jurídicos tendentes a revocar, confirmar o modificar el acto, ya que se infiere que está conforme con la información entregada, </w:t>
      </w:r>
      <w:proofErr w:type="gramStart"/>
      <w:r w:rsidRPr="00142E37">
        <w:rPr>
          <w:rFonts w:ascii="Palatino Linotype" w:eastAsia="Palatino Linotype" w:hAnsi="Palatino Linotype" w:cs="Palatino Linotype"/>
        </w:rPr>
        <w:t>y</w:t>
      </w:r>
      <w:proofErr w:type="gramEnd"/>
      <w:r w:rsidRPr="00142E37">
        <w:rPr>
          <w:rFonts w:ascii="Palatino Linotype" w:eastAsia="Palatino Linotype" w:hAnsi="Palatino Linotype" w:cs="Palatino Linotype"/>
        </w:rPr>
        <w:t xml:space="preserve"> p</w:t>
      </w:r>
      <w:r w:rsidRPr="00142E37">
        <w:rPr>
          <w:rFonts w:ascii="Palatino Linotype" w:hAnsi="Palatino Linotype" w:cs="Arial"/>
        </w:rPr>
        <w:t>or consiguiente, no es procedente el análisis de fondo en la resolución.</w:t>
      </w:r>
    </w:p>
    <w:p w14:paraId="2EB6D540" w14:textId="783C05D6" w:rsidR="00E4560E" w:rsidRPr="00142E37" w:rsidRDefault="00E4560E" w:rsidP="00E4560E">
      <w:pPr>
        <w:spacing w:before="240" w:after="240" w:line="360" w:lineRule="auto"/>
        <w:jc w:val="both"/>
        <w:rPr>
          <w:rFonts w:ascii="Palatino Linotype" w:hAnsi="Palatino Linotype"/>
        </w:rPr>
      </w:pPr>
      <w:r w:rsidRPr="00142E37">
        <w:rPr>
          <w:rFonts w:ascii="Palatino Linotype" w:hAnsi="Palatino Linotype" w:cs="Arial"/>
        </w:rPr>
        <w:t xml:space="preserve">Sirve de apoyo a lo anterior, lo plasmado en el criterio </w:t>
      </w:r>
      <w:r w:rsidR="00722C93" w:rsidRPr="00142E37">
        <w:rPr>
          <w:rFonts w:ascii="Palatino Linotype" w:hAnsi="Palatino Linotype" w:cs="Arial"/>
        </w:rPr>
        <w:t xml:space="preserve">orientador </w:t>
      </w:r>
      <w:r w:rsidRPr="00142E37">
        <w:rPr>
          <w:rFonts w:ascii="Palatino Linotype" w:hAnsi="Palatino Linotype" w:cs="Arial"/>
        </w:rPr>
        <w:t>con clave de control</w:t>
      </w:r>
      <w:r w:rsidRPr="00142E37">
        <w:rPr>
          <w:rFonts w:ascii="Palatino Linotype" w:hAnsi="Palatino Linotype"/>
        </w:rPr>
        <w:t xml:space="preserve"> SO/001/2020, emitido por el entonces Instituto Nacional de Transparencia, Acceso a la Información, y Protección de Datos Personales, INAI, que lleva por rubro y texto, lo siguiente: </w:t>
      </w:r>
    </w:p>
    <w:p w14:paraId="371FB4CB" w14:textId="77777777" w:rsidR="00E4560E" w:rsidRPr="00142E37" w:rsidRDefault="00E4560E" w:rsidP="00E4560E">
      <w:pPr>
        <w:pStyle w:val="Sinespaciado"/>
        <w:spacing w:before="120" w:after="120"/>
        <w:ind w:left="851" w:right="902"/>
        <w:jc w:val="both"/>
        <w:rPr>
          <w:rFonts w:ascii="Palatino Linotype" w:hAnsi="Palatino Linotype"/>
          <w:i/>
          <w:iCs/>
        </w:rPr>
      </w:pPr>
      <w:r w:rsidRPr="00142E37">
        <w:rPr>
          <w:rFonts w:ascii="Palatino Linotype" w:hAnsi="Palatino Linotype"/>
          <w:i/>
          <w:iCs/>
        </w:rPr>
        <w:t>“</w:t>
      </w:r>
      <w:r w:rsidRPr="00142E37">
        <w:rPr>
          <w:rFonts w:ascii="Palatino Linotype" w:hAnsi="Palatino Linotype" w:cs="Arial"/>
          <w:b/>
          <w:i/>
          <w:iCs/>
        </w:rPr>
        <w:t xml:space="preserve">Actos consentidos tácitamente. Improcedencia de su análisis. </w:t>
      </w:r>
      <w:r w:rsidRPr="00142E37">
        <w:rPr>
          <w:rFonts w:ascii="Palatino Linotype" w:hAnsi="Palatino Linotype" w:cs="Arial"/>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142E37">
        <w:rPr>
          <w:rFonts w:ascii="Palatino Linotype" w:hAnsi="Palatino Linotype"/>
          <w:i/>
          <w:iCs/>
        </w:rPr>
        <w:t>”</w:t>
      </w:r>
    </w:p>
    <w:p w14:paraId="5667A098" w14:textId="77777777" w:rsidR="00E4560E" w:rsidRPr="00142E37" w:rsidRDefault="00E4560E" w:rsidP="00E4560E">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 Asimismo, resulta aplicable por analogía la tesis jurisprudencial número VI.3o.C. J/60, publicada en el Semanario Judicial de la Federación y su Gaceta bajo el número de registro 176,608 que a la letra dice:</w:t>
      </w:r>
    </w:p>
    <w:p w14:paraId="6088C0AE" w14:textId="77777777" w:rsidR="00E4560E" w:rsidRPr="00142E37" w:rsidRDefault="00E4560E" w:rsidP="00E4560E">
      <w:pPr>
        <w:ind w:left="851" w:right="900"/>
        <w:jc w:val="both"/>
        <w:rPr>
          <w:rFonts w:ascii="Palatino Linotype" w:eastAsia="Palatino Linotype" w:hAnsi="Palatino Linotype" w:cs="Palatino Linotype"/>
          <w:i/>
        </w:rPr>
      </w:pPr>
      <w:r w:rsidRPr="00142E37">
        <w:rPr>
          <w:rFonts w:ascii="Palatino Linotype" w:eastAsia="Palatino Linotype" w:hAnsi="Palatino Linotype" w:cs="Palatino Linotype"/>
          <w:b/>
          <w:i/>
          <w:smallCaps/>
        </w:rPr>
        <w:t xml:space="preserve">“ACTOS CONSENTIDOS. SON LOS QUE NO SE IMPUGNAN MEDIANTE EL RECURSO IDÓNEO. </w:t>
      </w:r>
      <w:r w:rsidRPr="00142E37">
        <w:rPr>
          <w:rFonts w:ascii="Palatino Linotype" w:eastAsia="Palatino Linotype" w:hAnsi="Palatino Linotype" w:cs="Palatino Linotype"/>
          <w:i/>
        </w:rPr>
        <w:t xml:space="preserve">Debe reputarse como consentido el acto que no se impugnó por el medio establecido por la ley, </w:t>
      </w:r>
      <w:proofErr w:type="gramStart"/>
      <w:r w:rsidRPr="00142E37">
        <w:rPr>
          <w:rFonts w:ascii="Palatino Linotype" w:eastAsia="Palatino Linotype" w:hAnsi="Palatino Linotype" w:cs="Palatino Linotype"/>
          <w:i/>
        </w:rPr>
        <w:t>ya que</w:t>
      </w:r>
      <w:proofErr w:type="gramEnd"/>
      <w:r w:rsidRPr="00142E37">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w:t>
      </w:r>
      <w:r w:rsidRPr="00142E37">
        <w:rPr>
          <w:rFonts w:ascii="Palatino Linotype" w:eastAsia="Palatino Linotype" w:hAnsi="Palatino Linotype" w:cs="Palatino Linotype"/>
          <w:i/>
        </w:rPr>
        <w:lastRenderedPageBreak/>
        <w:t>lo que significa consentimiento del mismo por falta de impugnación eficaz.”</w:t>
      </w:r>
    </w:p>
    <w:p w14:paraId="275D1416" w14:textId="77777777" w:rsidR="00722C93" w:rsidRPr="00142E37" w:rsidRDefault="00E4560E" w:rsidP="00722C93">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consecuencia, </w:t>
      </w:r>
      <w:r w:rsidR="00722C93" w:rsidRPr="00142E37">
        <w:rPr>
          <w:rFonts w:ascii="Palatino Linotype" w:eastAsia="Palatino Linotype" w:hAnsi="Palatino Linotype" w:cs="Palatino Linotype"/>
        </w:rPr>
        <w:t xml:space="preserve">ante la falta de impugnación eficaz, el acto debe declararse consentido por la persona solicitante, </w:t>
      </w:r>
      <w:proofErr w:type="gramStart"/>
      <w:r w:rsidR="00722C93" w:rsidRPr="00142E37">
        <w:rPr>
          <w:rFonts w:ascii="Palatino Linotype" w:eastAsia="Palatino Linotype" w:hAnsi="Palatino Linotype" w:cs="Palatino Linotype"/>
        </w:rPr>
        <w:t>y</w:t>
      </w:r>
      <w:proofErr w:type="gramEnd"/>
      <w:r w:rsidR="00722C93" w:rsidRPr="00142E37">
        <w:rPr>
          <w:rFonts w:ascii="Palatino Linotype" w:eastAsia="Palatino Linotype" w:hAnsi="Palatino Linotype" w:cs="Palatino Linotype"/>
        </w:rPr>
        <w:t xml:space="preserve"> por consiguiente, no es procedente el análisis de fondo en la resolución.</w:t>
      </w:r>
    </w:p>
    <w:p w14:paraId="6E2CEE4F" w14:textId="77777777" w:rsidR="00722C93" w:rsidRPr="00142E37" w:rsidRDefault="00722C93" w:rsidP="00722C9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Durante el periodo de manifestaciones el </w:t>
      </w:r>
      <w:r w:rsidRPr="00142E37">
        <w:rPr>
          <w:rFonts w:ascii="Palatino Linotype" w:eastAsia="Palatino Linotype" w:hAnsi="Palatino Linotype" w:cs="Palatino Linotype"/>
          <w:b/>
        </w:rPr>
        <w:t xml:space="preserve">Sujeto Obligado </w:t>
      </w:r>
      <w:r w:rsidRPr="00142E37">
        <w:rPr>
          <w:rFonts w:ascii="Palatino Linotype" w:eastAsia="Palatino Linotype" w:hAnsi="Palatino Linotype" w:cs="Palatino Linotype"/>
        </w:rPr>
        <w:t xml:space="preserve">fue omiso en rendir su informe justificado, y la parte </w:t>
      </w:r>
      <w:r w:rsidRPr="00142E37">
        <w:rPr>
          <w:rFonts w:ascii="Palatino Linotype" w:eastAsia="Palatino Linotype" w:hAnsi="Palatino Linotype" w:cs="Palatino Linotype"/>
          <w:b/>
        </w:rPr>
        <w:t xml:space="preserve">Recurrente </w:t>
      </w:r>
      <w:r w:rsidRPr="00142E37">
        <w:rPr>
          <w:rFonts w:ascii="Palatino Linotype" w:eastAsia="Palatino Linotype" w:hAnsi="Palatino Linotype" w:cs="Palatino Linotype"/>
        </w:rPr>
        <w:t xml:space="preserve">fue omisa en hacer valer manifestaciones o rendir alegatos que conforme a derecho resultaran procedentes, por lo </w:t>
      </w:r>
      <w:proofErr w:type="gramStart"/>
      <w:r w:rsidRPr="00142E37">
        <w:rPr>
          <w:rFonts w:ascii="Palatino Linotype" w:eastAsia="Palatino Linotype" w:hAnsi="Palatino Linotype" w:cs="Palatino Linotype"/>
        </w:rPr>
        <w:t>tanto</w:t>
      </w:r>
      <w:proofErr w:type="gramEnd"/>
      <w:r w:rsidRPr="00142E37">
        <w:rPr>
          <w:rFonts w:ascii="Palatino Linotype" w:eastAsia="Palatino Linotype" w:hAnsi="Palatino Linotype" w:cs="Palatino Linotype"/>
        </w:rPr>
        <w:t xml:space="preserve"> se tiene por precluido su derecho.</w:t>
      </w:r>
    </w:p>
    <w:p w14:paraId="787C75CB" w14:textId="2AE0C776" w:rsidR="00186072" w:rsidRPr="00142E37" w:rsidRDefault="00544B28">
      <w:pPr>
        <w:spacing w:before="280" w:after="28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Una vez establecidas las posturas de las partes, se procede al análisis de</w:t>
      </w:r>
      <w:r w:rsidR="002C52E7" w:rsidRPr="00142E37">
        <w:rPr>
          <w:rFonts w:ascii="Palatino Linotype" w:eastAsia="Palatino Linotype" w:hAnsi="Palatino Linotype" w:cs="Palatino Linotype"/>
        </w:rPr>
        <w:t>l requerimiento de información</w:t>
      </w:r>
      <w:r w:rsidR="00722C93" w:rsidRPr="00142E37">
        <w:rPr>
          <w:rFonts w:ascii="Palatino Linotype" w:eastAsia="Palatino Linotype" w:hAnsi="Palatino Linotype" w:cs="Palatino Linotype"/>
        </w:rPr>
        <w:t xml:space="preserve"> combatido</w:t>
      </w:r>
      <w:r w:rsidRPr="00142E37">
        <w:rPr>
          <w:rFonts w:ascii="Palatino Linotype" w:eastAsia="Palatino Linotype" w:hAnsi="Palatino Linotype" w:cs="Palatino Linotype"/>
        </w:rPr>
        <w:t xml:space="preserve">, así como la información proporcionada por el </w:t>
      </w:r>
      <w:r w:rsidRPr="00142E37">
        <w:rPr>
          <w:rFonts w:ascii="Palatino Linotype" w:eastAsia="Palatino Linotype" w:hAnsi="Palatino Linotype" w:cs="Palatino Linotype"/>
          <w:b/>
        </w:rPr>
        <w:t xml:space="preserve">Sujeto Obligado, </w:t>
      </w:r>
      <w:r w:rsidRPr="00142E37">
        <w:rPr>
          <w:rFonts w:ascii="Palatino Linotype" w:eastAsia="Palatino Linotype" w:hAnsi="Palatino Linotype" w:cs="Palatino Linotype"/>
        </w:rPr>
        <w:t xml:space="preserve">en contraposición con el motivo de inconformidad alegado por la parte </w:t>
      </w:r>
      <w:r w:rsidRPr="00142E37">
        <w:rPr>
          <w:rFonts w:ascii="Palatino Linotype" w:eastAsia="Palatino Linotype" w:hAnsi="Palatino Linotype" w:cs="Palatino Linotype"/>
          <w:b/>
        </w:rPr>
        <w:t xml:space="preserve">Recurrente, </w:t>
      </w:r>
      <w:r w:rsidRPr="00142E37">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42C0B97" w14:textId="77777777" w:rsidR="00722C93" w:rsidRPr="00142E37" w:rsidRDefault="00C35C53" w:rsidP="00722C93">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noProof/>
        </w:rPr>
        <w:t>En tal s</w:t>
      </w:r>
      <w:r w:rsidR="002C52E7" w:rsidRPr="00142E37">
        <w:rPr>
          <w:rFonts w:ascii="Palatino Linotype" w:eastAsia="Palatino Linotype" w:hAnsi="Palatino Linotype" w:cs="Palatino Linotype"/>
          <w:noProof/>
        </w:rPr>
        <w:t>entido,</w:t>
      </w:r>
      <w:r w:rsidR="00722C93" w:rsidRPr="00142E37">
        <w:rPr>
          <w:rFonts w:ascii="Palatino Linotype" w:eastAsia="Palatino Linotype" w:hAnsi="Palatino Linotype" w:cs="Palatino Linotype"/>
          <w:noProof/>
        </w:rPr>
        <w:t xml:space="preserve"> en primer lugar </w:t>
      </w:r>
      <w:r w:rsidR="00722C93" w:rsidRPr="00142E37">
        <w:rPr>
          <w:rFonts w:ascii="Palatino Linotype" w:eastAsia="Palatino Linotype" w:hAnsi="Palatino Linotype" w:cs="Palatino Linotype"/>
        </w:rPr>
        <w:t xml:space="preserve">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w:t>
      </w:r>
      <w:r w:rsidR="00722C93" w:rsidRPr="00142E37">
        <w:rPr>
          <w:rFonts w:ascii="Palatino Linotype" w:eastAsia="Palatino Linotype" w:hAnsi="Palatino Linotype" w:cs="Palatino Linotype"/>
        </w:rPr>
        <w:lastRenderedPageBreak/>
        <w:t>de las causas legítimas y estrictamente necesarias previstas por la Ley, a través de la clasificación de la información como confidencial o reservada, como se desprende del artículo 91 de la Ley de Transparencia y Acceso a la Información Pública del Estado de México y Municipios, que es del tenor literal siguiente:</w:t>
      </w:r>
    </w:p>
    <w:p w14:paraId="68C5841B" w14:textId="77777777" w:rsidR="00722C93" w:rsidRPr="00142E37" w:rsidRDefault="00722C93" w:rsidP="00722C93">
      <w:pPr>
        <w:spacing w:before="120" w:after="120"/>
        <w:ind w:left="851" w:right="902"/>
        <w:jc w:val="both"/>
        <w:rPr>
          <w:rFonts w:ascii="Palatino Linotype" w:eastAsia="Palatino Linotype" w:hAnsi="Palatino Linotype" w:cs="Palatino Linotype"/>
          <w:i/>
        </w:rPr>
      </w:pPr>
      <w:r w:rsidRPr="00142E37">
        <w:rPr>
          <w:rFonts w:ascii="Palatino Linotype" w:eastAsia="Palatino Linotype" w:hAnsi="Palatino Linotype" w:cs="Palatino Linotype"/>
          <w:b/>
          <w:i/>
        </w:rPr>
        <w:t xml:space="preserve"> “Artículo 91. </w:t>
      </w:r>
      <w:r w:rsidRPr="00142E37">
        <w:rPr>
          <w:rFonts w:ascii="Palatino Linotype" w:eastAsia="Palatino Linotype" w:hAnsi="Palatino Linotype" w:cs="Palatino Linotype"/>
          <w:i/>
        </w:rPr>
        <w:t xml:space="preserve">El acceso a la información pública será </w:t>
      </w:r>
      <w:proofErr w:type="gramStart"/>
      <w:r w:rsidRPr="00142E37">
        <w:rPr>
          <w:rFonts w:ascii="Palatino Linotype" w:eastAsia="Palatino Linotype" w:hAnsi="Palatino Linotype" w:cs="Palatino Linotype"/>
          <w:i/>
        </w:rPr>
        <w:t>restringido  excepcionalmente</w:t>
      </w:r>
      <w:proofErr w:type="gramEnd"/>
      <w:r w:rsidRPr="00142E37">
        <w:rPr>
          <w:rFonts w:ascii="Palatino Linotype" w:eastAsia="Palatino Linotype" w:hAnsi="Palatino Linotype" w:cs="Palatino Linotype"/>
          <w:i/>
        </w:rPr>
        <w:t>, cuando ésta sea clasificada como reservada o confidencial.”</w:t>
      </w:r>
    </w:p>
    <w:p w14:paraId="7C6A015B" w14:textId="77777777" w:rsidR="00722C93" w:rsidRPr="00142E37" w:rsidRDefault="00722C93" w:rsidP="00722C93">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Sin embargo, es importante mencionar que </w:t>
      </w:r>
      <w:r w:rsidRPr="00142E37">
        <w:rPr>
          <w:rFonts w:ascii="Palatino Linotype" w:eastAsia="Palatino Linotype" w:hAnsi="Palatino Linotype" w:cs="Palatino Linotype"/>
          <w:b/>
          <w:u w:val="single"/>
        </w:rPr>
        <w:t>la restricción al derecho de acceso a la información implica necesariamente una clasificación</w:t>
      </w:r>
      <w:r w:rsidRPr="00142E37">
        <w:rPr>
          <w:rFonts w:ascii="Palatino Linotype" w:eastAsia="Palatino Linotype" w:hAnsi="Palatino Linotype" w:cs="Palatino Linotype"/>
        </w:rPr>
        <w:t>, la cual debe entenderse como el proceso mediante el cual un Sujeto Obligado determina que la información en su poder, actualiza alguno de los supuestos de reserva o confidencialidad, de conformidad con las normas aplicables.</w:t>
      </w:r>
    </w:p>
    <w:p w14:paraId="09C30270" w14:textId="77777777" w:rsidR="00722C93" w:rsidRPr="00142E37" w:rsidRDefault="00722C93" w:rsidP="00722C93">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Debe decirse que la Ley de Transparencia y Acceso a la Información Pública del Estado de México y Municipios, define como </w:t>
      </w:r>
      <w:r w:rsidRPr="00142E37">
        <w:rPr>
          <w:rFonts w:ascii="Palatino Linotype" w:eastAsia="Palatino Linotype" w:hAnsi="Palatino Linotype" w:cs="Palatino Linotype"/>
          <w:b/>
        </w:rPr>
        <w:t xml:space="preserve">información reservada </w:t>
      </w:r>
      <w:r w:rsidRPr="00142E37">
        <w:rPr>
          <w:rFonts w:ascii="Palatino Linotype" w:eastAsia="Palatino Linotype" w:hAnsi="Palatino Linotype" w:cs="Palatino Linotype"/>
        </w:rPr>
        <w:t xml:space="preserve">a la información pública clasificada con este carácter de manera temporal por las disposiciones de la Ley de la Materia, cuya divulgación puede causar daños a las  seguridad pública, cuyos supuestos se encuentran establecidos en el en el artículo 140 de la Ley de Transparencia y Acceso a la Información Pública del Estado de México y Municipios; y como </w:t>
      </w:r>
      <w:r w:rsidRPr="00142E37">
        <w:rPr>
          <w:rFonts w:ascii="Palatino Linotype" w:eastAsia="Palatino Linotype" w:hAnsi="Palatino Linotype" w:cs="Palatino Linotype"/>
          <w:b/>
        </w:rPr>
        <w:t>información confidencial</w:t>
      </w:r>
      <w:r w:rsidRPr="00142E37">
        <w:rPr>
          <w:rFonts w:ascii="Palatino Linotype" w:eastAsia="Palatino Linotype" w:hAnsi="Palatino Linotype" w:cs="Palatino Linotype"/>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cuyos supuestos </w:t>
      </w:r>
      <w:r w:rsidRPr="00142E37">
        <w:rPr>
          <w:rFonts w:ascii="Palatino Linotype" w:eastAsia="Palatino Linotype" w:hAnsi="Palatino Linotype" w:cs="Palatino Linotype"/>
        </w:rPr>
        <w:lastRenderedPageBreak/>
        <w:t>se encuentran en el artículo 143 de la Ley de Transparencia y Acceso a la Información Pública del Estado de México y Municipios.</w:t>
      </w:r>
    </w:p>
    <w:p w14:paraId="19413844" w14:textId="77777777" w:rsidR="00722C93" w:rsidRPr="00142E37" w:rsidRDefault="00722C93" w:rsidP="00722C93">
      <w:pPr>
        <w:spacing w:before="280" w:after="280" w:line="360" w:lineRule="auto"/>
        <w:ind w:right="51"/>
        <w:jc w:val="both"/>
        <w:rPr>
          <w:rFonts w:ascii="Palatino Linotype" w:eastAsia="Palatino Linotype" w:hAnsi="Palatino Linotype" w:cs="Palatino Linotype"/>
        </w:rPr>
      </w:pPr>
      <w:r w:rsidRPr="00142E37">
        <w:rPr>
          <w:rFonts w:ascii="Palatino Linotype" w:eastAsia="Palatino Linotype" w:hAnsi="Palatino Linotype" w:cs="Palatino Linotype"/>
        </w:rPr>
        <w:t>No obstante, es de precisar que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0914DFB0" w14:textId="77777777" w:rsidR="00446CC7" w:rsidRPr="00142E37" w:rsidRDefault="00722C93" w:rsidP="00446CC7">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Por lo tanto, la entrega de documentos en su versión pública </w:t>
      </w:r>
      <w:r w:rsidRPr="00142E37">
        <w:rPr>
          <w:rFonts w:ascii="Palatino Linotype" w:eastAsia="Palatino Linotype" w:hAnsi="Palatino Linotype" w:cs="Palatino Linotype"/>
          <w:b/>
          <w:u w:val="single"/>
        </w:rPr>
        <w:t>debe acompañarse necesariamente del Acuerdo del Comité de Transparencia</w:t>
      </w:r>
      <w:r w:rsidRPr="00142E37">
        <w:rPr>
          <w:rFonts w:ascii="Palatino Linotype" w:eastAsia="Palatino Linotype" w:hAnsi="Palatino Linotype" w:cs="Palatino Linotype"/>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142E37">
        <w:rPr>
          <w:rFonts w:ascii="Palatino Linotype" w:eastAsia="Palatino Linotype" w:hAnsi="Palatino Linotype" w:cs="Palatino Linotype"/>
        </w:rPr>
        <w:lastRenderedPageBreak/>
        <w:t>se testan o suprimen- deja al solicitante en estado de incertidumbre, al no conocer o comprender porque no aparecen en la documentación respectiva.</w:t>
      </w:r>
      <w:r w:rsidR="00446CC7" w:rsidRPr="00142E37">
        <w:rPr>
          <w:rFonts w:ascii="Palatino Linotype" w:eastAsia="Palatino Linotype" w:hAnsi="Palatino Linotype" w:cs="Palatino Linotype"/>
        </w:rPr>
        <w:t xml:space="preserve"> </w:t>
      </w:r>
    </w:p>
    <w:p w14:paraId="7EE871D7" w14:textId="00D62195" w:rsidR="00446CC7" w:rsidRPr="00142E37" w:rsidRDefault="00722C93" w:rsidP="00446CC7">
      <w:pPr>
        <w:spacing w:before="240" w:after="240" w:line="360" w:lineRule="auto"/>
        <w:jc w:val="both"/>
        <w:rPr>
          <w:rFonts w:ascii="Palatino Linotype" w:eastAsia="Palatino Linotype" w:hAnsi="Palatino Linotype" w:cs="Arial"/>
        </w:rPr>
      </w:pPr>
      <w:r w:rsidRPr="00142E37">
        <w:rPr>
          <w:rFonts w:ascii="Palatino Linotype" w:eastAsia="Palatino Linotype" w:hAnsi="Palatino Linotype" w:cs="Palatino Linotype"/>
        </w:rPr>
        <w:t>En el presente asunto</w:t>
      </w:r>
      <w:r w:rsidR="00417113" w:rsidRPr="00142E37">
        <w:rPr>
          <w:rFonts w:ascii="Palatino Linotype" w:eastAsia="Palatino Linotype" w:hAnsi="Palatino Linotype" w:cs="Palatino Linotype"/>
        </w:rPr>
        <w:t xml:space="preserve">, debe recordarse que el </w:t>
      </w:r>
      <w:r w:rsidR="00417113" w:rsidRPr="00142E37">
        <w:rPr>
          <w:rFonts w:ascii="Palatino Linotype" w:eastAsia="Palatino Linotype" w:hAnsi="Palatino Linotype" w:cs="Palatino Linotype"/>
          <w:b/>
        </w:rPr>
        <w:t xml:space="preserve">Sujeto Obligado </w:t>
      </w:r>
      <w:r w:rsidR="00417113" w:rsidRPr="00142E37">
        <w:rPr>
          <w:rFonts w:ascii="Palatino Linotype" w:eastAsia="Palatino Linotype" w:hAnsi="Palatino Linotype" w:cs="Palatino Linotype"/>
        </w:rPr>
        <w:t xml:space="preserve">hizo entrega de </w:t>
      </w:r>
      <w:r w:rsidR="00446CC7" w:rsidRPr="00142E37">
        <w:rPr>
          <w:rFonts w:ascii="Palatino Linotype" w:eastAsia="Palatino Linotype" w:hAnsi="Palatino Linotype" w:cs="Arial"/>
        </w:rPr>
        <w:t>204 recibos de nómina de la primera quincena de enero de dos mil veinticinco testados, así como del Acta de la Sexta Sesión Extraordinaria del Comité de Transparencia, mediante la cual se pretende sustentar dicha versión pública.</w:t>
      </w:r>
    </w:p>
    <w:p w14:paraId="2F7460FA" w14:textId="354E0156" w:rsidR="001634A8" w:rsidRPr="00142E37" w:rsidRDefault="00446CC7" w:rsidP="00366A1F">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Arial"/>
        </w:rPr>
        <w:t>Ahora bien, de la revisión efectuada en los recibos de nómina entregados</w:t>
      </w:r>
      <w:r w:rsidR="00366A1F" w:rsidRPr="00142E37">
        <w:rPr>
          <w:rFonts w:ascii="Palatino Linotype" w:eastAsia="Palatino Linotype" w:hAnsi="Palatino Linotype" w:cs="Arial"/>
        </w:rPr>
        <w:t xml:space="preserve"> para atender la solicitud de información,</w:t>
      </w:r>
      <w:r w:rsidRPr="00142E37">
        <w:rPr>
          <w:rFonts w:ascii="Palatino Linotype" w:eastAsia="Palatino Linotype" w:hAnsi="Palatino Linotype" w:cs="Arial"/>
        </w:rPr>
        <w:t xml:space="preserve"> se advirtió </w:t>
      </w:r>
      <w:r w:rsidR="00366A1F" w:rsidRPr="00142E37">
        <w:rPr>
          <w:rFonts w:ascii="Palatino Linotype" w:eastAsia="Palatino Linotype" w:hAnsi="Palatino Linotype" w:cs="Arial"/>
        </w:rPr>
        <w:t>que se testaron, además de l</w:t>
      </w:r>
      <w:r w:rsidR="00366A1F" w:rsidRPr="00142E37">
        <w:rPr>
          <w:rFonts w:ascii="Palatino Linotype" w:eastAsia="Palatino Linotype" w:hAnsi="Palatino Linotype" w:cs="Palatino Linotype"/>
        </w:rPr>
        <w:t>a Clave Única de Registro de Población (CURP), el Registro Federal de Contribuyentes (RFC), la Clave ISSEMyM y el Código QR, con los cuales se coincide al corresponder con datos personales como se detallará en el siguiente considerando; las deducciones que no son personales, tales como la retención del Impuesto Sobre la Renta (ISR), la cuota de servicio de salud, el sistema solidaridad de reparto</w:t>
      </w:r>
      <w:r w:rsidR="001634A8" w:rsidRPr="00142E37">
        <w:rPr>
          <w:rFonts w:ascii="Palatino Linotype" w:eastAsia="Palatino Linotype" w:hAnsi="Palatino Linotype" w:cs="Palatino Linotype"/>
        </w:rPr>
        <w:t xml:space="preserve"> y</w:t>
      </w:r>
      <w:r w:rsidR="00366A1F" w:rsidRPr="00142E37">
        <w:rPr>
          <w:rFonts w:ascii="Palatino Linotype" w:eastAsia="Palatino Linotype" w:hAnsi="Palatino Linotype" w:cs="Palatino Linotype"/>
        </w:rPr>
        <w:t xml:space="preserve"> el sistema de capitalización individualizado</w:t>
      </w:r>
      <w:r w:rsidR="001634A8" w:rsidRPr="00142E37">
        <w:rPr>
          <w:rFonts w:ascii="Palatino Linotype" w:eastAsia="Palatino Linotype" w:hAnsi="Palatino Linotype" w:cs="Palatino Linotype"/>
        </w:rPr>
        <w:t xml:space="preserve">; </w:t>
      </w:r>
      <w:r w:rsidR="00366A1F" w:rsidRPr="00142E37">
        <w:rPr>
          <w:rFonts w:ascii="Palatino Linotype" w:eastAsia="Palatino Linotype" w:hAnsi="Palatino Linotype" w:cs="Palatino Linotype"/>
        </w:rPr>
        <w:t xml:space="preserve">el folio fiscal, el sello digital del contribuyente emisor, el sello digital del SAT, y la cadena original del complemento de certificación digital del SAT, sin que se adviertan </w:t>
      </w:r>
      <w:r w:rsidR="001634A8" w:rsidRPr="00142E37">
        <w:rPr>
          <w:rFonts w:ascii="Palatino Linotype" w:eastAsia="Palatino Linotype" w:hAnsi="Palatino Linotype" w:cs="Palatino Linotype"/>
        </w:rPr>
        <w:t xml:space="preserve">en el </w:t>
      </w:r>
      <w:r w:rsidR="001634A8" w:rsidRPr="00142E37">
        <w:rPr>
          <w:rFonts w:ascii="Palatino Linotype" w:eastAsia="Palatino Linotype" w:hAnsi="Palatino Linotype" w:cs="Arial"/>
        </w:rPr>
        <w:t xml:space="preserve">Acta de la Sexta Sesión Extraordinaria del Comité de Transparencia </w:t>
      </w:r>
      <w:r w:rsidR="00366A1F" w:rsidRPr="00142E37">
        <w:rPr>
          <w:rFonts w:ascii="Palatino Linotype" w:eastAsia="Palatino Linotype" w:hAnsi="Palatino Linotype" w:cs="Palatino Linotype"/>
        </w:rPr>
        <w:t xml:space="preserve">las razones por las cuales dichos datos deben ser protegidos, </w:t>
      </w:r>
      <w:r w:rsidR="001634A8" w:rsidRPr="00142E37">
        <w:rPr>
          <w:rFonts w:ascii="Palatino Linotype" w:eastAsia="Palatino Linotype" w:hAnsi="Palatino Linotype" w:cs="Palatino Linotype"/>
        </w:rPr>
        <w:t>como se advierte a continuación:</w:t>
      </w:r>
    </w:p>
    <w:p w14:paraId="0C9601F5" w14:textId="12ACD6AF" w:rsidR="001634A8" w:rsidRPr="00142E37" w:rsidRDefault="001634A8" w:rsidP="001634A8">
      <w:pPr>
        <w:spacing w:before="240" w:after="240" w:line="360" w:lineRule="auto"/>
        <w:ind w:right="49"/>
        <w:jc w:val="center"/>
        <w:rPr>
          <w:rFonts w:ascii="Palatino Linotype" w:eastAsia="Palatino Linotype" w:hAnsi="Palatino Linotype" w:cs="Palatino Linotype"/>
        </w:rPr>
      </w:pPr>
      <w:r w:rsidRPr="00142E37">
        <w:rPr>
          <w:rFonts w:ascii="Palatino Linotype" w:eastAsia="Palatino Linotype" w:hAnsi="Palatino Linotype" w:cs="Palatino Linotype"/>
          <w:noProof/>
        </w:rPr>
        <w:drawing>
          <wp:inline distT="0" distB="0" distL="0" distR="0" wp14:anchorId="0BB4A93F" wp14:editId="254AED51">
            <wp:extent cx="4498725" cy="9810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39173"/>
                    <a:stretch/>
                  </pic:blipFill>
                  <pic:spPr bwMode="auto">
                    <a:xfrm>
                      <a:off x="0" y="0"/>
                      <a:ext cx="4500000" cy="981353"/>
                    </a:xfrm>
                    <a:prstGeom prst="rect">
                      <a:avLst/>
                    </a:prstGeom>
                    <a:ln>
                      <a:noFill/>
                    </a:ln>
                    <a:extLst>
                      <a:ext uri="{53640926-AAD7-44D8-BBD7-CCE9431645EC}">
                        <a14:shadowObscured xmlns:a14="http://schemas.microsoft.com/office/drawing/2010/main"/>
                      </a:ext>
                    </a:extLst>
                  </pic:spPr>
                </pic:pic>
              </a:graphicData>
            </a:graphic>
          </wp:inline>
        </w:drawing>
      </w:r>
    </w:p>
    <w:p w14:paraId="467F0974" w14:textId="6FA8D364" w:rsidR="001634A8" w:rsidRPr="00142E37" w:rsidRDefault="001634A8" w:rsidP="001634A8">
      <w:pPr>
        <w:spacing w:before="240" w:after="240" w:line="360" w:lineRule="auto"/>
        <w:ind w:right="49"/>
        <w:jc w:val="center"/>
        <w:rPr>
          <w:rFonts w:ascii="Palatino Linotype" w:eastAsia="Palatino Linotype" w:hAnsi="Palatino Linotype" w:cs="Palatino Linotype"/>
        </w:rPr>
      </w:pPr>
      <w:r w:rsidRPr="00142E37">
        <w:rPr>
          <w:rFonts w:ascii="Palatino Linotype" w:eastAsia="Palatino Linotype" w:hAnsi="Palatino Linotype" w:cs="Palatino Linotype"/>
          <w:noProof/>
        </w:rPr>
        <w:lastRenderedPageBreak/>
        <w:drawing>
          <wp:inline distT="0" distB="0" distL="0" distR="0" wp14:anchorId="22173749" wp14:editId="2C237ED0">
            <wp:extent cx="4498340" cy="5429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4966" b="1370"/>
                    <a:stretch/>
                  </pic:blipFill>
                  <pic:spPr bwMode="auto">
                    <a:xfrm>
                      <a:off x="0" y="0"/>
                      <a:ext cx="4500000" cy="543125"/>
                    </a:xfrm>
                    <a:prstGeom prst="rect">
                      <a:avLst/>
                    </a:prstGeom>
                    <a:ln>
                      <a:noFill/>
                    </a:ln>
                    <a:extLst>
                      <a:ext uri="{53640926-AAD7-44D8-BBD7-CCE9431645EC}">
                        <a14:shadowObscured xmlns:a14="http://schemas.microsoft.com/office/drawing/2010/main"/>
                      </a:ext>
                    </a:extLst>
                  </pic:spPr>
                </pic:pic>
              </a:graphicData>
            </a:graphic>
          </wp:inline>
        </w:drawing>
      </w:r>
      <w:r w:rsidRPr="00142E37">
        <w:rPr>
          <w:rFonts w:ascii="Palatino Linotype" w:eastAsia="Palatino Linotype" w:hAnsi="Palatino Linotype" w:cs="Palatino Linotype"/>
          <w:noProof/>
        </w:rPr>
        <w:drawing>
          <wp:inline distT="0" distB="0" distL="0" distR="0" wp14:anchorId="77797605" wp14:editId="1E564BDB">
            <wp:extent cx="4500000" cy="511111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0000" cy="5111111"/>
                    </a:xfrm>
                    <a:prstGeom prst="rect">
                      <a:avLst/>
                    </a:prstGeom>
                  </pic:spPr>
                </pic:pic>
              </a:graphicData>
            </a:graphic>
          </wp:inline>
        </w:drawing>
      </w:r>
    </w:p>
    <w:p w14:paraId="3155CAF6" w14:textId="451CB1F1" w:rsidR="00366A1F" w:rsidRPr="00142E37" w:rsidRDefault="001634A8" w:rsidP="00366A1F">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rPr>
        <w:t>P</w:t>
      </w:r>
      <w:r w:rsidR="00366A1F" w:rsidRPr="00142E37">
        <w:rPr>
          <w:rFonts w:ascii="Palatino Linotype" w:eastAsia="Palatino Linotype" w:hAnsi="Palatino Linotype" w:cs="Palatino Linotype"/>
        </w:rPr>
        <w:t xml:space="preserve">or lo tanto, </w:t>
      </w:r>
      <w:r w:rsidRPr="00142E37">
        <w:rPr>
          <w:rFonts w:ascii="Palatino Linotype" w:eastAsia="Palatino Linotype" w:hAnsi="Palatino Linotype" w:cs="Palatino Linotype"/>
        </w:rPr>
        <w:t xml:space="preserve">se concluye que la eliminación de las deducciones que no son personales, tales como la retención del Impuesto Sobre la Renta (ISR), la cuota de servicio de salud, el sistema solidaridad de reparto y el sistema de capitalización individualizado; el folio fiscal, el sello digital del contribuyente emisor, el sello </w:t>
      </w:r>
      <w:r w:rsidRPr="00142E37">
        <w:rPr>
          <w:rFonts w:ascii="Palatino Linotype" w:eastAsia="Palatino Linotype" w:hAnsi="Palatino Linotype" w:cs="Palatino Linotype"/>
        </w:rPr>
        <w:lastRenderedPageBreak/>
        <w:t xml:space="preserve">digital del SAT, y la cadena original del complemento de certificación digital del SAT, </w:t>
      </w:r>
      <w:r w:rsidR="00366A1F" w:rsidRPr="00142E37">
        <w:rPr>
          <w:rFonts w:ascii="Palatino Linotype" w:eastAsia="Palatino Linotype" w:hAnsi="Palatino Linotype" w:cs="Palatino Linotype"/>
        </w:rPr>
        <w:t>no se encuentra justificada en el soporte documental remitido.</w:t>
      </w:r>
    </w:p>
    <w:p w14:paraId="3DAF2781" w14:textId="3B9595D2" w:rsidR="001634A8" w:rsidRPr="00142E37" w:rsidRDefault="001634A8" w:rsidP="001634A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Sin perder de vista además que en el caso de las deducciones referidas, no se vinculan propiamente con datos personales de los servidores públicos, por lo que no se trata de información que  reviste el carácter de confidencial; mientras que en el caso del folio fiscal, </w:t>
      </w:r>
      <w:r w:rsidR="00C57B3E" w:rsidRPr="00142E37">
        <w:rPr>
          <w:rFonts w:ascii="Palatino Linotype" w:eastAsia="Palatino Linotype" w:hAnsi="Palatino Linotype" w:cs="Palatino Linotype"/>
        </w:rPr>
        <w:t xml:space="preserve">cadenas y sellos digitales, </w:t>
      </w:r>
      <w:r w:rsidRPr="00142E37">
        <w:rPr>
          <w:rFonts w:ascii="Palatino Linotype" w:eastAsia="Palatino Linotype" w:hAnsi="Palatino Linotype" w:cs="Palatino Linotype"/>
        </w:rPr>
        <w:t xml:space="preserve">se trata de elementos necesarios para darle validez al comprobante fiscal digital por internet, por concepto de nómina, </w:t>
      </w:r>
      <w:r w:rsidR="00C57B3E" w:rsidRPr="00142E37">
        <w:rPr>
          <w:rFonts w:ascii="Palatino Linotype" w:eastAsia="Palatino Linotype" w:hAnsi="Palatino Linotype" w:cs="Palatino Linotype"/>
        </w:rPr>
        <w:t xml:space="preserve">no obstante, </w:t>
      </w:r>
      <w:r w:rsidRPr="00142E37">
        <w:rPr>
          <w:rFonts w:ascii="Palatino Linotype" w:eastAsia="Palatino Linotype" w:hAnsi="Palatino Linotype" w:cs="Palatino Linotype"/>
        </w:rPr>
        <w:t>el Sujeto Obligado debe hacer un análisis con la finalidad de determinar si</w:t>
      </w:r>
      <w:r w:rsidR="00C57B3E" w:rsidRPr="00142E37">
        <w:rPr>
          <w:rFonts w:ascii="Palatino Linotype" w:eastAsia="Palatino Linotype" w:hAnsi="Palatino Linotype" w:cs="Palatino Linotype"/>
        </w:rPr>
        <w:t xml:space="preserve"> específicamente los </w:t>
      </w:r>
      <w:r w:rsidRPr="00142E37">
        <w:rPr>
          <w:rFonts w:ascii="Palatino Linotype" w:eastAsia="Palatino Linotype" w:hAnsi="Palatino Linotype" w:cs="Palatino Linotype"/>
        </w:rPr>
        <w:t>sellos y/o cadenas</w:t>
      </w:r>
      <w:r w:rsidR="00C57B3E" w:rsidRPr="00142E37">
        <w:rPr>
          <w:rFonts w:ascii="Palatino Linotype" w:eastAsia="Palatino Linotype" w:hAnsi="Palatino Linotype" w:cs="Palatino Linotype"/>
        </w:rPr>
        <w:t xml:space="preserve"> digitales </w:t>
      </w:r>
      <w:r w:rsidRPr="00142E37">
        <w:rPr>
          <w:rFonts w:ascii="Palatino Linotype" w:eastAsia="Palatino Linotype" w:hAnsi="Palatino Linotype" w:cs="Palatino Linotype"/>
        </w:rPr>
        <w:t xml:space="preserve"> pudieran contener información personal, como pudiese ser el RFC o la CURP de</w:t>
      </w:r>
      <w:r w:rsidR="00C57B3E" w:rsidRPr="00142E37">
        <w:rPr>
          <w:rFonts w:ascii="Palatino Linotype" w:eastAsia="Palatino Linotype" w:hAnsi="Palatino Linotype" w:cs="Palatino Linotype"/>
        </w:rPr>
        <w:t xml:space="preserve"> </w:t>
      </w:r>
      <w:r w:rsidRPr="00142E37">
        <w:rPr>
          <w:rFonts w:ascii="Palatino Linotype" w:eastAsia="Palatino Linotype" w:hAnsi="Palatino Linotype" w:cs="Palatino Linotype"/>
        </w:rPr>
        <w:t>l</w:t>
      </w:r>
      <w:r w:rsidR="00C57B3E" w:rsidRPr="00142E37">
        <w:rPr>
          <w:rFonts w:ascii="Palatino Linotype" w:eastAsia="Palatino Linotype" w:hAnsi="Palatino Linotype" w:cs="Palatino Linotype"/>
        </w:rPr>
        <w:t>os</w:t>
      </w:r>
      <w:r w:rsidRPr="00142E37">
        <w:rPr>
          <w:rFonts w:ascii="Palatino Linotype" w:eastAsia="Palatino Linotype" w:hAnsi="Palatino Linotype" w:cs="Palatino Linotype"/>
        </w:rPr>
        <w:t xml:space="preserve"> servidor</w:t>
      </w:r>
      <w:r w:rsidR="00C57B3E" w:rsidRPr="00142E37">
        <w:rPr>
          <w:rFonts w:ascii="Palatino Linotype" w:eastAsia="Palatino Linotype" w:hAnsi="Palatino Linotype" w:cs="Palatino Linotype"/>
        </w:rPr>
        <w:t>es</w:t>
      </w:r>
      <w:r w:rsidRPr="00142E37">
        <w:rPr>
          <w:rFonts w:ascii="Palatino Linotype" w:eastAsia="Palatino Linotype" w:hAnsi="Palatino Linotype" w:cs="Palatino Linotype"/>
        </w:rPr>
        <w:t xml:space="preserve"> público</w:t>
      </w:r>
      <w:r w:rsidR="00C57B3E" w:rsidRPr="00142E37">
        <w:rPr>
          <w:rFonts w:ascii="Palatino Linotype" w:eastAsia="Palatino Linotype" w:hAnsi="Palatino Linotype" w:cs="Palatino Linotype"/>
        </w:rPr>
        <w:t>s</w:t>
      </w:r>
      <w:r w:rsidRPr="00142E37">
        <w:rPr>
          <w:rFonts w:ascii="Palatino Linotype" w:eastAsia="Palatino Linotype" w:hAnsi="Palatino Linotype" w:cs="Palatino Linotype"/>
        </w:rPr>
        <w:t>, siendo el único supuesto en el cual pueden clasificarse dichos datos.</w:t>
      </w:r>
    </w:p>
    <w:p w14:paraId="08F9BB60" w14:textId="3EE360A3" w:rsidR="008044A1" w:rsidRPr="00142E37" w:rsidRDefault="00C57B3E" w:rsidP="001634A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Por lo que se refiere a la firma de los servidores públicos en los recibos de nómina, debe mencionarse que</w:t>
      </w:r>
      <w:r w:rsidR="008044A1" w:rsidRPr="00142E37">
        <w:rPr>
          <w:rFonts w:ascii="Palatino Linotype" w:eastAsia="Palatino Linotype" w:hAnsi="Palatino Linotype" w:cs="Palatino Linotype"/>
        </w:rPr>
        <w:t xml:space="preserve">, contrario a lo manifestado por la parte </w:t>
      </w:r>
      <w:r w:rsidR="008044A1" w:rsidRPr="00142E37">
        <w:rPr>
          <w:rFonts w:ascii="Palatino Linotype" w:eastAsia="Palatino Linotype" w:hAnsi="Palatino Linotype" w:cs="Palatino Linotype"/>
          <w:b/>
        </w:rPr>
        <w:t xml:space="preserve">Recurrente, </w:t>
      </w:r>
      <w:r w:rsidR="008044A1" w:rsidRPr="00142E37">
        <w:rPr>
          <w:rFonts w:ascii="Palatino Linotype" w:eastAsia="Palatino Linotype" w:hAnsi="Palatino Linotype" w:cs="Palatino Linotype"/>
        </w:rPr>
        <w:t xml:space="preserve">en el presente caso se trata de un dato que por excepción reviste el carácter de público, ya que con su publicidad se abona a la transparencia y rendición de cuentas  </w:t>
      </w:r>
      <w:r w:rsidR="006062E2" w:rsidRPr="00142E37">
        <w:rPr>
          <w:rFonts w:ascii="Palatino Linotype" w:eastAsia="Palatino Linotype" w:hAnsi="Palatino Linotype" w:cs="Palatino Linotype"/>
        </w:rPr>
        <w:t xml:space="preserve">pues </w:t>
      </w:r>
      <w:r w:rsidR="00045CA8" w:rsidRPr="00142E37">
        <w:rPr>
          <w:rFonts w:ascii="Palatino Linotype" w:eastAsia="Palatino Linotype" w:hAnsi="Palatino Linotype" w:cs="Palatino Linotype"/>
        </w:rPr>
        <w:t>a través de</w:t>
      </w:r>
      <w:r w:rsidR="006062E2" w:rsidRPr="00142E37">
        <w:rPr>
          <w:rFonts w:ascii="Palatino Linotype" w:eastAsia="Palatino Linotype" w:hAnsi="Palatino Linotype" w:cs="Palatino Linotype"/>
        </w:rPr>
        <w:t xml:space="preserve"> su firma </w:t>
      </w:r>
      <w:r w:rsidR="00045CA8" w:rsidRPr="00142E37">
        <w:rPr>
          <w:rFonts w:ascii="Palatino Linotype" w:eastAsia="Palatino Linotype" w:hAnsi="Palatino Linotype" w:cs="Palatino Linotype"/>
        </w:rPr>
        <w:t xml:space="preserve">los servidores públicos manifiestan su consentimiento respecto de las percepciones que </w:t>
      </w:r>
      <w:r w:rsidR="006062E2" w:rsidRPr="00142E37">
        <w:rPr>
          <w:rFonts w:ascii="Palatino Linotype" w:eastAsia="Palatino Linotype" w:hAnsi="Palatino Linotype" w:cs="Palatino Linotype"/>
        </w:rPr>
        <w:t>re</w:t>
      </w:r>
      <w:r w:rsidR="00045CA8" w:rsidRPr="00142E37">
        <w:rPr>
          <w:rFonts w:ascii="Palatino Linotype" w:eastAsia="Palatino Linotype" w:hAnsi="Palatino Linotype" w:cs="Palatino Linotype"/>
        </w:rPr>
        <w:t xml:space="preserve">ciben por el desempeño de sus funciones, las cuales </w:t>
      </w:r>
      <w:r w:rsidR="006062E2" w:rsidRPr="00142E37">
        <w:rPr>
          <w:rFonts w:ascii="Palatino Linotype" w:eastAsia="Palatino Linotype" w:hAnsi="Palatino Linotype" w:cs="Palatino Linotype"/>
        </w:rPr>
        <w:t xml:space="preserve">provienen </w:t>
      </w:r>
      <w:r w:rsidR="00045CA8" w:rsidRPr="00142E37">
        <w:rPr>
          <w:rFonts w:ascii="Palatino Linotype" w:eastAsia="Palatino Linotype" w:hAnsi="Palatino Linotype" w:cs="Palatino Linotype"/>
        </w:rPr>
        <w:t>de</w:t>
      </w:r>
      <w:r w:rsidR="006062E2" w:rsidRPr="00142E37">
        <w:rPr>
          <w:rFonts w:ascii="Palatino Linotype" w:eastAsia="Palatino Linotype" w:hAnsi="Palatino Linotype" w:cs="Palatino Linotype"/>
        </w:rPr>
        <w:t xml:space="preserve"> recursos de</w:t>
      </w:r>
      <w:r w:rsidR="00045CA8" w:rsidRPr="00142E37">
        <w:rPr>
          <w:rFonts w:ascii="Palatino Linotype" w:eastAsia="Palatino Linotype" w:hAnsi="Palatino Linotype" w:cs="Palatino Linotype"/>
        </w:rPr>
        <w:t>l erario público</w:t>
      </w:r>
      <w:r w:rsidR="006062E2" w:rsidRPr="00142E37">
        <w:rPr>
          <w:rFonts w:ascii="Palatino Linotype" w:eastAsia="Palatino Linotype" w:hAnsi="Palatino Linotype" w:cs="Palatino Linotype"/>
        </w:rPr>
        <w:t xml:space="preserve"> del </w:t>
      </w:r>
      <w:r w:rsidR="006062E2" w:rsidRPr="00142E37">
        <w:rPr>
          <w:rFonts w:ascii="Palatino Linotype" w:eastAsia="Palatino Linotype" w:hAnsi="Palatino Linotype" w:cs="Palatino Linotype"/>
          <w:b/>
        </w:rPr>
        <w:t xml:space="preserve">Sujeto Obligado, </w:t>
      </w:r>
      <w:r w:rsidR="00045CA8" w:rsidRPr="00142E37">
        <w:rPr>
          <w:rFonts w:ascii="Palatino Linotype" w:eastAsia="Palatino Linotype" w:hAnsi="Palatino Linotype" w:cs="Palatino Linotype"/>
        </w:rPr>
        <w:t xml:space="preserve">por lo tanto, no es procedente dar vista </w:t>
      </w:r>
      <w:r w:rsidR="006062E2" w:rsidRPr="00142E37">
        <w:rPr>
          <w:rFonts w:ascii="Palatino Linotype" w:eastAsia="Palatino Linotype" w:hAnsi="Palatino Linotype" w:cs="Palatino Linotype"/>
        </w:rPr>
        <w:t xml:space="preserve">al Órgano Interno de Control como pretende hacer valer la parte </w:t>
      </w:r>
      <w:r w:rsidR="006062E2" w:rsidRPr="00142E37">
        <w:rPr>
          <w:rFonts w:ascii="Palatino Linotype" w:eastAsia="Palatino Linotype" w:hAnsi="Palatino Linotype" w:cs="Palatino Linotype"/>
          <w:b/>
        </w:rPr>
        <w:t>Recurrente</w:t>
      </w:r>
      <w:r w:rsidR="001E6E98" w:rsidRPr="00142E37">
        <w:rPr>
          <w:rFonts w:ascii="Palatino Linotype" w:eastAsia="Palatino Linotype" w:hAnsi="Palatino Linotype" w:cs="Palatino Linotype"/>
        </w:rPr>
        <w:t>, aunado a que el recurso de revisión no es la vía para tales efectos.</w:t>
      </w:r>
    </w:p>
    <w:p w14:paraId="038B5E5A" w14:textId="360397BF" w:rsidR="001634A8" w:rsidRPr="00142E37" w:rsidRDefault="001634A8" w:rsidP="001634A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Bajo los argumentos previamente expuestos, se estima que para tener por satisfecho el Derecho de acceso de la parte </w:t>
      </w:r>
      <w:r w:rsidRPr="00142E37">
        <w:rPr>
          <w:rFonts w:ascii="Palatino Linotype" w:eastAsia="Palatino Linotype" w:hAnsi="Palatino Linotype" w:cs="Palatino Linotype"/>
          <w:b/>
        </w:rPr>
        <w:t xml:space="preserve">Recurrente, </w:t>
      </w:r>
      <w:r w:rsidRPr="00142E37">
        <w:rPr>
          <w:rFonts w:ascii="Palatino Linotype" w:eastAsia="Palatino Linotype" w:hAnsi="Palatino Linotype" w:cs="Palatino Linotype"/>
        </w:rPr>
        <w:t>es dable ordenar se haga entrega nuevamente de</w:t>
      </w:r>
      <w:r w:rsidR="001B57A7" w:rsidRPr="00142E37">
        <w:rPr>
          <w:rFonts w:ascii="Palatino Linotype" w:eastAsia="Palatino Linotype" w:hAnsi="Palatino Linotype" w:cs="Palatino Linotype"/>
        </w:rPr>
        <w:t xml:space="preserve"> </w:t>
      </w:r>
      <w:r w:rsidRPr="00142E37">
        <w:rPr>
          <w:rFonts w:ascii="Palatino Linotype" w:eastAsia="Palatino Linotype" w:hAnsi="Palatino Linotype" w:cs="Palatino Linotype"/>
        </w:rPr>
        <w:t>l</w:t>
      </w:r>
      <w:r w:rsidR="001B57A7" w:rsidRPr="00142E37">
        <w:rPr>
          <w:rFonts w:ascii="Palatino Linotype" w:eastAsia="Palatino Linotype" w:hAnsi="Palatino Linotype" w:cs="Palatino Linotype"/>
        </w:rPr>
        <w:t>os</w:t>
      </w:r>
      <w:r w:rsidRPr="00142E37">
        <w:rPr>
          <w:rFonts w:ascii="Palatino Linotype" w:eastAsia="Palatino Linotype" w:hAnsi="Palatino Linotype" w:cs="Palatino Linotype"/>
        </w:rPr>
        <w:t xml:space="preserve"> recibo</w:t>
      </w:r>
      <w:r w:rsidR="001B57A7" w:rsidRPr="00142E37">
        <w:rPr>
          <w:rFonts w:ascii="Palatino Linotype" w:eastAsia="Palatino Linotype" w:hAnsi="Palatino Linotype" w:cs="Palatino Linotype"/>
        </w:rPr>
        <w:t>s</w:t>
      </w:r>
      <w:r w:rsidRPr="00142E37">
        <w:rPr>
          <w:rFonts w:ascii="Palatino Linotype" w:eastAsia="Palatino Linotype" w:hAnsi="Palatino Linotype" w:cs="Palatino Linotype"/>
        </w:rPr>
        <w:t xml:space="preserve"> de nómina de la primera quincena </w:t>
      </w:r>
      <w:r w:rsidR="001B57A7" w:rsidRPr="00142E37">
        <w:rPr>
          <w:rFonts w:ascii="Palatino Linotype" w:eastAsia="Palatino Linotype" w:hAnsi="Palatino Linotype" w:cs="Palatino Linotype"/>
        </w:rPr>
        <w:t xml:space="preserve">de enero de dos mil </w:t>
      </w:r>
      <w:r w:rsidR="001B57A7" w:rsidRPr="00142E37">
        <w:rPr>
          <w:rFonts w:ascii="Palatino Linotype" w:eastAsia="Palatino Linotype" w:hAnsi="Palatino Linotype" w:cs="Palatino Linotype"/>
        </w:rPr>
        <w:lastRenderedPageBreak/>
        <w:t>veinticinco</w:t>
      </w:r>
      <w:r w:rsidRPr="00142E37">
        <w:rPr>
          <w:rFonts w:ascii="Palatino Linotype" w:eastAsia="Palatino Linotype" w:hAnsi="Palatino Linotype" w:cs="Palatino Linotype"/>
        </w:rPr>
        <w:t xml:space="preserve"> proporcionado</w:t>
      </w:r>
      <w:r w:rsidR="001B57A7" w:rsidRPr="00142E37">
        <w:rPr>
          <w:rFonts w:ascii="Palatino Linotype" w:eastAsia="Palatino Linotype" w:hAnsi="Palatino Linotype" w:cs="Palatino Linotype"/>
        </w:rPr>
        <w:t>s</w:t>
      </w:r>
      <w:r w:rsidRPr="00142E37">
        <w:rPr>
          <w:rFonts w:ascii="Palatino Linotype" w:eastAsia="Palatino Linotype" w:hAnsi="Palatino Linotype" w:cs="Palatino Linotype"/>
        </w:rPr>
        <w:t xml:space="preserve"> en </w:t>
      </w:r>
      <w:r w:rsidR="001B57A7" w:rsidRPr="00142E37">
        <w:rPr>
          <w:rFonts w:ascii="Palatino Linotype" w:eastAsia="Palatino Linotype" w:hAnsi="Palatino Linotype" w:cs="Palatino Linotype"/>
        </w:rPr>
        <w:t>respuesta</w:t>
      </w:r>
      <w:r w:rsidR="006062E2" w:rsidRPr="00142E37">
        <w:rPr>
          <w:rFonts w:ascii="Palatino Linotype" w:eastAsia="Palatino Linotype" w:hAnsi="Palatino Linotype" w:cs="Palatino Linotype"/>
        </w:rPr>
        <w:t xml:space="preserve">, </w:t>
      </w:r>
      <w:r w:rsidR="001B57A7" w:rsidRPr="00142E37">
        <w:rPr>
          <w:rFonts w:ascii="Palatino Linotype" w:eastAsia="Palatino Linotype" w:hAnsi="Palatino Linotype" w:cs="Palatino Linotype"/>
        </w:rPr>
        <w:t>e</w:t>
      </w:r>
      <w:r w:rsidRPr="00142E37">
        <w:rPr>
          <w:rFonts w:ascii="Palatino Linotype" w:eastAsia="Palatino Linotype" w:hAnsi="Palatino Linotype" w:cs="Palatino Linotype"/>
        </w:rPr>
        <w:t>n versión pública</w:t>
      </w:r>
      <w:r w:rsidR="001B57A7" w:rsidRPr="00142E37">
        <w:rPr>
          <w:rFonts w:ascii="Palatino Linotype" w:eastAsia="Palatino Linotype" w:hAnsi="Palatino Linotype" w:cs="Palatino Linotype"/>
        </w:rPr>
        <w:t xml:space="preserve"> correcta</w:t>
      </w:r>
      <w:r w:rsidRPr="00142E37">
        <w:rPr>
          <w:rFonts w:ascii="Palatino Linotype" w:eastAsia="Palatino Linotype" w:hAnsi="Palatino Linotype" w:cs="Palatino Linotype"/>
        </w:rPr>
        <w:t xml:space="preserve">, para lo cual se debe tomar en </w:t>
      </w:r>
      <w:proofErr w:type="gramStart"/>
      <w:r w:rsidRPr="00142E37">
        <w:rPr>
          <w:rFonts w:ascii="Palatino Linotype" w:eastAsia="Palatino Linotype" w:hAnsi="Palatino Linotype" w:cs="Palatino Linotype"/>
        </w:rPr>
        <w:t>consideración  lo</w:t>
      </w:r>
      <w:proofErr w:type="gramEnd"/>
      <w:r w:rsidRPr="00142E37">
        <w:rPr>
          <w:rFonts w:ascii="Palatino Linotype" w:eastAsia="Palatino Linotype" w:hAnsi="Palatino Linotype" w:cs="Palatino Linotype"/>
        </w:rPr>
        <w:t xml:space="preserve"> establecido en el considerando siguiente respecto de los datos que son susceptibles de ser clasificados.</w:t>
      </w:r>
    </w:p>
    <w:p w14:paraId="104CB840" w14:textId="4989AD05" w:rsidR="00DD3924" w:rsidRPr="00142E37" w:rsidRDefault="00544B2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De lo hasta aquí expuesto, se concluye que los motivos de inconformidad de la parte </w:t>
      </w:r>
      <w:r w:rsidRPr="00142E37">
        <w:rPr>
          <w:rFonts w:ascii="Palatino Linotype" w:eastAsia="Palatino Linotype" w:hAnsi="Palatino Linotype" w:cs="Palatino Linotype"/>
          <w:b/>
        </w:rPr>
        <w:t xml:space="preserve">Recurrente </w:t>
      </w:r>
      <w:r w:rsidRPr="00142E37">
        <w:rPr>
          <w:rFonts w:ascii="Palatino Linotype" w:eastAsia="Palatino Linotype" w:hAnsi="Palatino Linotype" w:cs="Palatino Linotype"/>
        </w:rPr>
        <w:t>devienen</w:t>
      </w:r>
      <w:r w:rsidR="009A65BD" w:rsidRPr="00142E37">
        <w:rPr>
          <w:rFonts w:ascii="Palatino Linotype" w:eastAsia="Palatino Linotype" w:hAnsi="Palatino Linotype" w:cs="Palatino Linotype"/>
        </w:rPr>
        <w:t xml:space="preserve"> parcialmente</w:t>
      </w:r>
      <w:r w:rsidRPr="00142E37">
        <w:rPr>
          <w:rFonts w:ascii="Palatino Linotype" w:eastAsia="Palatino Linotype" w:hAnsi="Palatino Linotype" w:cs="Palatino Linotype"/>
        </w:rPr>
        <w:t xml:space="preserve"> fundados, siendo procedente </w:t>
      </w:r>
      <w:r w:rsidR="00DC5A77" w:rsidRPr="00142E37">
        <w:rPr>
          <w:rFonts w:ascii="Palatino Linotype" w:eastAsia="Palatino Linotype" w:hAnsi="Palatino Linotype" w:cs="Palatino Linotype"/>
          <w:i/>
        </w:rPr>
        <w:t xml:space="preserve">Modificar </w:t>
      </w:r>
      <w:r w:rsidRPr="00142E37">
        <w:rPr>
          <w:rFonts w:ascii="Palatino Linotype" w:eastAsia="Palatino Linotype" w:hAnsi="Palatino Linotype" w:cs="Palatino Linotype"/>
        </w:rPr>
        <w:t xml:space="preserve">la respuesta proporcionada por el </w:t>
      </w:r>
      <w:r w:rsidRPr="00142E37">
        <w:rPr>
          <w:rFonts w:ascii="Palatino Linotype" w:eastAsia="Palatino Linotype" w:hAnsi="Palatino Linotype" w:cs="Palatino Linotype"/>
          <w:b/>
        </w:rPr>
        <w:t xml:space="preserve">Sujeto Obligado </w:t>
      </w:r>
      <w:r w:rsidRPr="00142E3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C9ED026" w14:textId="77777777" w:rsidR="006062E2" w:rsidRPr="00142E37" w:rsidRDefault="006062E2" w:rsidP="006062E2">
      <w:pPr>
        <w:spacing w:before="240" w:after="240" w:line="360" w:lineRule="auto"/>
        <w:ind w:right="51"/>
        <w:jc w:val="both"/>
        <w:rPr>
          <w:rFonts w:ascii="Palatino Linotype" w:eastAsia="Palatino Linotype" w:hAnsi="Palatino Linotype" w:cs="Palatino Linotype"/>
        </w:rPr>
      </w:pPr>
      <w:r w:rsidRPr="00142E37">
        <w:rPr>
          <w:rFonts w:ascii="Palatino Linotype" w:eastAsia="Palatino Linotype" w:hAnsi="Palatino Linotype" w:cs="Palatino Linotype"/>
          <w:b/>
        </w:rPr>
        <w:t xml:space="preserve">Quinto. Versión Pública. </w:t>
      </w:r>
      <w:r w:rsidRPr="00142E37">
        <w:rPr>
          <w:rFonts w:ascii="Palatino Linotype" w:eastAsia="Palatino Linotype" w:hAnsi="Palatino Linotype" w:cs="Palatino Linotype"/>
        </w:rPr>
        <w:t>Como fue debidamente apuntado, 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3A430DA" w14:textId="77777777" w:rsidR="006062E2" w:rsidRPr="00142E37" w:rsidRDefault="006062E2" w:rsidP="006062E2">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CF2D603" w14:textId="77777777" w:rsidR="006062E2" w:rsidRPr="00142E37" w:rsidRDefault="006062E2" w:rsidP="006062E2">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w:t>
      </w:r>
      <w:r w:rsidRPr="00142E37">
        <w:rPr>
          <w:rFonts w:ascii="Palatino Linotype" w:eastAsia="Palatino Linotype" w:hAnsi="Palatino Linotype" w:cs="Palatino Linotype"/>
        </w:rPr>
        <w:lastRenderedPageBreak/>
        <w:t>versiones públicas en las que se suprima aquella información relacionada con la vida privada de las personas.</w:t>
      </w:r>
    </w:p>
    <w:p w14:paraId="1B09217C" w14:textId="77777777" w:rsidR="006062E2" w:rsidRPr="00142E37" w:rsidRDefault="006062E2" w:rsidP="006062E2">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48565735"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sz w:val="22"/>
          <w:szCs w:val="22"/>
        </w:rPr>
        <w:t> </w:t>
      </w: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b/>
          <w:i/>
          <w:sz w:val="22"/>
          <w:szCs w:val="22"/>
        </w:rPr>
        <w:t>Artículo 3.</w:t>
      </w:r>
      <w:r w:rsidRPr="00142E37">
        <w:rPr>
          <w:rFonts w:ascii="Palatino Linotype" w:eastAsia="Palatino Linotype" w:hAnsi="Palatino Linotype" w:cs="Palatino Linotype"/>
          <w:i/>
          <w:sz w:val="22"/>
          <w:szCs w:val="22"/>
        </w:rPr>
        <w:t xml:space="preserve"> Para los efectos de la presente Ley se entenderá por:</w:t>
      </w:r>
    </w:p>
    <w:p w14:paraId="335C58D5" w14:textId="77777777" w:rsidR="006062E2" w:rsidRPr="00142E37" w:rsidRDefault="006062E2" w:rsidP="006062E2">
      <w:pPr>
        <w:tabs>
          <w:tab w:val="left" w:pos="1276"/>
        </w:tabs>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p>
    <w:p w14:paraId="78C8AF47" w14:textId="77777777" w:rsidR="006062E2" w:rsidRPr="00142E37" w:rsidRDefault="006062E2" w:rsidP="006062E2">
      <w:pPr>
        <w:tabs>
          <w:tab w:val="left" w:pos="1276"/>
        </w:tabs>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IX. Datos personales</w:t>
      </w:r>
      <w:r w:rsidRPr="00142E37">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5F93712" w14:textId="77777777" w:rsidR="006062E2" w:rsidRPr="00142E37" w:rsidRDefault="006062E2" w:rsidP="006062E2">
      <w:pPr>
        <w:tabs>
          <w:tab w:val="left" w:pos="1276"/>
        </w:tabs>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p>
    <w:p w14:paraId="04C2862F" w14:textId="77777777" w:rsidR="006062E2" w:rsidRPr="00142E37" w:rsidRDefault="006062E2" w:rsidP="006062E2">
      <w:pPr>
        <w:tabs>
          <w:tab w:val="left" w:pos="1276"/>
        </w:tabs>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XX. Información clasificada</w:t>
      </w:r>
      <w:r w:rsidRPr="00142E37">
        <w:rPr>
          <w:rFonts w:ascii="Palatino Linotype" w:eastAsia="Palatino Linotype" w:hAnsi="Palatino Linotype" w:cs="Palatino Linotype"/>
          <w:i/>
          <w:sz w:val="22"/>
          <w:szCs w:val="22"/>
        </w:rPr>
        <w:t>: Aquella considerada por la presente Ley como reservada o confidencial;</w:t>
      </w:r>
    </w:p>
    <w:p w14:paraId="35A267FB" w14:textId="77777777" w:rsidR="006062E2" w:rsidRPr="00142E37" w:rsidRDefault="006062E2" w:rsidP="006062E2">
      <w:pPr>
        <w:tabs>
          <w:tab w:val="left" w:pos="1276"/>
        </w:tabs>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XXI. Información confidencial</w:t>
      </w:r>
      <w:r w:rsidRPr="00142E37">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7BD6C9" w14:textId="77777777" w:rsidR="006062E2" w:rsidRPr="00142E37" w:rsidRDefault="006062E2" w:rsidP="006062E2">
      <w:pPr>
        <w:tabs>
          <w:tab w:val="left" w:pos="1276"/>
        </w:tabs>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p>
    <w:p w14:paraId="53EBA540" w14:textId="77777777" w:rsidR="006062E2" w:rsidRPr="00142E37" w:rsidRDefault="006062E2" w:rsidP="006062E2">
      <w:pPr>
        <w:tabs>
          <w:tab w:val="left" w:pos="1276"/>
        </w:tabs>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XXXII. Protección de Datos Personales</w:t>
      </w:r>
      <w:r w:rsidRPr="00142E37">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22F65FD" w14:textId="77777777" w:rsidR="006062E2" w:rsidRPr="00142E37" w:rsidRDefault="006062E2" w:rsidP="006062E2">
      <w:pPr>
        <w:tabs>
          <w:tab w:val="left" w:pos="1276"/>
        </w:tabs>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p>
    <w:p w14:paraId="3F68574D" w14:textId="77777777" w:rsidR="006062E2" w:rsidRPr="00142E37" w:rsidRDefault="006062E2" w:rsidP="006062E2">
      <w:pPr>
        <w:tabs>
          <w:tab w:val="left" w:pos="1276"/>
        </w:tabs>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XLV. Versión pública</w:t>
      </w:r>
      <w:r w:rsidRPr="00142E3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0EA0E40"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 Artículo 6</w:t>
      </w:r>
      <w:r w:rsidRPr="00142E37">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sidRPr="00142E37">
        <w:rPr>
          <w:rFonts w:ascii="Palatino Linotype" w:eastAsia="Palatino Linotype" w:hAnsi="Palatino Linotype" w:cs="Palatino Linotype"/>
          <w:i/>
          <w:sz w:val="22"/>
          <w:szCs w:val="22"/>
        </w:rPr>
        <w:lastRenderedPageBreak/>
        <w:t>materia de datos personales, se deberá estar a lo dispuesto en las leyes de la materia.</w:t>
      </w:r>
    </w:p>
    <w:p w14:paraId="4E316898"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p>
    <w:p w14:paraId="588663A9"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Artículo 91.</w:t>
      </w:r>
      <w:r w:rsidRPr="00142E3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142E37">
        <w:rPr>
          <w:rFonts w:ascii="Palatino Linotype" w:eastAsia="Palatino Linotype" w:hAnsi="Palatino Linotype" w:cs="Palatino Linotype"/>
          <w:i/>
          <w:sz w:val="22"/>
          <w:szCs w:val="22"/>
        </w:rPr>
        <w:br/>
        <w:t>…</w:t>
      </w:r>
    </w:p>
    <w:p w14:paraId="36AA3F6F"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Artículo 132.</w:t>
      </w:r>
      <w:r w:rsidRPr="00142E37">
        <w:rPr>
          <w:rFonts w:ascii="Palatino Linotype" w:eastAsia="Palatino Linotype" w:hAnsi="Palatino Linotype" w:cs="Palatino Linotype"/>
          <w:i/>
          <w:sz w:val="22"/>
          <w:szCs w:val="22"/>
        </w:rPr>
        <w:t xml:space="preserve"> La clasificación de la información se llevará a cabo en el momento en que:</w:t>
      </w:r>
    </w:p>
    <w:p w14:paraId="3C505486"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w:t>
      </w:r>
      <w:r w:rsidRPr="00142E37">
        <w:rPr>
          <w:rFonts w:ascii="Palatino Linotype" w:eastAsia="Palatino Linotype" w:hAnsi="Palatino Linotype" w:cs="Palatino Linotype"/>
          <w:i/>
          <w:sz w:val="22"/>
          <w:szCs w:val="22"/>
        </w:rPr>
        <w:t>. Se reciba una solicitud de acceso a la información;</w:t>
      </w:r>
    </w:p>
    <w:p w14:paraId="70C7724B"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w:t>
      </w:r>
      <w:r w:rsidRPr="00142E37">
        <w:rPr>
          <w:rFonts w:ascii="Palatino Linotype" w:eastAsia="Palatino Linotype" w:hAnsi="Palatino Linotype" w:cs="Palatino Linotype"/>
          <w:i/>
          <w:sz w:val="22"/>
          <w:szCs w:val="22"/>
        </w:rPr>
        <w:t xml:space="preserve"> Se determine mediante resolución de autoridad competente; o</w:t>
      </w:r>
    </w:p>
    <w:p w14:paraId="2E788A61"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III.</w:t>
      </w:r>
      <w:r w:rsidRPr="00142E3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1616AB3"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w:t>
      </w:r>
    </w:p>
    <w:p w14:paraId="71474F75"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Artículo 137.</w:t>
      </w:r>
      <w:r w:rsidRPr="00142E3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7C03410"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 Artículo 143.</w:t>
      </w:r>
      <w:r w:rsidRPr="00142E37">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39A2DB2"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w:t>
      </w:r>
      <w:r w:rsidRPr="00142E3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CD7BE02" w14:textId="77777777" w:rsidR="006062E2" w:rsidRPr="00142E37" w:rsidRDefault="006062E2" w:rsidP="006062E2">
      <w:pPr>
        <w:spacing w:before="240" w:after="240" w:line="360" w:lineRule="auto"/>
        <w:ind w:right="50"/>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w:t>
      </w:r>
      <w:r w:rsidRPr="00142E37">
        <w:rPr>
          <w:rFonts w:ascii="Palatino Linotype" w:eastAsia="Palatino Linotype" w:hAnsi="Palatino Linotype" w:cs="Palatino Linotype"/>
        </w:rPr>
        <w:lastRenderedPageBreak/>
        <w:t>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BA14359" w14:textId="77777777" w:rsidR="006062E2" w:rsidRPr="00142E37" w:rsidRDefault="006062E2" w:rsidP="006062E2">
      <w:pPr>
        <w:spacing w:before="240" w:after="240" w:line="360" w:lineRule="auto"/>
        <w:ind w:right="50"/>
        <w:jc w:val="both"/>
        <w:rPr>
          <w:rFonts w:ascii="Palatino Linotype" w:eastAsia="Palatino Linotype" w:hAnsi="Palatino Linotype" w:cs="Palatino Linotype"/>
        </w:rPr>
      </w:pPr>
      <w:r w:rsidRPr="00142E3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4A16108"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42E37">
        <w:rPr>
          <w:rFonts w:ascii="Palatino Linotype" w:eastAsia="Palatino Linotype" w:hAnsi="Palatino Linotype" w:cs="Palatino Linotype"/>
          <w:b/>
        </w:rPr>
        <w:t>Registro Federal de Contribuyentes</w:t>
      </w:r>
      <w:r w:rsidRPr="00142E37">
        <w:rPr>
          <w:rFonts w:ascii="Palatino Linotype" w:eastAsia="Palatino Linotype" w:hAnsi="Palatino Linotype" w:cs="Palatino Linotype"/>
        </w:rPr>
        <w:t xml:space="preserve"> (RFC), la </w:t>
      </w:r>
      <w:r w:rsidRPr="00142E37">
        <w:rPr>
          <w:rFonts w:ascii="Palatino Linotype" w:eastAsia="Palatino Linotype" w:hAnsi="Palatino Linotype" w:cs="Palatino Linotype"/>
          <w:b/>
        </w:rPr>
        <w:t>Clave Única de Registro de Población</w:t>
      </w:r>
      <w:r w:rsidRPr="00142E37">
        <w:rPr>
          <w:rFonts w:ascii="Palatino Linotype" w:eastAsia="Palatino Linotype" w:hAnsi="Palatino Linotype" w:cs="Palatino Linotype"/>
        </w:rPr>
        <w:t xml:space="preserve"> (CURP), la </w:t>
      </w:r>
      <w:r w:rsidRPr="00142E37">
        <w:rPr>
          <w:rFonts w:ascii="Palatino Linotype" w:eastAsia="Palatino Linotype" w:hAnsi="Palatino Linotype" w:cs="Palatino Linotype"/>
          <w:b/>
        </w:rPr>
        <w:t>Clave de cualquier tipo de seguridad social</w:t>
      </w:r>
      <w:r w:rsidRPr="00142E37">
        <w:rPr>
          <w:rFonts w:ascii="Palatino Linotype" w:eastAsia="Palatino Linotype" w:hAnsi="Palatino Linotype" w:cs="Palatino Linotype"/>
        </w:rPr>
        <w:t xml:space="preserve"> (ISSEMYM, u otros), los </w:t>
      </w:r>
      <w:r w:rsidRPr="00142E37">
        <w:rPr>
          <w:rFonts w:ascii="Palatino Linotype" w:eastAsia="Palatino Linotype" w:hAnsi="Palatino Linotype" w:cs="Palatino Linotype"/>
          <w:b/>
        </w:rPr>
        <w:t>números de cuentas bancarias</w:t>
      </w:r>
      <w:r w:rsidRPr="00142E37">
        <w:rPr>
          <w:rFonts w:ascii="Palatino Linotype" w:eastAsia="Palatino Linotype" w:hAnsi="Palatino Linotype" w:cs="Palatino Linotype"/>
        </w:rPr>
        <w:t xml:space="preserve">, claves estandarizadas – interbancarias - (CLABES) y de tarjetas, los </w:t>
      </w:r>
      <w:r w:rsidRPr="00142E37">
        <w:rPr>
          <w:rFonts w:ascii="Palatino Linotype" w:eastAsia="Palatino Linotype" w:hAnsi="Palatino Linotype" w:cs="Palatino Linotype"/>
          <w:b/>
        </w:rPr>
        <w:t>préstamos o descuentos</w:t>
      </w:r>
      <w:r w:rsidRPr="00142E37">
        <w:rPr>
          <w:rFonts w:ascii="Palatino Linotype" w:eastAsia="Palatino Linotype" w:hAnsi="Palatino Linotype" w:cs="Palatino Linotype"/>
        </w:rPr>
        <w:t xml:space="preserve"> que se le hagan a la persona y que no tengan relación con los impuestos o la cuota por seguridad social, el</w:t>
      </w:r>
      <w:r w:rsidRPr="00142E37">
        <w:rPr>
          <w:rFonts w:ascii="Palatino Linotype" w:eastAsia="Palatino Linotype" w:hAnsi="Palatino Linotype" w:cs="Palatino Linotype"/>
          <w:b/>
        </w:rPr>
        <w:t xml:space="preserve"> número de empleado, </w:t>
      </w:r>
      <w:r w:rsidRPr="00142E37">
        <w:rPr>
          <w:rFonts w:ascii="Palatino Linotype" w:eastAsia="Palatino Linotype" w:hAnsi="Palatino Linotype" w:cs="Palatino Linotype"/>
        </w:rPr>
        <w:t>y cualquier información de carácter fiscal.</w:t>
      </w:r>
    </w:p>
    <w:p w14:paraId="7E14567B" w14:textId="77777777" w:rsidR="006062E2" w:rsidRPr="00142E37" w:rsidRDefault="006062E2" w:rsidP="006062E2">
      <w:pPr>
        <w:spacing w:before="240" w:after="240" w:line="360" w:lineRule="auto"/>
        <w:ind w:right="50"/>
        <w:jc w:val="both"/>
        <w:rPr>
          <w:rFonts w:ascii="Palatino Linotype" w:eastAsia="Palatino Linotype" w:hAnsi="Palatino Linotype" w:cs="Palatino Linotype"/>
        </w:rPr>
      </w:pPr>
      <w:r w:rsidRPr="00142E37">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D46A012"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Por cuanto hace al </w:t>
      </w:r>
      <w:r w:rsidRPr="00142E37">
        <w:rPr>
          <w:rFonts w:ascii="Palatino Linotype" w:eastAsia="Palatino Linotype" w:hAnsi="Palatino Linotype" w:cs="Palatino Linotype"/>
          <w:b/>
        </w:rPr>
        <w:t>Registro Federal de Contribuyentes, RFC,</w:t>
      </w:r>
      <w:r w:rsidRPr="00142E37">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142E37">
        <w:rPr>
          <w:rFonts w:ascii="Palatino Linotype" w:eastAsia="Palatino Linotype" w:hAnsi="Palatino Linotype" w:cs="Palatino Linotype"/>
        </w:rPr>
        <w:t>homoclave</w:t>
      </w:r>
      <w:proofErr w:type="spellEnd"/>
      <w:r w:rsidRPr="00142E37">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4977C840"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34A26E1" w14:textId="77777777" w:rsidR="006062E2" w:rsidRPr="00142E37" w:rsidRDefault="006062E2" w:rsidP="006062E2">
      <w:pP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142E37">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1EC2413C"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rPr>
        <w:t xml:space="preserve"> </w:t>
      </w:r>
      <w:r w:rsidRPr="00142E37">
        <w:rPr>
          <w:rFonts w:ascii="Palatino Linotype" w:eastAsia="Palatino Linotype" w:hAnsi="Palatino Linotype" w:cs="Palatino Linotype"/>
          <w:b/>
          <w:i/>
          <w:sz w:val="22"/>
          <w:szCs w:val="22"/>
        </w:rPr>
        <w:t>“Registro Federal de Contribuyentes (RFC) de personas físicas</w:t>
      </w:r>
      <w:r w:rsidRPr="00142E37">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1D4D56D1"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142E37">
        <w:rPr>
          <w:rFonts w:ascii="Palatino Linotype" w:eastAsia="Palatino Linotype" w:hAnsi="Palatino Linotype" w:cs="Palatino Linotype"/>
        </w:rPr>
        <w:t>homoclave</w:t>
      </w:r>
      <w:proofErr w:type="spellEnd"/>
      <w:r w:rsidRPr="00142E37">
        <w:rPr>
          <w:rFonts w:ascii="Palatino Linotype" w:eastAsia="Palatino Linotype" w:hAnsi="Palatino Linotype" w:cs="Palatino Linotype"/>
        </w:rPr>
        <w:t xml:space="preserve">, la cual es única e irrepetible y determina la identificación de dicha </w:t>
      </w:r>
      <w:r w:rsidRPr="00142E37">
        <w:rPr>
          <w:rFonts w:ascii="Palatino Linotype" w:eastAsia="Palatino Linotype" w:hAnsi="Palatino Linotype" w:cs="Palatino Linotype"/>
        </w:rPr>
        <w:lastRenderedPageBreak/>
        <w:t>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B08565C"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De igual manera la </w:t>
      </w:r>
      <w:r w:rsidRPr="00142E37">
        <w:rPr>
          <w:rFonts w:ascii="Palatino Linotype" w:eastAsia="Palatino Linotype" w:hAnsi="Palatino Linotype" w:cs="Palatino Linotype"/>
          <w:b/>
        </w:rPr>
        <w:t>Clave Única de Registro de Población</w:t>
      </w:r>
      <w:r w:rsidRPr="00142E37">
        <w:rPr>
          <w:rFonts w:ascii="Palatino Linotype" w:eastAsia="Palatino Linotype" w:hAnsi="Palatino Linotype" w:cs="Palatino Linotype"/>
        </w:rPr>
        <w:t xml:space="preserve">, </w:t>
      </w:r>
      <w:r w:rsidRPr="00142E37">
        <w:rPr>
          <w:rFonts w:ascii="Palatino Linotype" w:eastAsia="Palatino Linotype" w:hAnsi="Palatino Linotype" w:cs="Palatino Linotype"/>
          <w:b/>
        </w:rPr>
        <w:t>CURP,</w:t>
      </w:r>
      <w:r w:rsidRPr="00142E37">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9E5D75F"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Argumento que se apoya del criterio orientador con Clave de control SO/018/2017, emitido por el entonces Instituto Nacional de Transparencia, Acceso a la Información y Protección de Datos Personales, INAI, el cual refiere:</w:t>
      </w:r>
    </w:p>
    <w:p w14:paraId="11842A16"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rPr>
        <w:t xml:space="preserve"> </w:t>
      </w:r>
      <w:r w:rsidRPr="00142E37">
        <w:rPr>
          <w:rFonts w:ascii="Palatino Linotype" w:eastAsia="Palatino Linotype" w:hAnsi="Palatino Linotype" w:cs="Palatino Linotype"/>
          <w:b/>
          <w:i/>
          <w:sz w:val="22"/>
          <w:szCs w:val="22"/>
        </w:rPr>
        <w:t xml:space="preserve">“Clave Única de Registro de Población (CURP). </w:t>
      </w:r>
      <w:r w:rsidRPr="00142E37">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64F47EA"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Por lo que respecta a la </w:t>
      </w:r>
      <w:r w:rsidRPr="00142E37">
        <w:rPr>
          <w:rFonts w:ascii="Palatino Linotype" w:eastAsia="Palatino Linotype" w:hAnsi="Palatino Linotype" w:cs="Palatino Linotype"/>
          <w:b/>
        </w:rPr>
        <w:t>clave de seguridad social</w:t>
      </w:r>
      <w:r w:rsidRPr="00142E37">
        <w:rPr>
          <w:rFonts w:ascii="Palatino Linotype" w:eastAsia="Palatino Linotype" w:hAnsi="Palatino Linotype" w:cs="Palatino Linotype"/>
        </w:rPr>
        <w:t xml:space="preserve">, en virtud de que su divulgación no aporta a la transparencia o a la rendición de cuentas y sí provoca una transgresión </w:t>
      </w:r>
      <w:r w:rsidRPr="00142E37">
        <w:rPr>
          <w:rFonts w:ascii="Palatino Linotype" w:eastAsia="Palatino Linotype" w:hAnsi="Palatino Linotype" w:cs="Palatino Linotype"/>
        </w:rPr>
        <w:lastRenderedPageBreak/>
        <w:t>a la vida privada e intimidad de la persona, esta información también resulta ser de carácter confidencial.</w:t>
      </w:r>
    </w:p>
    <w:p w14:paraId="7A869F24"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Respecto de los </w:t>
      </w:r>
      <w:r w:rsidRPr="00142E37">
        <w:rPr>
          <w:rFonts w:ascii="Palatino Linotype" w:eastAsia="Palatino Linotype" w:hAnsi="Palatino Linotype" w:cs="Palatino Linotype"/>
          <w:b/>
        </w:rPr>
        <w:t>números de cuentas bancari</w:t>
      </w:r>
      <w:r w:rsidRPr="00142E37">
        <w:rPr>
          <w:rFonts w:ascii="Palatino Linotype" w:eastAsia="Palatino Linotype" w:hAnsi="Palatino Linotype" w:cs="Palatino Linotype"/>
        </w:rPr>
        <w:t xml:space="preserve">as, </w:t>
      </w:r>
      <w:r w:rsidRPr="00142E37">
        <w:rPr>
          <w:rFonts w:ascii="Palatino Linotype" w:eastAsia="Palatino Linotype" w:hAnsi="Palatino Linotype" w:cs="Palatino Linotype"/>
          <w:b/>
        </w:rPr>
        <w:t>claves estandarizadas –interbancarias- (CLABES) y de tarjetas</w:t>
      </w:r>
      <w:r w:rsidRPr="00142E37">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19941EB1"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26A3474"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1F6B4346"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710094F1"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3E5ECA73"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lastRenderedPageBreak/>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55898301"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b/>
          <w:i/>
          <w:sz w:val="22"/>
          <w:szCs w:val="22"/>
        </w:rPr>
        <w:t>Cuentas bancarias y/o CLABE interbancaria de personas físicas y morales privadas.</w:t>
      </w:r>
      <w:r w:rsidRPr="00142E37">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773A66A"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142E37">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AC3FD4F" w14:textId="77777777" w:rsidR="006062E2" w:rsidRPr="00142E37" w:rsidRDefault="006062E2" w:rsidP="006062E2">
      <w:pPr>
        <w:spacing w:before="240" w:after="240" w:line="360" w:lineRule="auto"/>
        <w:jc w:val="both"/>
        <w:rPr>
          <w:rFonts w:ascii="Palatino Linotype" w:eastAsia="Palatino Linotype" w:hAnsi="Palatino Linotype" w:cs="Palatino Linotype"/>
        </w:rPr>
      </w:pPr>
      <w:bookmarkStart w:id="10" w:name="_heading=h.35nkun2" w:colFirst="0" w:colLast="0"/>
      <w:bookmarkEnd w:id="10"/>
      <w:r w:rsidRPr="00142E37">
        <w:rPr>
          <w:rFonts w:ascii="Palatino Linotype" w:eastAsia="Palatino Linotype" w:hAnsi="Palatino Linotype" w:cs="Palatino Linotype"/>
        </w:rPr>
        <w:t xml:space="preserve">Por cuanto hace a los </w:t>
      </w:r>
      <w:r w:rsidRPr="00142E37">
        <w:rPr>
          <w:rFonts w:ascii="Palatino Linotype" w:eastAsia="Palatino Linotype" w:hAnsi="Palatino Linotype" w:cs="Palatino Linotype"/>
          <w:b/>
        </w:rPr>
        <w:t>préstamos o descuentos de carácter personal</w:t>
      </w:r>
      <w:r w:rsidRPr="00142E37">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5BD9A081"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46EF68C7" w14:textId="77777777" w:rsidR="006062E2" w:rsidRPr="00142E37" w:rsidRDefault="006062E2" w:rsidP="006062E2">
      <w:pPr>
        <w:spacing w:before="120" w:after="120"/>
        <w:ind w:left="851" w:right="902"/>
        <w:jc w:val="both"/>
        <w:rPr>
          <w:rFonts w:ascii="Palatino Linotype" w:eastAsia="Palatino Linotype" w:hAnsi="Palatino Linotype" w:cs="Palatino Linotype"/>
          <w:b/>
          <w:i/>
          <w:sz w:val="22"/>
          <w:szCs w:val="22"/>
        </w:rPr>
      </w:pPr>
      <w:bookmarkStart w:id="11" w:name="_heading=h.1ksv4uv" w:colFirst="0" w:colLast="0"/>
      <w:bookmarkEnd w:id="11"/>
      <w:r w:rsidRPr="00142E37">
        <w:rPr>
          <w:rFonts w:ascii="Palatino Linotype" w:eastAsia="Palatino Linotype" w:hAnsi="Palatino Linotype" w:cs="Palatino Linotype"/>
          <w:b/>
          <w:i/>
          <w:sz w:val="22"/>
          <w:szCs w:val="22"/>
        </w:rPr>
        <w:t xml:space="preserve">“ARTÍCULO 84. </w:t>
      </w:r>
      <w:r w:rsidRPr="00142E37">
        <w:rPr>
          <w:rFonts w:ascii="Palatino Linotype" w:eastAsia="Palatino Linotype" w:hAnsi="Palatino Linotype" w:cs="Palatino Linotype"/>
          <w:i/>
          <w:sz w:val="22"/>
          <w:szCs w:val="22"/>
        </w:rPr>
        <w:t>Sólo podrán hacerse retenciones, descuentos o deducciones al sueldo de los servidores públicos por concepto de:</w:t>
      </w:r>
    </w:p>
    <w:p w14:paraId="6993740E"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w:t>
      </w:r>
      <w:r w:rsidRPr="00142E37">
        <w:rPr>
          <w:rFonts w:ascii="Palatino Linotype" w:eastAsia="Palatino Linotype" w:hAnsi="Palatino Linotype" w:cs="Palatino Linotype"/>
          <w:i/>
          <w:sz w:val="22"/>
          <w:szCs w:val="22"/>
        </w:rPr>
        <w:t xml:space="preserve"> Gravámenes fiscales relacionados con el sueldo;</w:t>
      </w:r>
    </w:p>
    <w:p w14:paraId="58D82E27"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w:t>
      </w:r>
      <w:r w:rsidRPr="00142E37">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786F6BAD"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lastRenderedPageBreak/>
        <w:t>III.</w:t>
      </w:r>
      <w:r w:rsidRPr="00142E37">
        <w:rPr>
          <w:rFonts w:ascii="Palatino Linotype" w:eastAsia="Palatino Linotype" w:hAnsi="Palatino Linotype" w:cs="Palatino Linotype"/>
          <w:i/>
          <w:sz w:val="22"/>
          <w:szCs w:val="22"/>
        </w:rPr>
        <w:t xml:space="preserve"> </w:t>
      </w:r>
      <w:r w:rsidRPr="00142E37">
        <w:rPr>
          <w:rFonts w:ascii="Palatino Linotype" w:eastAsia="Palatino Linotype" w:hAnsi="Palatino Linotype" w:cs="Palatino Linotype"/>
          <w:b/>
          <w:i/>
          <w:sz w:val="22"/>
          <w:szCs w:val="22"/>
        </w:rPr>
        <w:t>Cuotas sindicales</w:t>
      </w:r>
      <w:r w:rsidRPr="00142E37">
        <w:rPr>
          <w:rFonts w:ascii="Palatino Linotype" w:eastAsia="Palatino Linotype" w:hAnsi="Palatino Linotype" w:cs="Palatino Linotype"/>
          <w:i/>
          <w:sz w:val="22"/>
          <w:szCs w:val="22"/>
        </w:rPr>
        <w:t>;</w:t>
      </w:r>
    </w:p>
    <w:p w14:paraId="6582C00F"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IV.</w:t>
      </w:r>
      <w:r w:rsidRPr="00142E37">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640EF529"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V.</w:t>
      </w:r>
      <w:r w:rsidRPr="00142E37">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2CE00D72"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VI.</w:t>
      </w:r>
      <w:r w:rsidRPr="00142E37">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2A70A94E"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VII.</w:t>
      </w:r>
      <w:r w:rsidRPr="00142E37">
        <w:rPr>
          <w:rFonts w:ascii="Palatino Linotype" w:eastAsia="Palatino Linotype" w:hAnsi="Palatino Linotype" w:cs="Palatino Linotype"/>
          <w:i/>
          <w:sz w:val="22"/>
          <w:szCs w:val="22"/>
        </w:rPr>
        <w:t xml:space="preserve"> Faltas de puntualidad o de asistencia injustificadas;</w:t>
      </w:r>
    </w:p>
    <w:p w14:paraId="3F1BD57A"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VIII. Pensiones alimenticias ordenadas por la autoridad judicial;</w:t>
      </w:r>
      <w:r w:rsidRPr="00142E37">
        <w:rPr>
          <w:rFonts w:ascii="Palatino Linotype" w:eastAsia="Palatino Linotype" w:hAnsi="Palatino Linotype" w:cs="Palatino Linotype"/>
          <w:i/>
          <w:sz w:val="22"/>
          <w:szCs w:val="22"/>
        </w:rPr>
        <w:t xml:space="preserve"> o</w:t>
      </w:r>
    </w:p>
    <w:p w14:paraId="29D96F61" w14:textId="77777777" w:rsidR="006062E2" w:rsidRPr="00142E37" w:rsidRDefault="006062E2" w:rsidP="006062E2">
      <w:pPr>
        <w:spacing w:before="120" w:after="120"/>
        <w:ind w:left="1134" w:right="902"/>
        <w:jc w:val="both"/>
        <w:rPr>
          <w:rFonts w:ascii="Palatino Linotype" w:eastAsia="Palatino Linotype" w:hAnsi="Palatino Linotype" w:cs="Palatino Linotype"/>
          <w:b/>
          <w:i/>
          <w:sz w:val="22"/>
          <w:szCs w:val="22"/>
        </w:rPr>
      </w:pPr>
      <w:r w:rsidRPr="00142E37">
        <w:rPr>
          <w:rFonts w:ascii="Palatino Linotype" w:eastAsia="Palatino Linotype" w:hAnsi="Palatino Linotype" w:cs="Palatino Linotype"/>
          <w:b/>
          <w:i/>
          <w:sz w:val="22"/>
          <w:szCs w:val="22"/>
        </w:rPr>
        <w:t>IX. Cualquier otro convenido con instituciones de servicios y aceptado por el servidor público.</w:t>
      </w:r>
    </w:p>
    <w:p w14:paraId="1592AFB6"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376B99EE"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35FD1DDF"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De este modo, los </w:t>
      </w:r>
      <w:r w:rsidRPr="00142E37">
        <w:rPr>
          <w:rFonts w:ascii="Palatino Linotype" w:eastAsia="Palatino Linotype" w:hAnsi="Palatino Linotype" w:cs="Palatino Linotype"/>
          <w:b/>
        </w:rPr>
        <w:t>descuentos o deducciones por cuotas sindicales</w:t>
      </w:r>
      <w:r w:rsidRPr="00142E37">
        <w:rPr>
          <w:rFonts w:ascii="Palatino Linotype" w:eastAsia="Palatino Linotype" w:hAnsi="Palatino Linotype" w:cs="Palatino Linotype"/>
        </w:rPr>
        <w:t xml:space="preserve">, </w:t>
      </w:r>
      <w:r w:rsidRPr="00142E37">
        <w:rPr>
          <w:rFonts w:ascii="Palatino Linotype" w:eastAsia="Palatino Linotype" w:hAnsi="Palatino Linotype" w:cs="Palatino Linotype"/>
          <w:b/>
        </w:rPr>
        <w:t>pensiones alimenticias</w:t>
      </w:r>
      <w:r w:rsidRPr="00142E37">
        <w:rPr>
          <w:rFonts w:ascii="Palatino Linotype" w:eastAsia="Palatino Linotype" w:hAnsi="Palatino Linotype" w:cs="Palatino Linotype"/>
        </w:rPr>
        <w:t xml:space="preserve"> o </w:t>
      </w:r>
      <w:r w:rsidRPr="00142E37">
        <w:rPr>
          <w:rFonts w:ascii="Palatino Linotype" w:eastAsia="Palatino Linotype" w:hAnsi="Palatino Linotype" w:cs="Palatino Linotype"/>
          <w:b/>
        </w:rPr>
        <w:t>créditos adquiridos con instituciones privadas</w:t>
      </w:r>
      <w:r w:rsidRPr="00142E37">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142E37">
        <w:rPr>
          <w:rFonts w:ascii="Palatino Linotype" w:eastAsia="Palatino Linotype" w:hAnsi="Palatino Linotype" w:cs="Palatino Linotype"/>
          <w:b/>
        </w:rPr>
        <w:t xml:space="preserve">es información que no es de carácter </w:t>
      </w:r>
      <w:r w:rsidRPr="00142E37">
        <w:rPr>
          <w:rFonts w:ascii="Palatino Linotype" w:eastAsia="Palatino Linotype" w:hAnsi="Palatino Linotype" w:cs="Palatino Linotype"/>
          <w:b/>
        </w:rPr>
        <w:lastRenderedPageBreak/>
        <w:t>público, sino que constituye información confidencial</w:t>
      </w:r>
      <w:r w:rsidRPr="00142E37">
        <w:rPr>
          <w:rFonts w:ascii="Palatino Linotype" w:eastAsia="Palatino Linotype" w:hAnsi="Palatino Linotype" w:cs="Palatino Linotype"/>
        </w:rPr>
        <w:t xml:space="preserve"> en virtud de que corresponde con decisiones personales, y por tanto, se debe clasificar.</w:t>
      </w:r>
    </w:p>
    <w:p w14:paraId="4A6FC8C1"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D757EA9"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5F88FE79"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Con relación al </w:t>
      </w:r>
      <w:r w:rsidRPr="00142E37">
        <w:rPr>
          <w:rFonts w:ascii="Palatino Linotype" w:eastAsia="Palatino Linotype" w:hAnsi="Palatino Linotype" w:cs="Palatino Linotype"/>
          <w:b/>
        </w:rPr>
        <w:t>número de empleado</w:t>
      </w:r>
      <w:r w:rsidRPr="00142E37">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42E37">
        <w:rPr>
          <w:rFonts w:ascii="Palatino Linotype" w:eastAsia="Palatino Linotype" w:hAnsi="Palatino Linotype" w:cs="Palatino Linotype"/>
          <w:vertAlign w:val="superscript"/>
        </w:rPr>
        <w:footnoteReference w:id="1"/>
      </w:r>
      <w:r w:rsidRPr="00142E37">
        <w:rPr>
          <w:rFonts w:ascii="Palatino Linotype" w:eastAsia="Palatino Linotype" w:hAnsi="Palatino Linotype" w:cs="Palatino Linotype"/>
        </w:rPr>
        <w:t>.</w:t>
      </w:r>
    </w:p>
    <w:p w14:paraId="25974312"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w:t>
      </w:r>
      <w:r w:rsidRPr="00142E37">
        <w:rPr>
          <w:rFonts w:ascii="Palatino Linotype" w:eastAsia="Palatino Linotype" w:hAnsi="Palatino Linotype" w:cs="Palatino Linotype"/>
        </w:rPr>
        <w:lastRenderedPageBreak/>
        <w:t>sobre su publicidad, a través del Criterio de interpretación con Clave de control SO/006/2019, que indica lo siguiente:</w:t>
      </w:r>
    </w:p>
    <w:p w14:paraId="36F4DE95" w14:textId="77777777" w:rsidR="006062E2" w:rsidRPr="00142E37" w:rsidRDefault="006062E2" w:rsidP="006062E2">
      <w:pPr>
        <w:tabs>
          <w:tab w:val="left" w:pos="7655"/>
        </w:tabs>
        <w:spacing w:before="120" w:after="120"/>
        <w:ind w:left="992" w:right="99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 xml:space="preserve">“Número de empleado. </w:t>
      </w:r>
      <w:r w:rsidRPr="00142E37">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B0BDA2F"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0BE3808"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b/>
        </w:rPr>
        <w:t>De la información fiscal</w:t>
      </w:r>
      <w:r w:rsidRPr="00142E37">
        <w:rPr>
          <w:rFonts w:ascii="Palatino Linotype" w:eastAsia="Palatino Linotype" w:hAnsi="Palatino Linotype" w:cs="Palatino Linotype"/>
        </w:rPr>
        <w:t xml:space="preserve">: </w:t>
      </w:r>
    </w:p>
    <w:p w14:paraId="5C786797"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La </w:t>
      </w:r>
      <w:r w:rsidRPr="00142E37">
        <w:rPr>
          <w:rFonts w:ascii="Palatino Linotype" w:eastAsia="Palatino Linotype" w:hAnsi="Palatino Linotype" w:cs="Palatino Linotype"/>
          <w:b/>
        </w:rPr>
        <w:t>Cadena Original</w:t>
      </w:r>
      <w:r w:rsidRPr="00142E37">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analizar dicha circunstancia con la </w:t>
      </w:r>
      <w:r w:rsidRPr="00142E37">
        <w:rPr>
          <w:rFonts w:ascii="Palatino Linotype" w:eastAsia="Palatino Linotype" w:hAnsi="Palatino Linotype" w:cs="Palatino Linotype"/>
        </w:rPr>
        <w:lastRenderedPageBreak/>
        <w:t>finalidad de proteger, de ser el caso, la información a través de su clasificación por actualizarse el supuesto de confidencialidad.</w:t>
      </w:r>
    </w:p>
    <w:p w14:paraId="122B0026"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Los </w:t>
      </w:r>
      <w:r w:rsidRPr="00142E37">
        <w:rPr>
          <w:rFonts w:ascii="Palatino Linotype" w:eastAsia="Palatino Linotype" w:hAnsi="Palatino Linotype" w:cs="Palatino Linotype"/>
          <w:b/>
        </w:rPr>
        <w:t>códigos bidimensionales</w:t>
      </w:r>
      <w:r w:rsidRPr="00142E37">
        <w:rPr>
          <w:rFonts w:ascii="Palatino Linotype" w:eastAsia="Palatino Linotype" w:hAnsi="Palatino Linotype" w:cs="Palatino Linotype"/>
        </w:rPr>
        <w:t xml:space="preserve"> o </w:t>
      </w:r>
      <w:r w:rsidRPr="00142E37">
        <w:rPr>
          <w:rFonts w:ascii="Palatino Linotype" w:eastAsia="Palatino Linotype" w:hAnsi="Palatino Linotype" w:cs="Palatino Linotype"/>
          <w:b/>
        </w:rPr>
        <w:t xml:space="preserve">códigos QR, </w:t>
      </w:r>
      <w:r w:rsidRPr="00142E37">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analizar dicha circunstancia con la finalidad de determinar si se actualiza algún supuesto de confidencialidad.</w:t>
      </w:r>
    </w:p>
    <w:p w14:paraId="16B161B0"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tal sentido, si derivado del análisis efectuado por 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2DFD530A" w14:textId="77777777" w:rsidR="006062E2" w:rsidRPr="00142E37" w:rsidRDefault="006062E2" w:rsidP="006062E2">
      <w:pPr>
        <w:spacing w:before="240" w:after="240" w:line="360" w:lineRule="auto"/>
        <w:ind w:right="50"/>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142E37">
        <w:rPr>
          <w:rFonts w:ascii="Palatino Linotype" w:eastAsia="Palatino Linotype" w:hAnsi="Palatino Linotype" w:cs="Palatino Linotype"/>
        </w:rPr>
        <w:t>Responsable</w:t>
      </w:r>
      <w:proofErr w:type="gramEnd"/>
      <w:r w:rsidRPr="00142E37">
        <w:rPr>
          <w:rFonts w:ascii="Palatino Linotype" w:eastAsia="Palatino Linotype" w:hAnsi="Palatino Linotype" w:cs="Palatino Linotype"/>
        </w:rPr>
        <w:t xml:space="preserve"> de la Unidad de Transparencia del Sujeto Obligado, sino que ello deberá realizarse en </w:t>
      </w:r>
      <w:r w:rsidRPr="00142E37">
        <w:rPr>
          <w:rFonts w:ascii="Palatino Linotype" w:eastAsia="Palatino Linotype" w:hAnsi="Palatino Linotype" w:cs="Palatino Linotype"/>
        </w:rPr>
        <w:lastRenderedPageBreak/>
        <w:t>términos de lo que disponen los artículos 49 fracción VIII, 53, fracción X y 59, fracción V, de la Ley en consulta, cuyo sentido literal es el siguiente:</w:t>
      </w:r>
    </w:p>
    <w:p w14:paraId="6A675FA7"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“Artículo 49.</w:t>
      </w:r>
      <w:r w:rsidRPr="00142E37">
        <w:rPr>
          <w:rFonts w:ascii="Palatino Linotype" w:eastAsia="Palatino Linotype" w:hAnsi="Palatino Linotype" w:cs="Palatino Linotype"/>
          <w:i/>
          <w:sz w:val="22"/>
          <w:szCs w:val="22"/>
        </w:rPr>
        <w:t xml:space="preserve"> </w:t>
      </w:r>
      <w:r w:rsidRPr="00142E37">
        <w:rPr>
          <w:rFonts w:ascii="Palatino Linotype" w:eastAsia="Palatino Linotype" w:hAnsi="Palatino Linotype" w:cs="Palatino Linotype"/>
          <w:b/>
          <w:i/>
          <w:sz w:val="22"/>
          <w:szCs w:val="22"/>
        </w:rPr>
        <w:t>Los Comités de Transparencia</w:t>
      </w:r>
      <w:r w:rsidRPr="00142E37">
        <w:rPr>
          <w:rFonts w:ascii="Palatino Linotype" w:eastAsia="Palatino Linotype" w:hAnsi="Palatino Linotype" w:cs="Palatino Linotype"/>
          <w:i/>
          <w:sz w:val="22"/>
          <w:szCs w:val="22"/>
        </w:rPr>
        <w:t xml:space="preserve"> tendrán las siguientes atribuciones:</w:t>
      </w:r>
    </w:p>
    <w:p w14:paraId="1ACD6C47"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VIII. Aprobar, modificar o revocar la clasificación de la información</w:t>
      </w:r>
      <w:r w:rsidRPr="00142E37">
        <w:rPr>
          <w:rFonts w:ascii="Palatino Linotype" w:eastAsia="Palatino Linotype" w:hAnsi="Palatino Linotype" w:cs="Palatino Linotype"/>
          <w:i/>
          <w:sz w:val="22"/>
          <w:szCs w:val="22"/>
        </w:rPr>
        <w:t>…”</w:t>
      </w:r>
    </w:p>
    <w:p w14:paraId="55BF94C4"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b/>
          <w:i/>
          <w:sz w:val="22"/>
          <w:szCs w:val="22"/>
        </w:rPr>
        <w:t>Artículo 53.</w:t>
      </w:r>
      <w:r w:rsidRPr="00142E37">
        <w:rPr>
          <w:rFonts w:ascii="Palatino Linotype" w:eastAsia="Palatino Linotype" w:hAnsi="Palatino Linotype" w:cs="Palatino Linotype"/>
          <w:i/>
          <w:sz w:val="22"/>
          <w:szCs w:val="22"/>
        </w:rPr>
        <w:t xml:space="preserve"> Las </w:t>
      </w:r>
      <w:r w:rsidRPr="00142E37">
        <w:rPr>
          <w:rFonts w:ascii="Palatino Linotype" w:eastAsia="Palatino Linotype" w:hAnsi="Palatino Linotype" w:cs="Palatino Linotype"/>
          <w:b/>
          <w:i/>
          <w:sz w:val="22"/>
          <w:szCs w:val="22"/>
        </w:rPr>
        <w:t>Unidades de Transparencia</w:t>
      </w:r>
      <w:r w:rsidRPr="00142E37">
        <w:rPr>
          <w:rFonts w:ascii="Palatino Linotype" w:eastAsia="Palatino Linotype" w:hAnsi="Palatino Linotype" w:cs="Palatino Linotype"/>
          <w:i/>
          <w:sz w:val="22"/>
          <w:szCs w:val="22"/>
        </w:rPr>
        <w:t xml:space="preserve"> tendrán las siguientes </w:t>
      </w:r>
      <w:r w:rsidRPr="00142E37">
        <w:rPr>
          <w:rFonts w:ascii="Palatino Linotype" w:eastAsia="Palatino Linotype" w:hAnsi="Palatino Linotype" w:cs="Palatino Linotype"/>
          <w:b/>
          <w:i/>
          <w:sz w:val="22"/>
          <w:szCs w:val="22"/>
        </w:rPr>
        <w:t>funciones</w:t>
      </w:r>
      <w:r w:rsidRPr="00142E37">
        <w:rPr>
          <w:rFonts w:ascii="Palatino Linotype" w:eastAsia="Palatino Linotype" w:hAnsi="Palatino Linotype" w:cs="Palatino Linotype"/>
          <w:i/>
          <w:sz w:val="22"/>
          <w:szCs w:val="22"/>
        </w:rPr>
        <w:t>:</w:t>
      </w:r>
    </w:p>
    <w:p w14:paraId="31BB0D27"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X. Presentar ante el Comité, el proyecto de clasificación de información</w:t>
      </w:r>
      <w:r w:rsidRPr="00142E37">
        <w:rPr>
          <w:rFonts w:ascii="Palatino Linotype" w:eastAsia="Palatino Linotype" w:hAnsi="Palatino Linotype" w:cs="Palatino Linotype"/>
          <w:i/>
          <w:sz w:val="22"/>
          <w:szCs w:val="22"/>
        </w:rPr>
        <w:t xml:space="preserve">…” </w:t>
      </w:r>
    </w:p>
    <w:p w14:paraId="6FF464DC"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“Artículo 59.</w:t>
      </w:r>
      <w:r w:rsidRPr="00142E37">
        <w:rPr>
          <w:rFonts w:ascii="Palatino Linotype" w:eastAsia="Palatino Linotype" w:hAnsi="Palatino Linotype" w:cs="Palatino Linotype"/>
          <w:i/>
          <w:sz w:val="22"/>
          <w:szCs w:val="22"/>
        </w:rPr>
        <w:t xml:space="preserve"> Los </w:t>
      </w:r>
      <w:r w:rsidRPr="00142E37">
        <w:rPr>
          <w:rFonts w:ascii="Palatino Linotype" w:eastAsia="Palatino Linotype" w:hAnsi="Palatino Linotype" w:cs="Palatino Linotype"/>
          <w:b/>
          <w:i/>
          <w:sz w:val="22"/>
          <w:szCs w:val="22"/>
        </w:rPr>
        <w:t>servidores públicos habilitados</w:t>
      </w:r>
      <w:r w:rsidRPr="00142E37">
        <w:rPr>
          <w:rFonts w:ascii="Palatino Linotype" w:eastAsia="Palatino Linotype" w:hAnsi="Palatino Linotype" w:cs="Palatino Linotype"/>
          <w:i/>
          <w:sz w:val="22"/>
          <w:szCs w:val="22"/>
        </w:rPr>
        <w:t xml:space="preserve"> tendrán las </w:t>
      </w:r>
      <w:r w:rsidRPr="00142E37">
        <w:rPr>
          <w:rFonts w:ascii="Palatino Linotype" w:eastAsia="Palatino Linotype" w:hAnsi="Palatino Linotype" w:cs="Palatino Linotype"/>
          <w:b/>
          <w:i/>
          <w:sz w:val="22"/>
          <w:szCs w:val="22"/>
        </w:rPr>
        <w:t>funciones</w:t>
      </w:r>
      <w:r w:rsidRPr="00142E37">
        <w:rPr>
          <w:rFonts w:ascii="Palatino Linotype" w:eastAsia="Palatino Linotype" w:hAnsi="Palatino Linotype" w:cs="Palatino Linotype"/>
          <w:i/>
          <w:sz w:val="22"/>
          <w:szCs w:val="22"/>
        </w:rPr>
        <w:t xml:space="preserve"> siguientes:</w:t>
      </w:r>
    </w:p>
    <w:p w14:paraId="0DCE4802"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142E37">
        <w:rPr>
          <w:rFonts w:ascii="Palatino Linotype" w:eastAsia="Palatino Linotype" w:hAnsi="Palatino Linotype" w:cs="Palatino Linotype"/>
          <w:i/>
          <w:sz w:val="22"/>
          <w:szCs w:val="22"/>
        </w:rPr>
        <w:t>, la cual tendrá los fundamentos y argumentos en que se basa dicha propuesta…”</w:t>
      </w:r>
    </w:p>
    <w:p w14:paraId="3DAD2069"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5C13203"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FA87D13"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lastRenderedPageBreak/>
        <w:t>“</w:t>
      </w:r>
      <w:r w:rsidRPr="00142E37">
        <w:rPr>
          <w:rFonts w:ascii="Palatino Linotype" w:eastAsia="Palatino Linotype" w:hAnsi="Palatino Linotype" w:cs="Palatino Linotype"/>
          <w:b/>
          <w:i/>
          <w:sz w:val="22"/>
          <w:szCs w:val="22"/>
        </w:rPr>
        <w:t>Artículo 149.</w:t>
      </w:r>
      <w:r w:rsidRPr="00142E37">
        <w:rPr>
          <w:rFonts w:ascii="Palatino Linotype" w:eastAsia="Palatino Linotype" w:hAnsi="Palatino Linotype" w:cs="Palatino Linotype"/>
          <w:i/>
          <w:sz w:val="22"/>
          <w:szCs w:val="22"/>
        </w:rPr>
        <w:t xml:space="preserve"> El </w:t>
      </w:r>
      <w:r w:rsidRPr="00142E37">
        <w:rPr>
          <w:rFonts w:ascii="Palatino Linotype" w:eastAsia="Palatino Linotype" w:hAnsi="Palatino Linotype" w:cs="Palatino Linotype"/>
          <w:b/>
          <w:i/>
          <w:sz w:val="22"/>
          <w:szCs w:val="22"/>
        </w:rPr>
        <w:t>acuerdo que clasifique la información como confidencial</w:t>
      </w:r>
      <w:r w:rsidRPr="00142E3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DD30F88" w14:textId="77777777" w:rsidR="006062E2" w:rsidRPr="00142E37" w:rsidRDefault="006062E2" w:rsidP="006062E2">
      <w:pPr>
        <w:spacing w:before="240" w:after="240" w:line="360" w:lineRule="auto"/>
        <w:ind w:right="51"/>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Es decir, 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5078EC6" w14:textId="77777777" w:rsidR="006062E2" w:rsidRPr="00142E37" w:rsidRDefault="006062E2" w:rsidP="006062E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Asimismo, respecto a las formalidades que deberá llevar el acuerdo de clasificación que deberá emitir 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3DFD2EE0"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 xml:space="preserve"> “Quincuagésimo. </w:t>
      </w:r>
      <w:r w:rsidRPr="00142E37">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4FC2569" w14:textId="77777777" w:rsidR="006062E2" w:rsidRPr="00142E37" w:rsidRDefault="006062E2" w:rsidP="006062E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 xml:space="preserve">Quincuagésimo primero. </w:t>
      </w:r>
      <w:r w:rsidRPr="00142E37">
        <w:rPr>
          <w:rFonts w:ascii="Palatino Linotype" w:eastAsia="Palatino Linotype" w:hAnsi="Palatino Linotype" w:cs="Palatino Linotype"/>
          <w:i/>
          <w:sz w:val="22"/>
          <w:szCs w:val="22"/>
        </w:rPr>
        <w:t xml:space="preserve">Toda acta del Comité de Transparencia deberá contener: </w:t>
      </w:r>
    </w:p>
    <w:p w14:paraId="48340569" w14:textId="77777777" w:rsidR="006062E2" w:rsidRPr="00142E37" w:rsidRDefault="006062E2" w:rsidP="006062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w:t>
      </w:r>
      <w:r w:rsidRPr="00142E37">
        <w:rPr>
          <w:rFonts w:ascii="Palatino Linotype" w:eastAsia="Palatino Linotype" w:hAnsi="Palatino Linotype" w:cs="Palatino Linotype"/>
          <w:i/>
          <w:sz w:val="22"/>
          <w:szCs w:val="22"/>
        </w:rPr>
        <w:t xml:space="preserve"> El número de sesión y fecha; </w:t>
      </w:r>
    </w:p>
    <w:p w14:paraId="0EC065F0" w14:textId="77777777" w:rsidR="006062E2" w:rsidRPr="00142E37" w:rsidRDefault="006062E2" w:rsidP="006062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w:t>
      </w:r>
      <w:r w:rsidRPr="00142E37">
        <w:rPr>
          <w:rFonts w:ascii="Palatino Linotype" w:eastAsia="Palatino Linotype" w:hAnsi="Palatino Linotype" w:cs="Palatino Linotype"/>
          <w:i/>
          <w:sz w:val="22"/>
          <w:szCs w:val="22"/>
        </w:rPr>
        <w:t xml:space="preserve">. El nombre del área que solicitó la clasificación de información; </w:t>
      </w:r>
    </w:p>
    <w:p w14:paraId="06136508" w14:textId="77777777" w:rsidR="006062E2" w:rsidRPr="00142E37" w:rsidRDefault="006062E2" w:rsidP="006062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lastRenderedPageBreak/>
        <w:t>III</w:t>
      </w:r>
      <w:r w:rsidRPr="00142E37">
        <w:rPr>
          <w:rFonts w:ascii="Palatino Linotype" w:eastAsia="Palatino Linotype" w:hAnsi="Palatino Linotype" w:cs="Palatino Linotype"/>
          <w:i/>
          <w:sz w:val="22"/>
          <w:szCs w:val="22"/>
        </w:rPr>
        <w:t xml:space="preserve">. La fundamentación legal y motivación correspondiente; </w:t>
      </w:r>
    </w:p>
    <w:p w14:paraId="3117AA44" w14:textId="77777777" w:rsidR="006062E2" w:rsidRPr="00142E37" w:rsidRDefault="006062E2" w:rsidP="006062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IV</w:t>
      </w:r>
      <w:r w:rsidRPr="00142E37">
        <w:rPr>
          <w:rFonts w:ascii="Palatino Linotype" w:eastAsia="Palatino Linotype" w:hAnsi="Palatino Linotype" w:cs="Palatino Linotype"/>
          <w:i/>
          <w:sz w:val="22"/>
          <w:szCs w:val="22"/>
        </w:rPr>
        <w:t xml:space="preserve">. La resolución o resoluciones aprobadas; y </w:t>
      </w:r>
    </w:p>
    <w:p w14:paraId="73EBBBAE" w14:textId="77777777" w:rsidR="006062E2" w:rsidRPr="00142E37" w:rsidRDefault="006062E2" w:rsidP="006062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V</w:t>
      </w:r>
      <w:r w:rsidRPr="00142E37">
        <w:rPr>
          <w:rFonts w:ascii="Palatino Linotype" w:eastAsia="Palatino Linotype" w:hAnsi="Palatino Linotype" w:cs="Palatino Linotype"/>
          <w:i/>
          <w:sz w:val="22"/>
          <w:szCs w:val="22"/>
        </w:rPr>
        <w:t xml:space="preserve">. La rúbrica o firma digital de cada integrante del Comité de Transparencia. </w:t>
      </w:r>
    </w:p>
    <w:p w14:paraId="358BFF44" w14:textId="77777777" w:rsidR="006062E2" w:rsidRPr="00142E37" w:rsidRDefault="006062E2" w:rsidP="006062E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6CCB3AF" w14:textId="77777777" w:rsidR="006062E2" w:rsidRPr="00142E37" w:rsidRDefault="006062E2" w:rsidP="006062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w:t>
      </w:r>
      <w:r w:rsidRPr="00142E37">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6163491" w14:textId="77777777" w:rsidR="006062E2" w:rsidRPr="00142E37" w:rsidRDefault="006062E2" w:rsidP="006062E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142E37">
        <w:rPr>
          <w:rFonts w:ascii="Palatino Linotype" w:eastAsia="Palatino Linotype" w:hAnsi="Palatino Linotype" w:cs="Palatino Linotype"/>
          <w:b/>
          <w:i/>
          <w:sz w:val="22"/>
          <w:szCs w:val="22"/>
        </w:rPr>
        <w:t>II</w:t>
      </w:r>
      <w:r w:rsidRPr="00142E37">
        <w:rPr>
          <w:rFonts w:ascii="Palatino Linotype" w:eastAsia="Palatino Linotype" w:hAnsi="Palatino Linotype" w:cs="Palatino Linotype"/>
          <w:i/>
          <w:sz w:val="22"/>
          <w:szCs w:val="22"/>
        </w:rPr>
        <w:t>. Descripción de las partes o secciones reservadas, en caso de clasificación parcial</w:t>
      </w:r>
      <w:r w:rsidRPr="00142E37">
        <w:rPr>
          <w:rFonts w:ascii="Palatino Linotype" w:eastAsia="Palatino Linotype" w:hAnsi="Palatino Linotype" w:cs="Palatino Linotype"/>
          <w:b/>
          <w:i/>
          <w:sz w:val="22"/>
          <w:szCs w:val="22"/>
        </w:rPr>
        <w:t xml:space="preserve">; </w:t>
      </w:r>
    </w:p>
    <w:p w14:paraId="1CEB590C" w14:textId="77777777" w:rsidR="006062E2" w:rsidRPr="00142E37" w:rsidRDefault="006062E2" w:rsidP="006062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III.</w:t>
      </w:r>
      <w:r w:rsidRPr="00142E37">
        <w:rPr>
          <w:rFonts w:ascii="Palatino Linotype" w:eastAsia="Palatino Linotype" w:hAnsi="Palatino Linotype" w:cs="Palatino Linotype"/>
          <w:i/>
          <w:sz w:val="22"/>
          <w:szCs w:val="22"/>
        </w:rPr>
        <w:t xml:space="preserve"> El periodo por el que mantendrá su clasificación y fecha de expiración; y </w:t>
      </w:r>
    </w:p>
    <w:p w14:paraId="0BC3E7F2" w14:textId="77777777" w:rsidR="006062E2" w:rsidRPr="00142E37" w:rsidRDefault="006062E2" w:rsidP="006062E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IV.</w:t>
      </w:r>
      <w:r w:rsidRPr="00142E37">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5A5E66F" w14:textId="77777777" w:rsidR="006062E2" w:rsidRPr="00142E37" w:rsidRDefault="006062E2" w:rsidP="006062E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8862103" w14:textId="77777777" w:rsidR="006062E2" w:rsidRPr="00142E37" w:rsidRDefault="006062E2" w:rsidP="006062E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CAD777C" w14:textId="77777777" w:rsidR="006062E2" w:rsidRPr="00142E37" w:rsidRDefault="006062E2" w:rsidP="006062E2">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5CDB294" w14:textId="77777777" w:rsidR="006062E2" w:rsidRPr="00142E37" w:rsidRDefault="006062E2" w:rsidP="006062E2">
      <w:pPr>
        <w:spacing w:before="120" w:after="120"/>
        <w:ind w:left="851"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r w:rsidRPr="00142E37">
        <w:rPr>
          <w:rFonts w:ascii="Palatino Linotype" w:eastAsia="Palatino Linotype" w:hAnsi="Palatino Linotype" w:cs="Palatino Linotype"/>
          <w:b/>
          <w:i/>
          <w:sz w:val="22"/>
          <w:szCs w:val="22"/>
        </w:rPr>
        <w:t>Quincuagésimo segundo</w:t>
      </w:r>
      <w:r w:rsidRPr="00142E37">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F48AC23" w14:textId="77777777" w:rsidR="006062E2" w:rsidRPr="00142E37" w:rsidRDefault="006062E2" w:rsidP="006062E2">
      <w:pPr>
        <w:spacing w:before="120" w:after="120"/>
        <w:ind w:left="851"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200826D" w14:textId="77777777" w:rsidR="006062E2" w:rsidRPr="00142E37" w:rsidRDefault="006062E2" w:rsidP="006062E2">
      <w:pPr>
        <w:spacing w:before="120" w:after="120"/>
        <w:ind w:left="1134"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lastRenderedPageBreak/>
        <w:t>I.</w:t>
      </w:r>
      <w:r w:rsidRPr="00142E37">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8983C8E" w14:textId="77777777" w:rsidR="006062E2" w:rsidRPr="00142E37" w:rsidRDefault="006062E2" w:rsidP="006062E2">
      <w:pPr>
        <w:spacing w:before="120" w:after="120"/>
        <w:ind w:left="1134"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w:t>
      </w:r>
      <w:r w:rsidRPr="00142E37">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357ECD3" w14:textId="77777777" w:rsidR="006062E2" w:rsidRPr="00142E37" w:rsidRDefault="006062E2" w:rsidP="006062E2">
      <w:pPr>
        <w:spacing w:before="120" w:after="120"/>
        <w:ind w:left="1134"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III.</w:t>
      </w:r>
      <w:r w:rsidRPr="00142E37">
        <w:rPr>
          <w:rFonts w:ascii="Palatino Linotype" w:eastAsia="Palatino Linotype" w:hAnsi="Palatino Linotype" w:cs="Palatino Linotype"/>
          <w:i/>
          <w:sz w:val="22"/>
          <w:szCs w:val="22"/>
        </w:rPr>
        <w:t xml:space="preserve"> Señalar las personas o instancias autorizadas a acceder a la información clasificada.</w:t>
      </w:r>
    </w:p>
    <w:p w14:paraId="1F25414E" w14:textId="77777777" w:rsidR="006062E2" w:rsidRPr="00142E37" w:rsidRDefault="006062E2" w:rsidP="006062E2">
      <w:pPr>
        <w:spacing w:before="120" w:after="120"/>
        <w:ind w:left="851"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3472154" w14:textId="77777777" w:rsidR="006062E2" w:rsidRPr="00142E37" w:rsidRDefault="006062E2" w:rsidP="006062E2">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t>…</w:t>
      </w:r>
    </w:p>
    <w:p w14:paraId="0AD6851C" w14:textId="77777777" w:rsidR="006062E2" w:rsidRPr="00142E37" w:rsidRDefault="006062E2" w:rsidP="006062E2">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142E37">
        <w:rPr>
          <w:rFonts w:ascii="Palatino Linotype" w:eastAsia="Palatino Linotype" w:hAnsi="Palatino Linotype" w:cs="Palatino Linotype"/>
          <w:b/>
          <w:i/>
          <w:sz w:val="22"/>
          <w:szCs w:val="22"/>
        </w:rPr>
        <w:t xml:space="preserve">Quincuagésimo cuarto. </w:t>
      </w:r>
      <w:r w:rsidRPr="00142E37">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42E37">
        <w:rPr>
          <w:rFonts w:ascii="Palatino Linotype" w:eastAsia="Palatino Linotype" w:hAnsi="Palatino Linotype" w:cs="Palatino Linotype"/>
          <w:b/>
          <w:i/>
          <w:sz w:val="22"/>
          <w:szCs w:val="22"/>
        </w:rPr>
        <w:t xml:space="preserve"> </w:t>
      </w:r>
    </w:p>
    <w:p w14:paraId="62BD44BB"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 xml:space="preserve">Quincuagésimo quinto. </w:t>
      </w:r>
      <w:r w:rsidRPr="00142E37">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142E37">
        <w:rPr>
          <w:rFonts w:ascii="Palatino Linotype" w:eastAsia="Palatino Linotype" w:hAnsi="Palatino Linotype" w:cs="Palatino Linotype"/>
          <w:i/>
          <w:sz w:val="22"/>
          <w:szCs w:val="22"/>
        </w:rPr>
        <w:t>testado</w:t>
      </w:r>
      <w:proofErr w:type="spellEnd"/>
      <w:r w:rsidRPr="00142E3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202B7AB" w14:textId="77777777" w:rsidR="006062E2" w:rsidRPr="00142E37" w:rsidRDefault="006062E2" w:rsidP="006062E2">
      <w:pPr>
        <w:spacing w:before="120" w:after="120"/>
        <w:ind w:left="851" w:right="902"/>
        <w:jc w:val="both"/>
        <w:rPr>
          <w:rFonts w:ascii="Palatino Linotype" w:eastAsia="Palatino Linotype" w:hAnsi="Palatino Linotype" w:cs="Palatino Linotype"/>
          <w:b/>
          <w:i/>
          <w:sz w:val="22"/>
          <w:szCs w:val="22"/>
        </w:rPr>
      </w:pPr>
      <w:r w:rsidRPr="00142E37">
        <w:rPr>
          <w:rFonts w:ascii="Palatino Linotype" w:eastAsia="Palatino Linotype" w:hAnsi="Palatino Linotype" w:cs="Palatino Linotype"/>
          <w:b/>
          <w:i/>
          <w:sz w:val="22"/>
          <w:szCs w:val="22"/>
        </w:rPr>
        <w:t>...</w:t>
      </w:r>
    </w:p>
    <w:p w14:paraId="0D4CC6A8" w14:textId="77777777" w:rsidR="006062E2" w:rsidRPr="00142E37" w:rsidRDefault="006062E2" w:rsidP="006062E2">
      <w:pPr>
        <w:spacing w:before="120" w:after="120"/>
        <w:ind w:left="851"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Quincuagésimo séptimo</w:t>
      </w:r>
      <w:r w:rsidRPr="00142E3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56DE2F6"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w:t>
      </w:r>
      <w:r w:rsidRPr="00142E3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3A8DF97"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w:t>
      </w:r>
      <w:r w:rsidRPr="00142E37">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0969719"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b/>
          <w:i/>
          <w:sz w:val="22"/>
          <w:szCs w:val="22"/>
        </w:rPr>
        <w:t>III</w:t>
      </w:r>
      <w:r w:rsidRPr="00142E3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C2F5BA6" w14:textId="77777777" w:rsidR="006062E2" w:rsidRPr="00142E37" w:rsidRDefault="006062E2" w:rsidP="006062E2">
      <w:pPr>
        <w:spacing w:before="120" w:after="120"/>
        <w:ind w:left="1134" w:right="902"/>
        <w:jc w:val="both"/>
        <w:rPr>
          <w:rFonts w:ascii="Palatino Linotype" w:eastAsia="Palatino Linotype" w:hAnsi="Palatino Linotype" w:cs="Palatino Linotype"/>
          <w:i/>
          <w:sz w:val="22"/>
          <w:szCs w:val="22"/>
        </w:rPr>
      </w:pPr>
      <w:r w:rsidRPr="00142E37">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55E9998A" w14:textId="5FDBA04E" w:rsidR="006062E2" w:rsidRPr="00142E37" w:rsidRDefault="006062E2" w:rsidP="006062E2">
      <w:pPr>
        <w:spacing w:before="120" w:after="120"/>
        <w:ind w:left="851"/>
        <w:jc w:val="both"/>
        <w:rPr>
          <w:rFonts w:ascii="Palatino Linotype" w:eastAsia="Palatino Linotype" w:hAnsi="Palatino Linotype" w:cs="Palatino Linotype"/>
          <w:b/>
        </w:rPr>
      </w:pPr>
      <w:r w:rsidRPr="00142E37">
        <w:rPr>
          <w:rFonts w:ascii="Palatino Linotype" w:eastAsia="Palatino Linotype" w:hAnsi="Palatino Linotype" w:cs="Palatino Linotype"/>
          <w:b/>
          <w:i/>
          <w:sz w:val="22"/>
          <w:szCs w:val="22"/>
        </w:rPr>
        <w:t>Quincuagésimo octavo</w:t>
      </w:r>
      <w:r w:rsidRPr="00142E37">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1755C33"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E5EC97A" w14:textId="77777777" w:rsidR="00186072" w:rsidRPr="00142E37" w:rsidRDefault="00544B2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42E37">
        <w:rPr>
          <w:rFonts w:ascii="Palatino Linotype" w:eastAsia="Palatino Linotype" w:hAnsi="Palatino Linotype" w:cs="Palatino Linotype"/>
          <w:b/>
        </w:rPr>
        <w:t>III. R E S U E L V E</w:t>
      </w:r>
    </w:p>
    <w:p w14:paraId="65640298" w14:textId="14752E96" w:rsidR="00186072" w:rsidRPr="00142E37" w:rsidRDefault="00544B28">
      <w:pPr>
        <w:spacing w:before="240" w:after="240" w:line="360" w:lineRule="auto"/>
        <w:jc w:val="both"/>
        <w:rPr>
          <w:rFonts w:ascii="Palatino Linotype" w:eastAsia="Palatino Linotype" w:hAnsi="Palatino Linotype" w:cs="Palatino Linotype"/>
        </w:rPr>
      </w:pPr>
      <w:bookmarkStart w:id="12" w:name="_heading=h.1t3h5sf" w:colFirst="0" w:colLast="0"/>
      <w:bookmarkEnd w:id="12"/>
      <w:r w:rsidRPr="00142E37">
        <w:rPr>
          <w:rFonts w:ascii="Palatino Linotype" w:eastAsia="Palatino Linotype" w:hAnsi="Palatino Linotype" w:cs="Palatino Linotype"/>
          <w:b/>
        </w:rPr>
        <w:t xml:space="preserve">Primero. </w:t>
      </w:r>
      <w:r w:rsidRPr="00142E37">
        <w:rPr>
          <w:rFonts w:ascii="Palatino Linotype" w:eastAsia="Palatino Linotype" w:hAnsi="Palatino Linotype" w:cs="Palatino Linotype"/>
        </w:rPr>
        <w:t>Resultan</w:t>
      </w:r>
      <w:r w:rsidRPr="00142E37">
        <w:rPr>
          <w:rFonts w:ascii="Palatino Linotype" w:eastAsia="Palatino Linotype" w:hAnsi="Palatino Linotype" w:cs="Palatino Linotype"/>
          <w:b/>
        </w:rPr>
        <w:t xml:space="preserve"> </w:t>
      </w:r>
      <w:r w:rsidR="009A65BD" w:rsidRPr="00142E37">
        <w:rPr>
          <w:rFonts w:ascii="Palatino Linotype" w:eastAsia="Palatino Linotype" w:hAnsi="Palatino Linotype" w:cs="Palatino Linotype"/>
          <w:b/>
        </w:rPr>
        <w:t xml:space="preserve">parcialmente </w:t>
      </w:r>
      <w:r w:rsidRPr="00142E37">
        <w:rPr>
          <w:rFonts w:ascii="Palatino Linotype" w:eastAsia="Palatino Linotype" w:hAnsi="Palatino Linotype" w:cs="Palatino Linotype"/>
          <w:b/>
        </w:rPr>
        <w:t>fundadas</w:t>
      </w:r>
      <w:r w:rsidRPr="00142E37">
        <w:rPr>
          <w:rFonts w:ascii="Palatino Linotype" w:eastAsia="Palatino Linotype" w:hAnsi="Palatino Linotype" w:cs="Palatino Linotype"/>
        </w:rPr>
        <w:t xml:space="preserve"> las razones o motivos de inconformidad hechos valer por la parte</w:t>
      </w:r>
      <w:r w:rsidRPr="00142E37">
        <w:rPr>
          <w:rFonts w:ascii="Palatino Linotype" w:eastAsia="Palatino Linotype" w:hAnsi="Palatino Linotype" w:cs="Palatino Linotype"/>
          <w:b/>
        </w:rPr>
        <w:t xml:space="preserve"> Recurrente</w:t>
      </w:r>
      <w:r w:rsidRPr="00142E37">
        <w:rPr>
          <w:rFonts w:ascii="Palatino Linotype" w:eastAsia="Palatino Linotype" w:hAnsi="Palatino Linotype" w:cs="Palatino Linotype"/>
        </w:rPr>
        <w:t xml:space="preserve"> en el recurso de revisión </w:t>
      </w:r>
      <w:r w:rsidRPr="00142E37">
        <w:rPr>
          <w:rFonts w:ascii="Palatino Linotype" w:eastAsia="Palatino Linotype" w:hAnsi="Palatino Linotype" w:cs="Palatino Linotype"/>
          <w:b/>
        </w:rPr>
        <w:t>0</w:t>
      </w:r>
      <w:r w:rsidR="00102198" w:rsidRPr="00142E37">
        <w:rPr>
          <w:rFonts w:ascii="Palatino Linotype" w:eastAsia="Palatino Linotype" w:hAnsi="Palatino Linotype" w:cs="Palatino Linotype"/>
          <w:b/>
        </w:rPr>
        <w:t>4</w:t>
      </w:r>
      <w:r w:rsidR="009A65BD" w:rsidRPr="00142E37">
        <w:rPr>
          <w:rFonts w:ascii="Palatino Linotype" w:eastAsia="Palatino Linotype" w:hAnsi="Palatino Linotype" w:cs="Palatino Linotype"/>
          <w:b/>
        </w:rPr>
        <w:t>634</w:t>
      </w:r>
      <w:r w:rsidRPr="00142E37">
        <w:rPr>
          <w:rFonts w:ascii="Palatino Linotype" w:eastAsia="Palatino Linotype" w:hAnsi="Palatino Linotype" w:cs="Palatino Linotype"/>
          <w:b/>
        </w:rPr>
        <w:t>/INFOEM/IP/RR/2025</w:t>
      </w:r>
      <w:r w:rsidRPr="00142E37">
        <w:rPr>
          <w:rFonts w:ascii="Palatino Linotype" w:eastAsia="Palatino Linotype" w:hAnsi="Palatino Linotype" w:cs="Palatino Linotype"/>
        </w:rPr>
        <w:t xml:space="preserve">; por lo que, en términos del </w:t>
      </w:r>
      <w:r w:rsidRPr="00142E37">
        <w:rPr>
          <w:rFonts w:ascii="Palatino Linotype" w:eastAsia="Palatino Linotype" w:hAnsi="Palatino Linotype" w:cs="Palatino Linotype"/>
          <w:b/>
        </w:rPr>
        <w:t>Considerando</w:t>
      </w:r>
      <w:r w:rsidRPr="00142E37">
        <w:rPr>
          <w:rFonts w:ascii="Palatino Linotype" w:eastAsia="Palatino Linotype" w:hAnsi="Palatino Linotype" w:cs="Palatino Linotype"/>
        </w:rPr>
        <w:t xml:space="preserve"> </w:t>
      </w:r>
      <w:r w:rsidRPr="00142E37">
        <w:rPr>
          <w:rFonts w:ascii="Palatino Linotype" w:eastAsia="Palatino Linotype" w:hAnsi="Palatino Linotype" w:cs="Palatino Linotype"/>
          <w:b/>
        </w:rPr>
        <w:t xml:space="preserve">Cuarto </w:t>
      </w:r>
      <w:r w:rsidRPr="00142E37">
        <w:rPr>
          <w:rFonts w:ascii="Palatino Linotype" w:eastAsia="Palatino Linotype" w:hAnsi="Palatino Linotype" w:cs="Palatino Linotype"/>
        </w:rPr>
        <w:t xml:space="preserve">de esta resolución, se </w:t>
      </w:r>
      <w:r w:rsidR="00102198" w:rsidRPr="00142E37">
        <w:rPr>
          <w:rFonts w:ascii="Palatino Linotype" w:eastAsia="Palatino Linotype" w:hAnsi="Palatino Linotype" w:cs="Palatino Linotype"/>
          <w:b/>
        </w:rPr>
        <w:t>Modifi</w:t>
      </w:r>
      <w:r w:rsidRPr="00142E37">
        <w:rPr>
          <w:rFonts w:ascii="Palatino Linotype" w:eastAsia="Palatino Linotype" w:hAnsi="Palatino Linotype" w:cs="Palatino Linotype"/>
          <w:b/>
        </w:rPr>
        <w:t>ca</w:t>
      </w:r>
      <w:r w:rsidRPr="00142E37">
        <w:rPr>
          <w:rFonts w:ascii="Palatino Linotype" w:eastAsia="Palatino Linotype" w:hAnsi="Palatino Linotype" w:cs="Palatino Linotype"/>
        </w:rPr>
        <w:t xml:space="preserve"> la respuesta emitida por el </w:t>
      </w:r>
      <w:r w:rsidRPr="00142E37">
        <w:rPr>
          <w:rFonts w:ascii="Palatino Linotype" w:eastAsia="Palatino Linotype" w:hAnsi="Palatino Linotype" w:cs="Palatino Linotype"/>
          <w:b/>
        </w:rPr>
        <w:t xml:space="preserve">Sujeto Obligado. </w:t>
      </w:r>
    </w:p>
    <w:p w14:paraId="48C46C2E" w14:textId="6CE5393F" w:rsidR="00186072" w:rsidRPr="00142E37" w:rsidRDefault="00544B28">
      <w:pPr>
        <w:spacing w:before="240" w:after="240" w:line="360" w:lineRule="auto"/>
        <w:ind w:right="49"/>
        <w:jc w:val="both"/>
        <w:rPr>
          <w:rFonts w:ascii="Palatino Linotype" w:eastAsia="Palatino Linotype" w:hAnsi="Palatino Linotype" w:cs="Palatino Linotype"/>
        </w:rPr>
      </w:pPr>
      <w:r w:rsidRPr="00142E37">
        <w:rPr>
          <w:rFonts w:ascii="Palatino Linotype" w:eastAsia="Palatino Linotype" w:hAnsi="Palatino Linotype" w:cs="Palatino Linotype"/>
          <w:b/>
        </w:rPr>
        <w:t xml:space="preserve">Segundo. </w:t>
      </w:r>
      <w:r w:rsidRPr="00142E37">
        <w:rPr>
          <w:rFonts w:ascii="Palatino Linotype" w:eastAsia="Palatino Linotype" w:hAnsi="Palatino Linotype" w:cs="Palatino Linotype"/>
        </w:rPr>
        <w:t xml:space="preserve">Se </w:t>
      </w:r>
      <w:r w:rsidRPr="00142E37">
        <w:rPr>
          <w:rFonts w:ascii="Palatino Linotype" w:eastAsia="Palatino Linotype" w:hAnsi="Palatino Linotype" w:cs="Palatino Linotype"/>
          <w:b/>
        </w:rPr>
        <w:t xml:space="preserve">Ordena </w:t>
      </w:r>
      <w:r w:rsidRPr="00142E37">
        <w:rPr>
          <w:rFonts w:ascii="Palatino Linotype" w:eastAsia="Palatino Linotype" w:hAnsi="Palatino Linotype" w:cs="Palatino Linotype"/>
        </w:rPr>
        <w:t xml:space="preserve">al </w:t>
      </w:r>
      <w:r w:rsidRPr="00142E37">
        <w:rPr>
          <w:rFonts w:ascii="Palatino Linotype" w:eastAsia="Palatino Linotype" w:hAnsi="Palatino Linotype" w:cs="Palatino Linotype"/>
          <w:b/>
        </w:rPr>
        <w:t xml:space="preserve">Sujeto Obligado, </w:t>
      </w:r>
      <w:r w:rsidRPr="00142E37">
        <w:rPr>
          <w:rFonts w:ascii="Palatino Linotype" w:eastAsia="Palatino Linotype" w:hAnsi="Palatino Linotype" w:cs="Palatino Linotype"/>
        </w:rPr>
        <w:t xml:space="preserve">en términos de los </w:t>
      </w:r>
      <w:r w:rsidRPr="00142E37">
        <w:rPr>
          <w:rFonts w:ascii="Palatino Linotype" w:eastAsia="Palatino Linotype" w:hAnsi="Palatino Linotype" w:cs="Palatino Linotype"/>
          <w:b/>
        </w:rPr>
        <w:t>Considerandos</w:t>
      </w:r>
      <w:r w:rsidRPr="00142E37">
        <w:rPr>
          <w:rFonts w:ascii="Palatino Linotype" w:eastAsia="Palatino Linotype" w:hAnsi="Palatino Linotype" w:cs="Palatino Linotype"/>
        </w:rPr>
        <w:t xml:space="preserve"> </w:t>
      </w:r>
      <w:r w:rsidRPr="00142E37">
        <w:rPr>
          <w:rFonts w:ascii="Palatino Linotype" w:eastAsia="Palatino Linotype" w:hAnsi="Palatino Linotype" w:cs="Palatino Linotype"/>
          <w:b/>
        </w:rPr>
        <w:t xml:space="preserve">Cuarto </w:t>
      </w:r>
      <w:r w:rsidRPr="00142E37">
        <w:rPr>
          <w:rFonts w:ascii="Palatino Linotype" w:eastAsia="Palatino Linotype" w:hAnsi="Palatino Linotype" w:cs="Palatino Linotype"/>
        </w:rPr>
        <w:t xml:space="preserve">y </w:t>
      </w:r>
      <w:r w:rsidRPr="00142E37">
        <w:rPr>
          <w:rFonts w:ascii="Palatino Linotype" w:eastAsia="Palatino Linotype" w:hAnsi="Palatino Linotype" w:cs="Palatino Linotype"/>
          <w:b/>
        </w:rPr>
        <w:t xml:space="preserve">Quinto </w:t>
      </w:r>
      <w:r w:rsidRPr="00142E37">
        <w:rPr>
          <w:rFonts w:ascii="Palatino Linotype" w:eastAsia="Palatino Linotype" w:hAnsi="Palatino Linotype" w:cs="Palatino Linotype"/>
        </w:rPr>
        <w:t xml:space="preserve">de esta resolución, haga entrega, vía </w:t>
      </w:r>
      <w:r w:rsidRPr="00142E37">
        <w:rPr>
          <w:rFonts w:ascii="Palatino Linotype" w:eastAsia="Palatino Linotype" w:hAnsi="Palatino Linotype" w:cs="Palatino Linotype"/>
          <w:b/>
        </w:rPr>
        <w:t>SAIMEX</w:t>
      </w:r>
      <w:r w:rsidRPr="00142E37">
        <w:rPr>
          <w:rFonts w:ascii="Palatino Linotype" w:eastAsia="Palatino Linotype" w:hAnsi="Palatino Linotype" w:cs="Palatino Linotype"/>
        </w:rPr>
        <w:t>, de lo siguiente:</w:t>
      </w:r>
    </w:p>
    <w:p w14:paraId="1D432F8A" w14:textId="26EECC08" w:rsidR="00102198" w:rsidRPr="00142E37" w:rsidRDefault="00102198" w:rsidP="007F38DC">
      <w:pPr>
        <w:spacing w:before="240" w:after="240" w:line="360" w:lineRule="auto"/>
        <w:ind w:left="284" w:right="49"/>
        <w:jc w:val="both"/>
        <w:rPr>
          <w:rFonts w:ascii="Palatino Linotype" w:eastAsia="Palatino Linotype" w:hAnsi="Palatino Linotype" w:cs="Palatino Linotype"/>
        </w:rPr>
      </w:pPr>
      <w:bookmarkStart w:id="13" w:name="_heading=h.1fob9te" w:colFirst="0" w:colLast="0"/>
      <w:bookmarkEnd w:id="13"/>
      <w:r w:rsidRPr="00142E37">
        <w:rPr>
          <w:rFonts w:ascii="Palatino Linotype" w:eastAsia="Palatino Linotype" w:hAnsi="Palatino Linotype" w:cs="Palatino Linotype"/>
        </w:rPr>
        <w:t>1.</w:t>
      </w:r>
      <w:r w:rsidR="00644B09" w:rsidRPr="00142E37">
        <w:rPr>
          <w:rFonts w:ascii="Palatino Linotype" w:eastAsia="Palatino Linotype" w:hAnsi="Palatino Linotype" w:cs="Palatino Linotype"/>
        </w:rPr>
        <w:t xml:space="preserve"> </w:t>
      </w:r>
      <w:r w:rsidR="009A65BD" w:rsidRPr="00142E37">
        <w:rPr>
          <w:rFonts w:ascii="Palatino Linotype" w:eastAsia="Palatino Linotype" w:hAnsi="Palatino Linotype" w:cs="Palatino Linotype"/>
        </w:rPr>
        <w:t>Recibos de nómina de la de la primera quincena de enero de dos mil veinticinco</w:t>
      </w:r>
      <w:r w:rsidR="00644B09" w:rsidRPr="00142E37">
        <w:rPr>
          <w:rFonts w:ascii="Palatino Linotype" w:eastAsia="Palatino Linotype" w:hAnsi="Palatino Linotype" w:cs="Palatino Linotype"/>
        </w:rPr>
        <w:t xml:space="preserve"> </w:t>
      </w:r>
      <w:r w:rsidR="009A65BD" w:rsidRPr="00142E37">
        <w:rPr>
          <w:rFonts w:ascii="Palatino Linotype" w:eastAsia="Palatino Linotype" w:hAnsi="Palatino Linotype" w:cs="Palatino Linotype"/>
        </w:rPr>
        <w:t>proporcionados</w:t>
      </w:r>
      <w:r w:rsidR="00644B09" w:rsidRPr="00142E37">
        <w:rPr>
          <w:rFonts w:ascii="Palatino Linotype" w:eastAsia="Palatino Linotype" w:hAnsi="Palatino Linotype" w:cs="Palatino Linotype"/>
        </w:rPr>
        <w:t xml:space="preserve"> en respuesta</w:t>
      </w:r>
      <w:r w:rsidR="009A65BD" w:rsidRPr="00142E37">
        <w:rPr>
          <w:rFonts w:ascii="Palatino Linotype" w:eastAsia="Palatino Linotype" w:hAnsi="Palatino Linotype" w:cs="Palatino Linotype"/>
        </w:rPr>
        <w:t>,</w:t>
      </w:r>
      <w:r w:rsidR="00644B09" w:rsidRPr="00142E37">
        <w:rPr>
          <w:rFonts w:ascii="Palatino Linotype" w:eastAsia="Palatino Linotype" w:hAnsi="Palatino Linotype" w:cs="Palatino Linotype"/>
        </w:rPr>
        <w:t xml:space="preserve"> en versión pública correcta</w:t>
      </w:r>
      <w:r w:rsidR="007F38DC" w:rsidRPr="00142E37">
        <w:rPr>
          <w:rFonts w:ascii="Palatino Linotype" w:eastAsia="Palatino Linotype" w:hAnsi="Palatino Linotype" w:cs="Palatino Linotype"/>
        </w:rPr>
        <w:t>.</w:t>
      </w:r>
    </w:p>
    <w:p w14:paraId="0CEAECA8" w14:textId="77777777" w:rsidR="00186072" w:rsidRPr="00142E37" w:rsidRDefault="00544B28" w:rsidP="007F38DC">
      <w:pPr>
        <w:spacing w:before="120" w:after="120"/>
        <w:ind w:left="284"/>
        <w:jc w:val="both"/>
        <w:rPr>
          <w:rFonts w:ascii="Palatino Linotype" w:eastAsia="Palatino Linotype" w:hAnsi="Palatino Linotype" w:cs="Palatino Linotype"/>
          <w:i/>
          <w:sz w:val="20"/>
          <w:szCs w:val="20"/>
        </w:rPr>
      </w:pPr>
      <w:r w:rsidRPr="00142E37">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430AF3C8" w14:textId="77777777" w:rsidR="00186072" w:rsidRPr="00142E37" w:rsidRDefault="00544B28">
      <w:pPr>
        <w:spacing w:before="240" w:after="240" w:line="360" w:lineRule="auto"/>
        <w:jc w:val="both"/>
        <w:rPr>
          <w:rFonts w:ascii="Palatino Linotype" w:eastAsia="Palatino Linotype" w:hAnsi="Palatino Linotype" w:cs="Palatino Linotype"/>
        </w:rPr>
      </w:pPr>
      <w:bookmarkStart w:id="14" w:name="_heading=h.hnzxsch5gysz" w:colFirst="0" w:colLast="0"/>
      <w:bookmarkEnd w:id="14"/>
      <w:r w:rsidRPr="00142E37">
        <w:rPr>
          <w:rFonts w:ascii="Palatino Linotype" w:eastAsia="Palatino Linotype" w:hAnsi="Palatino Linotype" w:cs="Palatino Linotype"/>
          <w:b/>
        </w:rPr>
        <w:lastRenderedPageBreak/>
        <w:t xml:space="preserve">Tercero. Notifíquese, </w:t>
      </w:r>
      <w:r w:rsidRPr="00142E37">
        <w:rPr>
          <w:rFonts w:ascii="Palatino Linotype" w:eastAsia="Palatino Linotype" w:hAnsi="Palatino Linotype" w:cs="Palatino Linotype"/>
        </w:rPr>
        <w:t xml:space="preserve">vía </w:t>
      </w:r>
      <w:r w:rsidRPr="00142E37">
        <w:rPr>
          <w:rFonts w:ascii="Palatino Linotype" w:eastAsia="Palatino Linotype" w:hAnsi="Palatino Linotype" w:cs="Palatino Linotype"/>
          <w:b/>
        </w:rPr>
        <w:t>SAIMEX</w:t>
      </w:r>
      <w:r w:rsidRPr="00142E37">
        <w:rPr>
          <w:rFonts w:ascii="Palatino Linotype" w:eastAsia="Palatino Linotype" w:hAnsi="Palatino Linotype" w:cs="Palatino Linotype"/>
        </w:rPr>
        <w:t xml:space="preserve">, al Titular de la Unidad de Transparencia del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371F91" w14:textId="77777777" w:rsidR="00186072" w:rsidRPr="00142E37" w:rsidRDefault="00544B28">
      <w:pPr>
        <w:spacing w:before="240" w:after="240" w:line="360" w:lineRule="auto"/>
        <w:jc w:val="both"/>
        <w:rPr>
          <w:rFonts w:ascii="Palatino Linotype" w:eastAsia="Palatino Linotype" w:hAnsi="Palatino Linotype" w:cs="Palatino Linotype"/>
        </w:rPr>
      </w:pPr>
      <w:r w:rsidRPr="00142E3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42E37">
        <w:rPr>
          <w:rFonts w:ascii="Palatino Linotype" w:eastAsia="Palatino Linotype" w:hAnsi="Palatino Linotype" w:cs="Palatino Linotype"/>
          <w:b/>
        </w:rPr>
        <w:t>Sujeto Obligado</w:t>
      </w:r>
      <w:r w:rsidRPr="00142E37">
        <w:rPr>
          <w:rFonts w:ascii="Palatino Linotype" w:eastAsia="Palatino Linotype" w:hAnsi="Palatino Linotype" w:cs="Palatino Linotype"/>
        </w:rPr>
        <w:t xml:space="preserve"> de manera fundada y motivada, podrá solicitar una ampliación de plazo para el cumplimiento de la presente resolución.</w:t>
      </w:r>
    </w:p>
    <w:p w14:paraId="5BC2C455" w14:textId="77777777" w:rsidR="00186072" w:rsidRPr="00142E37" w:rsidRDefault="00544B28">
      <w:pPr>
        <w:spacing w:before="240" w:after="240" w:line="360" w:lineRule="auto"/>
        <w:jc w:val="both"/>
        <w:rPr>
          <w:rFonts w:ascii="Palatino Linotype" w:eastAsia="Palatino Linotype" w:hAnsi="Palatino Linotype" w:cs="Palatino Linotype"/>
        </w:rPr>
      </w:pPr>
      <w:bookmarkStart w:id="15" w:name="_heading=h.ot3qq6vxa08f" w:colFirst="0" w:colLast="0"/>
      <w:bookmarkEnd w:id="15"/>
      <w:r w:rsidRPr="00142E37">
        <w:rPr>
          <w:rFonts w:ascii="Palatino Linotype" w:eastAsia="Palatino Linotype" w:hAnsi="Palatino Linotype" w:cs="Palatino Linotype"/>
          <w:b/>
        </w:rPr>
        <w:t xml:space="preserve">Cuarto.  Notifíquese, </w:t>
      </w:r>
      <w:r w:rsidRPr="00142E37">
        <w:rPr>
          <w:rFonts w:ascii="Palatino Linotype" w:eastAsia="Palatino Linotype" w:hAnsi="Palatino Linotype" w:cs="Palatino Linotype"/>
        </w:rPr>
        <w:t xml:space="preserve">vía </w:t>
      </w:r>
      <w:r w:rsidRPr="00142E37">
        <w:rPr>
          <w:rFonts w:ascii="Palatino Linotype" w:eastAsia="Palatino Linotype" w:hAnsi="Palatino Linotype" w:cs="Palatino Linotype"/>
          <w:b/>
        </w:rPr>
        <w:t>SAIMEX</w:t>
      </w:r>
      <w:r w:rsidRPr="00142E37">
        <w:rPr>
          <w:rFonts w:ascii="Palatino Linotype" w:eastAsia="Palatino Linotype" w:hAnsi="Palatino Linotype" w:cs="Palatino Linotype"/>
        </w:rPr>
        <w:t xml:space="preserve"> a la parte </w:t>
      </w:r>
      <w:r w:rsidRPr="00142E37">
        <w:rPr>
          <w:rFonts w:ascii="Palatino Linotype" w:eastAsia="Palatino Linotype" w:hAnsi="Palatino Linotype" w:cs="Palatino Linotype"/>
          <w:b/>
        </w:rPr>
        <w:t>Recurrente</w:t>
      </w:r>
      <w:r w:rsidRPr="00142E3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9F2D5BB" w14:textId="7C6B755D" w:rsidR="00186072" w:rsidRPr="001E6E98" w:rsidRDefault="00544B28">
      <w:pPr>
        <w:tabs>
          <w:tab w:val="left" w:pos="8647"/>
        </w:tabs>
        <w:spacing w:before="240" w:after="240" w:line="360" w:lineRule="auto"/>
        <w:ind w:right="51"/>
        <w:jc w:val="both"/>
        <w:rPr>
          <w:rFonts w:ascii="Palatino Linotype" w:eastAsia="Palatino Linotype" w:hAnsi="Palatino Linotype" w:cs="Palatino Linotype"/>
        </w:rPr>
      </w:pPr>
      <w:bookmarkStart w:id="16" w:name="_heading=h.lnxbz9" w:colFirst="0" w:colLast="0"/>
      <w:bookmarkEnd w:id="16"/>
      <w:r w:rsidRPr="00142E3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142E37">
        <w:rPr>
          <w:rFonts w:ascii="Palatino Linotype" w:eastAsia="Palatino Linotype" w:hAnsi="Palatino Linotype" w:cs="Palatino Linotype"/>
        </w:rPr>
        <w:lastRenderedPageBreak/>
        <w:t xml:space="preserve">MORALES MARTÍNEZ, LUIS GUSTAVO PARRA NORIEGA, Y GUADALUPE RAMÍREZ PEÑA, EN LA VIGÉSIMA </w:t>
      </w:r>
      <w:r w:rsidR="009A65BD" w:rsidRPr="00142E37">
        <w:rPr>
          <w:rFonts w:ascii="Palatino Linotype" w:eastAsia="Palatino Linotype" w:hAnsi="Palatino Linotype" w:cs="Palatino Linotype"/>
        </w:rPr>
        <w:t xml:space="preserve">SÉPTIMA </w:t>
      </w:r>
      <w:r w:rsidRPr="00142E37">
        <w:rPr>
          <w:rFonts w:ascii="Palatino Linotype" w:eastAsia="Palatino Linotype" w:hAnsi="Palatino Linotype" w:cs="Palatino Linotype"/>
        </w:rPr>
        <w:t xml:space="preserve">SESIÓN ORDINARIA CELEBRADA EL </w:t>
      </w:r>
      <w:r w:rsidR="009A65BD" w:rsidRPr="00142E37">
        <w:rPr>
          <w:rFonts w:ascii="Palatino Linotype" w:eastAsia="Palatino Linotype" w:hAnsi="Palatino Linotype" w:cs="Palatino Linotype"/>
        </w:rPr>
        <w:t>SEIS</w:t>
      </w:r>
      <w:r w:rsidR="002C4747" w:rsidRPr="00142E37">
        <w:rPr>
          <w:rFonts w:ascii="Palatino Linotype" w:eastAsia="Palatino Linotype" w:hAnsi="Palatino Linotype" w:cs="Palatino Linotype"/>
        </w:rPr>
        <w:t xml:space="preserve"> DE </w:t>
      </w:r>
      <w:r w:rsidR="009A65BD" w:rsidRPr="00142E37">
        <w:rPr>
          <w:rFonts w:ascii="Palatino Linotype" w:eastAsia="Palatino Linotype" w:hAnsi="Palatino Linotype" w:cs="Palatino Linotype"/>
        </w:rPr>
        <w:t xml:space="preserve">AGOSTO </w:t>
      </w:r>
      <w:r w:rsidRPr="00142E37">
        <w:rPr>
          <w:rFonts w:ascii="Palatino Linotype" w:eastAsia="Palatino Linotype" w:hAnsi="Palatino Linotype" w:cs="Palatino Linotype"/>
        </w:rPr>
        <w:t>DE DOS MIL VEINTICINCO, ANTE EL SECRETARIO TÉCNICO DEL PLENO ALEXIS TAPIA RAMÍREZ.</w:t>
      </w:r>
    </w:p>
    <w:p w14:paraId="53FE5381" w14:textId="77777777" w:rsidR="00186072" w:rsidRPr="001E6E98" w:rsidRDefault="00186072">
      <w:pPr>
        <w:spacing w:line="360" w:lineRule="auto"/>
        <w:jc w:val="both"/>
        <w:rPr>
          <w:rFonts w:ascii="Palatino Linotype" w:eastAsia="Palatino Linotype" w:hAnsi="Palatino Linotype" w:cs="Palatino Linotype"/>
        </w:rPr>
      </w:pPr>
    </w:p>
    <w:p w14:paraId="5ED65D45" w14:textId="77777777" w:rsidR="00186072" w:rsidRPr="001E6E98" w:rsidRDefault="00186072">
      <w:pPr>
        <w:spacing w:line="360" w:lineRule="auto"/>
        <w:jc w:val="center"/>
        <w:rPr>
          <w:rFonts w:ascii="Palatino Linotype" w:eastAsia="Palatino Linotype" w:hAnsi="Palatino Linotype" w:cs="Palatino Linotype"/>
        </w:rPr>
      </w:pPr>
    </w:p>
    <w:p w14:paraId="60C4FF00" w14:textId="77777777" w:rsidR="00186072" w:rsidRPr="001E6E98" w:rsidRDefault="00186072">
      <w:pPr>
        <w:spacing w:line="360" w:lineRule="auto"/>
        <w:jc w:val="both"/>
        <w:rPr>
          <w:rFonts w:ascii="Palatino Linotype" w:eastAsia="Palatino Linotype" w:hAnsi="Palatino Linotype" w:cs="Palatino Linotype"/>
        </w:rPr>
      </w:pPr>
    </w:p>
    <w:p w14:paraId="0077822A" w14:textId="77777777" w:rsidR="00186072" w:rsidRPr="001E6E98" w:rsidRDefault="00186072">
      <w:pPr>
        <w:spacing w:line="360" w:lineRule="auto"/>
        <w:jc w:val="both"/>
        <w:rPr>
          <w:rFonts w:ascii="Palatino Linotype" w:eastAsia="Palatino Linotype" w:hAnsi="Palatino Linotype" w:cs="Palatino Linotype"/>
        </w:rPr>
      </w:pPr>
    </w:p>
    <w:p w14:paraId="03C92C99" w14:textId="77777777" w:rsidR="00186072" w:rsidRPr="001E6E98" w:rsidRDefault="00186072">
      <w:pPr>
        <w:spacing w:line="360" w:lineRule="auto"/>
        <w:jc w:val="both"/>
        <w:rPr>
          <w:rFonts w:ascii="Palatino Linotype" w:eastAsia="Palatino Linotype" w:hAnsi="Palatino Linotype" w:cs="Palatino Linotype"/>
        </w:rPr>
      </w:pPr>
    </w:p>
    <w:p w14:paraId="57C0AAEB" w14:textId="77777777" w:rsidR="00186072" w:rsidRPr="001E6E98" w:rsidRDefault="00186072">
      <w:pPr>
        <w:spacing w:line="360" w:lineRule="auto"/>
        <w:jc w:val="both"/>
        <w:rPr>
          <w:rFonts w:ascii="Palatino Linotype" w:eastAsia="Palatino Linotype" w:hAnsi="Palatino Linotype" w:cs="Palatino Linotype"/>
        </w:rPr>
      </w:pPr>
    </w:p>
    <w:p w14:paraId="1569EDB2" w14:textId="77777777" w:rsidR="00186072" w:rsidRPr="001E6E98" w:rsidRDefault="00186072">
      <w:pPr>
        <w:spacing w:line="360" w:lineRule="auto"/>
        <w:jc w:val="both"/>
        <w:rPr>
          <w:rFonts w:ascii="Palatino Linotype" w:eastAsia="Palatino Linotype" w:hAnsi="Palatino Linotype" w:cs="Palatino Linotype"/>
        </w:rPr>
      </w:pPr>
    </w:p>
    <w:p w14:paraId="1BD0849B" w14:textId="77777777" w:rsidR="00186072" w:rsidRPr="001E6E98" w:rsidRDefault="00186072">
      <w:pPr>
        <w:spacing w:line="360" w:lineRule="auto"/>
        <w:jc w:val="both"/>
        <w:rPr>
          <w:rFonts w:ascii="Palatino Linotype" w:eastAsia="Palatino Linotype" w:hAnsi="Palatino Linotype" w:cs="Palatino Linotype"/>
        </w:rPr>
      </w:pPr>
    </w:p>
    <w:p w14:paraId="297BF7F7" w14:textId="77777777" w:rsidR="00186072" w:rsidRPr="001E6E98" w:rsidRDefault="00186072">
      <w:pPr>
        <w:spacing w:line="360" w:lineRule="auto"/>
        <w:jc w:val="both"/>
        <w:rPr>
          <w:rFonts w:ascii="Palatino Linotype" w:eastAsia="Palatino Linotype" w:hAnsi="Palatino Linotype" w:cs="Palatino Linotype"/>
        </w:rPr>
      </w:pPr>
    </w:p>
    <w:p w14:paraId="13E4876A" w14:textId="77777777" w:rsidR="00186072" w:rsidRPr="001E6E98" w:rsidRDefault="00186072">
      <w:pPr>
        <w:spacing w:line="360" w:lineRule="auto"/>
        <w:jc w:val="both"/>
        <w:rPr>
          <w:rFonts w:ascii="Palatino Linotype" w:eastAsia="Palatino Linotype" w:hAnsi="Palatino Linotype" w:cs="Palatino Linotype"/>
        </w:rPr>
      </w:pPr>
    </w:p>
    <w:p w14:paraId="412BA854" w14:textId="77777777" w:rsidR="00186072" w:rsidRPr="001E6E98" w:rsidRDefault="00186072">
      <w:pPr>
        <w:spacing w:line="360" w:lineRule="auto"/>
        <w:jc w:val="both"/>
        <w:rPr>
          <w:rFonts w:ascii="Palatino Linotype" w:eastAsia="Palatino Linotype" w:hAnsi="Palatino Linotype" w:cs="Palatino Linotype"/>
        </w:rPr>
      </w:pPr>
    </w:p>
    <w:p w14:paraId="42E5688C" w14:textId="77777777" w:rsidR="00186072" w:rsidRPr="001E6E98" w:rsidRDefault="00186072">
      <w:pPr>
        <w:spacing w:line="360" w:lineRule="auto"/>
        <w:jc w:val="both"/>
        <w:rPr>
          <w:rFonts w:ascii="Palatino Linotype" w:eastAsia="Palatino Linotype" w:hAnsi="Palatino Linotype" w:cs="Palatino Linotype"/>
        </w:rPr>
      </w:pPr>
    </w:p>
    <w:p w14:paraId="75E88804" w14:textId="77777777" w:rsidR="00186072" w:rsidRPr="001E6E98" w:rsidRDefault="00186072">
      <w:pPr>
        <w:spacing w:line="360" w:lineRule="auto"/>
        <w:jc w:val="both"/>
        <w:rPr>
          <w:rFonts w:ascii="Palatino Linotype" w:eastAsia="Palatino Linotype" w:hAnsi="Palatino Linotype" w:cs="Palatino Linotype"/>
        </w:rPr>
      </w:pPr>
    </w:p>
    <w:p w14:paraId="317F6A8D" w14:textId="77777777" w:rsidR="00C643BD" w:rsidRPr="001E6E98" w:rsidRDefault="00C643BD">
      <w:pPr>
        <w:spacing w:line="360" w:lineRule="auto"/>
        <w:jc w:val="both"/>
        <w:rPr>
          <w:rFonts w:ascii="Palatino Linotype" w:eastAsia="Palatino Linotype" w:hAnsi="Palatino Linotype" w:cs="Palatino Linotype"/>
        </w:rPr>
      </w:pPr>
    </w:p>
    <w:p w14:paraId="00277A5E" w14:textId="77777777" w:rsidR="00C643BD" w:rsidRPr="001E6E98" w:rsidRDefault="00C643BD">
      <w:pPr>
        <w:spacing w:line="360" w:lineRule="auto"/>
        <w:jc w:val="both"/>
        <w:rPr>
          <w:rFonts w:ascii="Palatino Linotype" w:eastAsia="Palatino Linotype" w:hAnsi="Palatino Linotype" w:cs="Palatino Linotype"/>
        </w:rPr>
      </w:pPr>
    </w:p>
    <w:p w14:paraId="058E2525" w14:textId="77777777" w:rsidR="00C643BD" w:rsidRPr="001E6E98" w:rsidRDefault="00C643BD">
      <w:pPr>
        <w:spacing w:line="360" w:lineRule="auto"/>
        <w:jc w:val="both"/>
        <w:rPr>
          <w:rFonts w:ascii="Palatino Linotype" w:eastAsia="Palatino Linotype" w:hAnsi="Palatino Linotype" w:cs="Palatino Linotype"/>
        </w:rPr>
      </w:pPr>
    </w:p>
    <w:p w14:paraId="3933AA60" w14:textId="77777777" w:rsidR="00C643BD" w:rsidRPr="001E6E98" w:rsidRDefault="00C643BD">
      <w:pPr>
        <w:spacing w:line="360" w:lineRule="auto"/>
        <w:jc w:val="both"/>
        <w:rPr>
          <w:rFonts w:ascii="Palatino Linotype" w:eastAsia="Palatino Linotype" w:hAnsi="Palatino Linotype" w:cs="Palatino Linotype"/>
        </w:rPr>
      </w:pPr>
    </w:p>
    <w:p w14:paraId="0E1BF3FD" w14:textId="77777777" w:rsidR="00C643BD" w:rsidRPr="001E6E98" w:rsidRDefault="00C643BD">
      <w:pPr>
        <w:spacing w:line="360" w:lineRule="auto"/>
        <w:jc w:val="both"/>
        <w:rPr>
          <w:rFonts w:ascii="Palatino Linotype" w:eastAsia="Palatino Linotype" w:hAnsi="Palatino Linotype" w:cs="Palatino Linotype"/>
        </w:rPr>
      </w:pPr>
    </w:p>
    <w:p w14:paraId="616BECB4" w14:textId="77777777" w:rsidR="00C643BD" w:rsidRPr="001E6E98" w:rsidRDefault="00C643BD">
      <w:pPr>
        <w:spacing w:line="360" w:lineRule="auto"/>
        <w:jc w:val="both"/>
        <w:rPr>
          <w:rFonts w:ascii="Palatino Linotype" w:eastAsia="Palatino Linotype" w:hAnsi="Palatino Linotype" w:cs="Palatino Linotype"/>
        </w:rPr>
      </w:pPr>
    </w:p>
    <w:p w14:paraId="04648D49" w14:textId="77777777" w:rsidR="00C643BD" w:rsidRPr="001E6E98" w:rsidRDefault="00C643BD">
      <w:pPr>
        <w:spacing w:line="360" w:lineRule="auto"/>
        <w:jc w:val="both"/>
        <w:rPr>
          <w:rFonts w:ascii="Palatino Linotype" w:eastAsia="Palatino Linotype" w:hAnsi="Palatino Linotype" w:cs="Palatino Linotype"/>
        </w:rPr>
      </w:pPr>
    </w:p>
    <w:p w14:paraId="208CDF78" w14:textId="77777777" w:rsidR="00C643BD" w:rsidRPr="001E6E98" w:rsidRDefault="00C643BD">
      <w:pPr>
        <w:spacing w:line="360" w:lineRule="auto"/>
        <w:jc w:val="both"/>
        <w:rPr>
          <w:rFonts w:ascii="Palatino Linotype" w:eastAsia="Palatino Linotype" w:hAnsi="Palatino Linotype" w:cs="Palatino Linotype"/>
        </w:rPr>
      </w:pPr>
    </w:p>
    <w:p w14:paraId="5765D00A" w14:textId="77777777" w:rsidR="00C643BD" w:rsidRPr="001E6E98" w:rsidRDefault="00C643BD">
      <w:pPr>
        <w:spacing w:line="360" w:lineRule="auto"/>
        <w:jc w:val="both"/>
        <w:rPr>
          <w:rFonts w:ascii="Palatino Linotype" w:eastAsia="Palatino Linotype" w:hAnsi="Palatino Linotype" w:cs="Palatino Linotype"/>
        </w:rPr>
      </w:pPr>
    </w:p>
    <w:p w14:paraId="74B6F464" w14:textId="77777777" w:rsidR="00186072" w:rsidRPr="001E6E98" w:rsidRDefault="00186072">
      <w:pPr>
        <w:spacing w:line="360" w:lineRule="auto"/>
        <w:jc w:val="both"/>
        <w:rPr>
          <w:rFonts w:ascii="Palatino Linotype" w:eastAsia="Palatino Linotype" w:hAnsi="Palatino Linotype" w:cs="Palatino Linotype"/>
        </w:rPr>
      </w:pPr>
    </w:p>
    <w:p w14:paraId="29CA92BF" w14:textId="77777777" w:rsidR="00186072" w:rsidRPr="001E6E98" w:rsidRDefault="00186072">
      <w:pPr>
        <w:spacing w:line="360" w:lineRule="auto"/>
        <w:jc w:val="both"/>
        <w:rPr>
          <w:rFonts w:ascii="Palatino Linotype" w:eastAsia="Palatino Linotype" w:hAnsi="Palatino Linotype" w:cs="Palatino Linotype"/>
        </w:rPr>
      </w:pPr>
    </w:p>
    <w:p w14:paraId="5B6C6AF3" w14:textId="77777777" w:rsidR="00186072" w:rsidRPr="001E6E98" w:rsidRDefault="00186072">
      <w:pPr>
        <w:spacing w:line="360" w:lineRule="auto"/>
        <w:jc w:val="both"/>
        <w:rPr>
          <w:rFonts w:ascii="Palatino Linotype" w:eastAsia="Palatino Linotype" w:hAnsi="Palatino Linotype" w:cs="Palatino Linotype"/>
        </w:rPr>
      </w:pPr>
    </w:p>
    <w:p w14:paraId="694FC3A4" w14:textId="77777777" w:rsidR="00186072" w:rsidRPr="001E6E98" w:rsidRDefault="00186072">
      <w:pPr>
        <w:spacing w:line="360" w:lineRule="auto"/>
        <w:jc w:val="both"/>
        <w:rPr>
          <w:rFonts w:ascii="Palatino Linotype" w:eastAsia="Palatino Linotype" w:hAnsi="Palatino Linotype" w:cs="Palatino Linotype"/>
        </w:rPr>
      </w:pPr>
    </w:p>
    <w:p w14:paraId="341162D7" w14:textId="77777777" w:rsidR="00186072" w:rsidRPr="001E6E98" w:rsidRDefault="00186072">
      <w:pPr>
        <w:spacing w:line="360" w:lineRule="auto"/>
        <w:jc w:val="both"/>
        <w:rPr>
          <w:rFonts w:ascii="Palatino Linotype" w:eastAsia="Palatino Linotype" w:hAnsi="Palatino Linotype" w:cs="Palatino Linotype"/>
        </w:rPr>
      </w:pPr>
    </w:p>
    <w:p w14:paraId="1A099A0A" w14:textId="77777777" w:rsidR="00186072" w:rsidRPr="001E6E98" w:rsidRDefault="00186072">
      <w:pPr>
        <w:spacing w:line="360" w:lineRule="auto"/>
        <w:jc w:val="both"/>
        <w:rPr>
          <w:rFonts w:ascii="Palatino Linotype" w:eastAsia="Palatino Linotype" w:hAnsi="Palatino Linotype" w:cs="Palatino Linotype"/>
        </w:rPr>
      </w:pPr>
    </w:p>
    <w:p w14:paraId="7D67337E" w14:textId="77777777" w:rsidR="00186072" w:rsidRPr="001E6E98" w:rsidRDefault="00186072">
      <w:pPr>
        <w:spacing w:line="360" w:lineRule="auto"/>
        <w:jc w:val="both"/>
        <w:rPr>
          <w:rFonts w:ascii="Palatino Linotype" w:eastAsia="Palatino Linotype" w:hAnsi="Palatino Linotype" w:cs="Palatino Linotype"/>
        </w:rPr>
      </w:pPr>
    </w:p>
    <w:sectPr w:rsidR="00186072" w:rsidRPr="001E6E98">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32A7" w14:textId="77777777" w:rsidR="00490CC2" w:rsidRDefault="00490CC2">
      <w:r>
        <w:separator/>
      </w:r>
    </w:p>
  </w:endnote>
  <w:endnote w:type="continuationSeparator" w:id="0">
    <w:p w14:paraId="6D268312" w14:textId="77777777" w:rsidR="00490CC2" w:rsidRDefault="0049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235F" w14:textId="77777777" w:rsidR="001634A8" w:rsidRDefault="001634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2E37">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2E37">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076ECB08" w14:textId="77777777" w:rsidR="001634A8" w:rsidRDefault="001634A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1EE3" w14:textId="77777777" w:rsidR="001634A8" w:rsidRDefault="001634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2E3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2E37">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26D3A4D6" w14:textId="77777777" w:rsidR="001634A8" w:rsidRDefault="001634A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85CE" w14:textId="77777777" w:rsidR="00490CC2" w:rsidRDefault="00490CC2">
      <w:r>
        <w:separator/>
      </w:r>
    </w:p>
  </w:footnote>
  <w:footnote w:type="continuationSeparator" w:id="0">
    <w:p w14:paraId="038A419A" w14:textId="77777777" w:rsidR="00490CC2" w:rsidRDefault="00490CC2">
      <w:r>
        <w:continuationSeparator/>
      </w:r>
    </w:p>
  </w:footnote>
  <w:footnote w:id="1">
    <w:p w14:paraId="07A1C899" w14:textId="77777777" w:rsidR="006062E2" w:rsidRDefault="006062E2" w:rsidP="006062E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0AE0" w14:textId="77777777" w:rsidR="001634A8" w:rsidRDefault="001634A8">
    <w:pPr>
      <w:rPr>
        <w:rFonts w:ascii="Cambria" w:eastAsia="Cambria" w:hAnsi="Cambria" w:cs="Cambria"/>
        <w:color w:val="000000"/>
      </w:rPr>
    </w:pPr>
    <w:r>
      <w:rPr>
        <w:noProof/>
      </w:rPr>
      <w:drawing>
        <wp:anchor distT="0" distB="0" distL="0" distR="0" simplePos="0" relativeHeight="251658240" behindDoc="1" locked="0" layoutInCell="1" hidden="0" allowOverlap="1" wp14:anchorId="14C36BF7" wp14:editId="28119D67">
          <wp:simplePos x="0" y="0"/>
          <wp:positionH relativeFrom="column">
            <wp:posOffset>-1080092</wp:posOffset>
          </wp:positionH>
          <wp:positionV relativeFrom="paragraph">
            <wp:posOffset>-488263</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8"/>
      <w:tblW w:w="5953" w:type="dxa"/>
      <w:tblInd w:w="3261" w:type="dxa"/>
      <w:tblLayout w:type="fixed"/>
      <w:tblLook w:val="0400" w:firstRow="0" w:lastRow="0" w:firstColumn="0" w:lastColumn="0" w:noHBand="0" w:noVBand="1"/>
    </w:tblPr>
    <w:tblGrid>
      <w:gridCol w:w="2489"/>
      <w:gridCol w:w="3464"/>
    </w:tblGrid>
    <w:tr w:rsidR="001634A8" w14:paraId="64EDBD72" w14:textId="77777777">
      <w:tc>
        <w:tcPr>
          <w:tcW w:w="2489" w:type="dxa"/>
          <w:shd w:val="clear" w:color="auto" w:fill="auto"/>
        </w:tcPr>
        <w:p w14:paraId="627CE533"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C71CDB6" w14:textId="4E8EC39C" w:rsidR="001634A8" w:rsidRDefault="001634A8" w:rsidP="00F00F9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04634/INFOEM/IP/RR/2025</w:t>
          </w:r>
        </w:p>
      </w:tc>
    </w:tr>
    <w:tr w:rsidR="001634A8" w14:paraId="1EF906EB" w14:textId="77777777">
      <w:trPr>
        <w:trHeight w:val="228"/>
      </w:trPr>
      <w:tc>
        <w:tcPr>
          <w:tcW w:w="2489" w:type="dxa"/>
          <w:shd w:val="clear" w:color="auto" w:fill="auto"/>
          <w:vAlign w:val="center"/>
        </w:tcPr>
        <w:p w14:paraId="0F89A1D9"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E12B6BC" w14:textId="2DFFEF05" w:rsidR="001634A8" w:rsidRDefault="001634A8">
          <w:pPr>
            <w:ind w:left="-45" w:right="176"/>
            <w:jc w:val="both"/>
            <w:rPr>
              <w:rFonts w:ascii="Palatino Linotype" w:eastAsia="Palatino Linotype" w:hAnsi="Palatino Linotype" w:cs="Palatino Linotype"/>
              <w:b/>
              <w:sz w:val="22"/>
              <w:szCs w:val="22"/>
            </w:rPr>
          </w:pPr>
          <w:r w:rsidRPr="00F00F96">
            <w:rPr>
              <w:rFonts w:ascii="Palatino Linotype" w:eastAsia="Palatino Linotype" w:hAnsi="Palatino Linotype" w:cs="Palatino Linotype"/>
              <w:b/>
              <w:sz w:val="22"/>
              <w:szCs w:val="22"/>
            </w:rPr>
            <w:t>Ayuntamiento de Coyotepec</w:t>
          </w:r>
        </w:p>
      </w:tc>
    </w:tr>
    <w:tr w:rsidR="001634A8" w14:paraId="7BDD1934" w14:textId="77777777">
      <w:tc>
        <w:tcPr>
          <w:tcW w:w="2489" w:type="dxa"/>
          <w:shd w:val="clear" w:color="auto" w:fill="auto"/>
          <w:vAlign w:val="center"/>
        </w:tcPr>
        <w:p w14:paraId="528B16D3" w14:textId="77777777" w:rsidR="001634A8" w:rsidRDefault="001634A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CF771FF" w14:textId="77777777" w:rsidR="001634A8" w:rsidRDefault="001634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1CCA5D" w14:textId="77777777" w:rsidR="001634A8" w:rsidRDefault="001634A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67EE" w14:textId="77777777" w:rsidR="001634A8" w:rsidRDefault="001634A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6D03483" wp14:editId="3C7B52FE">
          <wp:simplePos x="0" y="0"/>
          <wp:positionH relativeFrom="page">
            <wp:align>left</wp:align>
          </wp:positionH>
          <wp:positionV relativeFrom="paragraph">
            <wp:posOffset>-369893</wp:posOffset>
          </wp:positionV>
          <wp:extent cx="7809865" cy="10165715"/>
          <wp:effectExtent l="0" t="0" r="635" b="6985"/>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9"/>
      <w:tblW w:w="5953" w:type="dxa"/>
      <w:tblInd w:w="3261" w:type="dxa"/>
      <w:tblLayout w:type="fixed"/>
      <w:tblLook w:val="0400" w:firstRow="0" w:lastRow="0" w:firstColumn="0" w:lastColumn="0" w:noHBand="0" w:noVBand="1"/>
    </w:tblPr>
    <w:tblGrid>
      <w:gridCol w:w="2489"/>
      <w:gridCol w:w="3464"/>
    </w:tblGrid>
    <w:tr w:rsidR="001634A8" w14:paraId="46880F3A" w14:textId="77777777">
      <w:tc>
        <w:tcPr>
          <w:tcW w:w="2489" w:type="dxa"/>
          <w:shd w:val="clear" w:color="auto" w:fill="auto"/>
        </w:tcPr>
        <w:p w14:paraId="1EB5D813"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12F16BC" w14:textId="74480C10" w:rsidR="001634A8" w:rsidRDefault="001634A8" w:rsidP="00F00F9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04634/INFOEM/IP/RR/2025</w:t>
          </w:r>
        </w:p>
      </w:tc>
    </w:tr>
    <w:tr w:rsidR="001634A8" w14:paraId="6F08065E" w14:textId="77777777">
      <w:tc>
        <w:tcPr>
          <w:tcW w:w="2489" w:type="dxa"/>
          <w:shd w:val="clear" w:color="auto" w:fill="auto"/>
        </w:tcPr>
        <w:p w14:paraId="6CBCF13E"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277FDB2D" w14:textId="03921248" w:rsidR="001634A8" w:rsidRPr="00581A42" w:rsidRDefault="001D4426" w:rsidP="00FF33A5">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 XXXXXXXXX XXXXXX XXXX </w:t>
          </w:r>
        </w:p>
      </w:tc>
    </w:tr>
    <w:tr w:rsidR="001634A8" w14:paraId="47F246BA" w14:textId="77777777">
      <w:trPr>
        <w:trHeight w:val="228"/>
      </w:trPr>
      <w:tc>
        <w:tcPr>
          <w:tcW w:w="2489" w:type="dxa"/>
          <w:shd w:val="clear" w:color="auto" w:fill="auto"/>
          <w:vAlign w:val="center"/>
        </w:tcPr>
        <w:p w14:paraId="21E926C2" w14:textId="77777777" w:rsidR="001634A8" w:rsidRDefault="001634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8809574" w14:textId="55FC46A1" w:rsidR="001634A8" w:rsidRDefault="001634A8">
          <w:pPr>
            <w:ind w:left="-45" w:right="176"/>
            <w:jc w:val="both"/>
            <w:rPr>
              <w:rFonts w:ascii="Palatino Linotype" w:eastAsia="Palatino Linotype" w:hAnsi="Palatino Linotype" w:cs="Palatino Linotype"/>
              <w:b/>
              <w:sz w:val="22"/>
              <w:szCs w:val="22"/>
            </w:rPr>
          </w:pPr>
          <w:r w:rsidRPr="00F00F96">
            <w:rPr>
              <w:rFonts w:ascii="Palatino Linotype" w:eastAsia="Palatino Linotype" w:hAnsi="Palatino Linotype" w:cs="Palatino Linotype"/>
              <w:b/>
              <w:sz w:val="22"/>
              <w:szCs w:val="22"/>
            </w:rPr>
            <w:t>Ayuntamiento de Coyotepec</w:t>
          </w:r>
        </w:p>
      </w:tc>
    </w:tr>
    <w:tr w:rsidR="001634A8" w14:paraId="29E51848" w14:textId="77777777">
      <w:tc>
        <w:tcPr>
          <w:tcW w:w="2489" w:type="dxa"/>
          <w:shd w:val="clear" w:color="auto" w:fill="auto"/>
          <w:vAlign w:val="center"/>
        </w:tcPr>
        <w:p w14:paraId="34902144" w14:textId="77777777" w:rsidR="001634A8" w:rsidRDefault="001634A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859036D" w14:textId="77777777" w:rsidR="001634A8" w:rsidRDefault="001634A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E15806" w14:textId="77777777" w:rsidR="001634A8" w:rsidRDefault="001634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4AE"/>
    <w:multiLevelType w:val="multilevel"/>
    <w:tmpl w:val="A68E4A54"/>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D392F"/>
    <w:multiLevelType w:val="multilevel"/>
    <w:tmpl w:val="E9D2DE3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573984"/>
    <w:multiLevelType w:val="multilevel"/>
    <w:tmpl w:val="794E1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644371"/>
    <w:multiLevelType w:val="multilevel"/>
    <w:tmpl w:val="ECB6B78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2"/>
    <w:rsid w:val="0000042E"/>
    <w:rsid w:val="000377E3"/>
    <w:rsid w:val="00045CA8"/>
    <w:rsid w:val="000545F6"/>
    <w:rsid w:val="00065021"/>
    <w:rsid w:val="00070304"/>
    <w:rsid w:val="00083BE6"/>
    <w:rsid w:val="000864B5"/>
    <w:rsid w:val="0008712C"/>
    <w:rsid w:val="00096834"/>
    <w:rsid w:val="000A6CC0"/>
    <w:rsid w:val="000B1ED7"/>
    <w:rsid w:val="000B2DEA"/>
    <w:rsid w:val="000D36A6"/>
    <w:rsid w:val="000E3CA5"/>
    <w:rsid w:val="000E3D6C"/>
    <w:rsid w:val="000E4BD8"/>
    <w:rsid w:val="000F4246"/>
    <w:rsid w:val="000F763E"/>
    <w:rsid w:val="00102198"/>
    <w:rsid w:val="0011479D"/>
    <w:rsid w:val="00121FC6"/>
    <w:rsid w:val="00142E37"/>
    <w:rsid w:val="00162117"/>
    <w:rsid w:val="001634A8"/>
    <w:rsid w:val="001803D6"/>
    <w:rsid w:val="00186072"/>
    <w:rsid w:val="00193351"/>
    <w:rsid w:val="001B57A7"/>
    <w:rsid w:val="001D2E0C"/>
    <w:rsid w:val="001D4426"/>
    <w:rsid w:val="001E6E98"/>
    <w:rsid w:val="002136B1"/>
    <w:rsid w:val="00214451"/>
    <w:rsid w:val="00224D4D"/>
    <w:rsid w:val="002357D8"/>
    <w:rsid w:val="002504C7"/>
    <w:rsid w:val="002702BE"/>
    <w:rsid w:val="00290C18"/>
    <w:rsid w:val="002C029C"/>
    <w:rsid w:val="002C4747"/>
    <w:rsid w:val="002C52E7"/>
    <w:rsid w:val="002D7A5C"/>
    <w:rsid w:val="00302E11"/>
    <w:rsid w:val="003330B1"/>
    <w:rsid w:val="00340A3C"/>
    <w:rsid w:val="0036617E"/>
    <w:rsid w:val="00366A1F"/>
    <w:rsid w:val="0039571B"/>
    <w:rsid w:val="003A6269"/>
    <w:rsid w:val="003D4151"/>
    <w:rsid w:val="003D6E40"/>
    <w:rsid w:val="003D7E61"/>
    <w:rsid w:val="003E1EAA"/>
    <w:rsid w:val="004013E7"/>
    <w:rsid w:val="00406AB9"/>
    <w:rsid w:val="00417113"/>
    <w:rsid w:val="00422A7E"/>
    <w:rsid w:val="00446333"/>
    <w:rsid w:val="00446CC7"/>
    <w:rsid w:val="00454036"/>
    <w:rsid w:val="00490CC2"/>
    <w:rsid w:val="004973F1"/>
    <w:rsid w:val="004A6D85"/>
    <w:rsid w:val="004C586C"/>
    <w:rsid w:val="004F4689"/>
    <w:rsid w:val="00544B28"/>
    <w:rsid w:val="005626F9"/>
    <w:rsid w:val="00574360"/>
    <w:rsid w:val="00581A42"/>
    <w:rsid w:val="0059420C"/>
    <w:rsid w:val="005D0C86"/>
    <w:rsid w:val="005D7DCB"/>
    <w:rsid w:val="005E4E4C"/>
    <w:rsid w:val="005E6A1E"/>
    <w:rsid w:val="0060034F"/>
    <w:rsid w:val="00603B9C"/>
    <w:rsid w:val="00604834"/>
    <w:rsid w:val="006062E2"/>
    <w:rsid w:val="00616B12"/>
    <w:rsid w:val="00622420"/>
    <w:rsid w:val="00640C44"/>
    <w:rsid w:val="00644B09"/>
    <w:rsid w:val="006A4112"/>
    <w:rsid w:val="006B0A6C"/>
    <w:rsid w:val="006B1911"/>
    <w:rsid w:val="006F6A62"/>
    <w:rsid w:val="00722851"/>
    <w:rsid w:val="00722C93"/>
    <w:rsid w:val="00734DD7"/>
    <w:rsid w:val="00772601"/>
    <w:rsid w:val="007755B5"/>
    <w:rsid w:val="007811B1"/>
    <w:rsid w:val="007A687D"/>
    <w:rsid w:val="007C5229"/>
    <w:rsid w:val="007F38DC"/>
    <w:rsid w:val="008033C2"/>
    <w:rsid w:val="008044A1"/>
    <w:rsid w:val="00834C2D"/>
    <w:rsid w:val="00851B0C"/>
    <w:rsid w:val="008523BA"/>
    <w:rsid w:val="00866E98"/>
    <w:rsid w:val="008A229E"/>
    <w:rsid w:val="008A7722"/>
    <w:rsid w:val="008B17D3"/>
    <w:rsid w:val="008B2995"/>
    <w:rsid w:val="008B5E47"/>
    <w:rsid w:val="00902334"/>
    <w:rsid w:val="00927D10"/>
    <w:rsid w:val="00933FF8"/>
    <w:rsid w:val="00935489"/>
    <w:rsid w:val="0094285C"/>
    <w:rsid w:val="00957DD7"/>
    <w:rsid w:val="009609E5"/>
    <w:rsid w:val="00990375"/>
    <w:rsid w:val="00991D32"/>
    <w:rsid w:val="009A65BD"/>
    <w:rsid w:val="009D4874"/>
    <w:rsid w:val="009E3F3D"/>
    <w:rsid w:val="00A2392B"/>
    <w:rsid w:val="00A35841"/>
    <w:rsid w:val="00A55B1F"/>
    <w:rsid w:val="00A600F0"/>
    <w:rsid w:val="00A81F21"/>
    <w:rsid w:val="00A83C12"/>
    <w:rsid w:val="00AA69C7"/>
    <w:rsid w:val="00AB64A5"/>
    <w:rsid w:val="00AD0CEA"/>
    <w:rsid w:val="00AE24DB"/>
    <w:rsid w:val="00AE2643"/>
    <w:rsid w:val="00B015B8"/>
    <w:rsid w:val="00B25925"/>
    <w:rsid w:val="00B666C5"/>
    <w:rsid w:val="00B67E2B"/>
    <w:rsid w:val="00B84203"/>
    <w:rsid w:val="00BB3988"/>
    <w:rsid w:val="00BC0A69"/>
    <w:rsid w:val="00BE40AD"/>
    <w:rsid w:val="00BF2D78"/>
    <w:rsid w:val="00C059D1"/>
    <w:rsid w:val="00C06D68"/>
    <w:rsid w:val="00C31B34"/>
    <w:rsid w:val="00C35C53"/>
    <w:rsid w:val="00C376F9"/>
    <w:rsid w:val="00C57B3E"/>
    <w:rsid w:val="00C643BD"/>
    <w:rsid w:val="00CA3CCC"/>
    <w:rsid w:val="00CC227C"/>
    <w:rsid w:val="00CD703E"/>
    <w:rsid w:val="00D050F9"/>
    <w:rsid w:val="00D06F13"/>
    <w:rsid w:val="00D37829"/>
    <w:rsid w:val="00D459DA"/>
    <w:rsid w:val="00D55253"/>
    <w:rsid w:val="00D73B15"/>
    <w:rsid w:val="00D76912"/>
    <w:rsid w:val="00D83680"/>
    <w:rsid w:val="00D86275"/>
    <w:rsid w:val="00DC5A77"/>
    <w:rsid w:val="00DD3924"/>
    <w:rsid w:val="00DD6932"/>
    <w:rsid w:val="00DE3914"/>
    <w:rsid w:val="00DF4823"/>
    <w:rsid w:val="00E275BD"/>
    <w:rsid w:val="00E30542"/>
    <w:rsid w:val="00E4560E"/>
    <w:rsid w:val="00E53193"/>
    <w:rsid w:val="00E7446D"/>
    <w:rsid w:val="00EA6D47"/>
    <w:rsid w:val="00ED0D49"/>
    <w:rsid w:val="00EF224F"/>
    <w:rsid w:val="00F00F96"/>
    <w:rsid w:val="00F11647"/>
    <w:rsid w:val="00F116C2"/>
    <w:rsid w:val="00F21513"/>
    <w:rsid w:val="00F37A21"/>
    <w:rsid w:val="00F41AEF"/>
    <w:rsid w:val="00F52180"/>
    <w:rsid w:val="00F77B55"/>
    <w:rsid w:val="00F81841"/>
    <w:rsid w:val="00F84390"/>
    <w:rsid w:val="00FB23F4"/>
    <w:rsid w:val="00FC4A5A"/>
    <w:rsid w:val="00FD0858"/>
    <w:rsid w:val="00FD0C60"/>
    <w:rsid w:val="00FF3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00664"/>
  <w15:docId w15:val="{FD7F6AB0-CA79-4CE2-837B-D562301E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0"/>
    <w:tblPr>
      <w:tblStyleRowBandSize w:val="1"/>
      <w:tblStyleColBandSize w:val="1"/>
      <w:tblCellMar>
        <w:left w:w="115" w:type="dxa"/>
        <w:right w:w="115" w:type="dxa"/>
      </w:tblCellMar>
    </w:tblPr>
  </w:style>
  <w:style w:type="table" w:customStyle="1" w:styleId="a0">
    <w:basedOn w:val="TableNormalf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
    <w:tblPr>
      <w:tblStyleRowBandSize w:val="1"/>
      <w:tblStyleColBandSize w:val="1"/>
      <w:tblCellMar>
        <w:left w:w="115" w:type="dxa"/>
        <w:right w:w="115" w:type="dxa"/>
      </w:tblCellMar>
    </w:tblPr>
  </w:style>
  <w:style w:type="table" w:customStyle="1" w:styleId="a4">
    <w:basedOn w:val="TableNormalf"/>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e"/>
    <w:tblPr>
      <w:tblStyleRowBandSize w:val="1"/>
      <w:tblStyleColBandSize w:val="1"/>
      <w:tblCellMar>
        <w:left w:w="108" w:type="dxa"/>
        <w:right w:w="108" w:type="dxa"/>
      </w:tblCellMar>
    </w:tblPr>
  </w:style>
  <w:style w:type="table" w:customStyle="1" w:styleId="a6">
    <w:basedOn w:val="TableNormale"/>
    <w:tblPr>
      <w:tblStyleRowBandSize w:val="1"/>
      <w:tblStyleColBandSize w:val="1"/>
      <w:tblCellMar>
        <w:left w:w="108" w:type="dxa"/>
        <w:right w:w="108" w:type="dxa"/>
      </w:tblCellMar>
    </w:tblPr>
  </w:style>
  <w:style w:type="table" w:customStyle="1" w:styleId="a7">
    <w:basedOn w:val="TableNormale"/>
    <w:tblPr>
      <w:tblStyleRowBandSize w:val="1"/>
      <w:tblStyleColBandSize w:val="1"/>
      <w:tblCellMar>
        <w:left w:w="108" w:type="dxa"/>
        <w:right w:w="108" w:type="dxa"/>
      </w:tblCellMar>
    </w:tblPr>
  </w:style>
  <w:style w:type="table" w:customStyle="1" w:styleId="a8">
    <w:basedOn w:val="TableNormale"/>
    <w:tblPr>
      <w:tblStyleRowBandSize w:val="1"/>
      <w:tblStyleColBandSize w:val="1"/>
      <w:tblCellMar>
        <w:left w:w="108" w:type="dxa"/>
        <w:right w:w="108" w:type="dxa"/>
      </w:tblCellMar>
    </w:tblPr>
  </w:style>
  <w:style w:type="table" w:customStyle="1" w:styleId="a9">
    <w:basedOn w:val="TableNormale"/>
    <w:tblPr>
      <w:tblStyleRowBandSize w:val="1"/>
      <w:tblStyleColBandSize w:val="1"/>
      <w:tblCellMar>
        <w:left w:w="108" w:type="dxa"/>
        <w:right w:w="108" w:type="dxa"/>
      </w:tblCellMar>
    </w:tblPr>
  </w:style>
  <w:style w:type="table" w:customStyle="1" w:styleId="aa">
    <w:basedOn w:val="TableNormale"/>
    <w:tblPr>
      <w:tblStyleRowBandSize w:val="1"/>
      <w:tblStyleColBandSize w:val="1"/>
      <w:tblCellMar>
        <w:left w:w="115" w:type="dxa"/>
        <w:right w:w="115" w:type="dxa"/>
      </w:tblCellMar>
    </w:tblPr>
  </w:style>
  <w:style w:type="table" w:customStyle="1" w:styleId="ab">
    <w:basedOn w:val="TableNormale"/>
    <w:tblPr>
      <w:tblStyleRowBandSize w:val="1"/>
      <w:tblStyleColBandSize w:val="1"/>
      <w:tblCellMar>
        <w:left w:w="115" w:type="dxa"/>
        <w:right w:w="115" w:type="dxa"/>
      </w:tblCellMar>
    </w:tblPr>
  </w:style>
  <w:style w:type="table" w:customStyle="1" w:styleId="ac">
    <w:basedOn w:val="TableNormald"/>
    <w:tblPr>
      <w:tblStyleRowBandSize w:val="1"/>
      <w:tblStyleColBandSize w:val="1"/>
      <w:tblCellMar>
        <w:left w:w="108" w:type="dxa"/>
        <w:right w:w="108" w:type="dxa"/>
      </w:tblCellMar>
    </w:tblPr>
  </w:style>
  <w:style w:type="table" w:customStyle="1" w:styleId="ad">
    <w:basedOn w:val="TableNormald"/>
    <w:tblPr>
      <w:tblStyleRowBandSize w:val="1"/>
      <w:tblStyleColBandSize w:val="1"/>
      <w:tblCellMar>
        <w:left w:w="115" w:type="dxa"/>
        <w:right w:w="115" w:type="dxa"/>
      </w:tblCellMar>
    </w:tblPr>
  </w:style>
  <w:style w:type="table" w:customStyle="1" w:styleId="ae">
    <w:basedOn w:val="TableNormald"/>
    <w:tblPr>
      <w:tblStyleRowBandSize w:val="1"/>
      <w:tblStyleColBandSize w:val="1"/>
      <w:tblCellMar>
        <w:left w:w="115" w:type="dxa"/>
        <w:right w:w="115" w:type="dxa"/>
      </w:tblCellMar>
    </w:tblPr>
  </w:style>
  <w:style w:type="table" w:customStyle="1" w:styleId="af">
    <w:basedOn w:val="TableNormalc"/>
    <w:tblPr>
      <w:tblStyleRowBandSize w:val="1"/>
      <w:tblStyleColBandSize w:val="1"/>
      <w:tblCellMar>
        <w:left w:w="115" w:type="dxa"/>
        <w:right w:w="115" w:type="dxa"/>
      </w:tblCellMar>
    </w:tblPr>
  </w:style>
  <w:style w:type="table" w:customStyle="1" w:styleId="af0">
    <w:basedOn w:val="TableNormalc"/>
    <w:tblPr>
      <w:tblStyleRowBandSize w:val="1"/>
      <w:tblStyleColBandSize w:val="1"/>
      <w:tblCellMar>
        <w:left w:w="115" w:type="dxa"/>
        <w:right w:w="115" w:type="dxa"/>
      </w:tblCellMar>
    </w:tblPr>
  </w:style>
  <w:style w:type="table" w:customStyle="1" w:styleId="af1">
    <w:basedOn w:val="TableNormalc"/>
    <w:tblPr>
      <w:tblStyleRowBandSize w:val="1"/>
      <w:tblStyleColBandSize w:val="1"/>
      <w:tblCellMar>
        <w:left w:w="115" w:type="dxa"/>
        <w:right w:w="115" w:type="dxa"/>
      </w:tblCellMar>
    </w:tblPr>
  </w:style>
  <w:style w:type="table" w:customStyle="1" w:styleId="af2">
    <w:basedOn w:val="TableNormalb"/>
    <w:tblPr>
      <w:tblStyleRowBandSize w:val="1"/>
      <w:tblStyleColBandSize w:val="1"/>
      <w:tblCellMar>
        <w:left w:w="115" w:type="dxa"/>
        <w:right w:w="115" w:type="dxa"/>
      </w:tblCellMar>
    </w:tblPr>
  </w:style>
  <w:style w:type="table" w:customStyle="1" w:styleId="af3">
    <w:basedOn w:val="TableNormalb"/>
    <w:tblPr>
      <w:tblStyleRowBandSize w:val="1"/>
      <w:tblStyleColBandSize w:val="1"/>
      <w:tblCellMar>
        <w:left w:w="115" w:type="dxa"/>
        <w:right w:w="115" w:type="dxa"/>
      </w:tblCellMar>
    </w:tblPr>
  </w:style>
  <w:style w:type="table" w:customStyle="1" w:styleId="af4">
    <w:basedOn w:val="TableNormala"/>
    <w:tblPr>
      <w:tblStyleRowBandSize w:val="1"/>
      <w:tblStyleColBandSize w:val="1"/>
      <w:tblCellMar>
        <w:left w:w="115" w:type="dxa"/>
        <w:right w:w="115" w:type="dxa"/>
      </w:tblCellMar>
    </w:tblPr>
  </w:style>
  <w:style w:type="table" w:customStyle="1" w:styleId="af5">
    <w:basedOn w:val="TableNormala"/>
    <w:tblPr>
      <w:tblStyleRowBandSize w:val="1"/>
      <w:tblStyleColBandSize w:val="1"/>
      <w:tblCellMar>
        <w:left w:w="115" w:type="dxa"/>
        <w:right w:w="115" w:type="dxa"/>
      </w:tblCellMar>
    </w:tblPr>
  </w:style>
  <w:style w:type="table" w:customStyle="1" w:styleId="af6">
    <w:basedOn w:val="TableNormal9"/>
    <w:tblPr>
      <w:tblStyleRowBandSize w:val="1"/>
      <w:tblStyleColBandSize w:val="1"/>
      <w:tblCellMar>
        <w:left w:w="115" w:type="dxa"/>
        <w:right w:w="115" w:type="dxa"/>
      </w:tblCellMar>
    </w:tblPr>
  </w:style>
  <w:style w:type="table" w:customStyle="1" w:styleId="af7">
    <w:basedOn w:val="TableNormal9"/>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8"/>
    <w:tblPr>
      <w:tblStyleRowBandSize w:val="1"/>
      <w:tblStyleColBandSize w:val="1"/>
      <w:tblCellMar>
        <w:left w:w="115" w:type="dxa"/>
        <w:right w:w="115" w:type="dxa"/>
      </w:tblCellMar>
    </w:tblPr>
  </w:style>
  <w:style w:type="table" w:customStyle="1" w:styleId="af9">
    <w:basedOn w:val="TableNormal8"/>
    <w:tblPr>
      <w:tblStyleRowBandSize w:val="1"/>
      <w:tblStyleColBandSize w:val="1"/>
      <w:tblCellMar>
        <w:left w:w="115" w:type="dxa"/>
        <w:right w:w="115" w:type="dxa"/>
      </w:tblCellMar>
    </w:tblPr>
  </w:style>
  <w:style w:type="table" w:customStyle="1" w:styleId="afa">
    <w:basedOn w:val="TableNormal7"/>
    <w:tblPr>
      <w:tblStyleRowBandSize w:val="1"/>
      <w:tblStyleColBandSize w:val="1"/>
      <w:tblCellMar>
        <w:left w:w="115" w:type="dxa"/>
        <w:right w:w="115" w:type="dxa"/>
      </w:tblCellMar>
    </w:tblPr>
  </w:style>
  <w:style w:type="table" w:customStyle="1" w:styleId="afb">
    <w:basedOn w:val="TableNormal7"/>
    <w:tblPr>
      <w:tblStyleRowBandSize w:val="1"/>
      <w:tblStyleColBandSize w:val="1"/>
      <w:tblCellMar>
        <w:left w:w="115" w:type="dxa"/>
        <w:right w:w="115" w:type="dxa"/>
      </w:tblCellMar>
    </w:tblPr>
  </w:style>
  <w:style w:type="table" w:customStyle="1" w:styleId="afc">
    <w:basedOn w:val="TableNormal6"/>
    <w:tblPr>
      <w:tblStyleRowBandSize w:val="1"/>
      <w:tblStyleColBandSize w:val="1"/>
      <w:tblCellMar>
        <w:left w:w="115" w:type="dxa"/>
        <w:right w:w="115" w:type="dxa"/>
      </w:tblCellMar>
    </w:tblPr>
  </w:style>
  <w:style w:type="table" w:customStyle="1" w:styleId="afd">
    <w:basedOn w:val="TableNormal6"/>
    <w:tblPr>
      <w:tblStyleRowBandSize w:val="1"/>
      <w:tblStyleColBandSize w:val="1"/>
      <w:tblCellMar>
        <w:left w:w="115" w:type="dxa"/>
        <w:right w:w="115"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3"/>
    <w:tblPr>
      <w:tblStyleRowBandSize w:val="1"/>
      <w:tblStyleColBandSize w:val="1"/>
      <w:tblCellMar>
        <w:left w:w="115" w:type="dxa"/>
        <w:right w:w="115" w:type="dxa"/>
      </w:tblCellMar>
    </w:tblPr>
  </w:style>
  <w:style w:type="table" w:customStyle="1" w:styleId="aff3">
    <w:basedOn w:val="TableNormal3"/>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02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1TGs+yFBCFVlxzt532qTLIzJg==">CgMxLjAyCWguM3JkY3JqbjIOaC5kYWozajJ4bzZxNjYyCGguZ2pkZ3hzMgloLjNkeTZ2a20yCWguMzBqMHpsbDIJaC4yczhleW8xMghoLnR5amN3dDIJaC4zem55c2g3MgloLjJldDkycDAyCWguMXQzaDVzZjIJaC4xZm9iOXRlMg5oLmhuenhzY2g1Z3lzejIOaC5vdDNxcTZ2eGEwOGYyCGgubG54Yno5OAByITFpNEN2WDIyMExYcVB3c211UXVOS2x3M1pFWXV5ZUxO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01CB75-44A1-4A61-B076-1C50F694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11568</Words>
  <Characters>63628</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2025-08-08T19:40:00Z</cp:lastPrinted>
  <dcterms:created xsi:type="dcterms:W3CDTF">2025-09-03T00:58:00Z</dcterms:created>
  <dcterms:modified xsi:type="dcterms:W3CDTF">2025-09-03T00:58:00Z</dcterms:modified>
</cp:coreProperties>
</file>