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w:t>
      </w:r>
      <w:r w:rsidDel="00000000" w:rsidR="00000000" w:rsidRPr="00000000">
        <w:rPr>
          <w:rFonts w:ascii="Palatino Linotype" w:cs="Palatino Linotype" w:eastAsia="Palatino Linotype" w:hAnsi="Palatino Linotype"/>
          <w:b w:val="1"/>
          <w:bCs w:val="1"/>
          <w:sz w:val="22"/>
          <w:szCs w:val="22"/>
          <w:rtl w:val="0"/>
        </w:rPr>
        <w:t xml:space="preserve">uno de octubre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de dos mil veinticinco.</w:t>
      </w:r>
      <w:r w:rsidDel="00000000" w:rsidR="00000000" w:rsidRPr="00000000">
        <w:rPr>
          <w:rtl w:val="0"/>
        </w:rPr>
      </w:r>
    </w:p>
    <w:p w:rsidR="00000000" w:rsidDel="00000000" w:rsidP="00000000" w:rsidRDefault="00000000" w:rsidRPr="00000000" w14:paraId="0000000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ind w:right="49"/>
        <w:jc w:val="both"/>
        <w:rPr>
          <w:rFonts w:ascii="Palatino Linotype" w:cs="Palatino Linotype" w:eastAsia="Palatino Linotype" w:hAnsi="Palatino Linotype"/>
          <w:sz w:val="22"/>
          <w:szCs w:val="22"/>
        </w:rPr>
      </w:pPr>
      <w:bookmarkStart w:colFirst="0" w:colLast="0" w:name="_heading=h.89eouw5hmc9z" w:id="0"/>
      <w:bookmarkEnd w:id="0"/>
      <w:r w:rsidDel="00000000" w:rsidR="00000000" w:rsidRPr="00000000">
        <w:rPr>
          <w:rFonts w:ascii="Palatino Linotype" w:cs="Palatino Linotype" w:eastAsia="Palatino Linotype" w:hAnsi="Palatino Linotype"/>
          <w:b w:val="1"/>
          <w:bCs w:val="1"/>
          <w:sz w:val="22"/>
          <w:szCs w:val="22"/>
          <w:rtl w:val="0"/>
        </w:rPr>
        <w:t xml:space="preserve">VISTO </w:t>
      </w:r>
      <w:r w:rsidDel="00000000" w:rsidR="00000000" w:rsidRPr="00000000">
        <w:rPr>
          <w:rFonts w:ascii="Palatino Linotype" w:cs="Palatino Linotype" w:eastAsia="Palatino Linotype" w:hAnsi="Palatino Linotype"/>
          <w:sz w:val="22"/>
          <w:szCs w:val="22"/>
          <w:rtl w:val="0"/>
        </w:rPr>
        <w:t xml:space="preserve">el expediente relativo al recurso de revisión </w:t>
      </w:r>
      <w:r w:rsidDel="00000000" w:rsidR="00000000" w:rsidRPr="00000000">
        <w:rPr>
          <w:rFonts w:ascii="Palatino Linotype" w:cs="Palatino Linotype" w:eastAsia="Palatino Linotype" w:hAnsi="Palatino Linotype"/>
          <w:b w:val="1"/>
          <w:bCs w:val="1"/>
          <w:sz w:val="22"/>
          <w:szCs w:val="22"/>
          <w:rtl w:val="0"/>
        </w:rPr>
        <w:t xml:space="preserve">08619/INFOEM/IP/RR/2025, </w:t>
      </w:r>
      <w:r w:rsidDel="00000000" w:rsidR="00000000" w:rsidRPr="00000000">
        <w:rPr>
          <w:rFonts w:ascii="Palatino Linotype" w:cs="Palatino Linotype" w:eastAsia="Palatino Linotype" w:hAnsi="Palatino Linotype"/>
          <w:sz w:val="22"/>
          <w:szCs w:val="22"/>
          <w:rtl w:val="0"/>
        </w:rPr>
        <w:t xml:space="preserve">interpuesto por </w:t>
      </w:r>
      <w:r w:rsidDel="00000000" w:rsidR="00000000" w:rsidRPr="00000000">
        <w:rPr>
          <w:rFonts w:ascii="Palatino Linotype" w:cs="Palatino Linotype" w:eastAsia="Palatino Linotype" w:hAnsi="Palatino Linotype"/>
          <w:b w:val="1"/>
          <w:bCs w:val="1"/>
          <w:sz w:val="22"/>
          <w:szCs w:val="22"/>
          <w:rtl w:val="0"/>
        </w:rPr>
        <w:t xml:space="preserve">XXXXX XXXXXXX XXXXXX,</w:t>
      </w:r>
      <w:r w:rsidDel="00000000" w:rsidR="00000000" w:rsidRPr="00000000">
        <w:rPr>
          <w:rFonts w:ascii="Palatino Linotype" w:cs="Palatino Linotype" w:eastAsia="Palatino Linotype" w:hAnsi="Palatino Linotype"/>
          <w:sz w:val="22"/>
          <w:szCs w:val="22"/>
          <w:rtl w:val="0"/>
        </w:rPr>
        <w:t xml:space="preserve"> en lo sucesivo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la solicitud de información por parte del </w:t>
      </w:r>
      <w:r w:rsidDel="00000000" w:rsidR="00000000" w:rsidRPr="00000000">
        <w:rPr>
          <w:rFonts w:ascii="Palatino Linotype" w:cs="Palatino Linotype" w:eastAsia="Palatino Linotype" w:hAnsi="Palatino Linotype"/>
          <w:b w:val="1"/>
          <w:bCs w:val="1"/>
          <w:sz w:val="22"/>
          <w:szCs w:val="22"/>
          <w:rtl w:val="0"/>
        </w:rPr>
        <w:t xml:space="preserve">Ayuntamiento de Almoloya de Juárez</w:t>
      </w:r>
      <w:r w:rsidDel="00000000" w:rsidR="00000000" w:rsidRPr="00000000">
        <w:rPr>
          <w:rFonts w:ascii="Palatino Linotype" w:cs="Palatino Linotype" w:eastAsia="Palatino Linotype" w:hAnsi="Palatino Linotype"/>
          <w:sz w:val="22"/>
          <w:szCs w:val="22"/>
          <w:rtl w:val="0"/>
        </w:rPr>
        <w:t xml:space="preserve">, en lo sucesivo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 siguiente.</w:t>
      </w:r>
    </w:p>
    <w:p w:rsidR="00000000" w:rsidDel="00000000" w:rsidP="00000000" w:rsidRDefault="00000000" w:rsidRPr="00000000" w14:paraId="00000004">
      <w:pPr>
        <w:spacing w:line="360" w:lineRule="auto"/>
        <w:ind w:right="49"/>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w:t>
        <w:tab/>
        <w:t xml:space="preserve">A N T E C E D E N T E S</w:t>
      </w:r>
    </w:p>
    <w:p w:rsidR="00000000" w:rsidDel="00000000" w:rsidP="00000000" w:rsidRDefault="00000000" w:rsidRPr="00000000" w14:paraId="0000000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1.</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Solicitud de Acceso a la Información. El veinticinco de junio de dos mil veinticinco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formuló solicitud de acceso a información pública a través del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en la que requirió lo siguiente:</w:t>
      </w:r>
    </w:p>
    <w:p w:rsidR="00000000" w:rsidDel="00000000" w:rsidP="00000000" w:rsidRDefault="00000000" w:rsidRPr="00000000" w14:paraId="0000000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426" w:right="49"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bookmarkStart w:colFirst="0" w:colLast="0" w:name="_heading=h.3znysh7" w:id="1"/>
      <w:bookmarkEnd w:id="1"/>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00326/ALMOJU/IP/2025</w:t>
      </w:r>
    </w:p>
    <w:p w:rsidR="00000000" w:rsidDel="00000000" w:rsidP="00000000" w:rsidRDefault="00000000" w:rsidRPr="00000000" w14:paraId="00000009">
      <w:pPr>
        <w:spacing w:line="276" w:lineRule="auto"/>
        <w:ind w:left="567" w:right="843"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sz w:val="22"/>
          <w:szCs w:val="22"/>
          <w:rtl w:val="0"/>
        </w:rPr>
        <w:tab/>
      </w:r>
      <w:r w:rsidDel="00000000" w:rsidR="00000000" w:rsidRPr="00000000">
        <w:rPr>
          <w:rFonts w:ascii="Palatino Linotype" w:cs="Palatino Linotype" w:eastAsia="Palatino Linotype" w:hAnsi="Palatino Linotype"/>
          <w:i w:val="1"/>
          <w:iCs w:val="1"/>
          <w:sz w:val="22"/>
          <w:szCs w:val="22"/>
          <w:rtl w:val="0"/>
        </w:rPr>
        <w:t xml:space="preserve">“Se solicita: Contratos de arrendamiento de inmuebles que ocupa el Ayuntamiento de Almoloya de Juárez, arrendamiento de vehículos utilitarios, patrullas, ambulancias y camiones recolectores de basura, arrendamiento de computadoras y fotocopiadoras, arrendamiento de lonas, carpas y mobiliario, contratación de grupos musicales y juegos mecánicos. Aplica desde el 1 de enero 2025 a la fecha de resolución donde debe especificar montos, periodo de contratación y nombre del arrendador ya sea persona fisica o moral..</w:t>
      </w:r>
      <w:r w:rsidDel="00000000" w:rsidR="00000000" w:rsidRPr="00000000">
        <w:rPr>
          <w:rFonts w:ascii="Palatino Linotype" w:cs="Palatino Linotype" w:eastAsia="Palatino Linotype" w:hAnsi="Palatino Linotype"/>
          <w:b w:val="1"/>
          <w:bCs w:val="1"/>
          <w:i w:val="1"/>
          <w:iCs w:val="1"/>
          <w:sz w:val="22"/>
          <w:szCs w:val="22"/>
          <w:rtl w:val="0"/>
        </w:rPr>
        <w:t xml:space="preserve">” (Sic.)</w:t>
      </w:r>
    </w:p>
    <w:p w:rsidR="00000000" w:rsidDel="00000000" w:rsidP="00000000" w:rsidRDefault="00000000" w:rsidRPr="00000000" w14:paraId="0000000A">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0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Modalidad elegida para la entrega de la información:</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(SAIMEX).</w:t>
      </w:r>
    </w:p>
    <w:p w:rsidR="00000000" w:rsidDel="00000000" w:rsidP="00000000" w:rsidRDefault="00000000" w:rsidRPr="00000000" w14:paraId="0000000C">
      <w:pPr>
        <w:widowControl w:val="0"/>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0D">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2. Respuesta.</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quince de julio de dos mil veinticinco</w:t>
      </w:r>
      <w:r w:rsidDel="00000000" w:rsidR="00000000" w:rsidRPr="00000000">
        <w:rPr>
          <w:rFonts w:ascii="Palatino Linotype" w:cs="Palatino Linotype" w:eastAsia="Palatino Linotype" w:hAnsi="Palatino Linotype"/>
          <w:sz w:val="22"/>
          <w:szCs w:val="22"/>
          <w:rtl w:val="0"/>
        </w:rPr>
        <w:t xml:space="preserve">, el Sujeto Obligado dio respuesta a la solicitud, en los siguientes términos:</w:t>
      </w:r>
    </w:p>
    <w:p w:rsidR="00000000" w:rsidDel="00000000" w:rsidP="00000000" w:rsidRDefault="00000000" w:rsidRPr="00000000" w14:paraId="0000000E">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F">
      <w:pPr>
        <w:widowControl w:val="0"/>
        <w:spacing w:line="276"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“Con fundamento en lo establecido en los artículos 4, 12, 59 y 164 de la Ley de Transparencia y Acceso a la Información Pública del Estado de México y Municipios, se adjunta la respuesta proporcionada por autoridad competente. Se le hace de su conocimiento que en caso de no estar conforme con la respuesta proporcionada, tiene derecho a impugnarla a través del recurso de revisión de conformidad con lo dispuesto en el artículo 177 de la Ley de Transparencia y Acceso a la Información Pública del Estado de México y Municipios, dentro del plazo de 15 días hábiles contados a partir del día siguiente de la presente notificación.</w:t>
      </w:r>
    </w:p>
    <w:p w:rsidR="00000000" w:rsidDel="00000000" w:rsidP="00000000" w:rsidRDefault="00000000" w:rsidRPr="00000000" w14:paraId="00000010">
      <w:pPr>
        <w:widowControl w:val="0"/>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ATENTAMENTE</w:t>
      </w:r>
    </w:p>
    <w:p w:rsidR="00000000" w:rsidDel="00000000" w:rsidP="00000000" w:rsidRDefault="00000000" w:rsidRPr="00000000" w14:paraId="00000011">
      <w:pPr>
        <w:widowControl w:val="0"/>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LICENCIADO Christian Alejandro Arellano Serrano” (sic)</w:t>
      </w:r>
    </w:p>
    <w:p w:rsidR="00000000" w:rsidDel="00000000" w:rsidP="00000000" w:rsidRDefault="00000000" w:rsidRPr="00000000" w14:paraId="00000012">
      <w:pPr>
        <w:widowControl w:val="0"/>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13">
      <w:pPr>
        <w:widowControl w:val="0"/>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El Sujeto Obligado adjuntó el documento electrónico denominado </w:t>
      </w:r>
      <w:r w:rsidDel="00000000" w:rsidR="00000000" w:rsidRPr="00000000">
        <w:rPr>
          <w:rFonts w:ascii="Palatino Linotype" w:cs="Palatino Linotype" w:eastAsia="Palatino Linotype" w:hAnsi="Palatino Linotype"/>
          <w:b w:val="1"/>
          <w:bCs w:val="1"/>
          <w:sz w:val="22"/>
          <w:szCs w:val="22"/>
          <w:rtl w:val="0"/>
        </w:rPr>
        <w:t xml:space="preserve">Resp. Sol. 00326-2025.pdf, </w:t>
      </w:r>
      <w:r w:rsidDel="00000000" w:rsidR="00000000" w:rsidRPr="00000000">
        <w:rPr>
          <w:rFonts w:ascii="Palatino Linotype" w:cs="Palatino Linotype" w:eastAsia="Palatino Linotype" w:hAnsi="Palatino Linotype"/>
          <w:sz w:val="22"/>
          <w:szCs w:val="22"/>
          <w:rtl w:val="0"/>
        </w:rPr>
        <w:t xml:space="preserve">cuyo contenido será analizado en el Considerando correspondiente.</w:t>
      </w:r>
      <w:r w:rsidDel="00000000" w:rsidR="00000000" w:rsidRPr="00000000">
        <w:rPr>
          <w:rtl w:val="0"/>
        </w:rPr>
      </w:r>
    </w:p>
    <w:p w:rsidR="00000000" w:rsidDel="00000000" w:rsidP="00000000" w:rsidRDefault="00000000" w:rsidRPr="00000000" w14:paraId="00000014">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3. Del Recurso de Revisión. </w:t>
      </w:r>
      <w:r w:rsidDel="00000000" w:rsidR="00000000" w:rsidRPr="00000000">
        <w:rPr>
          <w:rFonts w:ascii="Palatino Linotype" w:cs="Palatino Linotype" w:eastAsia="Palatino Linotype" w:hAnsi="Palatino Linotype"/>
          <w:sz w:val="22"/>
          <w:szCs w:val="22"/>
          <w:rtl w:val="0"/>
        </w:rPr>
        <w:t xml:space="preserve">Inconforme con la respuesta del</w:t>
      </w:r>
      <w:r w:rsidDel="00000000" w:rsidR="00000000" w:rsidRPr="00000000">
        <w:rPr>
          <w:rFonts w:ascii="Palatino Linotype" w:cs="Palatino Linotype" w:eastAsia="Palatino Linotype" w:hAnsi="Palatino Linotype"/>
          <w:b w:val="1"/>
          <w:bCs w:val="1"/>
          <w:sz w:val="22"/>
          <w:szCs w:val="22"/>
          <w:rtl w:val="0"/>
        </w:rPr>
        <w:t xml:space="preserve"> SUJETO OBLIGADO,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dieciséis de julio de dos mil veinticinco, LA PARTE RECURRENTE </w:t>
      </w:r>
      <w:r w:rsidDel="00000000" w:rsidR="00000000" w:rsidRPr="00000000">
        <w:rPr>
          <w:rFonts w:ascii="Palatino Linotype" w:cs="Palatino Linotype" w:eastAsia="Palatino Linotype" w:hAnsi="Palatino Linotype"/>
          <w:sz w:val="22"/>
          <w:szCs w:val="22"/>
          <w:rtl w:val="0"/>
        </w:rPr>
        <w:t xml:space="preserve">interpuso el recurso de revisión, mediante el cual y manifestó lo siguiente: </w:t>
      </w:r>
    </w:p>
    <w:p w:rsidR="00000000" w:rsidDel="00000000" w:rsidP="00000000" w:rsidRDefault="00000000" w:rsidRPr="00000000" w14:paraId="0000001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560" w:hanging="36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Acto Impugnado:</w:t>
      </w: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 “De acuerdo con la solicitud con folio 00326/ALMOJU/IP/2025, No se entrega información solicitada de contratos de arrendamiento, con la excusa de no contar actualmente con servidor público en el puesto de "Coordinador de Adquisiciones", lo cual no es motivo para ocultar o no hacer pública, la información de contratos previamente elaborados y signados. La mencionada solicitud a la letra dice: "Se solicita: Contratos de arrendamiento de inmuebles que ocupa el Ayuntamiento de Almoloya de Juárez, arrendamiento de vehículos utilitarios, patrullas, ambulancias y camiones recolectores de basura, arrendamiento de computadoras y fotocopiadoras, arrendamiento de lonas, carpas y mobiliario, contratación de grupos musicales y juegos mecánicos. Aplica desde el 1 de enero 2025 a la fecha de resolución donde debe especificar montos, periodo de contratación y nombre del arrendador ya sea persona fisica o moral." Por lo cual me encuentro en mi derecho de impugnar la respuesta y resolución por parte del Ay8untamiento de Almoloya de Juárez Estado de México,” (Sic.)</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560" w:firstLine="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560" w:hanging="36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Motivo de inconformidad:</w:t>
      </w: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 “De acuerdo con la Ley de Transparencia y Acceso a la Información Pública del Estado de México y Municipios, me permito solicitar ante este INSTITUTO DE TRANSPARENCIA, ACCESO A LA INFORMACIÓN PÚBLICA Y PROTECCIÓN DE DATOS PERSONALES DEL ESTADO DE MÉXICO Y MUNICIPIOS, el recurso de revisión, ya que de acuerdo a la Dirección de Administración del Municipio de Almoloya de Juárez, el puesto de "Coordinador de adquisiciones" se encuentra vacante, sin embargo, el hecho de no contar con un coordinador de adquisiciones no exime a los servidores públicos de contar con los contratos solicitados y mostrar la información pública a favor de la transparencia. Se solicita la intervención del INFOEM, ya que a mi parecer se está ocultando la información solicitada favoreciendo la opacidad de los procesos de arrendamiento, ya que independientemente de que el puesto de "Coordinador de adquisiciones" se encuentre vacante, se debe contar oportunamente con los contratos referidos, correctamente elaborados en tiempo y forma. Agradeciendo la intervención de este Instituto, quedo de ustedes.” (Sic.)</w:t>
      </w:r>
    </w:p>
    <w:p w:rsidR="00000000" w:rsidDel="00000000" w:rsidP="00000000" w:rsidRDefault="00000000" w:rsidRPr="00000000" w14:paraId="0000001A">
      <w:pPr>
        <w:spacing w:line="360" w:lineRule="auto"/>
        <w:ind w:left="142" w:right="560"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1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bCs w:val="1"/>
          <w:sz w:val="22"/>
          <w:szCs w:val="22"/>
          <w:rtl w:val="0"/>
        </w:rPr>
        <w:t xml:space="preserve">08619/INFOEM/IP/RR/2025</w:t>
      </w:r>
      <w:r w:rsidDel="00000000" w:rsidR="00000000" w:rsidRPr="00000000">
        <w:rPr>
          <w:rFonts w:ascii="Palatino Linotype" w:cs="Palatino Linotype" w:eastAsia="Palatino Linotype" w:hAnsi="Palatino Linotype"/>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bCs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para su análisis, estudio, elaboración del proyecto y presentación ante el Pleno de este Instituto.</w:t>
      </w:r>
    </w:p>
    <w:p w:rsidR="00000000" w:rsidDel="00000000" w:rsidP="00000000" w:rsidRDefault="00000000" w:rsidRPr="00000000" w14:paraId="0000001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D">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5. Admisión.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cuatro de agosto de dos mil veinticinco</w:t>
      </w:r>
      <w:r w:rsidDel="00000000" w:rsidR="00000000" w:rsidRPr="00000000">
        <w:rPr>
          <w:rFonts w:ascii="Palatino Linotype" w:cs="Palatino Linotype" w:eastAsia="Palatino Linotype" w:hAnsi="Palatino Linotype"/>
          <w:sz w:val="22"/>
          <w:szCs w:val="22"/>
          <w:rtl w:val="0"/>
        </w:rPr>
        <w:t xml:space="preserve">, en términos de lo dispuesto en el artículo 185 fracciones I, II y IV de la Ley de Transparencia y Acceso a la Información Pública del Estado de México y Municipios, se admitió a trámite el recurso de revisión</w:t>
      </w:r>
      <w:r w:rsidDel="00000000" w:rsidR="00000000" w:rsidRPr="00000000">
        <w:rPr>
          <w:rFonts w:ascii="Palatino Linotype" w:cs="Palatino Linotype" w:eastAsia="Palatino Linotype" w:hAnsi="Palatino Linotype"/>
          <w:b w:val="1"/>
          <w:bCs w:val="1"/>
          <w:sz w:val="22"/>
          <w:szCs w:val="22"/>
          <w:rtl w:val="0"/>
        </w:rPr>
        <w:t xml:space="preserve">.</w:t>
      </w:r>
    </w:p>
    <w:p w:rsidR="00000000" w:rsidDel="00000000" w:rsidP="00000000" w:rsidRDefault="00000000" w:rsidRPr="00000000" w14:paraId="0000001E">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1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6. Manifestaciones.</w:t>
      </w:r>
      <w:r w:rsidDel="00000000" w:rsidR="00000000" w:rsidRPr="00000000">
        <w:rPr>
          <w:rFonts w:ascii="Palatino Linotype" w:cs="Palatino Linotype" w:eastAsia="Palatino Linotype" w:hAnsi="Palatino Linotype"/>
          <w:sz w:val="22"/>
          <w:szCs w:val="22"/>
          <w:rtl w:val="0"/>
        </w:rPr>
        <w:t xml:space="preserve"> De las constancias que obran en el expediente electrónico del SAIMEX, se advierte que tanto el Sujeto Obligado como el Recurrente fueron omisos en realizar manifestaciones; se inserta imagen de referencia:</w:t>
      </w:r>
    </w:p>
    <w:p w:rsidR="00000000" w:rsidDel="00000000" w:rsidP="00000000" w:rsidRDefault="00000000" w:rsidRPr="00000000" w14:paraId="0000002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756275" cy="1701800"/>
            <wp:effectExtent b="0" l="0" r="0" t="0"/>
            <wp:docPr id="4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56275"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7. Cierre de instrucción</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bCs w:val="1"/>
          <w:sz w:val="22"/>
          <w:szCs w:val="22"/>
          <w:rtl w:val="0"/>
        </w:rPr>
        <w:t xml:space="preserve">diecisiete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de septiembre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8. Ampliación de plazo. El diecisiete de septiembre de dos mil veinticinco</w:t>
      </w:r>
      <w:r w:rsidDel="00000000" w:rsidR="00000000" w:rsidRPr="00000000">
        <w:rPr>
          <w:rFonts w:ascii="Palatino Linotype" w:cs="Palatino Linotype" w:eastAsia="Palatino Linotype" w:hAnsi="Palatino Linotype"/>
          <w:sz w:val="22"/>
          <w:szCs w:val="22"/>
          <w:rtl w:val="0"/>
        </w:rPr>
        <w:t xml:space="preserve">, se amplió el término para resolver el recurso de revisión en términos del artículo 181 párrafo tercero de la Ley de Transparencia y Acceso a la Información Pública del Estado de México y Municipios. </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8">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Debido a que fueron debidamente sustanciados los expedientes electrónicos y no existe diligencia pendiente de desahogo, se emite la Resolución que conforme a Derecho proceda, de acuerdo con los siguientes: </w:t>
      </w:r>
    </w:p>
    <w:p w:rsidR="00000000" w:rsidDel="00000000" w:rsidP="00000000" w:rsidRDefault="00000000" w:rsidRPr="00000000" w14:paraId="00000029">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A">
      <w:pPr>
        <w:spacing w:line="360" w:lineRule="auto"/>
        <w:ind w:right="49"/>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II.</w:t>
        <w:tab/>
        <w:t xml:space="preserve">C O N S I D E R A N D O:</w:t>
      </w:r>
    </w:p>
    <w:p w:rsidR="00000000" w:rsidDel="00000000" w:rsidP="00000000" w:rsidRDefault="00000000" w:rsidRPr="00000000" w14:paraId="0000002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Segundo. Oportunidad y Procedibilidad del Recurso de Revisión. </w:t>
      </w:r>
      <w:r w:rsidDel="00000000" w:rsidR="00000000" w:rsidRPr="00000000">
        <w:rPr>
          <w:rFonts w:ascii="Palatino Linotype" w:cs="Palatino Linotype" w:eastAsia="Palatino Linotype" w:hAnsi="Palatino Linotype"/>
          <w:sz w:val="22"/>
          <w:szCs w:val="22"/>
          <w:rtl w:val="0"/>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la Ley de Transparencia y Acceso a la Información Pública del Estado de México y Municipios, establece lo siguiente:</w:t>
      </w:r>
    </w:p>
    <w:p w:rsidR="00000000" w:rsidDel="00000000" w:rsidP="00000000" w:rsidRDefault="00000000" w:rsidRPr="00000000" w14:paraId="0000002F">
      <w:pPr>
        <w:spacing w:line="36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178. </w:t>
      </w:r>
      <w:r w:rsidDel="00000000" w:rsidR="00000000" w:rsidRPr="00000000">
        <w:rPr>
          <w:rFonts w:ascii="Palatino Linotype" w:cs="Palatino Linotype" w:eastAsia="Palatino Linotype" w:hAnsi="Palatino Linotype"/>
          <w:i w:val="1"/>
          <w:iCs w:val="1"/>
          <w:sz w:val="22"/>
          <w:szCs w:val="22"/>
          <w:rtl w:val="0"/>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00000" w:rsidDel="00000000" w:rsidP="00000000" w:rsidRDefault="00000000" w:rsidRPr="00000000" w14:paraId="00000030">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remitió la respuesta a la solicitud de información el día </w:t>
      </w:r>
      <w:r w:rsidDel="00000000" w:rsidR="00000000" w:rsidRPr="00000000">
        <w:rPr>
          <w:rFonts w:ascii="Palatino Linotype" w:cs="Palatino Linotype" w:eastAsia="Palatino Linotype" w:hAnsi="Palatino Linotype"/>
          <w:b w:val="1"/>
          <w:bCs w:val="1"/>
          <w:sz w:val="22"/>
          <w:szCs w:val="22"/>
          <w:rtl w:val="0"/>
        </w:rPr>
        <w:t xml:space="preserve">quince de julio de dos mil veinticinco,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tuvo por presentado el </w:t>
      </w:r>
      <w:r w:rsidDel="00000000" w:rsidR="00000000" w:rsidRPr="00000000">
        <w:rPr>
          <w:rFonts w:ascii="Palatino Linotype" w:cs="Palatino Linotype" w:eastAsia="Palatino Linotype" w:hAnsi="Palatino Linotype"/>
          <w:b w:val="1"/>
          <w:bCs w:val="1"/>
          <w:sz w:val="22"/>
          <w:szCs w:val="22"/>
          <w:rtl w:val="0"/>
        </w:rPr>
        <w:t xml:space="preserve">dieciséis de julio del año dos mil veinticinco</w:t>
      </w:r>
      <w:r w:rsidDel="00000000" w:rsidR="00000000" w:rsidRPr="00000000">
        <w:rPr>
          <w:rFonts w:ascii="Palatino Linotype" w:cs="Palatino Linotype" w:eastAsia="Palatino Linotype" w:hAnsi="Palatino Linotype"/>
          <w:sz w:val="22"/>
          <w:szCs w:val="22"/>
          <w:rtl w:val="0"/>
        </w:rPr>
        <w:t xml:space="preserve">; esto es, al </w:t>
      </w:r>
      <w:r w:rsidDel="00000000" w:rsidR="00000000" w:rsidRPr="00000000">
        <w:rPr>
          <w:rFonts w:ascii="Palatino Linotype" w:cs="Palatino Linotype" w:eastAsia="Palatino Linotype" w:hAnsi="Palatino Linotype"/>
          <w:b w:val="1"/>
          <w:bCs w:val="1"/>
          <w:sz w:val="22"/>
          <w:szCs w:val="22"/>
          <w:rtl w:val="0"/>
        </w:rPr>
        <w:t xml:space="preserve">primer</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día hábil </w:t>
      </w:r>
      <w:r w:rsidDel="00000000" w:rsidR="00000000" w:rsidRPr="00000000">
        <w:rPr>
          <w:rFonts w:ascii="Palatino Linotype" w:cs="Palatino Linotype" w:eastAsia="Palatino Linotype" w:hAnsi="Palatino Linotype"/>
          <w:sz w:val="22"/>
          <w:szCs w:val="22"/>
          <w:rtl w:val="0"/>
        </w:rPr>
        <w:t xml:space="preserve">siguiente al que se tuvo conocimiento de la respuesta respectivamente.</w:t>
      </w:r>
    </w:p>
    <w:p w:rsidR="00000000" w:rsidDel="00000000" w:rsidP="00000000" w:rsidRDefault="00000000" w:rsidRPr="00000000" w14:paraId="00000031">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3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I de la ley de la materia, que a la letra dice:</w:t>
      </w:r>
    </w:p>
    <w:p w:rsidR="00000000" w:rsidDel="00000000" w:rsidP="00000000" w:rsidRDefault="00000000" w:rsidRPr="00000000" w14:paraId="00000033">
      <w:pPr>
        <w:spacing w:line="360" w:lineRule="auto"/>
        <w:ind w:left="851" w:right="104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179. </w:t>
      </w:r>
      <w:r w:rsidDel="00000000" w:rsidR="00000000" w:rsidRPr="00000000">
        <w:rPr>
          <w:rFonts w:ascii="Palatino Linotype" w:cs="Palatino Linotype" w:eastAsia="Palatino Linotype" w:hAnsi="Palatino Linotype"/>
          <w:i w:val="1"/>
          <w:iCs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4">
      <w:pPr>
        <w:spacing w:line="360" w:lineRule="auto"/>
        <w:ind w:left="851" w:right="104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La negativa a la información solicitada;</w:t>
      </w:r>
    </w:p>
    <w:p w:rsidR="00000000" w:rsidDel="00000000" w:rsidP="00000000" w:rsidRDefault="00000000" w:rsidRPr="00000000" w14:paraId="00000035">
      <w:pPr>
        <w:spacing w:line="360" w:lineRule="auto"/>
        <w:ind w:left="851" w:right="1041"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3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bCs w:val="1"/>
          <w:sz w:val="22"/>
          <w:szCs w:val="22"/>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sz w:val="22"/>
          <w:szCs w:val="22"/>
          <w:rtl w:val="0"/>
        </w:rPr>
        <w:t xml:space="preserve">de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en caso de ser procedente, ordenar la entrega de información.</w:t>
      </w:r>
    </w:p>
    <w:p w:rsidR="00000000" w:rsidDel="00000000" w:rsidP="00000000" w:rsidRDefault="00000000" w:rsidRPr="00000000" w14:paraId="0000003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En principio, es conveniente analizar si la respuesta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3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9">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4</w:t>
      </w:r>
      <w:r w:rsidDel="00000000" w:rsidR="00000000" w:rsidRPr="00000000">
        <w:rPr>
          <w:rFonts w:ascii="Palatino Linotype" w:cs="Palatino Linotype" w:eastAsia="Palatino Linotype" w:hAnsi="Palatino Linotype"/>
          <w:i w:val="1"/>
          <w:iCs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3A">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iCs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3B">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3C">
      <w:pPr>
        <w:spacing w:line="276"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3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F">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12.-</w:t>
      </w:r>
      <w:r w:rsidDel="00000000" w:rsidR="00000000" w:rsidRPr="00000000">
        <w:rPr>
          <w:rFonts w:ascii="Palatino Linotype" w:cs="Palatino Linotype" w:eastAsia="Palatino Linotype" w:hAnsi="Palatino Linotype"/>
          <w:i w:val="1"/>
          <w:iCs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40">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41">
      <w:pPr>
        <w:spacing w:line="276"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w:t>
      </w:r>
      <w:r w:rsidDel="00000000" w:rsidR="00000000" w:rsidRPr="00000000">
        <w:rPr>
          <w:rtl w:val="0"/>
        </w:rPr>
      </w:r>
    </w:p>
    <w:p w:rsidR="00000000" w:rsidDel="00000000" w:rsidP="00000000" w:rsidRDefault="00000000" w:rsidRPr="00000000" w14:paraId="00000042">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3">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44">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5">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orientador 03-17, expuesto por el entonces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tl w:val="0"/>
        </w:rPr>
      </w:r>
    </w:p>
    <w:p w:rsidR="00000000" w:rsidDel="00000000" w:rsidP="00000000" w:rsidRDefault="00000000" w:rsidRPr="00000000" w14:paraId="00000046">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47">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iCs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48">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4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4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4E">
      <w:pPr>
        <w:spacing w:line="360"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4F">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3. </w:t>
      </w:r>
      <w:r w:rsidDel="00000000" w:rsidR="00000000" w:rsidRPr="00000000">
        <w:rPr>
          <w:rFonts w:ascii="Palatino Linotype" w:cs="Palatino Linotype" w:eastAsia="Palatino Linotype" w:hAnsi="Palatino Linotype"/>
          <w:i w:val="1"/>
          <w:iCs w:val="1"/>
          <w:sz w:val="22"/>
          <w:szCs w:val="22"/>
          <w:rtl w:val="0"/>
        </w:rPr>
        <w:t xml:space="preserve">Para los efectos de la presente Ley se entenderá por:</w:t>
      </w:r>
    </w:p>
    <w:p w:rsidR="00000000" w:rsidDel="00000000" w:rsidP="00000000" w:rsidRDefault="00000000" w:rsidRPr="00000000" w14:paraId="00000050">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51">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 Documento:</w:t>
      </w:r>
      <w:r w:rsidDel="00000000" w:rsidR="00000000" w:rsidRPr="00000000">
        <w:rPr>
          <w:rFonts w:ascii="Palatino Linotype" w:cs="Palatino Linotype" w:eastAsia="Palatino Linotype" w:hAnsi="Palatino Linotype"/>
          <w:i w:val="1"/>
          <w:iCs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52">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5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5">
      <w:pPr>
        <w:ind w:left="567"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iCs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56">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57">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58">
      <w:pPr>
        <w:ind w:left="567"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59">
      <w:pPr>
        <w:ind w:left="567"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5A">
      <w:pPr>
        <w:tabs>
          <w:tab w:val="left" w:leader="none" w:pos="8647"/>
        </w:tabs>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5B">
      <w:pPr>
        <w:spacing w:after="240"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Del análisis de la solicitud de información motivo del recurso de revisión que ahora se resuelve, se advierte que el particular requirió al </w:t>
      </w:r>
      <w:r w:rsidDel="00000000" w:rsidR="00000000" w:rsidRPr="00000000">
        <w:rPr>
          <w:rFonts w:ascii="Palatino Linotype" w:cs="Palatino Linotype" w:eastAsia="Palatino Linotype" w:hAnsi="Palatino Linotype"/>
          <w:b w:val="1"/>
          <w:bCs w:val="1"/>
          <w:sz w:val="22"/>
          <w:szCs w:val="22"/>
          <w:rtl w:val="0"/>
        </w:rPr>
        <w:t xml:space="preserve">Ayuntamiento de Almoloya de Juárez, la siguiente información:</w:t>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Del uno de enero al veinticinco de junio de dos mil veinticinco, los contratos de los arrendamientos de los siguientes bienes y servicios:</w:t>
      </w:r>
    </w:p>
    <w:p w:rsidR="00000000" w:rsidDel="00000000" w:rsidP="00000000" w:rsidRDefault="00000000" w:rsidRPr="00000000" w14:paraId="000000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Bienes inmuebles que ocupa el Ayuntamiento de Almoloya de Juárez </w:t>
      </w:r>
    </w:p>
    <w:p w:rsidR="00000000" w:rsidDel="00000000" w:rsidP="00000000" w:rsidRDefault="00000000" w:rsidRPr="00000000" w14:paraId="000000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Vehículos utilitarios, patrullas, ambulancias y camiones recolectores de basura, </w:t>
      </w:r>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Equipo de cómputo y fotocopiadoras</w:t>
      </w:r>
    </w:p>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Lonas, carpas y mobiliario, </w:t>
      </w:r>
    </w:p>
    <w:p w:rsidR="00000000" w:rsidDel="00000000" w:rsidP="00000000" w:rsidRDefault="00000000" w:rsidRPr="00000000" w14:paraId="000000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Juegos mecánicos;</w:t>
      </w:r>
    </w:p>
    <w:p w:rsidR="00000000" w:rsidDel="00000000" w:rsidP="00000000" w:rsidRDefault="00000000" w:rsidRPr="00000000" w14:paraId="000000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Contratación de grupos musicales</w:t>
      </w:r>
    </w:p>
    <w:p w:rsidR="00000000" w:rsidDel="00000000" w:rsidP="00000000" w:rsidRDefault="00000000" w:rsidRPr="00000000" w14:paraId="00000063">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Sujeto Obligado, a través de la Dirección de Administración refirió que el puesto de Coordinador de Adquisiciones se  encuentra vacante, por lo que no es posible atender su solicitud en este momento. Lo anterior fue motivo de agravio por el particular. </w:t>
      </w:r>
    </w:p>
    <w:p w:rsidR="00000000" w:rsidDel="00000000" w:rsidP="00000000" w:rsidRDefault="00000000" w:rsidRPr="00000000" w14:paraId="00000064">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5">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la naturaleza de la información solicitada, es necesario traer a contexto lo dispuesto en la Ley de Contratación Pública del Estado de México y Municipios, la cual tiene por objeto regular los actos relativos a la </w:t>
      </w:r>
      <w:r w:rsidDel="00000000" w:rsidR="00000000" w:rsidRPr="00000000">
        <w:rPr>
          <w:rFonts w:ascii="Palatino Linotype" w:cs="Palatino Linotype" w:eastAsia="Palatino Linotype" w:hAnsi="Palatino Linotype"/>
          <w:b w:val="1"/>
          <w:bCs w:val="1"/>
          <w:sz w:val="22"/>
          <w:szCs w:val="22"/>
          <w:u w:val="single"/>
          <w:rtl w:val="0"/>
        </w:rPr>
        <w:t xml:space="preserve">planeación, programación, presupuestación</w:t>
      </w:r>
      <w:r w:rsidDel="00000000" w:rsidR="00000000" w:rsidRPr="00000000">
        <w:rPr>
          <w:rFonts w:ascii="Palatino Linotype" w:cs="Palatino Linotype" w:eastAsia="Palatino Linotype" w:hAnsi="Palatino Linotype"/>
          <w:sz w:val="22"/>
          <w:szCs w:val="22"/>
          <w:rtl w:val="0"/>
        </w:rPr>
        <w:t xml:space="preserve">, ejecución y control de la adquisición, enajenación y </w:t>
      </w:r>
      <w:r w:rsidDel="00000000" w:rsidR="00000000" w:rsidRPr="00000000">
        <w:rPr>
          <w:rFonts w:ascii="Palatino Linotype" w:cs="Palatino Linotype" w:eastAsia="Palatino Linotype" w:hAnsi="Palatino Linotype"/>
          <w:b w:val="1"/>
          <w:bCs w:val="1"/>
          <w:sz w:val="22"/>
          <w:szCs w:val="22"/>
          <w:rtl w:val="0"/>
        </w:rPr>
        <w:t xml:space="preserve">arrendamiento de bienes</w:t>
      </w:r>
      <w:r w:rsidDel="00000000" w:rsidR="00000000" w:rsidRPr="00000000">
        <w:rPr>
          <w:rFonts w:ascii="Palatino Linotype" w:cs="Palatino Linotype" w:eastAsia="Palatino Linotype" w:hAnsi="Palatino Linotype"/>
          <w:sz w:val="22"/>
          <w:szCs w:val="22"/>
          <w:rtl w:val="0"/>
        </w:rPr>
        <w:t xml:space="preserve">, y la </w:t>
      </w:r>
      <w:r w:rsidDel="00000000" w:rsidR="00000000" w:rsidRPr="00000000">
        <w:rPr>
          <w:rFonts w:ascii="Palatino Linotype" w:cs="Palatino Linotype" w:eastAsia="Palatino Linotype" w:hAnsi="Palatino Linotype"/>
          <w:b w:val="1"/>
          <w:bCs w:val="1"/>
          <w:sz w:val="22"/>
          <w:szCs w:val="22"/>
          <w:u w:val="single"/>
          <w:rtl w:val="0"/>
        </w:rPr>
        <w:t xml:space="preserve">contratación de servicios de cualquier naturaleza, que realicen los Ayuntamientos del Estado</w:t>
      </w:r>
      <w:r w:rsidDel="00000000" w:rsidR="00000000" w:rsidRPr="00000000">
        <w:rPr>
          <w:rFonts w:ascii="Palatino Linotype" w:cs="Palatino Linotype" w:eastAsia="Palatino Linotype" w:hAnsi="Palatino Linotype"/>
          <w:sz w:val="22"/>
          <w:szCs w:val="22"/>
          <w:rtl w:val="0"/>
        </w:rPr>
        <w:t xml:space="preserve">; entre ellos el Sujeto Obligado, los cuales se adjudicarán a través de licitación pública, invitación restringida o adjudicación directa, mediante convocatoria pública, tal y como lo establecen los artículos 4, 26 y 27 de dicha Ley, los cuales son del tenor siguiente:</w:t>
      </w:r>
    </w:p>
    <w:p w:rsidR="00000000" w:rsidDel="00000000" w:rsidP="00000000" w:rsidRDefault="00000000" w:rsidRPr="00000000" w14:paraId="00000066">
      <w:pPr>
        <w:spacing w:after="120" w:before="120" w:lineRule="auto"/>
        <w:ind w:left="567"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4.-</w:t>
      </w:r>
      <w:r w:rsidDel="00000000" w:rsidR="00000000" w:rsidRPr="00000000">
        <w:rPr>
          <w:rFonts w:ascii="Palatino Linotype" w:cs="Palatino Linotype" w:eastAsia="Palatino Linotype" w:hAnsi="Palatino Linotype"/>
          <w:i w:val="1"/>
          <w:iCs w:val="1"/>
          <w:sz w:val="22"/>
          <w:szCs w:val="22"/>
          <w:rtl w:val="0"/>
        </w:rPr>
        <w:t xml:space="preserve"> Para los efectos de esta Ley, </w:t>
      </w:r>
      <w:r w:rsidDel="00000000" w:rsidR="00000000" w:rsidRPr="00000000">
        <w:rPr>
          <w:rFonts w:ascii="Palatino Linotype" w:cs="Palatino Linotype" w:eastAsia="Palatino Linotype" w:hAnsi="Palatino Linotype"/>
          <w:b w:val="1"/>
          <w:bCs w:val="1"/>
          <w:i w:val="1"/>
          <w:iCs w:val="1"/>
          <w:sz w:val="22"/>
          <w:szCs w:val="22"/>
          <w:rtl w:val="0"/>
        </w:rPr>
        <w:t xml:space="preserve">en las adquisiciones, enajenaciones, arrendamientos y servicios, quedan comprendidos</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67">
      <w:pPr>
        <w:spacing w:after="120" w:before="120" w:lineRule="auto"/>
        <w:ind w:left="567"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La adquisición de bienes muebles.</w:t>
      </w:r>
    </w:p>
    <w:p w:rsidR="00000000" w:rsidDel="00000000" w:rsidP="00000000" w:rsidRDefault="00000000" w:rsidRPr="00000000" w14:paraId="00000068">
      <w:pPr>
        <w:spacing w:after="120" w:before="120" w:lineRule="auto"/>
        <w:ind w:left="567"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La adquisición de bienes inmuebles, a través de compraventa.</w:t>
      </w:r>
    </w:p>
    <w:p w:rsidR="00000000" w:rsidDel="00000000" w:rsidP="00000000" w:rsidRDefault="00000000" w:rsidRPr="00000000" w14:paraId="00000069">
      <w:pPr>
        <w:spacing w:after="120" w:before="120" w:lineRule="auto"/>
        <w:ind w:left="567"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La enajenación de bienes muebles e inmuebles.</w:t>
      </w:r>
    </w:p>
    <w:p w:rsidR="00000000" w:rsidDel="00000000" w:rsidP="00000000" w:rsidRDefault="00000000" w:rsidRPr="00000000" w14:paraId="0000006A">
      <w:pPr>
        <w:spacing w:after="120" w:before="120" w:lineRule="auto"/>
        <w:ind w:left="567"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w:t>
      </w:r>
      <w:r w:rsidDel="00000000" w:rsidR="00000000" w:rsidRPr="00000000">
        <w:rPr>
          <w:rFonts w:ascii="Palatino Linotype" w:cs="Palatino Linotype" w:eastAsia="Palatino Linotype" w:hAnsi="Palatino Linotype"/>
          <w:i w:val="1"/>
          <w:iCs w:val="1"/>
          <w:sz w:val="22"/>
          <w:szCs w:val="22"/>
          <w:rtl w:val="0"/>
        </w:rPr>
        <w:t xml:space="preserve"> El arrendamiento de bienes muebles e inmuebles. </w:t>
      </w:r>
    </w:p>
    <w:p w:rsidR="00000000" w:rsidDel="00000000" w:rsidP="00000000" w:rsidRDefault="00000000" w:rsidRPr="00000000" w14:paraId="0000006B">
      <w:pPr>
        <w:spacing w:after="120" w:before="120" w:lineRule="auto"/>
        <w:ind w:left="567"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w:t>
      </w:r>
      <w:r w:rsidDel="00000000" w:rsidR="00000000" w:rsidRPr="00000000">
        <w:rPr>
          <w:rFonts w:ascii="Palatino Linotype" w:cs="Palatino Linotype" w:eastAsia="Palatino Linotype" w:hAnsi="Palatino Linotype"/>
          <w:i w:val="1"/>
          <w:iCs w:val="1"/>
          <w:sz w:val="22"/>
          <w:szCs w:val="22"/>
          <w:rtl w:val="0"/>
        </w:rPr>
        <w:t xml:space="preserve">. La contratación de los servicios, relacionados con bienes muebles que se encuentran incorporados o adheridos a bienes inmuebles, cuya instalación o mantenimiento no implique modificación al bien inmueble.</w:t>
      </w:r>
    </w:p>
    <w:p w:rsidR="00000000" w:rsidDel="00000000" w:rsidP="00000000" w:rsidRDefault="00000000" w:rsidRPr="00000000" w14:paraId="0000006C">
      <w:pPr>
        <w:spacing w:after="120" w:before="120" w:lineRule="auto"/>
        <w:ind w:left="567"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w:t>
      </w:r>
      <w:r w:rsidDel="00000000" w:rsidR="00000000" w:rsidRPr="00000000">
        <w:rPr>
          <w:rFonts w:ascii="Palatino Linotype" w:cs="Palatino Linotype" w:eastAsia="Palatino Linotype" w:hAnsi="Palatino Linotype"/>
          <w:i w:val="1"/>
          <w:iCs w:val="1"/>
          <w:sz w:val="22"/>
          <w:szCs w:val="22"/>
          <w:rtl w:val="0"/>
        </w:rPr>
        <w:t xml:space="preserve"> La contratación de los servicios de reconstrucción y mantenimiento de bienes muebles. </w:t>
      </w:r>
    </w:p>
    <w:p w:rsidR="00000000" w:rsidDel="00000000" w:rsidP="00000000" w:rsidRDefault="00000000" w:rsidRPr="00000000" w14:paraId="0000006D">
      <w:pPr>
        <w:spacing w:after="120" w:before="120" w:lineRule="auto"/>
        <w:ind w:left="567"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w:t>
      </w:r>
      <w:r w:rsidDel="00000000" w:rsidR="00000000" w:rsidRPr="00000000">
        <w:rPr>
          <w:rFonts w:ascii="Palatino Linotype" w:cs="Palatino Linotype" w:eastAsia="Palatino Linotype" w:hAnsi="Palatino Linotype"/>
          <w:i w:val="1"/>
          <w:iCs w:val="1"/>
          <w:sz w:val="22"/>
          <w:szCs w:val="22"/>
          <w:rtl w:val="0"/>
        </w:rPr>
        <w:t xml:space="preserve"> La contratación de los servicios de maquila, seguros y transportación, así como de los de limpieza y vigilancia de bienes inmuebles. </w:t>
      </w:r>
    </w:p>
    <w:p w:rsidR="00000000" w:rsidDel="00000000" w:rsidP="00000000" w:rsidRDefault="00000000" w:rsidRPr="00000000" w14:paraId="0000006E">
      <w:pPr>
        <w:spacing w:after="120" w:before="120" w:lineRule="auto"/>
        <w:ind w:left="567"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VIII.</w:t>
      </w:r>
      <w:r w:rsidDel="00000000" w:rsidR="00000000" w:rsidRPr="00000000">
        <w:rPr>
          <w:rFonts w:ascii="Palatino Linotype" w:cs="Palatino Linotype" w:eastAsia="Palatino Linotype" w:hAnsi="Palatino Linotype"/>
          <w:i w:val="1"/>
          <w:iCs w:val="1"/>
          <w:sz w:val="22"/>
          <w:szCs w:val="22"/>
          <w:rtl w:val="0"/>
        </w:rPr>
        <w:t xml:space="preserve"> La prestación de servicios profesionales, la contratación de consultorías, asesorías y estudios e investigaciones, excepto la contratación de servicios personales de personas físicas bajo el régimen de honorarios. </w:t>
      </w:r>
    </w:p>
    <w:p w:rsidR="00000000" w:rsidDel="00000000" w:rsidP="00000000" w:rsidRDefault="00000000" w:rsidRPr="00000000" w14:paraId="0000006F">
      <w:pPr>
        <w:spacing w:after="120" w:before="120" w:lineRule="auto"/>
        <w:ind w:left="567"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general, otros actos que impliquen la contratación de servicios de cualquier naturaleza</w:t>
      </w:r>
    </w:p>
    <w:p w:rsidR="00000000" w:rsidDel="00000000" w:rsidP="00000000" w:rsidRDefault="00000000" w:rsidRPr="00000000" w14:paraId="00000070">
      <w:pPr>
        <w:spacing w:after="120" w:before="120" w:lineRule="auto"/>
        <w:ind w:left="567"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26.-</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Las adquisiciones, arrendamientos y servicios se adjudicarán a través de licitaciones públicas</w:t>
      </w:r>
      <w:r w:rsidDel="00000000" w:rsidR="00000000" w:rsidRPr="00000000">
        <w:rPr>
          <w:rFonts w:ascii="Palatino Linotype" w:cs="Palatino Linotype" w:eastAsia="Palatino Linotype" w:hAnsi="Palatino Linotype"/>
          <w:i w:val="1"/>
          <w:iCs w:val="1"/>
          <w:sz w:val="22"/>
          <w:szCs w:val="22"/>
          <w:rtl w:val="0"/>
        </w:rPr>
        <w:t xml:space="preserve">, mediante convocatoria pública. </w:t>
      </w:r>
    </w:p>
    <w:p w:rsidR="00000000" w:rsidDel="00000000" w:rsidP="00000000" w:rsidRDefault="00000000" w:rsidRPr="00000000" w14:paraId="00000071">
      <w:pPr>
        <w:spacing w:after="120" w:before="120" w:lineRule="auto"/>
        <w:ind w:left="567"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27.</w:t>
      </w:r>
      <w:r w:rsidDel="00000000" w:rsidR="00000000" w:rsidRPr="00000000">
        <w:rPr>
          <w:rFonts w:ascii="Palatino Linotype" w:cs="Palatino Linotype" w:eastAsia="Palatino Linotype" w:hAnsi="Palatino Linotype"/>
          <w:i w:val="1"/>
          <w:iCs w:val="1"/>
          <w:sz w:val="22"/>
          <w:szCs w:val="22"/>
          <w:rtl w:val="0"/>
        </w:rPr>
        <w:t xml:space="preserve">- La Secretaría, las entidades, los tribunales administrativos y los ayuntamientos podrán </w:t>
      </w:r>
      <w:r w:rsidDel="00000000" w:rsidR="00000000" w:rsidRPr="00000000">
        <w:rPr>
          <w:rFonts w:ascii="Palatino Linotype" w:cs="Palatino Linotype" w:eastAsia="Palatino Linotype" w:hAnsi="Palatino Linotype"/>
          <w:b w:val="1"/>
          <w:bCs w:val="1"/>
          <w:i w:val="1"/>
          <w:iCs w:val="1"/>
          <w:sz w:val="22"/>
          <w:szCs w:val="22"/>
          <w:rtl w:val="0"/>
        </w:rPr>
        <w:t xml:space="preserve">adjudicar adquisiciones, arrendamientos y servicios, mediante las excepciones al procedimiento de licitación</w:t>
      </w:r>
      <w:r w:rsidDel="00000000" w:rsidR="00000000" w:rsidRPr="00000000">
        <w:rPr>
          <w:rFonts w:ascii="Palatino Linotype" w:cs="Palatino Linotype" w:eastAsia="Palatino Linotype" w:hAnsi="Palatino Linotype"/>
          <w:i w:val="1"/>
          <w:iCs w:val="1"/>
          <w:sz w:val="22"/>
          <w:szCs w:val="22"/>
          <w:rtl w:val="0"/>
        </w:rPr>
        <w:t xml:space="preserve"> que a continuación se señalan:</w:t>
      </w:r>
    </w:p>
    <w:p w:rsidR="00000000" w:rsidDel="00000000" w:rsidP="00000000" w:rsidRDefault="00000000" w:rsidRPr="00000000" w14:paraId="00000072">
      <w:pPr>
        <w:spacing w:after="120" w:before="120" w:lineRule="auto"/>
        <w:ind w:left="567"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Invitación restringida.</w:t>
      </w:r>
    </w:p>
    <w:p w:rsidR="00000000" w:rsidDel="00000000" w:rsidP="00000000" w:rsidRDefault="00000000" w:rsidRPr="00000000" w14:paraId="00000073">
      <w:pPr>
        <w:spacing w:after="120" w:before="120" w:lineRule="auto"/>
        <w:ind w:left="567"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 </w:t>
      </w:r>
      <w:r w:rsidDel="00000000" w:rsidR="00000000" w:rsidRPr="00000000">
        <w:rPr>
          <w:rFonts w:ascii="Palatino Linotype" w:cs="Palatino Linotype" w:eastAsia="Palatino Linotype" w:hAnsi="Palatino Linotype"/>
          <w:i w:val="1"/>
          <w:iCs w:val="1"/>
          <w:sz w:val="22"/>
          <w:szCs w:val="22"/>
          <w:rtl w:val="0"/>
        </w:rPr>
        <w:t xml:space="preserve">Adjudicación directa.”</w:t>
      </w:r>
    </w:p>
    <w:p w:rsidR="00000000" w:rsidDel="00000000" w:rsidP="00000000" w:rsidRDefault="00000000" w:rsidRPr="00000000" w14:paraId="00000074">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efecto, con base en los preceptos citados se advierte que, por regla general, las adquisiciones, enajenaciones, </w:t>
      </w:r>
      <w:r w:rsidDel="00000000" w:rsidR="00000000" w:rsidRPr="00000000">
        <w:rPr>
          <w:rFonts w:ascii="Palatino Linotype" w:cs="Palatino Linotype" w:eastAsia="Palatino Linotype" w:hAnsi="Palatino Linotype"/>
          <w:b w:val="1"/>
          <w:bCs w:val="1"/>
          <w:sz w:val="22"/>
          <w:szCs w:val="22"/>
          <w:rtl w:val="0"/>
        </w:rPr>
        <w:t xml:space="preserve">arrendamientos</w:t>
      </w:r>
      <w:r w:rsidDel="00000000" w:rsidR="00000000" w:rsidRPr="00000000">
        <w:rPr>
          <w:rFonts w:ascii="Palatino Linotype" w:cs="Palatino Linotype" w:eastAsia="Palatino Linotype" w:hAnsi="Palatino Linotype"/>
          <w:sz w:val="22"/>
          <w:szCs w:val="22"/>
          <w:rtl w:val="0"/>
        </w:rPr>
        <w:t xml:space="preserve"> y servicios, que celebren los entes públicos, deben adjudicarse mediante licitación pública, sin embargo, también se contemplan como excepciones a dicho proceso, la invitación restringida y la adjudicación directa.</w:t>
      </w:r>
    </w:p>
    <w:p w:rsidR="00000000" w:rsidDel="00000000" w:rsidP="00000000" w:rsidRDefault="00000000" w:rsidRPr="00000000" w14:paraId="00000075">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efecto, con base en los preceptos citados se advierte que, por regla general, las adquisiciones, enajenaciones, arrendamientos y servicios, que celebren los entes públicos, deben adjudicarse mediante licitación pública, sin embargo, también se contemplan como excepciones a dicho proceso, la invitación restringida y la adjudicación directa.</w:t>
      </w:r>
    </w:p>
    <w:p w:rsidR="00000000" w:rsidDel="00000000" w:rsidP="00000000" w:rsidRDefault="00000000" w:rsidRPr="00000000" w14:paraId="0000007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de acuerdo con el artículo 44 de la Ley de Contratación Pública del Estado de México y Municipios, las entidades públicas podrán adquirir y contratar servicios mediante invitación restringida en los siguientes casos: </w:t>
      </w:r>
    </w:p>
    <w:p w:rsidR="00000000" w:rsidDel="00000000" w:rsidP="00000000" w:rsidRDefault="00000000" w:rsidRPr="00000000" w14:paraId="00000077">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44.-</w:t>
      </w:r>
      <w:r w:rsidDel="00000000" w:rsidR="00000000" w:rsidRPr="00000000">
        <w:rPr>
          <w:rFonts w:ascii="Palatino Linotype" w:cs="Palatino Linotype" w:eastAsia="Palatino Linotype" w:hAnsi="Palatino Linotype"/>
          <w:i w:val="1"/>
          <w:iCs w:val="1"/>
          <w:sz w:val="22"/>
          <w:szCs w:val="22"/>
          <w:rtl w:val="0"/>
        </w:rPr>
        <w:t xml:space="preserve"> La Secretaría, las entidades, los tribunales administrativos y los ayuntamientos podrán adquirir y contratar servicios mediante invitación restringida, cuando:</w:t>
      </w:r>
    </w:p>
    <w:p w:rsidR="00000000" w:rsidDel="00000000" w:rsidP="00000000" w:rsidRDefault="00000000" w:rsidRPr="00000000" w14:paraId="00000078">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Se hubiere declarado desierto un procedimiento de licitación, o</w:t>
      </w:r>
    </w:p>
    <w:p w:rsidR="00000000" w:rsidDel="00000000" w:rsidP="00000000" w:rsidRDefault="00000000" w:rsidRPr="00000000" w14:paraId="00000079">
      <w:pPr>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El importe de la operación no exceda de los montos establecidos por el Presupuesto de Egresos del Gobierno del Estado de México del ejercicio correspondiente.</w:t>
      </w:r>
    </w:p>
    <w:p w:rsidR="00000000" w:rsidDel="00000000" w:rsidP="00000000" w:rsidRDefault="00000000" w:rsidRPr="00000000" w14:paraId="0000007A">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La Secretaría,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rsidR="00000000" w:rsidDel="00000000" w:rsidP="00000000" w:rsidRDefault="00000000" w:rsidRPr="00000000" w14:paraId="0000007B">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la invitación deberá especificarse si en el proceso de asignación aplicará la modalidad de subasta inversa.”</w:t>
      </w:r>
    </w:p>
    <w:p w:rsidR="00000000" w:rsidDel="00000000" w:rsidP="00000000" w:rsidRDefault="00000000" w:rsidRPr="00000000" w14:paraId="0000007C">
      <w:pPr>
        <w:spacing w:after="240" w:before="240" w:lineRule="auto"/>
        <w:ind w:right="49"/>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sz w:val="22"/>
          <w:szCs w:val="22"/>
          <w:rtl w:val="0"/>
        </w:rPr>
        <w:t xml:space="preserve">Asimismo, el artículo 46 de la Ley referida, menciona que:</w:t>
      </w:r>
      <w:r w:rsidDel="00000000" w:rsidR="00000000" w:rsidRPr="00000000">
        <w:rPr>
          <w:rtl w:val="0"/>
        </w:rPr>
      </w:r>
    </w:p>
    <w:p w:rsidR="00000000" w:rsidDel="00000000" w:rsidP="00000000" w:rsidRDefault="00000000" w:rsidRPr="00000000" w14:paraId="0000007D">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Artículo 46.-</w:t>
      </w:r>
      <w:r w:rsidDel="00000000" w:rsidR="00000000" w:rsidRPr="00000000">
        <w:rPr>
          <w:rFonts w:ascii="Palatino Linotype" w:cs="Palatino Linotype" w:eastAsia="Palatino Linotype" w:hAnsi="Palatino Linotype"/>
          <w:i w:val="1"/>
          <w:iCs w:val="1"/>
          <w:sz w:val="22"/>
          <w:szCs w:val="22"/>
          <w:rtl w:val="0"/>
        </w:rPr>
        <w:t xml:space="preserve"> El procedimiento de invitación restringida se desarrollará en los términos de la licitación pública, a excepción de la publicación de la convocatoria.”</w:t>
      </w:r>
    </w:p>
    <w:p w:rsidR="00000000" w:rsidDel="00000000" w:rsidP="00000000" w:rsidRDefault="00000000" w:rsidRPr="00000000" w14:paraId="0000007E">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7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otra parte, el artículo 48 de la Ley en cita precisa que, respecto a los procedimientos de Adjudicación Directa, las entidades públicas podrán adquirir bienes, arrendar bienes muebles e inmuebles y contratar servicios mediante adjudicación directa cuando: </w:t>
      </w:r>
    </w:p>
    <w:p w:rsidR="00000000" w:rsidDel="00000000" w:rsidP="00000000" w:rsidRDefault="00000000" w:rsidRPr="00000000" w14:paraId="00000080">
      <w:pPr>
        <w:tabs>
          <w:tab w:val="left" w:leader="none" w:pos="7938"/>
        </w:tabs>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48.-</w:t>
      </w:r>
      <w:r w:rsidDel="00000000" w:rsidR="00000000" w:rsidRPr="00000000">
        <w:rPr>
          <w:rFonts w:ascii="Palatino Linotype" w:cs="Palatino Linotype" w:eastAsia="Palatino Linotype" w:hAnsi="Palatino Linotype"/>
          <w:i w:val="1"/>
          <w:iCs w:val="1"/>
          <w:sz w:val="22"/>
          <w:szCs w:val="22"/>
          <w:rtl w:val="0"/>
        </w:rPr>
        <w:t xml:space="preserve"> La Secretaría, las entidades, los tribunales administrativos y los ayuntamientos podrán adquirir bienes, arrendar bienes muebles e inmuebles y contratar servicios, mediante adjudicación directa, cuando:</w:t>
      </w:r>
    </w:p>
    <w:p w:rsidR="00000000" w:rsidDel="00000000" w:rsidP="00000000" w:rsidRDefault="00000000" w:rsidRPr="00000000" w14:paraId="00000081">
      <w:pPr>
        <w:tabs>
          <w:tab w:val="left" w:leader="none" w:pos="7938"/>
        </w:tabs>
        <w:spacing w:after="120" w:before="120" w:lineRule="auto"/>
        <w:ind w:left="1134"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La adquisición o el servicio sólo puedan realizarse con una determinada persona, por tratarse de obras de arte, titularidad de patentes, registros, marcas específicas, derechos de autor u otros derechos exclusivos.</w:t>
      </w:r>
    </w:p>
    <w:p w:rsidR="00000000" w:rsidDel="00000000" w:rsidP="00000000" w:rsidRDefault="00000000" w:rsidRPr="00000000" w14:paraId="00000082">
      <w:pPr>
        <w:tabs>
          <w:tab w:val="left" w:leader="none" w:pos="7938"/>
        </w:tabs>
        <w:spacing w:after="120" w:before="120" w:lineRule="auto"/>
        <w:ind w:left="1134"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w:t>
      </w:r>
    </w:p>
    <w:p w:rsidR="00000000" w:rsidDel="00000000" w:rsidP="00000000" w:rsidRDefault="00000000" w:rsidRPr="00000000" w14:paraId="00000083">
      <w:pPr>
        <w:tabs>
          <w:tab w:val="left" w:leader="none" w:pos="7938"/>
        </w:tabs>
        <w:spacing w:after="120" w:before="120" w:lineRule="auto"/>
        <w:ind w:left="1134"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Se trate de servicios que requieran de experiencia, técnicas o equipos especiales, o se trate de la adquisición de bienes usados o de características especiales que solamente puedan ser prestados o suministrados por una sola persona.</w:t>
      </w:r>
    </w:p>
    <w:p w:rsidR="00000000" w:rsidDel="00000000" w:rsidP="00000000" w:rsidRDefault="00000000" w:rsidRPr="00000000" w14:paraId="00000084">
      <w:pPr>
        <w:tabs>
          <w:tab w:val="left" w:leader="none" w:pos="7938"/>
        </w:tabs>
        <w:spacing w:after="120" w:before="120" w:lineRule="auto"/>
        <w:ind w:left="1134"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w:t>
      </w:r>
      <w:r w:rsidDel="00000000" w:rsidR="00000000" w:rsidRPr="00000000">
        <w:rPr>
          <w:rFonts w:ascii="Palatino Linotype" w:cs="Palatino Linotype" w:eastAsia="Palatino Linotype" w:hAnsi="Palatino Linotype"/>
          <w:i w:val="1"/>
          <w:iCs w:val="1"/>
          <w:sz w:val="22"/>
          <w:szCs w:val="22"/>
          <w:rtl w:val="0"/>
        </w:rPr>
        <w:t xml:space="preserve">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w:t>
      </w:r>
    </w:p>
    <w:p w:rsidR="00000000" w:rsidDel="00000000" w:rsidP="00000000" w:rsidRDefault="00000000" w:rsidRPr="00000000" w14:paraId="00000085">
      <w:pPr>
        <w:tabs>
          <w:tab w:val="left" w:leader="none" w:pos="7938"/>
        </w:tabs>
        <w:spacing w:after="120" w:before="120" w:lineRule="auto"/>
        <w:ind w:left="1134"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w:t>
      </w:r>
      <w:r w:rsidDel="00000000" w:rsidR="00000000" w:rsidRPr="00000000">
        <w:rPr>
          <w:rFonts w:ascii="Palatino Linotype" w:cs="Palatino Linotype" w:eastAsia="Palatino Linotype" w:hAnsi="Palatino Linotype"/>
          <w:i w:val="1"/>
          <w:iCs w:val="1"/>
          <w:sz w:val="22"/>
          <w:szCs w:val="22"/>
          <w:rtl w:val="0"/>
        </w:rPr>
        <w:t xml:space="preserve">. Existan circunstancias que puedan provocar pérdidas o costos adicionales importantes al erario.</w:t>
      </w:r>
    </w:p>
    <w:p w:rsidR="00000000" w:rsidDel="00000000" w:rsidP="00000000" w:rsidRDefault="00000000" w:rsidRPr="00000000" w14:paraId="00000086">
      <w:pPr>
        <w:tabs>
          <w:tab w:val="left" w:leader="none" w:pos="7938"/>
        </w:tabs>
        <w:spacing w:after="120" w:before="120" w:lineRule="auto"/>
        <w:ind w:left="1134"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w:t>
      </w:r>
      <w:r w:rsidDel="00000000" w:rsidR="00000000" w:rsidRPr="00000000">
        <w:rPr>
          <w:rFonts w:ascii="Palatino Linotype" w:cs="Palatino Linotype" w:eastAsia="Palatino Linotype" w:hAnsi="Palatino Linotype"/>
          <w:i w:val="1"/>
          <w:iCs w:val="1"/>
          <w:sz w:val="22"/>
          <w:szCs w:val="22"/>
          <w:rtl w:val="0"/>
        </w:rPr>
        <w:t xml:space="preserve">. Pueda comprometerse información de naturaleza confidencial para el Estado o municipios, por razones de seguridad pública.</w:t>
      </w:r>
    </w:p>
    <w:p w:rsidR="00000000" w:rsidDel="00000000" w:rsidP="00000000" w:rsidRDefault="00000000" w:rsidRPr="00000000" w14:paraId="00000087">
      <w:pPr>
        <w:tabs>
          <w:tab w:val="left" w:leader="none" w:pos="7938"/>
        </w:tabs>
        <w:spacing w:after="120" w:before="120" w:lineRule="auto"/>
        <w:ind w:left="1134"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w:t>
      </w:r>
      <w:r w:rsidDel="00000000" w:rsidR="00000000" w:rsidRPr="00000000">
        <w:rPr>
          <w:rFonts w:ascii="Palatino Linotype" w:cs="Palatino Linotype" w:eastAsia="Palatino Linotype" w:hAnsi="Palatino Linotype"/>
          <w:i w:val="1"/>
          <w:iCs w:val="1"/>
          <w:sz w:val="22"/>
          <w:szCs w:val="22"/>
          <w:rtl w:val="0"/>
        </w:rPr>
        <w:t xml:space="preserve">. Existan circunstancias extraordinarias o imprevisibles derivadas de riesgo o desastre. En este supuesto, la adquisición, arrendamiento y servicio deberá limitarse a lo estrictamente necesario para enfrentar tal eventualidad.</w:t>
      </w:r>
    </w:p>
    <w:p w:rsidR="00000000" w:rsidDel="00000000" w:rsidP="00000000" w:rsidRDefault="00000000" w:rsidRPr="00000000" w14:paraId="00000088">
      <w:pPr>
        <w:tabs>
          <w:tab w:val="left" w:leader="none" w:pos="7938"/>
        </w:tabs>
        <w:spacing w:after="120" w:before="120" w:lineRule="auto"/>
        <w:ind w:left="1134"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VIII</w:t>
      </w:r>
      <w:r w:rsidDel="00000000" w:rsidR="00000000" w:rsidRPr="00000000">
        <w:rPr>
          <w:rFonts w:ascii="Palatino Linotype" w:cs="Palatino Linotype" w:eastAsia="Palatino Linotype" w:hAnsi="Palatino Linotype"/>
          <w:i w:val="1"/>
          <w:iCs w:val="1"/>
          <w:sz w:val="22"/>
          <w:szCs w:val="22"/>
          <w:rtl w:val="0"/>
        </w:rPr>
        <w:t xml:space="preserve">. Se hubiere rescindido un contrato, por causas imputables al proveedor o que la persona que habiendo resultado ganadora en una licitación, no concurra a la suscripción del contrato dentro del plazo establecido en esta Ley. En estos supuestos, la Secretaría,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w:t>
      </w:r>
    </w:p>
    <w:p w:rsidR="00000000" w:rsidDel="00000000" w:rsidP="00000000" w:rsidRDefault="00000000" w:rsidRPr="00000000" w14:paraId="00000089">
      <w:pPr>
        <w:tabs>
          <w:tab w:val="left" w:leader="none" w:pos="7938"/>
        </w:tabs>
        <w:spacing w:after="120" w:before="120" w:lineRule="auto"/>
        <w:ind w:left="1134"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IX</w:t>
      </w:r>
      <w:r w:rsidDel="00000000" w:rsidR="00000000" w:rsidRPr="00000000">
        <w:rPr>
          <w:rFonts w:ascii="Palatino Linotype" w:cs="Palatino Linotype" w:eastAsia="Palatino Linotype" w:hAnsi="Palatino Linotype"/>
          <w:i w:val="1"/>
          <w:iCs w:val="1"/>
          <w:sz w:val="22"/>
          <w:szCs w:val="22"/>
          <w:rtl w:val="0"/>
        </w:rPr>
        <w:t xml:space="preserve">. Se hubiere declarado desierto un procedimiento de invitación restringida.</w:t>
      </w:r>
    </w:p>
    <w:p w:rsidR="00000000" w:rsidDel="00000000" w:rsidP="00000000" w:rsidRDefault="00000000" w:rsidRPr="00000000" w14:paraId="0000008A">
      <w:pPr>
        <w:tabs>
          <w:tab w:val="left" w:leader="none" w:pos="7938"/>
        </w:tabs>
        <w:spacing w:after="120" w:before="120" w:lineRule="auto"/>
        <w:ind w:left="1134"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w:t>
      </w:r>
      <w:r w:rsidDel="00000000" w:rsidR="00000000" w:rsidRPr="00000000">
        <w:rPr>
          <w:rFonts w:ascii="Palatino Linotype" w:cs="Palatino Linotype" w:eastAsia="Palatino Linotype" w:hAnsi="Palatino Linotype"/>
          <w:i w:val="1"/>
          <w:iCs w:val="1"/>
          <w:sz w:val="22"/>
          <w:szCs w:val="22"/>
          <w:rtl w:val="0"/>
        </w:rPr>
        <w:t xml:space="preserve">. Cuando se aseguren condiciones financieras que permitan al Estado o a los municipios cumplir con la obligación de pago de manera diferida, sin que ello implique un costo financiero adicional o que habiéndolo, sea inferior al del mercado, o</w:t>
      </w:r>
    </w:p>
    <w:p w:rsidR="00000000" w:rsidDel="00000000" w:rsidP="00000000" w:rsidRDefault="00000000" w:rsidRPr="00000000" w14:paraId="0000008B">
      <w:pPr>
        <w:tabs>
          <w:tab w:val="left" w:leader="none" w:pos="7938"/>
        </w:tabs>
        <w:spacing w:after="120" w:before="120" w:lineRule="auto"/>
        <w:ind w:left="1134"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w:t>
      </w:r>
      <w:r w:rsidDel="00000000" w:rsidR="00000000" w:rsidRPr="00000000">
        <w:rPr>
          <w:rFonts w:ascii="Palatino Linotype" w:cs="Palatino Linotype" w:eastAsia="Palatino Linotype" w:hAnsi="Palatino Linotype"/>
          <w:i w:val="1"/>
          <w:iCs w:val="1"/>
          <w:sz w:val="22"/>
          <w:szCs w:val="22"/>
          <w:rtl w:val="0"/>
        </w:rPr>
        <w:t xml:space="preserve">.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rsidR="00000000" w:rsidDel="00000000" w:rsidP="00000000" w:rsidRDefault="00000000" w:rsidRPr="00000000" w14:paraId="0000008C">
      <w:pPr>
        <w:tabs>
          <w:tab w:val="left" w:leader="none" w:pos="7938"/>
        </w:tabs>
        <w:spacing w:after="120" w:before="120" w:lineRule="auto"/>
        <w:ind w:left="1134"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XII</w:t>
      </w:r>
      <w:r w:rsidDel="00000000" w:rsidR="00000000" w:rsidRPr="00000000">
        <w:rPr>
          <w:rFonts w:ascii="Palatino Linotype" w:cs="Palatino Linotype" w:eastAsia="Palatino Linotype" w:hAnsi="Palatino Linotype"/>
          <w:i w:val="1"/>
          <w:iCs w:val="1"/>
          <w:sz w:val="22"/>
          <w:szCs w:val="22"/>
          <w:rtl w:val="0"/>
        </w:rPr>
        <w:t xml:space="preserve">.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w:t>
      </w:r>
    </w:p>
    <w:p w:rsidR="00000000" w:rsidDel="00000000" w:rsidP="00000000" w:rsidRDefault="00000000" w:rsidRPr="00000000" w14:paraId="0000008D">
      <w:pPr>
        <w:tabs>
          <w:tab w:val="left" w:leader="none" w:pos="7938"/>
        </w:tabs>
        <w:spacing w:after="120" w:before="120" w:lineRule="auto"/>
        <w:ind w:left="1134" w:right="900"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8E">
      <w:pPr>
        <w:tabs>
          <w:tab w:val="left" w:leader="none" w:pos="7938"/>
        </w:tabs>
        <w:spacing w:after="120" w:before="120" w:lineRule="auto"/>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49.-</w:t>
      </w:r>
      <w:r w:rsidDel="00000000" w:rsidR="00000000" w:rsidRPr="00000000">
        <w:rPr>
          <w:rFonts w:ascii="Palatino Linotype" w:cs="Palatino Linotype" w:eastAsia="Palatino Linotype" w:hAnsi="Palatino Linotype"/>
          <w:i w:val="1"/>
          <w:iCs w:val="1"/>
          <w:sz w:val="22"/>
          <w:szCs w:val="22"/>
          <w:rtl w:val="0"/>
        </w:rPr>
        <w:t xml:space="preserve"> El procedimiento de adjudicación directa se substanciará con arreglo a el reglamento de esta Ley.”</w:t>
      </w:r>
    </w:p>
    <w:p w:rsidR="00000000" w:rsidDel="00000000" w:rsidP="00000000" w:rsidRDefault="00000000" w:rsidRPr="00000000" w14:paraId="0000008F">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a través del cumplimiento a la obligación de transparencia señalada en la fracción XXIX del artículo 92 de la Ley de la Materia, los Sujetos Obligados deben poner 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w:t>
      </w:r>
      <w:r w:rsidDel="00000000" w:rsidR="00000000" w:rsidRPr="00000000">
        <w:rPr>
          <w:rFonts w:ascii="Palatino Linotype" w:cs="Palatino Linotype" w:eastAsia="Palatino Linotype" w:hAnsi="Palatino Linotype"/>
          <w:b w:val="1"/>
          <w:bCs w:val="1"/>
          <w:sz w:val="22"/>
          <w:szCs w:val="22"/>
          <w:rtl w:val="0"/>
        </w:rPr>
        <w:t xml:space="preserve">incluyendo </w:t>
      </w:r>
      <w:r w:rsidDel="00000000" w:rsidR="00000000" w:rsidRPr="00000000">
        <w:rPr>
          <w:rFonts w:ascii="Palatino Linotype" w:cs="Palatino Linotype" w:eastAsia="Palatino Linotype" w:hAnsi="Palatino Linotype"/>
          <w:sz w:val="22"/>
          <w:szCs w:val="22"/>
          <w:rtl w:val="0"/>
        </w:rPr>
        <w:t xml:space="preserve">la versión pública del expediente respectivo y de</w:t>
      </w:r>
      <w:r w:rsidDel="00000000" w:rsidR="00000000" w:rsidRPr="00000000">
        <w:rPr>
          <w:rFonts w:ascii="Palatino Linotype" w:cs="Palatino Linotype" w:eastAsia="Palatino Linotype" w:hAnsi="Palatino Linotype"/>
          <w:b w:val="1"/>
          <w:bCs w:val="1"/>
          <w:sz w:val="22"/>
          <w:szCs w:val="22"/>
          <w:rtl w:val="0"/>
        </w:rPr>
        <w:t xml:space="preserve"> los contratos celebrados</w:t>
      </w:r>
      <w:r w:rsidDel="00000000" w:rsidR="00000000" w:rsidRPr="00000000">
        <w:rPr>
          <w:rFonts w:ascii="Palatino Linotype" w:cs="Palatino Linotype" w:eastAsia="Palatino Linotype" w:hAnsi="Palatino Linotype"/>
          <w:sz w:val="22"/>
          <w:szCs w:val="22"/>
          <w:rtl w:val="0"/>
        </w:rPr>
        <w:t xml:space="preserve">, a saber:</w:t>
      </w:r>
    </w:p>
    <w:p w:rsidR="00000000" w:rsidDel="00000000" w:rsidP="00000000" w:rsidRDefault="00000000" w:rsidRPr="00000000" w14:paraId="00000090">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Artículo 92</w:t>
      </w:r>
      <w:r w:rsidDel="00000000" w:rsidR="00000000" w:rsidRPr="00000000">
        <w:rPr>
          <w:rFonts w:ascii="Palatino Linotype" w:cs="Palatino Linotype" w:eastAsia="Palatino Linotype" w:hAnsi="Palatino Linotype"/>
          <w:i w:val="1"/>
          <w:iCs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91">
      <w:pPr>
        <w:tabs>
          <w:tab w:val="left" w:leader="none" w:pos="426"/>
          <w:tab w:val="left" w:leader="none" w:pos="2145"/>
        </w:tabs>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tab/>
      </w:r>
    </w:p>
    <w:p w:rsidR="00000000" w:rsidDel="00000000" w:rsidP="00000000" w:rsidRDefault="00000000" w:rsidRPr="00000000" w14:paraId="00000092">
      <w:pPr>
        <w:tabs>
          <w:tab w:val="left" w:leader="none" w:pos="426"/>
        </w:tabs>
        <w:spacing w:after="120" w:before="120" w:lineRule="auto"/>
        <w:ind w:left="1134"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XXIX.</w:t>
      </w:r>
      <w:r w:rsidDel="00000000" w:rsidR="00000000" w:rsidRPr="00000000">
        <w:rPr>
          <w:rFonts w:ascii="Palatino Linotype" w:cs="Palatino Linotype" w:eastAsia="Palatino Linotype" w:hAnsi="Palatino Linotype"/>
          <w:i w:val="1"/>
          <w:iCs w:val="1"/>
          <w:sz w:val="22"/>
          <w:szCs w:val="22"/>
          <w:rtl w:val="0"/>
        </w:rPr>
        <w:t xml:space="preserve"> La </w:t>
      </w:r>
      <w:r w:rsidDel="00000000" w:rsidR="00000000" w:rsidRPr="00000000">
        <w:rPr>
          <w:rFonts w:ascii="Palatino Linotype" w:cs="Palatino Linotype" w:eastAsia="Palatino Linotype" w:hAnsi="Palatino Linotype"/>
          <w:b w:val="1"/>
          <w:bCs w:val="1"/>
          <w:i w:val="1"/>
          <w:iCs w:val="1"/>
          <w:sz w:val="22"/>
          <w:szCs w:val="22"/>
          <w:rtl w:val="0"/>
        </w:rPr>
        <w:t xml:space="preserve">información sobre los procesos y resultados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sobre procedimientos de adjudicación directa, invitación restringida y licitación de cualquier naturaleza</w:t>
      </w:r>
      <w:r w:rsidDel="00000000" w:rsidR="00000000" w:rsidRPr="00000000">
        <w:rPr>
          <w:rFonts w:ascii="Palatino Linotype" w:cs="Palatino Linotype" w:eastAsia="Palatino Linotype" w:hAnsi="Palatino Linotype"/>
          <w:i w:val="1"/>
          <w:iCs w:val="1"/>
          <w:sz w:val="22"/>
          <w:szCs w:val="22"/>
          <w:u w:val="single"/>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incluyendo la versión pública</w:t>
      </w:r>
      <w:r w:rsidDel="00000000" w:rsidR="00000000" w:rsidRPr="00000000">
        <w:rPr>
          <w:rFonts w:ascii="Palatino Linotype" w:cs="Palatino Linotype" w:eastAsia="Palatino Linotype" w:hAnsi="Palatino Linotype"/>
          <w:i w:val="1"/>
          <w:iCs w:val="1"/>
          <w:sz w:val="22"/>
          <w:szCs w:val="22"/>
          <w:rtl w:val="0"/>
        </w:rPr>
        <w:t xml:space="preserve"> del expediente respectivo y </w:t>
      </w:r>
      <w:r w:rsidDel="00000000" w:rsidR="00000000" w:rsidRPr="00000000">
        <w:rPr>
          <w:rFonts w:ascii="Palatino Linotype" w:cs="Palatino Linotype" w:eastAsia="Palatino Linotype" w:hAnsi="Palatino Linotype"/>
          <w:b w:val="1"/>
          <w:bCs w:val="1"/>
          <w:i w:val="1"/>
          <w:iCs w:val="1"/>
          <w:sz w:val="22"/>
          <w:szCs w:val="22"/>
          <w:rtl w:val="0"/>
        </w:rPr>
        <w:t xml:space="preserve">de los contratos celebrados</w:t>
      </w:r>
      <w:r w:rsidDel="00000000" w:rsidR="00000000" w:rsidRPr="00000000">
        <w:rPr>
          <w:rFonts w:ascii="Palatino Linotype" w:cs="Palatino Linotype" w:eastAsia="Palatino Linotype" w:hAnsi="Palatino Linotype"/>
          <w:i w:val="1"/>
          <w:iCs w:val="1"/>
          <w:sz w:val="22"/>
          <w:szCs w:val="22"/>
          <w:rtl w:val="0"/>
        </w:rPr>
        <w:t xml:space="preserve">, que deberán contener, por los menos, lo siguiente:</w:t>
      </w:r>
    </w:p>
    <w:p w:rsidR="00000000" w:rsidDel="00000000" w:rsidP="00000000" w:rsidRDefault="00000000" w:rsidRPr="00000000" w14:paraId="00000093">
      <w:pPr>
        <w:tabs>
          <w:tab w:val="left" w:leader="none" w:pos="426"/>
        </w:tabs>
        <w:spacing w:after="120" w:before="120" w:lineRule="auto"/>
        <w:ind w:left="1418"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 De licitaciones públicas o procedimientos de invitación restringida:</w:t>
      </w:r>
    </w:p>
    <w:p w:rsidR="00000000" w:rsidDel="00000000" w:rsidP="00000000" w:rsidRDefault="00000000" w:rsidRPr="00000000" w14:paraId="00000094">
      <w:pPr>
        <w:tabs>
          <w:tab w:val="left" w:leader="none" w:pos="426"/>
        </w:tabs>
        <w:spacing w:after="120" w:before="120" w:lineRule="auto"/>
        <w:ind w:left="1701"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w:t>
      </w:r>
    </w:p>
    <w:p w:rsidR="00000000" w:rsidDel="00000000" w:rsidP="00000000" w:rsidRDefault="00000000" w:rsidRPr="00000000" w14:paraId="00000095">
      <w:pPr>
        <w:tabs>
          <w:tab w:val="left" w:leader="none" w:pos="426"/>
        </w:tabs>
        <w:spacing w:after="120" w:before="120" w:lineRule="auto"/>
        <w:ind w:left="170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7) </w:t>
      </w:r>
      <w:r w:rsidDel="00000000" w:rsidR="00000000" w:rsidRPr="00000000">
        <w:rPr>
          <w:rFonts w:ascii="Palatino Linotype" w:cs="Palatino Linotype" w:eastAsia="Palatino Linotype" w:hAnsi="Palatino Linotype"/>
          <w:i w:val="1"/>
          <w:iCs w:val="1"/>
          <w:sz w:val="22"/>
          <w:szCs w:val="22"/>
          <w:rtl w:val="0"/>
        </w:rPr>
        <w:t xml:space="preserve">El contrato y, en su caso, sus anexos; </w:t>
      </w:r>
    </w:p>
    <w:p w:rsidR="00000000" w:rsidDel="00000000" w:rsidP="00000000" w:rsidRDefault="00000000" w:rsidRPr="00000000" w14:paraId="00000096">
      <w:pPr>
        <w:tabs>
          <w:tab w:val="left" w:leader="none" w:pos="426"/>
        </w:tabs>
        <w:spacing w:after="120" w:before="120" w:lineRule="auto"/>
        <w:ind w:left="1418" w:right="902"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w:t>
      </w:r>
    </w:p>
    <w:p w:rsidR="00000000" w:rsidDel="00000000" w:rsidP="00000000" w:rsidRDefault="00000000" w:rsidRPr="00000000" w14:paraId="0000009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esto, se advierte que, los Sujetos Obligados deberán poner a disposición del público la información relativa a procesos y resultados sobre procedimientos de adjudicación directa, invitación restringida y licitación de cualquier naturaleza, donde se incluya, en versión pública, el expediente respectivo y los contratos celebrados que, para el caso en particular, los expedientes deberán contener:</w:t>
      </w:r>
    </w:p>
    <w:p w:rsidR="00000000" w:rsidDel="00000000" w:rsidP="00000000" w:rsidRDefault="00000000" w:rsidRPr="00000000" w14:paraId="00000098">
      <w:pPr>
        <w:spacing w:after="240" w:before="240"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Licitación pública: </w:t>
      </w:r>
      <w:r w:rsidDel="00000000" w:rsidR="00000000" w:rsidRPr="00000000">
        <w:rPr>
          <w:rFonts w:ascii="Palatino Linotype" w:cs="Palatino Linotype" w:eastAsia="Palatino Linotype" w:hAnsi="Palatino Linotype"/>
          <w:sz w:val="22"/>
          <w:szCs w:val="22"/>
          <w:rtl w:val="0"/>
        </w:rPr>
        <w:t xml:space="preserve">convocatoria y fundamentos legales aplicables para llevarla a cabo, nombre de los participantes, nombre del ganador y razones, área solicitante y responsable de su ejecución, convocatorias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rsidR="00000000" w:rsidDel="00000000" w:rsidP="00000000" w:rsidRDefault="00000000" w:rsidRPr="00000000" w14:paraId="00000099">
      <w:pPr>
        <w:spacing w:after="240" w:before="240" w:line="360" w:lineRule="auto"/>
        <w:ind w:left="42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Invitación restringida: </w:t>
      </w:r>
      <w:r w:rsidDel="00000000" w:rsidR="00000000" w:rsidRPr="00000000">
        <w:rPr>
          <w:rFonts w:ascii="Palatino Linotype" w:cs="Palatino Linotype" w:eastAsia="Palatino Linotype" w:hAnsi="Palatino Linotype"/>
          <w:sz w:val="22"/>
          <w:szCs w:val="22"/>
          <w:rtl w:val="0"/>
        </w:rPr>
        <w:t xml:space="preserve">invitación emitida y fundamentos legales aplicables para llevarla a cabo, nombre de los participantes o invitados, nombre del ganador y razones, área solicitante y responsable de su ejecución, invitaciones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rsidR="00000000" w:rsidDel="00000000" w:rsidP="00000000" w:rsidRDefault="00000000" w:rsidRPr="00000000" w14:paraId="0000009A">
      <w:pPr>
        <w:spacing w:after="240" w:before="240" w:line="360" w:lineRule="auto"/>
        <w:ind w:left="42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Adjudicaciones directas: </w:t>
      </w:r>
      <w:r w:rsidDel="00000000" w:rsidR="00000000" w:rsidRPr="00000000">
        <w:rPr>
          <w:rFonts w:ascii="Palatino Linotype" w:cs="Palatino Linotype" w:eastAsia="Palatino Linotype" w:hAnsi="Palatino Linotype"/>
          <w:sz w:val="22"/>
          <w:szCs w:val="22"/>
          <w:rtl w:val="0"/>
        </w:rPr>
        <w:t xml:space="preserve">Propuestas enviadas por el participante, motivos y fundamentos legales, autorización del ejercicio de la opción, cotizaciones consideradas, nombre de persona física o jurídica adjudicada, número, fecha, monto del contrato, plazo de entrega o ejecución, mecanismos de vigilancia y supervisión, informes de avance sobre las obras o servicios, convenio de terminación y finiquito. </w:t>
      </w:r>
    </w:p>
    <w:p w:rsidR="00000000" w:rsidDel="00000000" w:rsidP="00000000" w:rsidRDefault="00000000" w:rsidRPr="00000000" w14:paraId="0000009B">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ende, de acuerdo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vigentes a la fecha de la solicitud, para el cumplimiento de la obligación de transparencia señalada, los sujetos obligados deben publicar información sobre los actos, </w:t>
      </w:r>
      <w:r w:rsidDel="00000000" w:rsidR="00000000" w:rsidRPr="00000000">
        <w:rPr>
          <w:rFonts w:ascii="Palatino Linotype" w:cs="Palatino Linotype" w:eastAsia="Palatino Linotype" w:hAnsi="Palatino Linotype"/>
          <w:b w:val="1"/>
          <w:bCs w:val="1"/>
          <w:sz w:val="22"/>
          <w:szCs w:val="22"/>
          <w:rtl w:val="0"/>
        </w:rPr>
        <w:t xml:space="preserve">contratos</w:t>
      </w:r>
      <w:r w:rsidDel="00000000" w:rsidR="00000000" w:rsidRPr="00000000">
        <w:rPr>
          <w:rFonts w:ascii="Palatino Linotype" w:cs="Palatino Linotype" w:eastAsia="Palatino Linotype" w:hAnsi="Palatino Linotype"/>
          <w:sz w:val="22"/>
          <w:szCs w:val="22"/>
          <w:rtl w:val="0"/>
        </w:rPr>
        <w:t xml:space="preserve"> y convenios celebrados, misma que </w:t>
      </w:r>
      <w:r w:rsidDel="00000000" w:rsidR="00000000" w:rsidRPr="00000000">
        <w:rPr>
          <w:rFonts w:ascii="Palatino Linotype" w:cs="Palatino Linotype" w:eastAsia="Palatino Linotype" w:hAnsi="Palatino Linotype"/>
          <w:b w:val="1"/>
          <w:bCs w:val="1"/>
          <w:sz w:val="22"/>
          <w:szCs w:val="22"/>
          <w:rtl w:val="0"/>
        </w:rPr>
        <w:t xml:space="preserve">debe presentarse en una base de datos en la que cada registro se hará por tipo de procedimiento, ya sea licitación pública, invitación restringida o adjudicación directa,</w:t>
      </w:r>
      <w:r w:rsidDel="00000000" w:rsidR="00000000" w:rsidRPr="00000000">
        <w:rPr>
          <w:rFonts w:ascii="Palatino Linotype" w:cs="Palatino Linotype" w:eastAsia="Palatino Linotype" w:hAnsi="Palatino Linotype"/>
          <w:sz w:val="22"/>
          <w:szCs w:val="22"/>
          <w:rtl w:val="0"/>
        </w:rPr>
        <w:t xml:space="preserve"> especificando para cada tipo de procedimiento la materia, pudiendo ser obra pública, servicios relacionados con obra pública, </w:t>
      </w:r>
      <w:r w:rsidDel="00000000" w:rsidR="00000000" w:rsidRPr="00000000">
        <w:rPr>
          <w:rFonts w:ascii="Palatino Linotype" w:cs="Palatino Linotype" w:eastAsia="Palatino Linotype" w:hAnsi="Palatino Linotype"/>
          <w:b w:val="1"/>
          <w:bCs w:val="1"/>
          <w:sz w:val="22"/>
          <w:szCs w:val="22"/>
          <w:rtl w:val="0"/>
        </w:rPr>
        <w:t xml:space="preserve">arrendamiento,</w:t>
      </w:r>
      <w:r w:rsidDel="00000000" w:rsidR="00000000" w:rsidRPr="00000000">
        <w:rPr>
          <w:rFonts w:ascii="Palatino Linotype" w:cs="Palatino Linotype" w:eastAsia="Palatino Linotype" w:hAnsi="Palatino Linotype"/>
          <w:sz w:val="22"/>
          <w:szCs w:val="22"/>
          <w:rtl w:val="0"/>
        </w:rPr>
        <w:t xml:space="preserve"> adquisiciones, o servicios, así como el carácter de cada uno, es decir, nacional o internacional, además se debe elaborar versión pública los documentos fuente que deban ser publicados en este apartado, tales como </w:t>
      </w:r>
      <w:r w:rsidDel="00000000" w:rsidR="00000000" w:rsidRPr="00000000">
        <w:rPr>
          <w:rFonts w:ascii="Palatino Linotype" w:cs="Palatino Linotype" w:eastAsia="Palatino Linotype" w:hAnsi="Palatino Linotype"/>
          <w:b w:val="1"/>
          <w:bCs w:val="1"/>
          <w:sz w:val="22"/>
          <w:szCs w:val="22"/>
          <w:rtl w:val="0"/>
        </w:rPr>
        <w:t xml:space="preserve">contratos</w:t>
      </w:r>
      <w:r w:rsidDel="00000000" w:rsidR="00000000" w:rsidRPr="00000000">
        <w:rPr>
          <w:rFonts w:ascii="Palatino Linotype" w:cs="Palatino Linotype" w:eastAsia="Palatino Linotype" w:hAnsi="Palatino Linotype"/>
          <w:sz w:val="22"/>
          <w:szCs w:val="22"/>
          <w:rtl w:val="0"/>
        </w:rPr>
        <w:t xml:space="preserve">, convenios, actas, dictámenes, fallos, convenios modificatorios, informes, entre otros, incluyendo sus anexos correspondientes, información que debe ser actualizada de manera trimestral, y conservarse la generada en el ejercicio en curso y la correspondiente a dos ejercicios anteriores.</w:t>
      </w:r>
    </w:p>
    <w:p w:rsidR="00000000" w:rsidDel="00000000" w:rsidP="00000000" w:rsidRDefault="00000000" w:rsidRPr="00000000" w14:paraId="0000009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demuestra la fuente obligacional del Sujeto Obligado para contar con contratos por la adquisición de los bienes y servicios que requiera el Ayuntamiento. Ahora bien, el Sujeto Obligado en su respuesta señaló que no cuenta con Servidor Público encargado de la Coordinación de Adquisiciones, lo que imposibilita compilar y proporcionar la información; sin embargo, la vacante al puesto no limita a que la información generada, poseída y administrada por el Sujeto Obligado sea pública, incluso, no justifica un impedimento para cumplir con sus obligaciones de transparencia y rendición de cuentas. </w:t>
      </w:r>
    </w:p>
    <w:p w:rsidR="00000000" w:rsidDel="00000000" w:rsidP="00000000" w:rsidRDefault="00000000" w:rsidRPr="00000000" w14:paraId="0000009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consecuencia, se ORDENA al Sujeto Obligado a realizar una correcta búsqueda exhaustiva y razonable de la información a efecto de localizar y poner a disposición del Recurrente la siguiente información, de ser el caso en versión pública:</w:t>
      </w:r>
    </w:p>
    <w:p w:rsidR="00000000" w:rsidDel="00000000" w:rsidP="00000000" w:rsidRDefault="00000000" w:rsidRPr="00000000" w14:paraId="0000009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Del uno de enero al veinticinco de junio de dos mil veinticinco, los contratos de los arrendamientos de los siguientes bienes y servicios:</w:t>
      </w:r>
    </w:p>
    <w:p w:rsidR="00000000" w:rsidDel="00000000" w:rsidP="00000000" w:rsidRDefault="00000000" w:rsidRPr="00000000" w14:paraId="000000A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Bienes inmuebles que ocupa el Ayuntamiento de Almoloya de Juárez </w:t>
      </w:r>
    </w:p>
    <w:p w:rsidR="00000000" w:rsidDel="00000000" w:rsidP="00000000" w:rsidRDefault="00000000" w:rsidRPr="00000000" w14:paraId="000000A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Vehículos utilitarios, patrullas, ambulancias y camiones recolectores de basura, </w:t>
      </w:r>
    </w:p>
    <w:p w:rsidR="00000000" w:rsidDel="00000000" w:rsidP="00000000" w:rsidRDefault="00000000" w:rsidRPr="00000000" w14:paraId="000000A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Equipo de cómputo y fotocopiadoras</w:t>
      </w:r>
    </w:p>
    <w:p w:rsidR="00000000" w:rsidDel="00000000" w:rsidP="00000000" w:rsidRDefault="00000000" w:rsidRPr="00000000" w14:paraId="000000A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Lonas, carpas y mobiliario, </w:t>
      </w:r>
    </w:p>
    <w:p w:rsidR="00000000" w:rsidDel="00000000" w:rsidP="00000000" w:rsidRDefault="00000000" w:rsidRPr="00000000" w14:paraId="000000A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Juegos mecánicos;</w:t>
      </w:r>
    </w:p>
    <w:p w:rsidR="00000000" w:rsidDel="00000000" w:rsidP="00000000" w:rsidRDefault="00000000" w:rsidRPr="00000000" w14:paraId="000000A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Grupos musicales.</w:t>
      </w:r>
    </w:p>
    <w:p w:rsidR="00000000" w:rsidDel="00000000" w:rsidP="00000000" w:rsidRDefault="00000000" w:rsidRPr="00000000" w14:paraId="000000A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 como resultado de la búsqueda exhaustiva y razonable no se localiza información respecto de alguno de los conceptos, por no haberse generado la información en la temporalidad señalada, bastará con que así lo haga del conocimiento de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de manera clara y precisa, en términos del artículo 19, párrafo segundo de la Ley de Transparencia y Acceso a la Información pública del Estado de México y Municipios para tener por colmado el requerimiento de información.</w:t>
      </w:r>
    </w:p>
    <w:p w:rsidR="00000000" w:rsidDel="00000000" w:rsidP="00000000" w:rsidRDefault="00000000" w:rsidRPr="00000000" w14:paraId="000000A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no pasa inadvertido que el Recurrente solicitó de manera particular y específica la información sobre montos, periodo de contratación y nombre del proveedor; sin embargo, dicha información constituye una obligación de transparencia común, de acuerdo a la normatividad en la materia y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estos últimos disponen lo siguiente:</w:t>
      </w:r>
    </w:p>
    <w:p w:rsidR="00000000" w:rsidDel="00000000" w:rsidP="00000000" w:rsidRDefault="00000000" w:rsidRPr="00000000" w14:paraId="000000A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B">
      <w:pPr>
        <w:spacing w:line="360" w:lineRule="auto"/>
        <w:ind w:left="567" w:right="843" w:firstLine="0"/>
        <w:jc w:val="both"/>
        <w:rPr>
          <w:i w:val="1"/>
          <w:iCs w:val="1"/>
        </w:rPr>
      </w:pPr>
      <w:r w:rsidDel="00000000" w:rsidR="00000000" w:rsidRPr="00000000">
        <w:rPr>
          <w:i w:val="1"/>
          <w:iCs w:val="1"/>
          <w:rtl w:val="0"/>
        </w:rPr>
        <w:t xml:space="preserve">Criterios sustantivos de contenido </w:t>
      </w:r>
    </w:p>
    <w:p w:rsidR="00000000" w:rsidDel="00000000" w:rsidP="00000000" w:rsidRDefault="00000000" w:rsidRPr="00000000" w14:paraId="000000AC">
      <w:pPr>
        <w:spacing w:line="360" w:lineRule="auto"/>
        <w:ind w:left="567" w:right="843" w:firstLine="0"/>
        <w:jc w:val="both"/>
        <w:rPr>
          <w:i w:val="1"/>
          <w:iCs w:val="1"/>
        </w:rPr>
      </w:pPr>
      <w:r w:rsidDel="00000000" w:rsidR="00000000" w:rsidRPr="00000000">
        <w:rPr>
          <w:rtl w:val="0"/>
        </w:rPr>
      </w:r>
    </w:p>
    <w:p w:rsidR="00000000" w:rsidDel="00000000" w:rsidP="00000000" w:rsidRDefault="00000000" w:rsidRPr="00000000" w14:paraId="000000AD">
      <w:pPr>
        <w:spacing w:line="360" w:lineRule="auto"/>
        <w:ind w:left="567" w:right="843" w:firstLine="0"/>
        <w:jc w:val="both"/>
        <w:rPr>
          <w:i w:val="1"/>
          <w:iCs w:val="1"/>
        </w:rPr>
      </w:pPr>
      <w:r w:rsidDel="00000000" w:rsidR="00000000" w:rsidRPr="00000000">
        <w:rPr>
          <w:i w:val="1"/>
          <w:iCs w:val="1"/>
          <w:rtl w:val="0"/>
        </w:rPr>
        <w:t xml:space="preserve">Respecto de cada una de las etapas del procedimiento de contratación de licitación pública, invitación a cuando menos tres personas y adjudicación directa se publicarán los siguientes datos: </w:t>
      </w:r>
    </w:p>
    <w:p w:rsidR="00000000" w:rsidDel="00000000" w:rsidP="00000000" w:rsidRDefault="00000000" w:rsidRPr="00000000" w14:paraId="000000AE">
      <w:pPr>
        <w:spacing w:line="360" w:lineRule="auto"/>
        <w:ind w:left="567" w:right="843" w:firstLine="0"/>
        <w:jc w:val="both"/>
        <w:rPr>
          <w:i w:val="1"/>
          <w:iCs w:val="1"/>
        </w:rPr>
      </w:pPr>
      <w:r w:rsidDel="00000000" w:rsidR="00000000" w:rsidRPr="00000000">
        <w:rPr>
          <w:rtl w:val="0"/>
        </w:rPr>
      </w:r>
    </w:p>
    <w:p w:rsidR="00000000" w:rsidDel="00000000" w:rsidP="00000000" w:rsidRDefault="00000000" w:rsidRPr="00000000" w14:paraId="000000AF">
      <w:pPr>
        <w:spacing w:line="360" w:lineRule="auto"/>
        <w:ind w:left="567" w:right="843" w:firstLine="0"/>
        <w:jc w:val="both"/>
        <w:rPr>
          <w:i w:val="1"/>
          <w:iCs w:val="1"/>
        </w:rPr>
      </w:pPr>
      <w:r w:rsidDel="00000000" w:rsidR="00000000" w:rsidRPr="00000000">
        <w:rPr>
          <w:i w:val="1"/>
          <w:iCs w:val="1"/>
          <w:rtl w:val="0"/>
        </w:rPr>
        <w:t xml:space="preserve">Criterio 1 Ejercicio. </w:t>
      </w:r>
    </w:p>
    <w:p w:rsidR="00000000" w:rsidDel="00000000" w:rsidP="00000000" w:rsidRDefault="00000000" w:rsidRPr="00000000" w14:paraId="000000B0">
      <w:pPr>
        <w:spacing w:line="360" w:lineRule="auto"/>
        <w:ind w:left="567" w:right="843" w:firstLine="0"/>
        <w:jc w:val="both"/>
        <w:rPr>
          <w:i w:val="1"/>
          <w:iCs w:val="1"/>
        </w:rPr>
      </w:pPr>
      <w:r w:rsidDel="00000000" w:rsidR="00000000" w:rsidRPr="00000000">
        <w:rPr>
          <w:i w:val="1"/>
          <w:iCs w:val="1"/>
          <w:rtl w:val="0"/>
        </w:rPr>
        <w:t xml:space="preserve">Criterio 2 Periodo que se informa (fecha de inicio y fecha de término con el formato día/mes/año). </w:t>
      </w:r>
    </w:p>
    <w:p w:rsidR="00000000" w:rsidDel="00000000" w:rsidP="00000000" w:rsidRDefault="00000000" w:rsidRPr="00000000" w14:paraId="000000B1">
      <w:pPr>
        <w:spacing w:line="360" w:lineRule="auto"/>
        <w:ind w:left="567" w:right="843" w:firstLine="0"/>
        <w:jc w:val="both"/>
        <w:rPr>
          <w:i w:val="1"/>
          <w:iCs w:val="1"/>
        </w:rPr>
      </w:pPr>
      <w:r w:rsidDel="00000000" w:rsidR="00000000" w:rsidRPr="00000000">
        <w:rPr>
          <w:i w:val="1"/>
          <w:iCs w:val="1"/>
          <w:rtl w:val="0"/>
        </w:rPr>
        <w:t xml:space="preserve">Criterio 3 Tipo de procedimiento (catálogo): Licitación pública/Invitación a cuando menos tres personas/ Adjudicación directa/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w:t>
      </w:r>
    </w:p>
    <w:p w:rsidR="00000000" w:rsidDel="00000000" w:rsidP="00000000" w:rsidRDefault="00000000" w:rsidRPr="00000000" w14:paraId="000000B2">
      <w:pPr>
        <w:spacing w:line="360" w:lineRule="auto"/>
        <w:ind w:left="567" w:right="843" w:firstLine="0"/>
        <w:jc w:val="both"/>
        <w:rPr>
          <w:i w:val="1"/>
          <w:iCs w:val="1"/>
        </w:rPr>
      </w:pPr>
      <w:r w:rsidDel="00000000" w:rsidR="00000000" w:rsidRPr="00000000">
        <w:rPr>
          <w:rtl w:val="0"/>
        </w:rPr>
      </w:r>
    </w:p>
    <w:p w:rsidR="00000000" w:rsidDel="00000000" w:rsidP="00000000" w:rsidRDefault="00000000" w:rsidRPr="00000000" w14:paraId="000000B3">
      <w:pPr>
        <w:spacing w:line="360" w:lineRule="auto"/>
        <w:ind w:left="567" w:right="843" w:firstLine="0"/>
        <w:jc w:val="both"/>
        <w:rPr>
          <w:i w:val="1"/>
          <w:iCs w:val="1"/>
        </w:rPr>
      </w:pPr>
      <w:r w:rsidDel="00000000" w:rsidR="00000000" w:rsidRPr="00000000">
        <w:rPr>
          <w:i w:val="1"/>
          <w:iCs w:val="1"/>
          <w:rtl w:val="0"/>
        </w:rPr>
        <w:t xml:space="preserve">Respecto de la(s) persona(s) ganadora(s), asignada(s) o adjudicadas del contrato se deberá publicar lo siguiente, según corresponda: </w:t>
      </w:r>
    </w:p>
    <w:p w:rsidR="00000000" w:rsidDel="00000000" w:rsidP="00000000" w:rsidRDefault="00000000" w:rsidRPr="00000000" w14:paraId="000000B4">
      <w:pPr>
        <w:spacing w:line="360" w:lineRule="auto"/>
        <w:ind w:left="567" w:right="843" w:firstLine="0"/>
        <w:jc w:val="both"/>
        <w:rPr>
          <w:i w:val="1"/>
          <w:iCs w:val="1"/>
        </w:rPr>
      </w:pPr>
      <w:r w:rsidDel="00000000" w:rsidR="00000000" w:rsidRPr="00000000">
        <w:rPr>
          <w:rtl w:val="0"/>
        </w:rPr>
      </w:r>
    </w:p>
    <w:p w:rsidR="00000000" w:rsidDel="00000000" w:rsidP="00000000" w:rsidRDefault="00000000" w:rsidRPr="00000000" w14:paraId="000000B5">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i w:val="1"/>
          <w:iCs w:val="1"/>
          <w:rtl w:val="0"/>
        </w:rPr>
        <w:t xml:space="preserve">Criterio 31 Nombre completo (nombre[s], primer apellido, segundo apellido) de la persona física contratista o proveedora ganadora, asignada o adjudicada.</w:t>
      </w:r>
      <w:r w:rsidDel="00000000" w:rsidR="00000000" w:rsidRPr="00000000">
        <w:rPr>
          <w:rtl w:val="0"/>
        </w:rPr>
      </w:r>
    </w:p>
    <w:p w:rsidR="00000000" w:rsidDel="00000000" w:rsidP="00000000" w:rsidRDefault="00000000" w:rsidRPr="00000000" w14:paraId="000000B6">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B7">
      <w:pPr>
        <w:spacing w:line="360" w:lineRule="auto"/>
        <w:ind w:left="567" w:right="843" w:firstLine="0"/>
        <w:jc w:val="both"/>
        <w:rPr>
          <w:i w:val="1"/>
          <w:iCs w:val="1"/>
        </w:rPr>
      </w:pPr>
      <w:r w:rsidDel="00000000" w:rsidR="00000000" w:rsidRPr="00000000">
        <w:rPr>
          <w:i w:val="1"/>
          <w:iCs w:val="1"/>
          <w:rtl w:val="0"/>
        </w:rPr>
        <w:t xml:space="preserve">En cuanto al contrato se publicarán los siguientes datos: </w:t>
      </w:r>
    </w:p>
    <w:p w:rsidR="00000000" w:rsidDel="00000000" w:rsidP="00000000" w:rsidRDefault="00000000" w:rsidRPr="00000000" w14:paraId="000000B8">
      <w:pPr>
        <w:spacing w:line="360" w:lineRule="auto"/>
        <w:ind w:left="567" w:right="843" w:firstLine="0"/>
        <w:jc w:val="both"/>
        <w:rPr>
          <w:i w:val="1"/>
          <w:iCs w:val="1"/>
        </w:rPr>
      </w:pPr>
      <w:r w:rsidDel="00000000" w:rsidR="00000000" w:rsidRPr="00000000">
        <w:rPr>
          <w:rtl w:val="0"/>
        </w:rPr>
      </w:r>
    </w:p>
    <w:p w:rsidR="00000000" w:rsidDel="00000000" w:rsidP="00000000" w:rsidRDefault="00000000" w:rsidRPr="00000000" w14:paraId="000000B9">
      <w:pPr>
        <w:spacing w:line="360" w:lineRule="auto"/>
        <w:ind w:left="567" w:right="843" w:firstLine="0"/>
        <w:jc w:val="both"/>
        <w:rPr>
          <w:i w:val="1"/>
          <w:iCs w:val="1"/>
        </w:rPr>
      </w:pPr>
      <w:r w:rsidDel="00000000" w:rsidR="00000000" w:rsidRPr="00000000">
        <w:rPr>
          <w:i w:val="1"/>
          <w:iCs w:val="1"/>
          <w:rtl w:val="0"/>
        </w:rPr>
        <w:t xml:space="preserve">Criterio 42 Número que identifique al contrato. </w:t>
      </w:r>
    </w:p>
    <w:p w:rsidR="00000000" w:rsidDel="00000000" w:rsidP="00000000" w:rsidRDefault="00000000" w:rsidRPr="00000000" w14:paraId="000000BA">
      <w:pPr>
        <w:spacing w:line="360" w:lineRule="auto"/>
        <w:ind w:left="567" w:right="843" w:firstLine="0"/>
        <w:jc w:val="both"/>
        <w:rPr>
          <w:b w:val="1"/>
          <w:bCs w:val="1"/>
          <w:i w:val="1"/>
          <w:iCs w:val="1"/>
        </w:rPr>
      </w:pPr>
      <w:r w:rsidDel="00000000" w:rsidR="00000000" w:rsidRPr="00000000">
        <w:rPr>
          <w:b w:val="1"/>
          <w:bCs w:val="1"/>
          <w:i w:val="1"/>
          <w:iCs w:val="1"/>
          <w:rtl w:val="0"/>
        </w:rPr>
        <w:t xml:space="preserve">Criterio 43 Fecha del contrato, expresada con el formato día/mes/año. </w:t>
      </w:r>
    </w:p>
    <w:p w:rsidR="00000000" w:rsidDel="00000000" w:rsidP="00000000" w:rsidRDefault="00000000" w:rsidRPr="00000000" w14:paraId="000000BB">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i w:val="1"/>
          <w:iCs w:val="1"/>
          <w:rtl w:val="0"/>
        </w:rPr>
        <w:t xml:space="preserve">Criterio 44 Fecha de inicio de la vigencia del contrato, expresada con el formato día/mes/año.</w:t>
      </w:r>
      <w:r w:rsidDel="00000000" w:rsidR="00000000" w:rsidRPr="00000000">
        <w:rPr>
          <w:rtl w:val="0"/>
        </w:rPr>
      </w:r>
    </w:p>
    <w:p w:rsidR="00000000" w:rsidDel="00000000" w:rsidP="00000000" w:rsidRDefault="00000000" w:rsidRPr="00000000" w14:paraId="000000BC">
      <w:pPr>
        <w:spacing w:line="360" w:lineRule="auto"/>
        <w:ind w:left="567" w:right="843" w:firstLine="0"/>
        <w:jc w:val="both"/>
        <w:rPr>
          <w:i w:val="1"/>
          <w:iCs w:val="1"/>
        </w:rPr>
      </w:pPr>
      <w:r w:rsidDel="00000000" w:rsidR="00000000" w:rsidRPr="00000000">
        <w:rPr>
          <w:i w:val="1"/>
          <w:iCs w:val="1"/>
          <w:rtl w:val="0"/>
        </w:rPr>
        <w:t xml:space="preserve">Criterio 45 Fecha de término de la vigencia del contrato, expresada con el formato día/mes/año. </w:t>
      </w:r>
      <w:r w:rsidDel="00000000" w:rsidR="00000000" w:rsidRPr="00000000">
        <w:rPr>
          <w:b w:val="1"/>
          <w:bCs w:val="1"/>
          <w:i w:val="1"/>
          <w:iCs w:val="1"/>
          <w:rtl w:val="0"/>
        </w:rPr>
        <w:t xml:space="preserve">Criterio 46 Monto del contrato sin impuestos incluidos (expresados en pesos mexicanos). Criterio 47 Monto total del contrato con impuestos incluidos (expresados en pesos mexicanos).</w:t>
      </w:r>
      <w:r w:rsidDel="00000000" w:rsidR="00000000" w:rsidRPr="00000000">
        <w:rPr>
          <w:i w:val="1"/>
          <w:iCs w:val="1"/>
          <w:rtl w:val="0"/>
        </w:rPr>
        <w:t xml:space="preserve"> Criterio 48 Monto mínimo con impuestos incluidos, en su caso</w:t>
      </w:r>
    </w:p>
    <w:p w:rsidR="00000000" w:rsidDel="00000000" w:rsidP="00000000" w:rsidRDefault="00000000" w:rsidRPr="00000000" w14:paraId="000000BD">
      <w:pPr>
        <w:spacing w:line="360" w:lineRule="auto"/>
        <w:ind w:left="567" w:right="843" w:firstLine="0"/>
        <w:jc w:val="both"/>
        <w:rPr>
          <w:i w:val="1"/>
          <w:iCs w:val="1"/>
        </w:rPr>
      </w:pPr>
      <w:r w:rsidDel="00000000" w:rsidR="00000000" w:rsidRPr="00000000">
        <w:rPr>
          <w:i w:val="1"/>
          <w:iCs w:val="1"/>
          <w:rtl w:val="0"/>
        </w:rPr>
        <w:t xml:space="preserve"> Criterio 49 Monto máximo con impuestos incluidos, en su caso. </w:t>
      </w:r>
    </w:p>
    <w:p w:rsidR="00000000" w:rsidDel="00000000" w:rsidP="00000000" w:rsidRDefault="00000000" w:rsidRPr="00000000" w14:paraId="000000BE">
      <w:pPr>
        <w:spacing w:line="360" w:lineRule="auto"/>
        <w:ind w:left="567" w:right="843" w:firstLine="0"/>
        <w:jc w:val="both"/>
        <w:rPr>
          <w:i w:val="1"/>
          <w:iCs w:val="1"/>
        </w:rPr>
      </w:pPr>
      <w:r w:rsidDel="00000000" w:rsidR="00000000" w:rsidRPr="00000000">
        <w:rPr>
          <w:i w:val="1"/>
          <w:iCs w:val="1"/>
          <w:rtl w:val="0"/>
        </w:rPr>
        <w:t xml:space="preserve">Criterio 50 Tipo de moneda. Por ejemplo: Peso, Dólar, Euro, Libra, Yen </w:t>
      </w:r>
    </w:p>
    <w:p w:rsidR="00000000" w:rsidDel="00000000" w:rsidP="00000000" w:rsidRDefault="00000000" w:rsidRPr="00000000" w14:paraId="000000BF">
      <w:pPr>
        <w:spacing w:line="360" w:lineRule="auto"/>
        <w:ind w:left="567" w:right="843" w:firstLine="0"/>
        <w:jc w:val="both"/>
        <w:rPr>
          <w:i w:val="1"/>
          <w:iCs w:val="1"/>
        </w:rPr>
      </w:pPr>
      <w:r w:rsidDel="00000000" w:rsidR="00000000" w:rsidRPr="00000000">
        <w:rPr>
          <w:i w:val="1"/>
          <w:iCs w:val="1"/>
          <w:rtl w:val="0"/>
        </w:rPr>
        <w:t xml:space="preserve">Criterio 51 Tipo de cambio de referencia, en su caso. </w:t>
      </w:r>
    </w:p>
    <w:p w:rsidR="00000000" w:rsidDel="00000000" w:rsidP="00000000" w:rsidRDefault="00000000" w:rsidRPr="00000000" w14:paraId="000000C0">
      <w:pPr>
        <w:spacing w:line="360" w:lineRule="auto"/>
        <w:ind w:left="567" w:right="843" w:firstLine="0"/>
        <w:jc w:val="both"/>
        <w:rPr>
          <w:i w:val="1"/>
          <w:iCs w:val="1"/>
        </w:rPr>
      </w:pPr>
      <w:r w:rsidDel="00000000" w:rsidR="00000000" w:rsidRPr="00000000">
        <w:rPr>
          <w:i w:val="1"/>
          <w:iCs w:val="1"/>
          <w:rtl w:val="0"/>
        </w:rPr>
        <w:t xml:space="preserve">Criterio 52 Forma de pago. Por ejemplo: efectivo, cheque o transacción bancaria. </w:t>
      </w:r>
    </w:p>
    <w:p w:rsidR="00000000" w:rsidDel="00000000" w:rsidP="00000000" w:rsidRDefault="00000000" w:rsidRPr="00000000" w14:paraId="000000C1">
      <w:pPr>
        <w:spacing w:line="360" w:lineRule="auto"/>
        <w:ind w:left="567" w:right="843" w:firstLine="0"/>
        <w:jc w:val="both"/>
        <w:rPr>
          <w:b w:val="1"/>
          <w:bCs w:val="1"/>
          <w:i w:val="1"/>
          <w:iCs w:val="1"/>
        </w:rPr>
      </w:pPr>
      <w:r w:rsidDel="00000000" w:rsidR="00000000" w:rsidRPr="00000000">
        <w:rPr>
          <w:b w:val="1"/>
          <w:bCs w:val="1"/>
          <w:i w:val="1"/>
          <w:iCs w:val="1"/>
          <w:rtl w:val="0"/>
        </w:rPr>
        <w:t xml:space="preserve">Criterio 53 Objeto del contrato. </w:t>
      </w:r>
    </w:p>
    <w:p w:rsidR="00000000" w:rsidDel="00000000" w:rsidP="00000000" w:rsidRDefault="00000000" w:rsidRPr="00000000" w14:paraId="000000C2">
      <w:pPr>
        <w:spacing w:line="360" w:lineRule="auto"/>
        <w:ind w:left="567" w:right="843" w:firstLine="0"/>
        <w:jc w:val="both"/>
        <w:rPr>
          <w:rFonts w:ascii="Palatino Linotype" w:cs="Palatino Linotype" w:eastAsia="Palatino Linotype" w:hAnsi="Palatino Linotype"/>
          <w:i w:val="1"/>
          <w:iCs w:val="1"/>
          <w:sz w:val="22"/>
          <w:szCs w:val="22"/>
        </w:rPr>
      </w:pPr>
      <w:r w:rsidDel="00000000" w:rsidR="00000000" w:rsidRPr="00000000">
        <w:rPr>
          <w:i w:val="1"/>
          <w:iCs w:val="1"/>
          <w:rtl w:val="0"/>
        </w:rPr>
        <w:t xml:space="preserve">Criterio 54 Monto total de las garantías y/o contragarantías122 que, en su caso, se hubieren otorgado durante el procedimiento respectivo</w:t>
      </w:r>
      <w:r w:rsidDel="00000000" w:rsidR="00000000" w:rsidRPr="00000000">
        <w:rPr>
          <w:rtl w:val="0"/>
        </w:rPr>
      </w:r>
    </w:p>
    <w:p w:rsidR="00000000" w:rsidDel="00000000" w:rsidP="00000000" w:rsidRDefault="00000000" w:rsidRPr="00000000" w14:paraId="000000C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al ser una obligación de transparencia común aplicable a todos los Sujetos Obligados, se determina que es información que debe obrar en los contratos que celebren, por lo que no se ordena de manera individual cada uno de los requerimientos específicos que señaló el particular, pues se insiste, son parte integral de los propios contratos, por lo que, al entregar dicho documento, se atenderían los requerimientos del particular.</w:t>
      </w:r>
    </w:p>
    <w:p w:rsidR="00000000" w:rsidDel="00000000" w:rsidP="00000000" w:rsidRDefault="00000000" w:rsidRPr="00000000" w14:paraId="000000C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rsidR="00000000" w:rsidDel="00000000" w:rsidP="00000000" w:rsidRDefault="00000000" w:rsidRPr="00000000" w14:paraId="000000C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rsidR="00000000" w:rsidDel="00000000" w:rsidP="00000000" w:rsidRDefault="00000000" w:rsidRPr="00000000" w14:paraId="000000C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B">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 conformidad con lo que señalan los artículos 3 fracciones IX, XX, XXI y XLV, 91, 132 fracciones II y III, y 143 de la Ley de Transparencia y Acceso a la Información Pública del Estado de México y Municipios que establecen: </w:t>
      </w:r>
    </w:p>
    <w:p w:rsidR="00000000" w:rsidDel="00000000" w:rsidP="00000000" w:rsidRDefault="00000000" w:rsidRPr="00000000" w14:paraId="000000CC">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D">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3.</w:t>
      </w:r>
      <w:r w:rsidDel="00000000" w:rsidR="00000000" w:rsidRPr="00000000">
        <w:rPr>
          <w:rFonts w:ascii="Palatino Linotype" w:cs="Palatino Linotype" w:eastAsia="Palatino Linotype" w:hAnsi="Palatino Linotype"/>
          <w:i w:val="1"/>
          <w:iCs w:val="1"/>
          <w:sz w:val="22"/>
          <w:szCs w:val="22"/>
          <w:rtl w:val="0"/>
        </w:rPr>
        <w:t xml:space="preserve"> Para los efectos de la presente Ley se entenderá por:</w:t>
      </w:r>
    </w:p>
    <w:p w:rsidR="00000000" w:rsidDel="00000000" w:rsidP="00000000" w:rsidRDefault="00000000" w:rsidRPr="00000000" w14:paraId="000000CE">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CF">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0D0">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XX. Información clasificada: Aquella considerada por la presente Ley como reservada o confidencial;</w:t>
      </w:r>
    </w:p>
    <w:p w:rsidR="00000000" w:rsidDel="00000000" w:rsidP="00000000" w:rsidRDefault="00000000" w:rsidRPr="00000000" w14:paraId="000000D1">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D2">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0D3">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D4">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91.</w:t>
      </w:r>
      <w:r w:rsidDel="00000000" w:rsidR="00000000" w:rsidRPr="00000000">
        <w:rPr>
          <w:rFonts w:ascii="Palatino Linotype" w:cs="Palatino Linotype" w:eastAsia="Palatino Linotype" w:hAnsi="Palatino Linotype"/>
          <w:i w:val="1"/>
          <w:iCs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0D5">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132.</w:t>
      </w:r>
      <w:r w:rsidDel="00000000" w:rsidR="00000000" w:rsidRPr="00000000">
        <w:rPr>
          <w:rFonts w:ascii="Palatino Linotype" w:cs="Palatino Linotype" w:eastAsia="Palatino Linotype" w:hAnsi="Palatino Linotype"/>
          <w:i w:val="1"/>
          <w:iCs w:val="1"/>
          <w:sz w:val="22"/>
          <w:szCs w:val="22"/>
          <w:rtl w:val="0"/>
        </w:rPr>
        <w:t xml:space="preserve"> La clasificación de la información se llevará a cabo en el momento en que:</w:t>
      </w:r>
    </w:p>
    <w:p w:rsidR="00000000" w:rsidDel="00000000" w:rsidP="00000000" w:rsidRDefault="00000000" w:rsidRPr="00000000" w14:paraId="000000D6">
      <w:pPr>
        <w:tabs>
          <w:tab w:val="left" w:leader="none" w:pos="1134"/>
        </w:tabs>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Se reciba una solicitud de acceso a la información;</w:t>
      </w:r>
    </w:p>
    <w:p w:rsidR="00000000" w:rsidDel="00000000" w:rsidP="00000000" w:rsidRDefault="00000000" w:rsidRPr="00000000" w14:paraId="000000D7">
      <w:pPr>
        <w:tabs>
          <w:tab w:val="left" w:leader="none" w:pos="1134"/>
        </w:tabs>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Se determine mediante resolución de autoridad competente; o</w:t>
      </w:r>
    </w:p>
    <w:p w:rsidR="00000000" w:rsidDel="00000000" w:rsidP="00000000" w:rsidRDefault="00000000" w:rsidRPr="00000000" w14:paraId="000000D8">
      <w:pPr>
        <w:tabs>
          <w:tab w:val="left" w:leader="none" w:pos="1134"/>
        </w:tabs>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Se generen versiones públicas para dar cumplimiento a las obligaciones de transparencia previstas en esta Ley.</w:t>
      </w:r>
    </w:p>
    <w:p w:rsidR="00000000" w:rsidDel="00000000" w:rsidP="00000000" w:rsidRDefault="00000000" w:rsidRPr="00000000" w14:paraId="000000D9">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DA">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143</w:t>
      </w:r>
      <w:r w:rsidDel="00000000" w:rsidR="00000000" w:rsidRPr="00000000">
        <w:rPr>
          <w:rFonts w:ascii="Palatino Linotype" w:cs="Palatino Linotype" w:eastAsia="Palatino Linotype" w:hAnsi="Palatino Linotype"/>
          <w:i w:val="1"/>
          <w:iCs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DB">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0DC">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DD">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0DE">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DF">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0E0">
      <w:pPr>
        <w:ind w:left="567"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E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Registro Federal de Contribuyentes</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(RFC), la </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Clave Única de Registro de Población</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(CURP) y cualquier información de carácter personal, bajo las siguientes consideraciones. </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49"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En cuanto al RFC, este constituye un dato personal, ya que para su obtención es necesario acreditar ante la autoridad fiscal previamente la identidad de la persona, su fecha de nacimiento, entre otros aspectos.</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Lo anterior era compartido por el entonces Instituto Nacional de Transparencia, Acceso a la Información y Protección de Datos (INAI) a través del Criterio orientador 19/17, el cual es del tenor literal siguiente:</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851" w:right="616"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Registro Federal de Contribuyentes (RFC) de personas físicas. </w:t>
      </w: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El RFC es una clave de carácter fiscal, única e irrepetible, que permite identificar al titular, su edad y fecha de nacimiento, por lo que es un dato personal de carácter confidencial.” (Sic)</w:t>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Argumento que era compartido por el entonces Instituto Nacional de Transparencia, Acceso a la Información y Protección de Datos (INAI)</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 conforme al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criterio orientador número 18/17, el cual refiere: </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851" w:right="616"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bCs w:val="1"/>
          <w:i w:val="1"/>
          <w:iCs w:val="1"/>
          <w:smallCaps w:val="0"/>
          <w:strike w:val="0"/>
          <w:color w:val="000000"/>
          <w:sz w:val="22"/>
          <w:szCs w:val="22"/>
          <w:u w:val="none"/>
          <w:shd w:fill="auto" w:val="clear"/>
          <w:vertAlign w:val="baseline"/>
          <w:rtl w:val="0"/>
        </w:rPr>
        <w:t xml:space="preserve">Clave Única de Registro de Población (CURP). </w:t>
      </w: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r w:rsidDel="00000000" w:rsidR="00000000" w:rsidRPr="00000000">
        <w:rPr>
          <w:rtl w:val="0"/>
        </w:rPr>
      </w:r>
    </w:p>
    <w:p w:rsidR="00000000" w:rsidDel="00000000" w:rsidP="00000000" w:rsidRDefault="00000000" w:rsidRPr="00000000" w14:paraId="000000E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D">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Relacionado con lo anterior, el </w:t>
      </w:r>
      <w:r w:rsidDel="00000000" w:rsidR="00000000" w:rsidRPr="00000000">
        <w:rPr>
          <w:rFonts w:ascii="Palatino Linotype" w:cs="Palatino Linotype" w:eastAsia="Palatino Linotype" w:hAnsi="Palatino Linotype"/>
          <w:b w:val="1"/>
          <w:bCs w:val="1"/>
          <w:sz w:val="22"/>
          <w:szCs w:val="22"/>
          <w:rtl w:val="0"/>
        </w:rPr>
        <w:t xml:space="preserve">nombre de las personas físicas</w:t>
      </w:r>
      <w:r w:rsidDel="00000000" w:rsidR="00000000" w:rsidRPr="00000000">
        <w:rPr>
          <w:rFonts w:ascii="Palatino Linotype" w:cs="Palatino Linotype" w:eastAsia="Palatino Linotype" w:hAnsi="Palatino Linotype"/>
          <w:sz w:val="22"/>
          <w:szCs w:val="22"/>
          <w:rtl w:val="0"/>
        </w:rPr>
        <w:t xml:space="preserve"> o los </w:t>
      </w:r>
      <w:r w:rsidDel="00000000" w:rsidR="00000000" w:rsidRPr="00000000">
        <w:rPr>
          <w:rFonts w:ascii="Palatino Linotype" w:cs="Palatino Linotype" w:eastAsia="Palatino Linotype" w:hAnsi="Palatino Linotype"/>
          <w:b w:val="1"/>
          <w:bCs w:val="1"/>
          <w:sz w:val="22"/>
          <w:szCs w:val="22"/>
          <w:rtl w:val="0"/>
        </w:rPr>
        <w:t xml:space="preserve">representantes legales de las personas morales</w:t>
      </w:r>
      <w:r w:rsidDel="00000000" w:rsidR="00000000" w:rsidRPr="00000000">
        <w:rPr>
          <w:rFonts w:ascii="Palatino Linotype" w:cs="Palatino Linotype" w:eastAsia="Palatino Linotype" w:hAnsi="Palatino Linotype"/>
          <w:sz w:val="22"/>
          <w:szCs w:val="22"/>
          <w:rtl w:val="0"/>
        </w:rPr>
        <w:t xml:space="preserve">,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rsidR="00000000" w:rsidDel="00000000" w:rsidP="00000000" w:rsidRDefault="00000000" w:rsidRPr="00000000" w14:paraId="000000EE">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Argumentación que guarda sustento en lo estipulado por el artículo 23 de la Ley de Transparencia y Acceso a la Información Pública del Estado de México y Municipios en su penúltimo párrafo, mismo que es del tenor literal siguiente:</w:t>
      </w:r>
    </w:p>
    <w:p w:rsidR="00000000" w:rsidDel="00000000" w:rsidP="00000000" w:rsidRDefault="00000000" w:rsidRPr="00000000" w14:paraId="000000EF">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23.</w:t>
      </w:r>
      <w:r w:rsidDel="00000000" w:rsidR="00000000" w:rsidRPr="00000000">
        <w:rPr>
          <w:rFonts w:ascii="Palatino Linotype" w:cs="Palatino Linotype" w:eastAsia="Palatino Linotype" w:hAnsi="Palatino Linotype"/>
          <w:i w:val="1"/>
          <w:iCs w:val="1"/>
          <w:sz w:val="22"/>
          <w:szCs w:val="22"/>
          <w:rtl w:val="0"/>
        </w:rPr>
        <w:t xml:space="preserve"> (…)</w:t>
      </w:r>
    </w:p>
    <w:p w:rsidR="00000000" w:rsidDel="00000000" w:rsidP="00000000" w:rsidRDefault="00000000" w:rsidRPr="00000000" w14:paraId="000000F0">
      <w:pPr>
        <w:spacing w:after="120" w:before="120"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00000" w:rsidDel="00000000" w:rsidP="00000000" w:rsidRDefault="00000000" w:rsidRPr="00000000" w14:paraId="000000F1">
      <w:pP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aplicable el contenido del criterio orientador 01/19 emitido por el entonces Instituto Nacional de Transparencia, Acceso a la Información, y Protección de Datos Personales, INAI, que lleva por rubro y texto los siguientes</w:t>
      </w:r>
    </w:p>
    <w:p w:rsidR="00000000" w:rsidDel="00000000" w:rsidP="00000000" w:rsidRDefault="00000000" w:rsidRPr="00000000" w14:paraId="000000F2">
      <w:pPr>
        <w:ind w:left="851" w:right="90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“Datos de identificación del representante o apoderado legal.</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Naturaleza jurídica. </w:t>
      </w:r>
      <w:r w:rsidDel="00000000" w:rsidR="00000000" w:rsidRPr="00000000">
        <w:rPr>
          <w:rFonts w:ascii="Palatino Linotype" w:cs="Palatino Linotype" w:eastAsia="Palatino Linotype" w:hAnsi="Palatino Linotype"/>
          <w:i w:val="1"/>
          <w:iCs w:val="1"/>
          <w:sz w:val="22"/>
          <w:szCs w:val="22"/>
          <w:rtl w:val="0"/>
        </w:rPr>
        <w:t xml:space="preserve">El nombre, la firma y la rúbrica de una persona física, que actúe como representante o apoderado legal de un tercero que haya celebrado un acto jurídico, con algún sujeto obligado, </w:t>
      </w:r>
      <w:r w:rsidDel="00000000" w:rsidR="00000000" w:rsidRPr="00000000">
        <w:rPr>
          <w:rFonts w:ascii="Palatino Linotype" w:cs="Palatino Linotype" w:eastAsia="Palatino Linotype" w:hAnsi="Palatino Linotype"/>
          <w:b w:val="1"/>
          <w:bCs w:val="1"/>
          <w:i w:val="1"/>
          <w:iCs w:val="1"/>
          <w:sz w:val="22"/>
          <w:szCs w:val="22"/>
          <w:rtl w:val="0"/>
        </w:rPr>
        <w:t xml:space="preserve">es información pública, en razón de que tales datos fueron proporcionados con el objeto de expresar el consentimiento obligacional del tercero y otorgar validez a dicho instrumento jurídico</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F3">
      <w:pPr>
        <w:ind w:left="851"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rsidR="00000000" w:rsidDel="00000000" w:rsidP="00000000" w:rsidRDefault="00000000" w:rsidRPr="00000000" w14:paraId="000000F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5">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Quincuagésimo</w:t>
      </w:r>
      <w:r w:rsidDel="00000000" w:rsidR="00000000" w:rsidRPr="00000000">
        <w:rPr>
          <w:rFonts w:ascii="Palatino Linotype" w:cs="Palatino Linotype" w:eastAsia="Palatino Linotype" w:hAnsi="Palatino Linotype"/>
          <w:i w:val="1"/>
          <w:iCs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0F6">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primero.</w:t>
      </w:r>
      <w:r w:rsidDel="00000000" w:rsidR="00000000" w:rsidRPr="00000000">
        <w:rPr>
          <w:rFonts w:ascii="Palatino Linotype" w:cs="Palatino Linotype" w:eastAsia="Palatino Linotype" w:hAnsi="Palatino Linotype"/>
          <w:i w:val="1"/>
          <w:iCs w:val="1"/>
          <w:sz w:val="22"/>
          <w:szCs w:val="22"/>
          <w:rtl w:val="0"/>
        </w:rPr>
        <w:t xml:space="preserve"> Toda acta del Comité de Transparencia deberá contener: </w:t>
      </w:r>
    </w:p>
    <w:p w:rsidR="00000000" w:rsidDel="00000000" w:rsidP="00000000" w:rsidRDefault="00000000" w:rsidRPr="00000000" w14:paraId="000000F7">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El número de sesión y fecha; </w:t>
      </w:r>
    </w:p>
    <w:p w:rsidR="00000000" w:rsidDel="00000000" w:rsidP="00000000" w:rsidRDefault="00000000" w:rsidRPr="00000000" w14:paraId="000000F8">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El nombre del área que solicitó la clasificación de información; </w:t>
      </w:r>
    </w:p>
    <w:p w:rsidR="00000000" w:rsidDel="00000000" w:rsidP="00000000" w:rsidRDefault="00000000" w:rsidRPr="00000000" w14:paraId="000000F9">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La fundamentación legal y motivación correspondiente; </w:t>
      </w:r>
    </w:p>
    <w:p w:rsidR="00000000" w:rsidDel="00000000" w:rsidP="00000000" w:rsidRDefault="00000000" w:rsidRPr="00000000" w14:paraId="000000FA">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IV. La resolución o resoluciones aprobadas; y </w:t>
      </w:r>
    </w:p>
    <w:p w:rsidR="00000000" w:rsidDel="00000000" w:rsidP="00000000" w:rsidRDefault="00000000" w:rsidRPr="00000000" w14:paraId="000000FB">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 La rúbrica o firma digital de cada integrante del Comité de Transparencia. </w:t>
      </w:r>
    </w:p>
    <w:p w:rsidR="00000000" w:rsidDel="00000000" w:rsidP="00000000" w:rsidRDefault="00000000" w:rsidRPr="00000000" w14:paraId="000000FC">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0FD">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Los motivos y razonamientos que sustenten la confirmación o modificación de la prueba de daño;</w:t>
      </w:r>
    </w:p>
    <w:p w:rsidR="00000000" w:rsidDel="00000000" w:rsidP="00000000" w:rsidRDefault="00000000" w:rsidRPr="00000000" w14:paraId="000000FE">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Descripción de las partes o secciones reservadas, en caso de clasificación parcial; </w:t>
      </w:r>
    </w:p>
    <w:p w:rsidR="00000000" w:rsidDel="00000000" w:rsidP="00000000" w:rsidRDefault="00000000" w:rsidRPr="00000000" w14:paraId="000000FF">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El periodo por el que mantendrá su clasificación y fecha de expiración; y </w:t>
      </w:r>
    </w:p>
    <w:p w:rsidR="00000000" w:rsidDel="00000000" w:rsidP="00000000" w:rsidRDefault="00000000" w:rsidRPr="00000000" w14:paraId="00000100">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IV. El nombre del titular y área encargada de realizar la versión pública del documento, en su caso. </w:t>
      </w:r>
    </w:p>
    <w:p w:rsidR="00000000" w:rsidDel="00000000" w:rsidP="00000000" w:rsidRDefault="00000000" w:rsidRPr="00000000" w14:paraId="00000101">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02">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03">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segundo.</w:t>
      </w:r>
      <w:r w:rsidDel="00000000" w:rsidR="00000000" w:rsidRPr="00000000">
        <w:rPr>
          <w:rFonts w:ascii="Palatino Linotype" w:cs="Palatino Linotype" w:eastAsia="Palatino Linotype" w:hAnsi="Palatino Linotype"/>
          <w:i w:val="1"/>
          <w:iCs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04">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105">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06">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07">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Señalar las personas o instancias autorizadas a acceder a la información clasificada.</w:t>
      </w:r>
    </w:p>
    <w:p w:rsidR="00000000" w:rsidDel="00000000" w:rsidP="00000000" w:rsidRDefault="00000000" w:rsidRPr="00000000" w14:paraId="00000108">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0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deberá observar los Lineamientos Quincuagésimo cuarto, Quincuagésimo quinto, Quincuagésimo séptimo y Quincuagésimo octavo, vigentes a la fecha de la solicitud de información establecen lo siguiente:</w:t>
      </w:r>
    </w:p>
    <w:p w:rsidR="00000000" w:rsidDel="00000000" w:rsidP="00000000" w:rsidRDefault="00000000" w:rsidRPr="00000000" w14:paraId="0000010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Quincuagésimo cuarto.</w:t>
      </w:r>
      <w:r w:rsidDel="00000000" w:rsidR="00000000" w:rsidRPr="00000000">
        <w:rPr>
          <w:rFonts w:ascii="Palatino Linotype" w:cs="Palatino Linotype" w:eastAsia="Palatino Linotype" w:hAnsi="Palatino Linotype"/>
          <w:i w:val="1"/>
          <w:iCs w:val="1"/>
          <w:sz w:val="22"/>
          <w:szCs w:val="22"/>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10D">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quinto.</w:t>
      </w:r>
      <w:r w:rsidDel="00000000" w:rsidR="00000000" w:rsidRPr="00000000">
        <w:rPr>
          <w:rFonts w:ascii="Palatino Linotype" w:cs="Palatino Linotype" w:eastAsia="Palatino Linotype" w:hAnsi="Palatino Linotype"/>
          <w:i w:val="1"/>
          <w:iCs w:val="1"/>
          <w:sz w:val="22"/>
          <w:szCs w:val="22"/>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0E">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0F">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séptimo.</w:t>
      </w:r>
      <w:r w:rsidDel="00000000" w:rsidR="00000000" w:rsidRPr="00000000">
        <w:rPr>
          <w:rFonts w:ascii="Palatino Linotype" w:cs="Palatino Linotype" w:eastAsia="Palatino Linotype" w:hAnsi="Palatino Linotype"/>
          <w:i w:val="1"/>
          <w:iCs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10">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111">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12">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13">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14">
      <w:pPr>
        <w:ind w:left="567"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1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00000" w:rsidDel="00000000" w:rsidP="00000000" w:rsidRDefault="00000000" w:rsidRPr="00000000" w14:paraId="0000011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respecto a las características de las patrullas</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es importante traer a contexto que, este Organismo Garante no omite mencionar que, </w:t>
      </w:r>
      <w:r w:rsidDel="00000000" w:rsidR="00000000" w:rsidRPr="00000000">
        <w:rPr>
          <w:rFonts w:ascii="Palatino Linotype" w:cs="Palatino Linotype" w:eastAsia="Palatino Linotype" w:hAnsi="Palatino Linotype"/>
          <w:b w:val="1"/>
          <w:bCs w:val="1"/>
          <w:rtl w:val="0"/>
        </w:rPr>
        <w:t xml:space="preserve">el Sujeto Obligado</w:t>
      </w:r>
      <w:r w:rsidDel="00000000" w:rsidR="00000000" w:rsidRPr="00000000">
        <w:rPr>
          <w:rFonts w:ascii="Palatino Linotype" w:cs="Palatino Linotype" w:eastAsia="Palatino Linotype" w:hAnsi="Palatino Linotype"/>
          <w:rtl w:val="0"/>
        </w:rPr>
        <w:t xml:space="preserve"> debe clasificar como información </w:t>
      </w:r>
      <w:r w:rsidDel="00000000" w:rsidR="00000000" w:rsidRPr="00000000">
        <w:rPr>
          <w:rFonts w:ascii="Palatino Linotype" w:cs="Palatino Linotype" w:eastAsia="Palatino Linotype" w:hAnsi="Palatino Linotype"/>
          <w:b w:val="1"/>
          <w:bCs w:val="1"/>
          <w:u w:val="single"/>
          <w:rtl w:val="0"/>
        </w:rPr>
        <w:t xml:space="preserve">reservada</w:t>
      </w:r>
      <w:r w:rsidDel="00000000" w:rsidR="00000000" w:rsidRPr="00000000">
        <w:rPr>
          <w:rFonts w:ascii="Palatino Linotype" w:cs="Palatino Linotype" w:eastAsia="Palatino Linotype" w:hAnsi="Palatino Linotype"/>
          <w:rtl w:val="0"/>
        </w:rPr>
        <w:t xml:space="preserve"> la que por su propia y especial naturaleza, encuadre en alguno de los supuestos que enmarca la Ley de Transparencia y Acceso a la Información Pública del Estado de México y Municipios, misma que puede ser de manera enunciativa más no limitativa la relacionada con el </w:t>
      </w:r>
      <w:r w:rsidDel="00000000" w:rsidR="00000000" w:rsidRPr="00000000">
        <w:rPr>
          <w:rFonts w:ascii="Palatino Linotype" w:cs="Palatino Linotype" w:eastAsia="Palatino Linotype" w:hAnsi="Palatino Linotype"/>
          <w:b w:val="1"/>
          <w:bCs w:val="1"/>
          <w:u w:val="single"/>
          <w:rtl w:val="0"/>
        </w:rPr>
        <w:t xml:space="preserve">equipamiento y características de las patrullas</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1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A">
      <w:pPr>
        <w:spacing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Conforme a lo anterior, se puede colegir que proporcionar la información en análisis podría comprometer la seguridad pública, al poner en peligro las funciones a cargo del Municipio, tendientes a preservar y resguardar la vida, la salud, la integridad y el ejercicio de los derechos de las personas, así como para el mantenimiento del orden público, toda vez </w:t>
      </w:r>
      <w:r w:rsidDel="00000000" w:rsidR="00000000" w:rsidRPr="00000000">
        <w:rPr>
          <w:rFonts w:ascii="Palatino Linotype" w:cs="Palatino Linotype" w:eastAsia="Palatino Linotype" w:hAnsi="Palatino Linotype"/>
          <w:b w:val="1"/>
          <w:bCs w:val="1"/>
          <w:rtl w:val="0"/>
        </w:rPr>
        <w:t xml:space="preserve">que podría dar cuenta de las tecnologías, equipos y sistemas con los que cuentan los equipos de la Dirección Seguridad Pública o equivalente </w:t>
      </w:r>
      <w:r w:rsidDel="00000000" w:rsidR="00000000" w:rsidRPr="00000000">
        <w:rPr>
          <w:rFonts w:ascii="Palatino Linotype" w:cs="Palatino Linotype" w:eastAsia="Palatino Linotype" w:hAnsi="Palatino Linotype"/>
          <w:rtl w:val="0"/>
        </w:rPr>
        <w:t xml:space="preserve">y por lo tanto, acredita la causal de clasificación prevista en el artículo 140, fracción I de la Ley de Transparencia y Acceso a la Información Pública del Estado de México</w:t>
      </w:r>
      <w:r w:rsidDel="00000000" w:rsidR="00000000" w:rsidRPr="00000000">
        <w:rPr>
          <w:rFonts w:ascii="Palatino Linotype" w:cs="Palatino Linotype" w:eastAsia="Palatino Linotype" w:hAnsi="Palatino Linotype"/>
          <w:b w:val="1"/>
          <w:bCs w:val="1"/>
          <w:rtl w:val="0"/>
        </w:rPr>
        <w:t xml:space="preserve">.</w:t>
      </w:r>
    </w:p>
    <w:p w:rsidR="00000000" w:rsidDel="00000000" w:rsidP="00000000" w:rsidRDefault="00000000" w:rsidRPr="00000000" w14:paraId="0000011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tales consideraciones, resulta procedente la reserva, en términos del artículo 140, fracción I, de la Ley de Transparencia y Acceso a la Información Pública del Estado de México y Municipios, respecto a las especificaciones técnicas con los que cuentan las patrullas municipales.</w:t>
      </w:r>
    </w:p>
    <w:p w:rsidR="00000000" w:rsidDel="00000000" w:rsidP="00000000" w:rsidRDefault="00000000" w:rsidRPr="00000000" w14:paraId="0000011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se considera que el Ayuntamiento, deberá entregar el acuerdo de clasificación emitido por el Comité de Transparencia, en donde de manera fundada y motivada, a través de una prueba de daño, confirme la clasificación como reservada, en términos del artículo 140, fracción I de la Ley de Transparencia y Acceso a la Información Pública del Estado de México y Municipios, de especificaciones de radio comunicación de las patrullas municipales, a través de la versión pública que entregue.</w:t>
      </w:r>
    </w:p>
    <w:p w:rsidR="00000000" w:rsidDel="00000000" w:rsidP="00000000" w:rsidRDefault="00000000" w:rsidRPr="00000000" w14:paraId="0000011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sin perder de vista que la Constitución Política de los Estados Unidos Mexicanos le otorga a </w:t>
      </w:r>
      <w:r w:rsidDel="00000000" w:rsidR="00000000" w:rsidRPr="00000000">
        <w:rPr>
          <w:rFonts w:ascii="Palatino Linotype" w:cs="Palatino Linotype" w:eastAsia="Palatino Linotype" w:hAnsi="Palatino Linotype"/>
          <w:b w:val="1"/>
          <w:bCs w:val="1"/>
          <w:rtl w:val="0"/>
        </w:rPr>
        <w:t xml:space="preserve">todos los documentos</w:t>
      </w:r>
      <w:r w:rsidDel="00000000" w:rsidR="00000000" w:rsidRPr="00000000">
        <w:rPr>
          <w:rFonts w:ascii="Palatino Linotype" w:cs="Palatino Linotype" w:eastAsia="Palatino Linotype" w:hAnsi="Palatino Linotype"/>
          <w:rtl w:val="0"/>
        </w:rPr>
        <w:t xml:space="preserve"> en posesión de las autoridades </w:t>
      </w:r>
      <w:r w:rsidDel="00000000" w:rsidR="00000000" w:rsidRPr="00000000">
        <w:rPr>
          <w:rFonts w:ascii="Palatino Linotype" w:cs="Palatino Linotype" w:eastAsia="Palatino Linotype" w:hAnsi="Palatino Linotype"/>
          <w:b w:val="1"/>
          <w:bCs w:val="1"/>
          <w:rtl w:val="0"/>
        </w:rPr>
        <w:t xml:space="preserve">la calidad de públicos</w:t>
      </w:r>
      <w:r w:rsidDel="00000000" w:rsidR="00000000" w:rsidRPr="00000000">
        <w:rPr>
          <w:rFonts w:ascii="Palatino Linotype" w:cs="Palatino Linotype" w:eastAsia="Palatino Linotype" w:hAnsi="Palatino Linotype"/>
          <w:rtl w:val="0"/>
        </w:rPr>
        <w:t xml:space="preserve">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rsidR="00000000" w:rsidDel="00000000" w:rsidP="00000000" w:rsidRDefault="00000000" w:rsidRPr="00000000" w14:paraId="0000012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pertinente aclarar que, la información que se clasifica bajo la premisa de reservada, </w:t>
      </w:r>
      <w:r w:rsidDel="00000000" w:rsidR="00000000" w:rsidRPr="00000000">
        <w:rPr>
          <w:rFonts w:ascii="Palatino Linotype" w:cs="Palatino Linotype" w:eastAsia="Palatino Linotype" w:hAnsi="Palatino Linotype"/>
          <w:b w:val="1"/>
          <w:bCs w:val="1"/>
          <w:rtl w:val="0"/>
        </w:rPr>
        <w:t xml:space="preserve">no pierde el carácter de pública</w:t>
      </w:r>
      <w:r w:rsidDel="00000000" w:rsidR="00000000" w:rsidRPr="00000000">
        <w:rPr>
          <w:rFonts w:ascii="Palatino Linotype" w:cs="Palatino Linotype" w:eastAsia="Palatino Linotype" w:hAnsi="Palatino Linotype"/>
          <w:rtl w:val="0"/>
        </w:rPr>
        <w:t xml:space="preserve">, sino que </w:t>
      </w:r>
      <w:r w:rsidDel="00000000" w:rsidR="00000000" w:rsidRPr="00000000">
        <w:rPr>
          <w:rFonts w:ascii="Palatino Linotype" w:cs="Palatino Linotype" w:eastAsia="Palatino Linotype" w:hAnsi="Palatino Linotype"/>
          <w:b w:val="1"/>
          <w:bCs w:val="1"/>
          <w:rtl w:val="0"/>
        </w:rPr>
        <w:t xml:space="preserve">se reserva temporalmente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rtl w:val="0"/>
        </w:rPr>
        <w:t xml:space="preserve">del conocimiento público</w:t>
      </w:r>
      <w:r w:rsidDel="00000000" w:rsidR="00000000" w:rsidRPr="00000000">
        <w:rPr>
          <w:rFonts w:ascii="Palatino Linotype" w:cs="Palatino Linotype" w:eastAsia="Palatino Linotype" w:hAnsi="Palatino Linotype"/>
          <w:rtl w:val="0"/>
        </w:rPr>
        <w:t xml:space="preserve">, es decir, que, </w:t>
      </w:r>
      <w:r w:rsidDel="00000000" w:rsidR="00000000" w:rsidRPr="00000000">
        <w:rPr>
          <w:rFonts w:ascii="Palatino Linotype" w:cs="Palatino Linotype" w:eastAsia="Palatino Linotype" w:hAnsi="Palatino Linotype"/>
          <w:b w:val="1"/>
          <w:bCs w:val="1"/>
          <w:rtl w:val="0"/>
        </w:rPr>
        <w:t xml:space="preserve">por un tiempo determinado</w:t>
      </w:r>
      <w:r w:rsidDel="00000000" w:rsidR="00000000" w:rsidRPr="00000000">
        <w:rPr>
          <w:rFonts w:ascii="Palatino Linotype" w:cs="Palatino Linotype" w:eastAsia="Palatino Linotype" w:hAnsi="Palatino Linotype"/>
          <w:rtl w:val="0"/>
        </w:rPr>
        <w:t xml:space="preserve">, se conservará y custodiará la información de manera especial, y una vez transcurrido el plazo de reserva, el documento podrá divulgarse.</w:t>
      </w:r>
    </w:p>
    <w:p w:rsidR="00000000" w:rsidDel="00000000" w:rsidP="00000000" w:rsidRDefault="00000000" w:rsidRPr="00000000" w14:paraId="0000012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 que literalmente señala:</w:t>
      </w:r>
    </w:p>
    <w:p w:rsidR="00000000" w:rsidDel="00000000" w:rsidP="00000000" w:rsidRDefault="00000000" w:rsidRPr="00000000" w14:paraId="00000125">
      <w:pPr>
        <w:spacing w:line="259"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6">
      <w:pPr>
        <w:spacing w:line="259"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INFORMACIÓN RESERVADA. APLICACIÓN DE LA "PRUEBA DE DAÑO E INTERÉS PÚBLICO" PARA DETERMINAR LO ADECUADO DE LA APORTADA CON ESA CLASIFICACIÓN EN EL JUICIO DE AMPARO POR LA AUTORIDAD RESPONSABLE, A EFECTO DE HACER VIABLE LA DEFENSA EFECTIVA DEL QUEJOSO.</w:t>
      </w:r>
      <w:r w:rsidDel="00000000" w:rsidR="00000000" w:rsidRPr="00000000">
        <w:rPr>
          <w:rFonts w:ascii="Palatino Linotype" w:cs="Palatino Linotype" w:eastAsia="Palatino Linotype" w:hAnsi="Palatino Linotype"/>
          <w:i w:val="1"/>
          <w:iCs w:val="1"/>
          <w:sz w:val="22"/>
          <w:szCs w:val="22"/>
          <w:rtl w:val="0"/>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w:t>
      </w:r>
    </w:p>
    <w:p w:rsidR="00000000" w:rsidDel="00000000" w:rsidP="00000000" w:rsidRDefault="00000000" w:rsidRPr="00000000" w14:paraId="00000127">
      <w:pPr>
        <w:spacing w:line="259"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2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todo lo anterior, la reserva de la información implica una clasificación, la cual debe entenderse como el proceso mediante el cual </w:t>
      </w:r>
      <w:r w:rsidDel="00000000" w:rsidR="00000000" w:rsidRPr="00000000">
        <w:rPr>
          <w:rFonts w:ascii="Palatino Linotype" w:cs="Palatino Linotype" w:eastAsia="Palatino Linotype" w:hAnsi="Palatino Linotype"/>
          <w:b w:val="1"/>
          <w:bCs w:val="1"/>
          <w:rtl w:val="0"/>
        </w:rPr>
        <w:t xml:space="preserve">el Sujeto Obligado</w:t>
      </w:r>
      <w:r w:rsidDel="00000000" w:rsidR="00000000" w:rsidRPr="00000000">
        <w:rPr>
          <w:rFonts w:ascii="Palatino Linotype" w:cs="Palatino Linotype" w:eastAsia="Palatino Linotype" w:hAnsi="Palatino Linotype"/>
          <w:rtl w:val="0"/>
        </w:rPr>
        <w:t xml:space="preserve"> determina que la información en su poder actualiza alguno de los supuestos conforme a las normas aplicables.</w:t>
      </w:r>
    </w:p>
    <w:p w:rsidR="00000000" w:rsidDel="00000000" w:rsidP="00000000" w:rsidRDefault="00000000" w:rsidRPr="00000000" w14:paraId="0000012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a concluir que el caso particular se ajusta al supuesto previsto por la norma legal invocada como fundamento; siendo que, además, </w:t>
      </w:r>
      <w:r w:rsidDel="00000000" w:rsidR="00000000" w:rsidRPr="00000000">
        <w:rPr>
          <w:rFonts w:ascii="Palatino Linotype" w:cs="Palatino Linotype" w:eastAsia="Palatino Linotype" w:hAnsi="Palatino Linotype"/>
          <w:b w:val="1"/>
          <w:bCs w:val="1"/>
          <w:rtl w:val="0"/>
        </w:rPr>
        <w:t xml:space="preserve">el Sujeto Obligado</w:t>
      </w:r>
      <w:r w:rsidDel="00000000" w:rsidR="00000000" w:rsidRPr="00000000">
        <w:rPr>
          <w:rFonts w:ascii="Palatino Linotype" w:cs="Palatino Linotype" w:eastAsia="Palatino Linotype" w:hAnsi="Palatino Linotype"/>
          <w:rtl w:val="0"/>
        </w:rPr>
        <w:t xml:space="preserve"> debe, en todo momento, aplicar una prueba de daño.</w:t>
      </w:r>
    </w:p>
    <w:p w:rsidR="00000000" w:rsidDel="00000000" w:rsidP="00000000" w:rsidRDefault="00000000" w:rsidRPr="00000000" w14:paraId="0000012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000000" w:rsidDel="00000000" w:rsidP="00000000" w:rsidRDefault="00000000" w:rsidRPr="00000000" w14:paraId="0000012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000000" w:rsidDel="00000000" w:rsidP="00000000" w:rsidRDefault="00000000" w:rsidRPr="00000000" w14:paraId="0000012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0">
      <w:pPr>
        <w:numPr>
          <w:ilvl w:val="0"/>
          <w:numId w:val="6"/>
        </w:numPr>
        <w:spacing w:after="160" w:line="360" w:lineRule="auto"/>
        <w:ind w:left="567" w:right="900" w:hanging="28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reciba una solicitud de acceso a la información;</w:t>
      </w:r>
    </w:p>
    <w:p w:rsidR="00000000" w:rsidDel="00000000" w:rsidP="00000000" w:rsidRDefault="00000000" w:rsidRPr="00000000" w14:paraId="00000131">
      <w:pPr>
        <w:numPr>
          <w:ilvl w:val="0"/>
          <w:numId w:val="6"/>
        </w:numPr>
        <w:spacing w:after="160" w:line="360" w:lineRule="auto"/>
        <w:ind w:left="567" w:right="900" w:hanging="28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determine mediante resolución de autoridad competente; y/o</w:t>
      </w:r>
    </w:p>
    <w:p w:rsidR="00000000" w:rsidDel="00000000" w:rsidP="00000000" w:rsidRDefault="00000000" w:rsidRPr="00000000" w14:paraId="00000132">
      <w:pPr>
        <w:numPr>
          <w:ilvl w:val="0"/>
          <w:numId w:val="6"/>
        </w:numPr>
        <w:spacing w:after="160" w:line="360" w:lineRule="auto"/>
        <w:ind w:left="567" w:right="900" w:hanging="28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generen versiones públicas para dar cumplimiento a las obligaciones de transparencia previstas en la Ley.</w:t>
      </w:r>
    </w:p>
    <w:p w:rsidR="00000000" w:rsidDel="00000000" w:rsidP="00000000" w:rsidRDefault="00000000" w:rsidRPr="00000000" w14:paraId="00000133">
      <w:pPr>
        <w:spacing w:line="360" w:lineRule="auto"/>
        <w:ind w:left="1276"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Situación que se robustece con el artículo 141 de la misma Ley, que señala que las causales de reserva previstas, se deberán fundar y motivar, a través de la aplicación de la prueba de daño.</w:t>
      </w:r>
    </w:p>
    <w:p w:rsidR="00000000" w:rsidDel="00000000" w:rsidP="00000000" w:rsidRDefault="00000000" w:rsidRPr="00000000" w14:paraId="0000013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000000" w:rsidDel="00000000" w:rsidP="00000000" w:rsidRDefault="00000000" w:rsidRPr="00000000" w14:paraId="0000013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8">
      <w:pPr>
        <w:numPr>
          <w:ilvl w:val="0"/>
          <w:numId w:val="7"/>
        </w:numPr>
        <w:spacing w:after="160" w:line="360" w:lineRule="auto"/>
        <w:ind w:left="567" w:right="900" w:hanging="14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divulgación de la información representa un </w:t>
      </w:r>
      <w:r w:rsidDel="00000000" w:rsidR="00000000" w:rsidRPr="00000000">
        <w:rPr>
          <w:rFonts w:ascii="Palatino Linotype" w:cs="Palatino Linotype" w:eastAsia="Palatino Linotype" w:hAnsi="Palatino Linotype"/>
          <w:b w:val="1"/>
          <w:bCs w:val="1"/>
          <w:rtl w:val="0"/>
        </w:rPr>
        <w:t xml:space="preserve">riesgo real, demostrable e identificable del perjuicio significativo al interés público o a la seguridad pública</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39">
      <w:pPr>
        <w:numPr>
          <w:ilvl w:val="0"/>
          <w:numId w:val="7"/>
        </w:numPr>
        <w:spacing w:after="160" w:line="360" w:lineRule="auto"/>
        <w:ind w:left="567" w:right="900" w:hanging="14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riesgo de perjuicio que supondría la divulgación supera el interés público general de que se difunda; y,</w:t>
      </w:r>
    </w:p>
    <w:p w:rsidR="00000000" w:rsidDel="00000000" w:rsidP="00000000" w:rsidRDefault="00000000" w:rsidRPr="00000000" w14:paraId="0000013A">
      <w:pPr>
        <w:numPr>
          <w:ilvl w:val="0"/>
          <w:numId w:val="7"/>
        </w:numPr>
        <w:spacing w:after="160" w:line="360" w:lineRule="auto"/>
        <w:ind w:left="567" w:right="900" w:hanging="14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limitación se adecua al principio de proporcionalidad y representa el medio menos restrictivo disponible para evitar el perjuicio. </w:t>
      </w:r>
    </w:p>
    <w:p w:rsidR="00000000" w:rsidDel="00000000" w:rsidP="00000000" w:rsidRDefault="00000000" w:rsidRPr="00000000" w14:paraId="0000013B">
      <w:pPr>
        <w:widowControl w:val="0"/>
        <w:tabs>
          <w:tab w:val="left" w:leader="none" w:pos="1276"/>
          <w:tab w:val="left" w:leader="none" w:pos="1701"/>
          <w:tab w:val="left" w:leader="none" w:pos="1843"/>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Atento a lo anterior, es necesario hacer hincapié que para el caso de que existan causas presentes que impiden la publicidad de la información durante cierto periodo de tiempo, debe clasificar la información como reservada, precisar las razones objetivas por las que la apertura de la información generaría una afectación, asimismo es claro que los mismos deben aplicar de manera restrictiva y limitada las hipótesis de clasificación y no hacerlas valer de manera general.</w:t>
      </w:r>
    </w:p>
    <w:p w:rsidR="00000000" w:rsidDel="00000000" w:rsidP="00000000" w:rsidRDefault="00000000" w:rsidRPr="00000000" w14:paraId="0000013C">
      <w:pPr>
        <w:widowControl w:val="0"/>
        <w:tabs>
          <w:tab w:val="left" w:leader="none" w:pos="1276"/>
          <w:tab w:val="left" w:leader="none" w:pos="1701"/>
          <w:tab w:val="left" w:leader="none" w:pos="1843"/>
        </w:tabs>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respecto a la información que habrá de ser reservada, resulta necesario señalar que de conformidad con el artículo 3, fracciones XXIV de la Ley de Transparencia y Acceso a la Información Pública del Estado de México y Municipios, se define de la siguiente manera:</w:t>
      </w:r>
    </w:p>
    <w:p w:rsidR="00000000" w:rsidDel="00000000" w:rsidP="00000000" w:rsidRDefault="00000000" w:rsidRPr="00000000" w14:paraId="0000013E">
      <w:pPr>
        <w:spacing w:line="360" w:lineRule="auto"/>
        <w:jc w:val="both"/>
        <w:rPr>
          <w:rFonts w:ascii="Palatino Linotype" w:cs="Palatino Linotype" w:eastAsia="Palatino Linotype" w:hAnsi="Palatino Linotype"/>
          <w:sz w:val="14"/>
          <w:szCs w:val="14"/>
        </w:rPr>
      </w:pPr>
      <w:r w:rsidDel="00000000" w:rsidR="00000000" w:rsidRPr="00000000">
        <w:rPr>
          <w:rtl w:val="0"/>
        </w:rPr>
      </w:r>
    </w:p>
    <w:p w:rsidR="00000000" w:rsidDel="00000000" w:rsidP="00000000" w:rsidRDefault="00000000" w:rsidRPr="00000000" w14:paraId="0000013F">
      <w:pPr>
        <w:spacing w:line="259" w:lineRule="auto"/>
        <w:ind w:left="567" w:right="567"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“…XXIV. Información reservada:</w:t>
      </w:r>
      <w:r w:rsidDel="00000000" w:rsidR="00000000" w:rsidRPr="00000000">
        <w:rPr>
          <w:rFonts w:ascii="Palatino Linotype" w:cs="Palatino Linotype" w:eastAsia="Palatino Linotype" w:hAnsi="Palatino Linotype"/>
          <w:i w:val="1"/>
          <w:iCs w:val="1"/>
          <w:sz w:val="22"/>
          <w:szCs w:val="22"/>
          <w:rtl w:val="0"/>
        </w:rPr>
        <w:t xml:space="preserve"> La clasificada con este carácter de manera temporal por las disposiciones de esta Ley, cuya divulgación puede causar daño en términos de lo establecido por esta Ley…”</w:t>
      </w:r>
    </w:p>
    <w:p w:rsidR="00000000" w:rsidDel="00000000" w:rsidP="00000000" w:rsidRDefault="00000000" w:rsidRPr="00000000" w14:paraId="0000014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En síntesis, se determina que, excepcionalmente la información pública podrá ser clasificada como reservada temporalmente por razones de interés público</w:t>
      </w:r>
      <w:r w:rsidDel="00000000" w:rsidR="00000000" w:rsidRPr="00000000">
        <w:rPr>
          <w:rFonts w:ascii="Palatino Linotype" w:cs="Palatino Linotype" w:eastAsia="Palatino Linotype" w:hAnsi="Palatino Linotype"/>
          <w:rtl w:val="0"/>
        </w:rPr>
        <w:t xml:space="preserve">, en los términos de las causas legítimas y estrictamente necesarias previstas por la Ley de Transparencia, por lo que los Sujetos Obligados deben garantizar el derecho de acceso a la información pública, pero también tienen </w:t>
      </w:r>
      <w:r w:rsidDel="00000000" w:rsidR="00000000" w:rsidRPr="00000000">
        <w:rPr>
          <w:rFonts w:ascii="Palatino Linotype" w:cs="Palatino Linotype" w:eastAsia="Palatino Linotype" w:hAnsi="Palatino Linotype"/>
          <w:b w:val="1"/>
          <w:bCs w:val="1"/>
          <w:rtl w:val="0"/>
        </w:rPr>
        <w:t xml:space="preserve">la obligación de proteger aquella información que ponga en riesgo el interés público</w:t>
      </w:r>
      <w:r w:rsidDel="00000000" w:rsidR="00000000" w:rsidRPr="00000000">
        <w:rPr>
          <w:rFonts w:ascii="Palatino Linotype" w:cs="Palatino Linotype" w:eastAsia="Palatino Linotype" w:hAnsi="Palatino Linotype"/>
          <w:rtl w:val="0"/>
        </w:rPr>
        <w:t xml:space="preserve">. De tal manera, que para el presente asunto, es dable señalar que la información respecto a las especificaciones técnicas del equipamiento de las patrullas que pueda obrar en los Contratos celebrados para la adquisición y/o renta de patrullas municipales debe clasificarse como información reservada.</w:t>
      </w:r>
    </w:p>
    <w:p w:rsidR="00000000" w:rsidDel="00000000" w:rsidP="00000000" w:rsidRDefault="00000000" w:rsidRPr="00000000" w14:paraId="0000014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anteriormente expuesto y con fundamento en lo prescrito en los artículos 5 párrafos trigésimo noveno, cuadragésimo y cuadragésimo primero de la Constitución Política del Estado Libre y Soberano de México; 2, fracción II; 29, 36 fracciones I y II; 176, 178, 181, 185 y 186 fracción III de la Ley de Transparencia y Acceso a la Información Pública del Estado de México y Municipios, este Pleno:</w:t>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240" w:before="240" w:line="360" w:lineRule="auto"/>
        <w:ind w:left="567" w:firstLine="0"/>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 E S U E L V E:</w:t>
      </w:r>
    </w:p>
    <w:p w:rsidR="00000000" w:rsidDel="00000000" w:rsidP="00000000" w:rsidRDefault="00000000" w:rsidRPr="00000000" w14:paraId="00000144">
      <w:pPr>
        <w:spacing w:after="240" w:before="240"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w:t>
      </w:r>
      <w:r w:rsidDel="00000000" w:rsidR="00000000" w:rsidRPr="00000000">
        <w:rPr>
          <w:rFonts w:ascii="Palatino Linotype" w:cs="Palatino Linotype" w:eastAsia="Palatino Linotype" w:hAnsi="Palatino Linotype"/>
          <w:b w:val="1"/>
          <w:bCs w:val="1"/>
          <w:sz w:val="22"/>
          <w:szCs w:val="22"/>
          <w:rtl w:val="0"/>
        </w:rPr>
        <w:t xml:space="preserve"> fundados </w:t>
      </w:r>
      <w:r w:rsidDel="00000000" w:rsidR="00000000" w:rsidRPr="00000000">
        <w:rPr>
          <w:rFonts w:ascii="Palatino Linotype" w:cs="Palatino Linotype" w:eastAsia="Palatino Linotype" w:hAnsi="Palatino Linotype"/>
          <w:sz w:val="22"/>
          <w:szCs w:val="22"/>
          <w:rtl w:val="0"/>
        </w:rPr>
        <w:t xml:space="preserve">los motivos de inconformidad hechos valer por </w:t>
      </w:r>
      <w:r w:rsidDel="00000000" w:rsidR="00000000" w:rsidRPr="00000000">
        <w:rPr>
          <w:rFonts w:ascii="Palatino Linotype" w:cs="Palatino Linotype" w:eastAsia="Palatino Linotype" w:hAnsi="Palatino Linotype"/>
          <w:b w:val="1"/>
          <w:bCs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en el Recurso de Revisión</w:t>
      </w:r>
      <w:r w:rsidDel="00000000" w:rsidR="00000000" w:rsidRPr="00000000">
        <w:rPr>
          <w:rFonts w:ascii="Palatino Linotype" w:cs="Palatino Linotype" w:eastAsia="Palatino Linotype" w:hAnsi="Palatino Linotype"/>
          <w:b w:val="1"/>
          <w:bCs w:val="1"/>
          <w:sz w:val="22"/>
          <w:szCs w:val="22"/>
          <w:rtl w:val="0"/>
        </w:rPr>
        <w:t xml:space="preserve"> 08619/INFOEM/IP/RR/2025, </w:t>
      </w:r>
      <w:r w:rsidDel="00000000" w:rsidR="00000000" w:rsidRPr="00000000">
        <w:rPr>
          <w:rFonts w:ascii="Palatino Linotype" w:cs="Palatino Linotype" w:eastAsia="Palatino Linotype" w:hAnsi="Palatino Linotype"/>
          <w:sz w:val="22"/>
          <w:szCs w:val="22"/>
          <w:rtl w:val="0"/>
        </w:rPr>
        <w:t xml:space="preserve">por lo que</w:t>
      </w:r>
      <w:r w:rsidDel="00000000" w:rsidR="00000000" w:rsidRPr="00000000">
        <w:rPr>
          <w:rFonts w:ascii="Palatino Linotype" w:cs="Palatino Linotype" w:eastAsia="Palatino Linotype" w:hAnsi="Palatino Linotype"/>
          <w:b w:val="1"/>
          <w:bCs w:val="1"/>
          <w:sz w:val="22"/>
          <w:szCs w:val="22"/>
          <w:rtl w:val="0"/>
        </w:rPr>
        <w:t xml:space="preserve">, en términos del Considerando Cuarto </w:t>
      </w:r>
      <w:r w:rsidDel="00000000" w:rsidR="00000000" w:rsidRPr="00000000">
        <w:rPr>
          <w:rFonts w:ascii="Palatino Linotype" w:cs="Palatino Linotype" w:eastAsia="Palatino Linotype" w:hAnsi="Palatino Linotype"/>
          <w:sz w:val="22"/>
          <w:szCs w:val="22"/>
          <w:rtl w:val="0"/>
        </w:rPr>
        <w:t xml:space="preserve">de la presente resolución</w:t>
      </w:r>
      <w:r w:rsidDel="00000000" w:rsidR="00000000" w:rsidRPr="00000000">
        <w:rPr>
          <w:rFonts w:ascii="Palatino Linotype" w:cs="Palatino Linotype" w:eastAsia="Palatino Linotype" w:hAnsi="Palatino Linotype"/>
          <w:b w:val="1"/>
          <w:bCs w:val="1"/>
          <w:sz w:val="22"/>
          <w:szCs w:val="22"/>
          <w:rtl w:val="0"/>
        </w:rPr>
        <w:t xml:space="preserve">, se REVOCA l</w:t>
      </w:r>
      <w:r w:rsidDel="00000000" w:rsidR="00000000" w:rsidRPr="00000000">
        <w:rPr>
          <w:rFonts w:ascii="Palatino Linotype" w:cs="Palatino Linotype" w:eastAsia="Palatino Linotype" w:hAnsi="Palatino Linotype"/>
          <w:sz w:val="22"/>
          <w:szCs w:val="22"/>
          <w:rtl w:val="0"/>
        </w:rPr>
        <w:t xml:space="preserve">a respuesta del</w:t>
      </w:r>
      <w:r w:rsidDel="00000000" w:rsidR="00000000" w:rsidRPr="00000000">
        <w:rPr>
          <w:rFonts w:ascii="Palatino Linotype" w:cs="Palatino Linotype" w:eastAsia="Palatino Linotype" w:hAnsi="Palatino Linotype"/>
          <w:b w:val="1"/>
          <w:bCs w:val="1"/>
          <w:sz w:val="22"/>
          <w:szCs w:val="22"/>
          <w:rtl w:val="0"/>
        </w:rPr>
        <w:t xml:space="preserve"> Sujeto Obligado.</w:t>
      </w:r>
    </w:p>
    <w:p w:rsidR="00000000" w:rsidDel="00000000" w:rsidP="00000000" w:rsidRDefault="00000000" w:rsidRPr="00000000" w14:paraId="00000145">
      <w:pPr>
        <w:spacing w:after="240" w:before="240" w:line="360" w:lineRule="auto"/>
        <w:jc w:val="both"/>
        <w:rPr>
          <w:rFonts w:ascii="Palatino Linotype" w:cs="Palatino Linotype" w:eastAsia="Palatino Linotype" w:hAnsi="Palatino Linotype"/>
          <w:b w:val="1"/>
          <w:bCs w:val="1"/>
          <w:sz w:val="22"/>
          <w:szCs w:val="22"/>
        </w:rPr>
      </w:pPr>
      <w:bookmarkStart w:colFirst="0" w:colLast="0" w:name="_heading=h.j3ppyxwlb1s2" w:id="2"/>
      <w:bookmarkEnd w:id="2"/>
      <w:r w:rsidDel="00000000" w:rsidR="00000000" w:rsidRPr="00000000">
        <w:rPr>
          <w:rFonts w:ascii="Palatino Linotype" w:cs="Palatino Linotype" w:eastAsia="Palatino Linotype" w:hAnsi="Palatino Linotype"/>
          <w:b w:val="1"/>
          <w:bCs w:val="1"/>
          <w:sz w:val="22"/>
          <w:szCs w:val="22"/>
          <w:rtl w:val="0"/>
        </w:rPr>
        <w:t xml:space="preserve">Segundo. Se Ordena al Sujeto Obligado </w:t>
      </w:r>
      <w:r w:rsidDel="00000000" w:rsidR="00000000" w:rsidRPr="00000000">
        <w:rPr>
          <w:rFonts w:ascii="Palatino Linotype" w:cs="Palatino Linotype" w:eastAsia="Palatino Linotype" w:hAnsi="Palatino Linotype"/>
          <w:sz w:val="22"/>
          <w:szCs w:val="22"/>
          <w:rtl w:val="0"/>
        </w:rPr>
        <w:t xml:space="preserve">que en términos de los</w:t>
      </w:r>
      <w:r w:rsidDel="00000000" w:rsidR="00000000" w:rsidRPr="00000000">
        <w:rPr>
          <w:rFonts w:ascii="Palatino Linotype" w:cs="Palatino Linotype" w:eastAsia="Palatino Linotype" w:hAnsi="Palatino Linotype"/>
          <w:b w:val="1"/>
          <w:bCs w:val="1"/>
          <w:sz w:val="22"/>
          <w:szCs w:val="22"/>
          <w:rtl w:val="0"/>
        </w:rPr>
        <w:t xml:space="preserve"> Considerandos Cuarto y Quinto </w:t>
      </w:r>
      <w:r w:rsidDel="00000000" w:rsidR="00000000" w:rsidRPr="00000000">
        <w:rPr>
          <w:rFonts w:ascii="Palatino Linotype" w:cs="Palatino Linotype" w:eastAsia="Palatino Linotype" w:hAnsi="Palatino Linotype"/>
          <w:sz w:val="22"/>
          <w:szCs w:val="22"/>
          <w:rtl w:val="0"/>
        </w:rPr>
        <w:t xml:space="preserve">de esta resolución, haga entrega a </w:t>
      </w:r>
      <w:r w:rsidDel="00000000" w:rsidR="00000000" w:rsidRPr="00000000">
        <w:rPr>
          <w:rFonts w:ascii="Palatino Linotype" w:cs="Palatino Linotype" w:eastAsia="Palatino Linotype" w:hAnsi="Palatino Linotype"/>
          <w:b w:val="1"/>
          <w:bCs w:val="1"/>
          <w:sz w:val="22"/>
          <w:szCs w:val="22"/>
          <w:rtl w:val="0"/>
        </w:rPr>
        <w:t xml:space="preserve">la parte Recurrente a través del SAIMEX,</w:t>
      </w:r>
      <w:r w:rsidDel="00000000" w:rsidR="00000000" w:rsidRPr="00000000">
        <w:rPr>
          <w:rFonts w:ascii="Palatino Linotype" w:cs="Palatino Linotype" w:eastAsia="Palatino Linotype" w:hAnsi="Palatino Linotype"/>
          <w:sz w:val="22"/>
          <w:szCs w:val="22"/>
          <w:rtl w:val="0"/>
        </w:rPr>
        <w:t xml:space="preserve"> previa búsqueda exhaustiva y razonable, de ser el caso en versión pública, la siguiente información: </w:t>
      </w:r>
      <w:r w:rsidDel="00000000" w:rsidR="00000000" w:rsidRPr="00000000">
        <w:rPr>
          <w:rtl w:val="0"/>
        </w:rPr>
      </w:r>
    </w:p>
    <w:p w:rsidR="00000000" w:rsidDel="00000000" w:rsidP="00000000" w:rsidRDefault="00000000" w:rsidRPr="00000000" w14:paraId="000001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09" w:right="0" w:hanging="284"/>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los contratos celebrados del uno de enero al veinticinco de junio de dos mil veinticinco, de los siguientes bienes y servicios:</w:t>
      </w:r>
    </w:p>
    <w:p w:rsidR="00000000" w:rsidDel="00000000" w:rsidP="00000000" w:rsidRDefault="00000000" w:rsidRPr="00000000" w14:paraId="000001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Arrendamiento de bienes inmuebles que ocupa el Ayuntamiento de Almoloya de Juárez </w:t>
      </w:r>
    </w:p>
    <w:p w:rsidR="00000000" w:rsidDel="00000000" w:rsidP="00000000" w:rsidRDefault="00000000" w:rsidRPr="00000000" w14:paraId="000001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Arrendamiento de vehículos utilitarios, patrullas, ambulancias y camiones recolectores de basura </w:t>
      </w:r>
    </w:p>
    <w:p w:rsidR="00000000" w:rsidDel="00000000" w:rsidP="00000000" w:rsidRDefault="00000000" w:rsidRPr="00000000" w14:paraId="000001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Arrendamiento de equipo de cómputo y fotocopiadoras</w:t>
      </w:r>
    </w:p>
    <w:p w:rsidR="00000000" w:rsidDel="00000000" w:rsidP="00000000" w:rsidRDefault="00000000" w:rsidRPr="00000000" w14:paraId="000001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Arrendamiento de lonas, carpas y mobiliario, </w:t>
      </w:r>
    </w:p>
    <w:p w:rsidR="00000000" w:rsidDel="00000000" w:rsidP="00000000" w:rsidRDefault="00000000" w:rsidRPr="00000000" w14:paraId="0000014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Arrendamiento de Juegos mecánicos; y,</w:t>
      </w:r>
    </w:p>
    <w:p w:rsidR="00000000" w:rsidDel="00000000" w:rsidP="00000000" w:rsidRDefault="00000000" w:rsidRPr="00000000" w14:paraId="000001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360" w:lineRule="auto"/>
        <w:ind w:left="993" w:right="0" w:hanging="36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Contratación de Grupos musicales.</w:t>
      </w:r>
    </w:p>
    <w:p w:rsidR="00000000" w:rsidDel="00000000" w:rsidP="00000000" w:rsidRDefault="00000000" w:rsidRPr="00000000" w14:paraId="0000014D">
      <w:pPr>
        <w:tabs>
          <w:tab w:val="left" w:leader="none" w:pos="993"/>
        </w:tabs>
        <w:ind w:left="360"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Deberán acompañarse del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000000" w:rsidDel="00000000" w:rsidP="00000000" w:rsidRDefault="00000000" w:rsidRPr="00000000" w14:paraId="0000014E">
      <w:pPr>
        <w:tabs>
          <w:tab w:val="left" w:leader="none" w:pos="993"/>
        </w:tabs>
        <w:ind w:left="360"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ind w:left="284"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De ser el caso de que no se cuente con la información de alguno de los incisos por no haberse celebrado contratos por alguno de los conceptos en la temporalidad señalada, bastará con que así lo haga del conocimiento de la parte </w:t>
      </w:r>
      <w:r w:rsidDel="00000000" w:rsidR="00000000" w:rsidRPr="00000000">
        <w:rPr>
          <w:rFonts w:ascii="Palatino Linotype" w:cs="Palatino Linotype" w:eastAsia="Palatino Linotype" w:hAnsi="Palatino Linotype"/>
          <w:b w:val="1"/>
          <w:bCs w:val="1"/>
          <w:i w:val="1"/>
          <w:iCs w:val="1"/>
          <w:sz w:val="22"/>
          <w:szCs w:val="22"/>
          <w:rtl w:val="0"/>
        </w:rPr>
        <w:t xml:space="preserve">Recurrente</w:t>
      </w:r>
      <w:r w:rsidDel="00000000" w:rsidR="00000000" w:rsidRPr="00000000">
        <w:rPr>
          <w:rFonts w:ascii="Palatino Linotype" w:cs="Palatino Linotype" w:eastAsia="Palatino Linotype" w:hAnsi="Palatino Linotype"/>
          <w:i w:val="1"/>
          <w:iCs w:val="1"/>
          <w:sz w:val="22"/>
          <w:szCs w:val="22"/>
          <w:rtl w:val="0"/>
        </w:rPr>
        <w:t xml:space="preserve">, de manera clara y precisa, en términos del artículo 19, párrafo segundo de la Ley de Transparencia y Acceso a la Información pública del Estado de México y Municipios para tener por colmado el requerimiento de información.</w:t>
      </w:r>
    </w:p>
    <w:p w:rsidR="00000000" w:rsidDel="00000000" w:rsidP="00000000" w:rsidRDefault="00000000" w:rsidRPr="00000000" w14:paraId="00000150">
      <w:pPr>
        <w:tabs>
          <w:tab w:val="left" w:leader="none" w:pos="993"/>
        </w:tabs>
        <w:ind w:left="360"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5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Notifíquese vía SAIMEX, </w:t>
      </w:r>
      <w:r w:rsidDel="00000000" w:rsidR="00000000" w:rsidRPr="00000000">
        <w:rPr>
          <w:rFonts w:ascii="Palatino Linotype" w:cs="Palatino Linotype" w:eastAsia="Palatino Linotype" w:hAnsi="Palatino Linotype"/>
          <w:sz w:val="22"/>
          <w:szCs w:val="22"/>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5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 manera fundada y motivada, podrá solicitar una ampliación de plazo para el cumplimiento de la presente resolución.</w:t>
      </w:r>
    </w:p>
    <w:p w:rsidR="00000000" w:rsidDel="00000000" w:rsidP="00000000" w:rsidRDefault="00000000" w:rsidRPr="00000000" w14:paraId="00000153">
      <w:pPr>
        <w:spacing w:line="360" w:lineRule="auto"/>
        <w:jc w:val="both"/>
        <w:rPr>
          <w:rFonts w:ascii="Palatino Linotype" w:cs="Palatino Linotype" w:eastAsia="Palatino Linotype" w:hAnsi="Palatino Linotype"/>
          <w:sz w:val="22"/>
          <w:szCs w:val="22"/>
        </w:rPr>
      </w:pPr>
      <w:bookmarkStart w:colFirst="0" w:colLast="0" w:name="_heading=h.tyjcwt" w:id="3"/>
      <w:bookmarkEnd w:id="3"/>
      <w:r w:rsidDel="00000000" w:rsidR="00000000" w:rsidRPr="00000000">
        <w:rPr>
          <w:rFonts w:ascii="Palatino Linotype" w:cs="Palatino Linotype" w:eastAsia="Palatino Linotype" w:hAnsi="Palatino Linotype"/>
          <w:b w:val="1"/>
          <w:bCs w:val="1"/>
          <w:sz w:val="22"/>
          <w:szCs w:val="22"/>
          <w:rtl w:val="0"/>
        </w:rPr>
        <w:t xml:space="preserve">Quinto. Notifíquese vía SAIMEX, </w:t>
      </w:r>
      <w:r w:rsidDel="00000000" w:rsidR="00000000" w:rsidRPr="00000000">
        <w:rPr>
          <w:rFonts w:ascii="Palatino Linotype" w:cs="Palatino Linotype" w:eastAsia="Palatino Linotype" w:hAnsi="Palatino Linotype"/>
          <w:sz w:val="22"/>
          <w:szCs w:val="22"/>
          <w:rtl w:val="0"/>
        </w:rPr>
        <w:t xml:space="preserve">a</w:t>
      </w:r>
      <w:r w:rsidDel="00000000" w:rsidR="00000000" w:rsidRPr="00000000">
        <w:rPr>
          <w:rFonts w:ascii="Palatino Linotype" w:cs="Palatino Linotype" w:eastAsia="Palatino Linotype" w:hAnsi="Palatino Linotype"/>
          <w:b w:val="1"/>
          <w:bCs w:val="1"/>
          <w:sz w:val="22"/>
          <w:szCs w:val="22"/>
          <w:rtl w:val="0"/>
        </w:rPr>
        <w:t xml:space="preserve"> la parte Recurrente</w:t>
      </w:r>
      <w:r w:rsidDel="00000000" w:rsidR="00000000" w:rsidRPr="00000000">
        <w:rPr>
          <w:rFonts w:ascii="Palatino Linotype" w:cs="Palatino Linotype" w:eastAsia="Palatino Linotype" w:hAnsi="Palatino Linotype"/>
          <w:sz w:val="22"/>
          <w:szCs w:val="22"/>
          <w:rtl w:val="0"/>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rsidR="00000000" w:rsidDel="00000000" w:rsidP="00000000" w:rsidRDefault="00000000" w:rsidRPr="00000000" w14:paraId="00000154">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155">
      <w:pPr>
        <w:spacing w:line="360" w:lineRule="auto"/>
        <w:ind w:right="-93"/>
        <w:jc w:val="both"/>
        <w:rPr>
          <w:rFonts w:ascii="Palatino Linotype" w:cs="Palatino Linotype" w:eastAsia="Palatino Linotype" w:hAnsi="Palatino Linotype"/>
          <w:sz w:val="22"/>
          <w:szCs w:val="22"/>
        </w:rPr>
      </w:pPr>
      <w:bookmarkStart w:colFirst="0" w:colLast="0" w:name="_heading=h.jl0dlasot4f" w:id="4"/>
      <w:bookmarkEnd w:id="4"/>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QUINTA SESIÓN ORDINARIA CELEBRADA EL UNO DE OCTUBRE DE DOS MIL VEINTICINCO, ANTE EL SECRETARIO TÉCNICO DEL PLENO ALEXIS TAPIA RAMÍREZ.</w:t>
      </w:r>
    </w:p>
    <w:p w:rsidR="00000000" w:rsidDel="00000000" w:rsidP="00000000" w:rsidRDefault="00000000" w:rsidRPr="00000000" w14:paraId="00000156">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7">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8">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9">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A">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6">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9">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A">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9">
    <w:pPr>
      <w:pBdr>
        <w:top w:space="0" w:sz="0" w:val="nil"/>
        <w:left w:space="0" w:sz="0" w:val="nil"/>
        <w:bottom w:space="0" w:sz="0" w:val="nil"/>
        <w:right w:space="0" w:sz="0" w:val="nil"/>
        <w:between w:space="0" w:sz="0" w:val="nil"/>
      </w:pBdr>
      <w:tabs>
        <w:tab w:val="center" w:leader="none" w:pos="4419"/>
        <w:tab w:val="right" w:leader="none" w:pos="8838"/>
      </w:tabs>
      <w:jc w:val="right"/>
      <w:rPr>
        <w:color w:val="000000"/>
      </w:rPr>
    </w:pPr>
    <w:r w:rsidDel="00000000" w:rsidR="00000000" w:rsidRPr="00000000">
      <w:rPr>
        <w:color w:val="000000"/>
        <w:rtl w:val="0"/>
      </w:rPr>
      <w:t xml:space="preserve">Página </w:t>
    </w:r>
    <w:r w:rsidDel="00000000" w:rsidR="00000000" w:rsidRPr="00000000">
      <w:rPr>
        <w:b w:val="1"/>
        <w:bCs w:val="1"/>
        <w:color w:val="000000"/>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bCs w:val="1"/>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B">
    <w:pPr>
      <w:pBdr>
        <w:top w:space="0" w:sz="0" w:val="nil"/>
        <w:left w:space="0" w:sz="0" w:val="nil"/>
        <w:bottom w:space="0" w:sz="0" w:val="nil"/>
        <w:right w:space="0" w:sz="0" w:val="nil"/>
        <w:between w:space="0" w:sz="0" w:val="nil"/>
      </w:pBdr>
      <w:tabs>
        <w:tab w:val="center" w:leader="none" w:pos="4419"/>
        <w:tab w:val="right" w:leader="none" w:pos="8838"/>
      </w:tabs>
      <w:jc w:val="right"/>
      <w:rPr>
        <w:color w:val="000000"/>
      </w:rPr>
    </w:pPr>
    <w:r w:rsidDel="00000000" w:rsidR="00000000" w:rsidRPr="00000000">
      <w:rPr>
        <w:color w:val="000000"/>
        <w:rtl w:val="0"/>
      </w:rPr>
      <w:t xml:space="preserve">Página </w:t>
    </w:r>
    <w:r w:rsidDel="00000000" w:rsidR="00000000" w:rsidRPr="00000000">
      <w:rPr>
        <w:b w:val="1"/>
        <w:bCs w:val="1"/>
        <w:color w:val="000000"/>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bCs w:val="1"/>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-401953</wp:posOffset>
          </wp:positionV>
          <wp:extent cx="7809876" cy="10165823"/>
          <wp:effectExtent b="0" l="0" r="0" t="0"/>
          <wp:wrapNone/>
          <wp:docPr id="4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75">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Recurso de Revisión:</w:t>
          </w:r>
        </w:p>
        <w:p w:rsidR="00000000" w:rsidDel="00000000" w:rsidP="00000000" w:rsidRDefault="00000000" w:rsidRPr="00000000" w14:paraId="00000176">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sz w:val="22"/>
              <w:szCs w:val="22"/>
            </w:rPr>
          </w:pPr>
          <w:r w:rsidDel="00000000" w:rsidR="00000000" w:rsidRPr="00000000">
            <w:rPr>
              <w:rtl w:val="0"/>
            </w:rPr>
          </w:r>
        </w:p>
      </w:tc>
      <w:tc>
        <w:tcPr>
          <w:vAlign w:val="center"/>
        </w:tcPr>
        <w:p w:rsidR="00000000" w:rsidDel="00000000" w:rsidP="00000000" w:rsidRDefault="00000000" w:rsidRPr="00000000" w14:paraId="00000177">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08619/INFOEM/IP/RR/2025</w:t>
          </w:r>
        </w:p>
      </w:tc>
    </w:tr>
    <w:tr>
      <w:trPr>
        <w:cantSplit w:val="0"/>
        <w:trHeight w:val="217" w:hRule="atLeast"/>
        <w:tblHeader w:val="0"/>
      </w:trPr>
      <w:tc>
        <w:tcPr>
          <w:vAlign w:val="center"/>
        </w:tcPr>
        <w:p w:rsidR="00000000" w:rsidDel="00000000" w:rsidP="00000000" w:rsidRDefault="00000000" w:rsidRPr="00000000" w14:paraId="00000178">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Sujeto obligado:</w:t>
          </w:r>
        </w:p>
      </w:tc>
      <w:tc>
        <w:tcPr>
          <w:vAlign w:val="center"/>
        </w:tcPr>
        <w:p w:rsidR="00000000" w:rsidDel="00000000" w:rsidP="00000000" w:rsidRDefault="00000000" w:rsidRPr="00000000" w14:paraId="00000179">
          <w:pPr>
            <w:pBdr>
              <w:top w:space="0" w:sz="0" w:val="nil"/>
              <w:left w:space="0" w:sz="0" w:val="nil"/>
              <w:bottom w:space="0" w:sz="0" w:val="nil"/>
              <w:right w:space="0" w:sz="0" w:val="nil"/>
              <w:between w:space="0" w:sz="0" w:val="nil"/>
            </w:pBdr>
            <w:tabs>
              <w:tab w:val="center" w:leader="none" w:pos="4419"/>
              <w:tab w:val="right" w:leader="none" w:pos="8838"/>
            </w:tabs>
            <w:ind w:right="168"/>
            <w:jc w:val="both"/>
            <w:rPr>
              <w:rFonts w:ascii="Palatino Linotype" w:cs="Palatino Linotype" w:eastAsia="Palatino Linotype" w:hAnsi="Palatino Linotype"/>
              <w:b w:val="1"/>
              <w:bCs w:val="1"/>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Ayuntamiento de Almoloya de Juárez</w:t>
          </w:r>
        </w:p>
      </w:tc>
    </w:tr>
    <w:tr>
      <w:trPr>
        <w:cantSplit w:val="0"/>
        <w:tblHeader w:val="0"/>
      </w:trPr>
      <w:tc>
        <w:tcPr>
          <w:vAlign w:val="center"/>
        </w:tcPr>
        <w:p w:rsidR="00000000" w:rsidDel="00000000" w:rsidP="00000000" w:rsidRDefault="00000000" w:rsidRPr="00000000" w14:paraId="0000017A">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Comisionada ponente:</w:t>
          </w:r>
        </w:p>
      </w:tc>
      <w:tc>
        <w:tcPr>
          <w:vAlign w:val="center"/>
        </w:tcPr>
        <w:p w:rsidR="00000000" w:rsidDel="00000000" w:rsidP="00000000" w:rsidRDefault="00000000" w:rsidRPr="00000000" w14:paraId="0000017B">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Guadalupe Ramírez Peña</w:t>
          </w:r>
        </w:p>
      </w:tc>
    </w:tr>
  </w:tbl>
  <w:p w:rsidR="00000000" w:rsidDel="00000000" w:rsidP="00000000" w:rsidRDefault="00000000" w:rsidRPr="00000000" w14:paraId="0000017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D">
    <w:pPr>
      <w:widowControl w:val="0"/>
      <w:pBdr>
        <w:top w:space="0" w:sz="0" w:val="nil"/>
        <w:left w:space="0" w:sz="0" w:val="nil"/>
        <w:bottom w:space="0" w:sz="0" w:val="nil"/>
        <w:right w:space="0" w:sz="0" w:val="nil"/>
        <w:between w:space="0" w:sz="0" w:val="nil"/>
      </w:pBdr>
      <w:rPr>
        <w:rFonts w:ascii="Palatino Linotype" w:cs="Palatino Linotype" w:eastAsia="Palatino Linotype" w:hAnsi="Palatino Linotype"/>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-929004</wp:posOffset>
          </wp:positionH>
          <wp:positionV relativeFrom="paragraph">
            <wp:posOffset>-644524</wp:posOffset>
          </wp:positionV>
          <wp:extent cx="7809865" cy="10165715"/>
          <wp:effectExtent b="0" l="0" r="0" t="0"/>
          <wp:wrapNone/>
          <wp:docPr id="4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7E">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Recurso de Revisión:</w:t>
          </w:r>
        </w:p>
        <w:p w:rsidR="00000000" w:rsidDel="00000000" w:rsidP="00000000" w:rsidRDefault="00000000" w:rsidRPr="00000000" w14:paraId="0000017F">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180">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sz w:val="20"/>
              <w:szCs w:val="20"/>
            </w:rPr>
          </w:pPr>
          <w:r w:rsidDel="00000000" w:rsidR="00000000" w:rsidRPr="00000000">
            <w:rPr>
              <w:rFonts w:ascii="Palatino Linotype" w:cs="Palatino Linotype" w:eastAsia="Palatino Linotype" w:hAnsi="Palatino Linotype"/>
              <w:b w:val="1"/>
              <w:bCs w:val="1"/>
              <w:color w:val="000000"/>
              <w:sz w:val="22"/>
              <w:szCs w:val="22"/>
              <w:rtl w:val="0"/>
            </w:rPr>
            <w:t xml:space="preserve">08619/INFOEM/IP/RR/2025</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81">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Recurrente:</w:t>
          </w:r>
        </w:p>
      </w:tc>
      <w:tc>
        <w:tcPr>
          <w:vAlign w:val="center"/>
        </w:tcPr>
        <w:p w:rsidR="00000000" w:rsidDel="00000000" w:rsidP="00000000" w:rsidRDefault="00000000" w:rsidRPr="00000000" w14:paraId="00000182">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XXXXX XXXXXXX XXXXXX </w:t>
          </w:r>
        </w:p>
      </w:tc>
    </w:tr>
    <w:tr>
      <w:trPr>
        <w:cantSplit w:val="0"/>
        <w:trHeight w:val="152" w:hRule="atLeast"/>
        <w:tblHeader w:val="0"/>
      </w:trPr>
      <w:tc>
        <w:tcPr>
          <w:vAlign w:val="center"/>
        </w:tcPr>
        <w:p w:rsidR="00000000" w:rsidDel="00000000" w:rsidP="00000000" w:rsidRDefault="00000000" w:rsidRPr="00000000" w14:paraId="00000183">
          <w:pPr>
            <w:tabs>
              <w:tab w:val="center" w:leader="none" w:pos="4419"/>
              <w:tab w:val="right" w:leader="none" w:pos="8838"/>
            </w:tabs>
            <w:rPr>
              <w:rFonts w:ascii="Palatino Linotype" w:cs="Palatino Linotype" w:eastAsia="Palatino Linotype" w:hAnsi="Palatino Linotype"/>
              <w:b w:val="1"/>
              <w:bCs w:val="1"/>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Sujeto obligado:</w:t>
          </w:r>
        </w:p>
        <w:p w:rsidR="00000000" w:rsidDel="00000000" w:rsidP="00000000" w:rsidRDefault="00000000" w:rsidRPr="00000000" w14:paraId="00000184">
          <w:pPr>
            <w:tabs>
              <w:tab w:val="center" w:leader="none" w:pos="4419"/>
              <w:tab w:val="right" w:leader="none" w:pos="8838"/>
            </w:tabs>
            <w:rPr>
              <w:rFonts w:ascii="Palatino Linotype" w:cs="Palatino Linotype" w:eastAsia="Palatino Linotype" w:hAnsi="Palatino Linotype"/>
              <w:b w:val="1"/>
              <w:bCs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185">
          <w:pPr>
            <w:pBdr>
              <w:top w:space="0" w:sz="0" w:val="nil"/>
              <w:left w:space="0" w:sz="0" w:val="nil"/>
              <w:bottom w:space="0" w:sz="0" w:val="nil"/>
              <w:right w:space="0" w:sz="0" w:val="nil"/>
              <w:between w:space="0" w:sz="0" w:val="nil"/>
            </w:pBdr>
            <w:tabs>
              <w:tab w:val="center" w:leader="none" w:pos="4419"/>
              <w:tab w:val="right" w:leader="none" w:pos="8838"/>
            </w:tabs>
            <w:ind w:right="174"/>
            <w:jc w:val="both"/>
            <w:rPr>
              <w:rFonts w:ascii="Palatino Linotype" w:cs="Palatino Linotype" w:eastAsia="Palatino Linotype" w:hAnsi="Palatino Linotype"/>
              <w:b w:val="1"/>
              <w:bCs w:val="1"/>
              <w:color w:val="000000"/>
              <w:sz w:val="20"/>
              <w:szCs w:val="20"/>
            </w:rPr>
          </w:pPr>
          <w:r w:rsidDel="00000000" w:rsidR="00000000" w:rsidRPr="00000000">
            <w:rPr>
              <w:rFonts w:ascii="Palatino Linotype" w:cs="Palatino Linotype" w:eastAsia="Palatino Linotype" w:hAnsi="Palatino Linotype"/>
              <w:b w:val="1"/>
              <w:bCs w:val="1"/>
              <w:color w:val="000000"/>
              <w:sz w:val="22"/>
              <w:szCs w:val="22"/>
              <w:rtl w:val="0"/>
            </w:rPr>
            <w:t xml:space="preserve">Ayuntamiento de Almoloya de Juárez</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86">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Comisionada ponente:</w:t>
          </w:r>
        </w:p>
      </w:tc>
      <w:tc>
        <w:tcPr>
          <w:vAlign w:val="center"/>
        </w:tcPr>
        <w:p w:rsidR="00000000" w:rsidDel="00000000" w:rsidP="00000000" w:rsidRDefault="00000000" w:rsidRPr="00000000" w14:paraId="00000187">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Guadalupe Ramírez Peña</w:t>
          </w:r>
        </w:p>
      </w:tc>
    </w:tr>
  </w:tbl>
  <w:p w:rsidR="00000000" w:rsidDel="00000000" w:rsidP="00000000" w:rsidRDefault="00000000" w:rsidRPr="00000000" w14:paraId="00000188">
    <w:pPr>
      <w:rPr>
        <w:color w:val="000000"/>
        <w:sz w:val="22"/>
        <w:szCs w:val="22"/>
      </w:rPr>
    </w:pPr>
    <w:r w:rsidDel="00000000" w:rsidR="00000000" w:rsidRPr="00000000">
      <w:rPr>
        <w:color w:val="000000"/>
        <w:sz w:val="22"/>
        <w:szCs w:val="22"/>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upperRoman"/>
      <w:lvlText w:val="%1."/>
      <w:lvlJc w:val="left"/>
      <w:pPr>
        <w:ind w:left="1440" w:hanging="72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D74AE"/>
    <w:pPr>
      <w:tabs>
        <w:tab w:val="center" w:pos="4419"/>
        <w:tab w:val="right" w:pos="8838"/>
      </w:tabs>
    </w:pPr>
  </w:style>
  <w:style w:type="character" w:styleId="EncabezadoCar" w:customStyle="1">
    <w:name w:val="Encabezado Car"/>
    <w:basedOn w:val="Fuentedeprrafopredeter"/>
    <w:link w:val="Encabezado"/>
    <w:uiPriority w:val="99"/>
    <w:rsid w:val="00CD74AE"/>
  </w:style>
  <w:style w:type="paragraph" w:styleId="Piedepgina">
    <w:name w:val="footer"/>
    <w:basedOn w:val="Normal"/>
    <w:link w:val="PiedepginaCar"/>
    <w:uiPriority w:val="99"/>
    <w:unhideWhenUsed w:val="1"/>
    <w:rsid w:val="00CD74AE"/>
    <w:pPr>
      <w:tabs>
        <w:tab w:val="center" w:pos="4419"/>
        <w:tab w:val="right" w:pos="8838"/>
      </w:tabs>
    </w:pPr>
  </w:style>
  <w:style w:type="character" w:styleId="PiedepginaCar" w:customStyle="1">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D74AE"/>
    <w:pPr>
      <w:ind w:left="720"/>
      <w:contextualSpacing w:val="1"/>
    </w:pPr>
  </w:style>
  <w:style w:type="character" w:styleId="Hipervnculo">
    <w:name w:val="Hyperlink"/>
    <w:aliases w:val="Hipervínculo1,Hipervínculo11,Hipervínculo12,Hipervínculo13,Hipervínculo14,Hipervínculo15"/>
    <w:basedOn w:val="Fuentedeprrafopredeter"/>
    <w:uiPriority w:val="99"/>
    <w:unhideWhenUsed w:val="1"/>
    <w:qFormat w:val="1"/>
    <w:rsid w:val="00CD74AE"/>
    <w:rPr>
      <w:color w:val="0563c1" w:themeColor="hyperlink"/>
      <w:u w:val="single"/>
    </w:rPr>
  </w:style>
  <w:style w:type="table" w:styleId="Tablaconcuadrcula">
    <w:name w:val="Table Grid"/>
    <w:basedOn w:val="Tablanormal"/>
    <w:uiPriority w:val="39"/>
    <w:rsid w:val="009C1D5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D2AA5"/>
    <w:pPr>
      <w:spacing w:after="100" w:afterAutospacing="1" w:before="100" w:beforeAutospacing="1"/>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F3FE6"/>
  </w:style>
  <w:style w:type="table" w:styleId="6" w:customStyle="1">
    <w:name w:val="6"/>
    <w:basedOn w:val="TableNormal10"/>
    <w:tblPr>
      <w:tblStyleRowBandSize w:val="1"/>
      <w:tblStyleColBandSize w:val="1"/>
      <w:tblCellMar>
        <w:top w:w="15.0" w:type="dxa"/>
        <w:left w:w="15.0" w:type="dxa"/>
        <w:bottom w:w="15.0" w:type="dxa"/>
        <w:right w:w="15.0" w:type="dxa"/>
      </w:tblCellMar>
    </w:tblPr>
  </w:style>
  <w:style w:type="table" w:styleId="5" w:customStyle="1">
    <w:name w:val="5"/>
    <w:basedOn w:val="TableNormal10"/>
    <w:tblPr>
      <w:tblStyleRowBandSize w:val="1"/>
      <w:tblStyleColBandSize w:val="1"/>
      <w:tblCellMar>
        <w:left w:w="115.0" w:type="dxa"/>
        <w:right w:w="115.0" w:type="dxa"/>
      </w:tblCellMar>
    </w:tblPr>
  </w:style>
  <w:style w:type="table" w:styleId="4" w:customStyle="1">
    <w:name w:val="4"/>
    <w:basedOn w:val="TableNormal10"/>
    <w:tblPr>
      <w:tblStyleRowBandSize w:val="1"/>
      <w:tblStyleColBandSize w:val="1"/>
      <w:tblCellMar>
        <w:left w:w="115.0" w:type="dxa"/>
        <w:right w:w="115.0" w:type="dxa"/>
      </w:tblCellMar>
    </w:tblPr>
  </w:style>
  <w:style w:type="table" w:styleId="3" w:customStyle="1">
    <w:name w:val="3"/>
    <w:basedOn w:val="TableNormal10"/>
    <w:tblPr>
      <w:tblStyleRowBandSize w:val="1"/>
      <w:tblStyleColBandSize w:val="1"/>
      <w:tblCellMar>
        <w:top w:w="15.0" w:type="dxa"/>
        <w:left w:w="115.0" w:type="dxa"/>
        <w:bottom w:w="15.0" w:type="dxa"/>
        <w:right w:w="115.0" w:type="dxa"/>
      </w:tblCellMar>
    </w:tblPr>
  </w:style>
  <w:style w:type="table" w:styleId="2" w:customStyle="1">
    <w:name w:val="2"/>
    <w:basedOn w:val="TableNormal10"/>
    <w:tblPr>
      <w:tblStyleRowBandSize w:val="1"/>
      <w:tblStyleColBandSize w:val="1"/>
      <w:tblCellMar>
        <w:top w:w="15.0" w:type="dxa"/>
        <w:left w:w="115.0" w:type="dxa"/>
        <w:bottom w:w="15.0" w:type="dxa"/>
        <w:right w:w="115.0" w:type="dxa"/>
      </w:tblCellMar>
    </w:tblPr>
  </w:style>
  <w:style w:type="table" w:styleId="1" w:customStyle="1">
    <w:name w:val="1"/>
    <w:basedOn w:val="TableNormal10"/>
    <w:tblPr>
      <w:tblStyleRowBandSize w:val="1"/>
      <w:tblStyleColBandSize w:val="1"/>
      <w:tblCellMar>
        <w:top w:w="15.0" w:type="dxa"/>
        <w:left w:w="115.0" w:type="dxa"/>
        <w:bottom w:w="15.0" w:type="dxa"/>
        <w:right w:w="115.0" w:type="dxa"/>
      </w:tblCellMar>
    </w:tblPr>
  </w:style>
  <w:style w:type="character" w:styleId="Mencinsinresolver1" w:customStyle="1">
    <w:name w:val="Mención sin resolver1"/>
    <w:basedOn w:val="Fuentedeprrafopredeter"/>
    <w:uiPriority w:val="99"/>
    <w:semiHidden w:val="1"/>
    <w:unhideWhenUsed w:val="1"/>
    <w:rsid w:val="00B63FC6"/>
    <w:rPr>
      <w:color w:val="605e5c"/>
      <w:shd w:color="auto" w:fill="e1dfdd" w:val="clear"/>
    </w:rPr>
  </w:style>
  <w:style w:type="character" w:styleId="Mencinsinresolver2" w:customStyle="1">
    <w:name w:val="Mención sin resolver2"/>
    <w:basedOn w:val="Fuentedeprrafopredeter"/>
    <w:uiPriority w:val="99"/>
    <w:semiHidden w:val="1"/>
    <w:unhideWhenUsed w:val="1"/>
    <w:rsid w:val="00AC79ED"/>
    <w:rPr>
      <w:color w:val="605e5c"/>
      <w:shd w:color="auto" w:fill="e1dfdd" w:val="clear"/>
    </w:rPr>
  </w:style>
  <w:style w:type="paragraph" w:styleId="Default" w:customStyle="1">
    <w:name w:val="Default"/>
    <w:rsid w:val="00A27592"/>
    <w:pPr>
      <w:autoSpaceDE w:val="0"/>
      <w:autoSpaceDN w:val="0"/>
      <w:adjustRightInd w:val="0"/>
    </w:pPr>
    <w:rPr>
      <w:rFonts w:ascii="Arial" w:cs="Arial" w:hAnsi="Arial"/>
      <w:color w:val="000000"/>
    </w:rPr>
  </w:style>
  <w:style w:type="character" w:styleId="normaltextrun" w:customStyle="1">
    <w:name w:val="normaltextrun"/>
    <w:basedOn w:val="Fuentedeprrafopredeter"/>
    <w:rsid w:val="002F3C2D"/>
  </w:style>
  <w:style w:type="paragraph" w:styleId="Sinespaciado">
    <w:name w:val="No Spacing"/>
    <w:aliases w:val="Francesa,INAI"/>
    <w:link w:val="SinespaciadoCar"/>
    <w:uiPriority w:val="1"/>
    <w:qFormat w:val="1"/>
    <w:rsid w:val="00F01E4E"/>
    <w:rPr>
      <w:lang w:eastAsia="es-ES" w:val="es-ES"/>
    </w:rPr>
  </w:style>
  <w:style w:type="character" w:styleId="SinespaciadoCar" w:customStyle="1">
    <w:name w:val="Sin espaciado Car"/>
    <w:aliases w:val="Francesa Car,INAI Car"/>
    <w:link w:val="Sinespaciado"/>
    <w:uiPriority w:val="1"/>
    <w:locked w:val="1"/>
    <w:rsid w:val="00F01E4E"/>
    <w:rPr>
      <w:rFonts w:ascii="Times New Roman" w:cs="Times New Roman" w:eastAsia="Times New Roman" w:hAnsi="Times New Roman"/>
      <w:sz w:val="24"/>
      <w:szCs w:val="24"/>
      <w:lang w:eastAsia="es-ES" w:val="es-ES"/>
    </w:rPr>
  </w:style>
  <w:style w:type="table" w:styleId="9" w:customStyle="1">
    <w:name w:val="9"/>
    <w:basedOn w:val="TableNormal20"/>
    <w:tblPr>
      <w:tblStyleRowBandSize w:val="1"/>
      <w:tblStyleColBandSize w:val="1"/>
      <w:tblCellMar>
        <w:left w:w="108.0" w:type="dxa"/>
        <w:right w:w="108.0" w:type="dxa"/>
      </w:tblCellMar>
    </w:tblPr>
  </w:style>
  <w:style w:type="table" w:styleId="8" w:customStyle="1">
    <w:name w:val="8"/>
    <w:basedOn w:val="TableNormal20"/>
    <w:tblPr>
      <w:tblStyleRowBandSize w:val="1"/>
      <w:tblStyleColBandSize w:val="1"/>
      <w:tblCellMar>
        <w:top w:w="15.0" w:type="dxa"/>
        <w:left w:w="115.0" w:type="dxa"/>
        <w:bottom w:w="15.0" w:type="dxa"/>
        <w:right w:w="115.0" w:type="dxa"/>
      </w:tblCellMar>
    </w:tblPr>
  </w:style>
  <w:style w:type="table" w:styleId="7" w:customStyle="1">
    <w:name w:val="7"/>
    <w:basedOn w:val="TableNormal20"/>
    <w:tblPr>
      <w:tblStyleRowBandSize w:val="1"/>
      <w:tblStyleColBandSize w:val="1"/>
      <w:tblCellMar>
        <w:top w:w="15.0" w:type="dxa"/>
        <w:left w:w="115.0" w:type="dxa"/>
        <w:bottom w:w="15.0" w:type="dxa"/>
        <w:right w:w="115.0" w:type="dxa"/>
      </w:tblCellMar>
    </w:tblPr>
  </w:style>
  <w:style w:type="character" w:styleId="Mencinsinresolver3" w:customStyle="1">
    <w:name w:val="Mención sin resolver3"/>
    <w:basedOn w:val="Fuentedeprrafopredeter"/>
    <w:uiPriority w:val="99"/>
    <w:semiHidden w:val="1"/>
    <w:unhideWhenUsed w:val="1"/>
    <w:rsid w:val="00B91EC4"/>
    <w:rPr>
      <w:color w:val="605e5c"/>
      <w:shd w:color="auto" w:fill="e1dfdd" w:val="clear"/>
    </w:rPr>
  </w:style>
  <w:style w:type="character" w:styleId="Refdecomentario">
    <w:name w:val="annotation reference"/>
    <w:basedOn w:val="Fuentedeprrafopredeter"/>
    <w:uiPriority w:val="99"/>
    <w:semiHidden w:val="1"/>
    <w:unhideWhenUsed w:val="1"/>
    <w:rsid w:val="007266CA"/>
    <w:rPr>
      <w:sz w:val="16"/>
      <w:szCs w:val="16"/>
    </w:rPr>
  </w:style>
  <w:style w:type="paragraph" w:styleId="Textocomentario">
    <w:name w:val="annotation text"/>
    <w:basedOn w:val="Normal"/>
    <w:link w:val="TextocomentarioCar"/>
    <w:uiPriority w:val="99"/>
    <w:semiHidden w:val="1"/>
    <w:unhideWhenUsed w:val="1"/>
    <w:rsid w:val="007266CA"/>
    <w:rPr>
      <w:sz w:val="20"/>
      <w:szCs w:val="20"/>
    </w:rPr>
  </w:style>
  <w:style w:type="character" w:styleId="TextocomentarioCar" w:customStyle="1">
    <w:name w:val="Texto comentario Car"/>
    <w:basedOn w:val="Fuentedeprrafopredeter"/>
    <w:link w:val="Textocomentario"/>
    <w:uiPriority w:val="99"/>
    <w:semiHidden w:val="1"/>
    <w:rsid w:val="007266CA"/>
    <w:rPr>
      <w:rFonts w:cs="Times New Roman" w:eastAsia="Times New Roman"/>
      <w:sz w:val="20"/>
      <w:szCs w:val="20"/>
      <w:lang w:eastAsia="en-US"/>
    </w:rPr>
  </w:style>
  <w:style w:type="paragraph" w:styleId="Asuntodelcomentario">
    <w:name w:val="annotation subject"/>
    <w:basedOn w:val="Textocomentario"/>
    <w:next w:val="Textocomentario"/>
    <w:link w:val="AsuntodelcomentarioCar"/>
    <w:uiPriority w:val="99"/>
    <w:semiHidden w:val="1"/>
    <w:unhideWhenUsed w:val="1"/>
    <w:rsid w:val="007266CA"/>
    <w:rPr>
      <w:b w:val="1"/>
      <w:bCs w:val="1"/>
    </w:rPr>
  </w:style>
  <w:style w:type="character" w:styleId="AsuntodelcomentarioCar" w:customStyle="1">
    <w:name w:val="Asunto del comentario Car"/>
    <w:basedOn w:val="TextocomentarioCar"/>
    <w:link w:val="Asuntodelcomentario"/>
    <w:uiPriority w:val="99"/>
    <w:semiHidden w:val="1"/>
    <w:rsid w:val="007266CA"/>
    <w:rPr>
      <w:rFonts w:cs="Times New Roman" w:eastAsia="Times New Roman"/>
      <w:b w:val="1"/>
      <w:bCs w:val="1"/>
      <w:sz w:val="20"/>
      <w:szCs w:val="20"/>
      <w:lang w:eastAsia="en-US"/>
    </w:rPr>
  </w:style>
  <w:style w:type="character" w:styleId="Textodelmarcadordeposicin">
    <w:name w:val="Placeholder Text"/>
    <w:basedOn w:val="Fuentedeprrafopredeter"/>
    <w:uiPriority w:val="99"/>
    <w:semiHidden w:val="1"/>
    <w:rsid w:val="007266CA"/>
    <w:rPr>
      <w:color w:val="808080"/>
    </w:rPr>
  </w:style>
  <w:style w:type="character" w:styleId="Hipervnculovisitado">
    <w:name w:val="FollowedHyperlink"/>
    <w:basedOn w:val="Fuentedeprrafopredeter"/>
    <w:uiPriority w:val="99"/>
    <w:semiHidden w:val="1"/>
    <w:unhideWhenUsed w:val="1"/>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FC1F2B"/>
    <w:rPr>
      <w:rFonts w:asciiTheme="minorHAnsi" w:cstheme="minorBidi" w:eastAsiaTheme="minorHAnsi" w:hAnsiTheme="minorHAnsi"/>
      <w:sz w:val="20"/>
      <w:szCs w:val="20"/>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FC1F2B"/>
    <w:rPr>
      <w:rFonts w:asciiTheme="minorHAnsi" w:cstheme="minorBidi" w:eastAsiaTheme="minorHAnsi" w:hAnsiTheme="minorHAns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FC1F2B"/>
    <w:rPr>
      <w:vertAlign w:val="superscript"/>
    </w:rPr>
  </w:style>
  <w:style w:type="character" w:styleId="PuestoCar" w:customStyle="1">
    <w:name w:val="Puesto Car"/>
    <w:aliases w:val="Cita textual Car"/>
    <w:basedOn w:val="Fuentedeprrafopredeter"/>
    <w:uiPriority w:val="10"/>
    <w:rsid w:val="00EC101D"/>
    <w:rPr>
      <w:rFonts w:cs="Times New Roman" w:eastAsia="Times New Roman"/>
      <w:b w:val="1"/>
      <w:sz w:val="72"/>
      <w:szCs w:val="72"/>
      <w:lang w:eastAsia="en-US"/>
    </w:rPr>
  </w:style>
  <w:style w:type="table" w:styleId="Tablanormal11" w:customStyle="1">
    <w:name w:val="Tabla normal 11"/>
    <w:basedOn w:val="Tablanormal"/>
    <w:uiPriority w:val="41"/>
    <w:rsid w:val="009A0A8D"/>
    <w:rPr>
      <w:rFonts w:asciiTheme="minorHAnsi" w:cstheme="minorBidi" w:eastAsiaTheme="minorHAnsi" w:hAnsiTheme="minorHAnsi"/>
      <w:lang w:eastAsia="en-US"/>
    </w:r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a" w:customStyle="1">
    <w:basedOn w:val="TableNormal3"/>
    <w:tblPr>
      <w:tblStyleRowBandSize w:val="1"/>
      <w:tblStyleColBandSize w:val="1"/>
      <w:tblCellMar>
        <w:left w:w="115.0" w:type="dxa"/>
        <w:right w:w="115.0" w:type="dxa"/>
      </w:tblCellMar>
    </w:tblPr>
  </w:style>
  <w:style w:type="table" w:styleId="a0" w:customStyle="1">
    <w:basedOn w:val="TableNormal3"/>
    <w:tblPr>
      <w:tblStyleRowBandSize w:val="1"/>
      <w:tblStyleColBandSize w:val="1"/>
      <w:tblCellMar>
        <w:left w:w="115.0" w:type="dxa"/>
        <w:right w:w="115.0" w:type="dxa"/>
      </w:tblCellMar>
    </w:tblPr>
  </w:style>
  <w:style w:type="table" w:styleId="a1" w:customStyle="1">
    <w:basedOn w:val="TableNormal3"/>
    <w:tblPr>
      <w:tblStyleRowBandSize w:val="1"/>
      <w:tblStyleColBandSize w:val="1"/>
      <w:tblCellMar>
        <w:left w:w="115.0" w:type="dxa"/>
        <w:right w:w="115.0" w:type="dxa"/>
      </w:tblCellMar>
    </w:tblPr>
  </w:style>
  <w:style w:type="table" w:styleId="a2" w:customStyle="1">
    <w:basedOn w:val="TableNormal3"/>
    <w:tblPr>
      <w:tblStyleRowBandSize w:val="1"/>
      <w:tblStyleColBandSize w:val="1"/>
      <w:tblCellMar>
        <w:left w:w="115.0" w:type="dxa"/>
        <w:right w:w="115.0" w:type="dxa"/>
      </w:tblCellMar>
    </w:tblPr>
  </w:style>
  <w:style w:type="table" w:styleId="a3" w:customStyle="1">
    <w:basedOn w:val="TableNormal3"/>
    <w:tblPr>
      <w:tblStyleRowBandSize w:val="1"/>
      <w:tblStyleColBandSize w:val="1"/>
      <w:tblCellMar>
        <w:top w:w="15.0" w:type="dxa"/>
        <w:left w:w="115.0" w:type="dxa"/>
        <w:bottom w:w="15.0" w:type="dxa"/>
        <w:right w:w="115.0" w:type="dxa"/>
      </w:tblCellMar>
    </w:tblPr>
  </w:style>
  <w:style w:type="table" w:styleId="a4" w:customStyle="1">
    <w:basedOn w:val="TableNormal3"/>
    <w:tblPr>
      <w:tblStyleRowBandSize w:val="1"/>
      <w:tblStyleColBandSize w:val="1"/>
      <w:tblCellMar>
        <w:top w:w="15.0" w:type="dxa"/>
        <w:left w:w="115.0" w:type="dxa"/>
        <w:bottom w:w="15.0" w:type="dxa"/>
        <w:right w:w="115.0" w:type="dxa"/>
      </w:tblCellMar>
    </w:tblPr>
  </w:style>
  <w:style w:type="table" w:styleId="a5" w:customStyle="1">
    <w:basedOn w:val="TableNormal2"/>
    <w:tblPr>
      <w:tblStyleRowBandSize w:val="1"/>
      <w:tblStyleColBandSize w:val="1"/>
      <w:tblCellMar>
        <w:left w:w="115.0" w:type="dxa"/>
        <w:right w:w="115.0" w:type="dxa"/>
      </w:tblCellMar>
    </w:tblPr>
  </w:style>
  <w:style w:type="table" w:styleId="a6" w:customStyle="1">
    <w:basedOn w:val="TableNormal2"/>
    <w:tblPr>
      <w:tblStyleRowBandSize w:val="1"/>
      <w:tblStyleColBandSize w:val="1"/>
      <w:tblCellMar>
        <w:left w:w="115.0" w:type="dxa"/>
        <w:right w:w="115.0" w:type="dxa"/>
      </w:tblCellMar>
    </w:tblPr>
  </w:style>
  <w:style w:type="table" w:styleId="a7" w:customStyle="1">
    <w:basedOn w:val="TableNormal2"/>
    <w:tblPr>
      <w:tblStyleRowBandSize w:val="1"/>
      <w:tblStyleColBandSize w:val="1"/>
      <w:tblCellMar>
        <w:left w:w="115.0" w:type="dxa"/>
        <w:right w:w="115.0" w:type="dxa"/>
      </w:tblCellMar>
    </w:tblPr>
  </w:style>
  <w:style w:type="table" w:styleId="a8" w:customStyle="1">
    <w:basedOn w:val="TableNormal2"/>
    <w:tblPr>
      <w:tblStyleRowBandSize w:val="1"/>
      <w:tblStyleColBandSize w:val="1"/>
      <w:tblCellMar>
        <w:left w:w="115.0" w:type="dxa"/>
        <w:right w:w="115.0" w:type="dxa"/>
      </w:tblCellMar>
    </w:tblPr>
  </w:style>
  <w:style w:type="table" w:styleId="a9" w:customStyle="1">
    <w:basedOn w:val="TableNormal2"/>
    <w:tblPr>
      <w:tblStyleRowBandSize w:val="1"/>
      <w:tblStyleColBandSize w:val="1"/>
      <w:tblCellMar>
        <w:top w:w="15.0" w:type="dxa"/>
        <w:left w:w="115.0" w:type="dxa"/>
        <w:bottom w:w="15.0" w:type="dxa"/>
        <w:right w:w="115.0" w:type="dxa"/>
      </w:tblCellMar>
    </w:tblPr>
  </w:style>
  <w:style w:type="table" w:styleId="aa" w:customStyle="1">
    <w:basedOn w:val="TableNormal2"/>
    <w:tblPr>
      <w:tblStyleRowBandSize w:val="1"/>
      <w:tblStyleColBandSize w:val="1"/>
      <w:tblCellMar>
        <w:top w:w="15.0" w:type="dxa"/>
        <w:left w:w="115.0" w:type="dxa"/>
        <w:bottom w:w="15.0" w:type="dxa"/>
        <w:right w:w="115.0" w:type="dxa"/>
      </w:tblCellMar>
    </w:tblPr>
  </w:style>
  <w:style w:type="table" w:styleId="ab" w:customStyle="1">
    <w:basedOn w:val="TableNormal1"/>
    <w:tblPr>
      <w:tblStyleRowBandSize w:val="1"/>
      <w:tblStyleColBandSize w:val="1"/>
      <w:tblCellMar>
        <w:left w:w="115.0" w:type="dxa"/>
        <w:right w:w="115.0" w:type="dxa"/>
      </w:tblCellMar>
    </w:tblPr>
  </w:style>
  <w:style w:type="table" w:styleId="ac" w:customStyle="1">
    <w:basedOn w:val="TableNormal1"/>
    <w:tblPr>
      <w:tblStyleRowBandSize w:val="1"/>
      <w:tblStyleColBandSize w:val="1"/>
      <w:tblCellMar>
        <w:left w:w="115.0" w:type="dxa"/>
        <w:right w:w="115.0" w:type="dxa"/>
      </w:tblCellMar>
    </w:tblPr>
  </w:style>
  <w:style w:type="table" w:styleId="ad" w:customStyle="1">
    <w:basedOn w:val="TableNormal1"/>
    <w:tblPr>
      <w:tblStyleRowBandSize w:val="1"/>
      <w:tblStyleColBandSize w:val="1"/>
      <w:tblCellMar>
        <w:left w:w="115.0" w:type="dxa"/>
        <w:right w:w="115.0" w:type="dxa"/>
      </w:tblCellMar>
    </w:tblPr>
  </w:style>
  <w:style w:type="table" w:styleId="ae" w:customStyle="1">
    <w:basedOn w:val="TableNormal1"/>
    <w:tblPr>
      <w:tblStyleRowBandSize w:val="1"/>
      <w:tblStyleColBandSize w:val="1"/>
      <w:tblCellMar>
        <w:left w:w="115.0" w:type="dxa"/>
        <w:right w:w="115.0" w:type="dxa"/>
      </w:tblCellMar>
    </w:tblPr>
  </w:style>
  <w:style w:type="table" w:styleId="af" w:customStyle="1">
    <w:basedOn w:val="TableNormal1"/>
    <w:tblPr>
      <w:tblStyleRowBandSize w:val="1"/>
      <w:tblStyleColBandSize w:val="1"/>
      <w:tblCellMar>
        <w:left w:w="108.0" w:type="dxa"/>
        <w:right w:w="108.0" w:type="dxa"/>
      </w:tblCellMar>
    </w:tblPr>
  </w:style>
  <w:style w:type="table" w:styleId="af0" w:customStyle="1">
    <w:basedOn w:val="TableNormal1"/>
    <w:tblPr>
      <w:tblStyleRowBandSize w:val="1"/>
      <w:tblStyleColBandSize w:val="1"/>
      <w:tblCellMar>
        <w:left w:w="108.0" w:type="dxa"/>
        <w:right w:w="108.0" w:type="dxa"/>
      </w:tblCellMar>
    </w:tblPr>
  </w:style>
  <w:style w:type="table" w:styleId="af1" w:customStyle="1">
    <w:basedOn w:val="TableNormal1"/>
    <w:tblPr>
      <w:tblStyleRowBandSize w:val="1"/>
      <w:tblStyleColBandSize w:val="1"/>
      <w:tblCellMar>
        <w:top w:w="15.0" w:type="dxa"/>
        <w:left w:w="115.0" w:type="dxa"/>
        <w:bottom w:w="15.0" w:type="dxa"/>
        <w:right w:w="115.0" w:type="dxa"/>
      </w:tblCellMar>
    </w:tblPr>
  </w:style>
  <w:style w:type="table" w:styleId="af2" w:customStyle="1">
    <w:basedOn w:val="TableNormal1"/>
    <w:tblPr>
      <w:tblStyleRowBandSize w:val="1"/>
      <w:tblStyleColBandSize w:val="1"/>
      <w:tblCellMar>
        <w:top w:w="15.0" w:type="dxa"/>
        <w:left w:w="115.0" w:type="dxa"/>
        <w:bottom w:w="15.0" w:type="dxa"/>
        <w:right w:w="115.0" w:type="dxa"/>
      </w:tblCellMar>
    </w:tblPr>
  </w:style>
  <w:style w:type="character" w:styleId="Textoennegrita">
    <w:name w:val="Strong"/>
    <w:basedOn w:val="Fuentedeprrafopredeter"/>
    <w:uiPriority w:val="22"/>
    <w:qFormat w:val="1"/>
    <w:rsid w:val="00AC6527"/>
    <w:rPr>
      <w:b w:val="1"/>
      <w:bCs w:val="1"/>
    </w:rPr>
  </w:style>
  <w:style w:type="character" w:styleId="apple-tab-span" w:customStyle="1">
    <w:name w:val="apple-tab-span"/>
    <w:basedOn w:val="Fuentedeprrafopredeter"/>
    <w:rsid w:val="00EB58F7"/>
  </w:style>
  <w:style w:type="paragraph" w:styleId="Listaconvietas3">
    <w:name w:val="List Bullet 3"/>
    <w:basedOn w:val="Normal"/>
    <w:uiPriority w:val="99"/>
    <w:unhideWhenUsed w:val="1"/>
    <w:rsid w:val="00AF720B"/>
    <w:pPr>
      <w:numPr>
        <w:numId w:val="1"/>
      </w:numPr>
      <w:contextualSpacing w:val="1"/>
    </w:pPr>
  </w:style>
  <w:style w:type="table" w:styleId="af3" w:customStyle="1">
    <w:basedOn w:val="TableNormal0"/>
    <w:tblPr>
      <w:tblStyleRowBandSize w:val="1"/>
      <w:tblStyleColBandSize w:val="1"/>
      <w:tblCellMar>
        <w:left w:w="115.0" w:type="dxa"/>
        <w:right w:w="115.0" w:type="dxa"/>
      </w:tblCellMar>
    </w:tblPr>
  </w:style>
  <w:style w:type="table" w:styleId="af4" w:customStyle="1">
    <w:basedOn w:val="TableNormal0"/>
    <w:tblPr>
      <w:tblStyleRowBandSize w:val="1"/>
      <w:tblStyleColBandSize w:val="1"/>
      <w:tblCellMar>
        <w:top w:w="15.0" w:type="dxa"/>
        <w:left w:w="115.0" w:type="dxa"/>
        <w:bottom w:w="15.0" w:type="dxa"/>
        <w:right w:w="115.0" w:type="dxa"/>
      </w:tblCellMar>
    </w:tblPr>
  </w:style>
  <w:style w:type="table" w:styleId="af5" w:customStyle="1">
    <w:basedOn w:val="TableNormal0"/>
    <w:tblPr>
      <w:tblStyleRowBandSize w:val="1"/>
      <w:tblStyleColBandSize w:val="1"/>
      <w:tblCellMar>
        <w:top w:w="15.0" w:type="dxa"/>
        <w:left w:w="115.0" w:type="dxa"/>
        <w:bottom w:w="15.0" w:type="dxa"/>
        <w:right w:w="115.0" w:type="dxa"/>
      </w:tblCellMar>
    </w:tblPr>
  </w:style>
  <w:style w:type="paragraph" w:styleId="Listaconvietas">
    <w:name w:val="List Bullet"/>
    <w:basedOn w:val="Normal"/>
    <w:uiPriority w:val="99"/>
    <w:unhideWhenUsed w:val="1"/>
    <w:rsid w:val="00E97D6F"/>
    <w:pPr>
      <w:numPr>
        <w:numId w:val="6"/>
      </w:numPr>
      <w:contextualSpacing w:val="1"/>
    </w:pPr>
    <w:rPr>
      <w:lang w:val="es-ES"/>
    </w:rPr>
  </w:style>
  <w:style w:type="character" w:styleId="Mencinsinresolver4" w:customStyle="1">
    <w:name w:val="Mención sin resolver4"/>
    <w:basedOn w:val="Fuentedeprrafopredeter"/>
    <w:uiPriority w:val="99"/>
    <w:semiHidden w:val="1"/>
    <w:unhideWhenUsed w:val="1"/>
    <w:rsid w:val="00E8288F"/>
    <w:rPr>
      <w:color w:val="605e5c"/>
      <w:shd w:color="auto" w:fill="e1dfdd" w:val="clear"/>
    </w:rPr>
  </w:style>
  <w:style w:type="paragraph" w:styleId="xgmail-msonormal" w:customStyle="1">
    <w:name w:val="x_gmail-msonormal"/>
    <w:basedOn w:val="Normal"/>
    <w:rsid w:val="009B2050"/>
    <w:pPr>
      <w:spacing w:after="100" w:afterAutospacing="1" w:before="100" w:beforeAutospacing="1"/>
    </w:pPr>
    <w:rPr>
      <w:lang w:eastAsia="en-US"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TNj08WLeSF3gveB2iagLr0Y3A==">CgMxLjAyDmguODllb3V3NWhtYzl6MgloLjN6bnlzaDcyDmguajNwcHl4d2xiMXMyMghoLnR5amN3dDINaC5qbDBkbGFzb3Q0ZjgAciExblhfb01DeHVadUI4NktpcHFKLWxhVjdWc2FSZzhMRFY=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2025-11-11T22:35:00Z</dcterms:created>
  <dc:creator>Cuenta Microsoft</dc:creator>
</cp:coreProperties>
</file>