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B6" w:rsidRPr="002C3CAA" w:rsidRDefault="00B77F44">
      <w:pPr>
        <w:spacing w:before="240" w:after="240" w:line="360" w:lineRule="auto"/>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del nueve de abril de dos mil veinticinco. </w:t>
      </w:r>
    </w:p>
    <w:p w:rsidR="00B93EB6" w:rsidRPr="002C3CAA" w:rsidRDefault="00B77F44">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b/>
          <w:color w:val="000000" w:themeColor="text1"/>
        </w:rPr>
        <w:t>VISTO el</w:t>
      </w:r>
      <w:r w:rsidRPr="002C3CAA">
        <w:rPr>
          <w:rFonts w:ascii="Palatino Linotype" w:eastAsia="Palatino Linotype" w:hAnsi="Palatino Linotype" w:cs="Palatino Linotype"/>
          <w:color w:val="000000" w:themeColor="text1"/>
        </w:rPr>
        <w:t xml:space="preserve"> expediente electrónico formado con motivo del recurso de revisión </w:t>
      </w:r>
      <w:r w:rsidRPr="002C3CAA">
        <w:rPr>
          <w:rFonts w:ascii="Palatino Linotype" w:eastAsia="Palatino Linotype" w:hAnsi="Palatino Linotype" w:cs="Palatino Linotype"/>
          <w:b/>
          <w:color w:val="000000" w:themeColor="text1"/>
        </w:rPr>
        <w:t xml:space="preserve">02098/INFOEM/IP/RR/2025, </w:t>
      </w:r>
      <w:r w:rsidRPr="002C3CAA">
        <w:rPr>
          <w:rFonts w:ascii="Palatino Linotype" w:eastAsia="Palatino Linotype" w:hAnsi="Palatino Linotype" w:cs="Palatino Linotype"/>
          <w:color w:val="000000" w:themeColor="text1"/>
        </w:rPr>
        <w:t xml:space="preserve">promovido por </w:t>
      </w:r>
      <w:r w:rsidRPr="002C3CAA">
        <w:rPr>
          <w:rFonts w:ascii="Palatino Linotype" w:eastAsia="Palatino Linotype" w:hAnsi="Palatino Linotype" w:cs="Palatino Linotype"/>
          <w:b/>
          <w:color w:val="000000" w:themeColor="text1"/>
        </w:rPr>
        <w:t>un usuario del Sistema de  Acceso a la Información Mexiquense (SAIMEX), quien no proporcionó nombre</w:t>
      </w:r>
      <w:r w:rsidRPr="002C3CAA">
        <w:rPr>
          <w:rFonts w:ascii="Palatino Linotype" w:eastAsia="Palatino Linotype" w:hAnsi="Palatino Linotype" w:cs="Palatino Linotype"/>
          <w:color w:val="000000" w:themeColor="text1"/>
        </w:rPr>
        <w:t xml:space="preserve">, en su calidad de </w:t>
      </w:r>
      <w:r w:rsidRPr="002C3CAA">
        <w:rPr>
          <w:rFonts w:ascii="Palatino Linotype" w:eastAsia="Palatino Linotype" w:hAnsi="Palatino Linotype" w:cs="Palatino Linotype"/>
          <w:b/>
          <w:color w:val="000000" w:themeColor="text1"/>
        </w:rPr>
        <w:t>RECURRENTE</w:t>
      </w:r>
      <w:r w:rsidRPr="002C3CAA">
        <w:rPr>
          <w:rFonts w:ascii="Palatino Linotype" w:eastAsia="Palatino Linotype" w:hAnsi="Palatino Linotype" w:cs="Palatino Linotype"/>
          <w:color w:val="000000" w:themeColor="text1"/>
        </w:rPr>
        <w:t xml:space="preserve">, en contra de la respuesta del </w:t>
      </w:r>
      <w:r w:rsidRPr="002C3CAA">
        <w:rPr>
          <w:rFonts w:ascii="Palatino Linotype" w:eastAsia="Palatino Linotype" w:hAnsi="Palatino Linotype" w:cs="Palatino Linotype"/>
          <w:b/>
          <w:color w:val="000000" w:themeColor="text1"/>
        </w:rPr>
        <w:t>Sistema Municipal Para el Desarrollo Integral de la Familia de Toluca</w:t>
      </w:r>
      <w:r w:rsidRPr="002C3CAA">
        <w:rPr>
          <w:rFonts w:ascii="Palatino Linotype" w:eastAsia="Palatino Linotype" w:hAnsi="Palatino Linotype" w:cs="Palatino Linotype"/>
          <w:color w:val="000000" w:themeColor="text1"/>
        </w:rPr>
        <w:t>,</w:t>
      </w:r>
      <w:r w:rsidRPr="002C3CAA">
        <w:rPr>
          <w:rFonts w:ascii="Palatino Linotype" w:eastAsia="Palatino Linotype" w:hAnsi="Palatino Linotype" w:cs="Palatino Linotype"/>
          <w:b/>
          <w:color w:val="000000" w:themeColor="text1"/>
        </w:rPr>
        <w:t xml:space="preserve"> </w:t>
      </w:r>
      <w:r w:rsidRPr="002C3CAA">
        <w:rPr>
          <w:rFonts w:ascii="Palatino Linotype" w:eastAsia="Palatino Linotype" w:hAnsi="Palatino Linotype" w:cs="Palatino Linotype"/>
          <w:color w:val="000000" w:themeColor="text1"/>
        </w:rPr>
        <w:t>en lo sucesivo el</w:t>
      </w:r>
      <w:r w:rsidRPr="002C3CAA">
        <w:rPr>
          <w:rFonts w:ascii="Palatino Linotype" w:eastAsia="Palatino Linotype" w:hAnsi="Palatino Linotype" w:cs="Palatino Linotype"/>
          <w:b/>
          <w:color w:val="000000" w:themeColor="text1"/>
        </w:rPr>
        <w:t xml:space="preserve"> SUJETO OBLIGADO, </w:t>
      </w:r>
      <w:r w:rsidRPr="002C3CAA">
        <w:rPr>
          <w:rFonts w:ascii="Palatino Linotype" w:eastAsia="Palatino Linotype" w:hAnsi="Palatino Linotype" w:cs="Palatino Linotype"/>
          <w:color w:val="000000" w:themeColor="text1"/>
        </w:rPr>
        <w:t>se procede a dictar la presente resolución, con base en los siguientes:</w:t>
      </w:r>
    </w:p>
    <w:p w:rsidR="00B93EB6" w:rsidRPr="002C3CAA" w:rsidRDefault="00B77F44">
      <w:pPr>
        <w:pStyle w:val="Ttulo1"/>
        <w:jc w:val="center"/>
        <w:rPr>
          <w:rFonts w:ascii="Palatino Linotype" w:eastAsia="Palatino Linotype" w:hAnsi="Palatino Linotype" w:cs="Palatino Linotype"/>
          <w:b/>
          <w:color w:val="000000" w:themeColor="text1"/>
          <w:sz w:val="24"/>
          <w:szCs w:val="24"/>
        </w:rPr>
      </w:pPr>
      <w:bookmarkStart w:id="0" w:name="_heading=h.xyq7ai2pzvjr" w:colFirst="0" w:colLast="0"/>
      <w:bookmarkEnd w:id="0"/>
      <w:r w:rsidRPr="002C3CAA">
        <w:rPr>
          <w:rFonts w:ascii="Palatino Linotype" w:eastAsia="Palatino Linotype" w:hAnsi="Palatino Linotype" w:cs="Palatino Linotype"/>
          <w:b/>
          <w:color w:val="000000" w:themeColor="text1"/>
          <w:sz w:val="24"/>
          <w:szCs w:val="24"/>
        </w:rPr>
        <w:t>ANTECEDENTES</w:t>
      </w:r>
    </w:p>
    <w:p w:rsidR="00B93EB6" w:rsidRPr="002C3CAA" w:rsidRDefault="00B93EB6">
      <w:pPr>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El </w:t>
      </w:r>
      <w:r w:rsidRPr="002C3CAA">
        <w:rPr>
          <w:rFonts w:ascii="Palatino Linotype" w:eastAsia="Palatino Linotype" w:hAnsi="Palatino Linotype" w:cs="Palatino Linotype"/>
          <w:b/>
          <w:color w:val="000000" w:themeColor="text1"/>
        </w:rPr>
        <w:t>seis de febrero de dos mil de dos mil veinticinco</w:t>
      </w:r>
      <w:r w:rsidRPr="002C3CAA">
        <w:rPr>
          <w:rFonts w:ascii="Palatino Linotype" w:eastAsia="Palatino Linotype" w:hAnsi="Palatino Linotype" w:cs="Palatino Linotype"/>
          <w:color w:val="000000" w:themeColor="text1"/>
        </w:rPr>
        <w:t xml:space="preserve">, </w:t>
      </w:r>
      <w:r w:rsidRPr="002C3CAA">
        <w:rPr>
          <w:rFonts w:ascii="Palatino Linotype" w:eastAsia="Palatino Linotype" w:hAnsi="Palatino Linotype" w:cs="Palatino Linotype"/>
          <w:b/>
          <w:color w:val="000000" w:themeColor="text1"/>
        </w:rPr>
        <w:t xml:space="preserve">EL RECURRENTE </w:t>
      </w:r>
      <w:r w:rsidRPr="002C3CAA">
        <w:rPr>
          <w:rFonts w:ascii="Palatino Linotype" w:eastAsia="Palatino Linotype" w:hAnsi="Palatino Linotype" w:cs="Palatino Linotype"/>
          <w:color w:val="000000" w:themeColor="text1"/>
        </w:rPr>
        <w:t>presentó</w:t>
      </w:r>
      <w:r w:rsidRPr="002C3CAA">
        <w:rPr>
          <w:rFonts w:ascii="Palatino Linotype" w:eastAsia="Palatino Linotype" w:hAnsi="Palatino Linotype" w:cs="Palatino Linotype"/>
          <w:b/>
          <w:color w:val="000000" w:themeColor="text1"/>
        </w:rPr>
        <w:t>,</w:t>
      </w:r>
      <w:r w:rsidRPr="002C3CAA">
        <w:rPr>
          <w:rFonts w:ascii="Palatino Linotype" w:eastAsia="Palatino Linotype" w:hAnsi="Palatino Linotype" w:cs="Palatino Linotype"/>
          <w:color w:val="000000" w:themeColor="text1"/>
        </w:rPr>
        <w:t xml:space="preserve"> ante el </w:t>
      </w:r>
      <w:r w:rsidRPr="002C3CAA">
        <w:rPr>
          <w:rFonts w:ascii="Palatino Linotype" w:eastAsia="Palatino Linotype" w:hAnsi="Palatino Linotype" w:cs="Palatino Linotype"/>
          <w:b/>
          <w:color w:val="000000" w:themeColor="text1"/>
        </w:rPr>
        <w:t>SUJETO OBLIGADO</w:t>
      </w:r>
      <w:r w:rsidRPr="002C3CAA">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2C3CAA">
        <w:rPr>
          <w:rFonts w:ascii="Palatino Linotype" w:eastAsia="Palatino Linotype" w:hAnsi="Palatino Linotype" w:cs="Palatino Linotype"/>
          <w:b/>
          <w:color w:val="000000" w:themeColor="text1"/>
        </w:rPr>
        <w:t xml:space="preserve">00119/DIFTOLUCA/IP/2025, </w:t>
      </w:r>
      <w:r w:rsidRPr="002C3CAA">
        <w:rPr>
          <w:rFonts w:ascii="Palatino Linotype" w:eastAsia="Palatino Linotype" w:hAnsi="Palatino Linotype" w:cs="Palatino Linotype"/>
          <w:color w:val="000000" w:themeColor="text1"/>
        </w:rPr>
        <w:t>mediante la cual solicitó lo siguiente:</w:t>
      </w:r>
    </w:p>
    <w:p w:rsidR="00B93EB6" w:rsidRPr="002C3CAA" w:rsidRDefault="00B93E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EB6" w:rsidRPr="002C3CAA" w:rsidRDefault="00B77F44">
      <w:pPr>
        <w:pBdr>
          <w:top w:val="nil"/>
          <w:left w:val="nil"/>
          <w:bottom w:val="nil"/>
          <w:right w:val="nil"/>
          <w:between w:val="nil"/>
        </w:pBdr>
        <w:spacing w:line="360" w:lineRule="auto"/>
        <w:ind w:left="567" w:right="539"/>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“quiero conocer el costo de los murales que inaguro la presidenta Paulina como parte de las remodelaciones del DIF”</w:t>
      </w:r>
    </w:p>
    <w:p w:rsidR="00B93EB6" w:rsidRPr="002C3CAA" w:rsidRDefault="00B93E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lastRenderedPageBreak/>
        <w:t xml:space="preserve">Señaló como modalidad de entrega de la información a través del Sistema de Acceso a la Información Mexiquense (SAIMEX). </w:t>
      </w: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El </w:t>
      </w:r>
      <w:r w:rsidRPr="002C3CAA">
        <w:rPr>
          <w:rFonts w:ascii="Palatino Linotype" w:eastAsia="Palatino Linotype" w:hAnsi="Palatino Linotype" w:cs="Palatino Linotype"/>
          <w:b/>
          <w:color w:val="000000" w:themeColor="text1"/>
        </w:rPr>
        <w:t>diecinueve de febrero de dos mil veinticinco</w:t>
      </w:r>
      <w:r w:rsidRPr="002C3CAA">
        <w:rPr>
          <w:rFonts w:ascii="Palatino Linotype" w:eastAsia="Palatino Linotype" w:hAnsi="Palatino Linotype" w:cs="Palatino Linotype"/>
          <w:color w:val="000000" w:themeColor="text1"/>
        </w:rPr>
        <w:t>, el Sujeto Obligado dio respuesta a la solicitud, en los siguientes términos:</w:t>
      </w:r>
    </w:p>
    <w:p w:rsidR="00B93EB6" w:rsidRPr="002C3CAA" w:rsidRDefault="00B93EB6">
      <w:pPr>
        <w:pBdr>
          <w:top w:val="nil"/>
          <w:left w:val="nil"/>
          <w:bottom w:val="nil"/>
          <w:right w:val="nil"/>
          <w:between w:val="nil"/>
        </w:pBdr>
        <w:ind w:left="720"/>
        <w:rPr>
          <w:rFonts w:ascii="Palatino Linotype" w:eastAsia="Palatino Linotype" w:hAnsi="Palatino Linotype" w:cs="Palatino Linotype"/>
          <w:color w:val="000000" w:themeColor="text1"/>
        </w:rPr>
      </w:pPr>
    </w:p>
    <w:tbl>
      <w:tblPr>
        <w:tblStyle w:val="a"/>
        <w:tblW w:w="7766" w:type="dxa"/>
        <w:jc w:val="center"/>
        <w:tblInd w:w="0" w:type="dxa"/>
        <w:tblLayout w:type="fixed"/>
        <w:tblLook w:val="0400" w:firstRow="0" w:lastRow="0" w:firstColumn="0" w:lastColumn="0" w:noHBand="0" w:noVBand="1"/>
      </w:tblPr>
      <w:tblGrid>
        <w:gridCol w:w="7766"/>
      </w:tblGrid>
      <w:tr w:rsidR="008E364C" w:rsidRPr="002C3CAA">
        <w:trPr>
          <w:trHeight w:val="294"/>
          <w:jc w:val="center"/>
        </w:trPr>
        <w:tc>
          <w:tcPr>
            <w:tcW w:w="7766" w:type="dxa"/>
            <w:vAlign w:val="center"/>
          </w:tcPr>
          <w:p w:rsidR="00B93EB6" w:rsidRPr="002C3CAA" w:rsidRDefault="00B77F44">
            <w:pPr>
              <w:jc w:val="right"/>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l Para el Desarrollo Integral de la Familia de Toluca, México a 19 de Febrero de 2025</w:t>
            </w:r>
          </w:p>
        </w:tc>
      </w:tr>
      <w:tr w:rsidR="008E364C" w:rsidRPr="002C3CAA">
        <w:trPr>
          <w:trHeight w:val="294"/>
          <w:jc w:val="center"/>
        </w:trPr>
        <w:tc>
          <w:tcPr>
            <w:tcW w:w="7766" w:type="dxa"/>
            <w:vAlign w:val="center"/>
          </w:tcPr>
          <w:p w:rsidR="00B93EB6" w:rsidRPr="002C3CAA" w:rsidRDefault="00B77F44">
            <w:pPr>
              <w:jc w:val="right"/>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Nombre del solicitante: C. Solicitante</w:t>
            </w:r>
          </w:p>
        </w:tc>
      </w:tr>
      <w:tr w:rsidR="008E364C" w:rsidRPr="002C3CAA">
        <w:trPr>
          <w:trHeight w:val="294"/>
          <w:jc w:val="center"/>
        </w:trPr>
        <w:tc>
          <w:tcPr>
            <w:tcW w:w="7766" w:type="dxa"/>
            <w:vAlign w:val="center"/>
          </w:tcPr>
          <w:p w:rsidR="00B93EB6" w:rsidRPr="002C3CAA" w:rsidRDefault="00B77F44">
            <w:pPr>
              <w:jc w:val="right"/>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Folio de la solicitud: 00119/DIFTOLUCA/IP/2025</w:t>
            </w:r>
          </w:p>
        </w:tc>
      </w:tr>
      <w:tr w:rsidR="008E364C" w:rsidRPr="002C3CAA">
        <w:trPr>
          <w:trHeight w:val="441"/>
          <w:jc w:val="center"/>
        </w:trPr>
        <w:tc>
          <w:tcPr>
            <w:tcW w:w="7766" w:type="dxa"/>
            <w:vAlign w:val="center"/>
          </w:tcPr>
          <w:p w:rsidR="00B93EB6" w:rsidRPr="002C3CAA" w:rsidRDefault="00B93EB6">
            <w:pPr>
              <w:jc w:val="right"/>
              <w:rPr>
                <w:rFonts w:ascii="Palatino Linotype" w:eastAsia="Palatino Linotype" w:hAnsi="Palatino Linotype" w:cs="Palatino Linotype"/>
                <w:i/>
                <w:color w:val="000000" w:themeColor="text1"/>
              </w:rPr>
            </w:pPr>
          </w:p>
        </w:tc>
      </w:tr>
      <w:tr w:rsidR="008E364C" w:rsidRPr="002C3CAA">
        <w:trPr>
          <w:trHeight w:val="147"/>
          <w:jc w:val="center"/>
        </w:trPr>
        <w:tc>
          <w:tcPr>
            <w:tcW w:w="7766" w:type="dxa"/>
            <w:vAlign w:val="center"/>
          </w:tcPr>
          <w:p w:rsidR="00B93EB6" w:rsidRPr="002C3CAA" w:rsidRDefault="00B93EB6">
            <w:pPr>
              <w:jc w:val="center"/>
              <w:rPr>
                <w:rFonts w:ascii="Palatino Linotype" w:eastAsia="Palatino Linotype" w:hAnsi="Palatino Linotype" w:cs="Palatino Linotype"/>
                <w:i/>
                <w:color w:val="000000" w:themeColor="text1"/>
              </w:rPr>
            </w:pPr>
          </w:p>
        </w:tc>
      </w:tr>
      <w:tr w:rsidR="008E364C" w:rsidRPr="002C3CAA">
        <w:trPr>
          <w:trHeight w:val="368"/>
          <w:jc w:val="center"/>
        </w:trPr>
        <w:tc>
          <w:tcPr>
            <w:tcW w:w="7766" w:type="dxa"/>
            <w:vAlign w:val="center"/>
          </w:tcPr>
          <w:p w:rsidR="00B93EB6" w:rsidRPr="002C3CAA" w:rsidRDefault="00B93EB6">
            <w:pPr>
              <w:rPr>
                <w:rFonts w:ascii="Palatino Linotype" w:eastAsia="Palatino Linotype" w:hAnsi="Palatino Linotype" w:cs="Palatino Linotype"/>
                <w:i/>
                <w:color w:val="000000" w:themeColor="text1"/>
              </w:rPr>
            </w:pPr>
          </w:p>
        </w:tc>
      </w:tr>
      <w:tr w:rsidR="008E364C" w:rsidRPr="002C3CAA">
        <w:trPr>
          <w:trHeight w:val="147"/>
          <w:jc w:val="center"/>
        </w:trPr>
        <w:tc>
          <w:tcPr>
            <w:tcW w:w="7766" w:type="dxa"/>
            <w:vAlign w:val="center"/>
          </w:tcPr>
          <w:p w:rsidR="00B93EB6" w:rsidRPr="002C3CAA" w:rsidRDefault="00B77F44">
            <w:pPr>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Sistema Municipal Para el Desarrollo Integral de la Familia de Toluca Toluca, México a 19 de Febrero de 2025 Nombre del solicitante: C. Solicitante Folio de la solicitud: 00119/DIFTOLUCA/IP/2025 En cumplimiento a lo dispuesto en el artículo 53 fracción II, IV, V y VI de la Ley de Transparencia y Acceso a la Información Pública del Estado de México y Municipios, adjunto a la presente la información y los elementos necesarios para la atención de la solicitud de información de este Sujeto Obligado. ATENTAMENTE LIC. ISAURA RÍOS VALDÉS TITULAR DE LA UNIDAD DE INFORMACIÓN, PLANEACIÓN, PROGRAMACIÓN Y EVALUACIÓN DEL SISTEMA MUNICIPAL DIF DE TOLUCA</w:t>
            </w:r>
          </w:p>
        </w:tc>
      </w:tr>
      <w:tr w:rsidR="008E364C" w:rsidRPr="002C3CAA">
        <w:trPr>
          <w:trHeight w:val="368"/>
          <w:jc w:val="center"/>
        </w:trPr>
        <w:tc>
          <w:tcPr>
            <w:tcW w:w="7766" w:type="dxa"/>
            <w:vAlign w:val="center"/>
          </w:tcPr>
          <w:p w:rsidR="00B93EB6" w:rsidRPr="002C3CAA" w:rsidRDefault="00B93EB6">
            <w:pPr>
              <w:jc w:val="both"/>
              <w:rPr>
                <w:rFonts w:ascii="Palatino Linotype" w:eastAsia="Palatino Linotype" w:hAnsi="Palatino Linotype" w:cs="Palatino Linotype"/>
                <w:i/>
                <w:color w:val="000000" w:themeColor="text1"/>
              </w:rPr>
            </w:pPr>
          </w:p>
        </w:tc>
      </w:tr>
      <w:tr w:rsidR="008E364C" w:rsidRPr="002C3CAA">
        <w:trPr>
          <w:trHeight w:val="147"/>
          <w:jc w:val="center"/>
        </w:trPr>
        <w:tc>
          <w:tcPr>
            <w:tcW w:w="7766" w:type="dxa"/>
            <w:vAlign w:val="center"/>
          </w:tcPr>
          <w:p w:rsidR="00B93EB6" w:rsidRPr="002C3CAA" w:rsidRDefault="00B93EB6">
            <w:pPr>
              <w:jc w:val="center"/>
              <w:rPr>
                <w:rFonts w:ascii="Palatino Linotype" w:eastAsia="Palatino Linotype" w:hAnsi="Palatino Linotype" w:cs="Palatino Linotype"/>
                <w:i/>
                <w:color w:val="000000" w:themeColor="text1"/>
              </w:rPr>
            </w:pPr>
          </w:p>
        </w:tc>
      </w:tr>
      <w:tr w:rsidR="008E364C" w:rsidRPr="002C3CAA">
        <w:trPr>
          <w:trHeight w:val="147"/>
          <w:jc w:val="center"/>
        </w:trPr>
        <w:tc>
          <w:tcPr>
            <w:tcW w:w="7766" w:type="dxa"/>
            <w:vAlign w:val="center"/>
          </w:tcPr>
          <w:p w:rsidR="00B93EB6" w:rsidRPr="002C3CAA" w:rsidRDefault="00B93EB6">
            <w:pPr>
              <w:rPr>
                <w:rFonts w:ascii="Palatino Linotype" w:eastAsia="Palatino Linotype" w:hAnsi="Palatino Linotype" w:cs="Palatino Linotype"/>
                <w:i/>
                <w:color w:val="000000" w:themeColor="text1"/>
              </w:rPr>
            </w:pPr>
          </w:p>
        </w:tc>
      </w:tr>
      <w:tr w:rsidR="008E364C" w:rsidRPr="002C3CAA">
        <w:trPr>
          <w:trHeight w:val="147"/>
          <w:jc w:val="center"/>
        </w:trPr>
        <w:tc>
          <w:tcPr>
            <w:tcW w:w="7766" w:type="dxa"/>
            <w:vAlign w:val="center"/>
          </w:tcPr>
          <w:p w:rsidR="00B93EB6" w:rsidRPr="002C3CAA" w:rsidRDefault="00B77F44">
            <w:pPr>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ATENTAMENTE</w:t>
            </w:r>
          </w:p>
        </w:tc>
      </w:tr>
      <w:tr w:rsidR="008E364C" w:rsidRPr="002C3CAA">
        <w:trPr>
          <w:trHeight w:val="220"/>
          <w:jc w:val="center"/>
        </w:trPr>
        <w:tc>
          <w:tcPr>
            <w:tcW w:w="7766" w:type="dxa"/>
            <w:vAlign w:val="center"/>
          </w:tcPr>
          <w:p w:rsidR="00B93EB6" w:rsidRPr="002C3CAA" w:rsidRDefault="00B93EB6">
            <w:pPr>
              <w:rPr>
                <w:rFonts w:ascii="Palatino Linotype" w:eastAsia="Palatino Linotype" w:hAnsi="Palatino Linotype" w:cs="Palatino Linotype"/>
                <w:i/>
                <w:color w:val="000000" w:themeColor="text1"/>
              </w:rPr>
            </w:pPr>
          </w:p>
        </w:tc>
      </w:tr>
      <w:tr w:rsidR="00B93EB6" w:rsidRPr="002C3CAA">
        <w:trPr>
          <w:trHeight w:val="147"/>
          <w:jc w:val="center"/>
        </w:trPr>
        <w:tc>
          <w:tcPr>
            <w:tcW w:w="7766" w:type="dxa"/>
            <w:vAlign w:val="center"/>
          </w:tcPr>
          <w:p w:rsidR="00B93EB6" w:rsidRPr="002C3CAA" w:rsidRDefault="00B77F44">
            <w:pPr>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Lic. Isaura Ríos Valdés</w:t>
            </w:r>
          </w:p>
        </w:tc>
      </w:tr>
    </w:tbl>
    <w:p w:rsidR="00B93EB6" w:rsidRPr="002C3CAA" w:rsidRDefault="00B93EB6">
      <w:pPr>
        <w:spacing w:line="360" w:lineRule="auto"/>
        <w:jc w:val="both"/>
        <w:rPr>
          <w:rFonts w:ascii="Palatino Linotype" w:eastAsia="Palatino Linotype" w:hAnsi="Palatino Linotype" w:cs="Palatino Linotype"/>
          <w:color w:val="000000" w:themeColor="text1"/>
          <w:u w:val="single"/>
        </w:rPr>
      </w:pPr>
    </w:p>
    <w:p w:rsidR="00B93EB6" w:rsidRPr="002C3CAA" w:rsidRDefault="00B77F4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color w:val="000000" w:themeColor="text1"/>
        </w:rPr>
        <w:t xml:space="preserve">A la respuesta se adjuntó el archivo </w:t>
      </w:r>
      <w:hyperlink r:id="rId8">
        <w:r w:rsidRPr="002C3CAA">
          <w:rPr>
            <w:rFonts w:ascii="Palatino Linotype" w:eastAsia="Palatino Linotype" w:hAnsi="Palatino Linotype" w:cs="Palatino Linotype"/>
            <w:b/>
            <w:color w:val="000000" w:themeColor="text1"/>
            <w:u w:val="single"/>
          </w:rPr>
          <w:t>Respuesta UIPPE y SPH 119.pdf</w:t>
        </w:r>
      </w:hyperlink>
      <w:r w:rsidRPr="002C3CAA">
        <w:rPr>
          <w:rFonts w:ascii="Palatino Linotype" w:eastAsia="Palatino Linotype" w:hAnsi="Palatino Linotype" w:cs="Palatino Linotype"/>
          <w:color w:val="000000" w:themeColor="text1"/>
        </w:rPr>
        <w:t xml:space="preserve">, en el que se advierte el oficio número 200B10100/364/2025 de fecha dieciocho de febrero de dos mil veinticinco, suscrito por el Titular de la Unidad de Información, Planeación, Programación y Evaluación del Sistema Municipal DIF de Toluca, en el que señaló que se proporciona información de la Dirección de Administración y Tesorería. Asimismo, se adjuntó el oficio número 200B10900/251/2025 de fecha catorce de febrero de dos mil veinticinco, suscrito por el Director de Administración y Tesorería en el que señaló que el costo de los murales fue de $9,000.00 (nueve mil pesos 00/100 M.N.). </w:t>
      </w:r>
    </w:p>
    <w:p w:rsidR="00B93EB6" w:rsidRPr="002C3CAA" w:rsidRDefault="00B93EB6">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themeColor="text1"/>
        </w:rPr>
      </w:pP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1" w:name="_heading=h.ua043w69fhg3" w:colFirst="0" w:colLast="0"/>
      <w:bookmarkEnd w:id="1"/>
      <w:r w:rsidRPr="002C3CAA">
        <w:rPr>
          <w:rFonts w:ascii="Palatino Linotype" w:eastAsia="Palatino Linotype" w:hAnsi="Palatino Linotype" w:cs="Palatino Linotype"/>
          <w:color w:val="000000" w:themeColor="text1"/>
        </w:rPr>
        <w:t xml:space="preserve">El </w:t>
      </w:r>
      <w:r w:rsidRPr="002C3CAA">
        <w:rPr>
          <w:rFonts w:ascii="Palatino Linotype" w:eastAsia="Palatino Linotype" w:hAnsi="Palatino Linotype" w:cs="Palatino Linotype"/>
          <w:b/>
          <w:color w:val="000000" w:themeColor="text1"/>
        </w:rPr>
        <w:t>veintiséis de febrero de dos mil veinticinco</w:t>
      </w:r>
      <w:r w:rsidRPr="002C3CAA">
        <w:rPr>
          <w:rFonts w:ascii="Palatino Linotype" w:eastAsia="Palatino Linotype" w:hAnsi="Palatino Linotype" w:cs="Palatino Linotype"/>
          <w:color w:val="000000" w:themeColor="text1"/>
        </w:rPr>
        <w:t xml:space="preserve">, </w:t>
      </w:r>
      <w:r w:rsidRPr="002C3CAA">
        <w:rPr>
          <w:rFonts w:ascii="Palatino Linotype" w:eastAsia="Palatino Linotype" w:hAnsi="Palatino Linotype" w:cs="Palatino Linotype"/>
          <w:b/>
          <w:color w:val="000000" w:themeColor="text1"/>
        </w:rPr>
        <w:t>EL RECURRENTE</w:t>
      </w:r>
      <w:r w:rsidRPr="002C3CAA">
        <w:rPr>
          <w:rFonts w:ascii="Palatino Linotype" w:eastAsia="Palatino Linotype" w:hAnsi="Palatino Linotype" w:cs="Palatino Linotype"/>
          <w:color w:val="000000" w:themeColor="text1"/>
        </w:rPr>
        <w:t xml:space="preserve"> interpuso el recurso de revisión, en contra de la respuesta y señaló como:</w:t>
      </w:r>
    </w:p>
    <w:p w:rsidR="00B93EB6" w:rsidRPr="002C3CAA" w:rsidRDefault="00B93EB6">
      <w:pPr>
        <w:pBdr>
          <w:top w:val="nil"/>
          <w:left w:val="nil"/>
          <w:bottom w:val="nil"/>
          <w:right w:val="nil"/>
          <w:between w:val="nil"/>
        </w:pBdr>
        <w:ind w:left="720"/>
        <w:rPr>
          <w:rFonts w:ascii="Palatino Linotype" w:eastAsia="Palatino Linotype" w:hAnsi="Palatino Linotype" w:cs="Palatino Linotype"/>
          <w:b/>
          <w:color w:val="000000" w:themeColor="text1"/>
        </w:rPr>
      </w:pPr>
    </w:p>
    <w:p w:rsidR="00B93EB6" w:rsidRPr="002C3CAA" w:rsidRDefault="00B77F4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b/>
          <w:color w:val="000000" w:themeColor="text1"/>
        </w:rPr>
        <w:lastRenderedPageBreak/>
        <w:t xml:space="preserve">Acto impugnado: </w:t>
      </w:r>
      <w:r w:rsidRPr="002C3CAA">
        <w:rPr>
          <w:rFonts w:ascii="Palatino Linotype" w:eastAsia="Palatino Linotype" w:hAnsi="Palatino Linotype" w:cs="Palatino Linotype"/>
          <w:i/>
          <w:color w:val="000000" w:themeColor="text1"/>
        </w:rPr>
        <w:t>“No rersponde a la solicitud de información, la liga no brinda la informacion requerida” (sic)</w:t>
      </w:r>
    </w:p>
    <w:p w:rsidR="00B93EB6" w:rsidRPr="002C3CAA" w:rsidRDefault="00B93EB6">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themeColor="text1"/>
        </w:rPr>
      </w:pPr>
    </w:p>
    <w:p w:rsidR="00B93EB6" w:rsidRPr="002C3CAA" w:rsidRDefault="00B77F44">
      <w:pPr>
        <w:pBdr>
          <w:top w:val="nil"/>
          <w:left w:val="nil"/>
          <w:bottom w:val="nil"/>
          <w:right w:val="nil"/>
          <w:between w:val="nil"/>
        </w:pBdr>
        <w:spacing w:line="360" w:lineRule="auto"/>
        <w:ind w:left="851" w:right="822"/>
        <w:jc w:val="both"/>
        <w:rPr>
          <w:rFonts w:ascii="Palatino Linotype" w:eastAsia="Palatino Linotype" w:hAnsi="Palatino Linotype" w:cs="Palatino Linotype"/>
          <w:b/>
          <w:color w:val="000000" w:themeColor="text1"/>
        </w:rPr>
      </w:pPr>
      <w:r w:rsidRPr="002C3CAA">
        <w:rPr>
          <w:rFonts w:ascii="Palatino Linotype" w:eastAsia="Palatino Linotype" w:hAnsi="Palatino Linotype" w:cs="Palatino Linotype"/>
          <w:b/>
          <w:color w:val="000000" w:themeColor="text1"/>
        </w:rPr>
        <w:t xml:space="preserve">Motivos o razones de inconformidad: </w:t>
      </w:r>
      <w:r w:rsidRPr="002C3CAA">
        <w:rPr>
          <w:rFonts w:ascii="Palatino Linotype" w:eastAsia="Palatino Linotype" w:hAnsi="Palatino Linotype" w:cs="Palatino Linotype"/>
          <w:i/>
          <w:color w:val="000000" w:themeColor="text1"/>
        </w:rPr>
        <w:t>“No rersponde a la solicitud de información, la liga no brinda la informacion requerida” (sic)</w:t>
      </w:r>
    </w:p>
    <w:p w:rsidR="00B93EB6" w:rsidRPr="002C3CAA" w:rsidRDefault="00B93EB6">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2C3CA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C3CAA">
        <w:rPr>
          <w:rFonts w:ascii="Palatino Linotype" w:eastAsia="Palatino Linotype" w:hAnsi="Palatino Linotype" w:cs="Palatino Linotype"/>
          <w:color w:val="000000" w:themeColor="text1"/>
        </w:rPr>
        <w:t xml:space="preserve">se turnó a la </w:t>
      </w:r>
      <w:r w:rsidRPr="002C3CAA">
        <w:rPr>
          <w:rFonts w:ascii="Palatino Linotype" w:eastAsia="Palatino Linotype" w:hAnsi="Palatino Linotype" w:cs="Palatino Linotype"/>
          <w:b/>
          <w:color w:val="000000" w:themeColor="text1"/>
        </w:rPr>
        <w:t xml:space="preserve">Comisionada María del Rosario Mejía Ayala, </w:t>
      </w:r>
      <w:r w:rsidRPr="002C3CAA">
        <w:rPr>
          <w:rFonts w:ascii="Palatino Linotype" w:eastAsia="Palatino Linotype" w:hAnsi="Palatino Linotype" w:cs="Palatino Linotype"/>
          <w:color w:val="000000" w:themeColor="text1"/>
        </w:rPr>
        <w:t>con el objeto de su análisis.</w:t>
      </w:r>
    </w:p>
    <w:p w:rsidR="00B93EB6" w:rsidRPr="002C3CAA" w:rsidRDefault="00B93E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2C3CAA">
        <w:rPr>
          <w:rFonts w:ascii="Palatino Linotype" w:eastAsia="Palatino Linotype" w:hAnsi="Palatino Linotype" w:cs="Palatino Linotype"/>
          <w:b/>
          <w:color w:val="000000" w:themeColor="text1"/>
        </w:rPr>
        <w:t>veintisiete de febrero de dos mil veinticinco</w:t>
      </w:r>
      <w:r w:rsidRPr="002C3CAA">
        <w:rPr>
          <w:rFonts w:ascii="Palatino Linotype" w:eastAsia="Palatino Linotype" w:hAnsi="Palatino Linotype" w:cs="Palatino Linotype"/>
          <w:color w:val="000000" w:themeColor="text1"/>
        </w:rPr>
        <w:t xml:space="preserve">, puso a disposición de las partes el expediente electrónico vía </w:t>
      </w:r>
      <w:r w:rsidRPr="002C3CAA">
        <w:rPr>
          <w:rFonts w:ascii="Palatino Linotype" w:eastAsia="Palatino Linotype" w:hAnsi="Palatino Linotype" w:cs="Palatino Linotype"/>
          <w:b/>
          <w:color w:val="000000" w:themeColor="text1"/>
        </w:rPr>
        <w:t xml:space="preserve">SAIMEX </w:t>
      </w:r>
      <w:r w:rsidRPr="002C3CAA">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w:t>
      </w:r>
      <w:r w:rsidRPr="002C3CAA">
        <w:rPr>
          <w:rFonts w:ascii="Palatino Linotype" w:eastAsia="Palatino Linotype" w:hAnsi="Palatino Linotype" w:cs="Palatino Linotype"/>
          <w:color w:val="000000" w:themeColor="text1"/>
        </w:rPr>
        <w:lastRenderedPageBreak/>
        <w:t xml:space="preserve">corresponda al caso concreto, de esta forma para que el </w:t>
      </w:r>
      <w:r w:rsidRPr="002C3CAA">
        <w:rPr>
          <w:rFonts w:ascii="Palatino Linotype" w:eastAsia="Palatino Linotype" w:hAnsi="Palatino Linotype" w:cs="Palatino Linotype"/>
          <w:b/>
          <w:color w:val="000000" w:themeColor="text1"/>
        </w:rPr>
        <w:t>SUJETO OBLIGADO</w:t>
      </w:r>
      <w:r w:rsidRPr="002C3CAA">
        <w:rPr>
          <w:rFonts w:ascii="Palatino Linotype" w:eastAsia="Palatino Linotype" w:hAnsi="Palatino Linotype" w:cs="Palatino Linotype"/>
          <w:color w:val="000000" w:themeColor="text1"/>
        </w:rPr>
        <w:t xml:space="preserve"> presentara el informe justificado procedente.</w:t>
      </w:r>
    </w:p>
    <w:p w:rsidR="00B93EB6" w:rsidRPr="002C3CAA" w:rsidRDefault="00B77F44">
      <w:pPr>
        <w:numPr>
          <w:ilvl w:val="0"/>
          <w:numId w:val="1"/>
        </w:numPr>
        <w:tabs>
          <w:tab w:val="left" w:pos="284"/>
        </w:tabs>
        <w:spacing w:before="240" w:after="240"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w:t>
      </w:r>
      <w:r w:rsidRPr="002C3CAA">
        <w:rPr>
          <w:rFonts w:ascii="Palatino Linotype" w:eastAsia="Palatino Linotype" w:hAnsi="Palatino Linotype" w:cs="Palatino Linotype"/>
          <w:b/>
          <w:color w:val="000000" w:themeColor="text1"/>
        </w:rPr>
        <w:t>veintiocho de febrero de dos mil veinticinco</w:t>
      </w:r>
      <w:r w:rsidRPr="002C3CAA">
        <w:rPr>
          <w:rFonts w:ascii="Palatino Linotype" w:eastAsia="Palatino Linotype" w:hAnsi="Palatino Linotype" w:cs="Palatino Linotype"/>
          <w:color w:val="000000" w:themeColor="text1"/>
        </w:rPr>
        <w:t xml:space="preserve">, El </w:t>
      </w:r>
      <w:r w:rsidRPr="002C3CAA">
        <w:rPr>
          <w:rFonts w:ascii="Palatino Linotype" w:eastAsia="Palatino Linotype" w:hAnsi="Palatino Linotype" w:cs="Palatino Linotype"/>
          <w:b/>
          <w:color w:val="000000" w:themeColor="text1"/>
        </w:rPr>
        <w:t xml:space="preserve">SUJETO OBLIGADO </w:t>
      </w:r>
      <w:r w:rsidRPr="002C3CAA">
        <w:rPr>
          <w:rFonts w:ascii="Palatino Linotype" w:eastAsia="Palatino Linotype" w:hAnsi="Palatino Linotype" w:cs="Palatino Linotype"/>
          <w:color w:val="000000" w:themeColor="text1"/>
        </w:rPr>
        <w:t xml:space="preserve">rindió su informe justificado y se puso a la vista del particular el </w:t>
      </w:r>
      <w:r w:rsidRPr="002C3CAA">
        <w:rPr>
          <w:rFonts w:ascii="Palatino Linotype" w:eastAsia="Palatino Linotype" w:hAnsi="Palatino Linotype" w:cs="Palatino Linotype"/>
          <w:b/>
          <w:color w:val="000000" w:themeColor="text1"/>
        </w:rPr>
        <w:t>tres de abril de dos mil veinticinco</w:t>
      </w:r>
      <w:r w:rsidRPr="002C3CAA">
        <w:rPr>
          <w:rFonts w:ascii="Palatino Linotype" w:eastAsia="Palatino Linotype" w:hAnsi="Palatino Linotype" w:cs="Palatino Linotype"/>
          <w:color w:val="000000" w:themeColor="text1"/>
        </w:rPr>
        <w:t xml:space="preserve">, a través del archivo </w:t>
      </w:r>
      <w:hyperlink r:id="rId9">
        <w:r w:rsidRPr="002C3CAA">
          <w:rPr>
            <w:rFonts w:ascii="Palatino Linotype" w:eastAsia="Palatino Linotype" w:hAnsi="Palatino Linotype" w:cs="Palatino Linotype"/>
            <w:b/>
            <w:color w:val="000000" w:themeColor="text1"/>
            <w:u w:val="single"/>
          </w:rPr>
          <w:t>Informe justificado 119-2025.pdf</w:t>
        </w:r>
      </w:hyperlink>
      <w:r w:rsidRPr="002C3CAA">
        <w:rPr>
          <w:rFonts w:ascii="Palatino Linotype" w:eastAsia="Palatino Linotype" w:hAnsi="Palatino Linotype" w:cs="Palatino Linotype"/>
          <w:color w:val="000000" w:themeColor="text1"/>
        </w:rPr>
        <w:t xml:space="preserve">, en el que se ratificó la respuesta. </w:t>
      </w:r>
    </w:p>
    <w:p w:rsidR="00B93EB6" w:rsidRPr="002C3CAA" w:rsidRDefault="00B77F4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El </w:t>
      </w:r>
      <w:r w:rsidRPr="002C3CAA">
        <w:rPr>
          <w:rFonts w:ascii="Palatino Linotype" w:eastAsia="Palatino Linotype" w:hAnsi="Palatino Linotype" w:cs="Palatino Linotype"/>
          <w:b/>
          <w:color w:val="000000" w:themeColor="text1"/>
        </w:rPr>
        <w:t>nueve de abril de dos mil veinticinco</w:t>
      </w:r>
      <w:r w:rsidRPr="002C3CAA">
        <w:rPr>
          <w:rFonts w:ascii="Palatino Linotype" w:eastAsia="Palatino Linotype" w:hAnsi="Palatino Linotype" w:cs="Palatino Linotype"/>
          <w:color w:val="000000" w:themeColor="text1"/>
        </w:rPr>
        <w:t>, la Comisionada Ponente, decretó el cierre de instrucción, por lo que turnó la presente resolución para su aprobación.</w:t>
      </w:r>
    </w:p>
    <w:p w:rsidR="00B93EB6" w:rsidRPr="002C3CAA" w:rsidRDefault="00B77F44">
      <w:pPr>
        <w:pStyle w:val="Ttulo1"/>
        <w:jc w:val="center"/>
        <w:rPr>
          <w:rFonts w:ascii="Palatino Linotype" w:eastAsia="Palatino Linotype" w:hAnsi="Palatino Linotype" w:cs="Palatino Linotype"/>
          <w:b/>
          <w:color w:val="000000" w:themeColor="text1"/>
          <w:sz w:val="24"/>
          <w:szCs w:val="24"/>
        </w:rPr>
      </w:pPr>
      <w:bookmarkStart w:id="2" w:name="_heading=h.hetcki5wesur" w:colFirst="0" w:colLast="0"/>
      <w:bookmarkEnd w:id="2"/>
      <w:r w:rsidRPr="002C3CAA">
        <w:rPr>
          <w:rFonts w:ascii="Palatino Linotype" w:eastAsia="Palatino Linotype" w:hAnsi="Palatino Linotype" w:cs="Palatino Linotype"/>
          <w:b/>
          <w:color w:val="000000" w:themeColor="text1"/>
          <w:sz w:val="24"/>
          <w:szCs w:val="24"/>
        </w:rPr>
        <w:t xml:space="preserve">CONSIDERANDO </w:t>
      </w:r>
    </w:p>
    <w:p w:rsidR="00B93EB6" w:rsidRPr="002C3CAA" w:rsidRDefault="00B93EB6">
      <w:pPr>
        <w:rPr>
          <w:rFonts w:ascii="Palatino Linotype" w:eastAsia="Palatino Linotype" w:hAnsi="Palatino Linotype" w:cs="Palatino Linotype"/>
          <w:color w:val="000000" w:themeColor="text1"/>
        </w:rPr>
      </w:pPr>
    </w:p>
    <w:p w:rsidR="00B93EB6" w:rsidRPr="002C3CAA" w:rsidRDefault="00B77F44">
      <w:pPr>
        <w:pStyle w:val="Ttulo2"/>
        <w:rPr>
          <w:rFonts w:ascii="Palatino Linotype" w:eastAsia="Palatino Linotype" w:hAnsi="Palatino Linotype" w:cs="Palatino Linotype"/>
          <w:b/>
          <w:color w:val="000000" w:themeColor="text1"/>
          <w:sz w:val="24"/>
          <w:szCs w:val="24"/>
        </w:rPr>
      </w:pPr>
      <w:bookmarkStart w:id="3" w:name="_heading=h.nionc3dhu70g" w:colFirst="0" w:colLast="0"/>
      <w:bookmarkEnd w:id="3"/>
      <w:r w:rsidRPr="002C3CAA">
        <w:rPr>
          <w:rFonts w:ascii="Palatino Linotype" w:eastAsia="Palatino Linotype" w:hAnsi="Palatino Linotype" w:cs="Palatino Linotype"/>
          <w:b/>
          <w:color w:val="000000" w:themeColor="text1"/>
          <w:sz w:val="24"/>
          <w:szCs w:val="24"/>
        </w:rPr>
        <w:t>PRIMERO. De la competencia</w:t>
      </w:r>
    </w:p>
    <w:p w:rsidR="00B93EB6" w:rsidRPr="002C3CAA" w:rsidRDefault="00B77F44">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3CAA">
        <w:rPr>
          <w:rFonts w:ascii="Palatino Linotype" w:eastAsia="Palatino Linotype" w:hAnsi="Palatino Linotype" w:cs="Palatino Linotype"/>
          <w:b/>
          <w:color w:val="000000" w:themeColor="text1"/>
        </w:rPr>
        <w:t>Constitución Política de los Estados Unidos Mexicanos</w:t>
      </w:r>
      <w:r w:rsidRPr="002C3CAA">
        <w:rPr>
          <w:rFonts w:ascii="Palatino Linotype" w:eastAsia="Palatino Linotype" w:hAnsi="Palatino Linotype" w:cs="Palatino Linotype"/>
          <w:color w:val="000000" w:themeColor="text1"/>
        </w:rPr>
        <w:t xml:space="preserve">; 5, párrafos trigésimo segundo, trigésimo tercero y trigésimo cuarto fracciones IV y V de la </w:t>
      </w:r>
      <w:r w:rsidRPr="002C3CAA">
        <w:rPr>
          <w:rFonts w:ascii="Palatino Linotype" w:eastAsia="Palatino Linotype" w:hAnsi="Palatino Linotype" w:cs="Palatino Linotype"/>
          <w:b/>
          <w:color w:val="000000" w:themeColor="text1"/>
        </w:rPr>
        <w:t xml:space="preserve">Constitución </w:t>
      </w:r>
      <w:r w:rsidRPr="002C3CAA">
        <w:rPr>
          <w:rFonts w:ascii="Palatino Linotype" w:eastAsia="Palatino Linotype" w:hAnsi="Palatino Linotype" w:cs="Palatino Linotype"/>
          <w:b/>
          <w:color w:val="000000" w:themeColor="text1"/>
        </w:rPr>
        <w:lastRenderedPageBreak/>
        <w:t>Política del Estado Libre y Soberano de México</w:t>
      </w:r>
      <w:r w:rsidRPr="002C3CAA">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2C3CAA">
        <w:rPr>
          <w:rFonts w:ascii="Palatino Linotype" w:eastAsia="Palatino Linotype" w:hAnsi="Palatino Linotype" w:cs="Palatino Linotype"/>
          <w:b/>
          <w:color w:val="000000" w:themeColor="text1"/>
        </w:rPr>
        <w:t>Ley de Transparencia y Acceso a la Información Pública del Estado de México y Municipios</w:t>
      </w:r>
      <w:r w:rsidRPr="002C3CAA">
        <w:rPr>
          <w:rFonts w:ascii="Palatino Linotype" w:eastAsia="Palatino Linotype" w:hAnsi="Palatino Linotype" w:cs="Palatino Linotype"/>
          <w:color w:val="000000" w:themeColor="text1"/>
        </w:rPr>
        <w:t xml:space="preserve">; y 7, 9 fracciones I y XXIII, y 11 del </w:t>
      </w:r>
      <w:r w:rsidRPr="002C3CAA">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2C3CAA">
        <w:rPr>
          <w:rFonts w:ascii="Palatino Linotype" w:eastAsia="Palatino Linotype" w:hAnsi="Palatino Linotype" w:cs="Palatino Linotype"/>
          <w:color w:val="000000" w:themeColor="text1"/>
        </w:rPr>
        <w:t>.</w:t>
      </w:r>
    </w:p>
    <w:p w:rsidR="00B93EB6" w:rsidRPr="002C3CAA" w:rsidRDefault="00B77F44">
      <w:pPr>
        <w:pStyle w:val="Ttulo2"/>
        <w:rPr>
          <w:rFonts w:ascii="Palatino Linotype" w:eastAsia="Palatino Linotype" w:hAnsi="Palatino Linotype" w:cs="Palatino Linotype"/>
          <w:b/>
          <w:color w:val="000000" w:themeColor="text1"/>
          <w:sz w:val="24"/>
          <w:szCs w:val="24"/>
        </w:rPr>
      </w:pPr>
      <w:bookmarkStart w:id="4" w:name="_heading=h.uk736csch0du" w:colFirst="0" w:colLast="0"/>
      <w:bookmarkEnd w:id="4"/>
      <w:r w:rsidRPr="002C3CAA">
        <w:rPr>
          <w:rFonts w:ascii="Palatino Linotype" w:eastAsia="Palatino Linotype" w:hAnsi="Palatino Linotype" w:cs="Palatino Linotype"/>
          <w:b/>
          <w:color w:val="000000" w:themeColor="text1"/>
          <w:sz w:val="24"/>
          <w:szCs w:val="24"/>
        </w:rPr>
        <w:t>SEGUNDO. De la oportunidad y procedencia.</w:t>
      </w:r>
    </w:p>
    <w:p w:rsidR="00B93EB6" w:rsidRPr="002C3CAA" w:rsidRDefault="00B93EB6">
      <w:pPr>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themeColor="text1"/>
        </w:rPr>
      </w:pPr>
      <w:bookmarkStart w:id="5" w:name="_heading=h.acyehhvvwin6" w:colFirst="0" w:colLast="0"/>
      <w:bookmarkEnd w:id="5"/>
      <w:r w:rsidRPr="002C3CAA">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2C3CAA">
        <w:rPr>
          <w:rFonts w:ascii="Palatino Linotype" w:eastAsia="Palatino Linotype" w:hAnsi="Palatino Linotype" w:cs="Palatino Linotype"/>
          <w:b/>
          <w:color w:val="000000" w:themeColor="text1"/>
        </w:rPr>
        <w:t>SUJETO OBLIGADO</w:t>
      </w:r>
      <w:r w:rsidRPr="002C3CAA">
        <w:rPr>
          <w:rFonts w:ascii="Palatino Linotype" w:eastAsia="Palatino Linotype" w:hAnsi="Palatino Linotype" w:cs="Palatino Linotype"/>
          <w:color w:val="000000" w:themeColor="text1"/>
        </w:rPr>
        <w:t xml:space="preserve"> entregó respuesta el </w:t>
      </w:r>
      <w:r w:rsidRPr="002C3CAA">
        <w:rPr>
          <w:rFonts w:ascii="Palatino Linotype" w:eastAsia="Palatino Linotype" w:hAnsi="Palatino Linotype" w:cs="Palatino Linotype"/>
          <w:b/>
          <w:color w:val="000000" w:themeColor="text1"/>
        </w:rPr>
        <w:t>diecinueve de febrero de dos mil veinticinco</w:t>
      </w:r>
      <w:r w:rsidRPr="002C3CAA">
        <w:rPr>
          <w:rFonts w:ascii="Palatino Linotype" w:eastAsia="Palatino Linotype" w:hAnsi="Palatino Linotype" w:cs="Palatino Linotype"/>
          <w:color w:val="000000" w:themeColor="text1"/>
        </w:rPr>
        <w:t xml:space="preserve">, de tal forma que el plazo para interponer el recurso de revisión transcurrió del </w:t>
      </w:r>
      <w:r w:rsidRPr="002C3CAA">
        <w:rPr>
          <w:rFonts w:ascii="Palatino Linotype" w:eastAsia="Palatino Linotype" w:hAnsi="Palatino Linotype" w:cs="Palatino Linotype"/>
          <w:b/>
          <w:color w:val="000000" w:themeColor="text1"/>
        </w:rPr>
        <w:t>veinte de febrero al trece de marzo de dos mil veinticinco</w:t>
      </w:r>
      <w:r w:rsidRPr="002C3CAA">
        <w:rPr>
          <w:rFonts w:ascii="Palatino Linotype" w:eastAsia="Palatino Linotype" w:hAnsi="Palatino Linotype" w:cs="Palatino Linotype"/>
          <w:color w:val="000000" w:themeColor="text1"/>
        </w:rPr>
        <w:t xml:space="preserve">. El recurso de revisión fue interpuesto el </w:t>
      </w:r>
      <w:r w:rsidRPr="002C3CAA">
        <w:rPr>
          <w:rFonts w:ascii="Palatino Linotype" w:eastAsia="Palatino Linotype" w:hAnsi="Palatino Linotype" w:cs="Palatino Linotype"/>
          <w:b/>
          <w:color w:val="000000" w:themeColor="text1"/>
        </w:rPr>
        <w:t>veintiséis de febrero de dos mil veinticinco</w:t>
      </w:r>
      <w:r w:rsidRPr="002C3CAA">
        <w:rPr>
          <w:rFonts w:ascii="Palatino Linotype" w:eastAsia="Palatino Linotype" w:hAnsi="Palatino Linotype" w:cs="Palatino Linotype"/>
          <w:color w:val="000000" w:themeColor="text1"/>
        </w:rPr>
        <w:t>, éste se encuentra dentro de los márgenes temporales previstos en el artículo 178 de la Ley de Transparencia y Acceso a la Información Pública del Estado de México y Municipios</w:t>
      </w:r>
      <w:r w:rsidRPr="002C3CAA">
        <w:rPr>
          <w:rFonts w:ascii="Palatino Linotype" w:eastAsia="Palatino Linotype" w:hAnsi="Palatino Linotype" w:cs="Palatino Linotype"/>
          <w:b/>
          <w:color w:val="000000" w:themeColor="text1"/>
        </w:rPr>
        <w:t xml:space="preserve"> </w:t>
      </w:r>
      <w:r w:rsidRPr="002C3CAA">
        <w:rPr>
          <w:rFonts w:ascii="Palatino Linotype" w:eastAsia="Palatino Linotype" w:hAnsi="Palatino Linotype" w:cs="Palatino Linotype"/>
          <w:color w:val="000000" w:themeColor="text1"/>
        </w:rPr>
        <w:t xml:space="preserve">vigente. </w:t>
      </w:r>
    </w:p>
    <w:p w:rsidR="00B93EB6" w:rsidRPr="002C3CAA" w:rsidRDefault="00B93EB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lastRenderedPageBreak/>
        <w:t xml:space="preserve">Por otra parte, de la revisión al expediente electrónico del </w:t>
      </w:r>
      <w:r w:rsidRPr="002C3CAA">
        <w:rPr>
          <w:rFonts w:ascii="Palatino Linotype" w:eastAsia="Palatino Linotype" w:hAnsi="Palatino Linotype" w:cs="Palatino Linotype"/>
          <w:b/>
          <w:color w:val="000000" w:themeColor="text1"/>
        </w:rPr>
        <w:t>SAIMEX</w:t>
      </w:r>
      <w:r w:rsidRPr="002C3CAA">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93EB6" w:rsidRPr="002C3CAA" w:rsidRDefault="00B93EB6">
      <w:pPr>
        <w:pBdr>
          <w:top w:val="nil"/>
          <w:left w:val="nil"/>
          <w:bottom w:val="nil"/>
          <w:right w:val="nil"/>
          <w:between w:val="nil"/>
        </w:pBdr>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2C3CAA">
        <w:rPr>
          <w:rFonts w:ascii="Palatino Linotype" w:eastAsia="Palatino Linotype" w:hAnsi="Palatino Linotype" w:cs="Palatino Linotype"/>
          <w:color w:val="000000" w:themeColor="text1"/>
        </w:rPr>
        <w:lastRenderedPageBreak/>
        <w:t>procedimientos de revisión expeditos que se sustanciarán ante los organismos autónomos especializados e imparciales que establece la Constitución Federal y local.</w:t>
      </w:r>
    </w:p>
    <w:p w:rsidR="00B93EB6" w:rsidRPr="002C3CAA" w:rsidRDefault="00B93EB6">
      <w:pPr>
        <w:pBdr>
          <w:top w:val="nil"/>
          <w:left w:val="nil"/>
          <w:bottom w:val="nil"/>
          <w:right w:val="nil"/>
          <w:between w:val="nil"/>
        </w:pBdr>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93EB6" w:rsidRPr="002C3CAA" w:rsidRDefault="00B93EB6">
      <w:pPr>
        <w:pBdr>
          <w:top w:val="nil"/>
          <w:left w:val="nil"/>
          <w:bottom w:val="nil"/>
          <w:right w:val="nil"/>
          <w:between w:val="nil"/>
        </w:pBdr>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93EB6" w:rsidRPr="002C3CAA" w:rsidRDefault="00B93EB6">
      <w:pPr>
        <w:pBdr>
          <w:top w:val="nil"/>
          <w:left w:val="nil"/>
          <w:bottom w:val="nil"/>
          <w:right w:val="nil"/>
          <w:between w:val="nil"/>
        </w:pBdr>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Por lo que el nombre del solicitando y recurrente no puede ser considerado un requisito indispensable de procedibilidad del recurso de revisión que nos ocupa, ya </w:t>
      </w:r>
      <w:r w:rsidRPr="002C3CAA">
        <w:rPr>
          <w:rFonts w:ascii="Palatino Linotype" w:eastAsia="Palatino Linotype" w:hAnsi="Palatino Linotype" w:cs="Palatino Linotype"/>
          <w:color w:val="000000" w:themeColor="text1"/>
        </w:rPr>
        <w:lastRenderedPageBreak/>
        <w:t>que el acceso a la información no está condicionado a acreditar algún interés ya sea jurídico o legítimo, máxime que es un elemento subsanable por este Órgano Resolutor.</w:t>
      </w:r>
    </w:p>
    <w:p w:rsidR="00B93EB6" w:rsidRPr="002C3CAA" w:rsidRDefault="00B93EB6">
      <w:pPr>
        <w:tabs>
          <w:tab w:val="left" w:pos="426"/>
        </w:tabs>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93EB6" w:rsidRPr="002C3CAA" w:rsidRDefault="00B93EB6">
      <w:pPr>
        <w:pBdr>
          <w:top w:val="nil"/>
          <w:left w:val="nil"/>
          <w:bottom w:val="nil"/>
          <w:right w:val="nil"/>
          <w:between w:val="nil"/>
        </w:pBdr>
        <w:ind w:left="720"/>
        <w:rPr>
          <w:rFonts w:ascii="Palatino Linotype" w:eastAsia="Palatino Linotype" w:hAnsi="Palatino Linotype" w:cs="Palatino Linotype"/>
          <w:color w:val="000000" w:themeColor="text1"/>
        </w:rPr>
      </w:pPr>
    </w:p>
    <w:p w:rsidR="00B93EB6" w:rsidRPr="002C3CAA" w:rsidRDefault="00B77F44">
      <w:pPr>
        <w:keepNext/>
        <w:keepLines/>
        <w:spacing w:before="240" w:line="360" w:lineRule="auto"/>
        <w:rPr>
          <w:rFonts w:ascii="Palatino Linotype" w:eastAsia="Palatino Linotype" w:hAnsi="Palatino Linotype" w:cs="Palatino Linotype"/>
          <w:b/>
          <w:color w:val="000000" w:themeColor="text1"/>
        </w:rPr>
      </w:pPr>
      <w:bookmarkStart w:id="6" w:name="_heading=h.rtv99axquv5b" w:colFirst="0" w:colLast="0"/>
      <w:bookmarkEnd w:id="6"/>
      <w:r w:rsidRPr="002C3CAA">
        <w:rPr>
          <w:rFonts w:ascii="Palatino Linotype" w:eastAsia="Palatino Linotype" w:hAnsi="Palatino Linotype" w:cs="Palatino Linotype"/>
          <w:b/>
          <w:color w:val="000000" w:themeColor="text1"/>
        </w:rPr>
        <w:t>TERCERO. De las causales del sobreseimiento.</w:t>
      </w:r>
    </w:p>
    <w:p w:rsidR="00B93EB6" w:rsidRPr="002C3CAA" w:rsidRDefault="00B77F44">
      <w:pPr>
        <w:numPr>
          <w:ilvl w:val="0"/>
          <w:numId w:val="1"/>
        </w:numPr>
        <w:pBdr>
          <w:top w:val="nil"/>
          <w:left w:val="nil"/>
          <w:bottom w:val="nil"/>
          <w:right w:val="nil"/>
          <w:between w:val="nil"/>
        </w:pBdr>
        <w:tabs>
          <w:tab w:val="left" w:pos="284"/>
          <w:tab w:val="left" w:pos="426"/>
        </w:tabs>
        <w:spacing w:before="240" w:line="360" w:lineRule="auto"/>
        <w:ind w:left="0" w:right="49"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2C3CAA">
        <w:rPr>
          <w:rFonts w:ascii="Palatino Linotype" w:eastAsia="Palatino Linotype" w:hAnsi="Palatino Linotype" w:cs="Palatino Linotype"/>
          <w:b/>
          <w:color w:val="000000" w:themeColor="text1"/>
          <w:u w:val="single"/>
        </w:rPr>
        <w:t>sobreseimiento</w:t>
      </w:r>
      <w:r w:rsidRPr="002C3CAA">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2C3CAA">
        <w:rPr>
          <w:rFonts w:ascii="Palatino Linotype" w:eastAsia="Palatino Linotype" w:hAnsi="Palatino Linotype" w:cs="Palatino Linotype"/>
          <w:b/>
          <w:color w:val="000000" w:themeColor="text1"/>
        </w:rPr>
        <w:t>SUJETO</w:t>
      </w:r>
      <w:r w:rsidRPr="002C3CAA">
        <w:rPr>
          <w:rFonts w:ascii="Palatino Linotype" w:eastAsia="Palatino Linotype" w:hAnsi="Palatino Linotype" w:cs="Palatino Linotype"/>
          <w:color w:val="000000" w:themeColor="text1"/>
        </w:rPr>
        <w:t xml:space="preserve"> </w:t>
      </w:r>
      <w:r w:rsidRPr="002C3CAA">
        <w:rPr>
          <w:rFonts w:ascii="Palatino Linotype" w:eastAsia="Palatino Linotype" w:hAnsi="Palatino Linotype" w:cs="Palatino Linotype"/>
          <w:b/>
          <w:color w:val="000000" w:themeColor="text1"/>
        </w:rPr>
        <w:t>OBLIGADO</w:t>
      </w:r>
      <w:r w:rsidRPr="002C3CAA">
        <w:rPr>
          <w:rFonts w:ascii="Palatino Linotype" w:eastAsia="Palatino Linotype" w:hAnsi="Palatino Linotype" w:cs="Palatino Linotype"/>
          <w:color w:val="000000" w:themeColor="text1"/>
        </w:rPr>
        <w:t>.</w:t>
      </w:r>
    </w:p>
    <w:p w:rsidR="00B93EB6" w:rsidRPr="002C3CAA" w:rsidRDefault="00B93EB6">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tabs>
          <w:tab w:val="left" w:pos="284"/>
          <w:tab w:val="left" w:pos="426"/>
        </w:tabs>
        <w:spacing w:after="240" w:line="360" w:lineRule="auto"/>
        <w:ind w:left="0" w:right="49"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Ahora bien, en el presente caso el recurrente solicitó el costo de los murales que inauguró la presidenta Paulina como parte de las remodelaciones del DIF. En respuesta, el Sujeto Obligado señaló a través de la Dirección de Administración y Tesorería que el costo fue de $9,000.00 (Nueve mil pesos 00/100 M.N.).</w:t>
      </w:r>
    </w:p>
    <w:p w:rsidR="00B93EB6" w:rsidRPr="002C3CAA" w:rsidRDefault="00B77F44">
      <w:pPr>
        <w:numPr>
          <w:ilvl w:val="0"/>
          <w:numId w:val="1"/>
        </w:numPr>
        <w:spacing w:before="240" w:line="360" w:lineRule="auto"/>
        <w:ind w:left="0" w:right="49" w:firstLine="0"/>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color w:val="000000" w:themeColor="text1"/>
        </w:rPr>
        <w:t>Derivado de la respuesta, el hoy Recurrente interpuso recurso de revisión en el que señaló lo siguiente:</w:t>
      </w:r>
    </w:p>
    <w:p w:rsidR="00B93EB6" w:rsidRPr="002C3CAA" w:rsidRDefault="00B93EB6">
      <w:pPr>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spacing w:line="360" w:lineRule="auto"/>
        <w:ind w:left="851"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b/>
          <w:i/>
          <w:color w:val="000000" w:themeColor="text1"/>
        </w:rPr>
        <w:t>Razones o Motivos de Inconformidad:</w:t>
      </w:r>
      <w:r w:rsidRPr="002C3CAA">
        <w:rPr>
          <w:rFonts w:ascii="Palatino Linotype" w:eastAsia="Palatino Linotype" w:hAnsi="Palatino Linotype" w:cs="Palatino Linotype"/>
          <w:i/>
          <w:color w:val="000000" w:themeColor="text1"/>
        </w:rPr>
        <w:t xml:space="preserve"> “No rersponde a la solicitud de información, la liga no brinda la informacion requerida” (Sic)</w:t>
      </w:r>
    </w:p>
    <w:p w:rsidR="00B93EB6" w:rsidRPr="002C3CAA" w:rsidRDefault="00B93EB6">
      <w:pPr>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Puntualizado lo anterior, debemos precisar que, el acto impugnado no guarda relación con la respuesta emitida, pues el Sujeto Obligado no adjuntó una liga electrónica, por lo tanto, actualiza una causal de improcedencia como se determina en los siguientes párrafos. </w:t>
      </w:r>
    </w:p>
    <w:p w:rsidR="00B93EB6" w:rsidRPr="002C3CAA" w:rsidRDefault="00B93EB6">
      <w:pPr>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lastRenderedPageBreak/>
        <w:t>Puntualizado lo anterior, primeramente es necesario traer a contexto la Jurisprudencia No. 29 visible a foja 19 del Apéndice al Semanario Judicial de la Federación 1917-1995, Torno VI, Materia Común, Primera Parte, Tesis de la Suprema Corte de Justicia, que contiene:</w:t>
      </w:r>
    </w:p>
    <w:p w:rsidR="00B93EB6" w:rsidRPr="002C3CAA" w:rsidRDefault="00B93EB6">
      <w:pPr>
        <w:spacing w:line="360" w:lineRule="auto"/>
        <w:ind w:right="49"/>
        <w:jc w:val="both"/>
        <w:rPr>
          <w:rFonts w:ascii="Palatino Linotype" w:eastAsia="Palatino Linotype" w:hAnsi="Palatino Linotype" w:cs="Palatino Linotype"/>
          <w:color w:val="000000" w:themeColor="text1"/>
        </w:rPr>
      </w:pPr>
    </w:p>
    <w:p w:rsidR="00B93EB6" w:rsidRPr="002C3CAA" w:rsidRDefault="00B77F44">
      <w:pPr>
        <w:shd w:val="clear" w:color="auto" w:fill="FFFFFF"/>
        <w:spacing w:after="240" w:line="360" w:lineRule="auto"/>
        <w:ind w:left="851"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b/>
          <w:i/>
          <w:color w:val="000000" w:themeColor="text1"/>
        </w:rPr>
        <w:t>AGRAVIOS EN LA REVISION. DEBEN ESTAR EN RELACION DIRECTA CON LOS FUNDAMENTOS Y CONSIDERACIONES DE LA SENTENCIA</w:t>
      </w:r>
      <w:r w:rsidRPr="002C3CAA">
        <w:rPr>
          <w:rFonts w:ascii="Palatino Linotype" w:eastAsia="Palatino Linotype" w:hAnsi="Palatino Linotype" w:cs="Palatino Linotype"/>
          <w:i/>
          <w:color w:val="000000" w:themeColor="text1"/>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lastRenderedPageBreak/>
        <w:t>Señalado lo anterior, se determina que el recurso de revisión no actualizan ninguna causal de procedencia que se relacione con la solicitud o la respuesta. En consecuencia, la falta de actualización de causal de procedencia, trae consigo que el recurso de revisión sea desechado por improcedente, de acuerdo al artículo 191 de la citada ley:</w:t>
      </w:r>
    </w:p>
    <w:p w:rsidR="00B93EB6" w:rsidRPr="002C3CAA" w:rsidRDefault="00B93EB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Artículo 191. El recurso será desechado por improcedente cuando:</w:t>
      </w:r>
    </w:p>
    <w:p w:rsidR="00B93EB6" w:rsidRPr="002C3CAA" w:rsidRDefault="00B93EB6">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I. Sea extemporáneo por haber transcurrido el plazo establecido en la presente Ley, a partir de la respuesta;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II. Se esté tramitando ante el Poder Judicial de la Federación algún recurso o medio de defensa interpuesto por el recurrente;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themeColor="text1"/>
        </w:rPr>
      </w:pPr>
      <w:r w:rsidRPr="002C3CAA">
        <w:rPr>
          <w:rFonts w:ascii="Palatino Linotype" w:eastAsia="Palatino Linotype" w:hAnsi="Palatino Linotype" w:cs="Palatino Linotype"/>
          <w:b/>
          <w:i/>
          <w:color w:val="000000" w:themeColor="text1"/>
        </w:rPr>
        <w:t xml:space="preserve">III. No actualice alguno de los supuestos previstos en la presente Ley;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IV. No se haya desahogado la prevención en los términos establecidos en la presente Ley;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V. Se impugne la veracidad de la información proporcionada;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VI. Se trate de una consulta, o trámite en específico; y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lastRenderedPageBreak/>
        <w:t>VII. El recurrente amplíe su solicitud en el recurso de revisión, únicamente respecto de los nuevos contenidos.</w:t>
      </w:r>
    </w:p>
    <w:p w:rsidR="00B93EB6" w:rsidRPr="002C3CAA" w:rsidRDefault="00B93EB6">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B93EB6" w:rsidRPr="002C3CAA" w:rsidRDefault="00B93EB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Artículo 192. El recurso será sobreseído, en todo o en parte, cuando una vez admitido, se actualicen alguno de los siguientes supuestos:</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I. El recurrente se desista expresamente del recurso;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II. El recurrente fallezca o, tratándose de personas jurídicas colectivas, se disuelva;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 xml:space="preserve">III. El sujeto obligado responsable del acto lo modifique o revoque de tal manera que el recurso de revisión quede sin materia;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themeColor="text1"/>
        </w:rPr>
      </w:pPr>
      <w:r w:rsidRPr="002C3CAA">
        <w:rPr>
          <w:rFonts w:ascii="Palatino Linotype" w:eastAsia="Palatino Linotype" w:hAnsi="Palatino Linotype" w:cs="Palatino Linotype"/>
          <w:b/>
          <w:i/>
          <w:color w:val="000000" w:themeColor="text1"/>
        </w:rPr>
        <w:t xml:space="preserve">IV. Admitido el recurso de revisión, aparezca alguna causal de improcedencia en los términos de la presente Ley; y </w:t>
      </w:r>
    </w:p>
    <w:p w:rsidR="00B93EB6" w:rsidRPr="002C3CAA" w:rsidRDefault="00B77F4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themeColor="text1"/>
        </w:rPr>
      </w:pPr>
      <w:r w:rsidRPr="002C3CAA">
        <w:rPr>
          <w:rFonts w:ascii="Palatino Linotype" w:eastAsia="Palatino Linotype" w:hAnsi="Palatino Linotype" w:cs="Palatino Linotype"/>
          <w:i/>
          <w:color w:val="000000" w:themeColor="text1"/>
        </w:rPr>
        <w:t>V. Cuando por cualquier motivo quede sin materia el recurso.</w:t>
      </w:r>
    </w:p>
    <w:p w:rsidR="00B93EB6" w:rsidRPr="002C3CAA" w:rsidRDefault="00B93E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Es así que,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B93EB6" w:rsidRPr="002C3CAA" w:rsidRDefault="00B93E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3EB6" w:rsidRPr="002C3CAA" w:rsidRDefault="00B77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 xml:space="preserve">Por lo anteriormente expuesto y fundado, este </w:t>
      </w:r>
      <w:r w:rsidRPr="002C3CAA">
        <w:rPr>
          <w:rFonts w:ascii="Palatino Linotype" w:eastAsia="Palatino Linotype" w:hAnsi="Palatino Linotype" w:cs="Palatino Linotype"/>
          <w:b/>
          <w:color w:val="000000" w:themeColor="text1"/>
        </w:rPr>
        <w:t>ÓRGANO GARANTE</w:t>
      </w:r>
      <w:r w:rsidRPr="002C3CAA">
        <w:rPr>
          <w:rFonts w:ascii="Palatino Linotype" w:eastAsia="Palatino Linotype" w:hAnsi="Palatino Linotype" w:cs="Palatino Linotype"/>
          <w:color w:val="000000" w:themeColor="text1"/>
        </w:rPr>
        <w:t xml:space="preserve"> emite los siguientes:</w:t>
      </w:r>
    </w:p>
    <w:p w:rsidR="00B93EB6" w:rsidRPr="002C3CAA" w:rsidRDefault="00B93EB6">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themeColor="text1"/>
        </w:rPr>
      </w:pPr>
    </w:p>
    <w:p w:rsidR="00B93EB6" w:rsidRPr="002C3CAA" w:rsidRDefault="00B77F44">
      <w:pPr>
        <w:pStyle w:val="Ttulo1"/>
        <w:spacing w:line="360" w:lineRule="auto"/>
        <w:jc w:val="center"/>
        <w:rPr>
          <w:rFonts w:ascii="Palatino Linotype" w:eastAsia="Palatino Linotype" w:hAnsi="Palatino Linotype" w:cs="Palatino Linotype"/>
          <w:b/>
          <w:color w:val="000000" w:themeColor="text1"/>
          <w:sz w:val="24"/>
          <w:szCs w:val="24"/>
        </w:rPr>
      </w:pPr>
      <w:bookmarkStart w:id="7" w:name="_heading=h.e4rufdbvl2xw" w:colFirst="0" w:colLast="0"/>
      <w:bookmarkEnd w:id="7"/>
      <w:r w:rsidRPr="002C3CAA">
        <w:rPr>
          <w:rFonts w:ascii="Palatino Linotype" w:hAnsi="Palatino Linotype"/>
          <w:b/>
          <w:color w:val="000000" w:themeColor="text1"/>
          <w:sz w:val="24"/>
          <w:szCs w:val="24"/>
        </w:rPr>
        <w:t>R E S O L U T I V O S</w:t>
      </w:r>
    </w:p>
    <w:p w:rsidR="00B93EB6" w:rsidRPr="002C3CAA" w:rsidRDefault="00B93EB6">
      <w:pPr>
        <w:rPr>
          <w:rFonts w:ascii="Palatino Linotype" w:hAnsi="Palatino Linotype"/>
          <w:color w:val="000000" w:themeColor="text1"/>
        </w:rPr>
      </w:pPr>
    </w:p>
    <w:p w:rsidR="00B93EB6" w:rsidRPr="002C3CAA" w:rsidRDefault="00B77F44">
      <w:pPr>
        <w:spacing w:after="240" w:line="360" w:lineRule="auto"/>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b/>
          <w:color w:val="000000" w:themeColor="text1"/>
        </w:rPr>
        <w:t>PRIMERO.</w:t>
      </w:r>
      <w:r w:rsidRPr="002C3CAA">
        <w:rPr>
          <w:rFonts w:ascii="Palatino Linotype" w:eastAsia="Palatino Linotype" w:hAnsi="Palatino Linotype" w:cs="Palatino Linotype"/>
          <w:color w:val="000000" w:themeColor="text1"/>
        </w:rPr>
        <w:t xml:space="preserve"> Se </w:t>
      </w:r>
      <w:r w:rsidRPr="002C3CAA">
        <w:rPr>
          <w:rFonts w:ascii="Palatino Linotype" w:eastAsia="Palatino Linotype" w:hAnsi="Palatino Linotype" w:cs="Palatino Linotype"/>
          <w:b/>
          <w:color w:val="000000" w:themeColor="text1"/>
        </w:rPr>
        <w:t xml:space="preserve">SOBRESEE el </w:t>
      </w:r>
      <w:r w:rsidRPr="002C3CAA">
        <w:rPr>
          <w:rFonts w:ascii="Palatino Linotype" w:eastAsia="Palatino Linotype" w:hAnsi="Palatino Linotype" w:cs="Palatino Linotype"/>
          <w:color w:val="000000" w:themeColor="text1"/>
        </w:rPr>
        <w:t xml:space="preserve">recurso de revisión número </w:t>
      </w:r>
      <w:r w:rsidRPr="002C3CAA">
        <w:rPr>
          <w:rFonts w:ascii="Palatino Linotype" w:eastAsia="Palatino Linotype" w:hAnsi="Palatino Linotype" w:cs="Palatino Linotype"/>
          <w:b/>
          <w:color w:val="000000" w:themeColor="text1"/>
        </w:rPr>
        <w:t>02098/INFOEM/IP/RR/2025</w:t>
      </w:r>
      <w:r w:rsidRPr="002C3CAA">
        <w:rPr>
          <w:rFonts w:ascii="Palatino Linotype" w:eastAsia="Palatino Linotype" w:hAnsi="Palatino Linotype" w:cs="Palatino Linotype"/>
          <w:color w:val="000000" w:themeColor="text1"/>
        </w:rPr>
        <w:t xml:space="preserve">, por ser improcedente, conforme al artículo </w:t>
      </w:r>
      <w:r w:rsidRPr="002C3CAA">
        <w:rPr>
          <w:rFonts w:ascii="Palatino Linotype" w:eastAsia="Palatino Linotype" w:hAnsi="Palatino Linotype" w:cs="Palatino Linotype"/>
          <w:b/>
          <w:color w:val="000000" w:themeColor="text1"/>
        </w:rPr>
        <w:t>192 fracción IV</w:t>
      </w:r>
      <w:r w:rsidRPr="002C3CAA">
        <w:rPr>
          <w:rFonts w:ascii="Palatino Linotype" w:eastAsia="Palatino Linotype" w:hAnsi="Palatino Linotype" w:cs="Palatino Linotype"/>
          <w:color w:val="000000" w:themeColor="text1"/>
        </w:rPr>
        <w:t xml:space="preserve">, de la Ley de Transparencia y Acceso a la Información Pública del Estado de México y Municipios, en términos del </w:t>
      </w:r>
      <w:r w:rsidRPr="002C3CAA">
        <w:rPr>
          <w:rFonts w:ascii="Palatino Linotype" w:eastAsia="Palatino Linotype" w:hAnsi="Palatino Linotype" w:cs="Palatino Linotype"/>
          <w:b/>
          <w:color w:val="000000" w:themeColor="text1"/>
        </w:rPr>
        <w:t>Considerando TERCERO</w:t>
      </w:r>
      <w:r w:rsidRPr="002C3CAA">
        <w:rPr>
          <w:rFonts w:ascii="Palatino Linotype" w:eastAsia="Palatino Linotype" w:hAnsi="Palatino Linotype" w:cs="Palatino Linotype"/>
          <w:color w:val="000000" w:themeColor="text1"/>
        </w:rPr>
        <w:t xml:space="preserve"> de la presente resolución.</w:t>
      </w:r>
    </w:p>
    <w:p w:rsidR="00B93EB6" w:rsidRPr="002C3CAA" w:rsidRDefault="008E364C">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2C3CAA">
        <w:rPr>
          <w:rFonts w:ascii="Palatino Linotype" w:eastAsia="Palatino Linotype" w:hAnsi="Palatino Linotype" w:cs="Palatino Linotype"/>
          <w:b/>
          <w:color w:val="000000" w:themeColor="text1"/>
        </w:rPr>
        <w:lastRenderedPageBreak/>
        <w:t xml:space="preserve">SEGUNDO. NOTIFÍQUESE </w:t>
      </w:r>
      <w:r w:rsidR="00B77F44" w:rsidRPr="002C3CAA">
        <w:rPr>
          <w:rFonts w:ascii="Palatino Linotype" w:eastAsia="Palatino Linotype" w:hAnsi="Palatino Linotype" w:cs="Palatino Linotype"/>
          <w:color w:val="000000" w:themeColor="text1"/>
        </w:rPr>
        <w:t xml:space="preserve">a través del Sistema de Acceso a la Información Mexiquense </w:t>
      </w:r>
      <w:r w:rsidR="00B77F44" w:rsidRPr="002C3CAA">
        <w:rPr>
          <w:rFonts w:ascii="Palatino Linotype" w:eastAsia="Palatino Linotype" w:hAnsi="Palatino Linotype" w:cs="Palatino Linotype"/>
          <w:b/>
          <w:color w:val="000000" w:themeColor="text1"/>
        </w:rPr>
        <w:t xml:space="preserve">(SAIMEX) </w:t>
      </w:r>
      <w:r w:rsidR="00B77F44" w:rsidRPr="002C3CAA">
        <w:rPr>
          <w:rFonts w:ascii="Palatino Linotype" w:eastAsia="Palatino Linotype" w:hAnsi="Palatino Linotype" w:cs="Palatino Linotype"/>
          <w:color w:val="000000" w:themeColor="text1"/>
        </w:rPr>
        <w:t>la presente resolución al Titular de la Unidad de Transparencia del</w:t>
      </w:r>
      <w:r w:rsidR="00B77F44" w:rsidRPr="002C3CAA">
        <w:rPr>
          <w:rFonts w:ascii="Palatino Linotype" w:eastAsia="Palatino Linotype" w:hAnsi="Palatino Linotype" w:cs="Palatino Linotype"/>
          <w:b/>
          <w:color w:val="000000" w:themeColor="text1"/>
        </w:rPr>
        <w:t xml:space="preserve"> SUJETO OBLIGADO. </w:t>
      </w:r>
    </w:p>
    <w:p w:rsidR="00B93EB6" w:rsidRPr="002C3CAA" w:rsidRDefault="00B77F44">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b/>
          <w:color w:val="000000" w:themeColor="text1"/>
        </w:rPr>
        <w:t xml:space="preserve">TERCERO. Notifíquese al RECURRENTE </w:t>
      </w:r>
      <w:r w:rsidRPr="002C3CAA">
        <w:rPr>
          <w:rFonts w:ascii="Palatino Linotype" w:eastAsia="Palatino Linotype" w:hAnsi="Palatino Linotype" w:cs="Palatino Linotype"/>
          <w:color w:val="000000" w:themeColor="text1"/>
        </w:rPr>
        <w:t>la presente resolución vía SAIMEX.</w:t>
      </w:r>
    </w:p>
    <w:p w:rsidR="00D02BC1" w:rsidRPr="002C3CAA" w:rsidRDefault="00B77F44" w:rsidP="00B8017A">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b/>
          <w:color w:val="000000" w:themeColor="text1"/>
        </w:rPr>
        <w:t>CUARTO.</w:t>
      </w:r>
      <w:r w:rsidRPr="002C3CAA">
        <w:rPr>
          <w:rFonts w:ascii="Palatino Linotype" w:eastAsia="Palatino Linotype" w:hAnsi="Palatino Linotype" w:cs="Palatino Linotype"/>
          <w:color w:val="000000" w:themeColor="text1"/>
        </w:rPr>
        <w:t xml:space="preserve"> Se hace del conocimiento del </w:t>
      </w:r>
      <w:r w:rsidRPr="002C3CAA">
        <w:rPr>
          <w:rFonts w:ascii="Palatino Linotype" w:eastAsia="Palatino Linotype" w:hAnsi="Palatino Linotype" w:cs="Palatino Linotype"/>
          <w:b/>
          <w:color w:val="000000" w:themeColor="text1"/>
        </w:rPr>
        <w:t xml:space="preserve">RECURRENTE </w:t>
      </w:r>
      <w:r w:rsidRPr="002C3CAA">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Start w:id="8" w:name="_heading=h.ndwn70t5c5yz" w:colFirst="0" w:colLast="0"/>
      <w:bookmarkEnd w:id="8"/>
    </w:p>
    <w:p w:rsidR="00B93EB6" w:rsidRPr="008E364C" w:rsidRDefault="00D02BC1" w:rsidP="00B8017A">
      <w:pPr>
        <w:spacing w:before="240" w:after="360" w:line="276" w:lineRule="auto"/>
        <w:jc w:val="both"/>
        <w:rPr>
          <w:rFonts w:ascii="Palatino Linotype" w:eastAsia="Palatino Linotype" w:hAnsi="Palatino Linotype" w:cs="Palatino Linotype"/>
          <w:color w:val="000000" w:themeColor="text1"/>
        </w:rPr>
      </w:pPr>
      <w:r w:rsidRPr="002C3CA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bookmarkStart w:id="9" w:name="_GoBack"/>
      <w:bookmarkEnd w:id="9"/>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spacing w:before="240" w:after="360" w:line="360" w:lineRule="auto"/>
        <w:jc w:val="both"/>
        <w:rPr>
          <w:rFonts w:ascii="Palatino Linotype" w:eastAsia="Palatino Linotype" w:hAnsi="Palatino Linotype" w:cs="Palatino Linotype"/>
          <w:color w:val="000000" w:themeColor="text1"/>
        </w:rPr>
      </w:pPr>
    </w:p>
    <w:p w:rsidR="00B93EB6" w:rsidRPr="008E364C" w:rsidRDefault="00B93EB6">
      <w:pPr>
        <w:rPr>
          <w:rFonts w:ascii="Palatino Linotype" w:eastAsia="Palatino Linotype" w:hAnsi="Palatino Linotype" w:cs="Palatino Linotype"/>
          <w:color w:val="000000" w:themeColor="text1"/>
        </w:rPr>
      </w:pPr>
    </w:p>
    <w:p w:rsidR="00B93EB6" w:rsidRPr="008E364C" w:rsidRDefault="00B93EB6">
      <w:pPr>
        <w:rPr>
          <w:rFonts w:ascii="Palatino Linotype" w:hAnsi="Palatino Linotype"/>
          <w:color w:val="000000" w:themeColor="text1"/>
        </w:rPr>
      </w:pPr>
    </w:p>
    <w:p w:rsidR="00B93EB6" w:rsidRPr="008E364C" w:rsidRDefault="00B93EB6">
      <w:pPr>
        <w:rPr>
          <w:rFonts w:ascii="Palatino Linotype" w:hAnsi="Palatino Linotype"/>
          <w:color w:val="000000" w:themeColor="text1"/>
        </w:rPr>
      </w:pPr>
    </w:p>
    <w:p w:rsidR="00B93EB6" w:rsidRPr="008E364C" w:rsidRDefault="00B93EB6">
      <w:pPr>
        <w:rPr>
          <w:rFonts w:ascii="Palatino Linotype" w:hAnsi="Palatino Linotype"/>
          <w:color w:val="000000" w:themeColor="text1"/>
        </w:rPr>
      </w:pPr>
    </w:p>
    <w:sectPr w:rsidR="00B93EB6" w:rsidRPr="008E364C">
      <w:headerReference w:type="even" r:id="rId10"/>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AE" w:rsidRDefault="00FD79AE">
      <w:r>
        <w:separator/>
      </w:r>
    </w:p>
  </w:endnote>
  <w:endnote w:type="continuationSeparator" w:id="0">
    <w:p w:rsidR="00FD79AE" w:rsidRDefault="00FD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B6" w:rsidRDefault="00B93EB6">
    <w:pPr>
      <w:pBdr>
        <w:top w:val="nil"/>
        <w:left w:val="nil"/>
        <w:bottom w:val="nil"/>
        <w:right w:val="nil"/>
        <w:between w:val="nil"/>
      </w:pBdr>
      <w:tabs>
        <w:tab w:val="center" w:pos="4419"/>
        <w:tab w:val="right" w:pos="8838"/>
      </w:tabs>
      <w:jc w:val="right"/>
      <w:rPr>
        <w:color w:val="000000"/>
        <w:sz w:val="20"/>
        <w:szCs w:val="20"/>
      </w:rPr>
    </w:pPr>
  </w:p>
  <w:p w:rsidR="00B93EB6" w:rsidRDefault="00B77F4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t xml:space="preserve">Página </w:t>
    </w:r>
    <w:r>
      <w:rPr>
        <w:b/>
        <w:color w:val="000000"/>
      </w:rPr>
      <w:fldChar w:fldCharType="begin"/>
    </w:r>
    <w:r>
      <w:rPr>
        <w:b/>
        <w:color w:val="000000"/>
      </w:rPr>
      <w:instrText>PAGE</w:instrText>
    </w:r>
    <w:r>
      <w:rPr>
        <w:b/>
        <w:color w:val="000000"/>
      </w:rPr>
      <w:fldChar w:fldCharType="separate"/>
    </w:r>
    <w:r w:rsidR="002C3CAA">
      <w:rPr>
        <w:b/>
        <w:noProof/>
        <w:color w:val="000000"/>
      </w:rPr>
      <w:t>16</w:t>
    </w:r>
    <w:r>
      <w:rPr>
        <w:b/>
        <w:color w:val="000000"/>
      </w:rPr>
      <w:fldChar w:fldCharType="end"/>
    </w:r>
    <w:r>
      <w:rPr>
        <w:color w:val="000000"/>
        <w:sz w:val="20"/>
        <w:szCs w:val="20"/>
      </w:rPr>
      <w:t xml:space="preserve"> de </w:t>
    </w:r>
    <w:r>
      <w:rPr>
        <w:b/>
        <w:color w:val="000000"/>
      </w:rPr>
      <w:fldChar w:fldCharType="begin"/>
    </w:r>
    <w:r>
      <w:rPr>
        <w:b/>
        <w:color w:val="000000"/>
      </w:rPr>
      <w:instrText>NUMPAGES</w:instrText>
    </w:r>
    <w:r>
      <w:rPr>
        <w:b/>
        <w:color w:val="000000"/>
      </w:rPr>
      <w:fldChar w:fldCharType="separate"/>
    </w:r>
    <w:r w:rsidR="002C3CAA">
      <w:rPr>
        <w:b/>
        <w:noProof/>
        <w:color w:val="000000"/>
      </w:rPr>
      <w:t>16</w:t>
    </w:r>
    <w:r>
      <w:rPr>
        <w:b/>
        <w:color w:val="000000"/>
      </w:rPr>
      <w:fldChar w:fldCharType="end"/>
    </w:r>
  </w:p>
  <w:p w:rsidR="00B93EB6" w:rsidRDefault="00B93EB6">
    <w:pPr>
      <w:pBdr>
        <w:top w:val="nil"/>
        <w:left w:val="nil"/>
        <w:bottom w:val="nil"/>
        <w:right w:val="nil"/>
        <w:between w:val="nil"/>
      </w:pBdr>
      <w:tabs>
        <w:tab w:val="center" w:pos="4419"/>
        <w:tab w:val="right" w:pos="8838"/>
      </w:tabs>
      <w:rPr>
        <w:color w:val="000000"/>
        <w:sz w:val="20"/>
        <w:szCs w:val="20"/>
      </w:rPr>
    </w:pPr>
  </w:p>
  <w:p w:rsidR="00B93EB6" w:rsidRDefault="00B93EB6"/>
  <w:p w:rsidR="00B93EB6" w:rsidRDefault="00B93EB6"/>
  <w:p w:rsidR="00B93EB6" w:rsidRDefault="00B93E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B6" w:rsidRDefault="00B77F4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t xml:space="preserve">Página </w:t>
    </w:r>
    <w:r>
      <w:rPr>
        <w:b/>
        <w:color w:val="000000"/>
      </w:rPr>
      <w:fldChar w:fldCharType="begin"/>
    </w:r>
    <w:r>
      <w:rPr>
        <w:b/>
        <w:color w:val="000000"/>
      </w:rPr>
      <w:instrText>PAGE</w:instrText>
    </w:r>
    <w:r>
      <w:rPr>
        <w:b/>
        <w:color w:val="000000"/>
      </w:rPr>
      <w:fldChar w:fldCharType="separate"/>
    </w:r>
    <w:r w:rsidR="002C3CAA">
      <w:rPr>
        <w:b/>
        <w:noProof/>
        <w:color w:val="000000"/>
      </w:rPr>
      <w:t>1</w:t>
    </w:r>
    <w:r>
      <w:rPr>
        <w:b/>
        <w:color w:val="000000"/>
      </w:rPr>
      <w:fldChar w:fldCharType="end"/>
    </w:r>
    <w:r>
      <w:rPr>
        <w:color w:val="000000"/>
        <w:sz w:val="20"/>
        <w:szCs w:val="20"/>
      </w:rPr>
      <w:t xml:space="preserve"> de </w:t>
    </w:r>
    <w:r>
      <w:rPr>
        <w:b/>
        <w:color w:val="000000"/>
      </w:rPr>
      <w:fldChar w:fldCharType="begin"/>
    </w:r>
    <w:r>
      <w:rPr>
        <w:b/>
        <w:color w:val="000000"/>
      </w:rPr>
      <w:instrText>NUMPAGES</w:instrText>
    </w:r>
    <w:r>
      <w:rPr>
        <w:b/>
        <w:color w:val="000000"/>
      </w:rPr>
      <w:fldChar w:fldCharType="separate"/>
    </w:r>
    <w:r w:rsidR="002C3CAA">
      <w:rPr>
        <w:b/>
        <w:noProof/>
        <w:color w:val="000000"/>
      </w:rPr>
      <w:t>16</w:t>
    </w:r>
    <w:r>
      <w:rPr>
        <w:b/>
        <w:color w:val="000000"/>
      </w:rPr>
      <w:fldChar w:fldCharType="end"/>
    </w:r>
  </w:p>
  <w:p w:rsidR="00B93EB6" w:rsidRDefault="00B93EB6">
    <w:pPr>
      <w:pBdr>
        <w:top w:val="nil"/>
        <w:left w:val="nil"/>
        <w:bottom w:val="nil"/>
        <w:right w:val="nil"/>
        <w:between w:val="nil"/>
      </w:pBdr>
      <w:tabs>
        <w:tab w:val="center" w:pos="4419"/>
        <w:tab w:val="right" w:pos="8838"/>
      </w:tabs>
      <w:rPr>
        <w:color w:val="000000"/>
        <w:sz w:val="20"/>
        <w:szCs w:val="20"/>
      </w:rPr>
    </w:pPr>
  </w:p>
  <w:p w:rsidR="00B93EB6" w:rsidRDefault="00B93EB6"/>
  <w:p w:rsidR="00B93EB6" w:rsidRDefault="00B93EB6"/>
  <w:p w:rsidR="00B93EB6" w:rsidRDefault="00B93E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AE" w:rsidRDefault="00FD79AE">
      <w:r>
        <w:separator/>
      </w:r>
    </w:p>
  </w:footnote>
  <w:footnote w:type="continuationSeparator" w:id="0">
    <w:p w:rsidR="00FD79AE" w:rsidRDefault="00FD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B6" w:rsidRDefault="00FD79AE">
    <w:pPr>
      <w:pBdr>
        <w:top w:val="nil"/>
        <w:left w:val="nil"/>
        <w:bottom w:val="nil"/>
        <w:right w:val="nil"/>
        <w:between w:val="nil"/>
      </w:pBdr>
      <w:tabs>
        <w:tab w:val="center" w:pos="4419"/>
        <w:tab w:val="right" w:pos="8838"/>
      </w:tabs>
      <w:rPr>
        <w:color w:val="000000"/>
        <w:sz w:val="20"/>
        <w:szCs w:val="20"/>
      </w:rPr>
    </w:pPr>
    <w:r>
      <w:rPr>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B93EB6" w:rsidRDefault="00B93EB6"/>
  <w:p w:rsidR="00B93EB6" w:rsidRDefault="00B93EB6"/>
  <w:p w:rsidR="00B93EB6" w:rsidRDefault="00B93E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B6" w:rsidRDefault="00B93EB6">
    <w:pPr>
      <w:widowControl w:val="0"/>
      <w:pBdr>
        <w:top w:val="nil"/>
        <w:left w:val="nil"/>
        <w:bottom w:val="nil"/>
        <w:right w:val="nil"/>
        <w:between w:val="nil"/>
      </w:pBdr>
      <w:spacing w:line="276" w:lineRule="auto"/>
    </w:pPr>
  </w:p>
  <w:tbl>
    <w:tblPr>
      <w:tblStyle w:val="a0"/>
      <w:tblW w:w="9356" w:type="dxa"/>
      <w:tblInd w:w="0" w:type="dxa"/>
      <w:tblLayout w:type="fixed"/>
      <w:tblLook w:val="0400" w:firstRow="0" w:lastRow="0" w:firstColumn="0" w:lastColumn="0" w:noHBand="0" w:noVBand="1"/>
    </w:tblPr>
    <w:tblGrid>
      <w:gridCol w:w="1843"/>
      <w:gridCol w:w="7513"/>
    </w:tblGrid>
    <w:tr w:rsidR="00B93EB6">
      <w:trPr>
        <w:trHeight w:val="1435"/>
      </w:trPr>
      <w:tc>
        <w:tcPr>
          <w:tcW w:w="1843" w:type="dxa"/>
          <w:shd w:val="clear" w:color="auto" w:fill="auto"/>
        </w:tcPr>
        <w:p w:rsidR="00B93EB6" w:rsidRDefault="00B77F44">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B93EB6" w:rsidRDefault="00B93EB6"/>
        <w:tbl>
          <w:tblPr>
            <w:tblStyle w:val="a1"/>
            <w:tblW w:w="6095" w:type="dxa"/>
            <w:tblInd w:w="1303" w:type="dxa"/>
            <w:tblBorders>
              <w:top w:val="nil"/>
              <w:left w:val="nil"/>
              <w:bottom w:val="nil"/>
              <w:right w:val="nil"/>
              <w:insideH w:val="nil"/>
              <w:insideV w:val="nil"/>
            </w:tblBorders>
            <w:tblLayout w:type="fixed"/>
            <w:tblLook w:val="0400" w:firstRow="0" w:lastRow="0" w:firstColumn="0" w:lastColumn="0" w:noHBand="0" w:noVBand="1"/>
          </w:tblPr>
          <w:tblGrid>
            <w:gridCol w:w="2693"/>
            <w:gridCol w:w="3402"/>
          </w:tblGrid>
          <w:tr w:rsidR="00B93EB6" w:rsidRPr="005138E6" w:rsidTr="00D02BC1">
            <w:trPr>
              <w:trHeight w:val="338"/>
            </w:trPr>
            <w:tc>
              <w:tcPr>
                <w:tcW w:w="2693" w:type="dxa"/>
              </w:tcPr>
              <w:p w:rsidR="00B93EB6" w:rsidRPr="005138E6" w:rsidRDefault="00B93EB6">
                <w:pPr>
                  <w:tabs>
                    <w:tab w:val="right" w:pos="8838"/>
                  </w:tabs>
                  <w:ind w:right="-105"/>
                  <w:rPr>
                    <w:rFonts w:ascii="Palatino Linotype" w:eastAsia="Palatino Linotype" w:hAnsi="Palatino Linotype" w:cs="Palatino Linotype"/>
                    <w:b/>
                    <w:sz w:val="24"/>
                    <w:szCs w:val="24"/>
                  </w:rPr>
                </w:pPr>
              </w:p>
              <w:p w:rsidR="00B93EB6" w:rsidRPr="005138E6" w:rsidRDefault="00B77F44">
                <w:pPr>
                  <w:tabs>
                    <w:tab w:val="right" w:pos="8838"/>
                  </w:tabs>
                  <w:ind w:right="-105"/>
                  <w:rPr>
                    <w:rFonts w:ascii="Palatino Linotype" w:eastAsia="Palatino Linotype" w:hAnsi="Palatino Linotype" w:cs="Palatino Linotype"/>
                    <w:b/>
                    <w:sz w:val="24"/>
                    <w:szCs w:val="24"/>
                  </w:rPr>
                </w:pPr>
                <w:r w:rsidRPr="005138E6">
                  <w:rPr>
                    <w:rFonts w:ascii="Palatino Linotype" w:eastAsia="Palatino Linotype" w:hAnsi="Palatino Linotype" w:cs="Palatino Linotype"/>
                    <w:b/>
                    <w:sz w:val="24"/>
                    <w:szCs w:val="24"/>
                  </w:rPr>
                  <w:t>Recurso de Revisión:</w:t>
                </w:r>
              </w:p>
            </w:tc>
            <w:tc>
              <w:tcPr>
                <w:tcW w:w="3402" w:type="dxa"/>
              </w:tcPr>
              <w:p w:rsidR="00B93EB6" w:rsidRPr="005138E6" w:rsidRDefault="00B93EB6">
                <w:pPr>
                  <w:tabs>
                    <w:tab w:val="right" w:pos="8838"/>
                  </w:tabs>
                  <w:ind w:right="-105" w:hanging="101"/>
                  <w:jc w:val="both"/>
                  <w:rPr>
                    <w:rFonts w:ascii="Palatino Linotype" w:eastAsia="Palatino Linotype" w:hAnsi="Palatino Linotype" w:cs="Palatino Linotype"/>
                    <w:sz w:val="24"/>
                    <w:szCs w:val="24"/>
                  </w:rPr>
                </w:pPr>
              </w:p>
              <w:p w:rsidR="00B93EB6" w:rsidRDefault="00B77F44">
                <w:pPr>
                  <w:tabs>
                    <w:tab w:val="right" w:pos="8838"/>
                  </w:tabs>
                  <w:ind w:right="-105" w:hanging="101"/>
                  <w:jc w:val="both"/>
                  <w:rPr>
                    <w:rFonts w:ascii="Palatino Linotype" w:eastAsia="Palatino Linotype" w:hAnsi="Palatino Linotype" w:cs="Palatino Linotype"/>
                    <w:sz w:val="24"/>
                    <w:szCs w:val="24"/>
                  </w:rPr>
                </w:pPr>
                <w:r w:rsidRPr="005138E6">
                  <w:rPr>
                    <w:rFonts w:ascii="Palatino Linotype" w:eastAsia="Palatino Linotype" w:hAnsi="Palatino Linotype" w:cs="Palatino Linotype"/>
                    <w:sz w:val="24"/>
                    <w:szCs w:val="24"/>
                  </w:rPr>
                  <w:t>02098/INFOEM/IP/RR/2025</w:t>
                </w:r>
              </w:p>
              <w:p w:rsidR="002E1A6A" w:rsidRPr="005138E6" w:rsidRDefault="002E1A6A">
                <w:pPr>
                  <w:tabs>
                    <w:tab w:val="right" w:pos="8838"/>
                  </w:tabs>
                  <w:ind w:right="-105" w:hanging="101"/>
                  <w:jc w:val="both"/>
                  <w:rPr>
                    <w:rFonts w:ascii="Palatino Linotype" w:eastAsia="Palatino Linotype" w:hAnsi="Palatino Linotype" w:cs="Palatino Linotype"/>
                    <w:sz w:val="24"/>
                    <w:szCs w:val="24"/>
                  </w:rPr>
                </w:pPr>
              </w:p>
            </w:tc>
          </w:tr>
          <w:tr w:rsidR="00B93EB6" w:rsidRPr="005138E6" w:rsidTr="00D02BC1">
            <w:trPr>
              <w:trHeight w:val="283"/>
            </w:trPr>
            <w:tc>
              <w:tcPr>
                <w:tcW w:w="2693" w:type="dxa"/>
              </w:tcPr>
              <w:p w:rsidR="00B93EB6" w:rsidRDefault="00B77F44">
                <w:pPr>
                  <w:tabs>
                    <w:tab w:val="right" w:pos="8838"/>
                  </w:tabs>
                  <w:ind w:right="-105"/>
                  <w:rPr>
                    <w:rFonts w:ascii="Palatino Linotype" w:eastAsia="Palatino Linotype" w:hAnsi="Palatino Linotype" w:cs="Palatino Linotype"/>
                    <w:b/>
                    <w:sz w:val="24"/>
                    <w:szCs w:val="24"/>
                  </w:rPr>
                </w:pPr>
                <w:bookmarkStart w:id="10" w:name="_heading=h.cql9usxn5icg" w:colFirst="0" w:colLast="0"/>
                <w:bookmarkEnd w:id="10"/>
                <w:r w:rsidRPr="005138E6">
                  <w:rPr>
                    <w:rFonts w:ascii="Palatino Linotype" w:eastAsia="Palatino Linotype" w:hAnsi="Palatino Linotype" w:cs="Palatino Linotype"/>
                    <w:b/>
                    <w:sz w:val="24"/>
                    <w:szCs w:val="24"/>
                  </w:rPr>
                  <w:t>Sujeto Obligado:</w:t>
                </w:r>
              </w:p>
              <w:p w:rsidR="002E1A6A" w:rsidRPr="005138E6" w:rsidRDefault="002E1A6A">
                <w:pPr>
                  <w:tabs>
                    <w:tab w:val="right" w:pos="8838"/>
                  </w:tabs>
                  <w:ind w:right="-105"/>
                  <w:rPr>
                    <w:rFonts w:ascii="Palatino Linotype" w:eastAsia="Palatino Linotype" w:hAnsi="Palatino Linotype" w:cs="Palatino Linotype"/>
                    <w:b/>
                    <w:sz w:val="24"/>
                    <w:szCs w:val="24"/>
                  </w:rPr>
                </w:pPr>
              </w:p>
            </w:tc>
            <w:tc>
              <w:tcPr>
                <w:tcW w:w="3402" w:type="dxa"/>
              </w:tcPr>
              <w:p w:rsidR="00B93EB6" w:rsidRDefault="00B77F44">
                <w:pPr>
                  <w:tabs>
                    <w:tab w:val="left" w:pos="2834"/>
                    <w:tab w:val="right" w:pos="8838"/>
                  </w:tabs>
                  <w:ind w:left="-113" w:right="-107"/>
                  <w:jc w:val="both"/>
                  <w:rPr>
                    <w:rFonts w:ascii="Palatino Linotype" w:eastAsia="Palatino Linotype" w:hAnsi="Palatino Linotype" w:cs="Palatino Linotype"/>
                    <w:sz w:val="24"/>
                    <w:szCs w:val="24"/>
                  </w:rPr>
                </w:pPr>
                <w:r w:rsidRPr="005138E6">
                  <w:rPr>
                    <w:rFonts w:ascii="Palatino Linotype" w:eastAsia="Palatino Linotype" w:hAnsi="Palatino Linotype" w:cs="Palatino Linotype"/>
                    <w:sz w:val="24"/>
                    <w:szCs w:val="24"/>
                  </w:rPr>
                  <w:t>Sistema Municipal Para el Desarrollo Integral de la Familia de Toluca</w:t>
                </w:r>
              </w:p>
              <w:p w:rsidR="002E1A6A" w:rsidRPr="005138E6" w:rsidRDefault="002E1A6A">
                <w:pPr>
                  <w:tabs>
                    <w:tab w:val="left" w:pos="2834"/>
                    <w:tab w:val="right" w:pos="8838"/>
                  </w:tabs>
                  <w:ind w:left="-113" w:right="-107"/>
                  <w:jc w:val="both"/>
                  <w:rPr>
                    <w:rFonts w:ascii="Palatino Linotype" w:eastAsia="Palatino Linotype" w:hAnsi="Palatino Linotype" w:cs="Palatino Linotype"/>
                    <w:sz w:val="24"/>
                    <w:szCs w:val="24"/>
                  </w:rPr>
                </w:pPr>
              </w:p>
            </w:tc>
          </w:tr>
          <w:tr w:rsidR="00B93EB6" w:rsidRPr="005138E6" w:rsidTr="00D02BC1">
            <w:trPr>
              <w:trHeight w:val="283"/>
            </w:trPr>
            <w:tc>
              <w:tcPr>
                <w:tcW w:w="2693" w:type="dxa"/>
              </w:tcPr>
              <w:p w:rsidR="00B93EB6" w:rsidRPr="005138E6" w:rsidRDefault="00B77F44">
                <w:pPr>
                  <w:tabs>
                    <w:tab w:val="right" w:pos="8838"/>
                  </w:tabs>
                  <w:ind w:right="-105"/>
                  <w:rPr>
                    <w:rFonts w:ascii="Palatino Linotype" w:eastAsia="Palatino Linotype" w:hAnsi="Palatino Linotype" w:cs="Palatino Linotype"/>
                    <w:b/>
                    <w:sz w:val="24"/>
                    <w:szCs w:val="24"/>
                  </w:rPr>
                </w:pPr>
                <w:r w:rsidRPr="005138E6">
                  <w:rPr>
                    <w:rFonts w:ascii="Palatino Linotype" w:eastAsia="Palatino Linotype" w:hAnsi="Palatino Linotype" w:cs="Palatino Linotype"/>
                    <w:b/>
                    <w:sz w:val="24"/>
                    <w:szCs w:val="24"/>
                  </w:rPr>
                  <w:t>Comisionada Ponente:</w:t>
                </w:r>
              </w:p>
            </w:tc>
            <w:tc>
              <w:tcPr>
                <w:tcW w:w="3402" w:type="dxa"/>
              </w:tcPr>
              <w:p w:rsidR="00B93EB6" w:rsidRPr="005138E6" w:rsidRDefault="00B77F44">
                <w:pPr>
                  <w:tabs>
                    <w:tab w:val="right" w:pos="8838"/>
                  </w:tabs>
                  <w:ind w:left="-113" w:right="-105"/>
                  <w:jc w:val="both"/>
                  <w:rPr>
                    <w:rFonts w:ascii="Palatino Linotype" w:eastAsia="Palatino Linotype" w:hAnsi="Palatino Linotype" w:cs="Palatino Linotype"/>
                    <w:b/>
                    <w:sz w:val="24"/>
                    <w:szCs w:val="24"/>
                  </w:rPr>
                </w:pPr>
                <w:r w:rsidRPr="005138E6">
                  <w:rPr>
                    <w:rFonts w:ascii="Palatino Linotype" w:eastAsia="Palatino Linotype" w:hAnsi="Palatino Linotype" w:cs="Palatino Linotype"/>
                    <w:sz w:val="24"/>
                    <w:szCs w:val="24"/>
                  </w:rPr>
                  <w:t>María del Rosario Mejía Ayala</w:t>
                </w:r>
              </w:p>
            </w:tc>
          </w:tr>
        </w:tbl>
        <w:p w:rsidR="00B93EB6" w:rsidRDefault="00B93EB6">
          <w:pPr>
            <w:tabs>
              <w:tab w:val="right" w:pos="8838"/>
            </w:tabs>
            <w:ind w:left="-28"/>
            <w:jc w:val="both"/>
            <w:rPr>
              <w:rFonts w:ascii="Arial" w:eastAsia="Arial" w:hAnsi="Arial" w:cs="Arial"/>
              <w:b/>
              <w:sz w:val="22"/>
              <w:szCs w:val="22"/>
            </w:rPr>
          </w:pPr>
        </w:p>
      </w:tc>
    </w:tr>
  </w:tbl>
  <w:p w:rsidR="00B93EB6" w:rsidRDefault="00FD79A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1"/>
          <w10:wrap anchorx="margin" anchory="margin"/>
        </v:shape>
      </w:pict>
    </w:r>
  </w:p>
  <w:p w:rsidR="00B93EB6" w:rsidRDefault="00B93EB6"/>
  <w:p w:rsidR="00B93EB6" w:rsidRDefault="00B93EB6"/>
  <w:p w:rsidR="00B93EB6" w:rsidRDefault="00B93E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B6" w:rsidRDefault="00B93EB6">
    <w:pPr>
      <w:widowControl w:val="0"/>
      <w:pBdr>
        <w:top w:val="nil"/>
        <w:left w:val="nil"/>
        <w:bottom w:val="nil"/>
        <w:right w:val="nil"/>
        <w:between w:val="nil"/>
      </w:pBdr>
      <w:spacing w:line="276" w:lineRule="auto"/>
    </w:pPr>
  </w:p>
  <w:tbl>
    <w:tblPr>
      <w:tblStyle w:val="a2"/>
      <w:tblW w:w="9923" w:type="dxa"/>
      <w:tblInd w:w="0" w:type="dxa"/>
      <w:tblLayout w:type="fixed"/>
      <w:tblLook w:val="0400" w:firstRow="0" w:lastRow="0" w:firstColumn="0" w:lastColumn="0" w:noHBand="0" w:noVBand="1"/>
    </w:tblPr>
    <w:tblGrid>
      <w:gridCol w:w="1560"/>
      <w:gridCol w:w="8363"/>
    </w:tblGrid>
    <w:tr w:rsidR="00B93EB6" w:rsidTr="00D02BC1">
      <w:trPr>
        <w:trHeight w:val="1435"/>
      </w:trPr>
      <w:tc>
        <w:tcPr>
          <w:tcW w:w="1560" w:type="dxa"/>
          <w:shd w:val="clear" w:color="auto" w:fill="auto"/>
        </w:tcPr>
        <w:p w:rsidR="00B93EB6" w:rsidRDefault="00B93EB6">
          <w:pPr>
            <w:tabs>
              <w:tab w:val="right" w:pos="4273"/>
            </w:tabs>
            <w:rPr>
              <w:rFonts w:ascii="Garamond" w:eastAsia="Garamond" w:hAnsi="Garamond" w:cs="Garamond"/>
              <w:sz w:val="22"/>
              <w:szCs w:val="22"/>
            </w:rPr>
          </w:pPr>
        </w:p>
      </w:tc>
      <w:tc>
        <w:tcPr>
          <w:tcW w:w="8363" w:type="dxa"/>
          <w:shd w:val="clear" w:color="auto" w:fill="auto"/>
        </w:tcPr>
        <w:p w:rsidR="00B93EB6" w:rsidRDefault="00B93EB6">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9726" w:type="dxa"/>
            <w:tblInd w:w="1586" w:type="dxa"/>
            <w:tblBorders>
              <w:top w:val="nil"/>
              <w:left w:val="nil"/>
              <w:bottom w:val="nil"/>
              <w:right w:val="nil"/>
              <w:insideH w:val="nil"/>
              <w:insideV w:val="nil"/>
            </w:tblBorders>
            <w:tblLayout w:type="fixed"/>
            <w:tblLook w:val="0400" w:firstRow="0" w:lastRow="0" w:firstColumn="0" w:lastColumn="0" w:noHBand="0" w:noVBand="1"/>
          </w:tblPr>
          <w:tblGrid>
            <w:gridCol w:w="2683"/>
            <w:gridCol w:w="3641"/>
            <w:gridCol w:w="3402"/>
          </w:tblGrid>
          <w:tr w:rsidR="00B93EB6" w:rsidRPr="005138E6" w:rsidTr="00D02BC1">
            <w:trPr>
              <w:trHeight w:val="144"/>
            </w:trPr>
            <w:tc>
              <w:tcPr>
                <w:tcW w:w="2683" w:type="dxa"/>
              </w:tcPr>
              <w:p w:rsidR="00B93EB6" w:rsidRPr="005138E6" w:rsidRDefault="00B77F44">
                <w:pPr>
                  <w:tabs>
                    <w:tab w:val="right" w:pos="8838"/>
                  </w:tabs>
                  <w:ind w:left="-74" w:right="-105"/>
                  <w:rPr>
                    <w:rFonts w:ascii="Palatino Linotype" w:eastAsia="Palatino Linotype" w:hAnsi="Palatino Linotype" w:cs="Palatino Linotype"/>
                    <w:b/>
                    <w:sz w:val="24"/>
                    <w:szCs w:val="24"/>
                  </w:rPr>
                </w:pPr>
                <w:bookmarkStart w:id="11" w:name="_heading=h.s1rbfbbptpq1" w:colFirst="0" w:colLast="0"/>
                <w:bookmarkEnd w:id="11"/>
                <w:r w:rsidRPr="005138E6">
                  <w:rPr>
                    <w:rFonts w:ascii="Palatino Linotype" w:eastAsia="Palatino Linotype" w:hAnsi="Palatino Linotype" w:cs="Palatino Linotype"/>
                    <w:b/>
                    <w:sz w:val="24"/>
                    <w:szCs w:val="24"/>
                  </w:rPr>
                  <w:t>Recurso de Revisión:</w:t>
                </w:r>
              </w:p>
            </w:tc>
            <w:tc>
              <w:tcPr>
                <w:tcW w:w="3641" w:type="dxa"/>
              </w:tcPr>
              <w:p w:rsidR="00B93EB6" w:rsidRPr="005138E6" w:rsidRDefault="00B77F44">
                <w:pPr>
                  <w:tabs>
                    <w:tab w:val="right" w:pos="8838"/>
                  </w:tabs>
                  <w:ind w:left="-3" w:right="-105"/>
                  <w:jc w:val="both"/>
                  <w:rPr>
                    <w:rFonts w:ascii="Palatino Linotype" w:eastAsia="Palatino Linotype" w:hAnsi="Palatino Linotype" w:cs="Palatino Linotype"/>
                    <w:sz w:val="24"/>
                    <w:szCs w:val="24"/>
                  </w:rPr>
                </w:pPr>
                <w:r w:rsidRPr="005138E6">
                  <w:rPr>
                    <w:rFonts w:ascii="Palatino Linotype" w:eastAsia="Palatino Linotype" w:hAnsi="Palatino Linotype" w:cs="Palatino Linotype"/>
                    <w:sz w:val="24"/>
                    <w:szCs w:val="24"/>
                  </w:rPr>
                  <w:t xml:space="preserve">02098/INFOEM/IP/RR/2025 </w:t>
                </w:r>
              </w:p>
            </w:tc>
            <w:tc>
              <w:tcPr>
                <w:tcW w:w="3402" w:type="dxa"/>
              </w:tcPr>
              <w:p w:rsidR="00B93EB6" w:rsidRPr="005138E6" w:rsidRDefault="00B93EB6">
                <w:pPr>
                  <w:tabs>
                    <w:tab w:val="right" w:pos="8838"/>
                  </w:tabs>
                  <w:ind w:left="-74" w:right="-105"/>
                  <w:jc w:val="both"/>
                  <w:rPr>
                    <w:rFonts w:ascii="Palatino Linotype" w:eastAsia="Palatino Linotype" w:hAnsi="Palatino Linotype" w:cs="Palatino Linotype"/>
                    <w:sz w:val="24"/>
                    <w:szCs w:val="24"/>
                  </w:rPr>
                </w:pPr>
              </w:p>
            </w:tc>
          </w:tr>
          <w:tr w:rsidR="00B93EB6" w:rsidRPr="005138E6" w:rsidTr="00D02BC1">
            <w:trPr>
              <w:trHeight w:val="144"/>
            </w:trPr>
            <w:tc>
              <w:tcPr>
                <w:tcW w:w="2683" w:type="dxa"/>
              </w:tcPr>
              <w:p w:rsidR="00B93EB6" w:rsidRPr="005138E6" w:rsidRDefault="00B77F44">
                <w:pPr>
                  <w:tabs>
                    <w:tab w:val="right" w:pos="8838"/>
                  </w:tabs>
                  <w:ind w:left="-74" w:right="-105"/>
                  <w:rPr>
                    <w:rFonts w:ascii="Palatino Linotype" w:eastAsia="Palatino Linotype" w:hAnsi="Palatino Linotype" w:cs="Palatino Linotype"/>
                    <w:b/>
                    <w:sz w:val="24"/>
                    <w:szCs w:val="24"/>
                  </w:rPr>
                </w:pPr>
                <w:bookmarkStart w:id="12" w:name="_heading=h.atcrnsio70rl" w:colFirst="0" w:colLast="0"/>
                <w:bookmarkEnd w:id="12"/>
                <w:r w:rsidRPr="005138E6">
                  <w:rPr>
                    <w:rFonts w:ascii="Palatino Linotype" w:eastAsia="Palatino Linotype" w:hAnsi="Palatino Linotype" w:cs="Palatino Linotype"/>
                    <w:b/>
                    <w:sz w:val="24"/>
                    <w:szCs w:val="24"/>
                  </w:rPr>
                  <w:t>Recurrente:</w:t>
                </w:r>
              </w:p>
            </w:tc>
            <w:tc>
              <w:tcPr>
                <w:tcW w:w="3641" w:type="dxa"/>
              </w:tcPr>
              <w:p w:rsidR="00B93EB6" w:rsidRPr="005138E6" w:rsidRDefault="00B93EB6">
                <w:pPr>
                  <w:tabs>
                    <w:tab w:val="left" w:pos="3122"/>
                    <w:tab w:val="right" w:pos="8838"/>
                  </w:tabs>
                  <w:ind w:right="178"/>
                  <w:jc w:val="both"/>
                  <w:rPr>
                    <w:rFonts w:ascii="Palatino Linotype" w:eastAsia="Palatino Linotype" w:hAnsi="Palatino Linotype" w:cs="Palatino Linotype"/>
                    <w:sz w:val="24"/>
                    <w:szCs w:val="24"/>
                  </w:rPr>
                </w:pPr>
              </w:p>
            </w:tc>
            <w:tc>
              <w:tcPr>
                <w:tcW w:w="3402" w:type="dxa"/>
              </w:tcPr>
              <w:p w:rsidR="00B93EB6" w:rsidRPr="005138E6" w:rsidRDefault="00B93EB6">
                <w:pPr>
                  <w:tabs>
                    <w:tab w:val="left" w:pos="3122"/>
                    <w:tab w:val="right" w:pos="8838"/>
                  </w:tabs>
                  <w:ind w:right="-105"/>
                  <w:jc w:val="both"/>
                  <w:rPr>
                    <w:rFonts w:ascii="Palatino Linotype" w:eastAsia="Palatino Linotype" w:hAnsi="Palatino Linotype" w:cs="Palatino Linotype"/>
                    <w:sz w:val="24"/>
                    <w:szCs w:val="24"/>
                  </w:rPr>
                </w:pPr>
              </w:p>
            </w:tc>
          </w:tr>
          <w:tr w:rsidR="00B93EB6" w:rsidRPr="005138E6" w:rsidTr="00D02BC1">
            <w:trPr>
              <w:trHeight w:val="283"/>
            </w:trPr>
            <w:tc>
              <w:tcPr>
                <w:tcW w:w="2683" w:type="dxa"/>
              </w:tcPr>
              <w:p w:rsidR="00B93EB6" w:rsidRPr="005138E6" w:rsidRDefault="00B77F44">
                <w:pPr>
                  <w:tabs>
                    <w:tab w:val="right" w:pos="8838"/>
                  </w:tabs>
                  <w:ind w:left="-74" w:right="-105"/>
                  <w:rPr>
                    <w:rFonts w:ascii="Palatino Linotype" w:eastAsia="Palatino Linotype" w:hAnsi="Palatino Linotype" w:cs="Palatino Linotype"/>
                    <w:b/>
                    <w:sz w:val="24"/>
                    <w:szCs w:val="24"/>
                  </w:rPr>
                </w:pPr>
                <w:r w:rsidRPr="005138E6">
                  <w:rPr>
                    <w:rFonts w:ascii="Palatino Linotype" w:eastAsia="Palatino Linotype" w:hAnsi="Palatino Linotype" w:cs="Palatino Linotype"/>
                    <w:b/>
                    <w:sz w:val="24"/>
                    <w:szCs w:val="24"/>
                  </w:rPr>
                  <w:t>Sujeto Obligado:</w:t>
                </w:r>
              </w:p>
            </w:tc>
            <w:tc>
              <w:tcPr>
                <w:tcW w:w="3641" w:type="dxa"/>
              </w:tcPr>
              <w:p w:rsidR="00B93EB6" w:rsidRPr="005138E6" w:rsidRDefault="00B77F44">
                <w:pPr>
                  <w:tabs>
                    <w:tab w:val="left" w:pos="2834"/>
                    <w:tab w:val="right" w:pos="8838"/>
                  </w:tabs>
                  <w:ind w:left="-3" w:right="-105"/>
                  <w:jc w:val="both"/>
                  <w:rPr>
                    <w:rFonts w:ascii="Palatino Linotype" w:eastAsia="Palatino Linotype" w:hAnsi="Palatino Linotype" w:cs="Palatino Linotype"/>
                    <w:sz w:val="24"/>
                    <w:szCs w:val="24"/>
                  </w:rPr>
                </w:pPr>
                <w:r w:rsidRPr="005138E6">
                  <w:rPr>
                    <w:rFonts w:ascii="Palatino Linotype" w:eastAsia="Palatino Linotype" w:hAnsi="Palatino Linotype" w:cs="Palatino Linotype"/>
                    <w:sz w:val="24"/>
                    <w:szCs w:val="24"/>
                  </w:rPr>
                  <w:t>Sistema Municipal Para el Desarrollo Integral de la Familia de Toluca</w:t>
                </w:r>
              </w:p>
            </w:tc>
            <w:tc>
              <w:tcPr>
                <w:tcW w:w="3402" w:type="dxa"/>
              </w:tcPr>
              <w:p w:rsidR="00B93EB6" w:rsidRPr="005138E6" w:rsidRDefault="00B93EB6">
                <w:pPr>
                  <w:tabs>
                    <w:tab w:val="left" w:pos="2834"/>
                    <w:tab w:val="right" w:pos="8838"/>
                  </w:tabs>
                  <w:ind w:left="-74" w:right="-105"/>
                  <w:jc w:val="both"/>
                  <w:rPr>
                    <w:rFonts w:ascii="Palatino Linotype" w:eastAsia="Palatino Linotype" w:hAnsi="Palatino Linotype" w:cs="Palatino Linotype"/>
                    <w:sz w:val="24"/>
                    <w:szCs w:val="24"/>
                  </w:rPr>
                </w:pPr>
              </w:p>
            </w:tc>
          </w:tr>
          <w:tr w:rsidR="00B93EB6" w:rsidRPr="005138E6" w:rsidTr="00D02BC1">
            <w:trPr>
              <w:trHeight w:val="283"/>
            </w:trPr>
            <w:tc>
              <w:tcPr>
                <w:tcW w:w="2683" w:type="dxa"/>
              </w:tcPr>
              <w:p w:rsidR="00B93EB6" w:rsidRPr="005138E6" w:rsidRDefault="00B77F44">
                <w:pPr>
                  <w:tabs>
                    <w:tab w:val="right" w:pos="8838"/>
                  </w:tabs>
                  <w:ind w:left="-74" w:right="-105"/>
                  <w:rPr>
                    <w:rFonts w:ascii="Palatino Linotype" w:eastAsia="Palatino Linotype" w:hAnsi="Palatino Linotype" w:cs="Palatino Linotype"/>
                    <w:b/>
                    <w:sz w:val="24"/>
                    <w:szCs w:val="24"/>
                  </w:rPr>
                </w:pPr>
                <w:r w:rsidRPr="005138E6">
                  <w:rPr>
                    <w:rFonts w:ascii="Palatino Linotype" w:eastAsia="Palatino Linotype" w:hAnsi="Palatino Linotype" w:cs="Palatino Linotype"/>
                    <w:b/>
                    <w:sz w:val="24"/>
                    <w:szCs w:val="24"/>
                  </w:rPr>
                  <w:t>Comisionada Ponente:</w:t>
                </w:r>
              </w:p>
            </w:tc>
            <w:tc>
              <w:tcPr>
                <w:tcW w:w="3641" w:type="dxa"/>
              </w:tcPr>
              <w:p w:rsidR="00B93EB6" w:rsidRPr="005138E6" w:rsidRDefault="00B77F44">
                <w:pPr>
                  <w:tabs>
                    <w:tab w:val="right" w:pos="8838"/>
                  </w:tabs>
                  <w:ind w:left="-3" w:right="-105"/>
                  <w:jc w:val="both"/>
                  <w:rPr>
                    <w:rFonts w:ascii="Palatino Linotype" w:eastAsia="Palatino Linotype" w:hAnsi="Palatino Linotype" w:cs="Palatino Linotype"/>
                    <w:sz w:val="24"/>
                    <w:szCs w:val="24"/>
                  </w:rPr>
                </w:pPr>
                <w:r w:rsidRPr="005138E6">
                  <w:rPr>
                    <w:rFonts w:ascii="Palatino Linotype" w:eastAsia="Palatino Linotype" w:hAnsi="Palatino Linotype" w:cs="Palatino Linotype"/>
                    <w:sz w:val="24"/>
                    <w:szCs w:val="24"/>
                  </w:rPr>
                  <w:t>María del Rosario Mejía Ayala</w:t>
                </w:r>
              </w:p>
            </w:tc>
            <w:tc>
              <w:tcPr>
                <w:tcW w:w="3402" w:type="dxa"/>
              </w:tcPr>
              <w:p w:rsidR="00B93EB6" w:rsidRPr="005138E6" w:rsidRDefault="00B93EB6">
                <w:pPr>
                  <w:tabs>
                    <w:tab w:val="right" w:pos="8838"/>
                  </w:tabs>
                  <w:ind w:left="-74" w:right="-105"/>
                  <w:jc w:val="both"/>
                  <w:rPr>
                    <w:rFonts w:ascii="Palatino Linotype" w:eastAsia="Palatino Linotype" w:hAnsi="Palatino Linotype" w:cs="Palatino Linotype"/>
                    <w:sz w:val="24"/>
                    <w:szCs w:val="24"/>
                  </w:rPr>
                </w:pPr>
              </w:p>
            </w:tc>
          </w:tr>
        </w:tbl>
        <w:p w:rsidR="00B93EB6" w:rsidRDefault="00B93EB6">
          <w:pPr>
            <w:tabs>
              <w:tab w:val="right" w:pos="8838"/>
            </w:tabs>
            <w:ind w:left="-28"/>
            <w:jc w:val="both"/>
            <w:rPr>
              <w:rFonts w:ascii="Arial" w:eastAsia="Arial" w:hAnsi="Arial" w:cs="Arial"/>
              <w:b/>
              <w:sz w:val="22"/>
              <w:szCs w:val="22"/>
            </w:rPr>
          </w:pPr>
        </w:p>
      </w:tc>
    </w:tr>
  </w:tbl>
  <w:p w:rsidR="00B93EB6" w:rsidRDefault="00FD79AE">
    <w:pPr>
      <w:pBdr>
        <w:top w:val="nil"/>
        <w:left w:val="nil"/>
        <w:bottom w:val="nil"/>
        <w:right w:val="nil"/>
        <w:between w:val="nil"/>
      </w:pBdr>
      <w:tabs>
        <w:tab w:val="center" w:pos="4419"/>
        <w:tab w:val="right" w:pos="8838"/>
        <w:tab w:val="center" w:pos="4522"/>
      </w:tabs>
      <w:rPr>
        <w:color w:val="000000"/>
        <w:sz w:val="20"/>
        <w:szCs w:val="2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1"/>
          <w10:wrap anchorx="margin" anchory="margin"/>
        </v:shape>
      </w:pict>
    </w:r>
  </w:p>
  <w:p w:rsidR="00B93EB6" w:rsidRDefault="00B93EB6"/>
  <w:p w:rsidR="00B93EB6" w:rsidRDefault="00B93E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1BB1"/>
    <w:multiLevelType w:val="multilevel"/>
    <w:tmpl w:val="17160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EAA0E62"/>
    <w:multiLevelType w:val="multilevel"/>
    <w:tmpl w:val="161A5DC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B6"/>
    <w:rsid w:val="000D7006"/>
    <w:rsid w:val="002C3CAA"/>
    <w:rsid w:val="002E1A6A"/>
    <w:rsid w:val="005138E6"/>
    <w:rsid w:val="008E364C"/>
    <w:rsid w:val="00B77F44"/>
    <w:rsid w:val="00B8017A"/>
    <w:rsid w:val="00B93EB6"/>
    <w:rsid w:val="00D02BC1"/>
    <w:rsid w:val="00FD7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8747B26-D744-4278-B49C-1D6B5D29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CE0"/>
  </w:style>
  <w:style w:type="paragraph" w:styleId="Ttulo1">
    <w:name w:val="heading 1"/>
    <w:basedOn w:val="Normal"/>
    <w:next w:val="Normal"/>
    <w:link w:val="Ttulo1Car"/>
    <w:uiPriority w:val="9"/>
    <w:qFormat/>
    <w:rsid w:val="005E7CE0"/>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E7CE0"/>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5E7CE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E7CE0"/>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7CE0"/>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E7CE0"/>
    <w:rPr>
      <w:rFonts w:ascii="Calibri" w:eastAsia="Calibri" w:hAnsi="Calibri" w:cs="Times New Roman"/>
      <w:sz w:val="20"/>
      <w:szCs w:val="20"/>
    </w:rPr>
  </w:style>
  <w:style w:type="paragraph" w:styleId="Encabezado">
    <w:name w:val="header"/>
    <w:basedOn w:val="Normal"/>
    <w:link w:val="EncabezadoCar"/>
    <w:uiPriority w:val="99"/>
    <w:unhideWhenUsed/>
    <w:qFormat/>
    <w:rsid w:val="005E7CE0"/>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5E7CE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5E7CE0"/>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5E7CE0"/>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E7CE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5E7CE0"/>
    <w:rPr>
      <w:color w:val="0563C1" w:themeColor="hyperlink"/>
      <w:u w:val="single"/>
    </w:rPr>
  </w:style>
  <w:style w:type="table" w:styleId="Tablaconcuadrcula">
    <w:name w:val="Table Grid"/>
    <w:basedOn w:val="Tablanormal"/>
    <w:uiPriority w:val="39"/>
    <w:qFormat/>
    <w:rsid w:val="005E7CE0"/>
    <w:rPr>
      <w:rFonts w:eastAsia="SimSu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7CE0"/>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E7CE0"/>
    <w:rPr>
      <w:rFonts w:ascii="Century Gothic" w:eastAsia="Times New Roman" w:hAnsi="Century Gothic" w:cs="Times New Roman"/>
      <w:szCs w:val="24"/>
      <w:lang w:eastAsia="es-ES"/>
    </w:rPr>
  </w:style>
  <w:style w:type="paragraph" w:customStyle="1" w:styleId="Default">
    <w:name w:val="Default"/>
    <w:rsid w:val="005E7CE0"/>
    <w:pPr>
      <w:autoSpaceDE w:val="0"/>
      <w:autoSpaceDN w:val="0"/>
      <w:adjustRightInd w:val="0"/>
    </w:pPr>
    <w:rPr>
      <w:rFonts w:ascii="Arial" w:hAnsi="Arial" w:cs="Arial"/>
      <w:color w:val="000000"/>
    </w:rPr>
  </w:style>
  <w:style w:type="paragraph" w:styleId="Sinespaciado">
    <w:name w:val="No Spacing"/>
    <w:aliases w:val="Francesa,INAI"/>
    <w:link w:val="SinespaciadoCar"/>
    <w:uiPriority w:val="1"/>
    <w:qFormat/>
    <w:rsid w:val="003B4193"/>
  </w:style>
  <w:style w:type="character" w:customStyle="1" w:styleId="SinespaciadoCar">
    <w:name w:val="Sin espaciado Car"/>
    <w:aliases w:val="Francesa Car,INAI Car"/>
    <w:link w:val="Sinespaciado"/>
    <w:uiPriority w:val="1"/>
    <w:locked/>
    <w:rsid w:val="003B4193"/>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rPr>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6746.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6760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DRn5zBr3S1YLFdfjjSINX/kEQ==">CgMxLjAyDmgueHlxN2FpMnB6dmpyMg5oLnVhMDQzdzY5ZmhnMzIOaC5oZXRja2k1d2VzdXIyDmgubmlvbmMzZGh1NzBnMg5oLnVrNzM2Y3NjaDBkdTIOaC5hY3llaGh2dndpbjYyDmgucnR2OTlheHF1djViMg5oLmU0cnVmZGJ2bDJ4dzIOaC5uZHduNzB0NWM1eXoyDmguY3FsOXVzeG41aWNnMg5oLnMxcmJmYmJwdHBxMTIOaC5hdGNybnNpbzcwcmw4AHIhMVJBVng4RmtYblhENWc1SndiWUd2U21HdzRKOHFQd0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2397</Words>
  <Characters>13187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7</cp:revision>
  <cp:lastPrinted>2025-04-10T22:22:00Z</cp:lastPrinted>
  <dcterms:created xsi:type="dcterms:W3CDTF">2025-04-03T06:56:00Z</dcterms:created>
  <dcterms:modified xsi:type="dcterms:W3CDTF">2025-04-10T22:22:00Z</dcterms:modified>
</cp:coreProperties>
</file>