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E063E" w14:textId="77777777" w:rsidR="00BB122C" w:rsidRDefault="00BB122C">
      <w:pPr>
        <w:widowControl w:val="0"/>
        <w:pBdr>
          <w:top w:val="nil"/>
          <w:left w:val="nil"/>
          <w:bottom w:val="nil"/>
          <w:right w:val="nil"/>
          <w:between w:val="nil"/>
        </w:pBdr>
        <w:spacing w:line="276" w:lineRule="auto"/>
      </w:pPr>
    </w:p>
    <w:p w14:paraId="0B9242A2" w14:textId="77777777" w:rsidR="00BB122C" w:rsidRDefault="00BB122C">
      <w:pPr>
        <w:widowControl w:val="0"/>
        <w:pBdr>
          <w:top w:val="nil"/>
          <w:left w:val="nil"/>
          <w:bottom w:val="nil"/>
          <w:right w:val="nil"/>
          <w:between w:val="nil"/>
        </w:pBdr>
        <w:spacing w:line="276" w:lineRule="auto"/>
      </w:pPr>
    </w:p>
    <w:p w14:paraId="0512E69F" w14:textId="77777777" w:rsidR="00BB122C" w:rsidRDefault="00BB122C">
      <w:pPr>
        <w:widowControl w:val="0"/>
        <w:pBdr>
          <w:top w:val="nil"/>
          <w:left w:val="nil"/>
          <w:bottom w:val="nil"/>
          <w:right w:val="nil"/>
          <w:between w:val="nil"/>
        </w:pBdr>
        <w:spacing w:line="276" w:lineRule="auto"/>
      </w:pPr>
    </w:p>
    <w:p w14:paraId="412603DB" w14:textId="77777777" w:rsidR="00BB122C" w:rsidRDefault="00BB122C">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A6EB4D5" w14:textId="77777777" w:rsidR="00BB122C" w:rsidRDefault="00E74273">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08391/INFOEM/IP/RR/2025</w:t>
      </w:r>
    </w:p>
    <w:p w14:paraId="341C4C23" w14:textId="77777777" w:rsidR="00BB122C" w:rsidRDefault="00BB122C">
      <w:pPr>
        <w:spacing w:line="360" w:lineRule="auto"/>
      </w:pPr>
    </w:p>
    <w:p w14:paraId="3CA19EC0" w14:textId="77777777" w:rsidR="008C49E5" w:rsidRDefault="008C49E5">
      <w:pPr>
        <w:spacing w:line="360" w:lineRule="auto"/>
        <w:jc w:val="both"/>
      </w:pPr>
    </w:p>
    <w:sdt>
      <w:sdtPr>
        <w:rPr>
          <w:lang w:val="es-ES"/>
        </w:rPr>
        <w:id w:val="-330067948"/>
        <w:docPartObj>
          <w:docPartGallery w:val="Table of Contents"/>
          <w:docPartUnique/>
        </w:docPartObj>
      </w:sdtPr>
      <w:sdtEndPr>
        <w:rPr>
          <w:b/>
          <w:bCs/>
        </w:rPr>
      </w:sdtEndPr>
      <w:sdtContent>
        <w:p w14:paraId="1F5402E5" w14:textId="77777777" w:rsidR="008C49E5" w:rsidRDefault="008C49E5">
          <w:pPr>
            <w:pStyle w:val="TtuloTDC"/>
          </w:pPr>
        </w:p>
        <w:p w14:paraId="74FFC82E" w14:textId="2B1AAA6F" w:rsidR="008C49E5" w:rsidRDefault="008C49E5">
          <w:pPr>
            <w:pStyle w:val="TDC1"/>
            <w:rPr>
              <w:rFonts w:asciiTheme="minorHAnsi" w:eastAsiaTheme="minorEastAsia" w:hAnsiTheme="minorHAnsi" w:cstheme="minorBidi"/>
              <w:noProof/>
              <w:sz w:val="22"/>
              <w:szCs w:val="22"/>
            </w:rPr>
          </w:pPr>
          <w:r>
            <w:rPr>
              <w:b/>
              <w:bCs/>
              <w:lang w:val="es-ES"/>
            </w:rPr>
            <w:fldChar w:fldCharType="begin"/>
          </w:r>
          <w:r>
            <w:rPr>
              <w:b/>
              <w:bCs/>
              <w:lang w:val="es-ES"/>
            </w:rPr>
            <w:instrText xml:space="preserve"> TOC \o "1-3" \h \z \u </w:instrText>
          </w:r>
          <w:r>
            <w:rPr>
              <w:b/>
              <w:bCs/>
              <w:lang w:val="es-ES"/>
            </w:rPr>
            <w:fldChar w:fldCharType="separate"/>
          </w:r>
          <w:hyperlink w:anchor="_Toc207895397" w:history="1">
            <w:r w:rsidRPr="00260A12">
              <w:rPr>
                <w:rStyle w:val="Hipervnculo"/>
                <w:noProof/>
              </w:rPr>
              <w:t>A N T E C E D E N T E S</w:t>
            </w:r>
            <w:r>
              <w:rPr>
                <w:noProof/>
                <w:webHidden/>
              </w:rPr>
              <w:tab/>
            </w:r>
            <w:r>
              <w:rPr>
                <w:noProof/>
                <w:webHidden/>
              </w:rPr>
              <w:fldChar w:fldCharType="begin"/>
            </w:r>
            <w:r>
              <w:rPr>
                <w:noProof/>
                <w:webHidden/>
              </w:rPr>
              <w:instrText xml:space="preserve"> PAGEREF _Toc207895397 \h </w:instrText>
            </w:r>
            <w:r>
              <w:rPr>
                <w:noProof/>
                <w:webHidden/>
              </w:rPr>
            </w:r>
            <w:r>
              <w:rPr>
                <w:noProof/>
                <w:webHidden/>
              </w:rPr>
              <w:fldChar w:fldCharType="separate"/>
            </w:r>
            <w:r w:rsidR="00E2633E">
              <w:rPr>
                <w:noProof/>
                <w:webHidden/>
              </w:rPr>
              <w:t>2</w:t>
            </w:r>
            <w:r>
              <w:rPr>
                <w:noProof/>
                <w:webHidden/>
              </w:rPr>
              <w:fldChar w:fldCharType="end"/>
            </w:r>
          </w:hyperlink>
        </w:p>
        <w:p w14:paraId="13AF875F" w14:textId="5970F3D1"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398" w:history="1">
            <w:r w:rsidRPr="00260A12">
              <w:rPr>
                <w:rStyle w:val="Hipervnculo"/>
                <w:noProof/>
              </w:rPr>
              <w:t>I. Presentación de la solicitud de información</w:t>
            </w:r>
            <w:r>
              <w:rPr>
                <w:noProof/>
                <w:webHidden/>
              </w:rPr>
              <w:tab/>
            </w:r>
            <w:r>
              <w:rPr>
                <w:noProof/>
                <w:webHidden/>
              </w:rPr>
              <w:fldChar w:fldCharType="begin"/>
            </w:r>
            <w:r>
              <w:rPr>
                <w:noProof/>
                <w:webHidden/>
              </w:rPr>
              <w:instrText xml:space="preserve"> PAGEREF _Toc207895398 \h </w:instrText>
            </w:r>
            <w:r>
              <w:rPr>
                <w:noProof/>
                <w:webHidden/>
              </w:rPr>
            </w:r>
            <w:r>
              <w:rPr>
                <w:noProof/>
                <w:webHidden/>
              </w:rPr>
              <w:fldChar w:fldCharType="separate"/>
            </w:r>
            <w:r w:rsidR="00E2633E">
              <w:rPr>
                <w:noProof/>
                <w:webHidden/>
              </w:rPr>
              <w:t>2</w:t>
            </w:r>
            <w:r>
              <w:rPr>
                <w:noProof/>
                <w:webHidden/>
              </w:rPr>
              <w:fldChar w:fldCharType="end"/>
            </w:r>
          </w:hyperlink>
        </w:p>
        <w:p w14:paraId="4FE90853" w14:textId="72969BE8"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399" w:history="1">
            <w:r w:rsidRPr="00260A12">
              <w:rPr>
                <w:rStyle w:val="Hipervnculo"/>
                <w:noProof/>
              </w:rPr>
              <w:t>II. Respuesta del Sujeto Obligado</w:t>
            </w:r>
            <w:r>
              <w:rPr>
                <w:noProof/>
                <w:webHidden/>
              </w:rPr>
              <w:tab/>
            </w:r>
            <w:r>
              <w:rPr>
                <w:noProof/>
                <w:webHidden/>
              </w:rPr>
              <w:fldChar w:fldCharType="begin"/>
            </w:r>
            <w:r>
              <w:rPr>
                <w:noProof/>
                <w:webHidden/>
              </w:rPr>
              <w:instrText xml:space="preserve"> PAGEREF _Toc207895399 \h </w:instrText>
            </w:r>
            <w:r>
              <w:rPr>
                <w:noProof/>
                <w:webHidden/>
              </w:rPr>
            </w:r>
            <w:r>
              <w:rPr>
                <w:noProof/>
                <w:webHidden/>
              </w:rPr>
              <w:fldChar w:fldCharType="separate"/>
            </w:r>
            <w:r w:rsidR="00E2633E">
              <w:rPr>
                <w:noProof/>
                <w:webHidden/>
              </w:rPr>
              <w:t>3</w:t>
            </w:r>
            <w:r>
              <w:rPr>
                <w:noProof/>
                <w:webHidden/>
              </w:rPr>
              <w:fldChar w:fldCharType="end"/>
            </w:r>
          </w:hyperlink>
        </w:p>
        <w:p w14:paraId="39F13690" w14:textId="5F6017E1"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400" w:history="1">
            <w:r w:rsidRPr="00260A12">
              <w:rPr>
                <w:rStyle w:val="Hipervnculo"/>
                <w:noProof/>
              </w:rPr>
              <w:t>III. Interposición del Recurso de Revisión</w:t>
            </w:r>
            <w:r>
              <w:rPr>
                <w:noProof/>
                <w:webHidden/>
              </w:rPr>
              <w:tab/>
            </w:r>
            <w:r>
              <w:rPr>
                <w:noProof/>
                <w:webHidden/>
              </w:rPr>
              <w:fldChar w:fldCharType="begin"/>
            </w:r>
            <w:r>
              <w:rPr>
                <w:noProof/>
                <w:webHidden/>
              </w:rPr>
              <w:instrText xml:space="preserve"> PAGEREF _Toc207895400 \h </w:instrText>
            </w:r>
            <w:r>
              <w:rPr>
                <w:noProof/>
                <w:webHidden/>
              </w:rPr>
            </w:r>
            <w:r>
              <w:rPr>
                <w:noProof/>
                <w:webHidden/>
              </w:rPr>
              <w:fldChar w:fldCharType="separate"/>
            </w:r>
            <w:r w:rsidR="00E2633E">
              <w:rPr>
                <w:noProof/>
                <w:webHidden/>
              </w:rPr>
              <w:t>3</w:t>
            </w:r>
            <w:r>
              <w:rPr>
                <w:noProof/>
                <w:webHidden/>
              </w:rPr>
              <w:fldChar w:fldCharType="end"/>
            </w:r>
          </w:hyperlink>
        </w:p>
        <w:p w14:paraId="75C7070E" w14:textId="64287718"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401" w:history="1">
            <w:r w:rsidRPr="00260A12">
              <w:rPr>
                <w:rStyle w:val="Hipervnculo"/>
                <w:noProof/>
              </w:rPr>
              <w:t>IV. Trámite del Recurso de Revisión ante el Instituto</w:t>
            </w:r>
            <w:r>
              <w:rPr>
                <w:noProof/>
                <w:webHidden/>
              </w:rPr>
              <w:tab/>
            </w:r>
            <w:r>
              <w:rPr>
                <w:noProof/>
                <w:webHidden/>
              </w:rPr>
              <w:fldChar w:fldCharType="begin"/>
            </w:r>
            <w:r>
              <w:rPr>
                <w:noProof/>
                <w:webHidden/>
              </w:rPr>
              <w:instrText xml:space="preserve"> PAGEREF _Toc207895401 \h </w:instrText>
            </w:r>
            <w:r>
              <w:rPr>
                <w:noProof/>
                <w:webHidden/>
              </w:rPr>
            </w:r>
            <w:r>
              <w:rPr>
                <w:noProof/>
                <w:webHidden/>
              </w:rPr>
              <w:fldChar w:fldCharType="separate"/>
            </w:r>
            <w:r w:rsidR="00E2633E">
              <w:rPr>
                <w:noProof/>
                <w:webHidden/>
              </w:rPr>
              <w:t>4</w:t>
            </w:r>
            <w:r>
              <w:rPr>
                <w:noProof/>
                <w:webHidden/>
              </w:rPr>
              <w:fldChar w:fldCharType="end"/>
            </w:r>
          </w:hyperlink>
        </w:p>
        <w:p w14:paraId="6F668EA2" w14:textId="32458378" w:rsidR="008C49E5" w:rsidRDefault="008C49E5">
          <w:pPr>
            <w:pStyle w:val="TDC1"/>
            <w:rPr>
              <w:rFonts w:asciiTheme="minorHAnsi" w:eastAsiaTheme="minorEastAsia" w:hAnsiTheme="minorHAnsi" w:cstheme="minorBidi"/>
              <w:noProof/>
              <w:sz w:val="22"/>
              <w:szCs w:val="22"/>
            </w:rPr>
          </w:pPr>
          <w:hyperlink w:anchor="_Toc207895402" w:history="1">
            <w:r w:rsidRPr="00260A12">
              <w:rPr>
                <w:rStyle w:val="Hipervnculo"/>
                <w:noProof/>
              </w:rPr>
              <w:t>C O N S I D E R A N D O S</w:t>
            </w:r>
            <w:r>
              <w:rPr>
                <w:noProof/>
                <w:webHidden/>
              </w:rPr>
              <w:tab/>
            </w:r>
            <w:r>
              <w:rPr>
                <w:noProof/>
                <w:webHidden/>
              </w:rPr>
              <w:fldChar w:fldCharType="begin"/>
            </w:r>
            <w:r>
              <w:rPr>
                <w:noProof/>
                <w:webHidden/>
              </w:rPr>
              <w:instrText xml:space="preserve"> PAGEREF _Toc207895402 \h </w:instrText>
            </w:r>
            <w:r>
              <w:rPr>
                <w:noProof/>
                <w:webHidden/>
              </w:rPr>
            </w:r>
            <w:r>
              <w:rPr>
                <w:noProof/>
                <w:webHidden/>
              </w:rPr>
              <w:fldChar w:fldCharType="separate"/>
            </w:r>
            <w:r w:rsidR="00E2633E">
              <w:rPr>
                <w:noProof/>
                <w:webHidden/>
              </w:rPr>
              <w:t>6</w:t>
            </w:r>
            <w:r>
              <w:rPr>
                <w:noProof/>
                <w:webHidden/>
              </w:rPr>
              <w:fldChar w:fldCharType="end"/>
            </w:r>
          </w:hyperlink>
        </w:p>
        <w:p w14:paraId="4C7AC214" w14:textId="0F4DFA9B"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403" w:history="1">
            <w:r w:rsidRPr="00260A12">
              <w:rPr>
                <w:rStyle w:val="Hipervnculo"/>
                <w:noProof/>
              </w:rPr>
              <w:t>PRIMERO. Competencia</w:t>
            </w:r>
            <w:r>
              <w:rPr>
                <w:noProof/>
                <w:webHidden/>
              </w:rPr>
              <w:tab/>
            </w:r>
            <w:r>
              <w:rPr>
                <w:noProof/>
                <w:webHidden/>
              </w:rPr>
              <w:fldChar w:fldCharType="begin"/>
            </w:r>
            <w:r>
              <w:rPr>
                <w:noProof/>
                <w:webHidden/>
              </w:rPr>
              <w:instrText xml:space="preserve"> PAGEREF _Toc207895403 \h </w:instrText>
            </w:r>
            <w:r>
              <w:rPr>
                <w:noProof/>
                <w:webHidden/>
              </w:rPr>
            </w:r>
            <w:r>
              <w:rPr>
                <w:noProof/>
                <w:webHidden/>
              </w:rPr>
              <w:fldChar w:fldCharType="separate"/>
            </w:r>
            <w:r w:rsidR="00E2633E">
              <w:rPr>
                <w:noProof/>
                <w:webHidden/>
              </w:rPr>
              <w:t>6</w:t>
            </w:r>
            <w:r>
              <w:rPr>
                <w:noProof/>
                <w:webHidden/>
              </w:rPr>
              <w:fldChar w:fldCharType="end"/>
            </w:r>
          </w:hyperlink>
        </w:p>
        <w:p w14:paraId="1C746264" w14:textId="67066124"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404" w:history="1">
            <w:r w:rsidRPr="00260A12">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_Toc207895404 \h </w:instrText>
            </w:r>
            <w:r>
              <w:rPr>
                <w:noProof/>
                <w:webHidden/>
              </w:rPr>
            </w:r>
            <w:r>
              <w:rPr>
                <w:noProof/>
                <w:webHidden/>
              </w:rPr>
              <w:fldChar w:fldCharType="separate"/>
            </w:r>
            <w:r w:rsidR="00E2633E">
              <w:rPr>
                <w:noProof/>
                <w:webHidden/>
              </w:rPr>
              <w:t>6</w:t>
            </w:r>
            <w:r>
              <w:rPr>
                <w:noProof/>
                <w:webHidden/>
              </w:rPr>
              <w:fldChar w:fldCharType="end"/>
            </w:r>
          </w:hyperlink>
        </w:p>
        <w:p w14:paraId="37EF6A19" w14:textId="1F8F6D71"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405" w:history="1">
            <w:r w:rsidRPr="00260A12">
              <w:rPr>
                <w:rStyle w:val="Hipervnculo"/>
                <w:noProof/>
              </w:rPr>
              <w:t>TERCERO. Determinación de la Controversia</w:t>
            </w:r>
            <w:r>
              <w:rPr>
                <w:noProof/>
                <w:webHidden/>
              </w:rPr>
              <w:tab/>
            </w:r>
            <w:r>
              <w:rPr>
                <w:noProof/>
                <w:webHidden/>
              </w:rPr>
              <w:fldChar w:fldCharType="begin"/>
            </w:r>
            <w:r>
              <w:rPr>
                <w:noProof/>
                <w:webHidden/>
              </w:rPr>
              <w:instrText xml:space="preserve"> PAGEREF _Toc207895405 \h </w:instrText>
            </w:r>
            <w:r>
              <w:rPr>
                <w:noProof/>
                <w:webHidden/>
              </w:rPr>
            </w:r>
            <w:r>
              <w:rPr>
                <w:noProof/>
                <w:webHidden/>
              </w:rPr>
              <w:fldChar w:fldCharType="separate"/>
            </w:r>
            <w:r w:rsidR="00E2633E">
              <w:rPr>
                <w:noProof/>
                <w:webHidden/>
              </w:rPr>
              <w:t>8</w:t>
            </w:r>
            <w:r>
              <w:rPr>
                <w:noProof/>
                <w:webHidden/>
              </w:rPr>
              <w:fldChar w:fldCharType="end"/>
            </w:r>
          </w:hyperlink>
        </w:p>
        <w:p w14:paraId="76C61DC4" w14:textId="5A0EEFD1"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406" w:history="1">
            <w:r w:rsidRPr="00260A12">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_Toc207895406 \h </w:instrText>
            </w:r>
            <w:r>
              <w:rPr>
                <w:noProof/>
                <w:webHidden/>
              </w:rPr>
            </w:r>
            <w:r>
              <w:rPr>
                <w:noProof/>
                <w:webHidden/>
              </w:rPr>
              <w:fldChar w:fldCharType="separate"/>
            </w:r>
            <w:r w:rsidR="00E2633E">
              <w:rPr>
                <w:noProof/>
                <w:webHidden/>
              </w:rPr>
              <w:t>9</w:t>
            </w:r>
            <w:r>
              <w:rPr>
                <w:noProof/>
                <w:webHidden/>
              </w:rPr>
              <w:fldChar w:fldCharType="end"/>
            </w:r>
          </w:hyperlink>
        </w:p>
        <w:p w14:paraId="2970DC7E" w14:textId="165FAFE5"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407" w:history="1">
            <w:r w:rsidRPr="00260A12">
              <w:rPr>
                <w:rStyle w:val="Hipervnculo"/>
                <w:noProof/>
              </w:rPr>
              <w:t>QUINTO. Estudio de Fondo</w:t>
            </w:r>
            <w:r>
              <w:rPr>
                <w:noProof/>
                <w:webHidden/>
              </w:rPr>
              <w:tab/>
            </w:r>
            <w:r>
              <w:rPr>
                <w:noProof/>
                <w:webHidden/>
              </w:rPr>
              <w:fldChar w:fldCharType="begin"/>
            </w:r>
            <w:r>
              <w:rPr>
                <w:noProof/>
                <w:webHidden/>
              </w:rPr>
              <w:instrText xml:space="preserve"> PAGEREF _Toc207895407 \h </w:instrText>
            </w:r>
            <w:r>
              <w:rPr>
                <w:noProof/>
                <w:webHidden/>
              </w:rPr>
            </w:r>
            <w:r>
              <w:rPr>
                <w:noProof/>
                <w:webHidden/>
              </w:rPr>
              <w:fldChar w:fldCharType="separate"/>
            </w:r>
            <w:r w:rsidR="00E2633E">
              <w:rPr>
                <w:noProof/>
                <w:webHidden/>
              </w:rPr>
              <w:t>10</w:t>
            </w:r>
            <w:r>
              <w:rPr>
                <w:noProof/>
                <w:webHidden/>
              </w:rPr>
              <w:fldChar w:fldCharType="end"/>
            </w:r>
          </w:hyperlink>
        </w:p>
        <w:p w14:paraId="69C7A404" w14:textId="3D3A4061"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408" w:history="1">
            <w:r w:rsidRPr="00260A12">
              <w:rPr>
                <w:rStyle w:val="Hipervnculo"/>
                <w:noProof/>
              </w:rPr>
              <w:t>SEXTO. Decisión</w:t>
            </w:r>
            <w:r>
              <w:rPr>
                <w:noProof/>
                <w:webHidden/>
              </w:rPr>
              <w:tab/>
            </w:r>
            <w:r>
              <w:rPr>
                <w:noProof/>
                <w:webHidden/>
              </w:rPr>
              <w:fldChar w:fldCharType="begin"/>
            </w:r>
            <w:r>
              <w:rPr>
                <w:noProof/>
                <w:webHidden/>
              </w:rPr>
              <w:instrText xml:space="preserve"> PAGEREF _Toc207895408 \h </w:instrText>
            </w:r>
            <w:r>
              <w:rPr>
                <w:noProof/>
                <w:webHidden/>
              </w:rPr>
            </w:r>
            <w:r>
              <w:rPr>
                <w:noProof/>
                <w:webHidden/>
              </w:rPr>
              <w:fldChar w:fldCharType="separate"/>
            </w:r>
            <w:r w:rsidR="00E2633E">
              <w:rPr>
                <w:noProof/>
                <w:webHidden/>
              </w:rPr>
              <w:t>40</w:t>
            </w:r>
            <w:r>
              <w:rPr>
                <w:noProof/>
                <w:webHidden/>
              </w:rPr>
              <w:fldChar w:fldCharType="end"/>
            </w:r>
          </w:hyperlink>
        </w:p>
        <w:p w14:paraId="2AEC09EB" w14:textId="56D99D25" w:rsidR="008C49E5" w:rsidRDefault="008C49E5">
          <w:pPr>
            <w:pStyle w:val="TDC2"/>
            <w:tabs>
              <w:tab w:val="right" w:leader="dot" w:pos="9034"/>
            </w:tabs>
            <w:rPr>
              <w:rFonts w:asciiTheme="minorHAnsi" w:eastAsiaTheme="minorEastAsia" w:hAnsiTheme="minorHAnsi" w:cstheme="minorBidi"/>
              <w:noProof/>
              <w:sz w:val="22"/>
              <w:szCs w:val="22"/>
            </w:rPr>
          </w:pPr>
          <w:hyperlink w:anchor="_Toc207895409" w:history="1">
            <w:r w:rsidRPr="00260A12">
              <w:rPr>
                <w:rStyle w:val="Hipervnculo"/>
                <w:noProof/>
              </w:rPr>
              <w:t>SÉPTIMO. Vista a la Secretaría Técnica del Pleno</w:t>
            </w:r>
            <w:r>
              <w:rPr>
                <w:noProof/>
                <w:webHidden/>
              </w:rPr>
              <w:tab/>
            </w:r>
            <w:r>
              <w:rPr>
                <w:noProof/>
                <w:webHidden/>
              </w:rPr>
              <w:fldChar w:fldCharType="begin"/>
            </w:r>
            <w:r>
              <w:rPr>
                <w:noProof/>
                <w:webHidden/>
              </w:rPr>
              <w:instrText xml:space="preserve"> PAGEREF _Toc207895409 \h </w:instrText>
            </w:r>
            <w:r>
              <w:rPr>
                <w:noProof/>
                <w:webHidden/>
              </w:rPr>
            </w:r>
            <w:r>
              <w:rPr>
                <w:noProof/>
                <w:webHidden/>
              </w:rPr>
              <w:fldChar w:fldCharType="separate"/>
            </w:r>
            <w:r w:rsidR="00E2633E">
              <w:rPr>
                <w:noProof/>
                <w:webHidden/>
              </w:rPr>
              <w:t>40</w:t>
            </w:r>
            <w:r>
              <w:rPr>
                <w:noProof/>
                <w:webHidden/>
              </w:rPr>
              <w:fldChar w:fldCharType="end"/>
            </w:r>
          </w:hyperlink>
        </w:p>
        <w:p w14:paraId="3C453564" w14:textId="2C0A697B" w:rsidR="008C49E5" w:rsidRDefault="008C49E5">
          <w:pPr>
            <w:pStyle w:val="TDC1"/>
            <w:rPr>
              <w:rFonts w:asciiTheme="minorHAnsi" w:eastAsiaTheme="minorEastAsia" w:hAnsiTheme="minorHAnsi" w:cstheme="minorBidi"/>
              <w:noProof/>
              <w:sz w:val="22"/>
              <w:szCs w:val="22"/>
            </w:rPr>
          </w:pPr>
          <w:hyperlink w:anchor="_Toc207895410" w:history="1">
            <w:r w:rsidRPr="00260A12">
              <w:rPr>
                <w:rStyle w:val="Hipervnculo"/>
                <w:noProof/>
              </w:rPr>
              <w:t>R E S U E L V E</w:t>
            </w:r>
            <w:r>
              <w:rPr>
                <w:noProof/>
                <w:webHidden/>
              </w:rPr>
              <w:tab/>
            </w:r>
            <w:r>
              <w:rPr>
                <w:noProof/>
                <w:webHidden/>
              </w:rPr>
              <w:fldChar w:fldCharType="begin"/>
            </w:r>
            <w:r>
              <w:rPr>
                <w:noProof/>
                <w:webHidden/>
              </w:rPr>
              <w:instrText xml:space="preserve"> PAGEREF _Toc207895410 \h </w:instrText>
            </w:r>
            <w:r>
              <w:rPr>
                <w:noProof/>
                <w:webHidden/>
              </w:rPr>
            </w:r>
            <w:r>
              <w:rPr>
                <w:noProof/>
                <w:webHidden/>
              </w:rPr>
              <w:fldChar w:fldCharType="separate"/>
            </w:r>
            <w:r w:rsidR="00E2633E">
              <w:rPr>
                <w:noProof/>
                <w:webHidden/>
              </w:rPr>
              <w:t>42</w:t>
            </w:r>
            <w:r>
              <w:rPr>
                <w:noProof/>
                <w:webHidden/>
              </w:rPr>
              <w:fldChar w:fldCharType="end"/>
            </w:r>
          </w:hyperlink>
        </w:p>
        <w:p w14:paraId="461E1FEF" w14:textId="77777777" w:rsidR="008C49E5" w:rsidRDefault="008C49E5">
          <w:r>
            <w:rPr>
              <w:b/>
              <w:bCs/>
              <w:lang w:val="es-ES"/>
            </w:rPr>
            <w:fldChar w:fldCharType="end"/>
          </w:r>
        </w:p>
      </w:sdtContent>
    </w:sdt>
    <w:p w14:paraId="0CBBEF2A" w14:textId="77777777" w:rsidR="008C49E5" w:rsidRDefault="008C49E5">
      <w:pPr>
        <w:spacing w:line="360" w:lineRule="auto"/>
        <w:jc w:val="both"/>
      </w:pPr>
    </w:p>
    <w:p w14:paraId="20D2E1D8" w14:textId="77777777" w:rsidR="008C49E5" w:rsidRDefault="008C49E5">
      <w:pPr>
        <w:spacing w:line="360" w:lineRule="auto"/>
        <w:jc w:val="both"/>
      </w:pPr>
    </w:p>
    <w:p w14:paraId="552EEF2A" w14:textId="77777777" w:rsidR="008C49E5" w:rsidRDefault="008C49E5">
      <w:pPr>
        <w:spacing w:line="360" w:lineRule="auto"/>
        <w:jc w:val="both"/>
      </w:pPr>
    </w:p>
    <w:p w14:paraId="0499F3FB" w14:textId="77777777" w:rsidR="008C49E5" w:rsidRDefault="008C49E5">
      <w:pPr>
        <w:spacing w:line="360" w:lineRule="auto"/>
        <w:jc w:val="both"/>
      </w:pPr>
    </w:p>
    <w:p w14:paraId="21318FDE" w14:textId="77777777" w:rsidR="008C49E5" w:rsidRDefault="008C49E5">
      <w:pPr>
        <w:spacing w:line="360" w:lineRule="auto"/>
        <w:jc w:val="both"/>
      </w:pPr>
    </w:p>
    <w:p w14:paraId="05690D85" w14:textId="77777777" w:rsidR="008C49E5" w:rsidRDefault="008C49E5">
      <w:pPr>
        <w:spacing w:line="360" w:lineRule="auto"/>
        <w:jc w:val="both"/>
      </w:pPr>
    </w:p>
    <w:p w14:paraId="2A3860F0" w14:textId="77777777" w:rsidR="00BB122C" w:rsidRDefault="00E74273">
      <w:pPr>
        <w:spacing w:line="360" w:lineRule="auto"/>
        <w:jc w:val="both"/>
        <w:rPr>
          <w:rFonts w:ascii="Palatino Linotype" w:eastAsia="Palatino Linotype" w:hAnsi="Palatino Linotype" w:cs="Palatino Linotype"/>
          <w:sz w:val="22"/>
          <w:szCs w:val="22"/>
        </w:rPr>
      </w:pPr>
      <w:r>
        <w:br w:type="column"/>
      </w: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tres de septiembre de dos mil veinticinco. </w:t>
      </w:r>
    </w:p>
    <w:p w14:paraId="4FEBA4D0"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1E1EA04C" w14:textId="4D2F289C" w:rsidR="00BB122C" w:rsidRDefault="00E7427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805DB4">
        <w:rPr>
          <w:rFonts w:ascii="Palatino Linotype" w:eastAsia="Palatino Linotype" w:hAnsi="Palatino Linotype" w:cs="Palatino Linotype"/>
          <w:b/>
          <w:bCs/>
          <w:sz w:val="22"/>
          <w:szCs w:val="22"/>
        </w:rPr>
        <w:t>08391/INFOEM/IP/RR/2025</w:t>
      </w:r>
      <w:r w:rsidRPr="00805DB4">
        <w:rPr>
          <w:rFonts w:ascii="Palatino Linotype" w:eastAsia="Palatino Linotype" w:hAnsi="Palatino Linotype" w:cs="Palatino Linotype"/>
          <w:b/>
          <w:bCs/>
          <w:color w:val="000000"/>
          <w:sz w:val="22"/>
          <w:szCs w:val="22"/>
        </w:rPr>
        <w:t>,</w:t>
      </w:r>
      <w:r>
        <w:rPr>
          <w:rFonts w:ascii="Palatino Linotype" w:eastAsia="Palatino Linotype" w:hAnsi="Palatino Linotype" w:cs="Palatino Linotype"/>
          <w:color w:val="000000"/>
          <w:sz w:val="22"/>
          <w:szCs w:val="22"/>
        </w:rPr>
        <w:t xml:space="preserve"> interpuesto por </w:t>
      </w:r>
      <w:r w:rsidR="002A0597" w:rsidRPr="002A0597">
        <w:rPr>
          <w:rFonts w:ascii="Palatino Linotype" w:eastAsia="Palatino Linotype" w:hAnsi="Palatino Linotype" w:cs="Palatino Linotype"/>
          <w:sz w:val="22"/>
          <w:szCs w:val="22"/>
          <w:highlight w:val="black"/>
        </w:rPr>
        <w:t>XXXXXXXXXXXXXXXX</w:t>
      </w:r>
      <w:r>
        <w:rPr>
          <w:rFonts w:ascii="Palatino Linotype" w:eastAsia="Palatino Linotype" w:hAnsi="Palatino Linotype" w:cs="Palatino Linotype"/>
          <w:color w:val="000000"/>
          <w:sz w:val="22"/>
          <w:szCs w:val="22"/>
        </w:rPr>
        <w:t xml:space="preserve">, en contra de la falta de respuesta del Sujeto Obligado, </w:t>
      </w:r>
      <w:r w:rsidRPr="00805DB4">
        <w:rPr>
          <w:rFonts w:ascii="Palatino Linotype" w:eastAsia="Palatino Linotype" w:hAnsi="Palatino Linotype" w:cs="Palatino Linotype"/>
          <w:b/>
          <w:bCs/>
          <w:sz w:val="22"/>
          <w:szCs w:val="22"/>
        </w:rPr>
        <w:t>Ayuntamiento de Chiconcuac</w:t>
      </w:r>
      <w:r>
        <w:rPr>
          <w:rFonts w:ascii="Palatino Linotype" w:eastAsia="Palatino Linotype" w:hAnsi="Palatino Linotype" w:cs="Palatino Linotype"/>
          <w:color w:val="000000"/>
          <w:sz w:val="22"/>
          <w:szCs w:val="22"/>
        </w:rPr>
        <w:t>, a la solicitud de acceso a la información pública 00099/CHICONCU/IP/2025, se emite la presente Resolución, con base en los Antecedentes y Considerandos que a continuación se exponen:</w:t>
      </w:r>
    </w:p>
    <w:p w14:paraId="17F84A32" w14:textId="77777777" w:rsidR="00BB122C" w:rsidRDefault="00BB122C">
      <w:pPr>
        <w:pStyle w:val="Subttulo"/>
        <w:spacing w:after="0" w:line="360" w:lineRule="auto"/>
      </w:pPr>
    </w:p>
    <w:p w14:paraId="2B4317B0" w14:textId="77777777" w:rsidR="00BB122C" w:rsidRDefault="00E74273">
      <w:pPr>
        <w:pStyle w:val="Ttulo1"/>
      </w:pPr>
      <w:bookmarkStart w:id="0" w:name="_heading=h.sehktjnn2bli" w:colFirst="0" w:colLast="0"/>
      <w:bookmarkStart w:id="1" w:name="_Toc207895397"/>
      <w:bookmarkEnd w:id="0"/>
      <w:r>
        <w:t>A N T E C E D E N T E S</w:t>
      </w:r>
      <w:bookmarkEnd w:id="1"/>
    </w:p>
    <w:p w14:paraId="47F08544" w14:textId="77777777" w:rsidR="00BB122C" w:rsidRDefault="00BB122C">
      <w:pPr>
        <w:pBdr>
          <w:top w:val="nil"/>
          <w:left w:val="nil"/>
          <w:bottom w:val="nil"/>
          <w:right w:val="nil"/>
          <w:between w:val="nil"/>
        </w:pBdr>
        <w:spacing w:line="360" w:lineRule="auto"/>
        <w:rPr>
          <w:rFonts w:ascii="Palatino Linotype" w:eastAsia="Palatino Linotype" w:hAnsi="Palatino Linotype" w:cs="Palatino Linotype"/>
          <w:b/>
          <w:color w:val="000000"/>
          <w:sz w:val="22"/>
          <w:szCs w:val="22"/>
        </w:rPr>
      </w:pPr>
    </w:p>
    <w:p w14:paraId="713562BC" w14:textId="77777777" w:rsidR="00BB122C" w:rsidRDefault="00E74273">
      <w:pPr>
        <w:pStyle w:val="Ttulo2"/>
      </w:pPr>
      <w:bookmarkStart w:id="2" w:name="_heading=h.qgtxlfd1jp3u" w:colFirst="0" w:colLast="0"/>
      <w:bookmarkStart w:id="3" w:name="_Toc207895398"/>
      <w:bookmarkEnd w:id="2"/>
      <w:r>
        <w:t>I. Presentación de la solicitud de información</w:t>
      </w:r>
      <w:bookmarkEnd w:id="3"/>
    </w:p>
    <w:p w14:paraId="2819A8C1" w14:textId="77777777" w:rsidR="00BB122C" w:rsidRDefault="00BB122C">
      <w:pPr>
        <w:tabs>
          <w:tab w:val="left" w:pos="567"/>
        </w:tabs>
        <w:spacing w:line="360" w:lineRule="auto"/>
        <w:jc w:val="both"/>
        <w:rPr>
          <w:rFonts w:ascii="Palatino Linotype" w:eastAsia="Palatino Linotype" w:hAnsi="Palatino Linotype" w:cs="Palatino Linotype"/>
          <w:sz w:val="22"/>
          <w:szCs w:val="22"/>
        </w:rPr>
      </w:pPr>
    </w:p>
    <w:p w14:paraId="7B6BC1A9" w14:textId="77777777" w:rsidR="00BB122C" w:rsidRDefault="00E7427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trece de junio de dos mil veinticinco,</w:t>
      </w:r>
      <w:r>
        <w:rPr>
          <w:rFonts w:ascii="Palatino Linotype" w:eastAsia="Palatino Linotype" w:hAnsi="Palatino Linotype" w:cs="Palatino Linotype"/>
          <w:sz w:val="22"/>
          <w:szCs w:val="22"/>
        </w:rPr>
        <w:t xml:space="preserve"> el Particular presentó solicitud de acceso a la información pública, a través del Sistema de Acceso a la Información Mexiquense (SAIMEX), ante el Ayuntamiento de Chiconcuac, en los siguientes términos:</w:t>
      </w:r>
    </w:p>
    <w:p w14:paraId="6FF17085" w14:textId="77777777" w:rsidR="00BB122C" w:rsidRDefault="00BB122C">
      <w:pPr>
        <w:spacing w:line="360" w:lineRule="auto"/>
        <w:jc w:val="both"/>
        <w:rPr>
          <w:rFonts w:ascii="Palatino Linotype" w:eastAsia="Palatino Linotype" w:hAnsi="Palatino Linotype" w:cs="Palatino Linotype"/>
          <w:sz w:val="22"/>
          <w:szCs w:val="22"/>
        </w:rPr>
      </w:pPr>
    </w:p>
    <w:p w14:paraId="1C768F89" w14:textId="77777777" w:rsidR="00BB122C" w:rsidRDefault="00E74273">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“DESCRIPCIÓN CLARA Y PRECISA DE LA INFORMACIÓN SOLICITADA</w:t>
      </w:r>
    </w:p>
    <w:p w14:paraId="0B6D3FEF" w14:textId="77777777" w:rsidR="00BB122C" w:rsidRDefault="00E74273">
      <w:pPr>
        <w:tabs>
          <w:tab w:val="left" w:pos="4667"/>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deseo que me proporcionen copia de todas las facturas de los bienes que se han adquirido desde el mes de enero a la fecha de respuesta de mi solicitud, incluyendo los bienes adquiridos por el </w:t>
      </w:r>
      <w:proofErr w:type="spellStart"/>
      <w:r>
        <w:rPr>
          <w:rFonts w:ascii="Palatino Linotype" w:eastAsia="Palatino Linotype" w:hAnsi="Palatino Linotype" w:cs="Palatino Linotype"/>
          <w:i/>
          <w:color w:val="000000"/>
        </w:rPr>
        <w:t>imcufide</w:t>
      </w:r>
      <w:proofErr w:type="spellEnd"/>
      <w:r>
        <w:rPr>
          <w:rFonts w:ascii="Palatino Linotype" w:eastAsia="Palatino Linotype" w:hAnsi="Palatino Linotype" w:cs="Palatino Linotype"/>
          <w:i/>
          <w:color w:val="000000"/>
        </w:rPr>
        <w:t xml:space="preserve"> y </w:t>
      </w:r>
      <w:proofErr w:type="spellStart"/>
      <w:r>
        <w:rPr>
          <w:rFonts w:ascii="Palatino Linotype" w:eastAsia="Palatino Linotype" w:hAnsi="Palatino Linotype" w:cs="Palatino Linotype"/>
          <w:i/>
          <w:color w:val="000000"/>
        </w:rPr>
        <w:t>dif</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pr</w:t>
      </w:r>
      <w:proofErr w:type="spellEnd"/>
      <w:r>
        <w:rPr>
          <w:rFonts w:ascii="Palatino Linotype" w:eastAsia="Palatino Linotype" w:hAnsi="Palatino Linotype" w:cs="Palatino Linotype"/>
          <w:i/>
          <w:color w:val="000000"/>
        </w:rPr>
        <w:t xml:space="preserve"> que en su informe de 100 </w:t>
      </w:r>
      <w:proofErr w:type="spellStart"/>
      <w:r>
        <w:rPr>
          <w:rFonts w:ascii="Palatino Linotype" w:eastAsia="Palatino Linotype" w:hAnsi="Palatino Linotype" w:cs="Palatino Linotype"/>
          <w:i/>
          <w:color w:val="000000"/>
        </w:rPr>
        <w:t>dias</w:t>
      </w:r>
      <w:proofErr w:type="spellEnd"/>
      <w:r>
        <w:rPr>
          <w:rFonts w:ascii="Palatino Linotype" w:eastAsia="Palatino Linotype" w:hAnsi="Palatino Linotype" w:cs="Palatino Linotype"/>
          <w:i/>
          <w:color w:val="000000"/>
        </w:rPr>
        <w:t xml:space="preserve"> el presidente </w:t>
      </w:r>
      <w:proofErr w:type="spellStart"/>
      <w:r>
        <w:rPr>
          <w:rFonts w:ascii="Palatino Linotype" w:eastAsia="Palatino Linotype" w:hAnsi="Palatino Linotype" w:cs="Palatino Linotype"/>
          <w:i/>
          <w:color w:val="000000"/>
        </w:rPr>
        <w:t>rafael</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vazquez</w:t>
      </w:r>
      <w:proofErr w:type="spellEnd"/>
      <w:r>
        <w:rPr>
          <w:rFonts w:ascii="Palatino Linotype" w:eastAsia="Palatino Linotype" w:hAnsi="Palatino Linotype" w:cs="Palatino Linotype"/>
          <w:i/>
          <w:color w:val="000000"/>
        </w:rPr>
        <w:t xml:space="preserve"> de la rosa, informo que se </w:t>
      </w:r>
      <w:proofErr w:type="spellStart"/>
      <w:r>
        <w:rPr>
          <w:rFonts w:ascii="Palatino Linotype" w:eastAsia="Palatino Linotype" w:hAnsi="Palatino Linotype" w:cs="Palatino Linotype"/>
          <w:i/>
          <w:color w:val="000000"/>
        </w:rPr>
        <w:t>habian</w:t>
      </w:r>
      <w:proofErr w:type="spellEnd"/>
      <w:r>
        <w:rPr>
          <w:rFonts w:ascii="Palatino Linotype" w:eastAsia="Palatino Linotype" w:hAnsi="Palatino Linotype" w:cs="Palatino Linotype"/>
          <w:i/>
          <w:color w:val="000000"/>
        </w:rPr>
        <w:t xml:space="preserve"> comprado bienes para equipar distintos espacios de la </w:t>
      </w:r>
      <w:proofErr w:type="spellStart"/>
      <w:r>
        <w:rPr>
          <w:rFonts w:ascii="Palatino Linotype" w:eastAsia="Palatino Linotype" w:hAnsi="Palatino Linotype" w:cs="Palatino Linotype"/>
          <w:i/>
          <w:color w:val="000000"/>
        </w:rPr>
        <w:t>administracion</w:t>
      </w:r>
      <w:proofErr w:type="spellEnd"/>
      <w:r>
        <w:rPr>
          <w:rFonts w:ascii="Palatino Linotype" w:eastAsia="Palatino Linotype" w:hAnsi="Palatino Linotype" w:cs="Palatino Linotype"/>
          <w:i/>
          <w:color w:val="000000"/>
        </w:rPr>
        <w:t xml:space="preserve"> entonces necesito saber a </w:t>
      </w:r>
      <w:proofErr w:type="spellStart"/>
      <w:r>
        <w:rPr>
          <w:rFonts w:ascii="Palatino Linotype" w:eastAsia="Palatino Linotype" w:hAnsi="Palatino Linotype" w:cs="Palatino Linotype"/>
          <w:i/>
          <w:color w:val="000000"/>
        </w:rPr>
        <w:t>que</w:t>
      </w:r>
      <w:proofErr w:type="spellEnd"/>
      <w:r>
        <w:rPr>
          <w:rFonts w:ascii="Palatino Linotype" w:eastAsia="Palatino Linotype" w:hAnsi="Palatino Linotype" w:cs="Palatino Linotype"/>
          <w:i/>
          <w:color w:val="000000"/>
        </w:rPr>
        <w:t xml:space="preserve"> bienes se refiere por eso quiero las facturas de todos ellos,</w:t>
      </w:r>
      <w:r>
        <w:rPr>
          <w:rFonts w:ascii="Palatino Linotype" w:eastAsia="Palatino Linotype" w:hAnsi="Palatino Linotype" w:cs="Palatino Linotype"/>
          <w:i/>
        </w:rPr>
        <w:t>” (Sic.)</w:t>
      </w:r>
    </w:p>
    <w:p w14:paraId="793A5A09" w14:textId="77777777" w:rsidR="00BB122C" w:rsidRDefault="00BB122C">
      <w:pPr>
        <w:tabs>
          <w:tab w:val="left" w:pos="4667"/>
        </w:tabs>
        <w:spacing w:line="360" w:lineRule="auto"/>
        <w:ind w:left="567" w:right="567"/>
        <w:jc w:val="both"/>
        <w:rPr>
          <w:rFonts w:ascii="Palatino Linotype" w:eastAsia="Palatino Linotype" w:hAnsi="Palatino Linotype" w:cs="Palatino Linotype"/>
          <w:i/>
        </w:rPr>
      </w:pPr>
    </w:p>
    <w:p w14:paraId="4E9CFD89" w14:textId="77777777" w:rsidR="00BB122C" w:rsidRDefault="00E74273">
      <w:pPr>
        <w:tabs>
          <w:tab w:val="left" w:pos="4667"/>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“MODALIDAD DE ENTREGA</w:t>
      </w:r>
    </w:p>
    <w:p w14:paraId="77B74AC1" w14:textId="77777777" w:rsidR="00BB122C" w:rsidRDefault="00E74273">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A través del SAIMEX” </w:t>
      </w:r>
    </w:p>
    <w:p w14:paraId="4DBBD416" w14:textId="77777777" w:rsidR="00BB122C" w:rsidRDefault="00BB122C">
      <w:pPr>
        <w:spacing w:line="360" w:lineRule="auto"/>
        <w:ind w:right="567"/>
        <w:jc w:val="both"/>
        <w:rPr>
          <w:rFonts w:ascii="Palatino Linotype" w:eastAsia="Palatino Linotype" w:hAnsi="Palatino Linotype" w:cs="Palatino Linotype"/>
          <w:i/>
        </w:rPr>
      </w:pPr>
    </w:p>
    <w:p w14:paraId="39C42124" w14:textId="77777777" w:rsidR="00BB122C" w:rsidRDefault="00E74273">
      <w:pPr>
        <w:pStyle w:val="Ttulo2"/>
      </w:pPr>
      <w:bookmarkStart w:id="4" w:name="_heading=h.w150twbgteoc" w:colFirst="0" w:colLast="0"/>
      <w:bookmarkStart w:id="5" w:name="_Toc207895399"/>
      <w:bookmarkEnd w:id="4"/>
      <w:r>
        <w:t>II. Respuesta del Sujeto Obligado</w:t>
      </w:r>
      <w:bookmarkEnd w:id="5"/>
    </w:p>
    <w:p w14:paraId="3438310E"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6ABEAACB" w14:textId="77777777" w:rsidR="00BB122C" w:rsidRDefault="00E7427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136, párrafo primero de la Ley de Transparencia y Acceso a</w:t>
      </w:r>
    </w:p>
    <w:p w14:paraId="2FAB1D3E" w14:textId="77777777" w:rsidR="00BB122C" w:rsidRDefault="00E7427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sz w:val="22"/>
          <w:szCs w:val="22"/>
        </w:rPr>
        <w:t xml:space="preserve"> Ayuntamiento de Chiconcuac</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528D91CA"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1C1ECA0D" w14:textId="77777777" w:rsidR="00BB122C" w:rsidRDefault="00E74273">
      <w:pPr>
        <w:pStyle w:val="Ttulo2"/>
      </w:pPr>
      <w:bookmarkStart w:id="6" w:name="_heading=h.z1uoj6j317gq" w:colFirst="0" w:colLast="0"/>
      <w:bookmarkStart w:id="7" w:name="_Toc207895400"/>
      <w:bookmarkEnd w:id="6"/>
      <w:r>
        <w:t>III. Interposición del Recurso de Revisión</w:t>
      </w:r>
      <w:bookmarkEnd w:id="7"/>
    </w:p>
    <w:p w14:paraId="643A1C21" w14:textId="77777777" w:rsidR="00BB122C" w:rsidRDefault="00BB122C">
      <w:pPr>
        <w:spacing w:line="360" w:lineRule="auto"/>
        <w:jc w:val="both"/>
        <w:rPr>
          <w:rFonts w:ascii="Palatino Linotype" w:eastAsia="Palatino Linotype" w:hAnsi="Palatino Linotype" w:cs="Palatino Linotype"/>
          <w:b/>
          <w:color w:val="000000"/>
          <w:sz w:val="22"/>
          <w:szCs w:val="22"/>
        </w:rPr>
      </w:pPr>
    </w:p>
    <w:p w14:paraId="2455FBCD"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diez de julio de dos mil veinticinco, el Particular interpuso un Recurso de Revisión ante este Instituto, a través del Sistema de Acceso a la Información Mexiquense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14:paraId="11A9AAD6"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350B9288" w14:textId="77777777" w:rsidR="00BB122C" w:rsidRDefault="00E7427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“ACTO IMPUGNADO</w:t>
      </w:r>
    </w:p>
    <w:p w14:paraId="18014D7D" w14:textId="77777777" w:rsidR="00BB122C" w:rsidRDefault="00E7427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silencio de la autoridad” (Sic.)</w:t>
      </w:r>
    </w:p>
    <w:p w14:paraId="05068556" w14:textId="77777777" w:rsidR="00BB122C" w:rsidRDefault="00BB122C">
      <w:pPr>
        <w:spacing w:line="360" w:lineRule="auto"/>
        <w:ind w:left="567" w:right="567"/>
        <w:jc w:val="both"/>
        <w:rPr>
          <w:rFonts w:ascii="Palatino Linotype" w:eastAsia="Palatino Linotype" w:hAnsi="Palatino Linotype" w:cs="Palatino Linotype"/>
          <w:i/>
          <w:color w:val="000000"/>
        </w:rPr>
      </w:pPr>
    </w:p>
    <w:p w14:paraId="6635EE4F" w14:textId="77777777" w:rsidR="00BB122C" w:rsidRDefault="00E74273">
      <w:pPr>
        <w:spacing w:line="360" w:lineRule="auto"/>
        <w:ind w:left="567" w:right="567"/>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14:paraId="3E044423" w14:textId="77777777" w:rsidR="00BB122C" w:rsidRDefault="00E74273">
      <w:pPr>
        <w:spacing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no se me </w:t>
      </w:r>
      <w:proofErr w:type="spellStart"/>
      <w:r>
        <w:rPr>
          <w:rFonts w:ascii="Palatino Linotype" w:eastAsia="Palatino Linotype" w:hAnsi="Palatino Linotype" w:cs="Palatino Linotype"/>
          <w:i/>
          <w:color w:val="000000"/>
        </w:rPr>
        <w:t>emitio</w:t>
      </w:r>
      <w:proofErr w:type="spellEnd"/>
      <w:r>
        <w:rPr>
          <w:rFonts w:ascii="Palatino Linotype" w:eastAsia="Palatino Linotype" w:hAnsi="Palatino Linotype" w:cs="Palatino Linotype"/>
          <w:i/>
          <w:color w:val="000000"/>
        </w:rPr>
        <w:t xml:space="preserve"> respuesta” (Sic.)</w:t>
      </w:r>
    </w:p>
    <w:p w14:paraId="44B6BAB9"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3126140A"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1CDB8C64" w14:textId="77777777" w:rsidR="00BB122C" w:rsidRDefault="00E74273">
      <w:pPr>
        <w:pStyle w:val="Ttulo2"/>
      </w:pPr>
      <w:bookmarkStart w:id="8" w:name="_heading=h.ovrhb86t2hqq" w:colFirst="0" w:colLast="0"/>
      <w:bookmarkStart w:id="9" w:name="_Toc207895401"/>
      <w:bookmarkEnd w:id="8"/>
      <w:r>
        <w:lastRenderedPageBreak/>
        <w:t>IV. Trámite del Recurso de Revisión ante el Instituto</w:t>
      </w:r>
      <w:bookmarkEnd w:id="9"/>
    </w:p>
    <w:p w14:paraId="2DA59A1E" w14:textId="77777777" w:rsidR="00BB122C" w:rsidRDefault="00BB122C">
      <w:pPr>
        <w:spacing w:line="360" w:lineRule="auto"/>
        <w:jc w:val="both"/>
        <w:rPr>
          <w:rFonts w:ascii="Palatino Linotype" w:eastAsia="Palatino Linotype" w:hAnsi="Palatino Linotype" w:cs="Palatino Linotype"/>
          <w:b/>
          <w:color w:val="000000"/>
          <w:sz w:val="22"/>
          <w:szCs w:val="22"/>
        </w:rPr>
      </w:pPr>
    </w:p>
    <w:p w14:paraId="451636CE" w14:textId="77777777" w:rsidR="00BB122C" w:rsidRDefault="00E7427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diez de julio de dos mil veinticinco, el Sistema de Acceso a la Información Mexiquense (SAIMEX), asignó el número de expediente </w:t>
      </w:r>
      <w:r>
        <w:rPr>
          <w:rFonts w:ascii="Palatino Linotype" w:eastAsia="Palatino Linotype" w:hAnsi="Palatino Linotype" w:cs="Palatino Linotype"/>
          <w:b/>
          <w:color w:val="000000"/>
          <w:sz w:val="22"/>
          <w:szCs w:val="22"/>
        </w:rPr>
        <w:t>08391/INFOEM/IP/RR/2025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004168BD" w14:textId="77777777" w:rsidR="00BB122C" w:rsidRDefault="00BB122C">
      <w:pPr>
        <w:spacing w:line="360" w:lineRule="auto"/>
        <w:jc w:val="both"/>
        <w:rPr>
          <w:rFonts w:ascii="Palatino Linotype" w:eastAsia="Palatino Linotype" w:hAnsi="Palatino Linotype" w:cs="Palatino Linotype"/>
          <w:b/>
          <w:color w:val="000000"/>
          <w:sz w:val="22"/>
          <w:szCs w:val="22"/>
        </w:rPr>
      </w:pPr>
    </w:p>
    <w:p w14:paraId="685BBD5A" w14:textId="77777777" w:rsidR="00BB122C" w:rsidRDefault="00E7427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b) Admisión del Recurso de Revisión. </w:t>
      </w:r>
      <w:r>
        <w:rPr>
          <w:rFonts w:ascii="Palatino Linotype" w:eastAsia="Palatino Linotype" w:hAnsi="Palatino Linotype" w:cs="Palatino Linotype"/>
          <w:color w:val="000000"/>
          <w:sz w:val="22"/>
          <w:szCs w:val="22"/>
        </w:rPr>
        <w:t>El quince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treinta del  mismo mes y año, a través del Sistema de Acceso a la Información Mexiquense (SAIMEX), en el que se les otorgó un plazo de siete días hábiles posteriores a la misma, para que manifestaran lo que a su derecho conviniera y formularan alegatos.</w:t>
      </w:r>
    </w:p>
    <w:p w14:paraId="227C035C"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0A99A43C"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t>c) Informe Justificado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 xml:space="preserve">El treinta de julio de dos mil veinticinco, a través del </w:t>
      </w:r>
      <w:r>
        <w:rPr>
          <w:rFonts w:ascii="Palatino Linotype" w:eastAsia="Palatino Linotype" w:hAnsi="Palatino Linotype" w:cs="Palatino Linotype"/>
          <w:color w:val="000000"/>
          <w:sz w:val="22"/>
          <w:szCs w:val="22"/>
        </w:rPr>
        <w:t>Sistema de Acceso a la Información Mexiquense (SAIMEX</w:t>
      </w:r>
      <w:proofErr w:type="gramStart"/>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 xml:space="preserve"> el</w:t>
      </w:r>
      <w:proofErr w:type="gramEnd"/>
      <w:r>
        <w:rPr>
          <w:rFonts w:ascii="Palatino Linotype" w:eastAsia="Palatino Linotype" w:hAnsi="Palatino Linotype" w:cs="Palatino Linotype"/>
          <w:sz w:val="22"/>
          <w:szCs w:val="22"/>
        </w:rPr>
        <w:t xml:space="preserve"> Sujeto Obligado rindió su informe justificado dentro del cual refiere lo siguiente:</w:t>
      </w:r>
    </w:p>
    <w:p w14:paraId="433E5409" w14:textId="77777777" w:rsidR="00BB122C" w:rsidRDefault="00BB122C">
      <w:pPr>
        <w:spacing w:line="360" w:lineRule="auto"/>
        <w:jc w:val="both"/>
        <w:rPr>
          <w:rFonts w:ascii="Palatino Linotype" w:eastAsia="Palatino Linotype" w:hAnsi="Palatino Linotype" w:cs="Palatino Linotype"/>
          <w:sz w:val="22"/>
          <w:szCs w:val="22"/>
        </w:rPr>
      </w:pPr>
    </w:p>
    <w:p w14:paraId="492AA6A0" w14:textId="77777777" w:rsidR="00BB122C" w:rsidRDefault="00E7427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Oficio número DIR/126/2025, de fecha catorce de julio de dos mil veinticinco, suscrito por el </w:t>
      </w:r>
      <w:proofErr w:type="gramStart"/>
      <w:r>
        <w:rPr>
          <w:rFonts w:ascii="Palatino Linotype" w:eastAsia="Palatino Linotype" w:hAnsi="Palatino Linotype" w:cs="Palatino Linotype"/>
          <w:color w:val="000000"/>
          <w:sz w:val="22"/>
          <w:szCs w:val="22"/>
        </w:rPr>
        <w:t>Director General</w:t>
      </w:r>
      <w:proofErr w:type="gramEnd"/>
      <w:r>
        <w:rPr>
          <w:rFonts w:ascii="Palatino Linotype" w:eastAsia="Palatino Linotype" w:hAnsi="Palatino Linotype" w:cs="Palatino Linotype"/>
          <w:color w:val="000000"/>
          <w:sz w:val="22"/>
          <w:szCs w:val="22"/>
        </w:rPr>
        <w:t xml:space="preserve"> del Instituto Municipal de Cultura Física y Deporte, y dirigido al Titular de la Unidad de Transparencia refiere.</w:t>
      </w:r>
    </w:p>
    <w:p w14:paraId="04471B4D" w14:textId="77777777" w:rsidR="00BB122C" w:rsidRDefault="00BB122C">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36EEFDEA" w14:textId="77777777" w:rsidR="00BB122C" w:rsidRDefault="00E74273">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w:t>
      </w:r>
      <w:r>
        <w:rPr>
          <w:rFonts w:ascii="Palatino Linotype" w:eastAsia="Palatino Linotype" w:hAnsi="Palatino Linotype" w:cs="Palatino Linotype"/>
          <w:i/>
        </w:rPr>
        <w:t>Con respecto a su solicitud, se anexa la información solicitada”</w:t>
      </w:r>
    </w:p>
    <w:p w14:paraId="098FC28B" w14:textId="77777777" w:rsidR="00BB122C" w:rsidRDefault="00BB122C">
      <w:pPr>
        <w:spacing w:line="360" w:lineRule="auto"/>
        <w:jc w:val="both"/>
        <w:rPr>
          <w:rFonts w:ascii="Palatino Linotype" w:eastAsia="Palatino Linotype" w:hAnsi="Palatino Linotype" w:cs="Palatino Linotype"/>
          <w:i/>
        </w:rPr>
      </w:pPr>
    </w:p>
    <w:p w14:paraId="6B26FB60" w14:textId="77777777" w:rsidR="00BB122C" w:rsidRDefault="00E7427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Oficio número SMDIF/DIR/</w:t>
      </w:r>
      <w:proofErr w:type="gramStart"/>
      <w:r>
        <w:rPr>
          <w:rFonts w:ascii="Palatino Linotype" w:eastAsia="Palatino Linotype" w:hAnsi="Palatino Linotype" w:cs="Palatino Linotype"/>
          <w:color w:val="000000"/>
          <w:sz w:val="22"/>
          <w:szCs w:val="22"/>
        </w:rPr>
        <w:t>CHIC</w:t>
      </w:r>
      <w:proofErr w:type="gramEnd"/>
      <w:r>
        <w:rPr>
          <w:rFonts w:ascii="Palatino Linotype" w:eastAsia="Palatino Linotype" w:hAnsi="Palatino Linotype" w:cs="Palatino Linotype"/>
          <w:color w:val="000000"/>
          <w:sz w:val="22"/>
          <w:szCs w:val="22"/>
        </w:rPr>
        <w:t xml:space="preserve">/07/2025/92, de fecha dieciséis de julio de dos mil veinticinco, suscrito por la </w:t>
      </w:r>
      <w:proofErr w:type="gramStart"/>
      <w:r>
        <w:rPr>
          <w:rFonts w:ascii="Palatino Linotype" w:eastAsia="Palatino Linotype" w:hAnsi="Palatino Linotype" w:cs="Palatino Linotype"/>
          <w:color w:val="000000"/>
          <w:sz w:val="22"/>
          <w:szCs w:val="22"/>
        </w:rPr>
        <w:t>Directora</w:t>
      </w:r>
      <w:proofErr w:type="gramEnd"/>
      <w:r>
        <w:rPr>
          <w:rFonts w:ascii="Palatino Linotype" w:eastAsia="Palatino Linotype" w:hAnsi="Palatino Linotype" w:cs="Palatino Linotype"/>
          <w:color w:val="000000"/>
          <w:sz w:val="22"/>
          <w:szCs w:val="22"/>
        </w:rPr>
        <w:t xml:space="preserve"> del Sistema Municipal para el Desarrollo Integral de la Familia, y dirigido al Titular de la Unidad de Transparencia refiere:</w:t>
      </w:r>
    </w:p>
    <w:p w14:paraId="51868A82" w14:textId="77777777" w:rsidR="00BB122C" w:rsidRDefault="00BB122C">
      <w:pPr>
        <w:spacing w:line="360" w:lineRule="auto"/>
        <w:jc w:val="both"/>
        <w:rPr>
          <w:rFonts w:ascii="Palatino Linotype" w:eastAsia="Palatino Linotype" w:hAnsi="Palatino Linotype" w:cs="Palatino Linotype"/>
          <w:i/>
        </w:rPr>
      </w:pPr>
    </w:p>
    <w:p w14:paraId="317C8827" w14:textId="77777777" w:rsidR="00BB122C" w:rsidRDefault="00E74273">
      <w:pPr>
        <w:spacing w:line="360" w:lineRule="auto"/>
        <w:ind w:left="360"/>
        <w:jc w:val="both"/>
        <w:rPr>
          <w:rFonts w:ascii="Palatino Linotype" w:eastAsia="Palatino Linotype" w:hAnsi="Palatino Linotype" w:cs="Palatino Linotype"/>
          <w:i/>
        </w:rPr>
      </w:pPr>
      <w:r>
        <w:rPr>
          <w:rFonts w:ascii="Palatino Linotype" w:eastAsia="Palatino Linotype" w:hAnsi="Palatino Linotype" w:cs="Palatino Linotype"/>
          <w:i/>
        </w:rPr>
        <w:t xml:space="preserve">“En respuesta a lo anterior, se le informa a usted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a la fecha por parte del Sistema Municipal para el Desarrollo Integral de la Familia, no se ha adquirido algún bien en la temporalidad solicitada”</w:t>
      </w:r>
    </w:p>
    <w:p w14:paraId="117FFB5D" w14:textId="77777777" w:rsidR="00BB122C" w:rsidRDefault="00BB122C">
      <w:pPr>
        <w:spacing w:line="360" w:lineRule="auto"/>
        <w:jc w:val="both"/>
        <w:rPr>
          <w:rFonts w:ascii="Palatino Linotype" w:eastAsia="Palatino Linotype" w:hAnsi="Palatino Linotype" w:cs="Palatino Linotype"/>
          <w:sz w:val="22"/>
          <w:szCs w:val="22"/>
        </w:rPr>
      </w:pPr>
    </w:p>
    <w:p w14:paraId="75DAE54A" w14:textId="77777777" w:rsidR="00BB122C" w:rsidRDefault="00E7427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Sujeto Obligado adjunto la digitalización de una factura por concepto de mancuernas y disco olímpico correspondiente al </w:t>
      </w:r>
      <w:proofErr w:type="spellStart"/>
      <w:r>
        <w:rPr>
          <w:rFonts w:ascii="Palatino Linotype" w:eastAsia="Palatino Linotype" w:hAnsi="Palatino Linotype" w:cs="Palatino Linotype"/>
          <w:color w:val="000000"/>
          <w:sz w:val="22"/>
          <w:szCs w:val="22"/>
        </w:rPr>
        <w:t>Imcufide</w:t>
      </w:r>
      <w:proofErr w:type="spellEnd"/>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color w:val="000000"/>
          <w:sz w:val="22"/>
          <w:szCs w:val="22"/>
        </w:rPr>
        <w:t xml:space="preserve">cabe mencionar que se testaron datos como el RFC </w:t>
      </w:r>
      <w:proofErr w:type="gramStart"/>
      <w:r>
        <w:rPr>
          <w:rFonts w:ascii="Palatino Linotype" w:eastAsia="Palatino Linotype" w:hAnsi="Palatino Linotype" w:cs="Palatino Linotype"/>
          <w:b/>
          <w:color w:val="000000"/>
          <w:sz w:val="22"/>
          <w:szCs w:val="22"/>
        </w:rPr>
        <w:t>emisor,  el</w:t>
      </w:r>
      <w:proofErr w:type="gramEnd"/>
      <w:r>
        <w:rPr>
          <w:rFonts w:ascii="Palatino Linotype" w:eastAsia="Palatino Linotype" w:hAnsi="Palatino Linotype" w:cs="Palatino Linotype"/>
          <w:b/>
          <w:color w:val="000000"/>
          <w:sz w:val="22"/>
          <w:szCs w:val="22"/>
        </w:rPr>
        <w:t xml:space="preserve"> RFC del cliente y código QR</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color w:val="000000"/>
          <w:sz w:val="22"/>
          <w:szCs w:val="22"/>
        </w:rPr>
        <w:t>Aunado a que son susceptibles de copiar y pegar para poder vislumbrar su contenido</w:t>
      </w:r>
      <w:r>
        <w:rPr>
          <w:rFonts w:ascii="Palatino Linotype" w:eastAsia="Palatino Linotype" w:hAnsi="Palatino Linotype" w:cs="Palatino Linotype"/>
          <w:color w:val="000000"/>
          <w:sz w:val="22"/>
          <w:szCs w:val="22"/>
        </w:rPr>
        <w:t>.</w:t>
      </w:r>
    </w:p>
    <w:p w14:paraId="699B4529" w14:textId="77777777" w:rsidR="00BB122C" w:rsidRDefault="00BB122C">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04B92AB6" w14:textId="77777777" w:rsidR="00BB122C" w:rsidRDefault="00E7427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d) Vista de Informe Justificado. </w:t>
      </w:r>
      <w:r>
        <w:rPr>
          <w:rFonts w:ascii="Palatino Linotype" w:eastAsia="Palatino Linotype" w:hAnsi="Palatino Linotype" w:cs="Palatino Linotype"/>
          <w:color w:val="000000"/>
          <w:sz w:val="22"/>
          <w:szCs w:val="22"/>
        </w:rPr>
        <w:t>El veintisiete de agosto de dos mil veinticinco, se dictó acuerdo por medio del cual se puso a la vista del Recurrente el Informe Justificado entregado por el Sujeto Obligado, el cual fue notificado a las partes, el mismo día, a través del Sistema de Acceso a la Información Mexiquense (SAIMEX).</w:t>
      </w:r>
    </w:p>
    <w:p w14:paraId="4EA84269" w14:textId="77777777" w:rsidR="00BB122C" w:rsidRDefault="00BB122C">
      <w:pPr>
        <w:spacing w:line="360" w:lineRule="auto"/>
        <w:jc w:val="both"/>
        <w:rPr>
          <w:rFonts w:ascii="Palatino Linotype" w:eastAsia="Palatino Linotype" w:hAnsi="Palatino Linotype" w:cs="Palatino Linotype"/>
          <w:b/>
          <w:sz w:val="18"/>
          <w:szCs w:val="18"/>
        </w:rPr>
      </w:pPr>
    </w:p>
    <w:p w14:paraId="28089C20" w14:textId="77777777" w:rsidR="00BB122C" w:rsidRDefault="00E7427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e) Cierre de instrucción. </w:t>
      </w:r>
      <w:r>
        <w:rPr>
          <w:rFonts w:ascii="Palatino Linotype" w:eastAsia="Palatino Linotype" w:hAnsi="Palatino Linotype" w:cs="Palatino Linotype"/>
          <w:sz w:val="22"/>
          <w:szCs w:val="22"/>
        </w:rPr>
        <w:t xml:space="preserve">El dos de septiembre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6D5A3344" w14:textId="77777777" w:rsidR="00BB122C" w:rsidRDefault="00BB122C">
      <w:pPr>
        <w:spacing w:line="360" w:lineRule="auto"/>
        <w:jc w:val="both"/>
        <w:rPr>
          <w:rFonts w:ascii="Palatino Linotype" w:eastAsia="Palatino Linotype" w:hAnsi="Palatino Linotype" w:cs="Palatino Linotype"/>
          <w:b/>
          <w:sz w:val="18"/>
          <w:szCs w:val="18"/>
        </w:rPr>
      </w:pPr>
    </w:p>
    <w:p w14:paraId="386DA805" w14:textId="77777777" w:rsidR="00BB122C" w:rsidRDefault="00E74273">
      <w:pPr>
        <w:spacing w:line="360" w:lineRule="auto"/>
        <w:jc w:val="both"/>
        <w:rPr>
          <w:rFonts w:ascii="Palatino Linotype" w:eastAsia="Palatino Linotype" w:hAnsi="Palatino Linotype" w:cs="Palatino Linotype"/>
          <w:color w:val="000000"/>
          <w:sz w:val="22"/>
          <w:szCs w:val="22"/>
        </w:rPr>
      </w:pPr>
      <w:proofErr w:type="gramStart"/>
      <w:r>
        <w:rPr>
          <w:rFonts w:ascii="Palatino Linotype" w:eastAsia="Palatino Linotype" w:hAnsi="Palatino Linotype" w:cs="Palatino Linotype"/>
          <w:color w:val="000000"/>
          <w:sz w:val="22"/>
          <w:szCs w:val="22"/>
        </w:rPr>
        <w:lastRenderedPageBreak/>
        <w:t>En razón de</w:t>
      </w:r>
      <w:proofErr w:type="gramEnd"/>
      <w:r>
        <w:rPr>
          <w:rFonts w:ascii="Palatino Linotype" w:eastAsia="Palatino Linotype" w:hAnsi="Palatino Linotype" w:cs="Palatino Linotype"/>
          <w:color w:val="000000"/>
          <w:sz w:val="22"/>
          <w:szCs w:val="22"/>
        </w:rPr>
        <w:t xml:space="preserve"> que fue debidamente sustanciado el expediente electrónico y no existe diligencia pendiente de desahogo, se emite la Resolución que conforme a Derecho proceda, de acuerdo con los siguientes: </w:t>
      </w:r>
    </w:p>
    <w:p w14:paraId="61D3AC72"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108B6915"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4F4B1209" w14:textId="77777777" w:rsidR="00BB122C" w:rsidRDefault="00E74273">
      <w:pPr>
        <w:pStyle w:val="Ttulo1"/>
      </w:pPr>
      <w:bookmarkStart w:id="10" w:name="_heading=h.azt82bjfu70l" w:colFirst="0" w:colLast="0"/>
      <w:bookmarkStart w:id="11" w:name="_Toc207895402"/>
      <w:bookmarkEnd w:id="10"/>
      <w:r>
        <w:t>C O N S I D E R A N D O S</w:t>
      </w:r>
      <w:bookmarkEnd w:id="11"/>
    </w:p>
    <w:p w14:paraId="0DFFC115" w14:textId="77777777" w:rsidR="00BB122C" w:rsidRDefault="00BB122C">
      <w:pPr>
        <w:spacing w:line="360" w:lineRule="auto"/>
        <w:jc w:val="both"/>
        <w:rPr>
          <w:rFonts w:ascii="Palatino Linotype" w:eastAsia="Palatino Linotype" w:hAnsi="Palatino Linotype" w:cs="Palatino Linotype"/>
          <w:b/>
          <w:sz w:val="22"/>
          <w:szCs w:val="22"/>
        </w:rPr>
      </w:pPr>
    </w:p>
    <w:p w14:paraId="279F05FE" w14:textId="77777777" w:rsidR="00BB122C" w:rsidRDefault="00E74273">
      <w:pPr>
        <w:pStyle w:val="Ttulo2"/>
      </w:pPr>
      <w:bookmarkStart w:id="12" w:name="_heading=h.vnh82quwz2el" w:colFirst="0" w:colLast="0"/>
      <w:bookmarkStart w:id="13" w:name="_Toc207895403"/>
      <w:bookmarkEnd w:id="12"/>
      <w:r>
        <w:t>PRIMERO. Competencia</w:t>
      </w:r>
      <w:bookmarkEnd w:id="13"/>
    </w:p>
    <w:p w14:paraId="1AB5A011" w14:textId="77777777" w:rsidR="00BB122C" w:rsidRDefault="00BB122C">
      <w:pPr>
        <w:spacing w:line="360" w:lineRule="auto"/>
        <w:jc w:val="both"/>
        <w:rPr>
          <w:rFonts w:ascii="Palatino Linotype" w:eastAsia="Palatino Linotype" w:hAnsi="Palatino Linotype" w:cs="Palatino Linotype"/>
          <w:b/>
          <w:sz w:val="22"/>
          <w:szCs w:val="22"/>
        </w:rPr>
      </w:pPr>
    </w:p>
    <w:p w14:paraId="44CA67E5" w14:textId="77777777" w:rsidR="00BB122C" w:rsidRDefault="00E74273">
      <w:pPr>
        <w:spacing w:line="360" w:lineRule="auto"/>
        <w:jc w:val="both"/>
        <w:rPr>
          <w:rFonts w:ascii="Palatino Linotype" w:eastAsia="Palatino Linotype" w:hAnsi="Palatino Linotype" w:cs="Palatino Linotype"/>
          <w:sz w:val="22"/>
          <w:szCs w:val="22"/>
        </w:rPr>
      </w:pPr>
      <w:bookmarkStart w:id="14" w:name="_heading=h.10w22pdt3v7" w:colFirst="0" w:colLast="0"/>
      <w:bookmarkEnd w:id="14"/>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4008D1E"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443271F8" w14:textId="77777777" w:rsidR="00BB122C" w:rsidRDefault="00E74273">
      <w:pPr>
        <w:pStyle w:val="Ttulo2"/>
      </w:pPr>
      <w:bookmarkStart w:id="15" w:name="_heading=h.mg6wlz2qs35h" w:colFirst="0" w:colLast="0"/>
      <w:bookmarkStart w:id="16" w:name="_Toc207895404"/>
      <w:bookmarkEnd w:id="15"/>
      <w:r>
        <w:t>SEGUNDO. Causales de improcedencia y Sobreseimiento</w:t>
      </w:r>
      <w:bookmarkEnd w:id="16"/>
    </w:p>
    <w:p w14:paraId="5E4B082A" w14:textId="77777777" w:rsidR="00BB122C" w:rsidRDefault="00BB122C">
      <w:pPr>
        <w:spacing w:line="360" w:lineRule="auto"/>
        <w:jc w:val="both"/>
        <w:rPr>
          <w:rFonts w:ascii="Palatino Linotype" w:eastAsia="Palatino Linotype" w:hAnsi="Palatino Linotype" w:cs="Palatino Linotype"/>
          <w:sz w:val="22"/>
          <w:szCs w:val="22"/>
        </w:rPr>
      </w:pPr>
    </w:p>
    <w:p w14:paraId="7F8521A0"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3167E652" w14:textId="77777777" w:rsidR="00BB122C" w:rsidRDefault="00BB122C">
      <w:pPr>
        <w:spacing w:line="360" w:lineRule="auto"/>
        <w:jc w:val="both"/>
        <w:rPr>
          <w:rFonts w:ascii="Palatino Linotype" w:eastAsia="Palatino Linotype" w:hAnsi="Palatino Linotype" w:cs="Palatino Linotype"/>
          <w:sz w:val="22"/>
          <w:szCs w:val="22"/>
        </w:rPr>
      </w:pPr>
    </w:p>
    <w:p w14:paraId="79FBA08B" w14:textId="77777777" w:rsidR="00BB122C" w:rsidRDefault="00E7427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Causales de improcedencia</w:t>
      </w:r>
    </w:p>
    <w:p w14:paraId="454ADCA5" w14:textId="77777777" w:rsidR="00BB122C" w:rsidRDefault="00BB122C">
      <w:pPr>
        <w:spacing w:line="360" w:lineRule="auto"/>
        <w:jc w:val="both"/>
        <w:rPr>
          <w:rFonts w:ascii="Palatino Linotype" w:eastAsia="Palatino Linotype" w:hAnsi="Palatino Linotype" w:cs="Palatino Linotype"/>
          <w:sz w:val="22"/>
          <w:szCs w:val="22"/>
        </w:rPr>
      </w:pPr>
    </w:p>
    <w:p w14:paraId="63FF925C"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E9ECD41" w14:textId="77777777" w:rsidR="00BB122C" w:rsidRDefault="00BB122C">
      <w:pPr>
        <w:spacing w:line="360" w:lineRule="auto"/>
        <w:jc w:val="both"/>
        <w:rPr>
          <w:rFonts w:ascii="Palatino Linotype" w:eastAsia="Palatino Linotype" w:hAnsi="Palatino Linotype" w:cs="Palatino Linotype"/>
          <w:sz w:val="22"/>
          <w:szCs w:val="22"/>
        </w:rPr>
      </w:pPr>
    </w:p>
    <w:p w14:paraId="0D351DCB"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49C4ACCB" w14:textId="77777777" w:rsidR="00BB122C" w:rsidRDefault="00BB122C">
      <w:pPr>
        <w:spacing w:line="360" w:lineRule="auto"/>
        <w:jc w:val="both"/>
        <w:rPr>
          <w:rFonts w:ascii="Palatino Linotype" w:eastAsia="Palatino Linotype" w:hAnsi="Palatino Linotype" w:cs="Palatino Linotype"/>
          <w:sz w:val="22"/>
          <w:szCs w:val="22"/>
        </w:rPr>
      </w:pPr>
    </w:p>
    <w:p w14:paraId="1925BC7E"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57BCF1F5" w14:textId="77777777" w:rsidR="00BB122C" w:rsidRDefault="00BB122C">
      <w:pPr>
        <w:spacing w:line="360" w:lineRule="auto"/>
        <w:jc w:val="both"/>
        <w:rPr>
          <w:rFonts w:ascii="Palatino Linotype" w:eastAsia="Palatino Linotype" w:hAnsi="Palatino Linotype" w:cs="Palatino Linotype"/>
          <w:sz w:val="22"/>
          <w:szCs w:val="22"/>
        </w:rPr>
      </w:pPr>
    </w:p>
    <w:p w14:paraId="069B2916"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Conforme a lo anterior, se actualiza la causal de procedencia señalada en el artículo 179, fracción VII, de la Ley de la materia, toda vez que el Solicitante se inconformó con la falta de respuesta a su solicitud de acceso a información pública.</w:t>
      </w:r>
    </w:p>
    <w:p w14:paraId="0983E5BF" w14:textId="77777777" w:rsidR="00BB122C" w:rsidRDefault="00BB122C">
      <w:pPr>
        <w:spacing w:line="360" w:lineRule="auto"/>
        <w:jc w:val="both"/>
        <w:rPr>
          <w:rFonts w:ascii="Palatino Linotype" w:eastAsia="Palatino Linotype" w:hAnsi="Palatino Linotype" w:cs="Palatino Linotype"/>
          <w:sz w:val="22"/>
          <w:szCs w:val="22"/>
        </w:rPr>
      </w:pPr>
    </w:p>
    <w:p w14:paraId="24117F12" w14:textId="77777777" w:rsidR="00BB122C" w:rsidRDefault="00E74273">
      <w:pPr>
        <w:spacing w:line="360" w:lineRule="auto"/>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b/>
          <w:color w:val="0D0D0D"/>
          <w:sz w:val="22"/>
          <w:szCs w:val="22"/>
        </w:rPr>
        <w:t>Causales de sobreseimiento</w:t>
      </w:r>
    </w:p>
    <w:p w14:paraId="4E448F3C" w14:textId="77777777" w:rsidR="00BB122C" w:rsidRDefault="00BB122C">
      <w:pPr>
        <w:spacing w:line="360" w:lineRule="auto"/>
        <w:jc w:val="both"/>
        <w:rPr>
          <w:rFonts w:ascii="Palatino Linotype" w:eastAsia="Palatino Linotype" w:hAnsi="Palatino Linotype" w:cs="Palatino Linotype"/>
          <w:color w:val="0D0D0D"/>
          <w:sz w:val="22"/>
          <w:szCs w:val="22"/>
        </w:rPr>
      </w:pPr>
    </w:p>
    <w:p w14:paraId="3737C564"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719C69F0" w14:textId="77777777" w:rsidR="00BB122C" w:rsidRDefault="00BB122C">
      <w:pPr>
        <w:spacing w:line="360" w:lineRule="auto"/>
        <w:jc w:val="both"/>
        <w:rPr>
          <w:rFonts w:ascii="Palatino Linotype" w:eastAsia="Palatino Linotype" w:hAnsi="Palatino Linotype" w:cs="Palatino Linotype"/>
          <w:color w:val="0D0D0D"/>
          <w:sz w:val="22"/>
          <w:szCs w:val="22"/>
        </w:rPr>
      </w:pPr>
    </w:p>
    <w:p w14:paraId="18990983"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420E9AAA" w14:textId="77777777" w:rsidR="00BB122C" w:rsidRDefault="00BB122C">
      <w:pPr>
        <w:spacing w:line="360" w:lineRule="auto"/>
        <w:jc w:val="both"/>
        <w:rPr>
          <w:rFonts w:ascii="Palatino Linotype" w:eastAsia="Palatino Linotype" w:hAnsi="Palatino Linotype" w:cs="Palatino Linotype"/>
          <w:sz w:val="22"/>
          <w:szCs w:val="22"/>
        </w:rPr>
      </w:pPr>
    </w:p>
    <w:p w14:paraId="45504ED0"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14:paraId="34EC6059" w14:textId="77777777" w:rsidR="00BB122C" w:rsidRDefault="00BB122C">
      <w:pPr>
        <w:spacing w:line="360" w:lineRule="auto"/>
        <w:jc w:val="both"/>
        <w:rPr>
          <w:rFonts w:ascii="Palatino Linotype" w:eastAsia="Palatino Linotype" w:hAnsi="Palatino Linotype" w:cs="Palatino Linotype"/>
          <w:color w:val="0D0D0D"/>
          <w:sz w:val="22"/>
          <w:szCs w:val="22"/>
        </w:rPr>
      </w:pPr>
    </w:p>
    <w:p w14:paraId="6B39078D" w14:textId="77777777" w:rsidR="00BB122C" w:rsidRDefault="00E74273">
      <w:pPr>
        <w:pStyle w:val="Ttulo2"/>
      </w:pPr>
      <w:bookmarkStart w:id="17" w:name="_heading=h.wvn9zpn3frmj" w:colFirst="0" w:colLast="0"/>
      <w:bookmarkStart w:id="18" w:name="_Toc207895405"/>
      <w:bookmarkEnd w:id="17"/>
      <w:r>
        <w:t>TERCERO. Determinación de la Controversia</w:t>
      </w:r>
      <w:bookmarkEnd w:id="18"/>
    </w:p>
    <w:p w14:paraId="05E3A888"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09C52A13" w14:textId="77777777" w:rsidR="00BB122C" w:rsidRDefault="00E7427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Con el objeto de ilustrar la controversia planteada, resulta conveniente precisar, que una vez realizado el estudio de las constancias que integran el expediente en que se actúa, se desprende que el Particular requirió, las facturas de los bienes que se han adquirido del Ayuntamiento, IMCUFIDE Y DIF de </w:t>
      </w:r>
      <w:proofErr w:type="spellStart"/>
      <w:r>
        <w:rPr>
          <w:rFonts w:ascii="Palatino Linotype" w:eastAsia="Palatino Linotype" w:hAnsi="Palatino Linotype" w:cs="Palatino Linotype"/>
          <w:color w:val="000000"/>
          <w:sz w:val="22"/>
          <w:szCs w:val="22"/>
        </w:rPr>
        <w:t>Chinconcuac</w:t>
      </w:r>
      <w:proofErr w:type="spellEnd"/>
      <w:r>
        <w:rPr>
          <w:rFonts w:ascii="Palatino Linotype" w:eastAsia="Palatino Linotype" w:hAnsi="Palatino Linotype" w:cs="Palatino Linotype"/>
          <w:color w:val="000000"/>
          <w:sz w:val="22"/>
          <w:szCs w:val="22"/>
        </w:rPr>
        <w:t xml:space="preserve">, del primero de enero al trece de junio de dos mil </w:t>
      </w:r>
      <w:r>
        <w:rPr>
          <w:rFonts w:ascii="Palatino Linotype" w:eastAsia="Palatino Linotype" w:hAnsi="Palatino Linotype" w:cs="Palatino Linotype"/>
          <w:color w:val="000000"/>
          <w:sz w:val="22"/>
          <w:szCs w:val="22"/>
        </w:rPr>
        <w:lastRenderedPageBreak/>
        <w:t>veinticinco, lo anterior en el contexto del informe del Presidente, ya que mencionó se habían adquirido bienes para equipar los distintos espacios de la administración.</w:t>
      </w:r>
    </w:p>
    <w:p w14:paraId="6BEBC502" w14:textId="77777777" w:rsidR="00BB122C" w:rsidRDefault="00BB122C">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sz w:val="22"/>
          <w:szCs w:val="22"/>
        </w:rPr>
      </w:pPr>
    </w:p>
    <w:p w14:paraId="4EF1E113" w14:textId="77777777" w:rsidR="00BB122C" w:rsidRDefault="00E74273">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 xml:space="preserve">Así las cosas, una vez admitido y notificado el Recurso de Revisión a las partes, el Sujeto Obligado rindió informe justificado y a través de la </w:t>
      </w:r>
      <w:proofErr w:type="gramStart"/>
      <w:r>
        <w:rPr>
          <w:rFonts w:ascii="Palatino Linotype" w:eastAsia="Palatino Linotype" w:hAnsi="Palatino Linotype" w:cs="Palatino Linotype"/>
          <w:color w:val="000000"/>
          <w:sz w:val="22"/>
          <w:szCs w:val="22"/>
        </w:rPr>
        <w:t>Directora</w:t>
      </w:r>
      <w:proofErr w:type="gramEnd"/>
      <w:r>
        <w:rPr>
          <w:rFonts w:ascii="Palatino Linotype" w:eastAsia="Palatino Linotype" w:hAnsi="Palatino Linotype" w:cs="Palatino Linotype"/>
          <w:color w:val="000000"/>
          <w:sz w:val="22"/>
          <w:szCs w:val="22"/>
        </w:rPr>
        <w:t xml:space="preserve"> del DIF, mencionó que no se habían adquirido bienes en dicha temporalidad, por lo que concierne al IMCUFIDE, remitió lo que obraba en sus archivos y adjuntó una factura correspondiente a materiales de uso deportivo, donde </w:t>
      </w:r>
      <w:r>
        <w:rPr>
          <w:rFonts w:ascii="Palatino Linotype" w:eastAsia="Palatino Linotype" w:hAnsi="Palatino Linotype" w:cs="Palatino Linotype"/>
          <w:b/>
          <w:color w:val="000000"/>
          <w:sz w:val="22"/>
          <w:szCs w:val="22"/>
        </w:rPr>
        <w:t>cabe mencionar que se testaron datos los cuales se pueden vislumbrar por medio del copiado.</w:t>
      </w:r>
    </w:p>
    <w:p w14:paraId="30547FC7" w14:textId="77777777" w:rsidR="00BB122C" w:rsidRDefault="00BB122C">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34B6C205" w14:textId="77777777" w:rsidR="00BB122C" w:rsidRDefault="00E7427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623E13A7" w14:textId="77777777" w:rsidR="00BB122C" w:rsidRDefault="00BB122C">
      <w:pPr>
        <w:tabs>
          <w:tab w:val="left" w:pos="4962"/>
        </w:tabs>
        <w:spacing w:line="360" w:lineRule="auto"/>
        <w:jc w:val="both"/>
        <w:rPr>
          <w:rFonts w:ascii="Palatino Linotype" w:eastAsia="Palatino Linotype" w:hAnsi="Palatino Linotype" w:cs="Palatino Linotype"/>
          <w:sz w:val="22"/>
          <w:szCs w:val="22"/>
        </w:rPr>
      </w:pPr>
    </w:p>
    <w:p w14:paraId="0284E5B5" w14:textId="77777777" w:rsidR="00BB122C" w:rsidRDefault="00E74273">
      <w:pPr>
        <w:pStyle w:val="Ttulo2"/>
        <w:jc w:val="both"/>
      </w:pPr>
      <w:bookmarkStart w:id="19" w:name="_heading=h.pg2qpu3h7eis" w:colFirst="0" w:colLast="0"/>
      <w:bookmarkStart w:id="20" w:name="_Toc207895406"/>
      <w:bookmarkEnd w:id="19"/>
      <w:r>
        <w:t>CUARTO. Marco normativo aplicable en materia de transparencia y acceso a la información pública</w:t>
      </w:r>
      <w:bookmarkEnd w:id="20"/>
    </w:p>
    <w:p w14:paraId="3F6D03C8" w14:textId="77777777" w:rsidR="00BB122C" w:rsidRDefault="00BB122C">
      <w:pPr>
        <w:spacing w:line="360" w:lineRule="auto"/>
        <w:jc w:val="both"/>
        <w:rPr>
          <w:rFonts w:ascii="Palatino Linotype" w:eastAsia="Palatino Linotype" w:hAnsi="Palatino Linotype" w:cs="Palatino Linotype"/>
          <w:sz w:val="22"/>
          <w:szCs w:val="22"/>
        </w:rPr>
      </w:pPr>
    </w:p>
    <w:p w14:paraId="5436DDE2"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6°, Apartado A), fracción I de la Constitución Política de los Estados Unidos Mexicanos, establece que toda la información en posesión de cualquier </w:t>
      </w:r>
      <w:proofErr w:type="gramStart"/>
      <w:r>
        <w:rPr>
          <w:rFonts w:ascii="Palatino Linotype" w:eastAsia="Palatino Linotype" w:hAnsi="Palatino Linotype" w:cs="Palatino Linotype"/>
          <w:sz w:val="22"/>
          <w:szCs w:val="22"/>
        </w:rPr>
        <w:t>autoridad,</w:t>
      </w:r>
      <w:proofErr w:type="gramEnd"/>
      <w:r>
        <w:rPr>
          <w:rFonts w:ascii="Palatino Linotype" w:eastAsia="Palatino Linotype" w:hAnsi="Palatino Linotype" w:cs="Palatino Linotype"/>
          <w:sz w:val="22"/>
          <w:szCs w:val="22"/>
        </w:rPr>
        <w:t xml:space="preserve"> es pública y sólo podrá ser reservada temporalmente por razones de interés público.</w:t>
      </w:r>
    </w:p>
    <w:p w14:paraId="57EB09DB" w14:textId="77777777" w:rsidR="00BB122C" w:rsidRDefault="00BB122C">
      <w:pPr>
        <w:spacing w:line="360" w:lineRule="auto"/>
        <w:jc w:val="both"/>
        <w:rPr>
          <w:rFonts w:ascii="Palatino Linotype" w:eastAsia="Palatino Linotype" w:hAnsi="Palatino Linotype" w:cs="Palatino Linotype"/>
          <w:sz w:val="22"/>
          <w:szCs w:val="22"/>
        </w:rPr>
      </w:pPr>
    </w:p>
    <w:p w14:paraId="6EE5FFD5"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8947017" w14:textId="77777777" w:rsidR="00BB122C" w:rsidRDefault="00BB122C">
      <w:pPr>
        <w:spacing w:line="360" w:lineRule="auto"/>
        <w:jc w:val="both"/>
        <w:rPr>
          <w:rFonts w:ascii="Palatino Linotype" w:eastAsia="Palatino Linotype" w:hAnsi="Palatino Linotype" w:cs="Palatino Linotype"/>
          <w:sz w:val="22"/>
          <w:szCs w:val="22"/>
        </w:rPr>
      </w:pPr>
    </w:p>
    <w:p w14:paraId="419CD070"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37F5275D" w14:textId="77777777" w:rsidR="00BB122C" w:rsidRDefault="00BB122C">
      <w:pPr>
        <w:spacing w:line="360" w:lineRule="auto"/>
        <w:jc w:val="both"/>
        <w:rPr>
          <w:rFonts w:ascii="Palatino Linotype" w:eastAsia="Palatino Linotype" w:hAnsi="Palatino Linotype" w:cs="Palatino Linotype"/>
          <w:sz w:val="22"/>
          <w:szCs w:val="22"/>
        </w:rPr>
      </w:pPr>
    </w:p>
    <w:p w14:paraId="52F3E9FC"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72644229" w14:textId="77777777" w:rsidR="00BB122C" w:rsidRDefault="00BB122C">
      <w:pPr>
        <w:spacing w:line="360" w:lineRule="auto"/>
        <w:jc w:val="both"/>
        <w:rPr>
          <w:rFonts w:ascii="Palatino Linotype" w:eastAsia="Palatino Linotype" w:hAnsi="Palatino Linotype" w:cs="Palatino Linotype"/>
          <w:sz w:val="22"/>
          <w:szCs w:val="22"/>
        </w:rPr>
      </w:pPr>
    </w:p>
    <w:p w14:paraId="0B4B0207"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7998602" w14:textId="77777777" w:rsidR="00BB122C" w:rsidRDefault="00BB122C">
      <w:pPr>
        <w:spacing w:line="360" w:lineRule="auto"/>
        <w:jc w:val="both"/>
        <w:rPr>
          <w:rFonts w:ascii="Palatino Linotype" w:eastAsia="Palatino Linotype" w:hAnsi="Palatino Linotype" w:cs="Palatino Linotype"/>
          <w:sz w:val="22"/>
          <w:szCs w:val="22"/>
        </w:rPr>
      </w:pPr>
    </w:p>
    <w:p w14:paraId="37B6CECC"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B283A4D" w14:textId="77777777" w:rsidR="00BB122C" w:rsidRDefault="00BB122C">
      <w:pPr>
        <w:spacing w:line="360" w:lineRule="auto"/>
        <w:jc w:val="both"/>
        <w:rPr>
          <w:rFonts w:ascii="Palatino Linotype" w:eastAsia="Palatino Linotype" w:hAnsi="Palatino Linotype" w:cs="Palatino Linotype"/>
          <w:sz w:val="22"/>
          <w:szCs w:val="22"/>
        </w:rPr>
      </w:pPr>
    </w:p>
    <w:p w14:paraId="5151A624" w14:textId="77777777" w:rsidR="00BB122C" w:rsidRDefault="00E74273">
      <w:pPr>
        <w:pStyle w:val="Ttulo2"/>
      </w:pPr>
      <w:bookmarkStart w:id="21" w:name="_heading=h.aj9sxgs5981w" w:colFirst="0" w:colLast="0"/>
      <w:bookmarkStart w:id="22" w:name="_Toc207895407"/>
      <w:bookmarkEnd w:id="21"/>
      <w:r>
        <w:t>QUINTO. Estudio de Fondo</w:t>
      </w:r>
      <w:bookmarkEnd w:id="22"/>
    </w:p>
    <w:p w14:paraId="445F8AD2" w14:textId="77777777" w:rsidR="00BB122C" w:rsidRDefault="00BB122C">
      <w:pPr>
        <w:spacing w:line="360" w:lineRule="auto"/>
        <w:jc w:val="both"/>
        <w:rPr>
          <w:rFonts w:ascii="Palatino Linotype" w:eastAsia="Palatino Linotype" w:hAnsi="Palatino Linotype" w:cs="Palatino Linotype"/>
          <w:sz w:val="22"/>
          <w:szCs w:val="22"/>
        </w:rPr>
      </w:pPr>
    </w:p>
    <w:p w14:paraId="205D68AB"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Expuestas las posturas de las partes, se procede al análisis del agravio hecho valer por la persona Recurrente, concerniente a la falta de respuesta del Ayuntamiento de Chiconcuac, a la solicitud de información.</w:t>
      </w:r>
    </w:p>
    <w:p w14:paraId="3A851B73" w14:textId="77777777" w:rsidR="00BB122C" w:rsidRDefault="00BB122C">
      <w:pPr>
        <w:spacing w:line="360" w:lineRule="auto"/>
        <w:jc w:val="both"/>
        <w:rPr>
          <w:rFonts w:ascii="Palatino Linotype" w:eastAsia="Palatino Linotype" w:hAnsi="Palatino Linotype" w:cs="Palatino Linotype"/>
          <w:sz w:val="22"/>
          <w:szCs w:val="22"/>
        </w:rPr>
      </w:pPr>
    </w:p>
    <w:p w14:paraId="1F7ACE84"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45515939" w14:textId="77777777" w:rsidR="00BB122C" w:rsidRDefault="00BB122C">
      <w:pPr>
        <w:spacing w:line="360" w:lineRule="auto"/>
        <w:jc w:val="both"/>
        <w:rPr>
          <w:rFonts w:ascii="Palatino Linotype" w:eastAsia="Palatino Linotype" w:hAnsi="Palatino Linotype" w:cs="Palatino Linotype"/>
          <w:sz w:val="22"/>
          <w:szCs w:val="22"/>
        </w:rPr>
      </w:pPr>
    </w:p>
    <w:p w14:paraId="5CD8AD2E" w14:textId="77777777" w:rsidR="00BB122C" w:rsidRDefault="00E74273">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7F78B6DE" w14:textId="77777777" w:rsidR="00BB122C" w:rsidRDefault="00BB122C">
      <w:pPr>
        <w:spacing w:line="360" w:lineRule="auto"/>
        <w:ind w:left="720"/>
        <w:jc w:val="both"/>
        <w:rPr>
          <w:rFonts w:ascii="Palatino Linotype" w:eastAsia="Palatino Linotype" w:hAnsi="Palatino Linotype" w:cs="Palatino Linotype"/>
          <w:sz w:val="22"/>
          <w:szCs w:val="22"/>
        </w:rPr>
      </w:pPr>
    </w:p>
    <w:p w14:paraId="550C57D6" w14:textId="77777777" w:rsidR="00BB122C" w:rsidRDefault="00E74273">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14:paraId="559289E1" w14:textId="77777777" w:rsidR="00BB122C" w:rsidRDefault="00BB122C">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71C04E1C" w14:textId="77777777" w:rsidR="00BB122C" w:rsidRDefault="00E74273">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79816C0C" w14:textId="77777777" w:rsidR="00BB122C" w:rsidRDefault="00BB122C">
      <w:pPr>
        <w:spacing w:line="360" w:lineRule="auto"/>
        <w:jc w:val="both"/>
        <w:rPr>
          <w:rFonts w:ascii="Palatino Linotype" w:eastAsia="Palatino Linotype" w:hAnsi="Palatino Linotype" w:cs="Palatino Linotype"/>
          <w:sz w:val="22"/>
          <w:szCs w:val="22"/>
        </w:rPr>
      </w:pPr>
    </w:p>
    <w:p w14:paraId="751B0D81"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deprende que los objetivos de la Ley de la </w:t>
      </w:r>
      <w:proofErr w:type="gramStart"/>
      <w:r>
        <w:rPr>
          <w:rFonts w:ascii="Palatino Linotype" w:eastAsia="Palatino Linotype" w:hAnsi="Palatino Linotype" w:cs="Palatino Linotype"/>
          <w:sz w:val="22"/>
          <w:szCs w:val="22"/>
        </w:rPr>
        <w:t>materia,</w:t>
      </w:r>
      <w:proofErr w:type="gramEnd"/>
      <w:r>
        <w:rPr>
          <w:rFonts w:ascii="Palatino Linotype" w:eastAsia="Palatino Linotype" w:hAnsi="Palatino Linotype" w:cs="Palatino Linotype"/>
          <w:sz w:val="22"/>
          <w:szCs w:val="22"/>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9E20587" w14:textId="77777777" w:rsidR="00BB122C" w:rsidRDefault="00BB122C">
      <w:pPr>
        <w:spacing w:line="360" w:lineRule="auto"/>
        <w:jc w:val="both"/>
        <w:rPr>
          <w:rFonts w:ascii="Palatino Linotype" w:eastAsia="Palatino Linotype" w:hAnsi="Palatino Linotype" w:cs="Palatino Linotype"/>
          <w:sz w:val="22"/>
          <w:szCs w:val="22"/>
        </w:rPr>
      </w:pPr>
    </w:p>
    <w:p w14:paraId="5EFAC2AA"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50ADD8E" w14:textId="77777777" w:rsidR="00BB122C" w:rsidRDefault="00BB122C">
      <w:pPr>
        <w:spacing w:line="360" w:lineRule="auto"/>
        <w:jc w:val="both"/>
        <w:rPr>
          <w:rFonts w:ascii="Palatino Linotype" w:eastAsia="Palatino Linotype" w:hAnsi="Palatino Linotype" w:cs="Palatino Linotype"/>
          <w:sz w:val="22"/>
          <w:szCs w:val="22"/>
        </w:rPr>
      </w:pPr>
    </w:p>
    <w:p w14:paraId="1CE27CB6"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7D709B7" w14:textId="77777777" w:rsidR="00BB122C" w:rsidRDefault="00BB122C">
      <w:pPr>
        <w:spacing w:line="360" w:lineRule="auto"/>
        <w:jc w:val="both"/>
        <w:rPr>
          <w:rFonts w:ascii="Palatino Linotype" w:eastAsia="Palatino Linotype" w:hAnsi="Palatino Linotype" w:cs="Palatino Linotype"/>
          <w:sz w:val="22"/>
          <w:szCs w:val="22"/>
        </w:rPr>
      </w:pPr>
    </w:p>
    <w:p w14:paraId="4F9C82C7" w14:textId="77777777" w:rsidR="00BB122C" w:rsidRDefault="00E7427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251E934" w14:textId="77777777" w:rsidR="00BB122C" w:rsidRDefault="00BB122C">
      <w:pPr>
        <w:spacing w:line="360" w:lineRule="auto"/>
        <w:ind w:left="720"/>
        <w:jc w:val="both"/>
        <w:rPr>
          <w:rFonts w:ascii="Palatino Linotype" w:eastAsia="Palatino Linotype" w:hAnsi="Palatino Linotype" w:cs="Palatino Linotype"/>
          <w:sz w:val="22"/>
          <w:szCs w:val="22"/>
        </w:rPr>
      </w:pPr>
    </w:p>
    <w:p w14:paraId="5B6C52B8" w14:textId="77777777" w:rsidR="00BB122C" w:rsidRDefault="00E7427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5AE4D16" w14:textId="77777777" w:rsidR="00BB122C" w:rsidRDefault="00BB122C">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AD02293" w14:textId="77777777" w:rsidR="00BB122C" w:rsidRDefault="00E7427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w:t>
      </w:r>
      <w:r>
        <w:rPr>
          <w:rFonts w:ascii="Palatino Linotype" w:eastAsia="Palatino Linotype" w:hAnsi="Palatino Linotype" w:cs="Palatino Linotype"/>
          <w:sz w:val="22"/>
          <w:szCs w:val="22"/>
        </w:rPr>
        <w:lastRenderedPageBreak/>
        <w:t>siguiente a la presentación de ésta. Excepcionalmente, el plazo referido podrá ampliarse por siete días hábiles más, cuando existan razones fundadas y motivadas, a través del Comité de Transparencia;</w:t>
      </w:r>
    </w:p>
    <w:p w14:paraId="4DCB5C95" w14:textId="77777777" w:rsidR="00BB122C" w:rsidRDefault="00BB122C">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0DABB1A6" w14:textId="77777777" w:rsidR="00BB122C" w:rsidRDefault="00E7427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Las Unidades de Transparencia garantizarán que las solicitudes se turnen a todas las áreas competentes que cuenten con la información o deban tenerla </w:t>
      </w:r>
      <w:proofErr w:type="gramStart"/>
      <w:r>
        <w:rPr>
          <w:rFonts w:ascii="Palatino Linotype" w:eastAsia="Palatino Linotype" w:hAnsi="Palatino Linotype" w:cs="Palatino Linotype"/>
          <w:sz w:val="22"/>
          <w:szCs w:val="22"/>
        </w:rPr>
        <w:t>de acuerdo a</w:t>
      </w:r>
      <w:proofErr w:type="gramEnd"/>
      <w:r>
        <w:rPr>
          <w:rFonts w:ascii="Palatino Linotype" w:eastAsia="Palatino Linotype" w:hAnsi="Palatino Linotype" w:cs="Palatino Linotype"/>
          <w:sz w:val="22"/>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ECAE7E7" w14:textId="77777777" w:rsidR="00BB122C" w:rsidRDefault="00BB122C">
      <w:pPr>
        <w:spacing w:line="360" w:lineRule="auto"/>
        <w:rPr>
          <w:rFonts w:ascii="Palatino Linotype" w:eastAsia="Palatino Linotype" w:hAnsi="Palatino Linotype" w:cs="Palatino Linotype"/>
        </w:rPr>
      </w:pPr>
    </w:p>
    <w:p w14:paraId="192F3E0B" w14:textId="77777777" w:rsidR="00BB122C" w:rsidRDefault="00E7427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46BFD85" w14:textId="77777777" w:rsidR="00BB122C" w:rsidRDefault="00BB122C">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7DE9A2C4" w14:textId="77777777" w:rsidR="00BB122C" w:rsidRDefault="00E74273">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716360A" w14:textId="77777777" w:rsidR="00BB122C" w:rsidRDefault="00BB122C">
      <w:pPr>
        <w:spacing w:line="360" w:lineRule="auto"/>
        <w:jc w:val="both"/>
        <w:rPr>
          <w:rFonts w:ascii="Palatino Linotype" w:eastAsia="Palatino Linotype" w:hAnsi="Palatino Linotype" w:cs="Palatino Linotype"/>
          <w:sz w:val="22"/>
          <w:szCs w:val="22"/>
        </w:rPr>
      </w:pPr>
    </w:p>
    <w:p w14:paraId="7A23C26B"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establecido lo anterior, es de indicar que el agravio del Particular consistió en que, a la fecha de interposición del Recurso de Revisión, el Ayuntamiento de Chiconcuac, no había </w:t>
      </w:r>
      <w:r>
        <w:rPr>
          <w:rFonts w:ascii="Palatino Linotype" w:eastAsia="Palatino Linotype" w:hAnsi="Palatino Linotype" w:cs="Palatino Linotype"/>
          <w:sz w:val="22"/>
          <w:szCs w:val="22"/>
        </w:rPr>
        <w:lastRenderedPageBreak/>
        <w:t xml:space="preserve">registrado respuesta al requerimiento de acceso a la información, el cual se presentó, el trece de junio de dos mil veinticinco. </w:t>
      </w:r>
    </w:p>
    <w:p w14:paraId="48E68A31" w14:textId="77777777" w:rsidR="00BB122C" w:rsidRDefault="00BB122C">
      <w:pPr>
        <w:spacing w:line="360" w:lineRule="auto"/>
        <w:jc w:val="both"/>
        <w:rPr>
          <w:rFonts w:ascii="Palatino Linotype" w:eastAsia="Palatino Linotype" w:hAnsi="Palatino Linotype" w:cs="Palatino Linotype"/>
          <w:sz w:val="22"/>
          <w:szCs w:val="22"/>
        </w:rPr>
      </w:pPr>
    </w:p>
    <w:p w14:paraId="4F505570" w14:textId="77777777" w:rsidR="00BB122C" w:rsidRDefault="00E74273">
      <w:pPr>
        <w:spacing w:line="360" w:lineRule="auto"/>
        <w:jc w:val="both"/>
        <w:rPr>
          <w:rFonts w:ascii="Palatino Linotype" w:eastAsia="Palatino Linotype" w:hAnsi="Palatino Linotype" w:cs="Palatino Linotype"/>
          <w:sz w:val="22"/>
          <w:szCs w:val="22"/>
        </w:rPr>
      </w:pPr>
      <w:bookmarkStart w:id="23" w:name="_heading=h.k5vdmy5set1t" w:colFirst="0" w:colLast="0"/>
      <w:bookmarkEnd w:id="23"/>
      <w:r>
        <w:rPr>
          <w:rFonts w:ascii="Palatino Linotype" w:eastAsia="Palatino Linotype" w:hAnsi="Palatino Linotype" w:cs="Palatino Linotype"/>
          <w:sz w:val="22"/>
          <w:szCs w:val="22"/>
        </w:rPr>
        <w:t>En ese orden de ideas, el plazo con el que contaba el Sujeto Obligado para emitir contestación al requerimiento informativo comenzó a correr el dieciséis de junio y feneció el cuatro de julio de dos mil veinticinco; lo anterior, sin contar los días, veintiuno, veintidós, veintiocho y veintinueve de junio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57EA8925" w14:textId="77777777" w:rsidR="00BB122C" w:rsidRDefault="00BB122C">
      <w:pPr>
        <w:spacing w:line="360" w:lineRule="auto"/>
        <w:jc w:val="both"/>
        <w:rPr>
          <w:rFonts w:ascii="Palatino Linotype" w:eastAsia="Palatino Linotype" w:hAnsi="Palatino Linotype" w:cs="Palatino Linotype"/>
          <w:sz w:val="22"/>
          <w:szCs w:val="22"/>
        </w:rPr>
      </w:pPr>
    </w:p>
    <w:p w14:paraId="5B9C3A04"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136A82AC" w14:textId="77777777" w:rsidR="00BB122C" w:rsidRDefault="00BB122C">
      <w:pPr>
        <w:spacing w:line="360" w:lineRule="auto"/>
        <w:jc w:val="both"/>
        <w:rPr>
          <w:rFonts w:ascii="Palatino Linotype" w:eastAsia="Palatino Linotype" w:hAnsi="Palatino Linotype" w:cs="Palatino Linotype"/>
          <w:sz w:val="22"/>
          <w:szCs w:val="22"/>
        </w:rPr>
      </w:pPr>
    </w:p>
    <w:p w14:paraId="7823C471" w14:textId="77777777" w:rsidR="00BB122C" w:rsidRDefault="00E74273">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1196DE1B" wp14:editId="63D37F48">
            <wp:extent cx="3324689" cy="1286054"/>
            <wp:effectExtent l="0" t="0" r="0" b="0"/>
            <wp:docPr id="19450907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24689" cy="1286054"/>
                    </a:xfrm>
                    <a:prstGeom prst="rect">
                      <a:avLst/>
                    </a:prstGeom>
                    <a:ln/>
                  </pic:spPr>
                </pic:pic>
              </a:graphicData>
            </a:graphic>
          </wp:inline>
        </w:drawing>
      </w:r>
    </w:p>
    <w:p w14:paraId="0F341997" w14:textId="77777777" w:rsidR="00BB122C" w:rsidRDefault="00BB122C">
      <w:pPr>
        <w:spacing w:line="360" w:lineRule="auto"/>
        <w:jc w:val="both"/>
        <w:rPr>
          <w:rFonts w:ascii="Palatino Linotype" w:eastAsia="Palatino Linotype" w:hAnsi="Palatino Linotype" w:cs="Palatino Linotype"/>
          <w:sz w:val="22"/>
          <w:szCs w:val="22"/>
        </w:rPr>
      </w:pPr>
    </w:p>
    <w:p w14:paraId="5CC6771E"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Ayuntamiento de Chiconcuac, no emitió respuesta para dar contestación a la solicitud de acceso a la información pública, dentro de los plazos establecidos en el artículo 163, de la Ley de Transparencia y Acceso a la Información Pública del Estado de México y Municipios, pues </w:t>
      </w:r>
      <w:r>
        <w:rPr>
          <w:rFonts w:ascii="Palatino Linotype" w:eastAsia="Palatino Linotype" w:hAnsi="Palatino Linotype" w:cs="Palatino Linotype"/>
          <w:sz w:val="22"/>
          <w:szCs w:val="22"/>
        </w:rPr>
        <w:lastRenderedPageBreak/>
        <w:t xml:space="preserve">tenía hasta el siete de julio de dos mil veinticinco, para realizar dicha situación, por lo que es evidente que el agravio es </w:t>
      </w:r>
      <w:r>
        <w:rPr>
          <w:rFonts w:ascii="Palatino Linotype" w:eastAsia="Palatino Linotype" w:hAnsi="Palatino Linotype" w:cs="Palatino Linotype"/>
          <w:b/>
          <w:sz w:val="22"/>
          <w:szCs w:val="22"/>
        </w:rPr>
        <w:t>FUNDADO</w:t>
      </w:r>
      <w:r>
        <w:rPr>
          <w:rFonts w:ascii="Palatino Linotype" w:eastAsia="Palatino Linotype" w:hAnsi="Palatino Linotype" w:cs="Palatino Linotype"/>
          <w:sz w:val="22"/>
          <w:szCs w:val="22"/>
        </w:rPr>
        <w:t>. No obstante, durante la substanciación del Medio de Impugnación, el Ente Recurrido emitió contestación, por lo que se procede a su análisis, para lo cual es necesario contextualizar la solicitud de información</w:t>
      </w:r>
    </w:p>
    <w:p w14:paraId="44D49BC1" w14:textId="77777777" w:rsidR="00BB122C" w:rsidRDefault="00BB122C">
      <w:pPr>
        <w:spacing w:line="360" w:lineRule="auto"/>
        <w:jc w:val="both"/>
        <w:rPr>
          <w:rFonts w:ascii="Palatino Linotype" w:eastAsia="Palatino Linotype" w:hAnsi="Palatino Linotype" w:cs="Palatino Linotype"/>
          <w:sz w:val="22"/>
          <w:szCs w:val="22"/>
        </w:rPr>
      </w:pPr>
    </w:p>
    <w:p w14:paraId="2B681D7F"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tema,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w:t>
      </w:r>
    </w:p>
    <w:p w14:paraId="54405792" w14:textId="77777777" w:rsidR="00BB122C" w:rsidRDefault="00BB122C">
      <w:pPr>
        <w:spacing w:line="360" w:lineRule="auto"/>
        <w:jc w:val="both"/>
        <w:rPr>
          <w:rFonts w:ascii="Palatino Linotype" w:eastAsia="Palatino Linotype" w:hAnsi="Palatino Linotype" w:cs="Palatino Linotype"/>
          <w:sz w:val="22"/>
          <w:szCs w:val="22"/>
        </w:rPr>
      </w:pPr>
    </w:p>
    <w:p w14:paraId="436C4BFD"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esa misma tesitura, los artículos 16, 18, 19, fracción V, y 34 de la Ley General en comento, establecen que los entes públicos deben contar con un sistema de contabilidad gubernamental en el cual se registrarán 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14:paraId="2CABFB7C" w14:textId="77777777" w:rsidR="00BB122C" w:rsidRDefault="00BB122C">
      <w:pPr>
        <w:spacing w:line="360" w:lineRule="auto"/>
        <w:jc w:val="both"/>
        <w:rPr>
          <w:rFonts w:ascii="Palatino Linotype" w:eastAsia="Palatino Linotype" w:hAnsi="Palatino Linotype" w:cs="Palatino Linotype"/>
          <w:sz w:val="22"/>
          <w:szCs w:val="22"/>
        </w:rPr>
      </w:pPr>
    </w:p>
    <w:p w14:paraId="5CDB7DF7"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resulta necesario traer a colación, la Resolución Miscelánea Fiscal, establece que la factura es lo mismo, 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14:paraId="6B7C563A" w14:textId="77777777" w:rsidR="00BB122C" w:rsidRDefault="00BB122C">
      <w:pPr>
        <w:spacing w:line="360" w:lineRule="auto"/>
        <w:jc w:val="both"/>
        <w:rPr>
          <w:rFonts w:ascii="Palatino Linotype" w:eastAsia="Palatino Linotype" w:hAnsi="Palatino Linotype" w:cs="Palatino Linotype"/>
          <w:sz w:val="22"/>
          <w:szCs w:val="22"/>
        </w:rPr>
      </w:pPr>
    </w:p>
    <w:p w14:paraId="1C04E5AF"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ese orden de ideas, el Instructivo del Módulo 1 “Información Contable y Financiera” emitido por el Órgano Superior de Fiscalización del Estado de México, señala que dentro de los formatos que maneja dicho módulo se encuentran la Póliza de Egresos y Póliza Cheque, con los documentos comprobatorios, mismos que serán entregados al Órgano Superior de Fiscalización del Estado de México. Además, se precisa que dichos documentos deberán contener las imágenes de la documentación comprobatoria y justificativa de los egresos y de las respectivas pólizas, los cuales incluyen los Comprobantes Fiscales Digitales por Internet, facturas o recibos, los cuales contienen el nombre de proveedores o en su caso razón social.</w:t>
      </w:r>
    </w:p>
    <w:p w14:paraId="02EC32BC" w14:textId="77777777" w:rsidR="00BB122C" w:rsidRDefault="00BB122C">
      <w:pPr>
        <w:spacing w:line="360" w:lineRule="auto"/>
        <w:jc w:val="both"/>
        <w:rPr>
          <w:rFonts w:ascii="Palatino Linotype" w:eastAsia="Palatino Linotype" w:hAnsi="Palatino Linotype" w:cs="Palatino Linotype"/>
          <w:sz w:val="22"/>
          <w:szCs w:val="22"/>
        </w:rPr>
      </w:pPr>
    </w:p>
    <w:p w14:paraId="3A6306B4"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0404E7E9" w14:textId="77777777" w:rsidR="00BB122C" w:rsidRDefault="00BB122C">
      <w:pPr>
        <w:spacing w:line="360" w:lineRule="auto"/>
        <w:jc w:val="both"/>
        <w:rPr>
          <w:rFonts w:ascii="Palatino Linotype" w:eastAsia="Palatino Linotype" w:hAnsi="Palatino Linotype" w:cs="Palatino Linotype"/>
          <w:color w:val="0D0D0D"/>
          <w:sz w:val="22"/>
          <w:szCs w:val="22"/>
        </w:rPr>
      </w:pPr>
    </w:p>
    <w:p w14:paraId="4B4188D2" w14:textId="77777777" w:rsidR="00BB122C" w:rsidRDefault="00E74273">
      <w:pPr>
        <w:widowControl w:val="0"/>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2C2ABC74" w14:textId="77777777" w:rsidR="00BB122C" w:rsidRDefault="00BB122C">
      <w:pPr>
        <w:widowControl w:val="0"/>
        <w:spacing w:line="360" w:lineRule="auto"/>
        <w:jc w:val="both"/>
        <w:rPr>
          <w:rFonts w:ascii="Palatino Linotype" w:eastAsia="Palatino Linotype" w:hAnsi="Palatino Linotype" w:cs="Palatino Linotype"/>
          <w:color w:val="0D0D0D"/>
          <w:sz w:val="22"/>
          <w:szCs w:val="22"/>
        </w:rPr>
      </w:pPr>
    </w:p>
    <w:p w14:paraId="7E8C71A6"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sz w:val="22"/>
          <w:szCs w:val="22"/>
        </w:rPr>
        <w:t xml:space="preserve">En ese sentido, </w:t>
      </w:r>
      <w:r>
        <w:rPr>
          <w:rFonts w:ascii="Palatino Linotype" w:eastAsia="Palatino Linotype" w:hAnsi="Palatino Linotype" w:cs="Palatino Linotype"/>
          <w:color w:val="0D0D0D"/>
          <w:sz w:val="22"/>
          <w:szCs w:val="22"/>
        </w:rPr>
        <w:t xml:space="preserve">los artículos 48, 49 y 50 del Bando Municipal de Chiconcuac, dos mil veinticinco, los cuales establecen que, la administración pública municipal es un conjunto de órganos y dependencias a través de las cuales, el municipio realiza actividades para satisfacer las necesidades generales que constituyen el objeto de los servicios y funciones públicas, para </w:t>
      </w:r>
      <w:r>
        <w:rPr>
          <w:rFonts w:ascii="Palatino Linotype" w:eastAsia="Palatino Linotype" w:hAnsi="Palatino Linotype" w:cs="Palatino Linotype"/>
          <w:color w:val="0D0D0D"/>
          <w:sz w:val="22"/>
          <w:szCs w:val="22"/>
        </w:rPr>
        <w:lastRenderedPageBreak/>
        <w:t>el estudio, planeación, despacho y ejecución de diversos asuntos, el Ayuntamiento podrá auxiliarse de las dependencias que conforman la administración pública subordinadas al presidente municipal, entre las que se localizan las siguientes unidades administrativas:</w:t>
      </w:r>
    </w:p>
    <w:p w14:paraId="6CF0E064" w14:textId="77777777" w:rsidR="00BB122C" w:rsidRDefault="00BB122C">
      <w:pPr>
        <w:spacing w:line="360" w:lineRule="auto"/>
        <w:jc w:val="both"/>
        <w:rPr>
          <w:rFonts w:ascii="Palatino Linotype" w:eastAsia="Palatino Linotype" w:hAnsi="Palatino Linotype" w:cs="Palatino Linotype"/>
          <w:color w:val="0D0D0D"/>
          <w:sz w:val="22"/>
          <w:szCs w:val="22"/>
        </w:rPr>
      </w:pPr>
    </w:p>
    <w:p w14:paraId="6FDD5C87"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I. Presidencia Municipal. </w:t>
      </w:r>
    </w:p>
    <w:p w14:paraId="1A339F28"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 Unidad de Gobierno. </w:t>
      </w:r>
    </w:p>
    <w:p w14:paraId="496D7B9A"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b) Unidad de Información, Planeación, Programación y Evaluación (UIPPE). </w:t>
      </w:r>
    </w:p>
    <w:p w14:paraId="082B9405"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c) Unidad Jurídica. </w:t>
      </w:r>
    </w:p>
    <w:p w14:paraId="0ADA4BD3" w14:textId="77777777" w:rsidR="00BB122C" w:rsidRDefault="00E74273">
      <w:pPr>
        <w:spacing w:line="360" w:lineRule="auto"/>
        <w:ind w:left="709"/>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d) Unidad de Transparencia y Acceso a la Información Pública y Protección de Datos Personales. </w:t>
      </w:r>
    </w:p>
    <w:p w14:paraId="739BA67B"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 Secretaría del Ayuntamiento: </w:t>
      </w:r>
    </w:p>
    <w:p w14:paraId="354EABCE"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 Juzgado Cívico. </w:t>
      </w:r>
    </w:p>
    <w:p w14:paraId="2621BFB3"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b) Oficialía de Partes. </w:t>
      </w:r>
    </w:p>
    <w:p w14:paraId="77C402E7"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c) Junta Municipal de Reclutamiento. </w:t>
      </w:r>
    </w:p>
    <w:p w14:paraId="35B03FB2"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B. Contraloría Interna Municipal: </w:t>
      </w:r>
    </w:p>
    <w:p w14:paraId="4588592B"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 Autoridad Investigadora. </w:t>
      </w:r>
    </w:p>
    <w:p w14:paraId="1AD1A7BB"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b) Autoridad Substanciadora. </w:t>
      </w:r>
    </w:p>
    <w:p w14:paraId="781C73FE"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c) Autoridad Resolutora. </w:t>
      </w:r>
    </w:p>
    <w:p w14:paraId="769AC6EA"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C. Unidad de Tecnologías de la Información y Comunicación. </w:t>
      </w:r>
    </w:p>
    <w:p w14:paraId="2ACDF1BA"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D. </w:t>
      </w:r>
      <w:proofErr w:type="gramStart"/>
      <w:r>
        <w:rPr>
          <w:rFonts w:ascii="Palatino Linotype" w:eastAsia="Palatino Linotype" w:hAnsi="Palatino Linotype" w:cs="Palatino Linotype"/>
          <w:color w:val="0D0D0D"/>
          <w:sz w:val="22"/>
          <w:szCs w:val="22"/>
        </w:rPr>
        <w:t>Secretaria Técnica</w:t>
      </w:r>
      <w:proofErr w:type="gramEnd"/>
      <w:r>
        <w:rPr>
          <w:rFonts w:ascii="Palatino Linotype" w:eastAsia="Palatino Linotype" w:hAnsi="Palatino Linotype" w:cs="Palatino Linotype"/>
          <w:color w:val="0D0D0D"/>
          <w:sz w:val="22"/>
          <w:szCs w:val="22"/>
        </w:rPr>
        <w:t xml:space="preserve"> del Consejo Municipal de Seguridad Pública.</w:t>
      </w:r>
    </w:p>
    <w:p w14:paraId="39BF23A5"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E. Dirección de Desarrollo Económico y Mejora Regulatoria: </w:t>
      </w:r>
    </w:p>
    <w:p w14:paraId="74C737D2"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 Unidad de Turismo. </w:t>
      </w:r>
    </w:p>
    <w:p w14:paraId="19B56D0D"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b) Unidad de Mercados. </w:t>
      </w:r>
    </w:p>
    <w:p w14:paraId="602545A4" w14:textId="77777777" w:rsidR="00BB122C" w:rsidRDefault="00E74273">
      <w:pPr>
        <w:spacing w:line="360" w:lineRule="auto"/>
        <w:jc w:val="both"/>
        <w:rPr>
          <w:rFonts w:ascii="Palatino Linotype" w:eastAsia="Palatino Linotype" w:hAnsi="Palatino Linotype" w:cs="Palatino Linotype"/>
          <w:b/>
          <w:color w:val="0D0D0D"/>
          <w:sz w:val="22"/>
          <w:szCs w:val="22"/>
        </w:rPr>
      </w:pPr>
      <w:r>
        <w:rPr>
          <w:rFonts w:ascii="Palatino Linotype" w:eastAsia="Palatino Linotype" w:hAnsi="Palatino Linotype" w:cs="Palatino Linotype"/>
          <w:b/>
          <w:color w:val="0D0D0D"/>
          <w:sz w:val="22"/>
          <w:szCs w:val="22"/>
        </w:rPr>
        <w:t xml:space="preserve">F. Tesorería Municipal: </w:t>
      </w:r>
    </w:p>
    <w:p w14:paraId="10ED8E15"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 Unidad de Recursos Humanos. </w:t>
      </w:r>
    </w:p>
    <w:p w14:paraId="04706585"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b) Unidad de Ingresos. </w:t>
      </w:r>
    </w:p>
    <w:p w14:paraId="66F34108"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lastRenderedPageBreak/>
        <w:t xml:space="preserve">c) Unidad de Catastro. </w:t>
      </w:r>
    </w:p>
    <w:p w14:paraId="1D12C612"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d) Unidad de Comercio. </w:t>
      </w:r>
    </w:p>
    <w:p w14:paraId="7445652C"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G. Instituto Municipal para la Protección de los Derechos de las Mujeres. </w:t>
      </w:r>
    </w:p>
    <w:p w14:paraId="25473183"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H. Dirección de Cultura y Educación. </w:t>
      </w:r>
    </w:p>
    <w:p w14:paraId="3743310D"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I. Dirección de Desarrollo Social: </w:t>
      </w:r>
    </w:p>
    <w:p w14:paraId="27BD9DFC"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 Unidad de Salud. </w:t>
      </w:r>
    </w:p>
    <w:p w14:paraId="3062935B"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J. Dirección de Servicios Públicos: </w:t>
      </w:r>
    </w:p>
    <w:p w14:paraId="50BBD67C"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 Unidad de Parques y Panteones. </w:t>
      </w:r>
    </w:p>
    <w:p w14:paraId="51203760"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K. Dirección de Desarrollo Urbano. </w:t>
      </w:r>
    </w:p>
    <w:p w14:paraId="5BF94008"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 Unidad de Transporte y Movilidad. </w:t>
      </w:r>
    </w:p>
    <w:p w14:paraId="041A4ACD"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L. Dirección de Ecología y Agropecuario. </w:t>
      </w:r>
    </w:p>
    <w:p w14:paraId="7FB4506B" w14:textId="77777777" w:rsidR="00BB122C" w:rsidRDefault="00E74273">
      <w:pPr>
        <w:spacing w:line="360" w:lineRule="auto"/>
        <w:ind w:firstLine="708"/>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 Unidad de Control y Bienestar Animal. </w:t>
      </w:r>
    </w:p>
    <w:p w14:paraId="437E10AE"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M. Dirección de Obras Públicas. </w:t>
      </w:r>
    </w:p>
    <w:p w14:paraId="5652CE22"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N. Coordinación Municipal de Protección Civil y Bomberos. </w:t>
      </w:r>
    </w:p>
    <w:p w14:paraId="41BACFE9"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O. Dirección de Seguridad Pública Municipal.</w:t>
      </w:r>
    </w:p>
    <w:p w14:paraId="36C6E427" w14:textId="77777777" w:rsidR="00BB122C" w:rsidRDefault="00BB122C">
      <w:pPr>
        <w:spacing w:line="360" w:lineRule="auto"/>
        <w:jc w:val="both"/>
        <w:rPr>
          <w:rFonts w:ascii="Palatino Linotype" w:eastAsia="Palatino Linotype" w:hAnsi="Palatino Linotype" w:cs="Palatino Linotype"/>
          <w:color w:val="0D0D0D"/>
          <w:sz w:val="22"/>
          <w:szCs w:val="22"/>
        </w:rPr>
      </w:pPr>
    </w:p>
    <w:p w14:paraId="072B8317" w14:textId="77777777" w:rsidR="00BB122C" w:rsidRDefault="00E7427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I</w:t>
      </w:r>
      <w:r>
        <w:rPr>
          <w:rFonts w:ascii="Palatino Linotype" w:eastAsia="Palatino Linotype" w:hAnsi="Palatino Linotype" w:cs="Palatino Linotype"/>
          <w:b/>
          <w:sz w:val="22"/>
          <w:szCs w:val="22"/>
        </w:rPr>
        <w:t>.  Órganos Descentralizados</w:t>
      </w:r>
    </w:p>
    <w:p w14:paraId="2B50B172" w14:textId="77777777" w:rsidR="00BB122C" w:rsidRDefault="00E742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Sistema Municipal para el Desarrollo Integral de la Familia del Municipio de Chiconcuac, Estado de México;</w:t>
      </w:r>
    </w:p>
    <w:p w14:paraId="51B41CB5" w14:textId="77777777" w:rsidR="00BB122C" w:rsidRDefault="00E742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Instituto Municipal de Cultura Física y Deporte de Chiconcuac, Estado de México; y</w:t>
      </w:r>
    </w:p>
    <w:p w14:paraId="05BE31BC" w14:textId="77777777" w:rsidR="00BB122C" w:rsidRDefault="00E742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demás que determine crear el Ayuntamiento por acuerdo de Cabildo.</w:t>
      </w:r>
    </w:p>
    <w:p w14:paraId="6C86B4F0" w14:textId="77777777" w:rsidR="00BB122C" w:rsidRDefault="00BB122C">
      <w:pPr>
        <w:spacing w:line="360" w:lineRule="auto"/>
        <w:jc w:val="both"/>
        <w:rPr>
          <w:rFonts w:ascii="Palatino Linotype" w:eastAsia="Palatino Linotype" w:hAnsi="Palatino Linotype" w:cs="Palatino Linotype"/>
          <w:sz w:val="22"/>
          <w:szCs w:val="22"/>
        </w:rPr>
      </w:pPr>
    </w:p>
    <w:p w14:paraId="06D84B82" w14:textId="77777777" w:rsidR="00BB122C" w:rsidRDefault="00E7427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Conforme a lo anterior, se logra vislumbrar que la pretensión del ahora </w:t>
      </w:r>
      <w:proofErr w:type="gramStart"/>
      <w:r>
        <w:rPr>
          <w:rFonts w:ascii="Palatino Linotype" w:eastAsia="Palatino Linotype" w:hAnsi="Palatino Linotype" w:cs="Palatino Linotype"/>
          <w:sz w:val="22"/>
          <w:szCs w:val="22"/>
        </w:rPr>
        <w:t>Recurrente,</w:t>
      </w:r>
      <w:proofErr w:type="gramEnd"/>
      <w:r>
        <w:rPr>
          <w:rFonts w:ascii="Palatino Linotype" w:eastAsia="Palatino Linotype" w:hAnsi="Palatino Linotype" w:cs="Palatino Linotype"/>
          <w:sz w:val="22"/>
          <w:szCs w:val="22"/>
        </w:rPr>
        <w:t xml:space="preserve"> es obtener </w:t>
      </w:r>
      <w:r>
        <w:rPr>
          <w:rFonts w:ascii="Palatino Linotype" w:eastAsia="Palatino Linotype" w:hAnsi="Palatino Linotype" w:cs="Palatino Linotype"/>
          <w:color w:val="000000"/>
          <w:sz w:val="22"/>
          <w:szCs w:val="22"/>
        </w:rPr>
        <w:t xml:space="preserve">las facturas de los bienes que se han adquirido del Ayuntamiento, IMCUFIDE Y DIF de </w:t>
      </w:r>
      <w:proofErr w:type="spellStart"/>
      <w:r>
        <w:rPr>
          <w:rFonts w:ascii="Palatino Linotype" w:eastAsia="Palatino Linotype" w:hAnsi="Palatino Linotype" w:cs="Palatino Linotype"/>
          <w:color w:val="000000"/>
          <w:sz w:val="22"/>
          <w:szCs w:val="22"/>
        </w:rPr>
        <w:t>Chinconcuac</w:t>
      </w:r>
      <w:proofErr w:type="spellEnd"/>
      <w:r>
        <w:rPr>
          <w:rFonts w:ascii="Palatino Linotype" w:eastAsia="Palatino Linotype" w:hAnsi="Palatino Linotype" w:cs="Palatino Linotype"/>
          <w:color w:val="000000"/>
          <w:sz w:val="22"/>
          <w:szCs w:val="22"/>
        </w:rPr>
        <w:t>, del primero de enero al trece de junio de dos mil veinticinco.</w:t>
      </w:r>
    </w:p>
    <w:p w14:paraId="32D5787E"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427C5171"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de las constancias que obran en el expediente se advierte que el Sujeto Obligado turno el requerimiento de información a la Dirección General del SDIF e IMCUFIDE, omitiendo pronunciarse por parte del Ayuntamiento por lo que,  resulta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364D2375" w14:textId="77777777" w:rsidR="00BB122C" w:rsidRDefault="00BB122C">
      <w:pPr>
        <w:spacing w:line="360" w:lineRule="auto"/>
        <w:jc w:val="both"/>
        <w:rPr>
          <w:rFonts w:ascii="Palatino Linotype" w:eastAsia="Palatino Linotype" w:hAnsi="Palatino Linotype" w:cs="Palatino Linotype"/>
          <w:sz w:val="22"/>
          <w:szCs w:val="22"/>
        </w:rPr>
      </w:pPr>
    </w:p>
    <w:p w14:paraId="48561D50"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a efecto de verificar que el Sujeto Obligado cumplió con dicho procedimiento, es procedente mencionar que el artículo 14 de la Ley que crea los Organismos Públicos Descentralizados de Carácter Social menciona que dentro de sus atribuciones la Dirección General en conjunto con el Órgano Interno de Control analizara el inventario general de los bienes muebles e inmuebles  propiedad del organismo, haciendo que se inscriban en el libro especial, con expresión de sus valores y de todas las características de identificación como el uso y destino de los mismos, de igual manera en coordinación con el Tesorero ejecutar y controlar el presupuesto del Sistema Municipal, en los términos aprobados, asimismo el artículo 15 de la misma Ley prevé que el Tesorero será el encargado de administrar los recursos que conforman el patrimonio del Sujeto Obligado y llevar los libros y registros contables de egresos e ingresos.</w:t>
      </w:r>
    </w:p>
    <w:p w14:paraId="2AAF6FCA" w14:textId="77777777" w:rsidR="00BB122C" w:rsidRDefault="00BB122C">
      <w:pPr>
        <w:spacing w:line="360" w:lineRule="auto"/>
        <w:jc w:val="both"/>
        <w:rPr>
          <w:rFonts w:ascii="Palatino Linotype" w:eastAsia="Palatino Linotype" w:hAnsi="Palatino Linotype" w:cs="Palatino Linotype"/>
          <w:sz w:val="22"/>
          <w:szCs w:val="22"/>
        </w:rPr>
      </w:pPr>
    </w:p>
    <w:p w14:paraId="2760572D" w14:textId="77777777" w:rsidR="00BB122C" w:rsidRDefault="00BB122C">
      <w:pPr>
        <w:spacing w:line="360" w:lineRule="auto"/>
        <w:jc w:val="both"/>
        <w:rPr>
          <w:rFonts w:ascii="Palatino Linotype" w:eastAsia="Palatino Linotype" w:hAnsi="Palatino Linotype" w:cs="Palatino Linotype"/>
          <w:sz w:val="22"/>
          <w:szCs w:val="22"/>
        </w:rPr>
      </w:pPr>
    </w:p>
    <w:p w14:paraId="35FD1511"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Ahora bien, dentro de la Ley que crea el Organismo Público Descentralizado denominado Instituto de Cultura Física y Deporte de </w:t>
      </w:r>
      <w:proofErr w:type="spellStart"/>
      <w:r>
        <w:rPr>
          <w:rFonts w:ascii="Palatino Linotype" w:eastAsia="Palatino Linotype" w:hAnsi="Palatino Linotype" w:cs="Palatino Linotype"/>
          <w:sz w:val="22"/>
          <w:szCs w:val="22"/>
        </w:rPr>
        <w:t>Chinconcuac</w:t>
      </w:r>
      <w:proofErr w:type="spellEnd"/>
      <w:r>
        <w:rPr>
          <w:rFonts w:ascii="Palatino Linotype" w:eastAsia="Palatino Linotype" w:hAnsi="Palatino Linotype" w:cs="Palatino Linotype"/>
          <w:sz w:val="22"/>
          <w:szCs w:val="22"/>
        </w:rPr>
        <w:t xml:space="preserve">, en su artículo 23 donde menciona que son obligaciones del </w:t>
      </w:r>
      <w:proofErr w:type="gramStart"/>
      <w:r>
        <w:rPr>
          <w:rFonts w:ascii="Palatino Linotype" w:eastAsia="Palatino Linotype" w:hAnsi="Palatino Linotype" w:cs="Palatino Linotype"/>
          <w:sz w:val="22"/>
          <w:szCs w:val="22"/>
        </w:rPr>
        <w:t>Director</w:t>
      </w:r>
      <w:proofErr w:type="gramEnd"/>
      <w:r>
        <w:rPr>
          <w:rFonts w:ascii="Palatino Linotype" w:eastAsia="Palatino Linotype" w:hAnsi="Palatino Linotype" w:cs="Palatino Linotype"/>
          <w:sz w:val="22"/>
          <w:szCs w:val="22"/>
        </w:rPr>
        <w:t xml:space="preserve">, son celebrar acuerdos, convenios y contratos de coordinación para el cumplimiento de los planes y proyectos del Instituto; así como adquirir conforme a las normas y previa autorización del Consejo, los bienes necesarios </w:t>
      </w:r>
      <w:proofErr w:type="spellStart"/>
      <w:r>
        <w:rPr>
          <w:rFonts w:ascii="Palatino Linotype" w:eastAsia="Palatino Linotype" w:hAnsi="Palatino Linotype" w:cs="Palatino Linotype"/>
          <w:sz w:val="22"/>
          <w:szCs w:val="22"/>
        </w:rPr>
        <w:t>par</w:t>
      </w:r>
      <w:proofErr w:type="spellEnd"/>
      <w:r>
        <w:rPr>
          <w:rFonts w:ascii="Palatino Linotype" w:eastAsia="Palatino Linotype" w:hAnsi="Palatino Linotype" w:cs="Palatino Linotype"/>
          <w:sz w:val="22"/>
          <w:szCs w:val="22"/>
        </w:rPr>
        <w:t xml:space="preserve"> el mejor cumplimiento de sus objetivos. </w:t>
      </w:r>
    </w:p>
    <w:p w14:paraId="491DFE19" w14:textId="77777777" w:rsidR="00BB122C" w:rsidRDefault="00BB122C">
      <w:pPr>
        <w:spacing w:line="360" w:lineRule="auto"/>
        <w:jc w:val="both"/>
        <w:rPr>
          <w:rFonts w:ascii="Palatino Linotype" w:eastAsia="Palatino Linotype" w:hAnsi="Palatino Linotype" w:cs="Palatino Linotype"/>
          <w:color w:val="0D0D0D"/>
          <w:sz w:val="22"/>
          <w:szCs w:val="22"/>
        </w:rPr>
      </w:pPr>
    </w:p>
    <w:p w14:paraId="1EA9E584"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 circunstancia, se logra colegir que el Sujeto Obligado no cumplió con el procedimiento de búsqueda establecido en el artículo 162 de la Ley de Transparencia y Acceso a la Información Pública del Estado de México y Municipios, pues se pronunciaron diversas áreas dentro de las cuales omitieron a la Tesorería Municipal y la Dirección de Administración por parte del Ayuntamiento y del Instituto de Cultura Física y Deporte de </w:t>
      </w:r>
      <w:proofErr w:type="spellStart"/>
      <w:r>
        <w:rPr>
          <w:rFonts w:ascii="Palatino Linotype" w:eastAsia="Palatino Linotype" w:hAnsi="Palatino Linotype" w:cs="Palatino Linotype"/>
          <w:sz w:val="22"/>
          <w:szCs w:val="22"/>
        </w:rPr>
        <w:t>Chinconcuac</w:t>
      </w:r>
      <w:proofErr w:type="spellEnd"/>
      <w:r>
        <w:rPr>
          <w:rFonts w:ascii="Palatino Linotype" w:eastAsia="Palatino Linotype" w:hAnsi="Palatino Linotype" w:cs="Palatino Linotype"/>
          <w:sz w:val="22"/>
          <w:szCs w:val="22"/>
        </w:rPr>
        <w:t>, la Dirección de Finanzas.</w:t>
      </w:r>
    </w:p>
    <w:p w14:paraId="76D6CA06" w14:textId="77777777" w:rsidR="00BB122C" w:rsidRDefault="00BB122C">
      <w:pPr>
        <w:spacing w:line="360" w:lineRule="auto"/>
        <w:jc w:val="both"/>
        <w:rPr>
          <w:rFonts w:ascii="Palatino Linotype" w:eastAsia="Palatino Linotype" w:hAnsi="Palatino Linotype" w:cs="Palatino Linotype"/>
          <w:sz w:val="22"/>
          <w:szCs w:val="22"/>
        </w:rPr>
      </w:pPr>
    </w:p>
    <w:p w14:paraId="2911368D"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 bien no se pronunció por parte del Ayuntamiento, es necesario traer a colación los artículos 48 y 49 fracción I-F inciso a), del Bando Municipal de Chiconcuac, dos mil veinticinco, en relación con el Manual General de Organización del Ayuntamiento de Chiconcuac, en los cuales se establece que llevaran los registros contables, financieros y administrativos de los ingresos, egresos, e  inventarios, además de recaudar y administrar los ingresos que se deriven de la suscripción de convenios,  acuerdos o la emisión de declaratorias de coordinación. Por otra parte, la Dirección de Finanzas del Instituto de Cultura Física y Deporte de </w:t>
      </w:r>
      <w:proofErr w:type="spellStart"/>
      <w:r>
        <w:rPr>
          <w:rFonts w:ascii="Palatino Linotype" w:eastAsia="Palatino Linotype" w:hAnsi="Palatino Linotype" w:cs="Palatino Linotype"/>
          <w:sz w:val="22"/>
          <w:szCs w:val="22"/>
        </w:rPr>
        <w:t>Chinconcuac</w:t>
      </w:r>
      <w:proofErr w:type="spellEnd"/>
      <w:r>
        <w:rPr>
          <w:rFonts w:ascii="Palatino Linotype" w:eastAsia="Palatino Linotype" w:hAnsi="Palatino Linotype" w:cs="Palatino Linotype"/>
          <w:sz w:val="22"/>
          <w:szCs w:val="22"/>
        </w:rPr>
        <w:t>, establece en su artículo 29 de la Ley que crea el Organismo público Descentralizado mencionado, que llevara el control exacto de los ingresos y egresos, al igual que remitir las comprobaciones que justifiquen su gasto e ingreso.</w:t>
      </w:r>
    </w:p>
    <w:p w14:paraId="14668822" w14:textId="77777777" w:rsidR="00BB122C" w:rsidRDefault="00BB122C">
      <w:pPr>
        <w:spacing w:line="360" w:lineRule="auto"/>
        <w:jc w:val="both"/>
        <w:rPr>
          <w:rFonts w:ascii="Palatino Linotype" w:eastAsia="Palatino Linotype" w:hAnsi="Palatino Linotype" w:cs="Palatino Linotype"/>
          <w:sz w:val="22"/>
          <w:szCs w:val="22"/>
        </w:rPr>
      </w:pPr>
    </w:p>
    <w:p w14:paraId="3C8129B6" w14:textId="77777777" w:rsidR="00BB122C" w:rsidRDefault="00BB122C">
      <w:pPr>
        <w:spacing w:line="360" w:lineRule="auto"/>
        <w:jc w:val="both"/>
        <w:rPr>
          <w:rFonts w:ascii="Palatino Linotype" w:eastAsia="Palatino Linotype" w:hAnsi="Palatino Linotype" w:cs="Palatino Linotype"/>
          <w:sz w:val="22"/>
          <w:szCs w:val="22"/>
        </w:rPr>
      </w:pPr>
    </w:p>
    <w:p w14:paraId="422A0F26" w14:textId="77777777" w:rsidR="00BB122C" w:rsidRDefault="00BB122C">
      <w:pPr>
        <w:spacing w:line="360" w:lineRule="auto"/>
        <w:jc w:val="both"/>
        <w:rPr>
          <w:rFonts w:ascii="Palatino Linotype" w:eastAsia="Palatino Linotype" w:hAnsi="Palatino Linotype" w:cs="Palatino Linotype"/>
          <w:sz w:val="22"/>
          <w:szCs w:val="22"/>
        </w:rPr>
      </w:pPr>
    </w:p>
    <w:p w14:paraId="6293EB16"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a través del informe justificado el Sujeto Obligado se pronunció por parte de la Dirección General del DIF, refiriendo que no se habían adquirido bienes en la temporalidad solicitada, ahora bien, lo que concierne al IMCUFIDE, proporcionó una factura correspondiente a material deportivo, </w:t>
      </w:r>
      <w:r>
        <w:rPr>
          <w:rFonts w:ascii="Palatino Linotype" w:eastAsia="Palatino Linotype" w:hAnsi="Palatino Linotype" w:cs="Palatino Linotype"/>
          <w:b/>
          <w:sz w:val="22"/>
          <w:szCs w:val="22"/>
        </w:rPr>
        <w:t>cabe mencionar que en la factura remitida se testaron datos que pueden vislumbrarse a través de su copiado</w:t>
      </w:r>
      <w:r>
        <w:rPr>
          <w:rFonts w:ascii="Palatino Linotype" w:eastAsia="Palatino Linotype" w:hAnsi="Palatino Linotype" w:cs="Palatino Linotype"/>
          <w:sz w:val="22"/>
          <w:szCs w:val="22"/>
        </w:rPr>
        <w:t xml:space="preserve">, a fin de ejemplificar lo anterior se inserta impresión </w:t>
      </w:r>
      <w:proofErr w:type="gramStart"/>
      <w:r>
        <w:rPr>
          <w:rFonts w:ascii="Palatino Linotype" w:eastAsia="Palatino Linotype" w:hAnsi="Palatino Linotype" w:cs="Palatino Linotype"/>
          <w:sz w:val="22"/>
          <w:szCs w:val="22"/>
        </w:rPr>
        <w:t>e</w:t>
      </w:r>
      <w:proofErr w:type="gramEnd"/>
      <w:r>
        <w:rPr>
          <w:rFonts w:ascii="Palatino Linotype" w:eastAsia="Palatino Linotype" w:hAnsi="Palatino Linotype" w:cs="Palatino Linotype"/>
          <w:sz w:val="22"/>
          <w:szCs w:val="22"/>
        </w:rPr>
        <w:t xml:space="preserve"> pantalla de parte de interés:</w:t>
      </w:r>
    </w:p>
    <w:p w14:paraId="5FAE935E" w14:textId="77777777" w:rsidR="00BB122C" w:rsidRDefault="00BB122C">
      <w:pPr>
        <w:spacing w:line="360" w:lineRule="auto"/>
        <w:jc w:val="both"/>
        <w:rPr>
          <w:rFonts w:ascii="Palatino Linotype" w:eastAsia="Palatino Linotype" w:hAnsi="Palatino Linotype" w:cs="Palatino Linotype"/>
          <w:sz w:val="22"/>
          <w:szCs w:val="22"/>
        </w:rPr>
      </w:pPr>
    </w:p>
    <w:p w14:paraId="475857F6" w14:textId="77777777" w:rsidR="00BB122C" w:rsidRDefault="00E74273">
      <w:pPr>
        <w:spacing w:line="360" w:lineRule="auto"/>
        <w:jc w:val="center"/>
      </w:pPr>
      <w:r>
        <w:rPr>
          <w:rFonts w:ascii="Palatino Linotype" w:eastAsia="Palatino Linotype" w:hAnsi="Palatino Linotype" w:cs="Palatino Linotype"/>
          <w:noProof/>
          <w:sz w:val="22"/>
          <w:szCs w:val="22"/>
        </w:rPr>
        <w:drawing>
          <wp:inline distT="0" distB="0" distL="0" distR="0" wp14:anchorId="43C6E651" wp14:editId="407E8040">
            <wp:extent cx="4345778" cy="2010987"/>
            <wp:effectExtent l="0" t="0" r="0" b="0"/>
            <wp:docPr id="19450907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345778" cy="2010987"/>
                    </a:xfrm>
                    <a:prstGeom prst="rect">
                      <a:avLst/>
                    </a:prstGeom>
                    <a:ln/>
                  </pic:spPr>
                </pic:pic>
              </a:graphicData>
            </a:graphic>
          </wp:inline>
        </w:drawing>
      </w:r>
      <w:r>
        <w:t xml:space="preserve"> </w:t>
      </w:r>
    </w:p>
    <w:p w14:paraId="233357E7" w14:textId="77777777" w:rsidR="00BB122C" w:rsidRDefault="00BB122C">
      <w:pPr>
        <w:spacing w:line="360" w:lineRule="auto"/>
        <w:jc w:val="center"/>
      </w:pPr>
    </w:p>
    <w:p w14:paraId="03C0031A" w14:textId="77777777" w:rsidR="00BB122C" w:rsidRDefault="00E74273">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500AF463" wp14:editId="4F4E4B56">
            <wp:extent cx="2276793" cy="1171739"/>
            <wp:effectExtent l="0" t="0" r="0" b="0"/>
            <wp:docPr id="19450907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276793" cy="1171739"/>
                    </a:xfrm>
                    <a:prstGeom prst="rect">
                      <a:avLst/>
                    </a:prstGeom>
                    <a:ln/>
                  </pic:spPr>
                </pic:pic>
              </a:graphicData>
            </a:graphic>
          </wp:inline>
        </w:drawing>
      </w:r>
    </w:p>
    <w:p w14:paraId="7843A92D" w14:textId="77777777" w:rsidR="00BB122C" w:rsidRDefault="00BB122C">
      <w:pPr>
        <w:spacing w:line="360" w:lineRule="auto"/>
        <w:jc w:val="center"/>
        <w:rPr>
          <w:rFonts w:ascii="Palatino Linotype" w:eastAsia="Palatino Linotype" w:hAnsi="Palatino Linotype" w:cs="Palatino Linotype"/>
          <w:sz w:val="22"/>
          <w:szCs w:val="22"/>
        </w:rPr>
      </w:pPr>
    </w:p>
    <w:p w14:paraId="56BE0E0B" w14:textId="77777777" w:rsidR="00BB122C" w:rsidRDefault="00BB122C">
      <w:pPr>
        <w:spacing w:line="360" w:lineRule="auto"/>
        <w:jc w:val="both"/>
        <w:rPr>
          <w:rFonts w:ascii="Palatino Linotype" w:eastAsia="Palatino Linotype" w:hAnsi="Palatino Linotype" w:cs="Palatino Linotype"/>
          <w:sz w:val="22"/>
          <w:szCs w:val="22"/>
        </w:rPr>
      </w:pPr>
    </w:p>
    <w:p w14:paraId="542DAF03"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conforme a lo anterior se observa que la factura entregada se testaron los siguientes datos:</w:t>
      </w:r>
    </w:p>
    <w:p w14:paraId="779FD8F5" w14:textId="77777777" w:rsidR="00BB122C" w:rsidRDefault="00BB122C">
      <w:pPr>
        <w:spacing w:line="360" w:lineRule="auto"/>
        <w:jc w:val="both"/>
        <w:rPr>
          <w:rFonts w:ascii="Palatino Linotype" w:eastAsia="Palatino Linotype" w:hAnsi="Palatino Linotype" w:cs="Palatino Linotype"/>
          <w:sz w:val="22"/>
          <w:szCs w:val="22"/>
          <w:highlight w:val="yellow"/>
        </w:rPr>
      </w:pPr>
    </w:p>
    <w:p w14:paraId="4A532B29" w14:textId="77777777" w:rsidR="00BB122C" w:rsidRDefault="00E74273">
      <w:pPr>
        <w:spacing w:line="360" w:lineRule="auto"/>
        <w:jc w:val="both"/>
        <w:rPr>
          <w:rFonts w:ascii="Palatino Linotype" w:eastAsia="Palatino Linotype" w:hAnsi="Palatino Linotype" w:cs="Palatino Linotype"/>
          <w:sz w:val="22"/>
          <w:szCs w:val="22"/>
          <w:highlight w:val="yellow"/>
        </w:rPr>
      </w:pPr>
      <w:r>
        <w:rPr>
          <w:rFonts w:ascii="Palatino Linotype" w:eastAsia="Palatino Linotype" w:hAnsi="Palatino Linotype" w:cs="Palatino Linotype"/>
          <w:sz w:val="22"/>
          <w:szCs w:val="22"/>
        </w:rPr>
        <w:lastRenderedPageBreak/>
        <w:t>•</w:t>
      </w:r>
      <w:r>
        <w:rPr>
          <w:rFonts w:ascii="Palatino Linotype" w:eastAsia="Palatino Linotype" w:hAnsi="Palatino Linotype" w:cs="Palatino Linotype"/>
          <w:sz w:val="22"/>
          <w:szCs w:val="22"/>
        </w:rPr>
        <w:tab/>
        <w:t>Registro Federal de Contribuyentes (RFC) de proveedores;</w:t>
      </w:r>
    </w:p>
    <w:p w14:paraId="73AB9CFB"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Código Bidimensional o QR;</w:t>
      </w:r>
    </w:p>
    <w:p w14:paraId="19B24844"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 xml:space="preserve">Registro Federal de Contribuyentes (RFC) del cliente. </w:t>
      </w:r>
    </w:p>
    <w:p w14:paraId="678B0E93" w14:textId="77777777" w:rsidR="00BB122C" w:rsidRDefault="00BB122C">
      <w:pPr>
        <w:spacing w:line="360" w:lineRule="auto"/>
        <w:jc w:val="both"/>
        <w:rPr>
          <w:rFonts w:ascii="Palatino Linotype" w:eastAsia="Palatino Linotype" w:hAnsi="Palatino Linotype" w:cs="Palatino Linotype"/>
          <w:sz w:val="22"/>
          <w:szCs w:val="22"/>
        </w:rPr>
      </w:pPr>
    </w:p>
    <w:p w14:paraId="5CBB0E3E"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Cabe precisar que los anteriores se trata de información pública, la cual no debe ser testada conforme a los razonamientos que se explicarán más adelante, sin embargo, esto se señala a fin de que, en futuras ocasiones, el Sujeto Obligado realice las versiones públicas de forma correcta, puesto, como ya se ha mencionado, en el presente caso, la información que fue testada se puede observar al copiar y pegar, lo que se traduce en su entrega de forma íntegra. </w:t>
      </w:r>
    </w:p>
    <w:p w14:paraId="0F1E4F7F" w14:textId="77777777" w:rsidR="00BB122C" w:rsidRDefault="00BB122C">
      <w:pPr>
        <w:spacing w:line="360" w:lineRule="auto"/>
        <w:jc w:val="both"/>
        <w:rPr>
          <w:rFonts w:ascii="Palatino Linotype" w:eastAsia="Palatino Linotype" w:hAnsi="Palatino Linotype" w:cs="Palatino Linotype"/>
          <w:sz w:val="22"/>
          <w:szCs w:val="22"/>
        </w:rPr>
      </w:pPr>
    </w:p>
    <w:p w14:paraId="18DC6EFD"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tenor, si bien el Sujeto Obligado se pronunció a través de los titulares del DIF y del INCUFIDE, no se pronunció a través de las áreas componentes lo cual, aportaría mayor certeza a la parte Recurrente sobre lo entregado, además, se aprecia que no se pronunció por parte del Ayuntamiento, por tanto, se precisa que la atención prestada a atreves del informe justificado no fue exhaustiva respecto a lo solicitado.  </w:t>
      </w:r>
    </w:p>
    <w:p w14:paraId="5B9AAE0F" w14:textId="77777777" w:rsidR="00BB122C" w:rsidRDefault="00BB122C">
      <w:pPr>
        <w:spacing w:line="360" w:lineRule="auto"/>
        <w:jc w:val="both"/>
        <w:rPr>
          <w:rFonts w:ascii="Palatino Linotype" w:eastAsia="Palatino Linotype" w:hAnsi="Palatino Linotype" w:cs="Palatino Linotype"/>
          <w:sz w:val="22"/>
          <w:szCs w:val="22"/>
        </w:rPr>
      </w:pPr>
    </w:p>
    <w:p w14:paraId="58146098"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tema, el artículo 1.8, fracción XIII, del Código Administrativo del Estado de México, establece que para que tenga validez, todo acto administrativo deberá resolver todos los puntos propuestos por los interesados. </w:t>
      </w:r>
      <w:r>
        <w:rPr>
          <w:rFonts w:ascii="Palatino Linotype" w:eastAsia="Palatino Linotype" w:hAnsi="Palatino Linotype" w:cs="Palatino Linotype"/>
          <w:color w:val="000000"/>
          <w:sz w:val="22"/>
          <w:szCs w:val="22"/>
        </w:rPr>
        <w:t xml:space="preserve">Situación que se robustece, con el </w:t>
      </w:r>
      <w:r>
        <w:rPr>
          <w:rFonts w:ascii="Palatino Linotype" w:eastAsia="Palatino Linotype" w:hAnsi="Palatino Linotype" w:cs="Palatino Linotype"/>
          <w:sz w:val="22"/>
          <w:szCs w:val="22"/>
        </w:rPr>
        <w:t xml:space="preserve">Criterio Orientador, de la Segunda Época, con número de registro SO/002/2017, emitido por el entonces Instituto Nacional de Transparencia, Acceso a la Información y Protección de Datos Personales, el cual establece que todo acto administrativo debe apegarse al </w:t>
      </w:r>
      <w:r>
        <w:rPr>
          <w:rFonts w:ascii="Palatino Linotype" w:eastAsia="Palatino Linotype" w:hAnsi="Palatino Linotype" w:cs="Palatino Linotype"/>
          <w:b/>
          <w:sz w:val="22"/>
          <w:szCs w:val="22"/>
        </w:rPr>
        <w:t>principio de exhaustividad</w:t>
      </w:r>
      <w:r>
        <w:rPr>
          <w:rFonts w:ascii="Palatino Linotype" w:eastAsia="Palatino Linotype" w:hAnsi="Palatino Linotype" w:cs="Palatino Linotype"/>
          <w:sz w:val="22"/>
          <w:szCs w:val="22"/>
        </w:rPr>
        <w:t>, entendiendo por éste que se pronuncie expresamente sobre cada uno de los puntos requeridos, lo cual en materia de transparencia y acceso a la información pública se traduce en que, las respuestas que emitan los sujetos obligados, deben atender de manera puntual y expresa, cada uno de los contenidos de información.</w:t>
      </w:r>
    </w:p>
    <w:p w14:paraId="20CA9DAF" w14:textId="77777777" w:rsidR="00BB122C" w:rsidRDefault="00BB122C">
      <w:pPr>
        <w:spacing w:line="360" w:lineRule="auto"/>
        <w:jc w:val="both"/>
        <w:rPr>
          <w:rFonts w:ascii="Palatino Linotype" w:eastAsia="Palatino Linotype" w:hAnsi="Palatino Linotype" w:cs="Palatino Linotype"/>
          <w:sz w:val="22"/>
          <w:szCs w:val="22"/>
        </w:rPr>
      </w:pPr>
    </w:p>
    <w:p w14:paraId="180FFCB9" w14:textId="77777777" w:rsidR="00BB122C" w:rsidRDefault="00BB122C">
      <w:pPr>
        <w:spacing w:line="360" w:lineRule="auto"/>
        <w:jc w:val="both"/>
        <w:rPr>
          <w:rFonts w:ascii="Palatino Linotype" w:eastAsia="Palatino Linotype" w:hAnsi="Palatino Linotype" w:cs="Palatino Linotype"/>
          <w:sz w:val="22"/>
          <w:szCs w:val="22"/>
        </w:rPr>
      </w:pPr>
    </w:p>
    <w:p w14:paraId="385EF6E3"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en relación con la información solicitada este Instituto localizó en las redes sociales del Sujeto Obligado (Facebook), la publicación del informe municipal donde refiere los grandes cambios hechos en los 100 días de informe por parte del Gobierno de </w:t>
      </w:r>
      <w:proofErr w:type="spellStart"/>
      <w:r>
        <w:rPr>
          <w:rFonts w:ascii="Palatino Linotype" w:eastAsia="Palatino Linotype" w:hAnsi="Palatino Linotype" w:cs="Palatino Linotype"/>
          <w:sz w:val="22"/>
          <w:szCs w:val="22"/>
        </w:rPr>
        <w:t>Chinconcuac</w:t>
      </w:r>
      <w:proofErr w:type="spellEnd"/>
      <w:r>
        <w:rPr>
          <w:rFonts w:ascii="Palatino Linotype" w:eastAsia="Palatino Linotype" w:hAnsi="Palatino Linotype" w:cs="Palatino Linotype"/>
          <w:sz w:val="22"/>
          <w:szCs w:val="22"/>
        </w:rPr>
        <w:t>, en el que se advierte que se realizaron diversos eventos, modificaciones y compras de bienes para el beneficio del municipio, tal como se desprende de las siguientes capturas de pantalla:</w:t>
      </w:r>
    </w:p>
    <w:p w14:paraId="2E32265A" w14:textId="77777777" w:rsidR="00BB122C" w:rsidRDefault="00E74273">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09AD0620" wp14:editId="4DD0B1F8">
            <wp:extent cx="4034394" cy="3475786"/>
            <wp:effectExtent l="0" t="0" r="0" b="0"/>
            <wp:docPr id="19450907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034394" cy="3475786"/>
                    </a:xfrm>
                    <a:prstGeom prst="rect">
                      <a:avLst/>
                    </a:prstGeom>
                    <a:ln/>
                  </pic:spPr>
                </pic:pic>
              </a:graphicData>
            </a:graphic>
          </wp:inline>
        </w:drawing>
      </w:r>
    </w:p>
    <w:p w14:paraId="54F613E6" w14:textId="77777777" w:rsidR="00BB122C" w:rsidRDefault="00E74273">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114300" distB="114300" distL="114300" distR="114300" wp14:anchorId="5A4867B6" wp14:editId="26BF8B2F">
            <wp:extent cx="2973388" cy="1044166"/>
            <wp:effectExtent l="0" t="0" r="0" b="0"/>
            <wp:docPr id="19450907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b="67408"/>
                    <a:stretch>
                      <a:fillRect/>
                    </a:stretch>
                  </pic:blipFill>
                  <pic:spPr>
                    <a:xfrm>
                      <a:off x="0" y="0"/>
                      <a:ext cx="2973388" cy="1044166"/>
                    </a:xfrm>
                    <a:prstGeom prst="rect">
                      <a:avLst/>
                    </a:prstGeom>
                    <a:ln/>
                  </pic:spPr>
                </pic:pic>
              </a:graphicData>
            </a:graphic>
          </wp:inline>
        </w:drawing>
      </w:r>
    </w:p>
    <w:p w14:paraId="7F664A26" w14:textId="77777777" w:rsidR="00BB122C" w:rsidRDefault="00E74273">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1D4B4A4A" wp14:editId="6C6DC5E8">
            <wp:extent cx="4161470" cy="3622479"/>
            <wp:effectExtent l="0" t="0" r="0" b="0"/>
            <wp:docPr id="19450907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5644" r="8488"/>
                    <a:stretch>
                      <a:fillRect/>
                    </a:stretch>
                  </pic:blipFill>
                  <pic:spPr>
                    <a:xfrm>
                      <a:off x="0" y="0"/>
                      <a:ext cx="4161470" cy="3622479"/>
                    </a:xfrm>
                    <a:prstGeom prst="rect">
                      <a:avLst/>
                    </a:prstGeom>
                    <a:ln/>
                  </pic:spPr>
                </pic:pic>
              </a:graphicData>
            </a:graphic>
          </wp:inline>
        </w:drawing>
      </w:r>
    </w:p>
    <w:p w14:paraId="12378DB7" w14:textId="77777777" w:rsidR="00BB122C" w:rsidRDefault="00BB122C">
      <w:pPr>
        <w:spacing w:line="360" w:lineRule="auto"/>
        <w:jc w:val="center"/>
        <w:rPr>
          <w:rFonts w:ascii="Palatino Linotype" w:eastAsia="Palatino Linotype" w:hAnsi="Palatino Linotype" w:cs="Palatino Linotype"/>
          <w:sz w:val="22"/>
          <w:szCs w:val="22"/>
        </w:rPr>
      </w:pPr>
    </w:p>
    <w:p w14:paraId="78446D55" w14:textId="77777777" w:rsidR="00BB122C" w:rsidRDefault="00E74273">
      <w:pPr>
        <w:spacing w:line="360" w:lineRule="auto"/>
        <w:jc w:val="center"/>
        <w:rPr>
          <w:rFonts w:ascii="Palatino Linotype" w:eastAsia="Palatino Linotype" w:hAnsi="Palatino Linotype" w:cs="Palatino Linotype"/>
          <w:sz w:val="22"/>
          <w:szCs w:val="22"/>
        </w:rPr>
      </w:pPr>
      <w:r>
        <w:rPr>
          <w:noProof/>
        </w:rPr>
        <w:drawing>
          <wp:inline distT="0" distB="0" distL="0" distR="0" wp14:anchorId="4A4E4AFE" wp14:editId="389FD9E6">
            <wp:extent cx="4053827" cy="1827001"/>
            <wp:effectExtent l="0" t="0" r="0" b="0"/>
            <wp:docPr id="19450907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053827" cy="1827001"/>
                    </a:xfrm>
                    <a:prstGeom prst="rect">
                      <a:avLst/>
                    </a:prstGeom>
                    <a:ln/>
                  </pic:spPr>
                </pic:pic>
              </a:graphicData>
            </a:graphic>
          </wp:inline>
        </w:drawing>
      </w:r>
    </w:p>
    <w:p w14:paraId="74235D7F" w14:textId="77777777" w:rsidR="00BB122C" w:rsidRDefault="00E74273">
      <w:pPr>
        <w:spacing w:line="360" w:lineRule="auto"/>
        <w:jc w:val="center"/>
        <w:rPr>
          <w:rFonts w:ascii="Palatino Linotype" w:eastAsia="Palatino Linotype" w:hAnsi="Palatino Linotype" w:cs="Palatino Linotype"/>
          <w:sz w:val="22"/>
          <w:szCs w:val="22"/>
        </w:rPr>
      </w:pPr>
      <w:r>
        <w:rPr>
          <w:noProof/>
        </w:rPr>
        <w:lastRenderedPageBreak/>
        <w:drawing>
          <wp:inline distT="0" distB="0" distL="0" distR="0" wp14:anchorId="67772E69" wp14:editId="623C5486">
            <wp:extent cx="4362417" cy="2630763"/>
            <wp:effectExtent l="0" t="0" r="0" b="0"/>
            <wp:docPr id="19450907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362417" cy="2630763"/>
                    </a:xfrm>
                    <a:prstGeom prst="rect">
                      <a:avLst/>
                    </a:prstGeom>
                    <a:ln/>
                  </pic:spPr>
                </pic:pic>
              </a:graphicData>
            </a:graphic>
          </wp:inline>
        </w:drawing>
      </w:r>
    </w:p>
    <w:p w14:paraId="0BC6C8A7" w14:textId="77777777" w:rsidR="00BB122C" w:rsidRDefault="00BB122C">
      <w:pPr>
        <w:spacing w:line="360" w:lineRule="auto"/>
        <w:jc w:val="center"/>
        <w:rPr>
          <w:rFonts w:ascii="Palatino Linotype" w:eastAsia="Palatino Linotype" w:hAnsi="Palatino Linotype" w:cs="Palatino Linotype"/>
          <w:sz w:val="22"/>
          <w:szCs w:val="22"/>
        </w:rPr>
      </w:pPr>
    </w:p>
    <w:p w14:paraId="640C575A" w14:textId="77777777" w:rsidR="00BB122C" w:rsidRDefault="00E74273">
      <w:pPr>
        <w:spacing w:line="360" w:lineRule="auto"/>
        <w:jc w:val="center"/>
        <w:rPr>
          <w:rFonts w:ascii="Palatino Linotype" w:eastAsia="Palatino Linotype" w:hAnsi="Palatino Linotype" w:cs="Palatino Linotype"/>
          <w:sz w:val="22"/>
          <w:szCs w:val="22"/>
        </w:rPr>
      </w:pPr>
      <w:r>
        <w:rPr>
          <w:noProof/>
        </w:rPr>
        <w:drawing>
          <wp:inline distT="0" distB="0" distL="0" distR="0" wp14:anchorId="3F83857A" wp14:editId="33A46945">
            <wp:extent cx="4313126" cy="1757394"/>
            <wp:effectExtent l="0" t="0" r="0" b="0"/>
            <wp:docPr id="19450907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313126" cy="1757394"/>
                    </a:xfrm>
                    <a:prstGeom prst="rect">
                      <a:avLst/>
                    </a:prstGeom>
                    <a:ln/>
                  </pic:spPr>
                </pic:pic>
              </a:graphicData>
            </a:graphic>
          </wp:inline>
        </w:drawing>
      </w:r>
    </w:p>
    <w:p w14:paraId="488009BC" w14:textId="77777777" w:rsidR="00BB122C" w:rsidRDefault="00E74273">
      <w:pPr>
        <w:spacing w:line="360" w:lineRule="auto"/>
        <w:jc w:val="center"/>
        <w:rPr>
          <w:rFonts w:ascii="Palatino Linotype" w:eastAsia="Palatino Linotype" w:hAnsi="Palatino Linotype" w:cs="Palatino Linotype"/>
          <w:sz w:val="22"/>
          <w:szCs w:val="22"/>
        </w:rPr>
      </w:pPr>
      <w:r>
        <w:rPr>
          <w:noProof/>
        </w:rPr>
        <w:drawing>
          <wp:inline distT="0" distB="0" distL="0" distR="0" wp14:anchorId="45674EA3" wp14:editId="2740A380">
            <wp:extent cx="3923304" cy="2059258"/>
            <wp:effectExtent l="0" t="0" r="0" b="0"/>
            <wp:docPr id="19450907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3923304" cy="2059258"/>
                    </a:xfrm>
                    <a:prstGeom prst="rect">
                      <a:avLst/>
                    </a:prstGeom>
                    <a:ln/>
                  </pic:spPr>
                </pic:pic>
              </a:graphicData>
            </a:graphic>
          </wp:inline>
        </w:drawing>
      </w:r>
    </w:p>
    <w:p w14:paraId="73025CAB" w14:textId="77777777" w:rsidR="00BB122C" w:rsidRDefault="00E74273">
      <w:pPr>
        <w:spacing w:line="360" w:lineRule="auto"/>
        <w:jc w:val="center"/>
        <w:rPr>
          <w:rFonts w:ascii="Palatino Linotype" w:eastAsia="Palatino Linotype" w:hAnsi="Palatino Linotype" w:cs="Palatino Linotype"/>
          <w:sz w:val="22"/>
          <w:szCs w:val="22"/>
        </w:rPr>
      </w:pPr>
      <w:r>
        <w:rPr>
          <w:noProof/>
        </w:rPr>
        <w:lastRenderedPageBreak/>
        <w:drawing>
          <wp:inline distT="0" distB="0" distL="0" distR="0" wp14:anchorId="75CD28A2" wp14:editId="5A9CC576">
            <wp:extent cx="4299672" cy="2629056"/>
            <wp:effectExtent l="0" t="0" r="0" b="0"/>
            <wp:docPr id="19450907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299672" cy="2629056"/>
                    </a:xfrm>
                    <a:prstGeom prst="rect">
                      <a:avLst/>
                    </a:prstGeom>
                    <a:ln/>
                  </pic:spPr>
                </pic:pic>
              </a:graphicData>
            </a:graphic>
          </wp:inline>
        </w:drawing>
      </w:r>
    </w:p>
    <w:p w14:paraId="3CA9F120" w14:textId="77777777" w:rsidR="00BB122C" w:rsidRDefault="00E74273">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Imágenes extraídas de la liga (</w:t>
      </w:r>
      <w:hyperlink r:id="rId20">
        <w:r>
          <w:rPr>
            <w:rFonts w:ascii="Palatino Linotype" w:eastAsia="Palatino Linotype" w:hAnsi="Palatino Linotype" w:cs="Palatino Linotype"/>
            <w:color w:val="0563C1"/>
            <w:sz w:val="22"/>
            <w:szCs w:val="22"/>
            <w:u w:val="single"/>
          </w:rPr>
          <w:t>chiconcuac.gob.mx/contenidos/chiconcuac/docs/INFORME_DE_100_DIAS__2__pdf_2025_4_23_101953.pdf?fbclid=IwZnRzaAMcDppleHRuA2FlbQIxMQABHnSW_QFT5aquH-MBTKWrZhhLCk91_7d0VCvOJNbewL-hY7lTEgun6GcQtbx2_aem_rwByDnKIray9GrZ7aB-cuQ</w:t>
        </w:r>
      </w:hyperlink>
      <w:r>
        <w:rPr>
          <w:rFonts w:ascii="Palatino Linotype" w:eastAsia="Palatino Linotype" w:hAnsi="Palatino Linotype" w:cs="Palatino Linotype"/>
          <w:sz w:val="22"/>
          <w:szCs w:val="22"/>
        </w:rPr>
        <w:t>, consultada el veintiséis de agosto de dos mil veinticinco).</w:t>
      </w:r>
    </w:p>
    <w:p w14:paraId="5E942CC5" w14:textId="77777777" w:rsidR="00BB122C" w:rsidRDefault="00BB122C">
      <w:pPr>
        <w:spacing w:line="360" w:lineRule="auto"/>
        <w:rPr>
          <w:rFonts w:ascii="Palatino Linotype" w:eastAsia="Palatino Linotype" w:hAnsi="Palatino Linotype" w:cs="Palatino Linotype"/>
          <w:sz w:val="22"/>
          <w:szCs w:val="22"/>
        </w:rPr>
      </w:pPr>
    </w:p>
    <w:p w14:paraId="75865ABA"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imágenes anteriores, se advierten actividades en las que el Sujeto Obligado pudo adquirir bienes, tanto por parte del Ayuntamiento, el DIF e INCUFIDE. </w:t>
      </w:r>
    </w:p>
    <w:p w14:paraId="3E53979E" w14:textId="77777777" w:rsidR="00BB122C" w:rsidRDefault="00BB122C">
      <w:pPr>
        <w:spacing w:line="360" w:lineRule="auto"/>
        <w:jc w:val="both"/>
        <w:rPr>
          <w:rFonts w:ascii="Palatino Linotype" w:eastAsia="Palatino Linotype" w:hAnsi="Palatino Linotype" w:cs="Palatino Linotype"/>
          <w:sz w:val="22"/>
          <w:szCs w:val="22"/>
        </w:rPr>
      </w:pPr>
    </w:p>
    <w:p w14:paraId="27EC6097" w14:textId="77777777" w:rsidR="00BB122C" w:rsidRDefault="00E74273">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suerte que, si bien el Sujeto Obligado remitió la solicitud de información al área competente para conocer sobre lo solicitado, lo cierto es que esta omitió pronunciarse sobre las demás competentes y entregar la información que obraba en sus archivos, por lo tanto, no se puede tener por atendido en su totalidad el requerimiento de información.</w:t>
      </w:r>
    </w:p>
    <w:p w14:paraId="324252AE" w14:textId="77777777" w:rsidR="00BB122C" w:rsidRDefault="00BB122C">
      <w:pPr>
        <w:widowControl w:val="0"/>
        <w:spacing w:line="360" w:lineRule="auto"/>
        <w:jc w:val="both"/>
        <w:rPr>
          <w:rFonts w:ascii="Palatino Linotype" w:eastAsia="Palatino Linotype" w:hAnsi="Palatino Linotype" w:cs="Palatino Linotype"/>
          <w:sz w:val="22"/>
          <w:szCs w:val="22"/>
        </w:rPr>
      </w:pPr>
    </w:p>
    <w:p w14:paraId="356A9E2D"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considera que el Sujeto Obligado deberá realizar la búsqueda exhaustiva y razonable en todas sus áreas competentes sin olvidar a la Tesorería y Dirección de Administración y </w:t>
      </w:r>
      <w:r>
        <w:rPr>
          <w:rFonts w:ascii="Palatino Linotype" w:eastAsia="Palatino Linotype" w:hAnsi="Palatino Linotype" w:cs="Palatino Linotype"/>
          <w:sz w:val="22"/>
          <w:szCs w:val="22"/>
        </w:rPr>
        <w:lastRenderedPageBreak/>
        <w:t xml:space="preserve">Finanzas, a efecto de proporcionar </w:t>
      </w:r>
      <w:r>
        <w:rPr>
          <w:rFonts w:ascii="Palatino Linotype" w:eastAsia="Palatino Linotype" w:hAnsi="Palatino Linotype" w:cs="Palatino Linotype"/>
          <w:color w:val="0D0D0D"/>
          <w:sz w:val="22"/>
          <w:szCs w:val="22"/>
        </w:rPr>
        <w:t xml:space="preserve">los documentos donde consten las facturas por los bienes adquiridos al trece de junio </w:t>
      </w:r>
      <w:r>
        <w:rPr>
          <w:rFonts w:ascii="Palatino Linotype" w:eastAsia="Palatino Linotype" w:hAnsi="Palatino Linotype" w:cs="Palatino Linotype"/>
          <w:sz w:val="22"/>
          <w:szCs w:val="22"/>
        </w:rPr>
        <w:t>de dos mil veinticinco</w:t>
      </w:r>
      <w:r>
        <w:rPr>
          <w:rFonts w:ascii="Palatino Linotype" w:eastAsia="Palatino Linotype" w:hAnsi="Palatino Linotype" w:cs="Palatino Linotype"/>
          <w:color w:val="0D0D0D"/>
          <w:sz w:val="22"/>
          <w:szCs w:val="22"/>
        </w:rPr>
        <w:t xml:space="preserve">, a efecto de dar cumplimiento a lo </w:t>
      </w:r>
      <w:r>
        <w:rPr>
          <w:rFonts w:ascii="Palatino Linotype" w:eastAsia="Palatino Linotype" w:hAnsi="Palatino Linotype" w:cs="Palatino Linotype"/>
          <w:sz w:val="22"/>
          <w:szCs w:val="22"/>
        </w:rPr>
        <w:t>dispuesto por los artículos 12 y 160 de la Ley de la materia; no pasa desapercibido que los documentos que den cuenta de la información solicitada, pudieran tener los siguientes datos, los cuales se precisan de manera enunciativa, más no limitativa</w:t>
      </w:r>
    </w:p>
    <w:p w14:paraId="5642EA54" w14:textId="77777777" w:rsidR="00BB122C" w:rsidRDefault="00BB122C">
      <w:pPr>
        <w:spacing w:line="360" w:lineRule="auto"/>
        <w:jc w:val="both"/>
        <w:rPr>
          <w:rFonts w:ascii="Palatino Linotype" w:eastAsia="Palatino Linotype" w:hAnsi="Palatino Linotype" w:cs="Palatino Linotype"/>
          <w:sz w:val="22"/>
          <w:szCs w:val="22"/>
        </w:rPr>
      </w:pPr>
    </w:p>
    <w:p w14:paraId="60248B61"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Registro Federal de Contribuyentes (RFC) de proveedores;</w:t>
      </w:r>
    </w:p>
    <w:p w14:paraId="7503F388"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Código Bidimensional o QR;</w:t>
      </w:r>
    </w:p>
    <w:p w14:paraId="33A2ACCE"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Uso CFDI o efecto del comprobante;</w:t>
      </w:r>
    </w:p>
    <w:p w14:paraId="02CC332E"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6ED4251A"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Folio del Comprobante Fiscal Digital por Internet; y</w:t>
      </w:r>
    </w:p>
    <w:p w14:paraId="5BA05BE5"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Lugar de Expedición de la factura.</w:t>
      </w:r>
    </w:p>
    <w:p w14:paraId="31F23DEE" w14:textId="77777777" w:rsidR="00BB122C" w:rsidRDefault="00BB122C">
      <w:pPr>
        <w:spacing w:line="360" w:lineRule="auto"/>
        <w:jc w:val="both"/>
        <w:rPr>
          <w:rFonts w:ascii="Palatino Linotype" w:eastAsia="Palatino Linotype" w:hAnsi="Palatino Linotype" w:cs="Palatino Linotype"/>
          <w:sz w:val="22"/>
          <w:szCs w:val="22"/>
        </w:rPr>
      </w:pPr>
    </w:p>
    <w:p w14:paraId="353E8FDB"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resulta procedente analizar si dichos datos son públicos o privados; en principio, cabe mencionar que el artículo 143, fracción I,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3C218778" w14:textId="77777777" w:rsidR="00BB122C" w:rsidRDefault="00BB122C">
      <w:pPr>
        <w:spacing w:line="360" w:lineRule="auto"/>
        <w:jc w:val="both"/>
        <w:rPr>
          <w:rFonts w:ascii="Palatino Linotype" w:eastAsia="Palatino Linotype" w:hAnsi="Palatino Linotype" w:cs="Palatino Linotype"/>
          <w:sz w:val="22"/>
          <w:szCs w:val="22"/>
        </w:rPr>
      </w:pPr>
    </w:p>
    <w:p w14:paraId="6D56E84C"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el artículo 145 de la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Pr>
          <w:rFonts w:ascii="Palatino Linotype" w:eastAsia="Palatino Linotype" w:hAnsi="Palatino Linotype" w:cs="Palatino Linotype"/>
          <w:sz w:val="22"/>
          <w:szCs w:val="22"/>
        </w:rPr>
        <w:t>ii</w:t>
      </w:r>
      <w:proofErr w:type="spellEnd"/>
      <w:r>
        <w:rPr>
          <w:rFonts w:ascii="Palatino Linotype" w:eastAsia="Palatino Linotype" w:hAnsi="Palatino Linotype" w:cs="Palatino Linotype"/>
          <w:sz w:val="22"/>
          <w:szCs w:val="22"/>
        </w:rPr>
        <w:t xml:space="preserve">) por ley tenga el </w:t>
      </w:r>
      <w:r>
        <w:rPr>
          <w:rFonts w:ascii="Palatino Linotype" w:eastAsia="Palatino Linotype" w:hAnsi="Palatino Linotype" w:cs="Palatino Linotype"/>
          <w:sz w:val="22"/>
          <w:szCs w:val="22"/>
        </w:rPr>
        <w:lastRenderedPageBreak/>
        <w:t xml:space="preserve">carácter de pública, </w:t>
      </w:r>
      <w:proofErr w:type="spellStart"/>
      <w:r>
        <w:rPr>
          <w:rFonts w:ascii="Palatino Linotype" w:eastAsia="Palatino Linotype" w:hAnsi="Palatino Linotype" w:cs="Palatino Linotype"/>
          <w:sz w:val="22"/>
          <w:szCs w:val="22"/>
        </w:rPr>
        <w:t>iii</w:t>
      </w:r>
      <w:proofErr w:type="spellEnd"/>
      <w:r>
        <w:rPr>
          <w:rFonts w:ascii="Palatino Linotype" w:eastAsia="Palatino Linotype" w:hAnsi="Palatino Linotype" w:cs="Palatino Linotype"/>
          <w:sz w:val="22"/>
          <w:szCs w:val="22"/>
        </w:rPr>
        <w:t xml:space="preserve">) exista una orden judicial, </w:t>
      </w:r>
      <w:proofErr w:type="spellStart"/>
      <w:r>
        <w:rPr>
          <w:rFonts w:ascii="Palatino Linotype" w:eastAsia="Palatino Linotype" w:hAnsi="Palatino Linotype" w:cs="Palatino Linotype"/>
          <w:sz w:val="22"/>
          <w:szCs w:val="22"/>
        </w:rPr>
        <w:t>iv</w:t>
      </w:r>
      <w:proofErr w:type="spellEnd"/>
      <w:r>
        <w:rPr>
          <w:rFonts w:ascii="Palatino Linotype" w:eastAsia="Palatino Linotype" w:hAnsi="Palatino Linotype" w:cs="Palatino Linotype"/>
          <w:sz w:val="22"/>
          <w:szCs w:val="22"/>
        </w:rPr>
        <w:t>) por razones de seguridad nacional y salubridad general o v) para proteger los derechos de terceros o cuando se transmita entre sujetos obligados en términos de los tratados y los acuerdos interinstitucionales.</w:t>
      </w:r>
    </w:p>
    <w:p w14:paraId="3A1AA66B" w14:textId="77777777" w:rsidR="00BB122C" w:rsidRDefault="00BB122C">
      <w:pPr>
        <w:spacing w:line="360" w:lineRule="auto"/>
        <w:jc w:val="both"/>
        <w:rPr>
          <w:rFonts w:ascii="Palatino Linotype" w:eastAsia="Palatino Linotype" w:hAnsi="Palatino Linotype" w:cs="Palatino Linotype"/>
          <w:sz w:val="22"/>
          <w:szCs w:val="22"/>
        </w:rPr>
      </w:pPr>
    </w:p>
    <w:p w14:paraId="2B6F259F"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términos de lo expuesto, la documentación y aquellos datos que se consideren confidenciales, serán una limitante del derecho de acceso a la información, siempre y cuando:</w:t>
      </w:r>
    </w:p>
    <w:p w14:paraId="62031AED" w14:textId="77777777" w:rsidR="00BB122C" w:rsidRDefault="00BB122C">
      <w:pPr>
        <w:spacing w:line="360" w:lineRule="auto"/>
        <w:jc w:val="both"/>
        <w:rPr>
          <w:rFonts w:ascii="Palatino Linotype" w:eastAsia="Palatino Linotype" w:hAnsi="Palatino Linotype" w:cs="Palatino Linotype"/>
          <w:sz w:val="22"/>
          <w:szCs w:val="22"/>
        </w:rPr>
      </w:pPr>
    </w:p>
    <w:p w14:paraId="2C2CF1F5"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w:t>
      </w:r>
      <w:r>
        <w:rPr>
          <w:rFonts w:ascii="Palatino Linotype" w:eastAsia="Palatino Linotype" w:hAnsi="Palatino Linotype" w:cs="Palatino Linotype"/>
          <w:sz w:val="22"/>
          <w:szCs w:val="22"/>
        </w:rPr>
        <w:tab/>
        <w:t xml:space="preserve">Se trate de datos personales o información privada; esto es, información concerniente a una persona física o jurídico colectiva y que esta sea identificada o identificable. </w:t>
      </w:r>
    </w:p>
    <w:p w14:paraId="534B0125" w14:textId="77777777" w:rsidR="00BB122C" w:rsidRDefault="00BB122C">
      <w:pPr>
        <w:spacing w:line="360" w:lineRule="auto"/>
        <w:jc w:val="both"/>
        <w:rPr>
          <w:rFonts w:ascii="Palatino Linotype" w:eastAsia="Palatino Linotype" w:hAnsi="Palatino Linotype" w:cs="Palatino Linotype"/>
          <w:sz w:val="22"/>
          <w:szCs w:val="22"/>
        </w:rPr>
      </w:pPr>
    </w:p>
    <w:p w14:paraId="7F77CAAB"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w:t>
      </w:r>
      <w:r>
        <w:rPr>
          <w:rFonts w:ascii="Palatino Linotype" w:eastAsia="Palatino Linotype" w:hAnsi="Palatino Linotype" w:cs="Palatino Linotype"/>
          <w:sz w:val="22"/>
          <w:szCs w:val="22"/>
        </w:rPr>
        <w:tab/>
        <w:t>Para la difusión de los datos, se requiera el consentimiento del titular.</w:t>
      </w:r>
    </w:p>
    <w:p w14:paraId="31A70758" w14:textId="77777777" w:rsidR="00BB122C" w:rsidRDefault="00BB122C">
      <w:pPr>
        <w:spacing w:line="360" w:lineRule="auto"/>
        <w:jc w:val="both"/>
        <w:rPr>
          <w:rFonts w:ascii="Palatino Linotype" w:eastAsia="Palatino Linotype" w:hAnsi="Palatino Linotype" w:cs="Palatino Linotype"/>
          <w:sz w:val="22"/>
          <w:szCs w:val="22"/>
        </w:rPr>
      </w:pPr>
    </w:p>
    <w:p w14:paraId="6FD1934E"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560D1D75" w14:textId="77777777" w:rsidR="00BB122C" w:rsidRDefault="00BB122C">
      <w:pPr>
        <w:spacing w:line="360" w:lineRule="auto"/>
        <w:jc w:val="both"/>
        <w:rPr>
          <w:rFonts w:ascii="Palatino Linotype" w:eastAsia="Palatino Linotype" w:hAnsi="Palatino Linotype" w:cs="Palatino Linotype"/>
          <w:sz w:val="22"/>
          <w:szCs w:val="22"/>
        </w:rPr>
      </w:pPr>
    </w:p>
    <w:p w14:paraId="502FF0BD"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en el artículo 5° de dicho ordenamiento jurídico, establece que es la Ley aplicable para todo tratamiento de datos personales.</w:t>
      </w:r>
    </w:p>
    <w:p w14:paraId="5A335754" w14:textId="77777777" w:rsidR="00BB122C" w:rsidRDefault="00BB122C">
      <w:pPr>
        <w:spacing w:line="360" w:lineRule="auto"/>
        <w:jc w:val="both"/>
        <w:rPr>
          <w:rFonts w:ascii="Palatino Linotype" w:eastAsia="Palatino Linotype" w:hAnsi="Palatino Linotype" w:cs="Palatino Linotype"/>
          <w:sz w:val="22"/>
          <w:szCs w:val="22"/>
        </w:rPr>
      </w:pPr>
    </w:p>
    <w:p w14:paraId="7EAA1518"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los artículos 6°, 7°, 8° y 14 de la Ley de Protección de Datos Personales en Posesión de Sujetos Obligados del Estado de México y Municipios disponen que los </w:t>
      </w:r>
      <w:r>
        <w:rPr>
          <w:rFonts w:ascii="Palatino Linotype" w:eastAsia="Palatino Linotype" w:hAnsi="Palatino Linotype" w:cs="Palatino Linotype"/>
          <w:sz w:val="22"/>
          <w:szCs w:val="22"/>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analizarán si los datos mencionados, son confidenciales o públicos.</w:t>
      </w:r>
    </w:p>
    <w:p w14:paraId="5DF822EB" w14:textId="77777777" w:rsidR="00BB122C" w:rsidRDefault="00BB122C">
      <w:pPr>
        <w:spacing w:line="360" w:lineRule="auto"/>
        <w:jc w:val="both"/>
        <w:rPr>
          <w:rFonts w:ascii="Palatino Linotype" w:eastAsia="Palatino Linotype" w:hAnsi="Palatino Linotype" w:cs="Palatino Linotype"/>
          <w:sz w:val="22"/>
          <w:szCs w:val="22"/>
        </w:rPr>
      </w:pPr>
    </w:p>
    <w:p w14:paraId="13606C1D" w14:textId="77777777" w:rsidR="00BB122C" w:rsidRDefault="00E7427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sz w:val="22"/>
          <w:szCs w:val="22"/>
        </w:rPr>
        <w:tab/>
        <w:t>Registro Federal de Contribuyentes de proveedor.</w:t>
      </w:r>
    </w:p>
    <w:p w14:paraId="752046BC" w14:textId="77777777" w:rsidR="00BB122C" w:rsidRDefault="00BB122C">
      <w:pPr>
        <w:spacing w:line="360" w:lineRule="auto"/>
        <w:jc w:val="both"/>
        <w:rPr>
          <w:rFonts w:ascii="Palatino Linotype" w:eastAsia="Palatino Linotype" w:hAnsi="Palatino Linotype" w:cs="Palatino Linotype"/>
          <w:sz w:val="22"/>
          <w:szCs w:val="22"/>
        </w:rPr>
      </w:pPr>
    </w:p>
    <w:p w14:paraId="72468EF5" w14:textId="77777777" w:rsidR="00BB122C" w:rsidRDefault="00E7427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Persona física:</w:t>
      </w:r>
    </w:p>
    <w:p w14:paraId="17E7462A" w14:textId="77777777" w:rsidR="00BB122C" w:rsidRDefault="00BB122C">
      <w:pPr>
        <w:spacing w:line="360" w:lineRule="auto"/>
        <w:jc w:val="both"/>
        <w:rPr>
          <w:rFonts w:ascii="Palatino Linotype" w:eastAsia="Palatino Linotype" w:hAnsi="Palatino Linotype" w:cs="Palatino Linotype"/>
          <w:sz w:val="22"/>
          <w:szCs w:val="22"/>
        </w:rPr>
      </w:pPr>
    </w:p>
    <w:p w14:paraId="1E7B8829"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4234AA4" w14:textId="77777777" w:rsidR="00BB122C" w:rsidRDefault="00BB122C">
      <w:pPr>
        <w:spacing w:line="360" w:lineRule="auto"/>
        <w:jc w:val="both"/>
        <w:rPr>
          <w:rFonts w:ascii="Palatino Linotype" w:eastAsia="Palatino Linotype" w:hAnsi="Palatino Linotype" w:cs="Palatino Linotype"/>
          <w:sz w:val="22"/>
          <w:szCs w:val="22"/>
        </w:rPr>
      </w:pPr>
    </w:p>
    <w:p w14:paraId="58F31C77"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la clave del Registro Federal de </w:t>
      </w:r>
      <w:proofErr w:type="gramStart"/>
      <w:r>
        <w:rPr>
          <w:rFonts w:ascii="Palatino Linotype" w:eastAsia="Palatino Linotype" w:hAnsi="Palatino Linotype" w:cs="Palatino Linotype"/>
          <w:sz w:val="22"/>
          <w:szCs w:val="22"/>
        </w:rPr>
        <w:t>Contribuyentes,</w:t>
      </w:r>
      <w:proofErr w:type="gramEnd"/>
      <w:r>
        <w:rPr>
          <w:rFonts w:ascii="Palatino Linotype" w:eastAsia="Palatino Linotype" w:hAnsi="Palatino Linotype" w:cs="Palatino Linotype"/>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197E57D" w14:textId="77777777" w:rsidR="00BB122C" w:rsidRDefault="00BB122C">
      <w:pPr>
        <w:spacing w:line="360" w:lineRule="auto"/>
        <w:jc w:val="both"/>
        <w:rPr>
          <w:rFonts w:ascii="Palatino Linotype" w:eastAsia="Palatino Linotype" w:hAnsi="Palatino Linotype" w:cs="Palatino Linotype"/>
          <w:sz w:val="22"/>
          <w:szCs w:val="22"/>
        </w:rPr>
      </w:pPr>
    </w:p>
    <w:p w14:paraId="3B4BA13C"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expuesto, el Registro Federal de Contribuyentes, es un dato personal, ya que hace a las personas físicas identificas e identificables, además de que las relaciona como </w:t>
      </w:r>
      <w:r>
        <w:rPr>
          <w:rFonts w:ascii="Palatino Linotype" w:eastAsia="Palatino Linotype" w:hAnsi="Palatino Linotype" w:cs="Palatino Linotype"/>
          <w:sz w:val="22"/>
          <w:szCs w:val="22"/>
        </w:rPr>
        <w:lastRenderedPageBreak/>
        <w:t>contribuyentes de las autoridades fiscales. 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5F7556CF" w14:textId="77777777" w:rsidR="00BB122C" w:rsidRDefault="00BB122C">
      <w:pPr>
        <w:spacing w:line="360" w:lineRule="auto"/>
        <w:jc w:val="both"/>
        <w:rPr>
          <w:rFonts w:ascii="Palatino Linotype" w:eastAsia="Palatino Linotype" w:hAnsi="Palatino Linotype" w:cs="Palatino Linotype"/>
          <w:sz w:val="22"/>
          <w:szCs w:val="22"/>
        </w:rPr>
      </w:pPr>
    </w:p>
    <w:p w14:paraId="33902A9A"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14:paraId="3CBF22E6" w14:textId="77777777" w:rsidR="00BB122C" w:rsidRDefault="00BB122C">
      <w:pPr>
        <w:spacing w:line="360" w:lineRule="auto"/>
        <w:jc w:val="both"/>
        <w:rPr>
          <w:rFonts w:ascii="Palatino Linotype" w:eastAsia="Palatino Linotype" w:hAnsi="Palatino Linotype" w:cs="Palatino Linotype"/>
          <w:sz w:val="22"/>
          <w:szCs w:val="22"/>
        </w:rPr>
      </w:pPr>
    </w:p>
    <w:p w14:paraId="0BAA99F0"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obstante lo anterior, 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14:paraId="2AE0517F" w14:textId="77777777" w:rsidR="00BB122C" w:rsidRDefault="00BB122C">
      <w:pPr>
        <w:spacing w:line="360" w:lineRule="auto"/>
        <w:jc w:val="both"/>
        <w:rPr>
          <w:rFonts w:ascii="Palatino Linotype" w:eastAsia="Palatino Linotype" w:hAnsi="Palatino Linotype" w:cs="Palatino Linotype"/>
          <w:sz w:val="22"/>
          <w:szCs w:val="22"/>
        </w:rPr>
      </w:pPr>
    </w:p>
    <w:p w14:paraId="7AA34FA6"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14:paraId="66337D54" w14:textId="77777777" w:rsidR="00BB122C" w:rsidRDefault="00BB122C">
      <w:pPr>
        <w:spacing w:line="360" w:lineRule="auto"/>
        <w:jc w:val="both"/>
        <w:rPr>
          <w:rFonts w:ascii="Palatino Linotype" w:eastAsia="Palatino Linotype" w:hAnsi="Palatino Linotype" w:cs="Palatino Linotype"/>
          <w:sz w:val="22"/>
          <w:szCs w:val="22"/>
        </w:rPr>
      </w:pPr>
    </w:p>
    <w:p w14:paraId="605BDA41"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entregar el Registro Federal de Contribuyentes aún de personas físicas cuando son proveedores de instituciones públicas, propiciaría la rendición de cuentas, al </w:t>
      </w:r>
      <w:r>
        <w:rPr>
          <w:rFonts w:ascii="Palatino Linotype" w:eastAsia="Palatino Linotype" w:hAnsi="Palatino Linotype" w:cs="Palatino Linotype"/>
          <w:sz w:val="22"/>
          <w:szCs w:val="22"/>
        </w:rPr>
        <w:lastRenderedPageBreak/>
        <w:t>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3ED0C82E" w14:textId="77777777" w:rsidR="00BB122C" w:rsidRDefault="00BB122C">
      <w:pPr>
        <w:spacing w:line="360" w:lineRule="auto"/>
        <w:jc w:val="both"/>
        <w:rPr>
          <w:rFonts w:ascii="Palatino Linotype" w:eastAsia="Palatino Linotype" w:hAnsi="Palatino Linotype" w:cs="Palatino Linotype"/>
          <w:sz w:val="22"/>
          <w:szCs w:val="22"/>
        </w:rPr>
      </w:pPr>
    </w:p>
    <w:p w14:paraId="6A9C5B02"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robustece con el Criterio de Interpretación, de la Segunda Época, con número de registro SO/004/2021, emitido por el Instituto Nacional de Transparencia, Acceso a la Información y Protección de Datos Personales, en el cual se señala lo siguiente:</w:t>
      </w:r>
    </w:p>
    <w:p w14:paraId="0B5C54D0" w14:textId="77777777" w:rsidR="00BB122C" w:rsidRDefault="00BB122C">
      <w:pPr>
        <w:spacing w:line="360" w:lineRule="auto"/>
        <w:jc w:val="both"/>
        <w:rPr>
          <w:rFonts w:ascii="Palatino Linotype" w:eastAsia="Palatino Linotype" w:hAnsi="Palatino Linotype" w:cs="Palatino Linotype"/>
          <w:sz w:val="22"/>
          <w:szCs w:val="22"/>
        </w:rPr>
      </w:pPr>
    </w:p>
    <w:p w14:paraId="702E776B"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“Registro Federal de Contribuyentes (RFC) de personas físicas proveedores o contratistas. El RFC de contratistas o proveedores de sujetos obligados debe ser público, </w:t>
      </w:r>
      <w:proofErr w:type="gramStart"/>
      <w:r>
        <w:rPr>
          <w:rFonts w:ascii="Palatino Linotype" w:eastAsia="Palatino Linotype" w:hAnsi="Palatino Linotype" w:cs="Palatino Linotype"/>
          <w:sz w:val="22"/>
          <w:szCs w:val="22"/>
        </w:rPr>
        <w:t>ya que</w:t>
      </w:r>
      <w:proofErr w:type="gramEnd"/>
      <w:r>
        <w:rPr>
          <w:rFonts w:ascii="Palatino Linotype" w:eastAsia="Palatino Linotype" w:hAnsi="Palatino Linotype" w:cs="Palatino Linotype"/>
          <w:sz w:val="22"/>
          <w:szCs w:val="22"/>
        </w:rPr>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41A82521" w14:textId="77777777" w:rsidR="00BB122C" w:rsidRDefault="00BB122C">
      <w:pPr>
        <w:spacing w:line="360" w:lineRule="auto"/>
        <w:jc w:val="both"/>
        <w:rPr>
          <w:rFonts w:ascii="Palatino Linotype" w:eastAsia="Palatino Linotype" w:hAnsi="Palatino Linotype" w:cs="Palatino Linotype"/>
          <w:sz w:val="22"/>
          <w:szCs w:val="22"/>
        </w:rPr>
      </w:pPr>
    </w:p>
    <w:p w14:paraId="6AA53422"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conclusión, toda vez, que el Registro Federal de Contribuyentes de proveedores,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5ECDF1B0" w14:textId="77777777" w:rsidR="00BB122C" w:rsidRDefault="00BB122C">
      <w:pPr>
        <w:spacing w:line="360" w:lineRule="auto"/>
        <w:jc w:val="both"/>
        <w:rPr>
          <w:rFonts w:ascii="Palatino Linotype" w:eastAsia="Palatino Linotype" w:hAnsi="Palatino Linotype" w:cs="Palatino Linotype"/>
          <w:sz w:val="22"/>
          <w:szCs w:val="22"/>
        </w:rPr>
      </w:pPr>
    </w:p>
    <w:p w14:paraId="1DBDD803" w14:textId="77777777" w:rsidR="00BB122C" w:rsidRDefault="00E7427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Persona Moral.</w:t>
      </w:r>
    </w:p>
    <w:p w14:paraId="1714B439" w14:textId="77777777" w:rsidR="00BB122C" w:rsidRDefault="00BB122C">
      <w:pPr>
        <w:spacing w:line="360" w:lineRule="auto"/>
        <w:jc w:val="both"/>
        <w:rPr>
          <w:rFonts w:ascii="Palatino Linotype" w:eastAsia="Palatino Linotype" w:hAnsi="Palatino Linotype" w:cs="Palatino Linotype"/>
          <w:sz w:val="22"/>
          <w:szCs w:val="22"/>
        </w:rPr>
      </w:pPr>
    </w:p>
    <w:p w14:paraId="1052ACFA"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w:t>
      </w:r>
      <w:r>
        <w:rPr>
          <w:rFonts w:ascii="Palatino Linotype" w:eastAsia="Palatino Linotype" w:hAnsi="Palatino Linotype" w:cs="Palatino Linotype"/>
          <w:sz w:val="22"/>
          <w:szCs w:val="22"/>
        </w:rPr>
        <w:lastRenderedPageBreak/>
        <w:t>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4EC2A41F" w14:textId="77777777" w:rsidR="00BB122C" w:rsidRDefault="00BB122C">
      <w:pPr>
        <w:spacing w:line="360" w:lineRule="auto"/>
        <w:jc w:val="both"/>
        <w:rPr>
          <w:rFonts w:ascii="Palatino Linotype" w:eastAsia="Palatino Linotype" w:hAnsi="Palatino Linotype" w:cs="Palatino Linotype"/>
          <w:sz w:val="22"/>
          <w:szCs w:val="22"/>
        </w:rPr>
      </w:pPr>
    </w:p>
    <w:p w14:paraId="1C1F2709"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ende, la información correspondiente al Registro Federal de Contribuyentes de una persona moral da cuenta del cumplimiento o no en sus obligaciones fiscales; por tanto, no se actualiza su clasificación como confidencial.</w:t>
      </w:r>
    </w:p>
    <w:p w14:paraId="72293BB7" w14:textId="77777777" w:rsidR="00BB122C" w:rsidRDefault="00BB122C">
      <w:pPr>
        <w:spacing w:line="360" w:lineRule="auto"/>
        <w:jc w:val="both"/>
        <w:rPr>
          <w:rFonts w:ascii="Palatino Linotype" w:eastAsia="Palatino Linotype" w:hAnsi="Palatino Linotype" w:cs="Palatino Linotype"/>
          <w:sz w:val="22"/>
          <w:szCs w:val="22"/>
        </w:rPr>
      </w:pPr>
    </w:p>
    <w:p w14:paraId="32E4C535"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resulta aplicable por analogía el Criterio de Interpretación, de la Segunda Época, con número de registro 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0D6E411F" w14:textId="77777777" w:rsidR="00BB122C" w:rsidRDefault="00BB122C">
      <w:pPr>
        <w:spacing w:line="360" w:lineRule="auto"/>
        <w:jc w:val="both"/>
        <w:rPr>
          <w:rFonts w:ascii="Palatino Linotype" w:eastAsia="Palatino Linotype" w:hAnsi="Palatino Linotype" w:cs="Palatino Linotype"/>
          <w:sz w:val="22"/>
          <w:szCs w:val="22"/>
        </w:rPr>
      </w:pPr>
    </w:p>
    <w:p w14:paraId="59C504F2"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765BAB13" w14:textId="77777777" w:rsidR="00BB122C" w:rsidRDefault="00BB122C">
      <w:pPr>
        <w:spacing w:line="360" w:lineRule="auto"/>
        <w:jc w:val="both"/>
        <w:rPr>
          <w:rFonts w:ascii="Palatino Linotype" w:eastAsia="Palatino Linotype" w:hAnsi="Palatino Linotype" w:cs="Palatino Linotype"/>
          <w:sz w:val="22"/>
          <w:szCs w:val="22"/>
        </w:rPr>
      </w:pPr>
    </w:p>
    <w:p w14:paraId="35BEFF13"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r>
      <w:r>
        <w:rPr>
          <w:rFonts w:ascii="Palatino Linotype" w:eastAsia="Palatino Linotype" w:hAnsi="Palatino Linotype" w:cs="Palatino Linotype"/>
          <w:b/>
          <w:sz w:val="22"/>
          <w:szCs w:val="22"/>
        </w:rPr>
        <w:t>Código Bidimensional o QR</w:t>
      </w:r>
    </w:p>
    <w:p w14:paraId="7B4C4973" w14:textId="77777777" w:rsidR="00BB122C" w:rsidRDefault="00BB122C">
      <w:pPr>
        <w:spacing w:line="360" w:lineRule="auto"/>
        <w:jc w:val="both"/>
        <w:rPr>
          <w:rFonts w:ascii="Palatino Linotype" w:eastAsia="Palatino Linotype" w:hAnsi="Palatino Linotype" w:cs="Palatino Linotype"/>
          <w:sz w:val="22"/>
          <w:szCs w:val="22"/>
        </w:rPr>
      </w:pPr>
    </w:p>
    <w:p w14:paraId="38AAC0E8"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En principio, resulta necesario señalar que los comprobantes fiscales digitales por Internet, deben de incluir un código bidimensional conforme al formato QR </w:t>
      </w:r>
      <w:proofErr w:type="spellStart"/>
      <w:r>
        <w:rPr>
          <w:rFonts w:ascii="Palatino Linotype" w:eastAsia="Palatino Linotype" w:hAnsi="Palatino Linotype" w:cs="Palatino Linotype"/>
          <w:sz w:val="22"/>
          <w:szCs w:val="22"/>
        </w:rPr>
        <w:t>Code</w:t>
      </w:r>
      <w:proofErr w:type="spellEnd"/>
      <w:r>
        <w:rPr>
          <w:rFonts w:ascii="Palatino Linotype" w:eastAsia="Palatino Linotype" w:hAnsi="Palatino Linotype" w:cs="Palatino Linotype"/>
          <w:sz w:val="22"/>
          <w:szCs w:val="22"/>
        </w:rPr>
        <w:t xml:space="preserve"> (Quick Response </w:t>
      </w:r>
      <w:proofErr w:type="spellStart"/>
      <w:r>
        <w:rPr>
          <w:rFonts w:ascii="Palatino Linotype" w:eastAsia="Palatino Linotype" w:hAnsi="Palatino Linotype" w:cs="Palatino Linotype"/>
          <w:sz w:val="22"/>
          <w:szCs w:val="22"/>
        </w:rPr>
        <w:t>Code</w:t>
      </w:r>
      <w:proofErr w:type="spellEnd"/>
      <w:r>
        <w:rPr>
          <w:rFonts w:ascii="Palatino Linotype" w:eastAsia="Palatino Linotype" w:hAnsi="Palatino Linotype" w:cs="Palatino Linotype"/>
          <w:sz w:val="22"/>
          <w:szCs w:val="22"/>
        </w:rPr>
        <w:t>), el cual contiene el Registro Federal de Contribuyentes del receptor, del emisor, o de ambos; lo anterior, conforme al Anexo 20 de la Segunda Resolución de modificación a la Resolución Miscelánea Fiscal para el 2017, localizada en la página electrónica http://dof.gob.mx/nota_detalle.php?codigo=5492254&amp;fecha=28/07/2017.  Incluso con la captura de dicho código, a través de la aplicación móvil del Servicio de Administración Tributaria, permite el acceso al Registro Federal de Contribuyentes, como del Sujeto Obligado, como del proveedor, persona física o moral. 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09B74F23" w14:textId="77777777" w:rsidR="00BB122C" w:rsidRDefault="00BB122C">
      <w:pPr>
        <w:spacing w:line="360" w:lineRule="auto"/>
        <w:jc w:val="both"/>
        <w:rPr>
          <w:rFonts w:ascii="Palatino Linotype" w:eastAsia="Palatino Linotype" w:hAnsi="Palatino Linotype" w:cs="Palatino Linotype"/>
          <w:sz w:val="22"/>
          <w:szCs w:val="22"/>
        </w:rPr>
      </w:pPr>
    </w:p>
    <w:p w14:paraId="5863B6CC"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r>
      <w:r>
        <w:rPr>
          <w:rFonts w:ascii="Palatino Linotype" w:eastAsia="Palatino Linotype" w:hAnsi="Palatino Linotype" w:cs="Palatino Linotype"/>
          <w:b/>
          <w:sz w:val="22"/>
          <w:szCs w:val="22"/>
        </w:rPr>
        <w:t>Uso CFDI o efecto del comprobante</w:t>
      </w:r>
    </w:p>
    <w:p w14:paraId="04689C16" w14:textId="77777777" w:rsidR="00BB122C" w:rsidRDefault="00BB122C">
      <w:pPr>
        <w:spacing w:line="360" w:lineRule="auto"/>
        <w:jc w:val="both"/>
        <w:rPr>
          <w:rFonts w:ascii="Palatino Linotype" w:eastAsia="Palatino Linotype" w:hAnsi="Palatino Linotype" w:cs="Palatino Linotype"/>
          <w:sz w:val="22"/>
          <w:szCs w:val="22"/>
        </w:rPr>
      </w:pPr>
    </w:p>
    <w:p w14:paraId="3C38A1A7"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dicho dato, es un indicador, que precisa el uso que le dará el receptor de una factura a dicho comprobante, conforme al catálogo emitido por el Servicio de Administración Tributaria, del cual se proporciona un ejemplo:</w:t>
      </w:r>
    </w:p>
    <w:p w14:paraId="639E5D35" w14:textId="77777777" w:rsidR="00BB122C" w:rsidRDefault="00BB122C">
      <w:pPr>
        <w:spacing w:line="360" w:lineRule="auto"/>
        <w:jc w:val="both"/>
        <w:rPr>
          <w:rFonts w:ascii="Palatino Linotype" w:eastAsia="Palatino Linotype" w:hAnsi="Palatino Linotype" w:cs="Palatino Linotype"/>
          <w:sz w:val="22"/>
          <w:szCs w:val="22"/>
        </w:rPr>
      </w:pPr>
    </w:p>
    <w:p w14:paraId="4D6A966A" w14:textId="77777777" w:rsidR="00BB122C" w:rsidRDefault="00BB122C">
      <w:pPr>
        <w:spacing w:line="360" w:lineRule="auto"/>
        <w:jc w:val="both"/>
        <w:rPr>
          <w:rFonts w:ascii="Palatino Linotype" w:eastAsia="Palatino Linotype" w:hAnsi="Palatino Linotype" w:cs="Palatino Linotype"/>
          <w:sz w:val="22"/>
          <w:szCs w:val="22"/>
        </w:rPr>
      </w:pPr>
    </w:p>
    <w:p w14:paraId="0D194A63" w14:textId="77777777" w:rsidR="00BB122C" w:rsidRDefault="00BB122C">
      <w:pPr>
        <w:spacing w:line="360" w:lineRule="auto"/>
        <w:jc w:val="both"/>
        <w:rPr>
          <w:rFonts w:ascii="Palatino Linotype" w:eastAsia="Palatino Linotype" w:hAnsi="Palatino Linotype" w:cs="Palatino Linotype"/>
          <w:sz w:val="22"/>
          <w:szCs w:val="22"/>
        </w:rPr>
      </w:pPr>
    </w:p>
    <w:p w14:paraId="1E475E55" w14:textId="77777777" w:rsidR="00BB122C" w:rsidRDefault="00BB122C">
      <w:pPr>
        <w:spacing w:line="360" w:lineRule="auto"/>
        <w:jc w:val="both"/>
        <w:rPr>
          <w:rFonts w:ascii="Palatino Linotype" w:eastAsia="Palatino Linotype" w:hAnsi="Palatino Linotype" w:cs="Palatino Linotype"/>
          <w:sz w:val="22"/>
          <w:szCs w:val="22"/>
        </w:rPr>
      </w:pPr>
    </w:p>
    <w:p w14:paraId="32FA965B" w14:textId="77777777" w:rsidR="00BB122C" w:rsidRDefault="00BB122C">
      <w:pPr>
        <w:spacing w:line="360" w:lineRule="auto"/>
        <w:jc w:val="both"/>
        <w:rPr>
          <w:rFonts w:ascii="Palatino Linotype" w:eastAsia="Palatino Linotype" w:hAnsi="Palatino Linotype" w:cs="Palatino Linotype"/>
          <w:sz w:val="22"/>
          <w:szCs w:val="22"/>
        </w:rPr>
      </w:pPr>
    </w:p>
    <w:p w14:paraId="5266F2BB" w14:textId="77777777" w:rsidR="00BB122C" w:rsidRDefault="00E74273">
      <w:pPr>
        <w:spacing w:line="360" w:lineRule="auto"/>
        <w:jc w:val="center"/>
        <w:rPr>
          <w:rFonts w:ascii="Palatino Linotype" w:eastAsia="Palatino Linotype" w:hAnsi="Palatino Linotype" w:cs="Palatino Linotype"/>
          <w:sz w:val="22"/>
          <w:szCs w:val="22"/>
        </w:rPr>
      </w:pPr>
      <w:r>
        <w:rPr>
          <w:b/>
          <w:noProof/>
        </w:rPr>
        <w:lastRenderedPageBreak/>
        <w:drawing>
          <wp:inline distT="0" distB="0" distL="0" distR="0" wp14:anchorId="4B502E63" wp14:editId="5E1062BB">
            <wp:extent cx="5057775" cy="1476375"/>
            <wp:effectExtent l="0" t="0" r="0" b="0"/>
            <wp:docPr id="19450907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057775" cy="1476375"/>
                    </a:xfrm>
                    <a:prstGeom prst="rect">
                      <a:avLst/>
                    </a:prstGeom>
                    <a:ln/>
                  </pic:spPr>
                </pic:pic>
              </a:graphicData>
            </a:graphic>
          </wp:inline>
        </w:drawing>
      </w:r>
    </w:p>
    <w:p w14:paraId="527AC952" w14:textId="77777777" w:rsidR="00BB122C" w:rsidRDefault="00BB122C">
      <w:pPr>
        <w:spacing w:line="360" w:lineRule="auto"/>
        <w:jc w:val="both"/>
        <w:rPr>
          <w:rFonts w:ascii="Palatino Linotype" w:eastAsia="Palatino Linotype" w:hAnsi="Palatino Linotype" w:cs="Palatino Linotype"/>
          <w:sz w:val="22"/>
          <w:szCs w:val="22"/>
        </w:rPr>
      </w:pPr>
    </w:p>
    <w:p w14:paraId="4B8A4361" w14:textId="77777777" w:rsidR="00BB122C" w:rsidRDefault="00BB122C">
      <w:pPr>
        <w:spacing w:line="360" w:lineRule="auto"/>
        <w:jc w:val="both"/>
        <w:rPr>
          <w:rFonts w:ascii="Palatino Linotype" w:eastAsia="Palatino Linotype" w:hAnsi="Palatino Linotype" w:cs="Palatino Linotype"/>
          <w:sz w:val="22"/>
          <w:szCs w:val="22"/>
        </w:rPr>
      </w:pPr>
    </w:p>
    <w:p w14:paraId="1247ABFE"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logra observar, el dato en análisis correspondes a una clave para identificar el uso que se le dará al Comprobante Fiscal Digital por Internet, de acuerdo con una determinada descripción, por lo que, se considera que de ninguna manera revela, ni contiene datos personales y, por lo tanto, no se actualiza la causal de clasificación, prevista en el artículo 143, fracción I, de la Ley de Transparencia y Acceso a la Información Pública del Estado de México y Municipios.</w:t>
      </w:r>
    </w:p>
    <w:p w14:paraId="629DFB40" w14:textId="77777777" w:rsidR="00BB122C" w:rsidRDefault="00BB122C">
      <w:pPr>
        <w:spacing w:line="360" w:lineRule="auto"/>
        <w:jc w:val="both"/>
        <w:rPr>
          <w:rFonts w:ascii="Palatino Linotype" w:eastAsia="Palatino Linotype" w:hAnsi="Palatino Linotype" w:cs="Palatino Linotype"/>
          <w:sz w:val="22"/>
          <w:szCs w:val="22"/>
        </w:rPr>
      </w:pPr>
    </w:p>
    <w:p w14:paraId="61BCA721"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r>
      <w:r>
        <w:rPr>
          <w:rFonts w:ascii="Palatino Linotype" w:eastAsia="Palatino Linotype" w:hAnsi="Palatino Linotype" w:cs="Palatino Linotype"/>
          <w:b/>
          <w:sz w:val="22"/>
          <w:szCs w:val="22"/>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1D6497E0" w14:textId="77777777" w:rsidR="00BB122C" w:rsidRDefault="00BB122C">
      <w:pPr>
        <w:spacing w:line="360" w:lineRule="auto"/>
        <w:jc w:val="both"/>
        <w:rPr>
          <w:rFonts w:ascii="Palatino Linotype" w:eastAsia="Palatino Linotype" w:hAnsi="Palatino Linotype" w:cs="Palatino Linotype"/>
          <w:sz w:val="22"/>
          <w:szCs w:val="22"/>
        </w:rPr>
      </w:pPr>
    </w:p>
    <w:p w14:paraId="37231BA8"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w:t>
      </w:r>
      <w:r>
        <w:rPr>
          <w:rFonts w:ascii="Palatino Linotype" w:eastAsia="Palatino Linotype" w:hAnsi="Palatino Linotype" w:cs="Palatino Linotype"/>
          <w:sz w:val="22"/>
          <w:szCs w:val="22"/>
        </w:rPr>
        <w:lastRenderedPageBreak/>
        <w:t>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58E8C71C" w14:textId="77777777" w:rsidR="00BB122C" w:rsidRDefault="00BB122C">
      <w:pPr>
        <w:spacing w:line="360" w:lineRule="auto"/>
        <w:jc w:val="both"/>
        <w:rPr>
          <w:rFonts w:ascii="Palatino Linotype" w:eastAsia="Palatino Linotype" w:hAnsi="Palatino Linotype" w:cs="Palatino Linotype"/>
          <w:sz w:val="22"/>
          <w:szCs w:val="22"/>
        </w:rPr>
      </w:pPr>
    </w:p>
    <w:p w14:paraId="752B5728"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Las cadenas originales y sellos que se agregan a las </w:t>
      </w:r>
      <w:proofErr w:type="gramStart"/>
      <w:r>
        <w:rPr>
          <w:rFonts w:ascii="Palatino Linotype" w:eastAsia="Palatino Linotype" w:hAnsi="Palatino Linotype" w:cs="Palatino Linotype"/>
          <w:sz w:val="22"/>
          <w:szCs w:val="22"/>
        </w:rPr>
        <w:t>facturas,</w:t>
      </w:r>
      <w:proofErr w:type="gramEnd"/>
      <w:r>
        <w:rPr>
          <w:rFonts w:ascii="Palatino Linotype" w:eastAsia="Palatino Linotype" w:hAnsi="Palatino Linotype" w:cs="Palatino Linotype"/>
          <w:sz w:val="22"/>
          <w:szCs w:val="22"/>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1ABB9F81" w14:textId="77777777" w:rsidR="00BB122C" w:rsidRDefault="00BB122C">
      <w:pPr>
        <w:spacing w:line="360" w:lineRule="auto"/>
        <w:jc w:val="both"/>
        <w:rPr>
          <w:rFonts w:ascii="Palatino Linotype" w:eastAsia="Palatino Linotype" w:hAnsi="Palatino Linotype" w:cs="Palatino Linotype"/>
          <w:sz w:val="22"/>
          <w:szCs w:val="22"/>
        </w:rPr>
      </w:pPr>
    </w:p>
    <w:p w14:paraId="2AE2E903" w14:textId="77777777" w:rsidR="00BB122C" w:rsidRDefault="00E74273">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“Elementos utilizados en la generación de Sellos Digitales:</w:t>
      </w:r>
    </w:p>
    <w:p w14:paraId="5E11E710" w14:textId="77777777" w:rsidR="00BB122C" w:rsidRDefault="00E74273">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Cadena Original, el elemento a sellar, en este caso de un comprobante fiscal digital a través de Internet.</w:t>
      </w:r>
    </w:p>
    <w:p w14:paraId="6FDA3BE2" w14:textId="77777777" w:rsidR="00BB122C" w:rsidRDefault="00E74273">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Certificado de Sello Digital y su correspondiente clave privada.</w:t>
      </w:r>
    </w:p>
    <w:p w14:paraId="22383C99" w14:textId="77777777" w:rsidR="00BB122C" w:rsidRDefault="00E74273">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Algoritmos de criptografía de clave pública para firma electrónica avanzada.</w:t>
      </w:r>
    </w:p>
    <w:p w14:paraId="627977D8" w14:textId="77777777" w:rsidR="00BB122C" w:rsidRDefault="00E74273">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Especificaciones de conversión de la firma electrónica avanzada a Base 64.</w:t>
      </w:r>
    </w:p>
    <w:p w14:paraId="68F7977F" w14:textId="77777777" w:rsidR="00BB122C" w:rsidRDefault="00E74273">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generación de sellos digitales se utiliza criptografía de clave pública aplicada a una cadena original.</w:t>
      </w:r>
    </w:p>
    <w:p w14:paraId="7D7BD0E7" w14:textId="77777777" w:rsidR="00BB122C" w:rsidRDefault="00BB122C">
      <w:pPr>
        <w:spacing w:line="360" w:lineRule="auto"/>
        <w:jc w:val="both"/>
        <w:rPr>
          <w:rFonts w:ascii="Palatino Linotype" w:eastAsia="Palatino Linotype" w:hAnsi="Palatino Linotype" w:cs="Palatino Linotype"/>
          <w:i/>
          <w:sz w:val="22"/>
          <w:szCs w:val="22"/>
        </w:rPr>
      </w:pPr>
    </w:p>
    <w:p w14:paraId="120A3218" w14:textId="77777777" w:rsidR="00BB122C" w:rsidRDefault="00E74273">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Criptografía de la Clave Pública</w:t>
      </w:r>
    </w:p>
    <w:p w14:paraId="2C308615" w14:textId="77777777" w:rsidR="00BB122C" w:rsidRDefault="00E74273">
      <w:pPr>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criptografía de Clave Pública se basa en la generación de una pareja de números muy grandes relacionados íntimamente entre sí, de tal manera que una operación de </w:t>
      </w:r>
      <w:proofErr w:type="spellStart"/>
      <w:r>
        <w:rPr>
          <w:rFonts w:ascii="Palatino Linotype" w:eastAsia="Palatino Linotype" w:hAnsi="Palatino Linotype" w:cs="Palatino Linotype"/>
          <w:i/>
          <w:sz w:val="22"/>
          <w:szCs w:val="22"/>
        </w:rPr>
        <w:t>encripción</w:t>
      </w:r>
      <w:proofErr w:type="spellEnd"/>
      <w:r>
        <w:rPr>
          <w:rFonts w:ascii="Palatino Linotype" w:eastAsia="Palatino Linotype" w:hAnsi="Palatino Linotype" w:cs="Palatino Linotype"/>
          <w:i/>
          <w:sz w:val="22"/>
          <w:szCs w:val="22"/>
        </w:rPr>
        <w:t xml:space="preserve"> sobre un mensaje tomando como clave de </w:t>
      </w:r>
      <w:proofErr w:type="spellStart"/>
      <w:r>
        <w:rPr>
          <w:rFonts w:ascii="Palatino Linotype" w:eastAsia="Palatino Linotype" w:hAnsi="Palatino Linotype" w:cs="Palatino Linotype"/>
          <w:i/>
          <w:sz w:val="22"/>
          <w:szCs w:val="22"/>
        </w:rPr>
        <w:t>encripción</w:t>
      </w:r>
      <w:proofErr w:type="spellEnd"/>
      <w:r>
        <w:rPr>
          <w:rFonts w:ascii="Palatino Linotype" w:eastAsia="Palatino Linotype" w:hAnsi="Palatino Linotype" w:cs="Palatino Linotype"/>
          <w:i/>
          <w:sz w:val="22"/>
          <w:szCs w:val="22"/>
        </w:rPr>
        <w:t xml:space="preserve"> a uno de los dos números, produce un mensaje alterado en su </w:t>
      </w:r>
      <w:r>
        <w:rPr>
          <w:rFonts w:ascii="Palatino Linotype" w:eastAsia="Palatino Linotype" w:hAnsi="Palatino Linotype" w:cs="Palatino Linotype"/>
          <w:i/>
          <w:sz w:val="22"/>
          <w:szCs w:val="22"/>
        </w:rPr>
        <w:lastRenderedPageBreak/>
        <w:t>significado que solo puede ser devuelto a su estado original mediante la operación de descripción correspondiente tomando como clave de descripción al otro número de la pareja.”</w:t>
      </w:r>
    </w:p>
    <w:p w14:paraId="5C94926B" w14:textId="77777777" w:rsidR="00BB122C" w:rsidRDefault="00BB122C">
      <w:pPr>
        <w:spacing w:line="360" w:lineRule="auto"/>
        <w:jc w:val="both"/>
        <w:rPr>
          <w:rFonts w:ascii="Palatino Linotype" w:eastAsia="Palatino Linotype" w:hAnsi="Palatino Linotype" w:cs="Palatino Linotype"/>
          <w:sz w:val="22"/>
          <w:szCs w:val="22"/>
        </w:rPr>
      </w:pPr>
    </w:p>
    <w:p w14:paraId="4AC1F4F4"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decir, por sí solos las </w:t>
      </w:r>
      <w:proofErr w:type="gramStart"/>
      <w:r>
        <w:rPr>
          <w:rFonts w:ascii="Palatino Linotype" w:eastAsia="Palatino Linotype" w:hAnsi="Palatino Linotype" w:cs="Palatino Linotype"/>
          <w:sz w:val="22"/>
          <w:szCs w:val="22"/>
        </w:rPr>
        <w:t>cadenas originales y los sellos originales</w:t>
      </w:r>
      <w:proofErr w:type="gramEnd"/>
      <w:r>
        <w:rPr>
          <w:rFonts w:ascii="Palatino Linotype" w:eastAsia="Palatino Linotype" w:hAnsi="Palatino Linotype" w:cs="Palatino Linotype"/>
          <w:sz w:val="22"/>
          <w:szCs w:val="22"/>
        </w:rPr>
        <w:t xml:space="preserve">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0DDF0591" w14:textId="77777777" w:rsidR="00BB122C" w:rsidRDefault="00BB122C">
      <w:pPr>
        <w:spacing w:line="360" w:lineRule="auto"/>
        <w:jc w:val="both"/>
        <w:rPr>
          <w:rFonts w:ascii="Palatino Linotype" w:eastAsia="Palatino Linotype" w:hAnsi="Palatino Linotype" w:cs="Palatino Linotype"/>
          <w:sz w:val="22"/>
          <w:szCs w:val="22"/>
        </w:rPr>
      </w:pPr>
    </w:p>
    <w:p w14:paraId="3FE545BF"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(página electrónica </w:t>
      </w:r>
      <w:hyperlink r:id="rId22">
        <w:r>
          <w:rPr>
            <w:rFonts w:ascii="Palatino Linotype" w:eastAsia="Palatino Linotype" w:hAnsi="Palatino Linotype" w:cs="Palatino Linotype"/>
            <w:color w:val="0563C1"/>
            <w:sz w:val="22"/>
            <w:szCs w:val="22"/>
            <w:u w:val="single"/>
          </w:rPr>
          <w:t>https://portalanterior.ine.mx/archivos2/tutoriales/sistemas/ApoyoInstitucional/SIF/docs/candidatos/folioFiscalFactura.pdf</w:t>
        </w:r>
      </w:hyperlink>
      <w:r>
        <w:rPr>
          <w:rFonts w:ascii="Palatino Linotype" w:eastAsia="Palatino Linotype" w:hAnsi="Palatino Linotype" w:cs="Palatino Linotype"/>
          <w:sz w:val="22"/>
          <w:szCs w:val="22"/>
        </w:rPr>
        <w:t>) en la cual se advierte que únicamente se encuentra conformado por números, se muestra a continuación:</w:t>
      </w:r>
    </w:p>
    <w:p w14:paraId="59B18175" w14:textId="77777777" w:rsidR="00BB122C" w:rsidRDefault="00BB122C">
      <w:pPr>
        <w:spacing w:line="360" w:lineRule="auto"/>
        <w:jc w:val="both"/>
        <w:rPr>
          <w:rFonts w:ascii="Palatino Linotype" w:eastAsia="Palatino Linotype" w:hAnsi="Palatino Linotype" w:cs="Palatino Linotype"/>
          <w:sz w:val="22"/>
          <w:szCs w:val="22"/>
        </w:rPr>
      </w:pPr>
    </w:p>
    <w:p w14:paraId="09C053E0" w14:textId="77777777" w:rsidR="00BB122C" w:rsidRDefault="00E74273">
      <w:pPr>
        <w:spacing w:line="360" w:lineRule="auto"/>
        <w:jc w:val="center"/>
        <w:rPr>
          <w:rFonts w:ascii="Palatino Linotype" w:eastAsia="Palatino Linotype" w:hAnsi="Palatino Linotype" w:cs="Palatino Linotype"/>
          <w:sz w:val="22"/>
          <w:szCs w:val="22"/>
        </w:rPr>
      </w:pPr>
      <w:r>
        <w:rPr>
          <w:noProof/>
        </w:rPr>
        <w:drawing>
          <wp:inline distT="0" distB="0" distL="0" distR="0" wp14:anchorId="35A886D0" wp14:editId="1D489C1A">
            <wp:extent cx="3867150" cy="752475"/>
            <wp:effectExtent l="0" t="0" r="0" b="0"/>
            <wp:docPr id="194509077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3867150" cy="75247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5995050" wp14:editId="65AACFBF">
                <wp:simplePos x="0" y="0"/>
                <wp:positionH relativeFrom="column">
                  <wp:posOffset>896312</wp:posOffset>
                </wp:positionH>
                <wp:positionV relativeFrom="paragraph">
                  <wp:posOffset>582434</wp:posOffset>
                </wp:positionV>
                <wp:extent cx="2674546" cy="208807"/>
                <wp:effectExtent l="0" t="0" r="0" b="0"/>
                <wp:wrapNone/>
                <wp:docPr id="1945090763" name="Rectángulo 1945090763"/>
                <wp:cNvGraphicFramePr/>
                <a:graphic xmlns:a="http://schemas.openxmlformats.org/drawingml/2006/main">
                  <a:graphicData uri="http://schemas.microsoft.com/office/word/2010/wordprocessingShape">
                    <wps:wsp>
                      <wps:cNvSpPr/>
                      <wps:spPr>
                        <a:xfrm>
                          <a:off x="4051590" y="3718459"/>
                          <a:ext cx="2588821" cy="123082"/>
                        </a:xfrm>
                        <a:prstGeom prst="rect">
                          <a:avLst/>
                        </a:prstGeom>
                        <a:noFill/>
                        <a:ln w="28575" cap="flat" cmpd="sng">
                          <a:solidFill>
                            <a:srgbClr val="000000"/>
                          </a:solidFill>
                          <a:prstDash val="solid"/>
                          <a:miter lim="800000"/>
                          <a:headEnd type="none" w="sm" len="sm"/>
                          <a:tailEnd type="none" w="sm" len="sm"/>
                        </a:ln>
                      </wps:spPr>
                      <wps:txbx>
                        <w:txbxContent>
                          <w:p w14:paraId="6F864316" w14:textId="77777777" w:rsidR="00BB122C" w:rsidRDefault="00BB122C">
                            <w:pPr>
                              <w:textDirection w:val="btLr"/>
                            </w:pPr>
                          </w:p>
                        </w:txbxContent>
                      </wps:txbx>
                      <wps:bodyPr spcFirstLastPara="1" wrap="square" lIns="91425" tIns="91425" rIns="91425" bIns="91425" anchor="ctr" anchorCtr="0">
                        <a:noAutofit/>
                      </wps:bodyPr>
                    </wps:wsp>
                  </a:graphicData>
                </a:graphic>
              </wp:anchor>
            </w:drawing>
          </mc:Choice>
          <mc:Fallback>
            <w:pict>
              <v:rect w14:anchorId="05995050" id="Rectángulo 1945090763" o:spid="_x0000_s1026" style="position:absolute;left:0;text-align:left;margin-left:70.6pt;margin-top:45.85pt;width:210.6pt;height:16.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" filled="f" strokeweight="2.25pt">
                <v:stroke startarrowwidth="narrow" startarrowlength="short" endarrowwidth="narrow" endarrowlength="short"/>
                <v:textbox inset="2.53958mm,2.53958mm,2.53958mm,2.53958mm">
                  <w:txbxContent>
                    <w:p w14:paraId="6F864316" w14:textId="77777777" w:rsidR="00BB122C" w:rsidRDefault="00BB122C">
                      <w:pPr>
                        <w:textDirection w:val="btLr"/>
                      </w:pPr>
                    </w:p>
                  </w:txbxContent>
                </v:textbox>
              </v:rect>
            </w:pict>
          </mc:Fallback>
        </mc:AlternateContent>
      </w:r>
    </w:p>
    <w:p w14:paraId="325E8135" w14:textId="77777777" w:rsidR="00BB122C" w:rsidRDefault="00BB122C">
      <w:pPr>
        <w:spacing w:line="360" w:lineRule="auto"/>
        <w:jc w:val="both"/>
        <w:rPr>
          <w:rFonts w:ascii="Palatino Linotype" w:eastAsia="Palatino Linotype" w:hAnsi="Palatino Linotype" w:cs="Palatino Linotype"/>
          <w:sz w:val="22"/>
          <w:szCs w:val="22"/>
        </w:rPr>
      </w:pPr>
    </w:p>
    <w:p w14:paraId="6E8F9702" w14:textId="77777777" w:rsidR="00BB122C" w:rsidRDefault="00E7427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w:t>
      </w:r>
      <w:r>
        <w:rPr>
          <w:rFonts w:ascii="Palatino Linotype" w:eastAsia="Palatino Linotype" w:hAnsi="Palatino Linotype" w:cs="Palatino Linotype"/>
          <w:sz w:val="22"/>
          <w:szCs w:val="22"/>
        </w:rPr>
        <w:lastRenderedPageBreak/>
        <w:t xml:space="preserve">artículo 143, fracción I, de la Ley de Transparencia y Acceso a la Información Pública del Estado de México y Municipios. </w:t>
      </w:r>
      <w:r>
        <w:rPr>
          <w:rFonts w:ascii="Palatino Linotype" w:eastAsia="Palatino Linotype" w:hAnsi="Palatino Linotype" w:cs="Palatino Linotype"/>
          <w:b/>
          <w:sz w:val="22"/>
          <w:szCs w:val="22"/>
        </w:rPr>
        <w:t>Máxime que permite corroborar la legitimidad a la factura, pues amparan la utilización de los certificados de sellos digitales válidos.</w:t>
      </w:r>
    </w:p>
    <w:p w14:paraId="15A10FE1" w14:textId="77777777" w:rsidR="00BB122C" w:rsidRDefault="00BB122C">
      <w:pPr>
        <w:spacing w:line="360" w:lineRule="auto"/>
        <w:jc w:val="both"/>
        <w:rPr>
          <w:rFonts w:ascii="Palatino Linotype" w:eastAsia="Palatino Linotype" w:hAnsi="Palatino Linotype" w:cs="Palatino Linotype"/>
          <w:sz w:val="22"/>
          <w:szCs w:val="22"/>
        </w:rPr>
      </w:pPr>
    </w:p>
    <w:p w14:paraId="5EEAF0CB"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76249594" w14:textId="77777777" w:rsidR="00BB122C" w:rsidRDefault="00BB122C">
      <w:pPr>
        <w:spacing w:line="360" w:lineRule="auto"/>
        <w:jc w:val="both"/>
        <w:rPr>
          <w:rFonts w:ascii="Palatino Linotype" w:eastAsia="Palatino Linotype" w:hAnsi="Palatino Linotype" w:cs="Palatino Linotype"/>
          <w:sz w:val="22"/>
          <w:szCs w:val="22"/>
        </w:rPr>
      </w:pPr>
    </w:p>
    <w:p w14:paraId="748B35F0" w14:textId="77777777" w:rsidR="00BB122C" w:rsidRDefault="00E74273">
      <w:pPr>
        <w:spacing w:line="360" w:lineRule="auto"/>
        <w:jc w:val="center"/>
        <w:rPr>
          <w:rFonts w:ascii="Palatino Linotype" w:eastAsia="Palatino Linotype" w:hAnsi="Palatino Linotype" w:cs="Palatino Linotype"/>
          <w:sz w:val="22"/>
          <w:szCs w:val="22"/>
        </w:rPr>
      </w:pPr>
      <w:r>
        <w:rPr>
          <w:noProof/>
        </w:rPr>
        <w:drawing>
          <wp:inline distT="0" distB="0" distL="0" distR="0" wp14:anchorId="64F0C58D" wp14:editId="03D79309">
            <wp:extent cx="4057650" cy="1162050"/>
            <wp:effectExtent l="0" t="0" r="0" b="0"/>
            <wp:docPr id="19450907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b="32787"/>
                    <a:stretch>
                      <a:fillRect/>
                    </a:stretch>
                  </pic:blipFill>
                  <pic:spPr>
                    <a:xfrm>
                      <a:off x="0" y="0"/>
                      <a:ext cx="4057650" cy="1162050"/>
                    </a:xfrm>
                    <a:prstGeom prst="rect">
                      <a:avLst/>
                    </a:prstGeom>
                    <a:ln/>
                  </pic:spPr>
                </pic:pic>
              </a:graphicData>
            </a:graphic>
          </wp:inline>
        </w:drawing>
      </w:r>
    </w:p>
    <w:p w14:paraId="1BA13D0A" w14:textId="77777777" w:rsidR="00BB122C" w:rsidRDefault="00BB122C">
      <w:pPr>
        <w:spacing w:line="360" w:lineRule="auto"/>
        <w:jc w:val="both"/>
        <w:rPr>
          <w:rFonts w:ascii="Palatino Linotype" w:eastAsia="Palatino Linotype" w:hAnsi="Palatino Linotype" w:cs="Palatino Linotype"/>
          <w:sz w:val="22"/>
          <w:szCs w:val="22"/>
        </w:rPr>
      </w:pPr>
    </w:p>
    <w:p w14:paraId="13AF5E0F"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9B82C7B" w14:textId="77777777" w:rsidR="00BB122C" w:rsidRDefault="00BB122C">
      <w:pPr>
        <w:spacing w:line="360" w:lineRule="auto"/>
        <w:jc w:val="both"/>
        <w:rPr>
          <w:rFonts w:ascii="Palatino Linotype" w:eastAsia="Palatino Linotype" w:hAnsi="Palatino Linotype" w:cs="Palatino Linotype"/>
          <w:sz w:val="22"/>
          <w:szCs w:val="22"/>
        </w:rPr>
      </w:pPr>
    </w:p>
    <w:p w14:paraId="398F4C04"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lo que hace a la fecha y hora de certificación, este Instituto no advierte la manera en que precisar el momento en el cual se certificó el Comprobante Fiscal Digital por Internet, pudiera dar cuenta de datos personales o dar acceso a estos, pues únicamente específica el momento exacto en el que se autorizó dicha factura; es decir, el día y hora exacta; por lo que, de la misma manera no actualiza la causal de clasificación señalada en el párrafo anterior.</w:t>
      </w:r>
    </w:p>
    <w:p w14:paraId="49640D6B" w14:textId="77777777" w:rsidR="00BB122C" w:rsidRDefault="00BB122C">
      <w:pPr>
        <w:spacing w:line="360" w:lineRule="auto"/>
        <w:jc w:val="both"/>
        <w:rPr>
          <w:rFonts w:ascii="Palatino Linotype" w:eastAsia="Palatino Linotype" w:hAnsi="Palatino Linotype" w:cs="Palatino Linotype"/>
          <w:sz w:val="22"/>
          <w:szCs w:val="22"/>
        </w:rPr>
      </w:pPr>
    </w:p>
    <w:p w14:paraId="1E63A527"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Finalmente, en caso de que los sellos digitales del emisor y del Servicio de Administración Tributaria, cadena original del complemento de certificación digital, números de serie de los certificados de sellos digitales, folio fiscal, </w:t>
      </w:r>
      <w:r>
        <w:rPr>
          <w:rFonts w:ascii="Palatino Linotype" w:eastAsia="Palatino Linotype" w:hAnsi="Palatino Linotype" w:cs="Palatino Linotype"/>
          <w:b/>
          <w:sz w:val="22"/>
          <w:szCs w:val="22"/>
        </w:rPr>
        <w:t>se advierta que contenga un dato persona</w:t>
      </w:r>
      <w:r>
        <w:rPr>
          <w:rFonts w:ascii="Palatino Linotype" w:eastAsia="Palatino Linotype" w:hAnsi="Palatino Linotype" w:cs="Palatino Linotype"/>
          <w:sz w:val="22"/>
          <w:szCs w:val="22"/>
        </w:rPr>
        <w:t xml:space="preserve">l como la Clave Única de Registro de Población, que pueda hacer identificable al titular del dato personal, deberá clasificarse </w:t>
      </w:r>
      <w:proofErr w:type="gramStart"/>
      <w:r>
        <w:rPr>
          <w:rFonts w:ascii="Palatino Linotype" w:eastAsia="Palatino Linotype" w:hAnsi="Palatino Linotype" w:cs="Palatino Linotype"/>
          <w:sz w:val="22"/>
          <w:szCs w:val="22"/>
        </w:rPr>
        <w:t>al</w:t>
      </w:r>
      <w:proofErr w:type="gramEnd"/>
      <w:r>
        <w:rPr>
          <w:rFonts w:ascii="Palatino Linotype" w:eastAsia="Palatino Linotype" w:hAnsi="Palatino Linotype" w:cs="Palatino Linotype"/>
          <w:sz w:val="22"/>
          <w:szCs w:val="22"/>
        </w:rPr>
        <w:t xml:space="preserve"> tenerse como dato personal y por ende información confidencial.</w:t>
      </w:r>
    </w:p>
    <w:p w14:paraId="6FC3967E" w14:textId="77777777" w:rsidR="00BB122C" w:rsidRDefault="00BB122C">
      <w:pPr>
        <w:spacing w:line="360" w:lineRule="auto"/>
        <w:jc w:val="both"/>
        <w:rPr>
          <w:rFonts w:ascii="Palatino Linotype" w:eastAsia="Palatino Linotype" w:hAnsi="Palatino Linotype" w:cs="Palatino Linotype"/>
          <w:b/>
          <w:sz w:val="22"/>
          <w:szCs w:val="22"/>
        </w:rPr>
      </w:pPr>
    </w:p>
    <w:p w14:paraId="3D714AFF" w14:textId="77777777" w:rsidR="00BB122C" w:rsidRDefault="00E7427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sz w:val="22"/>
          <w:szCs w:val="22"/>
        </w:rPr>
        <w:tab/>
        <w:t>Folio del Comprobante Fiscal Digital por Internet</w:t>
      </w:r>
    </w:p>
    <w:p w14:paraId="3E56EFC7" w14:textId="77777777" w:rsidR="00BB122C" w:rsidRDefault="00BB122C">
      <w:pPr>
        <w:spacing w:line="360" w:lineRule="auto"/>
        <w:jc w:val="both"/>
        <w:rPr>
          <w:rFonts w:ascii="Palatino Linotype" w:eastAsia="Palatino Linotype" w:hAnsi="Palatino Linotype" w:cs="Palatino Linotype"/>
          <w:sz w:val="22"/>
          <w:szCs w:val="22"/>
        </w:rPr>
      </w:pPr>
    </w:p>
    <w:p w14:paraId="283988A6"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Dicho dato, es una clave o digito, para identificar a la factura, compuesto de una serie de números, y algunos casos, letras o separaciones por guiones, por lo que, no es un dato que contenga información confidencial, o bien, que revele hechos o actos de carácter económico, contable, jurídico o administrativo que sean útiles o representen una ventaja a sus competidores. Conforme a lo anterior, dicho dato, lo único que hace identificable, es a la factura de que se trate, pues son datos meramente de control e identificación, por lo que, no se consideran datos clasificados en términos del artículo 143, fracción I de la Ley de Transparencia y Acceso a la Información Pública del Estado de México y Municipios, al no ser datos confidenciales; lo anterior toma sustento, en que los nombres de las partes, en las facturas, en el presente caso son de naturaleza pública.</w:t>
      </w:r>
    </w:p>
    <w:p w14:paraId="423C1C99" w14:textId="77777777" w:rsidR="00BB122C" w:rsidRDefault="00BB122C">
      <w:pPr>
        <w:spacing w:line="360" w:lineRule="auto"/>
        <w:jc w:val="both"/>
        <w:rPr>
          <w:rFonts w:ascii="Palatino Linotype" w:eastAsia="Palatino Linotype" w:hAnsi="Palatino Linotype" w:cs="Palatino Linotype"/>
          <w:sz w:val="22"/>
          <w:szCs w:val="22"/>
        </w:rPr>
      </w:pPr>
    </w:p>
    <w:p w14:paraId="172200B0"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w:t>
      </w:r>
      <w:r>
        <w:rPr>
          <w:rFonts w:ascii="Palatino Linotype" w:eastAsia="Palatino Linotype" w:hAnsi="Palatino Linotype" w:cs="Palatino Linotype"/>
          <w:b/>
          <w:sz w:val="22"/>
          <w:szCs w:val="22"/>
        </w:rPr>
        <w:tab/>
        <w:t>Lugar de Expedición de la factura</w:t>
      </w:r>
    </w:p>
    <w:p w14:paraId="0E811105" w14:textId="77777777" w:rsidR="00BB122C" w:rsidRDefault="00BB122C">
      <w:pPr>
        <w:spacing w:line="360" w:lineRule="auto"/>
        <w:jc w:val="both"/>
        <w:rPr>
          <w:rFonts w:ascii="Palatino Linotype" w:eastAsia="Palatino Linotype" w:hAnsi="Palatino Linotype" w:cs="Palatino Linotype"/>
          <w:sz w:val="22"/>
          <w:szCs w:val="22"/>
        </w:rPr>
      </w:pPr>
    </w:p>
    <w:p w14:paraId="08769F52"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lugar de </w:t>
      </w:r>
      <w:proofErr w:type="gramStart"/>
      <w:r>
        <w:rPr>
          <w:rFonts w:ascii="Palatino Linotype" w:eastAsia="Palatino Linotype" w:hAnsi="Palatino Linotype" w:cs="Palatino Linotype"/>
          <w:sz w:val="22"/>
          <w:szCs w:val="22"/>
        </w:rPr>
        <w:t>expedición,</w:t>
      </w:r>
      <w:proofErr w:type="gramEnd"/>
      <w:r>
        <w:rPr>
          <w:rFonts w:ascii="Palatino Linotype" w:eastAsia="Palatino Linotype" w:hAnsi="Palatino Linotype" w:cs="Palatino Linotype"/>
          <w:sz w:val="22"/>
          <w:szCs w:val="22"/>
        </w:rPr>
        <w:t xml:space="preserve"> es un dato que se debe llenar dentro de las facturas y que corresponde al código postal del lugar de expedición del comprobante digital fiscal por internet (domicilio de la matriz o de la sucursal), mismo que debe concordar con el domicilio fiscal o de expedición de la factura, que tal como se señaló previamente, dichos datos son de naturaleza pública. Por tal circunstancia, el dato en análisis ayuda a verificar que este coincida con el domicilio de la empresa, el cual es público, corre los mismos efectos y, por lo tanto, no actualiza la causal de clasificación establecida en el artículo 143, fracción I, de la Ley de Transparencia y Acceso a la Información Pública del Estado de México y Municipios.</w:t>
      </w:r>
    </w:p>
    <w:p w14:paraId="49CAD099" w14:textId="77777777" w:rsidR="00BB122C" w:rsidRDefault="00BB122C">
      <w:pPr>
        <w:spacing w:line="360" w:lineRule="auto"/>
        <w:jc w:val="both"/>
        <w:rPr>
          <w:rFonts w:ascii="Palatino Linotype" w:eastAsia="Palatino Linotype" w:hAnsi="Palatino Linotype" w:cs="Palatino Linotype"/>
          <w:sz w:val="22"/>
          <w:szCs w:val="22"/>
        </w:rPr>
      </w:pPr>
    </w:p>
    <w:p w14:paraId="04B16630"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este Instituto considera que los documentos que den cuenta de lo solicitado, pudieran contar con datos o información clasificada tales como datos bancarios del proveedor,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4A9E26E" w14:textId="77777777" w:rsidR="00BB122C" w:rsidRDefault="00BB122C">
      <w:pPr>
        <w:spacing w:line="360" w:lineRule="auto"/>
        <w:jc w:val="both"/>
        <w:rPr>
          <w:rFonts w:ascii="Palatino Linotype" w:eastAsia="Palatino Linotype" w:hAnsi="Palatino Linotype" w:cs="Palatino Linotype"/>
          <w:sz w:val="22"/>
          <w:szCs w:val="22"/>
        </w:rPr>
      </w:pPr>
    </w:p>
    <w:p w14:paraId="24606922"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1AE08A8" w14:textId="77777777" w:rsidR="00BB122C" w:rsidRDefault="00BB122C">
      <w:pPr>
        <w:spacing w:line="360" w:lineRule="auto"/>
        <w:jc w:val="both"/>
        <w:rPr>
          <w:rFonts w:ascii="Palatino Linotype" w:eastAsia="Palatino Linotype" w:hAnsi="Palatino Linotype" w:cs="Palatino Linotype"/>
          <w:sz w:val="22"/>
          <w:szCs w:val="22"/>
        </w:rPr>
      </w:pPr>
    </w:p>
    <w:p w14:paraId="2C8EDD90" w14:textId="77777777" w:rsidR="00BB122C" w:rsidRDefault="00E74273">
      <w:pPr>
        <w:pStyle w:val="Ttulo2"/>
      </w:pPr>
      <w:bookmarkStart w:id="24" w:name="_heading=h.fbcadi77rrbu" w:colFirst="0" w:colLast="0"/>
      <w:bookmarkStart w:id="25" w:name="_Toc207895408"/>
      <w:bookmarkEnd w:id="24"/>
      <w:r>
        <w:lastRenderedPageBreak/>
        <w:t>SEXTO. Decisión</w:t>
      </w:r>
      <w:bookmarkEnd w:id="25"/>
    </w:p>
    <w:p w14:paraId="7FD6B08E" w14:textId="77777777" w:rsidR="00BB122C" w:rsidRDefault="00BB122C">
      <w:pPr>
        <w:spacing w:line="360" w:lineRule="auto"/>
        <w:jc w:val="both"/>
        <w:rPr>
          <w:rFonts w:ascii="Palatino Linotype" w:eastAsia="Palatino Linotype" w:hAnsi="Palatino Linotype" w:cs="Palatino Linotype"/>
          <w:sz w:val="22"/>
          <w:szCs w:val="22"/>
        </w:rPr>
      </w:pPr>
    </w:p>
    <w:p w14:paraId="6A403038" w14:textId="777777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sz w:val="22"/>
          <w:szCs w:val="22"/>
        </w:rPr>
        <w:t>ORDENAR</w:t>
      </w:r>
      <w:r>
        <w:rPr>
          <w:rFonts w:ascii="Palatino Linotype" w:eastAsia="Palatino Linotype" w:hAnsi="Palatino Linotype" w:cs="Palatino Linotype"/>
          <w:sz w:val="22"/>
          <w:szCs w:val="22"/>
        </w:rPr>
        <w:t xml:space="preserve"> al Sujeto Obligado, a efecto de que proporcione la información correspondiente a las facturas emitidas por el AYUNTAMIENTO, DIF e IMCUFIDE correspondientes a los bienes adquiridos del primero de enero al trece de junio de dos mil veinticinco.</w:t>
      </w:r>
    </w:p>
    <w:p w14:paraId="3B86BF44" w14:textId="77777777" w:rsidR="00BB122C" w:rsidRDefault="00BB122C">
      <w:pPr>
        <w:spacing w:line="360" w:lineRule="auto"/>
        <w:jc w:val="both"/>
        <w:rPr>
          <w:rFonts w:ascii="Palatino Linotype" w:eastAsia="Palatino Linotype" w:hAnsi="Palatino Linotype" w:cs="Palatino Linotype"/>
          <w:sz w:val="22"/>
          <w:szCs w:val="22"/>
        </w:rPr>
      </w:pPr>
    </w:p>
    <w:p w14:paraId="3B647543" w14:textId="77777777" w:rsidR="00BB122C" w:rsidRDefault="00E74273">
      <w:pPr>
        <w:pStyle w:val="Ttulo2"/>
      </w:pPr>
      <w:bookmarkStart w:id="26" w:name="_heading=h.ynj775fpa5x7" w:colFirst="0" w:colLast="0"/>
      <w:bookmarkStart w:id="27" w:name="_Toc207895409"/>
      <w:bookmarkEnd w:id="26"/>
      <w:r>
        <w:t>SÉPTIMO. Vista a la Secretaría Técnica del Pleno</w:t>
      </w:r>
      <w:bookmarkEnd w:id="27"/>
    </w:p>
    <w:p w14:paraId="17F351DA" w14:textId="77777777" w:rsidR="00BB122C" w:rsidRDefault="00BB122C">
      <w:pPr>
        <w:spacing w:line="360" w:lineRule="auto"/>
        <w:jc w:val="both"/>
        <w:rPr>
          <w:rFonts w:ascii="Palatino Linotype" w:eastAsia="Palatino Linotype" w:hAnsi="Palatino Linotype" w:cs="Palatino Linotype"/>
          <w:sz w:val="22"/>
          <w:szCs w:val="22"/>
        </w:rPr>
      </w:pPr>
    </w:p>
    <w:p w14:paraId="6C97C8BF" w14:textId="77777777" w:rsidR="00BB122C" w:rsidRDefault="00E74273">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Ayuntamiento de Chiconcuac,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15FD3C34" w14:textId="77777777" w:rsidR="00BB122C" w:rsidRDefault="00BB122C">
      <w:pPr>
        <w:spacing w:line="360" w:lineRule="auto"/>
        <w:ind w:right="-93"/>
        <w:jc w:val="both"/>
        <w:rPr>
          <w:rFonts w:ascii="Palatino Linotype" w:eastAsia="Palatino Linotype" w:hAnsi="Palatino Linotype" w:cs="Palatino Linotype"/>
          <w:sz w:val="22"/>
          <w:szCs w:val="22"/>
        </w:rPr>
      </w:pPr>
    </w:p>
    <w:p w14:paraId="2EFB5143" w14:textId="77777777" w:rsidR="00BB122C" w:rsidRDefault="00E74273">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7A693DEB" w14:textId="77777777" w:rsidR="00BB122C" w:rsidRDefault="00BB122C">
      <w:pPr>
        <w:spacing w:line="360" w:lineRule="auto"/>
        <w:ind w:right="-93"/>
        <w:jc w:val="both"/>
        <w:rPr>
          <w:rFonts w:ascii="Palatino Linotype" w:eastAsia="Palatino Linotype" w:hAnsi="Palatino Linotype" w:cs="Palatino Linotype"/>
          <w:sz w:val="22"/>
          <w:szCs w:val="22"/>
        </w:rPr>
      </w:pPr>
    </w:p>
    <w:p w14:paraId="3279649F" w14:textId="77777777" w:rsidR="00BB122C" w:rsidRDefault="00E74273">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w:t>
      </w:r>
      <w:r>
        <w:rPr>
          <w:rFonts w:ascii="Palatino Linotype" w:eastAsia="Palatino Linotype" w:hAnsi="Palatino Linotype" w:cs="Palatino Linotype"/>
          <w:sz w:val="22"/>
          <w:szCs w:val="22"/>
        </w:rPr>
        <w:lastRenderedPageBreak/>
        <w:t xml:space="preserve">con el fin de que determine el grado de responsabilidad de los servidores públicos que incumplan con las obligaciones establecidas en la Ley. </w:t>
      </w:r>
    </w:p>
    <w:p w14:paraId="7615F22A" w14:textId="77777777" w:rsidR="00BB122C" w:rsidRDefault="00BB122C">
      <w:pPr>
        <w:spacing w:line="360" w:lineRule="auto"/>
        <w:ind w:right="-93"/>
        <w:jc w:val="both"/>
        <w:rPr>
          <w:rFonts w:ascii="Palatino Linotype" w:eastAsia="Palatino Linotype" w:hAnsi="Palatino Linotype" w:cs="Palatino Linotype"/>
          <w:sz w:val="22"/>
          <w:szCs w:val="22"/>
        </w:rPr>
      </w:pPr>
    </w:p>
    <w:p w14:paraId="42F81D42" w14:textId="77777777" w:rsidR="00BB122C" w:rsidRDefault="00E74273">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3874B50" w14:textId="77777777" w:rsidR="00BB122C" w:rsidRDefault="00BB122C">
      <w:pPr>
        <w:spacing w:line="360" w:lineRule="auto"/>
        <w:ind w:right="-93"/>
        <w:jc w:val="both"/>
        <w:rPr>
          <w:rFonts w:ascii="Palatino Linotype" w:eastAsia="Palatino Linotype" w:hAnsi="Palatino Linotype" w:cs="Palatino Linotype"/>
          <w:sz w:val="22"/>
          <w:szCs w:val="22"/>
        </w:rPr>
      </w:pPr>
    </w:p>
    <w:p w14:paraId="386109D7" w14:textId="77777777" w:rsidR="00BB122C" w:rsidRDefault="00E74273">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7DC34568" w14:textId="77777777" w:rsidR="00BB122C" w:rsidRDefault="00BB122C">
      <w:pPr>
        <w:spacing w:line="360" w:lineRule="auto"/>
        <w:jc w:val="both"/>
        <w:rPr>
          <w:rFonts w:ascii="Palatino Linotype" w:eastAsia="Palatino Linotype" w:hAnsi="Palatino Linotype" w:cs="Palatino Linotype"/>
          <w:sz w:val="22"/>
          <w:szCs w:val="22"/>
        </w:rPr>
      </w:pPr>
    </w:p>
    <w:p w14:paraId="474AB1D9" w14:textId="77777777" w:rsidR="00BB122C" w:rsidRDefault="00E7427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Términos de la Resolución para conocimiento del Particular</w:t>
      </w:r>
    </w:p>
    <w:p w14:paraId="1795B078" w14:textId="77777777" w:rsidR="00BB122C" w:rsidRDefault="00BB122C">
      <w:pPr>
        <w:spacing w:line="360" w:lineRule="auto"/>
        <w:jc w:val="both"/>
        <w:rPr>
          <w:rFonts w:ascii="Palatino Linotype" w:eastAsia="Palatino Linotype" w:hAnsi="Palatino Linotype" w:cs="Palatino Linotype"/>
          <w:b/>
          <w:sz w:val="22"/>
          <w:szCs w:val="22"/>
        </w:rPr>
      </w:pPr>
    </w:p>
    <w:p w14:paraId="649FAEE1"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proporcionó respuesta en los términos establecidos en la Ley de Transparencia Local; por otra parte, si bien durante la sustanciación del Medio de Impugnación, el Sujeto Obligado proporcionó información, lo cierto es que, no remitió la totalidad de la información requerida, por lo que, deberá entregar la información solicitada y en versión pública.  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5D04CBEC" w14:textId="77777777" w:rsidR="00BB122C" w:rsidRDefault="00BB122C">
      <w:pPr>
        <w:spacing w:line="360" w:lineRule="auto"/>
        <w:jc w:val="both"/>
        <w:rPr>
          <w:rFonts w:ascii="Palatino Linotype" w:eastAsia="Palatino Linotype" w:hAnsi="Palatino Linotype" w:cs="Palatino Linotype"/>
          <w:sz w:val="22"/>
          <w:szCs w:val="22"/>
        </w:rPr>
      </w:pPr>
    </w:p>
    <w:p w14:paraId="1C1002F0"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La labor de este </w:t>
      </w:r>
      <w:proofErr w:type="gramStart"/>
      <w:r>
        <w:rPr>
          <w:rFonts w:ascii="Palatino Linotype" w:eastAsia="Palatino Linotype" w:hAnsi="Palatino Linotype" w:cs="Palatino Linotype"/>
          <w:color w:val="000000"/>
          <w:sz w:val="22"/>
          <w:szCs w:val="22"/>
        </w:rPr>
        <w:t>Instituto,</w:t>
      </w:r>
      <w:proofErr w:type="gramEnd"/>
      <w:r>
        <w:rPr>
          <w:rFonts w:ascii="Palatino Linotype" w:eastAsia="Palatino Linotype" w:hAnsi="Palatino Linotype" w:cs="Palatino Linotype"/>
          <w:color w:val="000000"/>
          <w:sz w:val="22"/>
          <w:szCs w:val="22"/>
        </w:rPr>
        <w:t xml:space="preserve"> es apoyar a la población a acceder a la información pública y garantizar la protección de los datos personales.</w:t>
      </w:r>
    </w:p>
    <w:p w14:paraId="2D4D81BD"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1176ED41"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1A7895EE" w14:textId="77777777" w:rsidR="00BB122C" w:rsidRDefault="00BB122C">
      <w:pPr>
        <w:spacing w:line="360" w:lineRule="auto"/>
        <w:jc w:val="both"/>
        <w:rPr>
          <w:rFonts w:ascii="Palatino Linotype" w:eastAsia="Palatino Linotype" w:hAnsi="Palatino Linotype" w:cs="Palatino Linotype"/>
          <w:sz w:val="22"/>
          <w:szCs w:val="22"/>
        </w:rPr>
      </w:pPr>
    </w:p>
    <w:p w14:paraId="1F1C9199" w14:textId="77777777" w:rsidR="00BB122C" w:rsidRDefault="00E74273">
      <w:pPr>
        <w:pStyle w:val="Ttulo1"/>
      </w:pPr>
      <w:bookmarkStart w:id="28" w:name="_heading=h.w7z9s8yhcfqm" w:colFirst="0" w:colLast="0"/>
      <w:bookmarkStart w:id="29" w:name="_Toc207895410"/>
      <w:bookmarkEnd w:id="28"/>
      <w:r>
        <w:t>R E S U E L V E</w:t>
      </w:r>
      <w:bookmarkEnd w:id="29"/>
    </w:p>
    <w:p w14:paraId="260A4EA9" w14:textId="77777777" w:rsidR="00BB122C" w:rsidRDefault="00BB122C">
      <w:pPr>
        <w:spacing w:line="360" w:lineRule="auto"/>
        <w:jc w:val="both"/>
        <w:rPr>
          <w:rFonts w:ascii="Palatino Linotype" w:eastAsia="Palatino Linotype" w:hAnsi="Palatino Linotype" w:cs="Palatino Linotype"/>
          <w:b/>
          <w:sz w:val="22"/>
          <w:szCs w:val="22"/>
        </w:rPr>
      </w:pPr>
    </w:p>
    <w:p w14:paraId="74786615" w14:textId="77777777" w:rsidR="00BB122C" w:rsidRDefault="00E74273">
      <w:pPr>
        <w:spacing w:line="360" w:lineRule="auto"/>
        <w:jc w:val="both"/>
        <w:rPr>
          <w:rFonts w:ascii="Palatino Linotype" w:eastAsia="Palatino Linotype" w:hAnsi="Palatino Linotype" w:cs="Palatino Linotype"/>
          <w:sz w:val="22"/>
          <w:szCs w:val="22"/>
        </w:rPr>
      </w:pPr>
      <w:bookmarkStart w:id="30" w:name="_heading=h.5v46pjlmcgjd" w:colFirst="0" w:colLast="0"/>
      <w:bookmarkEnd w:id="30"/>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08391/INFOEM/IP/RR/2025,</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en términos de los considerandos QUINTO y SEXTO de la presente Resolución.</w:t>
      </w:r>
    </w:p>
    <w:p w14:paraId="49F138C7" w14:textId="77777777" w:rsidR="00BB122C" w:rsidRDefault="00BB122C">
      <w:pPr>
        <w:spacing w:line="360" w:lineRule="auto"/>
        <w:jc w:val="both"/>
        <w:rPr>
          <w:rFonts w:ascii="Palatino Linotype" w:eastAsia="Palatino Linotype" w:hAnsi="Palatino Linotype" w:cs="Palatino Linotype"/>
          <w:sz w:val="22"/>
          <w:szCs w:val="22"/>
        </w:rPr>
      </w:pPr>
    </w:p>
    <w:p w14:paraId="461BFB97" w14:textId="77777777" w:rsidR="00BB122C" w:rsidRDefault="00E74273">
      <w:pPr>
        <w:spacing w:line="360" w:lineRule="auto"/>
        <w:jc w:val="both"/>
        <w:rPr>
          <w:rFonts w:ascii="Palatino Linotype" w:eastAsia="Palatino Linotype" w:hAnsi="Palatino Linotype" w:cs="Palatino Linotype"/>
          <w:sz w:val="22"/>
          <w:szCs w:val="22"/>
        </w:rPr>
      </w:pPr>
      <w:bookmarkStart w:id="31" w:name="_heading=h.xk4gu0v1aye5" w:colFirst="0" w:colLast="0"/>
      <w:bookmarkEnd w:id="31"/>
      <w:r>
        <w:rPr>
          <w:rFonts w:ascii="Palatino Linotype" w:eastAsia="Palatino Linotype" w:hAnsi="Palatino Linotype" w:cs="Palatino Linotype"/>
          <w:b/>
          <w:sz w:val="22"/>
          <w:szCs w:val="22"/>
        </w:rPr>
        <w:t xml:space="preserve">SEGUNDO. Se ORDENA </w:t>
      </w:r>
      <w:r>
        <w:rPr>
          <w:rFonts w:ascii="Palatino Linotype" w:eastAsia="Palatino Linotype" w:hAnsi="Palatino Linotype" w:cs="Palatino Linotype"/>
          <w:sz w:val="22"/>
          <w:szCs w:val="22"/>
        </w:rPr>
        <w:t>al Sujeto Obligado a efecto de que, previa búsqueda exhaustiva y razonable en las áreas competentes, remita a través del SAIMEX, en su caso, en versión pública, lo siguiente:</w:t>
      </w:r>
    </w:p>
    <w:p w14:paraId="3A8FACC4" w14:textId="77777777" w:rsidR="00BB122C" w:rsidRDefault="00BB122C">
      <w:pPr>
        <w:spacing w:line="360" w:lineRule="auto"/>
        <w:jc w:val="both"/>
        <w:rPr>
          <w:rFonts w:ascii="Palatino Linotype" w:eastAsia="Palatino Linotype" w:hAnsi="Palatino Linotype" w:cs="Palatino Linotype"/>
          <w:sz w:val="22"/>
          <w:szCs w:val="22"/>
        </w:rPr>
      </w:pPr>
    </w:p>
    <w:p w14:paraId="34E3BE09" w14:textId="77777777" w:rsidR="00BB122C" w:rsidRDefault="00E74273">
      <w:pPr>
        <w:numPr>
          <w:ilvl w:val="3"/>
          <w:numId w:val="4"/>
        </w:numPr>
        <w:pBdr>
          <w:top w:val="nil"/>
          <w:left w:val="nil"/>
          <w:bottom w:val="nil"/>
          <w:right w:val="nil"/>
          <w:between w:val="nil"/>
        </w:pBdr>
        <w:spacing w:line="360" w:lineRule="auto"/>
        <w:ind w:left="567"/>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00000"/>
          <w:sz w:val="22"/>
          <w:szCs w:val="22"/>
        </w:rPr>
        <w:t xml:space="preserve">Los documentos en donde </w:t>
      </w:r>
      <w:r>
        <w:rPr>
          <w:rFonts w:ascii="Palatino Linotype" w:eastAsia="Palatino Linotype" w:hAnsi="Palatino Linotype" w:cs="Palatino Linotype"/>
          <w:sz w:val="22"/>
          <w:szCs w:val="22"/>
        </w:rPr>
        <w:t>consten</w:t>
      </w:r>
      <w:r>
        <w:rPr>
          <w:rFonts w:ascii="Palatino Linotype" w:eastAsia="Palatino Linotype" w:hAnsi="Palatino Linotype" w:cs="Palatino Linotype"/>
          <w:color w:val="000000"/>
          <w:sz w:val="22"/>
          <w:szCs w:val="22"/>
        </w:rPr>
        <w:t xml:space="preserve"> las facturas emitidas por el Ayuntamiento, DIF e IMCUFIDE faltantes, correspondientes a los bienes adquiridos del primero de enero al trece de junio de dos mil veinticinco </w:t>
      </w:r>
      <w:r>
        <w:rPr>
          <w:rFonts w:ascii="Palatino Linotype" w:eastAsia="Palatino Linotype" w:hAnsi="Palatino Linotype" w:cs="Palatino Linotype"/>
          <w:color w:val="0D0D0D"/>
          <w:sz w:val="22"/>
          <w:szCs w:val="22"/>
        </w:rPr>
        <w:t>de conformidad con el Considerando QUINTO.</w:t>
      </w:r>
    </w:p>
    <w:p w14:paraId="1FFE2927" w14:textId="77777777" w:rsidR="00BB122C" w:rsidRDefault="00BB122C">
      <w:pPr>
        <w:pBdr>
          <w:top w:val="nil"/>
          <w:left w:val="nil"/>
          <w:bottom w:val="nil"/>
          <w:right w:val="nil"/>
          <w:between w:val="nil"/>
        </w:pBdr>
        <w:spacing w:line="360" w:lineRule="auto"/>
        <w:ind w:left="567"/>
        <w:jc w:val="both"/>
        <w:rPr>
          <w:rFonts w:ascii="Palatino Linotype" w:eastAsia="Palatino Linotype" w:hAnsi="Palatino Linotype" w:cs="Palatino Linotype"/>
          <w:color w:val="0D0D0D"/>
          <w:sz w:val="22"/>
          <w:szCs w:val="22"/>
        </w:rPr>
      </w:pPr>
    </w:p>
    <w:p w14:paraId="747D7463" w14:textId="77777777" w:rsidR="00BB122C" w:rsidRDefault="00E74273">
      <w:pPr>
        <w:numPr>
          <w:ilvl w:val="3"/>
          <w:numId w:val="4"/>
        </w:numPr>
        <w:pBdr>
          <w:top w:val="nil"/>
          <w:left w:val="nil"/>
          <w:bottom w:val="nil"/>
          <w:right w:val="nil"/>
          <w:between w:val="nil"/>
        </w:pBdr>
        <w:spacing w:line="360" w:lineRule="auto"/>
        <w:ind w:left="567"/>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00000"/>
          <w:sz w:val="22"/>
          <w:szCs w:val="22"/>
        </w:rPr>
        <w:t xml:space="preserve">La factura remitida en informe justificado en versión íntegra. </w:t>
      </w:r>
    </w:p>
    <w:p w14:paraId="0BE6F527" w14:textId="77777777" w:rsidR="00BB122C" w:rsidRDefault="00BB122C">
      <w:pPr>
        <w:spacing w:line="360" w:lineRule="auto"/>
        <w:jc w:val="both"/>
        <w:rPr>
          <w:rFonts w:ascii="Palatino Linotype" w:eastAsia="Palatino Linotype" w:hAnsi="Palatino Linotype" w:cs="Palatino Linotype"/>
          <w:color w:val="0D0D0D"/>
          <w:sz w:val="22"/>
          <w:szCs w:val="22"/>
        </w:rPr>
      </w:pPr>
    </w:p>
    <w:p w14:paraId="36577DF5" w14:textId="632D2877" w:rsidR="00BB122C" w:rsidRDefault="00E74273">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Para el supuesto, respecto al punto 1, de que no cuente con algún documento que conste de la factura de algún bien adquirido por parte de las Dependencias Municipales, deberá proporcionar el Acuerdo emitido por el Comité de Transparencia, donde confirme la inexistencia de la información, de conformidad con lo previsto en los artículos 19, párrafo </w:t>
      </w:r>
      <w:r>
        <w:rPr>
          <w:rFonts w:ascii="Palatino Linotype" w:eastAsia="Palatino Linotype" w:hAnsi="Palatino Linotype" w:cs="Palatino Linotype"/>
          <w:color w:val="0D0D0D"/>
          <w:sz w:val="22"/>
          <w:szCs w:val="22"/>
        </w:rPr>
        <w:lastRenderedPageBreak/>
        <w:t>tercero, 169 y 170 de la Ley de Transparencia y Acceso a la Información Pública del Estado de México y Municipios.</w:t>
      </w:r>
    </w:p>
    <w:p w14:paraId="558800F6" w14:textId="77777777" w:rsidR="00BB122C" w:rsidRDefault="00BB122C">
      <w:pPr>
        <w:spacing w:line="360" w:lineRule="auto"/>
        <w:jc w:val="both"/>
        <w:rPr>
          <w:rFonts w:ascii="Palatino Linotype" w:eastAsia="Palatino Linotype" w:hAnsi="Palatino Linotype" w:cs="Palatino Linotype"/>
          <w:color w:val="0D0D0D"/>
          <w:sz w:val="22"/>
          <w:szCs w:val="22"/>
        </w:rPr>
      </w:pPr>
    </w:p>
    <w:p w14:paraId="5D99B8DA"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 ser necesario, se deberá proporcionar el Acuerdo de Clasificación donde el Comité de Transparencia, confirme la eliminación de los datos o información, de conformidad con los artículos 49, fracciones II y VIII y 132, fracción II de la Ley de Transparencia y Acceso a la Información Pública del Estado de México y Municipios.</w:t>
      </w:r>
    </w:p>
    <w:p w14:paraId="6D557B14" w14:textId="77777777" w:rsidR="00BB122C" w:rsidRDefault="00BB122C">
      <w:pPr>
        <w:spacing w:line="360" w:lineRule="auto"/>
        <w:jc w:val="both"/>
        <w:rPr>
          <w:rFonts w:ascii="Palatino Linotype" w:eastAsia="Palatino Linotype" w:hAnsi="Palatino Linotype" w:cs="Palatino Linotype"/>
          <w:sz w:val="22"/>
          <w:szCs w:val="22"/>
        </w:rPr>
      </w:pPr>
    </w:p>
    <w:p w14:paraId="035FA016"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068D1C2D" w14:textId="77777777" w:rsidR="00BB122C" w:rsidRDefault="00BB122C">
      <w:pPr>
        <w:spacing w:line="360" w:lineRule="auto"/>
        <w:jc w:val="both"/>
        <w:rPr>
          <w:rFonts w:ascii="Palatino Linotype" w:eastAsia="Palatino Linotype" w:hAnsi="Palatino Linotype" w:cs="Palatino Linotype"/>
          <w:sz w:val="22"/>
          <w:szCs w:val="22"/>
        </w:rPr>
      </w:pPr>
    </w:p>
    <w:p w14:paraId="6E7E95F4"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94BA6E8" w14:textId="77777777" w:rsidR="00BB122C" w:rsidRDefault="00BB122C">
      <w:pPr>
        <w:spacing w:line="360" w:lineRule="auto"/>
        <w:jc w:val="both"/>
        <w:rPr>
          <w:rFonts w:ascii="Palatino Linotype" w:eastAsia="Palatino Linotype" w:hAnsi="Palatino Linotype" w:cs="Palatino Linotype"/>
          <w:sz w:val="22"/>
          <w:szCs w:val="22"/>
        </w:rPr>
      </w:pPr>
    </w:p>
    <w:p w14:paraId="364ED019" w14:textId="77777777" w:rsidR="00BB122C" w:rsidRDefault="00BB122C">
      <w:pPr>
        <w:spacing w:line="360" w:lineRule="auto"/>
        <w:jc w:val="both"/>
        <w:rPr>
          <w:rFonts w:ascii="Palatino Linotype" w:eastAsia="Palatino Linotype" w:hAnsi="Palatino Linotype" w:cs="Palatino Linotype"/>
          <w:sz w:val="22"/>
          <w:szCs w:val="22"/>
        </w:rPr>
      </w:pPr>
    </w:p>
    <w:p w14:paraId="0892234E"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961211A" w14:textId="77777777" w:rsidR="00BB122C" w:rsidRDefault="00BB122C">
      <w:pPr>
        <w:spacing w:line="360" w:lineRule="auto"/>
        <w:jc w:val="both"/>
        <w:rPr>
          <w:rFonts w:ascii="Palatino Linotype" w:eastAsia="Palatino Linotype" w:hAnsi="Palatino Linotype" w:cs="Palatino Linotype"/>
          <w:sz w:val="22"/>
          <w:szCs w:val="22"/>
        </w:rPr>
      </w:pPr>
    </w:p>
    <w:p w14:paraId="4E3FE45F"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0428E902" w14:textId="77777777" w:rsidR="00BB122C" w:rsidRDefault="00BB122C">
      <w:pPr>
        <w:spacing w:line="360" w:lineRule="auto"/>
        <w:jc w:val="both"/>
        <w:rPr>
          <w:rFonts w:ascii="Palatino Linotype" w:eastAsia="Palatino Linotype" w:hAnsi="Palatino Linotype" w:cs="Palatino Linotype"/>
          <w:b/>
          <w:sz w:val="22"/>
          <w:szCs w:val="22"/>
        </w:rPr>
      </w:pPr>
    </w:p>
    <w:p w14:paraId="307F92B2" w14:textId="77777777" w:rsidR="00BB122C" w:rsidRDefault="00E7427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sz w:val="22"/>
          <w:szCs w:val="22"/>
        </w:rPr>
        <w:t>UNANIMIDAD</w:t>
      </w:r>
      <w:r>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PRIMERA SESIÓN ORDINARIA, CELEBRADA EL TRES DE SEPTIEMBRE DE DOS MIL VEINTICINCO, ANTE EL SECRETARIO TÉCNICO DEL PLENO, ALEXIS TAPIA RAMÍREZ.</w:t>
      </w:r>
    </w:p>
    <w:p w14:paraId="292B8D82" w14:textId="77777777" w:rsidR="00BB122C" w:rsidRDefault="00BB122C">
      <w:pPr>
        <w:spacing w:line="360" w:lineRule="auto"/>
      </w:pPr>
    </w:p>
    <w:p w14:paraId="06E07BB6" w14:textId="77777777" w:rsidR="00BB122C" w:rsidRDefault="00BB122C">
      <w:pPr>
        <w:spacing w:line="360" w:lineRule="auto"/>
      </w:pPr>
    </w:p>
    <w:p w14:paraId="6CF6B388"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4F524E02"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23878842"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2183042D"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3A43EEAA"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5B27D210"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21B295A4"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5B2388A5"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7D3E1A7F"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528B844E"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4D5F7C14"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6327D9A4"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0AD54245" w14:textId="77777777" w:rsidR="00BB122C" w:rsidRDefault="00BB122C">
      <w:pPr>
        <w:spacing w:line="360" w:lineRule="auto"/>
        <w:jc w:val="both"/>
        <w:rPr>
          <w:rFonts w:ascii="Palatino Linotype" w:eastAsia="Palatino Linotype" w:hAnsi="Palatino Linotype" w:cs="Palatino Linotype"/>
          <w:color w:val="000000"/>
          <w:sz w:val="22"/>
          <w:szCs w:val="22"/>
        </w:rPr>
      </w:pPr>
    </w:p>
    <w:p w14:paraId="325C14CE" w14:textId="77777777" w:rsidR="00BB122C" w:rsidRDefault="00BB122C">
      <w:pPr>
        <w:spacing w:line="360" w:lineRule="auto"/>
        <w:jc w:val="both"/>
        <w:rPr>
          <w:rFonts w:ascii="Palatino Linotype" w:eastAsia="Palatino Linotype" w:hAnsi="Palatino Linotype" w:cs="Palatino Linotype"/>
          <w:color w:val="000000"/>
          <w:sz w:val="22"/>
          <w:szCs w:val="22"/>
        </w:rPr>
      </w:pPr>
    </w:p>
    <w:sectPr w:rsidR="00BB122C">
      <w:headerReference w:type="default" r:id="rId25"/>
      <w:footerReference w:type="default" r:id="rId26"/>
      <w:headerReference w:type="first" r:id="rId27"/>
      <w:footerReference w:type="first" r:id="rId28"/>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C1E7D" w14:textId="77777777" w:rsidR="00AF48C0" w:rsidRDefault="00AF48C0">
      <w:r>
        <w:separator/>
      </w:r>
    </w:p>
  </w:endnote>
  <w:endnote w:type="continuationSeparator" w:id="0">
    <w:p w14:paraId="10BD34D6" w14:textId="77777777" w:rsidR="00AF48C0" w:rsidRDefault="00AF4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AE153" w14:textId="77777777" w:rsidR="00BB122C" w:rsidRDefault="00BB122C">
    <w:pPr>
      <w:pBdr>
        <w:top w:val="nil"/>
        <w:left w:val="nil"/>
        <w:bottom w:val="nil"/>
        <w:right w:val="nil"/>
        <w:between w:val="nil"/>
      </w:pBdr>
      <w:tabs>
        <w:tab w:val="center" w:pos="4419"/>
        <w:tab w:val="right" w:pos="8838"/>
      </w:tabs>
      <w:jc w:val="right"/>
      <w:rPr>
        <w:color w:val="000000"/>
        <w:sz w:val="26"/>
        <w:szCs w:val="26"/>
      </w:rPr>
    </w:pPr>
  </w:p>
  <w:p w14:paraId="24B2D5C4" w14:textId="77777777" w:rsidR="00BB122C" w:rsidRDefault="00E7427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41873">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41873">
      <w:rPr>
        <w:b/>
        <w:noProof/>
        <w:color w:val="000000"/>
        <w:sz w:val="24"/>
        <w:szCs w:val="24"/>
      </w:rPr>
      <w:t>45</w:t>
    </w:r>
    <w:r>
      <w:rPr>
        <w:b/>
        <w:color w:val="000000"/>
        <w:sz w:val="24"/>
        <w:szCs w:val="24"/>
      </w:rPr>
      <w:fldChar w:fldCharType="end"/>
    </w:r>
  </w:p>
  <w:p w14:paraId="7BBF84E9" w14:textId="77777777" w:rsidR="00BB122C" w:rsidRDefault="00BB122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1C36B" w14:textId="77777777" w:rsidR="00BB122C" w:rsidRDefault="00BB122C">
    <w:pPr>
      <w:pBdr>
        <w:top w:val="nil"/>
        <w:left w:val="nil"/>
        <w:bottom w:val="nil"/>
        <w:right w:val="nil"/>
        <w:between w:val="nil"/>
      </w:pBdr>
      <w:tabs>
        <w:tab w:val="center" w:pos="4419"/>
        <w:tab w:val="right" w:pos="8838"/>
      </w:tabs>
      <w:jc w:val="right"/>
      <w:rPr>
        <w:color w:val="000000"/>
      </w:rPr>
    </w:pPr>
  </w:p>
  <w:p w14:paraId="7FE29FEE" w14:textId="77777777" w:rsidR="00BB122C" w:rsidRDefault="00E7427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4187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41873">
      <w:rPr>
        <w:b/>
        <w:noProof/>
        <w:color w:val="000000"/>
        <w:sz w:val="24"/>
        <w:szCs w:val="24"/>
      </w:rPr>
      <w:t>45</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AD550" w14:textId="77777777" w:rsidR="00AF48C0" w:rsidRDefault="00AF48C0">
      <w:r>
        <w:separator/>
      </w:r>
    </w:p>
  </w:footnote>
  <w:footnote w:type="continuationSeparator" w:id="0">
    <w:p w14:paraId="2C3FF143" w14:textId="77777777" w:rsidR="00AF48C0" w:rsidRDefault="00AF4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37FF" w14:textId="77777777" w:rsidR="00BB122C" w:rsidRDefault="00BB122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5"/>
      <w:tblW w:w="8222" w:type="dxa"/>
      <w:tblInd w:w="2552" w:type="dxa"/>
      <w:tblLayout w:type="fixed"/>
      <w:tblLook w:val="0400" w:firstRow="0" w:lastRow="0" w:firstColumn="0" w:lastColumn="0" w:noHBand="0" w:noVBand="1"/>
    </w:tblPr>
    <w:tblGrid>
      <w:gridCol w:w="8222"/>
    </w:tblGrid>
    <w:tr w:rsidR="00BB122C" w14:paraId="48561A5F" w14:textId="77777777">
      <w:trPr>
        <w:trHeight w:val="1412"/>
      </w:trPr>
      <w:tc>
        <w:tcPr>
          <w:tcW w:w="8222" w:type="dxa"/>
        </w:tcPr>
        <w:p w14:paraId="280C0050" w14:textId="77777777" w:rsidR="00BB122C" w:rsidRDefault="00BB122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6"/>
            <w:tblW w:w="6700"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BB122C" w14:paraId="3199601E" w14:textId="77777777">
            <w:trPr>
              <w:trHeight w:val="144"/>
            </w:trPr>
            <w:tc>
              <w:tcPr>
                <w:tcW w:w="2552" w:type="dxa"/>
              </w:tcPr>
              <w:p w14:paraId="6F74D7B9" w14:textId="77777777" w:rsidR="00BB122C" w:rsidRDefault="00E74273">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48" w:type="dxa"/>
              </w:tcPr>
              <w:p w14:paraId="7084CC2A" w14:textId="77777777" w:rsidR="00BB122C" w:rsidRDefault="00E7427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08391/INFOEM/IP/RR/2025</w:t>
                </w:r>
              </w:p>
            </w:tc>
          </w:tr>
          <w:tr w:rsidR="00BB122C" w14:paraId="205226ED" w14:textId="77777777">
            <w:trPr>
              <w:trHeight w:val="144"/>
            </w:trPr>
            <w:tc>
              <w:tcPr>
                <w:tcW w:w="2552" w:type="dxa"/>
              </w:tcPr>
              <w:p w14:paraId="64093849" w14:textId="77777777" w:rsidR="00BB122C" w:rsidRDefault="00E74273">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48" w:type="dxa"/>
              </w:tcPr>
              <w:p w14:paraId="50C13D1B" w14:textId="77777777" w:rsidR="00BB122C" w:rsidRDefault="00E7427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Chiconcuac</w:t>
                </w:r>
              </w:p>
            </w:tc>
          </w:tr>
          <w:tr w:rsidR="00BB122C" w14:paraId="1AA0B68B" w14:textId="77777777">
            <w:trPr>
              <w:trHeight w:val="138"/>
            </w:trPr>
            <w:tc>
              <w:tcPr>
                <w:tcW w:w="2552" w:type="dxa"/>
              </w:tcPr>
              <w:p w14:paraId="0AAC1E14" w14:textId="77777777" w:rsidR="00BB122C" w:rsidRDefault="00E74273">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48" w:type="dxa"/>
              </w:tcPr>
              <w:p w14:paraId="080A9FCA" w14:textId="77777777" w:rsidR="00BB122C" w:rsidRDefault="00E74273">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2287A1C7" w14:textId="77777777" w:rsidR="00BB122C" w:rsidRDefault="00BB122C">
          <w:pPr>
            <w:tabs>
              <w:tab w:val="right" w:pos="8838"/>
            </w:tabs>
            <w:ind w:left="-28"/>
            <w:jc w:val="both"/>
            <w:rPr>
              <w:rFonts w:ascii="Arial" w:eastAsia="Arial" w:hAnsi="Arial" w:cs="Arial"/>
              <w:b/>
              <w:sz w:val="22"/>
              <w:szCs w:val="22"/>
            </w:rPr>
          </w:pPr>
        </w:p>
      </w:tc>
    </w:tr>
  </w:tbl>
  <w:p w14:paraId="2A3E8881" w14:textId="77777777" w:rsidR="00BB122C" w:rsidRDefault="00000000">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212D0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9.4pt;margin-top:-136.7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2F959" w14:textId="77777777" w:rsidR="00BB122C" w:rsidRDefault="00000000">
    <w:r>
      <w:rPr>
        <w:rFonts w:ascii="Palatino Linotype" w:eastAsia="Palatino Linotype" w:hAnsi="Palatino Linotype" w:cs="Palatino Linotype"/>
        <w:b/>
        <w:sz w:val="22"/>
        <w:szCs w:val="22"/>
      </w:rPr>
      <w:pict w14:anchorId="57519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11"/>
          <w10:wrap anchorx="margin" anchory="margin"/>
        </v:shape>
      </w:pict>
    </w:r>
  </w:p>
  <w:tbl>
    <w:tblPr>
      <w:tblStyle w:val="a7"/>
      <w:tblpPr w:leftFromText="141" w:rightFromText="141" w:vertAnchor="page" w:horzAnchor="margin" w:tblpY="556"/>
      <w:tblW w:w="1006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402"/>
      <w:gridCol w:w="2405"/>
      <w:gridCol w:w="4257"/>
    </w:tblGrid>
    <w:tr w:rsidR="00BB122C" w14:paraId="28D9A7F8" w14:textId="77777777">
      <w:trPr>
        <w:trHeight w:val="466"/>
      </w:trPr>
      <w:tc>
        <w:tcPr>
          <w:tcW w:w="3402" w:type="dxa"/>
          <w:vAlign w:val="bottom"/>
        </w:tcPr>
        <w:p w14:paraId="4A447CB6" w14:textId="77777777" w:rsidR="00BB122C" w:rsidRDefault="00BB122C">
          <w:pPr>
            <w:tabs>
              <w:tab w:val="right" w:pos="8838"/>
            </w:tabs>
            <w:ind w:right="-105"/>
            <w:rPr>
              <w:rFonts w:ascii="Palatino Linotype" w:eastAsia="Palatino Linotype" w:hAnsi="Palatino Linotype" w:cs="Palatino Linotype"/>
              <w:b/>
              <w:sz w:val="22"/>
              <w:szCs w:val="22"/>
            </w:rPr>
          </w:pPr>
        </w:p>
      </w:tc>
      <w:tc>
        <w:tcPr>
          <w:tcW w:w="2405" w:type="dxa"/>
          <w:vAlign w:val="bottom"/>
        </w:tcPr>
        <w:p w14:paraId="4071207E" w14:textId="77777777" w:rsidR="00BB122C" w:rsidRDefault="00E74273">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7" w:type="dxa"/>
          <w:vAlign w:val="bottom"/>
        </w:tcPr>
        <w:p w14:paraId="4EF85B76" w14:textId="77777777" w:rsidR="00BB122C" w:rsidRDefault="00E74273">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08391/INFOEM/IP/RR/2025</w:t>
          </w:r>
        </w:p>
      </w:tc>
    </w:tr>
    <w:tr w:rsidR="00BB122C" w14:paraId="6D798B89" w14:textId="77777777">
      <w:trPr>
        <w:trHeight w:val="119"/>
      </w:trPr>
      <w:tc>
        <w:tcPr>
          <w:tcW w:w="3402" w:type="dxa"/>
        </w:tcPr>
        <w:p w14:paraId="410D905D" w14:textId="77777777" w:rsidR="00BB122C" w:rsidRDefault="00BB122C">
          <w:pPr>
            <w:tabs>
              <w:tab w:val="right" w:pos="8838"/>
            </w:tabs>
            <w:ind w:right="-105"/>
            <w:rPr>
              <w:rFonts w:ascii="Palatino Linotype" w:eastAsia="Palatino Linotype" w:hAnsi="Palatino Linotype" w:cs="Palatino Linotype"/>
              <w:b/>
              <w:sz w:val="22"/>
              <w:szCs w:val="22"/>
            </w:rPr>
          </w:pPr>
        </w:p>
      </w:tc>
      <w:tc>
        <w:tcPr>
          <w:tcW w:w="2405" w:type="dxa"/>
        </w:tcPr>
        <w:p w14:paraId="40680D43" w14:textId="77777777" w:rsidR="00BB122C" w:rsidRDefault="00E7427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4257" w:type="dxa"/>
        </w:tcPr>
        <w:p w14:paraId="72D19622" w14:textId="63B5B364" w:rsidR="00BB122C" w:rsidRDefault="002A0597">
          <w:pPr>
            <w:tabs>
              <w:tab w:val="right" w:pos="8838"/>
            </w:tabs>
            <w:spacing w:line="276" w:lineRule="auto"/>
            <w:ind w:right="-246"/>
            <w:jc w:val="both"/>
            <w:rPr>
              <w:rFonts w:ascii="Palatino Linotype" w:eastAsia="Palatino Linotype" w:hAnsi="Palatino Linotype" w:cs="Palatino Linotype"/>
              <w:sz w:val="22"/>
              <w:szCs w:val="22"/>
            </w:rPr>
          </w:pPr>
          <w:r w:rsidRPr="002A0597">
            <w:rPr>
              <w:rFonts w:ascii="Palatino Linotype" w:eastAsia="Palatino Linotype" w:hAnsi="Palatino Linotype" w:cs="Palatino Linotype"/>
              <w:sz w:val="22"/>
              <w:szCs w:val="22"/>
              <w:highlight w:val="black"/>
            </w:rPr>
            <w:t>XXXXXXXXXXXXXXXX</w:t>
          </w:r>
        </w:p>
      </w:tc>
    </w:tr>
    <w:tr w:rsidR="00BB122C" w14:paraId="74D8F925" w14:textId="77777777">
      <w:trPr>
        <w:trHeight w:val="234"/>
      </w:trPr>
      <w:tc>
        <w:tcPr>
          <w:tcW w:w="3402" w:type="dxa"/>
        </w:tcPr>
        <w:p w14:paraId="6AEB0A44" w14:textId="77777777" w:rsidR="00BB122C" w:rsidRDefault="00BB122C">
          <w:pPr>
            <w:tabs>
              <w:tab w:val="right" w:pos="8838"/>
            </w:tabs>
            <w:ind w:right="-105"/>
            <w:rPr>
              <w:rFonts w:ascii="Palatino Linotype" w:eastAsia="Palatino Linotype" w:hAnsi="Palatino Linotype" w:cs="Palatino Linotype"/>
              <w:b/>
              <w:sz w:val="22"/>
              <w:szCs w:val="22"/>
            </w:rPr>
          </w:pPr>
        </w:p>
      </w:tc>
      <w:tc>
        <w:tcPr>
          <w:tcW w:w="2405" w:type="dxa"/>
        </w:tcPr>
        <w:p w14:paraId="55F5CA83" w14:textId="77777777" w:rsidR="00BB122C" w:rsidRDefault="00E74273">
          <w:pPr>
            <w:tabs>
              <w:tab w:val="right" w:pos="8838"/>
            </w:tabs>
            <w:spacing w:line="276" w:lineRule="auto"/>
            <w:ind w:right="17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7" w:type="dxa"/>
        </w:tcPr>
        <w:p w14:paraId="5166EE83" w14:textId="77777777" w:rsidR="00BB122C" w:rsidRDefault="00E74273">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Chiconcuac</w:t>
          </w:r>
        </w:p>
      </w:tc>
    </w:tr>
    <w:tr w:rsidR="00BB122C" w14:paraId="1C51BC67" w14:textId="77777777">
      <w:trPr>
        <w:trHeight w:val="234"/>
      </w:trPr>
      <w:tc>
        <w:tcPr>
          <w:tcW w:w="3402" w:type="dxa"/>
        </w:tcPr>
        <w:p w14:paraId="42DAED50" w14:textId="77777777" w:rsidR="00BB122C" w:rsidRDefault="00BB122C">
          <w:pPr>
            <w:tabs>
              <w:tab w:val="right" w:pos="8838"/>
            </w:tabs>
            <w:ind w:right="-105"/>
            <w:rPr>
              <w:rFonts w:ascii="Palatino Linotype" w:eastAsia="Palatino Linotype" w:hAnsi="Palatino Linotype" w:cs="Palatino Linotype"/>
              <w:b/>
              <w:sz w:val="22"/>
              <w:szCs w:val="22"/>
            </w:rPr>
          </w:pPr>
        </w:p>
      </w:tc>
      <w:tc>
        <w:tcPr>
          <w:tcW w:w="2405" w:type="dxa"/>
        </w:tcPr>
        <w:p w14:paraId="63CEED0D" w14:textId="77777777" w:rsidR="00BB122C" w:rsidRDefault="00E74273">
          <w:pPr>
            <w:tabs>
              <w:tab w:val="right" w:pos="8838"/>
            </w:tabs>
            <w:spacing w:line="276" w:lineRule="auto"/>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257" w:type="dxa"/>
        </w:tcPr>
        <w:p w14:paraId="14690782" w14:textId="77777777" w:rsidR="00BB122C" w:rsidRDefault="00E74273">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06B57B69" w14:textId="77777777" w:rsidR="00BB122C" w:rsidRDefault="00BB122C">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37F88"/>
    <w:multiLevelType w:val="multilevel"/>
    <w:tmpl w:val="9DAEC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32446D"/>
    <w:multiLevelType w:val="multilevel"/>
    <w:tmpl w:val="77BA97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5CB0E44"/>
    <w:multiLevelType w:val="multilevel"/>
    <w:tmpl w:val="F7B21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D87B14"/>
    <w:multiLevelType w:val="multilevel"/>
    <w:tmpl w:val="19AC61EC"/>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4132086">
    <w:abstractNumId w:val="3"/>
  </w:num>
  <w:num w:numId="2" w16cid:durableId="1584483897">
    <w:abstractNumId w:val="0"/>
  </w:num>
  <w:num w:numId="3" w16cid:durableId="1769545968">
    <w:abstractNumId w:val="2"/>
  </w:num>
  <w:num w:numId="4" w16cid:durableId="617419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2C"/>
    <w:rsid w:val="00093B2A"/>
    <w:rsid w:val="00114515"/>
    <w:rsid w:val="002A0597"/>
    <w:rsid w:val="00441873"/>
    <w:rsid w:val="00537AF2"/>
    <w:rsid w:val="00805DB4"/>
    <w:rsid w:val="008C49E5"/>
    <w:rsid w:val="009E2891"/>
    <w:rsid w:val="00AF48C0"/>
    <w:rsid w:val="00BB122C"/>
    <w:rsid w:val="00E2633E"/>
    <w:rsid w:val="00E742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12BD"/>
  <w15:docId w15:val="{C72705E4-5910-41AB-97E2-E0AB2F31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color w:val="000000"/>
      <w:sz w:val="22"/>
      <w:szCs w:val="22"/>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rPr>
      <w:rFonts w:ascii="Calibri" w:eastAsia="Calibri" w:hAnsi="Calibri" w:cs="Calibri"/>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EE06AD"/>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chiconcuac.gob.mx/contenidos/chiconcuac/docs/INFORME_DE_100_DIAS__2__pdf_2025_4_23_101953.pdf?fbclid=IwZnRzaAMcDppleHRuA2FlbQIxMQABHnSW_QFT5aquH-MBTKWrZhhLCk91_7d0VCvOJNbewL-hY7lTEgun6GcQtbx2_aem_rwByDnKIray9GrZ7aB-cuQ"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ortalanterior.ine.mx/archivos2/tutoriales/sistemas/ApoyoInstitucional/SIF/docs/candidatos/folioFiscalFactura.pdf"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XBCm1OoVqwsTL3IAiLv+clkL+Q==">CgMxLjAyDmguc2Voa3Rqbm4yYmxpMg5oLnFndHhsZmQxanAzdTIOaC53MTUwdHdiZ3Rlb2MyDmguejF1b2o2ajMxN2dxMg5oLm92cmhiODZ0MmhxcTIOaC5henQ4MmJqZnU3MGwyDmgudm5oODJxdXd6MmVsMg1oLjEwdzIycGR0M3Y3Mg5oLm1nNndsejJxczM1aDIOaC53dm45enBuM2ZybWoyDmgucGcycXB1M2g3ZWlzMg5oLmFqOXN4Z3M1OTgxdzIOaC5rNXZkbXk1c2V0MXQyDmguZmJjYWRpNzdycmJ1Mg5oLnluajc3NWZwYTV4NzIOaC53N3o5czh5aGNmcW0yDmguNXY0NnBqbG1jZ2pkMg5oLnhrNGd1MHYxYXllNTgAciExU0hMRWs1bjdTNndLVlRYYVRLVzFYSWFjYjB1M0lDX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2D251E-F41A-4FE4-B870-360E08F47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10252</Words>
  <Characters>54748</Characters>
  <Application>Microsoft Office Word</Application>
  <DocSecurity>0</DocSecurity>
  <Lines>1094</Lines>
  <Paragraphs>290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Roxana Lechuga</cp:lastModifiedBy>
  <cp:revision>4</cp:revision>
  <cp:lastPrinted>2025-09-05T03:24:00Z</cp:lastPrinted>
  <dcterms:created xsi:type="dcterms:W3CDTF">2025-09-05T03:24:00Z</dcterms:created>
  <dcterms:modified xsi:type="dcterms:W3CDTF">2025-11-28T02:21:00Z</dcterms:modified>
</cp:coreProperties>
</file>