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4387" w14:textId="77777777" w:rsidR="00633F90" w:rsidRDefault="00633F90">
      <w:pPr>
        <w:widowControl w:val="0"/>
        <w:pBdr>
          <w:top w:val="nil"/>
          <w:left w:val="nil"/>
          <w:bottom w:val="nil"/>
          <w:right w:val="nil"/>
          <w:between w:val="nil"/>
        </w:pBdr>
        <w:spacing w:line="276" w:lineRule="auto"/>
      </w:pPr>
    </w:p>
    <w:p w14:paraId="3F6B74E0" w14:textId="77777777" w:rsidR="00633F90" w:rsidRPr="00BB7F68" w:rsidRDefault="000734F4">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RESOLUCIÓN DEL RECURSO DE REVISIÓN 01061/INFOEM/IP/RR/2025</w:t>
      </w:r>
    </w:p>
    <w:sdt>
      <w:sdtPr>
        <w:id w:val="1614474310"/>
        <w:docPartObj>
          <w:docPartGallery w:val="Table of Contents"/>
          <w:docPartUnique/>
        </w:docPartObj>
      </w:sdtPr>
      <w:sdtEndPr/>
      <w:sdtContent>
        <w:p w14:paraId="186F7F42" w14:textId="77777777" w:rsidR="00633F90" w:rsidRPr="00BB7F68" w:rsidRDefault="000734F4">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BB7F68">
            <w:fldChar w:fldCharType="begin"/>
          </w:r>
          <w:r w:rsidRPr="00BB7F68">
            <w:instrText xml:space="preserve"> TOC \h \u \z \t "Heading 1,1,Heading 2,2,Heading 3,3,"</w:instrText>
          </w:r>
          <w:r w:rsidRPr="00BB7F68">
            <w:fldChar w:fldCharType="separate"/>
          </w:r>
          <w:hyperlink w:anchor="_heading=h.gjdgxs">
            <w:r w:rsidRPr="00BB7F68">
              <w:rPr>
                <w:rFonts w:ascii="Palatino Linotype" w:eastAsia="Palatino Linotype" w:hAnsi="Palatino Linotype" w:cs="Palatino Linotype"/>
                <w:color w:val="000000"/>
                <w:sz w:val="22"/>
                <w:szCs w:val="22"/>
              </w:rPr>
              <w:t>A N T E C E D E N T E S</w:t>
            </w:r>
            <w:r w:rsidRPr="00BB7F68">
              <w:rPr>
                <w:rFonts w:ascii="Palatino Linotype" w:eastAsia="Palatino Linotype" w:hAnsi="Palatino Linotype" w:cs="Palatino Linotype"/>
                <w:color w:val="000000"/>
                <w:sz w:val="22"/>
                <w:szCs w:val="22"/>
              </w:rPr>
              <w:tab/>
              <w:t>2</w:t>
            </w:r>
          </w:hyperlink>
        </w:p>
        <w:p w14:paraId="0871BE34"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sidR="000734F4" w:rsidRPr="00BB7F68">
              <w:rPr>
                <w:rFonts w:ascii="Palatino Linotype" w:eastAsia="Palatino Linotype" w:hAnsi="Palatino Linotype" w:cs="Palatino Linotype"/>
                <w:color w:val="000000"/>
                <w:sz w:val="22"/>
                <w:szCs w:val="22"/>
              </w:rPr>
              <w:t>I. Presentación de la solicitud de información</w:t>
            </w:r>
            <w:r w:rsidR="000734F4" w:rsidRPr="00BB7F68">
              <w:rPr>
                <w:rFonts w:ascii="Palatino Linotype" w:eastAsia="Palatino Linotype" w:hAnsi="Palatino Linotype" w:cs="Palatino Linotype"/>
                <w:color w:val="000000"/>
                <w:sz w:val="22"/>
                <w:szCs w:val="22"/>
              </w:rPr>
              <w:tab/>
              <w:t>2</w:t>
            </w:r>
          </w:hyperlink>
        </w:p>
        <w:p w14:paraId="0E9A7F59"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fob9te">
            <w:r w:rsidR="000734F4" w:rsidRPr="00BB7F68">
              <w:rPr>
                <w:rFonts w:ascii="Palatino Linotype" w:eastAsia="Palatino Linotype" w:hAnsi="Palatino Linotype" w:cs="Palatino Linotype"/>
                <w:color w:val="000000"/>
                <w:sz w:val="22"/>
                <w:szCs w:val="22"/>
              </w:rPr>
              <w:t>II. Respuesta del Sujeto Obligado</w:t>
            </w:r>
            <w:r w:rsidR="000734F4" w:rsidRPr="00BB7F68">
              <w:rPr>
                <w:rFonts w:ascii="Palatino Linotype" w:eastAsia="Palatino Linotype" w:hAnsi="Palatino Linotype" w:cs="Palatino Linotype"/>
                <w:color w:val="000000"/>
                <w:sz w:val="22"/>
                <w:szCs w:val="22"/>
              </w:rPr>
              <w:tab/>
              <w:t>3</w:t>
            </w:r>
          </w:hyperlink>
        </w:p>
        <w:p w14:paraId="5814447C"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znysh7">
            <w:r w:rsidR="000734F4" w:rsidRPr="00BB7F68">
              <w:rPr>
                <w:rFonts w:ascii="Palatino Linotype" w:eastAsia="Palatino Linotype" w:hAnsi="Palatino Linotype" w:cs="Palatino Linotype"/>
                <w:color w:val="000000"/>
                <w:sz w:val="22"/>
                <w:szCs w:val="22"/>
              </w:rPr>
              <w:t>III. Interposición del Recurso de Revisión</w:t>
            </w:r>
            <w:r w:rsidR="000734F4" w:rsidRPr="00BB7F68">
              <w:rPr>
                <w:rFonts w:ascii="Palatino Linotype" w:eastAsia="Palatino Linotype" w:hAnsi="Palatino Linotype" w:cs="Palatino Linotype"/>
                <w:color w:val="000000"/>
                <w:sz w:val="22"/>
                <w:szCs w:val="22"/>
              </w:rPr>
              <w:tab/>
              <w:t>3</w:t>
            </w:r>
          </w:hyperlink>
        </w:p>
        <w:p w14:paraId="1C942A02"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000734F4" w:rsidRPr="00BB7F68">
              <w:rPr>
                <w:rFonts w:ascii="Palatino Linotype" w:eastAsia="Palatino Linotype" w:hAnsi="Palatino Linotype" w:cs="Palatino Linotype"/>
                <w:color w:val="000000"/>
                <w:sz w:val="22"/>
                <w:szCs w:val="22"/>
              </w:rPr>
              <w:t>IV. Trámite del Recurso de Revisión ante el Instituto</w:t>
            </w:r>
            <w:r w:rsidR="000734F4" w:rsidRPr="00BB7F68">
              <w:rPr>
                <w:rFonts w:ascii="Palatino Linotype" w:eastAsia="Palatino Linotype" w:hAnsi="Palatino Linotype" w:cs="Palatino Linotype"/>
                <w:color w:val="000000"/>
                <w:sz w:val="22"/>
                <w:szCs w:val="22"/>
              </w:rPr>
              <w:tab/>
              <w:t>3</w:t>
            </w:r>
          </w:hyperlink>
        </w:p>
        <w:p w14:paraId="7B1C43D9" w14:textId="77777777" w:rsidR="00633F90" w:rsidRPr="00BB7F68" w:rsidRDefault="003F7342">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tyjcwt">
            <w:r w:rsidR="000734F4" w:rsidRPr="00BB7F68">
              <w:rPr>
                <w:rFonts w:ascii="Palatino Linotype" w:eastAsia="Palatino Linotype" w:hAnsi="Palatino Linotype" w:cs="Palatino Linotype"/>
                <w:color w:val="000000"/>
                <w:sz w:val="22"/>
                <w:szCs w:val="22"/>
              </w:rPr>
              <w:t>C O N S I D E R A N D O S</w:t>
            </w:r>
            <w:r w:rsidR="000734F4" w:rsidRPr="00BB7F68">
              <w:rPr>
                <w:rFonts w:ascii="Palatino Linotype" w:eastAsia="Palatino Linotype" w:hAnsi="Palatino Linotype" w:cs="Palatino Linotype"/>
                <w:color w:val="000000"/>
                <w:sz w:val="22"/>
                <w:szCs w:val="22"/>
              </w:rPr>
              <w:tab/>
              <w:t>5</w:t>
            </w:r>
          </w:hyperlink>
        </w:p>
        <w:p w14:paraId="0663D3B9"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sidR="000734F4" w:rsidRPr="00BB7F68">
              <w:rPr>
                <w:rFonts w:ascii="Palatino Linotype" w:eastAsia="Palatino Linotype" w:hAnsi="Palatino Linotype" w:cs="Palatino Linotype"/>
                <w:color w:val="000000"/>
                <w:sz w:val="22"/>
                <w:szCs w:val="22"/>
              </w:rPr>
              <w:t>PRIMERO. Competencia</w:t>
            </w:r>
            <w:r w:rsidR="000734F4" w:rsidRPr="00BB7F68">
              <w:rPr>
                <w:rFonts w:ascii="Palatino Linotype" w:eastAsia="Palatino Linotype" w:hAnsi="Palatino Linotype" w:cs="Palatino Linotype"/>
                <w:color w:val="000000"/>
                <w:sz w:val="22"/>
                <w:szCs w:val="22"/>
              </w:rPr>
              <w:tab/>
              <w:t>5</w:t>
            </w:r>
          </w:hyperlink>
        </w:p>
        <w:p w14:paraId="3EBE054C"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t3h5sf">
            <w:r w:rsidR="000734F4" w:rsidRPr="00BB7F68">
              <w:rPr>
                <w:rFonts w:ascii="Palatino Linotype" w:eastAsia="Palatino Linotype" w:hAnsi="Palatino Linotype" w:cs="Palatino Linotype"/>
                <w:color w:val="000000"/>
                <w:sz w:val="22"/>
                <w:szCs w:val="22"/>
              </w:rPr>
              <w:t>SEGUNDO. Causales de improcedencia y Sobreseimiento</w:t>
            </w:r>
            <w:r w:rsidR="000734F4" w:rsidRPr="00BB7F68">
              <w:rPr>
                <w:rFonts w:ascii="Palatino Linotype" w:eastAsia="Palatino Linotype" w:hAnsi="Palatino Linotype" w:cs="Palatino Linotype"/>
                <w:color w:val="000000"/>
                <w:sz w:val="22"/>
                <w:szCs w:val="22"/>
              </w:rPr>
              <w:tab/>
              <w:t>5</w:t>
            </w:r>
          </w:hyperlink>
        </w:p>
        <w:p w14:paraId="1ADE0B14"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d34og8">
            <w:r w:rsidR="000734F4" w:rsidRPr="00BB7F68">
              <w:rPr>
                <w:rFonts w:ascii="Palatino Linotype" w:eastAsia="Palatino Linotype" w:hAnsi="Palatino Linotype" w:cs="Palatino Linotype"/>
                <w:color w:val="000000"/>
                <w:sz w:val="22"/>
                <w:szCs w:val="22"/>
              </w:rPr>
              <w:t>TERCERO. Determinación de la Controversia</w:t>
            </w:r>
            <w:r w:rsidR="000734F4" w:rsidRPr="00BB7F68">
              <w:rPr>
                <w:rFonts w:ascii="Palatino Linotype" w:eastAsia="Palatino Linotype" w:hAnsi="Palatino Linotype" w:cs="Palatino Linotype"/>
                <w:color w:val="000000"/>
                <w:sz w:val="22"/>
                <w:szCs w:val="22"/>
              </w:rPr>
              <w:tab/>
              <w:t>7</w:t>
            </w:r>
          </w:hyperlink>
        </w:p>
        <w:p w14:paraId="535BC945"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s8eyo1">
            <w:r w:rsidR="000734F4" w:rsidRPr="00BB7F68">
              <w:rPr>
                <w:rFonts w:ascii="Palatino Linotype" w:eastAsia="Palatino Linotype" w:hAnsi="Palatino Linotype" w:cs="Palatino Linotype"/>
                <w:color w:val="000000"/>
                <w:sz w:val="22"/>
                <w:szCs w:val="22"/>
              </w:rPr>
              <w:t>CUARTO. Marco normativo aplicable en materia de transparencia y acceso a la información pública</w:t>
            </w:r>
            <w:r w:rsidR="000734F4" w:rsidRPr="00BB7F68">
              <w:rPr>
                <w:rFonts w:ascii="Palatino Linotype" w:eastAsia="Palatino Linotype" w:hAnsi="Palatino Linotype" w:cs="Palatino Linotype"/>
                <w:color w:val="000000"/>
                <w:sz w:val="22"/>
                <w:szCs w:val="22"/>
              </w:rPr>
              <w:tab/>
              <w:t>8</w:t>
            </w:r>
          </w:hyperlink>
        </w:p>
        <w:p w14:paraId="03452F17"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7dp8vu">
            <w:r w:rsidR="000734F4" w:rsidRPr="00BB7F68">
              <w:rPr>
                <w:rFonts w:ascii="Palatino Linotype" w:eastAsia="Palatino Linotype" w:hAnsi="Palatino Linotype" w:cs="Palatino Linotype"/>
                <w:color w:val="000000"/>
                <w:sz w:val="22"/>
                <w:szCs w:val="22"/>
              </w:rPr>
              <w:t>QUINTO. Estudio de Fondo</w:t>
            </w:r>
            <w:r w:rsidR="000734F4" w:rsidRPr="00BB7F68">
              <w:rPr>
                <w:rFonts w:ascii="Palatino Linotype" w:eastAsia="Palatino Linotype" w:hAnsi="Palatino Linotype" w:cs="Palatino Linotype"/>
                <w:color w:val="000000"/>
                <w:sz w:val="22"/>
                <w:szCs w:val="22"/>
              </w:rPr>
              <w:tab/>
              <w:t>9</w:t>
            </w:r>
          </w:hyperlink>
        </w:p>
        <w:p w14:paraId="102C42BA"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lnxbz9">
            <w:r w:rsidR="000734F4" w:rsidRPr="00BB7F68">
              <w:rPr>
                <w:rFonts w:ascii="Palatino Linotype" w:eastAsia="Palatino Linotype" w:hAnsi="Palatino Linotype" w:cs="Palatino Linotype"/>
                <w:color w:val="000000"/>
                <w:sz w:val="22"/>
                <w:szCs w:val="22"/>
              </w:rPr>
              <w:t>SEXTO. Decisión</w:t>
            </w:r>
            <w:r w:rsidR="000734F4" w:rsidRPr="00BB7F68">
              <w:rPr>
                <w:rFonts w:ascii="Palatino Linotype" w:eastAsia="Palatino Linotype" w:hAnsi="Palatino Linotype" w:cs="Palatino Linotype"/>
                <w:color w:val="000000"/>
                <w:sz w:val="22"/>
                <w:szCs w:val="22"/>
              </w:rPr>
              <w:tab/>
              <w:t>16</w:t>
            </w:r>
          </w:hyperlink>
        </w:p>
        <w:p w14:paraId="0D0883FC" w14:textId="77777777" w:rsidR="00633F90" w:rsidRPr="00BB7F68" w:rsidRDefault="003F7342">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5nkun2">
            <w:r w:rsidR="000734F4" w:rsidRPr="00BB7F68">
              <w:rPr>
                <w:rFonts w:ascii="Palatino Linotype" w:eastAsia="Palatino Linotype" w:hAnsi="Palatino Linotype" w:cs="Palatino Linotype"/>
                <w:color w:val="000000"/>
                <w:sz w:val="22"/>
                <w:szCs w:val="22"/>
              </w:rPr>
              <w:t>SÉPTIMO. Vista a la Secretaría Técnica del Pleno</w:t>
            </w:r>
            <w:r w:rsidR="000734F4" w:rsidRPr="00BB7F68">
              <w:rPr>
                <w:rFonts w:ascii="Palatino Linotype" w:eastAsia="Palatino Linotype" w:hAnsi="Palatino Linotype" w:cs="Palatino Linotype"/>
                <w:color w:val="000000"/>
                <w:sz w:val="22"/>
                <w:szCs w:val="22"/>
              </w:rPr>
              <w:tab/>
              <w:t>17</w:t>
            </w:r>
          </w:hyperlink>
        </w:p>
        <w:p w14:paraId="1ABC1DAF" w14:textId="77777777" w:rsidR="00633F90" w:rsidRPr="00BB7F68" w:rsidRDefault="003F7342">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ksv4uv">
            <w:r w:rsidR="000734F4" w:rsidRPr="00BB7F68">
              <w:rPr>
                <w:rFonts w:ascii="Palatino Linotype" w:eastAsia="Palatino Linotype" w:hAnsi="Palatino Linotype" w:cs="Palatino Linotype"/>
                <w:color w:val="000000"/>
                <w:sz w:val="22"/>
                <w:szCs w:val="22"/>
              </w:rPr>
              <w:t>R E S U E L V E</w:t>
            </w:r>
            <w:r w:rsidR="000734F4" w:rsidRPr="00BB7F68">
              <w:rPr>
                <w:rFonts w:ascii="Palatino Linotype" w:eastAsia="Palatino Linotype" w:hAnsi="Palatino Linotype" w:cs="Palatino Linotype"/>
                <w:color w:val="000000"/>
                <w:sz w:val="22"/>
                <w:szCs w:val="22"/>
              </w:rPr>
              <w:tab/>
              <w:t>19</w:t>
            </w:r>
          </w:hyperlink>
        </w:p>
        <w:p w14:paraId="3DCB92D3" w14:textId="77777777" w:rsidR="00633F90" w:rsidRPr="00BB7F68" w:rsidRDefault="000734F4">
          <w:pPr>
            <w:spacing w:line="360" w:lineRule="auto"/>
          </w:pPr>
          <w:r w:rsidRPr="00BB7F68">
            <w:fldChar w:fldCharType="end"/>
          </w:r>
        </w:p>
      </w:sdtContent>
    </w:sdt>
    <w:p w14:paraId="45CC70BC"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br w:type="column"/>
      </w:r>
      <w:r w:rsidRPr="00BB7F68">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sidRPr="00BB7F68">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veintiséis de febrero de dos mil veinticinco. </w:t>
      </w:r>
    </w:p>
    <w:p w14:paraId="4F0DAC18"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5A8FFFB7" w14:textId="5E7C763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b/>
          <w:color w:val="000000"/>
          <w:sz w:val="22"/>
          <w:szCs w:val="22"/>
        </w:rPr>
        <w:t xml:space="preserve">VISTO </w:t>
      </w:r>
      <w:r w:rsidRPr="00BB7F68">
        <w:rPr>
          <w:rFonts w:ascii="Palatino Linotype" w:eastAsia="Palatino Linotype" w:hAnsi="Palatino Linotype" w:cs="Palatino Linotype"/>
          <w:color w:val="000000"/>
          <w:sz w:val="22"/>
          <w:szCs w:val="22"/>
        </w:rPr>
        <w:t xml:space="preserve">el expediente conformado con motivo del Recurso de Revisión </w:t>
      </w:r>
      <w:r w:rsidRPr="00FB5131">
        <w:rPr>
          <w:rFonts w:ascii="Palatino Linotype" w:eastAsia="Palatino Linotype" w:hAnsi="Palatino Linotype" w:cs="Palatino Linotype"/>
          <w:b/>
          <w:bCs/>
          <w:color w:val="000000"/>
          <w:sz w:val="22"/>
          <w:szCs w:val="22"/>
        </w:rPr>
        <w:t>01061/INFOEM/IP/RR/2025,</w:t>
      </w:r>
      <w:r w:rsidRPr="00BB7F68">
        <w:rPr>
          <w:rFonts w:ascii="Palatino Linotype" w:eastAsia="Palatino Linotype" w:hAnsi="Palatino Linotype" w:cs="Palatino Linotype"/>
          <w:color w:val="000000"/>
          <w:sz w:val="22"/>
          <w:szCs w:val="22"/>
        </w:rPr>
        <w:t xml:space="preserve"> interpuesto por</w:t>
      </w:r>
      <w:r w:rsidRPr="00BB7F68">
        <w:rPr>
          <w:rFonts w:ascii="Palatino Linotype" w:eastAsia="Palatino Linotype" w:hAnsi="Palatino Linotype" w:cs="Palatino Linotype"/>
          <w:sz w:val="22"/>
          <w:szCs w:val="22"/>
        </w:rPr>
        <w:t xml:space="preserve"> </w:t>
      </w:r>
      <w:r w:rsidR="00FF6CF5" w:rsidRPr="005070B3">
        <w:rPr>
          <w:bCs/>
          <w:highlight w:val="black"/>
        </w:rPr>
        <w:t>XX</w:t>
      </w:r>
      <w:r w:rsidR="00FF6CF5">
        <w:rPr>
          <w:bCs/>
          <w:highlight w:val="black"/>
        </w:rPr>
        <w:t>XXXXXXXXXXXXXXXXXX</w:t>
      </w:r>
      <w:bookmarkStart w:id="0" w:name="_GoBack"/>
      <w:bookmarkEnd w:id="0"/>
      <w:r w:rsidRPr="00BB7F68">
        <w:rPr>
          <w:rFonts w:ascii="Palatino Linotype" w:eastAsia="Palatino Linotype" w:hAnsi="Palatino Linotype" w:cs="Palatino Linotype"/>
          <w:color w:val="000000"/>
          <w:sz w:val="22"/>
          <w:szCs w:val="22"/>
        </w:rPr>
        <w:t xml:space="preserve">, en adelante, </w:t>
      </w:r>
      <w:r w:rsidRPr="00BB7F68">
        <w:rPr>
          <w:rFonts w:ascii="Palatino Linotype" w:eastAsia="Palatino Linotype" w:hAnsi="Palatino Linotype" w:cs="Palatino Linotype"/>
          <w:color w:val="0D0D0D"/>
          <w:sz w:val="22"/>
          <w:szCs w:val="22"/>
        </w:rPr>
        <w:t>Recurrente o Particular</w:t>
      </w:r>
      <w:r w:rsidRPr="00BB7F68">
        <w:rPr>
          <w:rFonts w:ascii="Palatino Linotype" w:eastAsia="Palatino Linotype" w:hAnsi="Palatino Linotype" w:cs="Palatino Linotype"/>
          <w:color w:val="000000"/>
          <w:sz w:val="22"/>
          <w:szCs w:val="22"/>
        </w:rPr>
        <w:t xml:space="preserve">, en contra de la falta de respuesta del Sujeto Obligado, </w:t>
      </w:r>
      <w:r w:rsidRPr="00FB5131">
        <w:rPr>
          <w:rFonts w:ascii="Palatino Linotype" w:eastAsia="Palatino Linotype" w:hAnsi="Palatino Linotype" w:cs="Palatino Linotype"/>
          <w:b/>
          <w:bCs/>
          <w:sz w:val="22"/>
          <w:szCs w:val="22"/>
        </w:rPr>
        <w:t>Sistema Municipal para el Desarrollo Integral de la Familia de Jiquipilco</w:t>
      </w:r>
      <w:r w:rsidRPr="00BB7F68">
        <w:rPr>
          <w:rFonts w:ascii="Palatino Linotype" w:eastAsia="Palatino Linotype" w:hAnsi="Palatino Linotype" w:cs="Palatino Linotype"/>
          <w:color w:val="000000"/>
          <w:sz w:val="22"/>
          <w:szCs w:val="22"/>
        </w:rPr>
        <w:t>, a la solicitud de acceso a la información pública 00003/DIFJIQUIPI/IP/2025, se emite la presente Resolución, con base en los Antecedentes y Considerandos que a continuación se exponen:</w:t>
      </w:r>
    </w:p>
    <w:p w14:paraId="6151F801" w14:textId="77777777" w:rsidR="00633F90" w:rsidRPr="00BB7F68" w:rsidRDefault="00633F90">
      <w:pPr>
        <w:pStyle w:val="Subttulo"/>
        <w:spacing w:after="0" w:line="360" w:lineRule="auto"/>
      </w:pPr>
    </w:p>
    <w:p w14:paraId="20A4271E" w14:textId="77777777" w:rsidR="00633F90" w:rsidRPr="00BB7F68" w:rsidRDefault="000734F4">
      <w:pPr>
        <w:pStyle w:val="Ttulo1"/>
      </w:pPr>
      <w:bookmarkStart w:id="1" w:name="_heading=h.gjdgxs" w:colFirst="0" w:colLast="0"/>
      <w:bookmarkEnd w:id="1"/>
      <w:r w:rsidRPr="00BB7F68">
        <w:t>A N T E C E D E N T E S</w:t>
      </w:r>
    </w:p>
    <w:p w14:paraId="547D5AD3" w14:textId="77777777" w:rsidR="00633F90" w:rsidRPr="00BB7F68" w:rsidRDefault="00633F90">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14:paraId="681241F1" w14:textId="77777777" w:rsidR="00633F90" w:rsidRPr="00BB7F68" w:rsidRDefault="000734F4">
      <w:pPr>
        <w:pStyle w:val="Ttulo2"/>
      </w:pPr>
      <w:bookmarkStart w:id="2" w:name="_heading=h.30j0zll" w:colFirst="0" w:colLast="0"/>
      <w:bookmarkEnd w:id="2"/>
      <w:r w:rsidRPr="00BB7F68">
        <w:t>I. Presentación de la solicitud de información</w:t>
      </w:r>
    </w:p>
    <w:p w14:paraId="1F78ACF8" w14:textId="77777777" w:rsidR="00633F90" w:rsidRPr="00BB7F68" w:rsidRDefault="00633F90">
      <w:pPr>
        <w:tabs>
          <w:tab w:val="left" w:pos="567"/>
        </w:tabs>
        <w:spacing w:line="360" w:lineRule="auto"/>
        <w:jc w:val="both"/>
        <w:rPr>
          <w:rFonts w:ascii="Palatino Linotype" w:eastAsia="Palatino Linotype" w:hAnsi="Palatino Linotype" w:cs="Palatino Linotype"/>
          <w:sz w:val="22"/>
          <w:szCs w:val="22"/>
        </w:rPr>
      </w:pPr>
    </w:p>
    <w:p w14:paraId="73906794"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El dieciséis de enero de dos mil veinticinco</w:t>
      </w:r>
      <w:r w:rsidRPr="00BB7F68">
        <w:rPr>
          <w:rFonts w:ascii="Palatino Linotype" w:eastAsia="Palatino Linotype" w:hAnsi="Palatino Linotype" w:cs="Palatino Linotype"/>
          <w:sz w:val="22"/>
          <w:szCs w:val="22"/>
        </w:rPr>
        <w:t xml:space="preserve"> el particular presentó una solicitud de acceso a la información pública, a través del Sistema de Acceso a la Información Mexiquense (SAIMEX), ante el Sujeto Obligado, en los siguientes términos:</w:t>
      </w:r>
    </w:p>
    <w:p w14:paraId="05E28F88"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5FA90422" w14:textId="77777777" w:rsidR="00633F90" w:rsidRPr="00BB7F68" w:rsidRDefault="000734F4">
      <w:pPr>
        <w:tabs>
          <w:tab w:val="left" w:pos="4667"/>
        </w:tabs>
        <w:spacing w:line="360" w:lineRule="auto"/>
        <w:ind w:left="567" w:right="567"/>
        <w:jc w:val="both"/>
        <w:rPr>
          <w:rFonts w:ascii="Palatino Linotype" w:eastAsia="Palatino Linotype" w:hAnsi="Palatino Linotype" w:cs="Palatino Linotype"/>
          <w:b/>
          <w:i/>
        </w:rPr>
      </w:pPr>
      <w:r w:rsidRPr="00BB7F68">
        <w:rPr>
          <w:rFonts w:ascii="Palatino Linotype" w:eastAsia="Palatino Linotype" w:hAnsi="Palatino Linotype" w:cs="Palatino Linotype"/>
          <w:b/>
          <w:i/>
        </w:rPr>
        <w:t>“DESCRIPCIÓN CLARA Y PRECISA DE LA INFORMACIÓN SOLICITADA</w:t>
      </w:r>
    </w:p>
    <w:p w14:paraId="7210813D" w14:textId="77777777" w:rsidR="00633F90" w:rsidRPr="00BB7F68" w:rsidRDefault="000734F4">
      <w:pPr>
        <w:tabs>
          <w:tab w:val="left" w:pos="4667"/>
        </w:tabs>
        <w:spacing w:line="360" w:lineRule="auto"/>
        <w:ind w:left="567" w:right="567"/>
        <w:jc w:val="both"/>
        <w:rPr>
          <w:rFonts w:ascii="Palatino Linotype" w:eastAsia="Palatino Linotype" w:hAnsi="Palatino Linotype" w:cs="Palatino Linotype"/>
          <w:i/>
        </w:rPr>
      </w:pPr>
      <w:r w:rsidRPr="00BB7F68">
        <w:rPr>
          <w:rFonts w:ascii="Palatino Linotype" w:eastAsia="Palatino Linotype" w:hAnsi="Palatino Linotype" w:cs="Palatino Linotype"/>
          <w:i/>
        </w:rPr>
        <w:t>Lista de personas que renunciaron de manera voluntaria o fueron despedidos de noviembre 2024 a la fecha de la presente solicitud, así mismo deseo saber la cantidad de dinero que recibió cada uno por concepto de su finiquito o liquidación” (Sic.)</w:t>
      </w:r>
    </w:p>
    <w:p w14:paraId="7E3AE8C8" w14:textId="77777777" w:rsidR="00633F90" w:rsidRPr="00BB7F68" w:rsidRDefault="00633F90">
      <w:pPr>
        <w:tabs>
          <w:tab w:val="left" w:pos="4667"/>
        </w:tabs>
        <w:spacing w:line="360" w:lineRule="auto"/>
        <w:ind w:left="567" w:right="567"/>
        <w:jc w:val="both"/>
        <w:rPr>
          <w:rFonts w:ascii="Palatino Linotype" w:eastAsia="Palatino Linotype" w:hAnsi="Palatino Linotype" w:cs="Palatino Linotype"/>
          <w:i/>
        </w:rPr>
      </w:pPr>
    </w:p>
    <w:p w14:paraId="350148F4" w14:textId="77777777" w:rsidR="00633F90" w:rsidRPr="00BB7F68" w:rsidRDefault="000734F4">
      <w:pPr>
        <w:tabs>
          <w:tab w:val="left" w:pos="4667"/>
        </w:tabs>
        <w:spacing w:line="360" w:lineRule="auto"/>
        <w:ind w:left="567" w:right="567"/>
        <w:jc w:val="both"/>
        <w:rPr>
          <w:rFonts w:ascii="Palatino Linotype" w:eastAsia="Palatino Linotype" w:hAnsi="Palatino Linotype" w:cs="Palatino Linotype"/>
          <w:b/>
          <w:i/>
        </w:rPr>
      </w:pPr>
      <w:r w:rsidRPr="00BB7F68">
        <w:rPr>
          <w:rFonts w:ascii="Palatino Linotype" w:eastAsia="Palatino Linotype" w:hAnsi="Palatino Linotype" w:cs="Palatino Linotype"/>
          <w:b/>
          <w:i/>
        </w:rPr>
        <w:t>“MODALIDAD DE ENTREGA</w:t>
      </w:r>
    </w:p>
    <w:p w14:paraId="0D587BB4" w14:textId="77777777" w:rsidR="00633F90" w:rsidRPr="00BB7F68" w:rsidRDefault="000734F4">
      <w:pPr>
        <w:spacing w:line="360" w:lineRule="auto"/>
        <w:ind w:left="567" w:right="567"/>
        <w:jc w:val="both"/>
        <w:rPr>
          <w:rFonts w:ascii="Palatino Linotype" w:eastAsia="Palatino Linotype" w:hAnsi="Palatino Linotype" w:cs="Palatino Linotype"/>
          <w:i/>
        </w:rPr>
      </w:pPr>
      <w:r w:rsidRPr="00BB7F68">
        <w:rPr>
          <w:rFonts w:ascii="Palatino Linotype" w:eastAsia="Palatino Linotype" w:hAnsi="Palatino Linotype" w:cs="Palatino Linotype"/>
          <w:i/>
        </w:rPr>
        <w:t xml:space="preserve">A través del SAIMEX” </w:t>
      </w:r>
    </w:p>
    <w:p w14:paraId="168E71AC" w14:textId="77777777" w:rsidR="00633F90" w:rsidRPr="00BB7F68" w:rsidRDefault="000734F4">
      <w:pPr>
        <w:pStyle w:val="Ttulo2"/>
      </w:pPr>
      <w:bookmarkStart w:id="3" w:name="_heading=h.1fob9te" w:colFirst="0" w:colLast="0"/>
      <w:bookmarkEnd w:id="3"/>
      <w:r w:rsidRPr="00BB7F68">
        <w:lastRenderedPageBreak/>
        <w:t>II. Respuesta del Sujeto Obligado</w:t>
      </w:r>
    </w:p>
    <w:p w14:paraId="71AB9FAF"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6019F25C"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De conformidad con el artículo 136,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Pr="00BB7F68">
        <w:rPr>
          <w:rFonts w:ascii="Palatino Linotype" w:eastAsia="Palatino Linotype" w:hAnsi="Palatino Linotype" w:cs="Palatino Linotype"/>
          <w:b/>
          <w:sz w:val="22"/>
          <w:szCs w:val="22"/>
        </w:rPr>
        <w:t xml:space="preserve"> Sistema Municipal para el Desarrollo Integral de la Familia de Jiquipilco</w:t>
      </w:r>
      <w:r w:rsidRPr="00BB7F68">
        <w:rPr>
          <w:rFonts w:ascii="Palatino Linotype" w:eastAsia="Palatino Linotype" w:hAnsi="Palatino Linotype" w:cs="Palatino Linotype"/>
          <w:color w:val="000000"/>
          <w:sz w:val="22"/>
          <w:szCs w:val="22"/>
        </w:rPr>
        <w:t xml:space="preserve">, omitió dar respuesta a la solicitud de información, por lo que se </w:t>
      </w:r>
      <w:r w:rsidRPr="00BB7F68">
        <w:rPr>
          <w:rFonts w:ascii="Palatino Linotype" w:eastAsia="Palatino Linotype" w:hAnsi="Palatino Linotype" w:cs="Palatino Linotype"/>
          <w:b/>
          <w:color w:val="000000"/>
          <w:sz w:val="22"/>
          <w:szCs w:val="22"/>
        </w:rPr>
        <w:t>configura la negativa ficta</w:t>
      </w:r>
      <w:r w:rsidRPr="00BB7F68">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14:paraId="5E73A1F1"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15187152" w14:textId="77777777" w:rsidR="00633F90" w:rsidRPr="00BB7F68" w:rsidRDefault="000734F4">
      <w:pPr>
        <w:pStyle w:val="Ttulo2"/>
      </w:pPr>
      <w:bookmarkStart w:id="4" w:name="_heading=h.3znysh7" w:colFirst="0" w:colLast="0"/>
      <w:bookmarkEnd w:id="4"/>
      <w:r w:rsidRPr="00BB7F68">
        <w:t>III.  Interposición del Recurso de Revisión</w:t>
      </w:r>
    </w:p>
    <w:p w14:paraId="65C0174D" w14:textId="77777777" w:rsidR="00633F90" w:rsidRPr="00BB7F68" w:rsidRDefault="00633F90">
      <w:pPr>
        <w:spacing w:line="360" w:lineRule="auto"/>
        <w:jc w:val="both"/>
        <w:rPr>
          <w:rFonts w:ascii="Palatino Linotype" w:eastAsia="Palatino Linotype" w:hAnsi="Palatino Linotype" w:cs="Palatino Linotype"/>
          <w:b/>
          <w:color w:val="000000"/>
          <w:sz w:val="22"/>
          <w:szCs w:val="22"/>
        </w:rPr>
      </w:pPr>
    </w:p>
    <w:p w14:paraId="154ACDE0"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El once de febrero de dos mil veinticinco, el Particular interpuso un Recurso de Revisión ante este Instituto, a través del Sistema de Acceso a la Información Mexiquense (SAIMEX), en contra de la falta de respuesta por el</w:t>
      </w:r>
      <w:r w:rsidRPr="00BB7F68">
        <w:rPr>
          <w:rFonts w:ascii="Palatino Linotype" w:eastAsia="Palatino Linotype" w:hAnsi="Palatino Linotype" w:cs="Palatino Linotype"/>
          <w:sz w:val="22"/>
          <w:szCs w:val="22"/>
        </w:rPr>
        <w:t xml:space="preserve"> Sujeto Obligado</w:t>
      </w:r>
      <w:r w:rsidRPr="00BB7F68">
        <w:rPr>
          <w:rFonts w:ascii="Palatino Linotype" w:eastAsia="Palatino Linotype" w:hAnsi="Palatino Linotype" w:cs="Palatino Linotype"/>
          <w:color w:val="000000"/>
          <w:sz w:val="22"/>
          <w:szCs w:val="22"/>
        </w:rPr>
        <w:t xml:space="preserve">, a la solicitud de información, en los siguientes términos: </w:t>
      </w:r>
    </w:p>
    <w:p w14:paraId="71C8C93D"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EDD1236" w14:textId="77777777" w:rsidR="00633F90" w:rsidRPr="00BB7F68" w:rsidRDefault="000734F4">
      <w:pPr>
        <w:spacing w:line="360" w:lineRule="auto"/>
        <w:ind w:left="567" w:right="567"/>
        <w:jc w:val="both"/>
        <w:rPr>
          <w:rFonts w:ascii="Palatino Linotype" w:eastAsia="Palatino Linotype" w:hAnsi="Palatino Linotype" w:cs="Palatino Linotype"/>
          <w:i/>
          <w:color w:val="000000"/>
        </w:rPr>
      </w:pPr>
      <w:r w:rsidRPr="00BB7F68">
        <w:rPr>
          <w:rFonts w:ascii="Palatino Linotype" w:eastAsia="Palatino Linotype" w:hAnsi="Palatino Linotype" w:cs="Palatino Linotype"/>
          <w:b/>
          <w:i/>
          <w:color w:val="000000"/>
        </w:rPr>
        <w:t>“ACTO IMPUGNADO</w:t>
      </w:r>
    </w:p>
    <w:p w14:paraId="42106E92" w14:textId="77777777" w:rsidR="00633F90" w:rsidRPr="00BB7F68" w:rsidRDefault="000734F4">
      <w:pPr>
        <w:spacing w:line="360" w:lineRule="auto"/>
        <w:ind w:left="567" w:right="567"/>
        <w:jc w:val="both"/>
        <w:rPr>
          <w:rFonts w:ascii="Palatino Linotype" w:eastAsia="Palatino Linotype" w:hAnsi="Palatino Linotype" w:cs="Palatino Linotype"/>
          <w:i/>
          <w:color w:val="000000"/>
        </w:rPr>
      </w:pPr>
      <w:r w:rsidRPr="00BB7F68">
        <w:rPr>
          <w:rFonts w:ascii="Palatino Linotype" w:eastAsia="Palatino Linotype" w:hAnsi="Palatino Linotype" w:cs="Palatino Linotype"/>
          <w:i/>
          <w:color w:val="000000"/>
        </w:rPr>
        <w:t xml:space="preserve">No se dio respuesta a solicitud.” </w:t>
      </w:r>
    </w:p>
    <w:p w14:paraId="0B6E9F6C" w14:textId="77777777" w:rsidR="00633F90" w:rsidRPr="00BB7F68" w:rsidRDefault="00633F90">
      <w:pPr>
        <w:spacing w:line="360" w:lineRule="auto"/>
        <w:ind w:left="567" w:right="567"/>
        <w:jc w:val="both"/>
        <w:rPr>
          <w:rFonts w:ascii="Palatino Linotype" w:eastAsia="Palatino Linotype" w:hAnsi="Palatino Linotype" w:cs="Palatino Linotype"/>
          <w:i/>
          <w:color w:val="000000"/>
        </w:rPr>
      </w:pPr>
    </w:p>
    <w:p w14:paraId="2DE6B78B" w14:textId="77777777" w:rsidR="00633F90" w:rsidRPr="00BB7F68" w:rsidRDefault="000734F4">
      <w:pPr>
        <w:spacing w:line="360" w:lineRule="auto"/>
        <w:ind w:left="567" w:right="567"/>
        <w:jc w:val="both"/>
        <w:rPr>
          <w:rFonts w:ascii="Palatino Linotype" w:eastAsia="Palatino Linotype" w:hAnsi="Palatino Linotype" w:cs="Palatino Linotype"/>
          <w:b/>
          <w:i/>
        </w:rPr>
      </w:pPr>
      <w:r w:rsidRPr="00BB7F68">
        <w:rPr>
          <w:rFonts w:ascii="Palatino Linotype" w:eastAsia="Palatino Linotype" w:hAnsi="Palatino Linotype" w:cs="Palatino Linotype"/>
          <w:b/>
          <w:i/>
        </w:rPr>
        <w:t>“RAZONES O MOTIVOS DE LA INCONFORMIDAD</w:t>
      </w:r>
    </w:p>
    <w:p w14:paraId="071C2A03" w14:textId="77777777" w:rsidR="00633F90" w:rsidRPr="00BB7F68" w:rsidRDefault="000734F4">
      <w:pPr>
        <w:spacing w:line="360" w:lineRule="auto"/>
        <w:ind w:left="567" w:right="567"/>
        <w:jc w:val="both"/>
        <w:rPr>
          <w:rFonts w:ascii="Palatino Linotype" w:eastAsia="Palatino Linotype" w:hAnsi="Palatino Linotype" w:cs="Palatino Linotype"/>
        </w:rPr>
      </w:pPr>
      <w:r w:rsidRPr="00BB7F68">
        <w:rPr>
          <w:rFonts w:ascii="Palatino Linotype" w:eastAsia="Palatino Linotype" w:hAnsi="Palatino Linotype" w:cs="Palatino Linotype"/>
          <w:i/>
          <w:color w:val="000000"/>
        </w:rPr>
        <w:t>No se dio respuesta a solicitud.”</w:t>
      </w:r>
    </w:p>
    <w:p w14:paraId="5E8478C0"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1B19386A" w14:textId="77777777" w:rsidR="00633F90" w:rsidRPr="00BB7F68" w:rsidRDefault="000734F4">
      <w:pPr>
        <w:pStyle w:val="Ttulo2"/>
      </w:pPr>
      <w:bookmarkStart w:id="5" w:name="_heading=h.2et92p0" w:colFirst="0" w:colLast="0"/>
      <w:bookmarkEnd w:id="5"/>
      <w:r w:rsidRPr="00BB7F68">
        <w:lastRenderedPageBreak/>
        <w:t>IV. Trámite del Recurso de Revisión ante el Instituto</w:t>
      </w:r>
    </w:p>
    <w:p w14:paraId="31960C1B" w14:textId="77777777" w:rsidR="00633F90" w:rsidRPr="00BB7F68" w:rsidRDefault="00633F90">
      <w:pPr>
        <w:spacing w:line="360" w:lineRule="auto"/>
        <w:jc w:val="both"/>
        <w:rPr>
          <w:rFonts w:ascii="Palatino Linotype" w:eastAsia="Palatino Linotype" w:hAnsi="Palatino Linotype" w:cs="Palatino Linotype"/>
          <w:b/>
          <w:color w:val="000000"/>
          <w:sz w:val="22"/>
          <w:szCs w:val="22"/>
        </w:rPr>
      </w:pPr>
    </w:p>
    <w:p w14:paraId="645B3A3A"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b/>
          <w:color w:val="000000"/>
          <w:sz w:val="22"/>
          <w:szCs w:val="22"/>
        </w:rPr>
        <w:t xml:space="preserve">a) Turno del Recurso de Revisión. </w:t>
      </w:r>
      <w:r w:rsidRPr="00BB7F68">
        <w:rPr>
          <w:rFonts w:ascii="Palatino Linotype" w:eastAsia="Palatino Linotype" w:hAnsi="Palatino Linotype" w:cs="Palatino Linotype"/>
          <w:color w:val="000000"/>
          <w:sz w:val="22"/>
          <w:szCs w:val="22"/>
        </w:rPr>
        <w:t xml:space="preserve">El once de febrero  de dos mil veinticinco, el Sistema de Acceso a la Información Mexiquense (SAIMEX), asignó el número de expediente </w:t>
      </w:r>
      <w:r w:rsidRPr="00BB7F68">
        <w:rPr>
          <w:rFonts w:ascii="Palatino Linotype" w:eastAsia="Palatino Linotype" w:hAnsi="Palatino Linotype" w:cs="Palatino Linotype"/>
          <w:b/>
          <w:color w:val="000000"/>
          <w:sz w:val="22"/>
          <w:szCs w:val="22"/>
        </w:rPr>
        <w:t>01061/INFOEM/IP/RR/2025</w:t>
      </w:r>
      <w:r w:rsidRPr="00BB7F68">
        <w:rPr>
          <w:rFonts w:ascii="Palatino Linotype" w:eastAsia="Palatino Linotype" w:hAnsi="Palatino Linotype" w:cs="Palatino Linotype"/>
          <w:color w:val="00000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AD5BBC8" w14:textId="77777777" w:rsidR="00633F90" w:rsidRPr="00BB7F68" w:rsidRDefault="00633F90">
      <w:pPr>
        <w:spacing w:line="360" w:lineRule="auto"/>
        <w:jc w:val="both"/>
        <w:rPr>
          <w:rFonts w:ascii="Palatino Linotype" w:eastAsia="Palatino Linotype" w:hAnsi="Palatino Linotype" w:cs="Palatino Linotype"/>
          <w:b/>
          <w:color w:val="000000"/>
          <w:sz w:val="22"/>
          <w:szCs w:val="22"/>
        </w:rPr>
      </w:pPr>
    </w:p>
    <w:p w14:paraId="1491B309"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b/>
          <w:color w:val="000000"/>
          <w:sz w:val="22"/>
          <w:szCs w:val="22"/>
        </w:rPr>
        <w:t xml:space="preserve">b) Admisión del Recurso de Revisión. </w:t>
      </w:r>
      <w:r w:rsidRPr="00BB7F68">
        <w:rPr>
          <w:rFonts w:ascii="Palatino Linotype" w:eastAsia="Palatino Linotype" w:hAnsi="Palatino Linotype" w:cs="Palatino Linotype"/>
          <w:color w:val="000000"/>
          <w:sz w:val="22"/>
          <w:szCs w:val="22"/>
        </w:rPr>
        <w:t>El catorce de febrero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348E2FC5"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4DCB67B1"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color w:val="000000"/>
          <w:sz w:val="22"/>
          <w:szCs w:val="22"/>
        </w:rPr>
        <w:t>c)</w:t>
      </w:r>
      <w:r w:rsidRPr="00BB7F68">
        <w:rPr>
          <w:rFonts w:ascii="Palatino Linotype" w:eastAsia="Palatino Linotype" w:hAnsi="Palatino Linotype" w:cs="Palatino Linotype"/>
          <w:color w:val="000000"/>
          <w:sz w:val="22"/>
          <w:szCs w:val="22"/>
        </w:rPr>
        <w:t xml:space="preserve"> </w:t>
      </w:r>
      <w:r w:rsidRPr="00BB7F68">
        <w:rPr>
          <w:rFonts w:ascii="Palatino Linotype" w:eastAsia="Palatino Linotype" w:hAnsi="Palatino Linotype" w:cs="Palatino Linotype"/>
          <w:b/>
          <w:sz w:val="22"/>
          <w:szCs w:val="22"/>
        </w:rPr>
        <w:t xml:space="preserve"> Informe Justificado y Manifestaciones. </w:t>
      </w:r>
      <w:r w:rsidRPr="00BB7F68">
        <w:rPr>
          <w:rFonts w:ascii="Palatino Linotype" w:eastAsia="Palatino Linotype" w:hAnsi="Palatino Linotype" w:cs="Palatino Linotype"/>
          <w:sz w:val="22"/>
          <w:szCs w:val="22"/>
        </w:rPr>
        <w:t>Las partes fueron omisas en emitir manifestaciones o alegatos.</w:t>
      </w:r>
    </w:p>
    <w:p w14:paraId="0F55C3F3" w14:textId="77777777" w:rsidR="00633F90" w:rsidRPr="00BB7F68" w:rsidRDefault="00633F90">
      <w:pPr>
        <w:spacing w:line="360" w:lineRule="auto"/>
        <w:jc w:val="both"/>
        <w:rPr>
          <w:rFonts w:ascii="Palatino Linotype" w:eastAsia="Palatino Linotype" w:hAnsi="Palatino Linotype" w:cs="Palatino Linotype"/>
          <w:i/>
        </w:rPr>
      </w:pPr>
    </w:p>
    <w:p w14:paraId="684B022A" w14:textId="77777777" w:rsidR="00633F90" w:rsidRPr="00BB7F68" w:rsidRDefault="000734F4">
      <w:pPr>
        <w:spacing w:line="360" w:lineRule="auto"/>
        <w:jc w:val="both"/>
        <w:rPr>
          <w:rFonts w:ascii="Palatino Linotype" w:eastAsia="Palatino Linotype" w:hAnsi="Palatino Linotype" w:cs="Palatino Linotype"/>
          <w:b/>
          <w:sz w:val="22"/>
          <w:szCs w:val="22"/>
        </w:rPr>
      </w:pPr>
      <w:r w:rsidRPr="00BB7F68">
        <w:rPr>
          <w:rFonts w:ascii="Palatino Linotype" w:eastAsia="Palatino Linotype" w:hAnsi="Palatino Linotype" w:cs="Palatino Linotype"/>
          <w:b/>
          <w:sz w:val="22"/>
          <w:szCs w:val="22"/>
        </w:rPr>
        <w:t xml:space="preserve">d) Cierre de instrucción. </w:t>
      </w:r>
      <w:r w:rsidRPr="00BB7F68">
        <w:rPr>
          <w:rFonts w:ascii="Palatino Linotype" w:eastAsia="Palatino Linotype" w:hAnsi="Palatino Linotype" w:cs="Palatino Linotype"/>
          <w:sz w:val="22"/>
          <w:szCs w:val="22"/>
        </w:rPr>
        <w:t xml:space="preserve">El veintiséis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w:t>
      </w:r>
      <w:r w:rsidRPr="00BB7F68">
        <w:rPr>
          <w:rFonts w:ascii="Palatino Linotype" w:eastAsia="Palatino Linotype" w:hAnsi="Palatino Linotype" w:cs="Palatino Linotype"/>
          <w:sz w:val="22"/>
          <w:szCs w:val="22"/>
        </w:rPr>
        <w:lastRenderedPageBreak/>
        <w:t xml:space="preserve">Estado de México y Municipios; acto que fue notificado a las partes el mismo día, a través del Sistema de Acceso a la Información Mexiquense (SAIMEX). </w:t>
      </w:r>
    </w:p>
    <w:p w14:paraId="209EEAA3"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0B9C3FD7"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0449DFAB" w14:textId="77777777" w:rsidR="00633F90" w:rsidRPr="00BB7F68" w:rsidRDefault="000734F4">
      <w:pPr>
        <w:pStyle w:val="Ttulo1"/>
      </w:pPr>
      <w:bookmarkStart w:id="6" w:name="_heading=h.tyjcwt" w:colFirst="0" w:colLast="0"/>
      <w:bookmarkEnd w:id="6"/>
      <w:r w:rsidRPr="00BB7F68">
        <w:t>C O N S I D E R A N D O S</w:t>
      </w:r>
    </w:p>
    <w:p w14:paraId="21165E51" w14:textId="77777777" w:rsidR="00633F90" w:rsidRPr="00BB7F68" w:rsidRDefault="00633F90">
      <w:pPr>
        <w:spacing w:line="360" w:lineRule="auto"/>
        <w:jc w:val="both"/>
        <w:rPr>
          <w:rFonts w:ascii="Palatino Linotype" w:eastAsia="Palatino Linotype" w:hAnsi="Palatino Linotype" w:cs="Palatino Linotype"/>
          <w:b/>
          <w:sz w:val="22"/>
          <w:szCs w:val="22"/>
        </w:rPr>
      </w:pPr>
    </w:p>
    <w:p w14:paraId="722D0FEE" w14:textId="77777777" w:rsidR="00633F90" w:rsidRPr="00BB7F68" w:rsidRDefault="000734F4">
      <w:pPr>
        <w:pStyle w:val="Ttulo2"/>
      </w:pPr>
      <w:bookmarkStart w:id="7" w:name="_heading=h.3dy6vkm" w:colFirst="0" w:colLast="0"/>
      <w:bookmarkEnd w:id="7"/>
      <w:r w:rsidRPr="00BB7F68">
        <w:rPr>
          <w:color w:val="000000"/>
        </w:rPr>
        <w:t xml:space="preserve">PRIMERO. </w:t>
      </w:r>
      <w:r w:rsidRPr="00BB7F68">
        <w:t>Competencia</w:t>
      </w:r>
    </w:p>
    <w:p w14:paraId="45C91ABE" w14:textId="77777777" w:rsidR="00633F90" w:rsidRPr="00BB7F68" w:rsidRDefault="00633F90">
      <w:pPr>
        <w:spacing w:line="360" w:lineRule="auto"/>
        <w:jc w:val="both"/>
        <w:rPr>
          <w:rFonts w:ascii="Palatino Linotype" w:eastAsia="Palatino Linotype" w:hAnsi="Palatino Linotype" w:cs="Palatino Linotype"/>
          <w:b/>
          <w:sz w:val="22"/>
          <w:szCs w:val="22"/>
        </w:rPr>
      </w:pPr>
    </w:p>
    <w:p w14:paraId="4F13B979"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BF379D"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3CC56803" w14:textId="77777777" w:rsidR="00633F90" w:rsidRPr="00BB7F68" w:rsidRDefault="000734F4">
      <w:pPr>
        <w:pStyle w:val="Ttulo2"/>
      </w:pPr>
      <w:bookmarkStart w:id="8" w:name="_heading=h.1t3h5sf" w:colFirst="0" w:colLast="0"/>
      <w:bookmarkEnd w:id="8"/>
      <w:r w:rsidRPr="00BB7F68">
        <w:rPr>
          <w:color w:val="000000"/>
        </w:rPr>
        <w:t xml:space="preserve">SEGUNDO. </w:t>
      </w:r>
      <w:r w:rsidRPr="00BB7F68">
        <w:t>Causales de improcedencia y Sobreseimiento</w:t>
      </w:r>
    </w:p>
    <w:p w14:paraId="7C341D18"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64D1209"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lastRenderedPageBreak/>
        <w:t xml:space="preserve">De las constancias que forma parte del Recurso de Revisión que se analiza, se advierte que previo al estudio del fondo de la </w:t>
      </w:r>
      <w:r w:rsidRPr="00BB7F68">
        <w:rPr>
          <w:rFonts w:ascii="Palatino Linotype" w:eastAsia="Palatino Linotype" w:hAnsi="Palatino Linotype" w:cs="Palatino Linotype"/>
          <w:i/>
          <w:sz w:val="22"/>
          <w:szCs w:val="22"/>
        </w:rPr>
        <w:t>litis</w:t>
      </w:r>
      <w:r w:rsidRPr="00BB7F68">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05B9C7E7"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43369A4C" w14:textId="77777777" w:rsidR="00633F90" w:rsidRPr="00BB7F68" w:rsidRDefault="000734F4">
      <w:pPr>
        <w:spacing w:line="360" w:lineRule="auto"/>
        <w:jc w:val="both"/>
        <w:rPr>
          <w:rFonts w:ascii="Palatino Linotype" w:eastAsia="Palatino Linotype" w:hAnsi="Palatino Linotype" w:cs="Palatino Linotype"/>
          <w:b/>
          <w:sz w:val="22"/>
          <w:szCs w:val="22"/>
        </w:rPr>
      </w:pPr>
      <w:r w:rsidRPr="00BB7F68">
        <w:rPr>
          <w:rFonts w:ascii="Palatino Linotype" w:eastAsia="Palatino Linotype" w:hAnsi="Palatino Linotype" w:cs="Palatino Linotype"/>
          <w:b/>
          <w:sz w:val="22"/>
          <w:szCs w:val="22"/>
        </w:rPr>
        <w:t>Causales de improcedencia</w:t>
      </w:r>
    </w:p>
    <w:p w14:paraId="20CA23FD"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5D3543D"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7536BE6"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65F11D2"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En el presente caso, </w:t>
      </w:r>
      <w:r w:rsidRPr="00BB7F68">
        <w:rPr>
          <w:rFonts w:ascii="Palatino Linotype" w:eastAsia="Palatino Linotype" w:hAnsi="Palatino Linotype" w:cs="Palatino Linotype"/>
          <w:b/>
          <w:sz w:val="22"/>
          <w:szCs w:val="22"/>
        </w:rPr>
        <w:t>no se actualiza ninguna de las causales de improcedencia</w:t>
      </w:r>
      <w:r w:rsidRPr="00BB7F68">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83B992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16E59EF"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sidRPr="00BB7F68">
        <w:rPr>
          <w:rFonts w:ascii="Palatino Linotype" w:eastAsia="Palatino Linotype" w:hAnsi="Palatino Linotype" w:cs="Palatino Linotype"/>
          <w:b/>
          <w:sz w:val="22"/>
          <w:szCs w:val="22"/>
        </w:rPr>
        <w:t>negativa ficta</w:t>
      </w:r>
      <w:r w:rsidRPr="00BB7F68">
        <w:rPr>
          <w:rFonts w:ascii="Palatino Linotype" w:eastAsia="Palatino Linotype" w:hAnsi="Palatino Linotype" w:cs="Palatino Linotype"/>
          <w:sz w:val="22"/>
          <w:szCs w:val="22"/>
        </w:rPr>
        <w:t xml:space="preserve">, que genera la posibilidad de los particulares de interponer un recurso de revisión ante tal omisión, </w:t>
      </w:r>
      <w:r w:rsidRPr="00BB7F68">
        <w:rPr>
          <w:rFonts w:ascii="Palatino Linotype" w:eastAsia="Palatino Linotype" w:hAnsi="Palatino Linotype" w:cs="Palatino Linotype"/>
          <w:sz w:val="22"/>
          <w:szCs w:val="22"/>
          <w:u w:val="single"/>
        </w:rPr>
        <w:t xml:space="preserve">en </w:t>
      </w:r>
      <w:r w:rsidRPr="00BB7F68">
        <w:rPr>
          <w:rFonts w:ascii="Palatino Linotype" w:eastAsia="Palatino Linotype" w:hAnsi="Palatino Linotype" w:cs="Palatino Linotype"/>
          <w:sz w:val="22"/>
          <w:szCs w:val="22"/>
          <w:u w:val="single"/>
        </w:rPr>
        <w:lastRenderedPageBreak/>
        <w:t>cualquier momento</w:t>
      </w:r>
      <w:r w:rsidRPr="00BB7F68">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 Conforme a lo anterior, se actualiza la causal de procedencia señalada en el artículo 179, fracción VII, de la Ley de la materia, toda vez que el Solicitante se inconformó con la falta de respuesta a su solicitud de acceso a información pública.</w:t>
      </w:r>
    </w:p>
    <w:p w14:paraId="617D0295"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13D90964" w14:textId="77777777" w:rsidR="00633F90" w:rsidRPr="00BB7F68" w:rsidRDefault="000734F4">
      <w:pPr>
        <w:spacing w:line="360" w:lineRule="auto"/>
        <w:jc w:val="both"/>
        <w:rPr>
          <w:rFonts w:ascii="Palatino Linotype" w:eastAsia="Palatino Linotype" w:hAnsi="Palatino Linotype" w:cs="Palatino Linotype"/>
          <w:b/>
          <w:color w:val="0D0D0D"/>
          <w:sz w:val="22"/>
          <w:szCs w:val="22"/>
        </w:rPr>
      </w:pPr>
      <w:r w:rsidRPr="00BB7F68">
        <w:rPr>
          <w:rFonts w:ascii="Palatino Linotype" w:eastAsia="Palatino Linotype" w:hAnsi="Palatino Linotype" w:cs="Palatino Linotype"/>
          <w:b/>
          <w:color w:val="0D0D0D"/>
          <w:sz w:val="22"/>
          <w:szCs w:val="22"/>
        </w:rPr>
        <w:t>Causales de sobreseimiento</w:t>
      </w:r>
    </w:p>
    <w:p w14:paraId="0849ED17" w14:textId="77777777" w:rsidR="00633F90" w:rsidRPr="00BB7F68" w:rsidRDefault="00633F90">
      <w:pPr>
        <w:spacing w:line="360" w:lineRule="auto"/>
        <w:jc w:val="both"/>
        <w:rPr>
          <w:rFonts w:ascii="Palatino Linotype" w:eastAsia="Palatino Linotype" w:hAnsi="Palatino Linotype" w:cs="Palatino Linotype"/>
          <w:color w:val="0D0D0D"/>
          <w:sz w:val="22"/>
          <w:szCs w:val="22"/>
        </w:rPr>
      </w:pPr>
    </w:p>
    <w:p w14:paraId="171941D5" w14:textId="77777777" w:rsidR="00633F90" w:rsidRPr="00BB7F68" w:rsidRDefault="000734F4">
      <w:pPr>
        <w:spacing w:line="360" w:lineRule="auto"/>
        <w:jc w:val="both"/>
        <w:rPr>
          <w:rFonts w:ascii="Palatino Linotype" w:eastAsia="Palatino Linotype" w:hAnsi="Palatino Linotype" w:cs="Palatino Linotype"/>
          <w:color w:val="0D0D0D"/>
          <w:sz w:val="22"/>
          <w:szCs w:val="22"/>
        </w:rPr>
      </w:pPr>
      <w:r w:rsidRPr="00BB7F68">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14:paraId="3EFF3DE1" w14:textId="77777777" w:rsidR="00633F90" w:rsidRPr="00BB7F68" w:rsidRDefault="00633F90">
      <w:pPr>
        <w:spacing w:line="360" w:lineRule="auto"/>
        <w:jc w:val="both"/>
        <w:rPr>
          <w:rFonts w:ascii="Palatino Linotype" w:eastAsia="Palatino Linotype" w:hAnsi="Palatino Linotype" w:cs="Palatino Linotype"/>
          <w:color w:val="0D0D0D"/>
          <w:sz w:val="22"/>
          <w:szCs w:val="22"/>
        </w:rPr>
      </w:pPr>
    </w:p>
    <w:p w14:paraId="60F5AEBD"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 </w:t>
      </w:r>
    </w:p>
    <w:p w14:paraId="4C3D65DF"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A79F45A" w14:textId="77777777" w:rsidR="00633F90" w:rsidRPr="00BB7F68" w:rsidRDefault="000734F4">
      <w:pPr>
        <w:spacing w:line="360" w:lineRule="auto"/>
        <w:jc w:val="both"/>
        <w:rPr>
          <w:rFonts w:ascii="Palatino Linotype" w:eastAsia="Palatino Linotype" w:hAnsi="Palatino Linotype" w:cs="Palatino Linotype"/>
          <w:color w:val="0D0D0D"/>
          <w:sz w:val="22"/>
          <w:szCs w:val="22"/>
        </w:rPr>
      </w:pPr>
      <w:r w:rsidRPr="00BB7F68">
        <w:rPr>
          <w:rFonts w:ascii="Palatino Linotype" w:eastAsia="Palatino Linotype" w:hAnsi="Palatino Linotype" w:cs="Palatino Linotype"/>
          <w:color w:val="0D0D0D"/>
          <w:sz w:val="22"/>
          <w:szCs w:val="22"/>
        </w:rPr>
        <w:t xml:space="preserve">Por tales motivos, se considera procedente entrar al fondo del presente asunto. </w:t>
      </w:r>
    </w:p>
    <w:p w14:paraId="63A00074" w14:textId="77777777" w:rsidR="00633F90" w:rsidRPr="00BB7F68" w:rsidRDefault="00633F90">
      <w:pPr>
        <w:spacing w:line="360" w:lineRule="auto"/>
        <w:jc w:val="both"/>
        <w:rPr>
          <w:rFonts w:ascii="Palatino Linotype" w:eastAsia="Palatino Linotype" w:hAnsi="Palatino Linotype" w:cs="Palatino Linotype"/>
          <w:color w:val="0D0D0D"/>
          <w:sz w:val="22"/>
          <w:szCs w:val="22"/>
        </w:rPr>
      </w:pPr>
    </w:p>
    <w:p w14:paraId="0C3E413A" w14:textId="77777777" w:rsidR="00633F90" w:rsidRPr="00BB7F68" w:rsidRDefault="000734F4">
      <w:pPr>
        <w:pStyle w:val="Ttulo2"/>
      </w:pPr>
      <w:bookmarkStart w:id="9" w:name="_heading=h.4d34og8" w:colFirst="0" w:colLast="0"/>
      <w:bookmarkEnd w:id="9"/>
      <w:r w:rsidRPr="00BB7F68">
        <w:t>TERCERO. Determinación de la Controversia</w:t>
      </w:r>
    </w:p>
    <w:p w14:paraId="4B5914CD"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337FE84C" w14:textId="77777777" w:rsidR="00633F90" w:rsidRPr="00BB7F68" w:rsidRDefault="000734F4">
      <w:p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lastRenderedPageBreak/>
        <w:t xml:space="preserve">Con el objeto de ilustrar la controversia planteada, resulta conveniente precisar, que una vez realizado el estudio de las constancias que integran el expediente en que se actúa, se desprende que el Particular requirió conocer el nombre de las personas que renunciaron de manera voluntaria o fueron despedidas del periodo noviembre de dos mil veinticuatro a la fecha de presentación de la solicitud, y la cantidad de dinero que recibió cada uno por concepto  finiquito o liquidación. </w:t>
      </w:r>
      <w:r w:rsidRPr="00BB7F68">
        <w:rPr>
          <w:rFonts w:ascii="Palatino Linotype" w:eastAsia="Palatino Linotype" w:hAnsi="Palatino Linotype" w:cs="Palatino Linotype"/>
          <w:sz w:val="22"/>
          <w:szCs w:val="22"/>
        </w:rPr>
        <w:t>Ante la falta de respuesta del Ente Recurrido, el Particular, justamente se inconformó por la falta de respuesta a su solicitud,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14:paraId="4CFF6DB2" w14:textId="77777777" w:rsidR="00633F90" w:rsidRPr="00BB7F68" w:rsidRDefault="00633F90">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7E202771" w14:textId="77777777" w:rsidR="00633F90" w:rsidRPr="00BB7F68" w:rsidRDefault="000734F4">
      <w:pPr>
        <w:tabs>
          <w:tab w:val="left" w:pos="4962"/>
        </w:tabs>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32961BD4" w14:textId="77777777" w:rsidR="00633F90" w:rsidRPr="00BB7F68" w:rsidRDefault="00633F90">
      <w:pPr>
        <w:tabs>
          <w:tab w:val="left" w:pos="4962"/>
        </w:tabs>
        <w:spacing w:line="360" w:lineRule="auto"/>
        <w:jc w:val="both"/>
        <w:rPr>
          <w:rFonts w:ascii="Palatino Linotype" w:eastAsia="Palatino Linotype" w:hAnsi="Palatino Linotype" w:cs="Palatino Linotype"/>
          <w:sz w:val="22"/>
          <w:szCs w:val="22"/>
        </w:rPr>
      </w:pPr>
    </w:p>
    <w:p w14:paraId="43B65E92" w14:textId="77777777" w:rsidR="00633F90" w:rsidRPr="00BB7F68" w:rsidRDefault="000734F4">
      <w:pPr>
        <w:pStyle w:val="Ttulo2"/>
        <w:jc w:val="both"/>
      </w:pPr>
      <w:bookmarkStart w:id="10" w:name="_heading=h.2s8eyo1" w:colFirst="0" w:colLast="0"/>
      <w:bookmarkEnd w:id="10"/>
      <w:r w:rsidRPr="00BB7F68">
        <w:t>CUARTO. Marco normativo aplicable en materia de transparencia y acceso a la información pública</w:t>
      </w:r>
    </w:p>
    <w:p w14:paraId="4656D69D"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C741B22"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D418F83"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72B7C37"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A492BD7"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4239321"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3CFF90E"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C928466"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En ese sentido, la Ley de Transparencia y Acceso a la Información Pública del Estado de México y Municipios (Reglamentaria del artículo 5° de la Constitución Local), establece lo siguiente:</w:t>
      </w:r>
    </w:p>
    <w:p w14:paraId="5BEE0FA0"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56DA4D68"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0FD87849"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E8B3267"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D1987DD"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177DF93D"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6CF455E"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8A5076E" w14:textId="77777777" w:rsidR="00633F90" w:rsidRPr="00BB7F68" w:rsidRDefault="000734F4">
      <w:pPr>
        <w:pStyle w:val="Ttulo2"/>
      </w:pPr>
      <w:bookmarkStart w:id="11" w:name="_heading=h.17dp8vu" w:colFirst="0" w:colLast="0"/>
      <w:bookmarkEnd w:id="11"/>
      <w:r w:rsidRPr="00BB7F68">
        <w:t>QUINTO. Estudio de Fondo</w:t>
      </w:r>
    </w:p>
    <w:p w14:paraId="1E1AF076"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A87AF1E"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Expuestas las posturas de las partes, se procede al análisis del agravio hecho valer por la persona Recurrente, concerniente a la falta de respuesta del Sujeto Obligado a la solicitud de información.</w:t>
      </w:r>
    </w:p>
    <w:p w14:paraId="1255D9FC"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29841FC"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628252F"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D273E3C" w14:textId="77777777" w:rsidR="00633F90" w:rsidRPr="00BB7F68" w:rsidRDefault="000734F4">
      <w:pPr>
        <w:numPr>
          <w:ilvl w:val="0"/>
          <w:numId w:val="1"/>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14:paraId="158B838D" w14:textId="77777777" w:rsidR="00633F90" w:rsidRPr="00BB7F68" w:rsidRDefault="00633F90">
      <w:pPr>
        <w:spacing w:line="360" w:lineRule="auto"/>
        <w:ind w:left="720"/>
        <w:jc w:val="both"/>
        <w:rPr>
          <w:rFonts w:ascii="Palatino Linotype" w:eastAsia="Palatino Linotype" w:hAnsi="Palatino Linotype" w:cs="Palatino Linotype"/>
          <w:sz w:val="22"/>
          <w:szCs w:val="22"/>
        </w:rPr>
      </w:pPr>
    </w:p>
    <w:p w14:paraId="24428686" w14:textId="77777777" w:rsidR="00633F90" w:rsidRPr="00BB7F68" w:rsidRDefault="000734F4">
      <w:pPr>
        <w:numPr>
          <w:ilvl w:val="0"/>
          <w:numId w:val="1"/>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Transparentar la gestión pública, mediante la difusión de la información generada por los Sujetos Obligados, y</w:t>
      </w:r>
    </w:p>
    <w:p w14:paraId="272F9567" w14:textId="77777777" w:rsidR="00633F90" w:rsidRPr="00BB7F68" w:rsidRDefault="00633F90">
      <w:pPr>
        <w:spacing w:line="360" w:lineRule="auto"/>
        <w:ind w:left="720"/>
        <w:jc w:val="both"/>
        <w:rPr>
          <w:rFonts w:ascii="Palatino Linotype" w:eastAsia="Palatino Linotype" w:hAnsi="Palatino Linotype" w:cs="Palatino Linotype"/>
          <w:sz w:val="22"/>
          <w:szCs w:val="22"/>
        </w:rPr>
      </w:pPr>
    </w:p>
    <w:p w14:paraId="67835846" w14:textId="77777777" w:rsidR="00633F90" w:rsidRPr="00BB7F68" w:rsidRDefault="000734F4">
      <w:pPr>
        <w:numPr>
          <w:ilvl w:val="0"/>
          <w:numId w:val="1"/>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14:paraId="34DE56B0"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50B06EEF"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Conforme a lo anterior, se deprende que los objetivos de la Ley de la materia, son establecer las bases que regirán las formas para garantizar el derecho de acceso a la información, </w:t>
      </w:r>
      <w:r w:rsidRPr="00BB7F68">
        <w:rPr>
          <w:rFonts w:ascii="Palatino Linotype" w:eastAsia="Palatino Linotype" w:hAnsi="Palatino Linotype" w:cs="Palatino Linotype"/>
          <w:sz w:val="22"/>
          <w:szCs w:val="22"/>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B9CAE3A"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4D4B405"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F0B128F"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6D3E39E"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9D02547"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132D875"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6A6B4CF" w14:textId="77777777" w:rsidR="00633F90" w:rsidRPr="00BB7F68" w:rsidRDefault="00633F90">
      <w:pPr>
        <w:spacing w:line="360" w:lineRule="auto"/>
        <w:ind w:left="720"/>
        <w:jc w:val="both"/>
        <w:rPr>
          <w:rFonts w:ascii="Palatino Linotype" w:eastAsia="Palatino Linotype" w:hAnsi="Palatino Linotype" w:cs="Palatino Linotype"/>
          <w:sz w:val="22"/>
          <w:szCs w:val="22"/>
        </w:rPr>
      </w:pPr>
    </w:p>
    <w:p w14:paraId="14731470"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BB7F68">
        <w:rPr>
          <w:rFonts w:ascii="Palatino Linotype" w:eastAsia="Palatino Linotype" w:hAnsi="Palatino Linotype" w:cs="Palatino Linotype"/>
          <w:sz w:val="22"/>
          <w:szCs w:val="22"/>
        </w:rPr>
        <w:lastRenderedPageBreak/>
        <w:t>interrumpirá el plazo para dar respuesta y comenzará a computarse el día siguiente al desahogo de esta;</w:t>
      </w:r>
    </w:p>
    <w:p w14:paraId="1DE3C440" w14:textId="77777777" w:rsidR="00633F90" w:rsidRPr="00BB7F68" w:rsidRDefault="00633F9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5EC85E2"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1DD8FAE5" w14:textId="77777777" w:rsidR="00633F90" w:rsidRPr="00BB7F68" w:rsidRDefault="00633F9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281DDF6F"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D1180AA" w14:textId="77777777" w:rsidR="00633F90" w:rsidRPr="00BB7F68" w:rsidRDefault="00633F9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381BD58"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349ACA9" w14:textId="77777777" w:rsidR="00633F90" w:rsidRPr="00BB7F68" w:rsidRDefault="00633F9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C71CB7A" w14:textId="77777777" w:rsidR="00633F90" w:rsidRPr="00BB7F68" w:rsidRDefault="00633F9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497D95E" w14:textId="77777777" w:rsidR="00633F90" w:rsidRPr="00BB7F68" w:rsidRDefault="000734F4">
      <w:pPr>
        <w:numPr>
          <w:ilvl w:val="0"/>
          <w:numId w:val="2"/>
        </w:num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BB7F68">
        <w:rPr>
          <w:rFonts w:ascii="Palatino Linotype" w:eastAsia="Palatino Linotype" w:hAnsi="Palatino Linotype" w:cs="Palatino Linotype"/>
          <w:sz w:val="22"/>
          <w:szCs w:val="22"/>
        </w:rPr>
        <w:lastRenderedPageBreak/>
        <w:t>mayor a treinta días hábiles; por lo que, una vez trascurrida dicha temporalidad, los Sujetos Obligados darán por concluida la solicitud y procederán de ser el caso, a la destrucción del material.</w:t>
      </w:r>
    </w:p>
    <w:p w14:paraId="607AC104"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04B966F"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Sistema Municipal para el Desarrollo Integral de la Familia de Jiquipilco, no había registrado respuesta al requerimiento de acceso a la información, el cual se tuvo por presentado, el dieciséis de enero de dos mil veinticinco. </w:t>
      </w:r>
    </w:p>
    <w:p w14:paraId="4ED71450"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2C3321CC" w14:textId="77777777" w:rsidR="00633F90" w:rsidRPr="00BB7F68" w:rsidRDefault="000734F4">
      <w:pPr>
        <w:spacing w:line="360" w:lineRule="auto"/>
        <w:jc w:val="both"/>
        <w:rPr>
          <w:rFonts w:ascii="Palatino Linotype" w:eastAsia="Palatino Linotype" w:hAnsi="Palatino Linotype" w:cs="Palatino Linotype"/>
          <w:sz w:val="22"/>
          <w:szCs w:val="22"/>
        </w:rPr>
      </w:pPr>
      <w:bookmarkStart w:id="12" w:name="_heading=h.3rdcrjn" w:colFirst="0" w:colLast="0"/>
      <w:bookmarkEnd w:id="12"/>
      <w:r w:rsidRPr="00BB7F68">
        <w:rPr>
          <w:rFonts w:ascii="Palatino Linotype" w:eastAsia="Palatino Linotype" w:hAnsi="Palatino Linotype" w:cs="Palatino Linotype"/>
          <w:sz w:val="22"/>
          <w:szCs w:val="22"/>
        </w:rPr>
        <w:t>En ese orden de ideas, el plazo con el que contaba el Sujeto Obligado para emitir contestación al requerimiento informativo comenzó a correr el diecisiete de enero y feneció el siete de febrero, ambos de dos mil veinticinco; lo anterior, sin contar los días,  dieciocho, diecinueve, veinticinco y veintiséis de enero, así como primero, dos y tres de febrero de dicho año, al ser inhábiles,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veinticinco y enero dos mil veintiséis.</w:t>
      </w:r>
    </w:p>
    <w:p w14:paraId="40A455B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B78452F"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Así, este Instituto verificó que, en efecto, no se registró respuesta a la solicitud de información de la persona Recurrente, en el Sistema de Acceso a la Información Mexiquense (SAIMEX), tal como se observa a continuación:</w:t>
      </w:r>
    </w:p>
    <w:p w14:paraId="50030CC4"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200D9C3D" w14:textId="77777777" w:rsidR="00633F90" w:rsidRPr="00BB7F68" w:rsidRDefault="000734F4">
      <w:pPr>
        <w:spacing w:line="360" w:lineRule="auto"/>
        <w:jc w:val="center"/>
        <w:rPr>
          <w:rFonts w:ascii="Palatino Linotype" w:eastAsia="Palatino Linotype" w:hAnsi="Palatino Linotype" w:cs="Palatino Linotype"/>
          <w:sz w:val="22"/>
          <w:szCs w:val="22"/>
        </w:rPr>
      </w:pPr>
      <w:r w:rsidRPr="00BB7F68">
        <w:rPr>
          <w:rFonts w:ascii="Palatino Linotype" w:eastAsia="Palatino Linotype" w:hAnsi="Palatino Linotype" w:cs="Palatino Linotype"/>
          <w:noProof/>
          <w:sz w:val="22"/>
          <w:szCs w:val="22"/>
          <w:lang w:eastAsia="es-MX"/>
        </w:rPr>
        <w:lastRenderedPageBreak/>
        <w:drawing>
          <wp:inline distT="0" distB="0" distL="0" distR="0" wp14:anchorId="49EC7531" wp14:editId="0F58BE1B">
            <wp:extent cx="2695075" cy="13929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517"/>
                    <a:stretch>
                      <a:fillRect/>
                    </a:stretch>
                  </pic:blipFill>
                  <pic:spPr>
                    <a:xfrm>
                      <a:off x="0" y="0"/>
                      <a:ext cx="2695075" cy="1392905"/>
                    </a:xfrm>
                    <a:prstGeom prst="rect">
                      <a:avLst/>
                    </a:prstGeom>
                    <a:ln/>
                  </pic:spPr>
                </pic:pic>
              </a:graphicData>
            </a:graphic>
          </wp:inline>
        </w:drawing>
      </w:r>
    </w:p>
    <w:p w14:paraId="452F8C4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4C246704"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Conforme a lo anterior, se colige que, tal como lo precisó la persona Recurrente, el Sujeto Obligado, no emitió respuesta para dar contestación a la solicitud de acceso a la información pública, dentro de los plazos establecidos en el artículo 163, de la Ley de Transparencia y Acceso a la Información Pública del Estado de México y Municipios, pues tenía hasta el siete de febrero de dos mil veinticinco, para realizar dicha situación, por lo que es evidente que el agravio es </w:t>
      </w:r>
      <w:r w:rsidRPr="00BB7F68">
        <w:rPr>
          <w:rFonts w:ascii="Palatino Linotype" w:eastAsia="Palatino Linotype" w:hAnsi="Palatino Linotype" w:cs="Palatino Linotype"/>
          <w:b/>
          <w:sz w:val="22"/>
          <w:szCs w:val="22"/>
        </w:rPr>
        <w:t>FUNDADO</w:t>
      </w:r>
      <w:r w:rsidRPr="00BB7F68">
        <w:rPr>
          <w:rFonts w:ascii="Palatino Linotype" w:eastAsia="Palatino Linotype" w:hAnsi="Palatino Linotype" w:cs="Palatino Linotype"/>
          <w:sz w:val="22"/>
          <w:szCs w:val="22"/>
        </w:rPr>
        <w:t xml:space="preserve">. </w:t>
      </w:r>
    </w:p>
    <w:p w14:paraId="2B90D048" w14:textId="77777777" w:rsidR="00633F90" w:rsidRPr="00BB7F68" w:rsidRDefault="000734F4">
      <w:pPr>
        <w:tabs>
          <w:tab w:val="left" w:pos="4962"/>
        </w:tabs>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Con base en lo expuesto, es procedente </w:t>
      </w:r>
      <w:r w:rsidRPr="00BB7F68">
        <w:rPr>
          <w:rFonts w:ascii="Palatino Linotype" w:eastAsia="Palatino Linotype" w:hAnsi="Palatino Linotype" w:cs="Palatino Linotype"/>
          <w:b/>
          <w:sz w:val="22"/>
          <w:szCs w:val="22"/>
        </w:rPr>
        <w:t>ORDENAR</w:t>
      </w:r>
      <w:r w:rsidRPr="00BB7F68">
        <w:rPr>
          <w:rFonts w:ascii="Palatino Linotype" w:eastAsia="Palatino Linotype" w:hAnsi="Palatino Linotype" w:cs="Palatino Linotype"/>
          <w:sz w:val="22"/>
          <w:szCs w:val="22"/>
        </w:rPr>
        <w:t xml:space="preserve"> al Sujeto Obligado, que emita  la respuesta que en derecho corresponda, a los requerimientos de información; no obstante, para tal circunstancia es necesario contextualizar la solicitud de información.</w:t>
      </w:r>
    </w:p>
    <w:p w14:paraId="6D932D19" w14:textId="77777777" w:rsidR="00633F90" w:rsidRPr="00BB7F68" w:rsidRDefault="00633F90">
      <w:pPr>
        <w:spacing w:line="360" w:lineRule="auto"/>
        <w:jc w:val="both"/>
        <w:rPr>
          <w:rFonts w:ascii="Palatino Linotype" w:eastAsia="Palatino Linotype" w:hAnsi="Palatino Linotype" w:cs="Palatino Linotype"/>
          <w:sz w:val="22"/>
          <w:szCs w:val="22"/>
        </w:rPr>
      </w:pPr>
      <w:bookmarkStart w:id="13" w:name="_heading=h.26in1rg" w:colFirst="0" w:colLast="0"/>
      <w:bookmarkEnd w:id="13"/>
    </w:p>
    <w:p w14:paraId="42361B35"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Sobre el tema, los artículos 92 y 94 de la Ley del Trabajo de los Servidores Públicos del Estado de México, precisan que la institución pública, como lo es un Ayuntamiento, podrá rescindir en cualquier momento la relación laboral; para lo cual, deberá dar aviso por escrito al servidor público de manera personal, la fecha y causa de baja.</w:t>
      </w:r>
    </w:p>
    <w:p w14:paraId="30BE954C"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1A7264AC"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De la misma manera, la Guía Técnica 9 “La Administración del Personal Municipal”, emitida por el Instituto Nacional para el Federalismo y el Desarrollo Municipal, establece que la rescisión laboral, corresponde a la disolución de la relación laboral, cuando alguna de las partes, no cumple con sus obligaciones, situación que se podrá realizar en cualquier momento.</w:t>
      </w:r>
    </w:p>
    <w:p w14:paraId="318CC8B7"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00FCF119" w14:textId="77777777" w:rsidR="00633F90" w:rsidRPr="00BB7F68" w:rsidRDefault="000734F4">
      <w:p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Además, se trae por analogía el procedimiento denominado “031 Baja de Servidora Públicas y Servidores Públicos Generales y de Confianza”, 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14:paraId="02B9ECAE" w14:textId="77777777" w:rsidR="00633F90" w:rsidRPr="00BB7F68" w:rsidRDefault="00633F90">
      <w:pPr>
        <w:tabs>
          <w:tab w:val="left" w:pos="4962"/>
        </w:tabs>
        <w:spacing w:line="360" w:lineRule="auto"/>
        <w:jc w:val="both"/>
        <w:rPr>
          <w:rFonts w:ascii="Palatino Linotype" w:eastAsia="Palatino Linotype" w:hAnsi="Palatino Linotype" w:cs="Palatino Linotype"/>
          <w:color w:val="000000"/>
          <w:sz w:val="22"/>
          <w:szCs w:val="22"/>
        </w:rPr>
      </w:pPr>
    </w:p>
    <w:p w14:paraId="31B98337"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Renuncia;</w:t>
      </w:r>
    </w:p>
    <w:p w14:paraId="34EB9634"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Fallecimiento;</w:t>
      </w:r>
    </w:p>
    <w:p w14:paraId="4CEE2371"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sz w:val="22"/>
          <w:szCs w:val="22"/>
        </w:rPr>
        <w:t>Rescisión</w:t>
      </w:r>
      <w:r w:rsidRPr="00BB7F68">
        <w:rPr>
          <w:rFonts w:ascii="Palatino Linotype" w:eastAsia="Palatino Linotype" w:hAnsi="Palatino Linotype" w:cs="Palatino Linotype"/>
          <w:color w:val="000000"/>
          <w:sz w:val="22"/>
          <w:szCs w:val="22"/>
        </w:rPr>
        <w:t xml:space="preserve"> de la relación laboral;</w:t>
      </w:r>
    </w:p>
    <w:p w14:paraId="66D28060"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Aplicación de resolución de autoridad competente;</w:t>
      </w:r>
    </w:p>
    <w:p w14:paraId="3493CE9F"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Pensión por jubilación, retiro y tiempo de servicios o inhabilitación;</w:t>
      </w:r>
    </w:p>
    <w:p w14:paraId="256A8B3F"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Mutuo consentimiento de las partes, y</w:t>
      </w:r>
    </w:p>
    <w:p w14:paraId="036CAF6E" w14:textId="77777777" w:rsidR="00633F90" w:rsidRPr="00BB7F68" w:rsidRDefault="000734F4">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Vencimiento o conclusión de obra determinada.</w:t>
      </w:r>
    </w:p>
    <w:p w14:paraId="7B92C3A2" w14:textId="77777777" w:rsidR="00633F90" w:rsidRPr="00BB7F68" w:rsidRDefault="00633F90">
      <w:pPr>
        <w:tabs>
          <w:tab w:val="left" w:pos="4962"/>
        </w:tabs>
        <w:spacing w:line="360" w:lineRule="auto"/>
        <w:jc w:val="both"/>
        <w:rPr>
          <w:rFonts w:ascii="Palatino Linotype" w:eastAsia="Palatino Linotype" w:hAnsi="Palatino Linotype" w:cs="Palatino Linotype"/>
          <w:color w:val="000000"/>
          <w:sz w:val="22"/>
          <w:szCs w:val="22"/>
        </w:rPr>
      </w:pPr>
    </w:p>
    <w:p w14:paraId="4868124A"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 xml:space="preserve">En ese orden de ideas, conforme al aparato de Preguntas Frecuentes, de la página oficial de la Secretaría del Trabajo del Estado de México (consultada el seis de julio de dos mil veinte, a las diez horas, en la liga electrónica </w:t>
      </w:r>
      <w:hyperlink r:id="rId9">
        <w:r w:rsidRPr="00BB7F68">
          <w:rPr>
            <w:rFonts w:ascii="Palatino Linotype" w:eastAsia="Palatino Linotype" w:hAnsi="Palatino Linotype" w:cs="Palatino Linotype"/>
            <w:color w:val="0563C1"/>
            <w:sz w:val="22"/>
            <w:szCs w:val="22"/>
            <w:u w:val="single"/>
          </w:rPr>
          <w:t>https://strabajo.edomex.gob.mx/faqs</w:t>
        </w:r>
      </w:hyperlink>
      <w:r w:rsidRPr="00BB7F68">
        <w:rPr>
          <w:rFonts w:ascii="Palatino Linotype" w:eastAsia="Palatino Linotype" w:hAnsi="Palatino Linotype" w:cs="Palatino Linotype"/>
          <w:color w:val="000000"/>
          <w:sz w:val="22"/>
          <w:szCs w:val="22"/>
        </w:rPr>
        <w:t>), cuando un servidor público es despedido injustificadamente, puede solicitar una liquidación que consiste en una indemnización, conformaba por tres meses de salario, prima de antigüedad, vacaciones, prima vacacional y aguinaldo proporcional; así como, de las prestaciones que se hayan generado.</w:t>
      </w:r>
    </w:p>
    <w:p w14:paraId="5B928536"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1F0D4AC7"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color w:val="000000"/>
          <w:sz w:val="22"/>
          <w:szCs w:val="22"/>
        </w:rPr>
        <w:t xml:space="preserve">Por otra parte, a manera de analogía, se trae a colación el Procedimiento de Realización de Baja y Pago de Finiquito de la Universidad Digital del Estado de México, con relación al </w:t>
      </w:r>
      <w:r w:rsidRPr="00BB7F68">
        <w:rPr>
          <w:rFonts w:ascii="Palatino Linotype" w:eastAsia="Palatino Linotype" w:hAnsi="Palatino Linotype" w:cs="Palatino Linotype"/>
          <w:color w:val="000000"/>
          <w:sz w:val="22"/>
          <w:szCs w:val="22"/>
        </w:rPr>
        <w:lastRenderedPageBreak/>
        <w:t>procedimiento 301 Finiquito, del Manual de Normas y Procedimientos de Desarrollo y Administración de Personal de la Secretaría de Finanzas, precisa que el finiquito es el pago que por derecho se le hace al trabajador al término de la relación laboral, que consiste en su sueldo hasta el último día laborado, parte proporcionar de aguinaldo, prima vacacional y vacaciones no disfrutadas.</w:t>
      </w:r>
    </w:p>
    <w:p w14:paraId="5BFA65D2"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021059A"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Conforme a lo anterior, es claro que el Sujeto Obligado, tiene competencia para conocer de la información solicitada pues se relacionada con los servidores públicos que fueron dados de baja, y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7DE0B664"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0C2052D"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Así mismo, 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E4D6A17"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1AEBA68F"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14:paraId="5D618A3F"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2018BFA" w14:textId="77777777" w:rsidR="00633F90" w:rsidRPr="00BB7F68" w:rsidRDefault="000734F4">
      <w:pPr>
        <w:pStyle w:val="Ttulo2"/>
      </w:pPr>
      <w:bookmarkStart w:id="14" w:name="_heading=h.lnxbz9" w:colFirst="0" w:colLast="0"/>
      <w:bookmarkEnd w:id="14"/>
      <w:r w:rsidRPr="00BB7F68">
        <w:t>SEXTO. Decisión</w:t>
      </w:r>
    </w:p>
    <w:p w14:paraId="1063975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57B0B952"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sidRPr="00BB7F68">
        <w:rPr>
          <w:rFonts w:ascii="Palatino Linotype" w:eastAsia="Palatino Linotype" w:hAnsi="Palatino Linotype" w:cs="Palatino Linotype"/>
          <w:b/>
          <w:sz w:val="22"/>
          <w:szCs w:val="22"/>
        </w:rPr>
        <w:t>ORDENAR</w:t>
      </w:r>
      <w:r w:rsidRPr="00BB7F68">
        <w:rPr>
          <w:rFonts w:ascii="Palatino Linotype" w:eastAsia="Palatino Linotype" w:hAnsi="Palatino Linotype" w:cs="Palatino Linotype"/>
          <w:sz w:val="22"/>
          <w:szCs w:val="22"/>
        </w:rPr>
        <w:t xml:space="preserve"> al Sujeto Obligado, a que dé trámite y respuesta a la solicitud de información pública con número</w:t>
      </w:r>
      <w:r w:rsidRPr="00BB7F68">
        <w:rPr>
          <w:rFonts w:ascii="Palatino Linotype" w:eastAsia="Palatino Linotype" w:hAnsi="Palatino Linotype" w:cs="Palatino Linotype"/>
          <w:color w:val="000000"/>
          <w:sz w:val="22"/>
          <w:szCs w:val="22"/>
        </w:rPr>
        <w:t xml:space="preserve"> 00003/DIFJIQUIPI/IP/2025</w:t>
      </w:r>
    </w:p>
    <w:p w14:paraId="31C266CA"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9EE31B9" w14:textId="77777777" w:rsidR="00633F90" w:rsidRPr="00BB7F68" w:rsidRDefault="000734F4">
      <w:pPr>
        <w:pStyle w:val="Ttulo2"/>
      </w:pPr>
      <w:bookmarkStart w:id="15" w:name="_heading=h.35nkun2" w:colFirst="0" w:colLast="0"/>
      <w:bookmarkEnd w:id="15"/>
      <w:r w:rsidRPr="00BB7F68">
        <w:t>SÉPTIMO. Vista a la Secretaría Técnica del Pleno</w:t>
      </w:r>
    </w:p>
    <w:p w14:paraId="11F62D9F"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2C40F512"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En el caso en estudio, como ha quedado señalado que el Sistema Municipal para el Desarrollo Integral de la Familia de Jiquipilco omitió dar respuesta en el plazo señalado en el artículo 163 de la Ley de Transparencia y Acceso a la Información Pública del Estado de México y Municipios. </w:t>
      </w:r>
    </w:p>
    <w:p w14:paraId="530671E1" w14:textId="77777777" w:rsidR="00633F90" w:rsidRPr="00BB7F68" w:rsidRDefault="00633F90">
      <w:pPr>
        <w:spacing w:line="360" w:lineRule="auto"/>
        <w:ind w:right="-93"/>
        <w:jc w:val="both"/>
        <w:rPr>
          <w:rFonts w:ascii="Palatino Linotype" w:eastAsia="Palatino Linotype" w:hAnsi="Palatino Linotype" w:cs="Palatino Linotype"/>
          <w:sz w:val="22"/>
          <w:szCs w:val="22"/>
        </w:rPr>
      </w:pPr>
    </w:p>
    <w:p w14:paraId="394BA360"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25C75D2A" w14:textId="77777777" w:rsidR="00633F90" w:rsidRPr="00BB7F68" w:rsidRDefault="00633F90">
      <w:pPr>
        <w:spacing w:line="360" w:lineRule="auto"/>
        <w:ind w:right="-93"/>
        <w:jc w:val="both"/>
        <w:rPr>
          <w:rFonts w:ascii="Palatino Linotype" w:eastAsia="Palatino Linotype" w:hAnsi="Palatino Linotype" w:cs="Palatino Linotype"/>
          <w:sz w:val="22"/>
          <w:szCs w:val="22"/>
        </w:rPr>
      </w:pPr>
    </w:p>
    <w:p w14:paraId="6C4DCC14"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w:t>
      </w:r>
      <w:r w:rsidRPr="00BB7F68">
        <w:rPr>
          <w:rFonts w:ascii="Palatino Linotype" w:eastAsia="Palatino Linotype" w:hAnsi="Palatino Linotype" w:cs="Palatino Linotype"/>
          <w:sz w:val="22"/>
          <w:szCs w:val="22"/>
        </w:rPr>
        <w:lastRenderedPageBreak/>
        <w:t xml:space="preserve">obligaciones establecida en la Ley de la materia, entre otras conductas, la falta de respuesta a las solicitudes de información en los plazos señalados, a saber, dentro de los quince días siguientes a la presentación del requerimiento. </w:t>
      </w:r>
    </w:p>
    <w:p w14:paraId="7F9B0177" w14:textId="77777777" w:rsidR="00633F90" w:rsidRPr="00BB7F68" w:rsidRDefault="00633F90">
      <w:pPr>
        <w:spacing w:line="360" w:lineRule="auto"/>
        <w:ind w:right="-93"/>
        <w:jc w:val="both"/>
        <w:rPr>
          <w:rFonts w:ascii="Palatino Linotype" w:eastAsia="Palatino Linotype" w:hAnsi="Palatino Linotype" w:cs="Palatino Linotype"/>
          <w:sz w:val="22"/>
          <w:szCs w:val="22"/>
        </w:rPr>
      </w:pPr>
    </w:p>
    <w:p w14:paraId="78942923"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66FB2E1B" w14:textId="77777777" w:rsidR="00633F90" w:rsidRPr="00BB7F68" w:rsidRDefault="00633F90">
      <w:pPr>
        <w:spacing w:line="360" w:lineRule="auto"/>
        <w:ind w:right="-93"/>
        <w:jc w:val="both"/>
        <w:rPr>
          <w:rFonts w:ascii="Palatino Linotype" w:eastAsia="Palatino Linotype" w:hAnsi="Palatino Linotype" w:cs="Palatino Linotype"/>
          <w:sz w:val="22"/>
          <w:szCs w:val="22"/>
        </w:rPr>
      </w:pPr>
    </w:p>
    <w:p w14:paraId="4D24AE87"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13486064" w14:textId="77777777" w:rsidR="00633F90" w:rsidRPr="00BB7F68" w:rsidRDefault="00633F90">
      <w:pPr>
        <w:spacing w:line="360" w:lineRule="auto"/>
        <w:ind w:right="-93"/>
        <w:jc w:val="both"/>
        <w:rPr>
          <w:rFonts w:ascii="Palatino Linotype" w:eastAsia="Palatino Linotype" w:hAnsi="Palatino Linotype" w:cs="Palatino Linotype"/>
          <w:sz w:val="22"/>
          <w:szCs w:val="22"/>
        </w:rPr>
      </w:pPr>
    </w:p>
    <w:p w14:paraId="5AA68CA8" w14:textId="77777777" w:rsidR="00633F90" w:rsidRPr="00BB7F68" w:rsidRDefault="000734F4">
      <w:pPr>
        <w:spacing w:line="360" w:lineRule="auto"/>
        <w:ind w:right="-93"/>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26EE8F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3EB2C36" w14:textId="77777777" w:rsidR="00633F90" w:rsidRPr="00BB7F68" w:rsidRDefault="000734F4">
      <w:pPr>
        <w:spacing w:line="360" w:lineRule="auto"/>
        <w:jc w:val="both"/>
        <w:rPr>
          <w:rFonts w:ascii="Palatino Linotype" w:eastAsia="Palatino Linotype" w:hAnsi="Palatino Linotype" w:cs="Palatino Linotype"/>
          <w:b/>
          <w:sz w:val="22"/>
          <w:szCs w:val="22"/>
        </w:rPr>
      </w:pPr>
      <w:r w:rsidRPr="00BB7F68">
        <w:rPr>
          <w:rFonts w:ascii="Palatino Linotype" w:eastAsia="Palatino Linotype" w:hAnsi="Palatino Linotype" w:cs="Palatino Linotype"/>
          <w:b/>
          <w:sz w:val="22"/>
          <w:szCs w:val="22"/>
        </w:rPr>
        <w:t>Términos de la Resolución para conocimiento del Particular</w:t>
      </w:r>
    </w:p>
    <w:p w14:paraId="600BD21B" w14:textId="77777777" w:rsidR="00633F90" w:rsidRPr="00BB7F68" w:rsidRDefault="00633F90">
      <w:pPr>
        <w:spacing w:line="360" w:lineRule="auto"/>
        <w:jc w:val="both"/>
        <w:rPr>
          <w:rFonts w:ascii="Palatino Linotype" w:eastAsia="Palatino Linotype" w:hAnsi="Palatino Linotype" w:cs="Palatino Linotype"/>
          <w:b/>
          <w:sz w:val="22"/>
          <w:szCs w:val="22"/>
        </w:rPr>
      </w:pPr>
    </w:p>
    <w:p w14:paraId="40884261"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Se le hace del conocimiento al Particular, que, en el presente caso, se le da la razón, pues el Sujeto Obligado no emitió contestación alguna, por lo que, deberá dar atención al </w:t>
      </w:r>
      <w:r w:rsidRPr="00BB7F68">
        <w:rPr>
          <w:rFonts w:ascii="Palatino Linotype" w:eastAsia="Palatino Linotype" w:hAnsi="Palatino Linotype" w:cs="Palatino Linotype"/>
          <w:sz w:val="22"/>
          <w:szCs w:val="22"/>
        </w:rPr>
        <w:lastRenderedPageBreak/>
        <w:t xml:space="preserve">requerimiento de información, realizar unas búsqueda exhaustiva y razonable en sus archivos, y en su caso, entregarle la documentación que corresponda. </w:t>
      </w:r>
    </w:p>
    <w:p w14:paraId="466764A5"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78CECE1"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44682C89"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B815178" w14:textId="77777777" w:rsidR="00633F90" w:rsidRPr="00BB7F68" w:rsidRDefault="000734F4">
      <w:pPr>
        <w:spacing w:line="360" w:lineRule="auto"/>
        <w:jc w:val="both"/>
        <w:rPr>
          <w:rFonts w:ascii="Palatino Linotype" w:eastAsia="Palatino Linotype" w:hAnsi="Palatino Linotype" w:cs="Palatino Linotype"/>
          <w:color w:val="000000"/>
          <w:sz w:val="22"/>
          <w:szCs w:val="22"/>
        </w:rPr>
      </w:pPr>
      <w:r w:rsidRPr="00BB7F68">
        <w:rPr>
          <w:rFonts w:ascii="Palatino Linotype" w:eastAsia="Palatino Linotype" w:hAnsi="Palatino Linotype" w:cs="Palatino Linotype"/>
          <w:color w:val="000000"/>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B1F504B" w14:textId="77777777" w:rsidR="00633F90" w:rsidRPr="00BB7F68" w:rsidRDefault="00633F90">
      <w:pPr>
        <w:spacing w:line="360" w:lineRule="auto"/>
        <w:jc w:val="both"/>
        <w:rPr>
          <w:rFonts w:ascii="Palatino Linotype" w:eastAsia="Palatino Linotype" w:hAnsi="Palatino Linotype" w:cs="Palatino Linotype"/>
          <w:color w:val="000000"/>
          <w:sz w:val="22"/>
          <w:szCs w:val="22"/>
        </w:rPr>
      </w:pPr>
    </w:p>
    <w:p w14:paraId="5B583612"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Por lo expuesto y fundado, este Pleno:</w:t>
      </w:r>
    </w:p>
    <w:p w14:paraId="621F2ECC"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61533547" w14:textId="77777777" w:rsidR="00633F90" w:rsidRPr="00BB7F68" w:rsidRDefault="000734F4">
      <w:pPr>
        <w:pStyle w:val="Ttulo1"/>
      </w:pPr>
      <w:bookmarkStart w:id="16" w:name="_heading=h.1ksv4uv" w:colFirst="0" w:colLast="0"/>
      <w:bookmarkEnd w:id="16"/>
      <w:r w:rsidRPr="00BB7F68">
        <w:t>R E S U E L V E</w:t>
      </w:r>
    </w:p>
    <w:p w14:paraId="502FD795" w14:textId="77777777" w:rsidR="00633F90" w:rsidRPr="00BB7F68" w:rsidRDefault="00633F90">
      <w:pPr>
        <w:spacing w:line="360" w:lineRule="auto"/>
        <w:jc w:val="both"/>
        <w:rPr>
          <w:rFonts w:ascii="Palatino Linotype" w:eastAsia="Palatino Linotype" w:hAnsi="Palatino Linotype" w:cs="Palatino Linotype"/>
          <w:b/>
          <w:sz w:val="22"/>
          <w:szCs w:val="22"/>
        </w:rPr>
      </w:pPr>
    </w:p>
    <w:p w14:paraId="566E5375"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sz w:val="22"/>
          <w:szCs w:val="22"/>
        </w:rPr>
        <w:t xml:space="preserve">PRIMERO. </w:t>
      </w:r>
      <w:r w:rsidRPr="00BB7F68">
        <w:rPr>
          <w:rFonts w:ascii="Palatino Linotype" w:eastAsia="Palatino Linotype" w:hAnsi="Palatino Linotype" w:cs="Palatino Linotype"/>
          <w:sz w:val="22"/>
          <w:szCs w:val="22"/>
        </w:rPr>
        <w:t xml:space="preserve">Resultan </w:t>
      </w:r>
      <w:r w:rsidRPr="00BB7F68">
        <w:rPr>
          <w:rFonts w:ascii="Palatino Linotype" w:eastAsia="Palatino Linotype" w:hAnsi="Palatino Linotype" w:cs="Palatino Linotype"/>
          <w:b/>
          <w:sz w:val="22"/>
          <w:szCs w:val="22"/>
        </w:rPr>
        <w:t>FUNDADAS</w:t>
      </w:r>
      <w:r w:rsidRPr="00BB7F68">
        <w:rPr>
          <w:rFonts w:ascii="Palatino Linotype" w:eastAsia="Palatino Linotype" w:hAnsi="Palatino Linotype" w:cs="Palatino Linotype"/>
          <w:sz w:val="22"/>
          <w:szCs w:val="22"/>
        </w:rPr>
        <w:t xml:space="preserve"> las razones o motivos de inconformidad hechos valer por el Particular en el Recurso de Revisión 01061/INFOEM/IP/RR/2025,</w:t>
      </w:r>
      <w:r w:rsidRPr="00BB7F68">
        <w:rPr>
          <w:rFonts w:ascii="Palatino Linotype" w:eastAsia="Palatino Linotype" w:hAnsi="Palatino Linotype" w:cs="Palatino Linotype"/>
          <w:b/>
          <w:sz w:val="22"/>
          <w:szCs w:val="22"/>
        </w:rPr>
        <w:t xml:space="preserve"> </w:t>
      </w:r>
      <w:r w:rsidRPr="00BB7F68">
        <w:rPr>
          <w:rFonts w:ascii="Palatino Linotype" w:eastAsia="Palatino Linotype" w:hAnsi="Palatino Linotype" w:cs="Palatino Linotype"/>
          <w:sz w:val="22"/>
          <w:szCs w:val="22"/>
        </w:rPr>
        <w:t>en términos de los considerandos QUINTO y SEXTO de la presente Resolución.</w:t>
      </w:r>
    </w:p>
    <w:p w14:paraId="618491A9"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35D4D849" w14:textId="77777777" w:rsidR="00633F90" w:rsidRPr="00BB7F68" w:rsidRDefault="000734F4">
      <w:pPr>
        <w:spacing w:line="360" w:lineRule="auto"/>
        <w:jc w:val="both"/>
        <w:rPr>
          <w:b/>
        </w:rPr>
      </w:pPr>
      <w:r w:rsidRPr="00BB7F68">
        <w:rPr>
          <w:rFonts w:ascii="Palatino Linotype" w:eastAsia="Palatino Linotype" w:hAnsi="Palatino Linotype" w:cs="Palatino Linotype"/>
          <w:b/>
          <w:sz w:val="22"/>
          <w:szCs w:val="22"/>
        </w:rPr>
        <w:t xml:space="preserve">SEGUNDO. </w:t>
      </w:r>
      <w:r w:rsidRPr="00BB7F68">
        <w:rPr>
          <w:rFonts w:ascii="Palatino Linotype" w:eastAsia="Palatino Linotype" w:hAnsi="Palatino Linotype" w:cs="Palatino Linotype"/>
          <w:sz w:val="22"/>
          <w:szCs w:val="22"/>
        </w:rPr>
        <w:t>Se</w:t>
      </w:r>
      <w:r w:rsidRPr="00BB7F68">
        <w:rPr>
          <w:rFonts w:ascii="Palatino Linotype" w:eastAsia="Palatino Linotype" w:hAnsi="Palatino Linotype" w:cs="Palatino Linotype"/>
          <w:b/>
          <w:sz w:val="22"/>
          <w:szCs w:val="22"/>
        </w:rPr>
        <w:t xml:space="preserve"> ORDENA </w:t>
      </w:r>
      <w:r w:rsidRPr="00BB7F68">
        <w:rPr>
          <w:rFonts w:ascii="Palatino Linotype" w:eastAsia="Palatino Linotype" w:hAnsi="Palatino Linotype" w:cs="Palatino Linotype"/>
          <w:sz w:val="22"/>
          <w:szCs w:val="22"/>
        </w:rPr>
        <w:t>al Sujeto Obligado, a efecto de que dé atención a la solicitud de acceso a la información</w:t>
      </w:r>
      <w:r w:rsidRPr="00BB7F68">
        <w:rPr>
          <w:rFonts w:ascii="Palatino Linotype" w:eastAsia="Palatino Linotype" w:hAnsi="Palatino Linotype" w:cs="Palatino Linotype"/>
          <w:color w:val="0D0D0D"/>
          <w:sz w:val="22"/>
          <w:szCs w:val="22"/>
        </w:rPr>
        <w:t xml:space="preserve"> </w:t>
      </w:r>
      <w:r w:rsidRPr="00BB7F68">
        <w:rPr>
          <w:rFonts w:ascii="Palatino Linotype" w:eastAsia="Palatino Linotype" w:hAnsi="Palatino Linotype" w:cs="Palatino Linotype"/>
          <w:color w:val="000000"/>
          <w:sz w:val="22"/>
          <w:szCs w:val="22"/>
        </w:rPr>
        <w:t xml:space="preserve">00003/DIFJIQUIPI/IP/2025 </w:t>
      </w:r>
      <w:r w:rsidRPr="00BB7F68">
        <w:rPr>
          <w:rFonts w:ascii="Palatino Linotype" w:eastAsia="Palatino Linotype" w:hAnsi="Palatino Linotype" w:cs="Palatino Linotype"/>
          <w:sz w:val="22"/>
          <w:szCs w:val="22"/>
        </w:rPr>
        <w:t>y, a través del Sistema de Acceso a la Información Mexiquense (SAIMEX), dé la respuesta que conforme a derecho corresponda</w:t>
      </w:r>
      <w:r w:rsidRPr="00BB7F68">
        <w:rPr>
          <w:b/>
        </w:rPr>
        <w:t xml:space="preserve">. </w:t>
      </w:r>
    </w:p>
    <w:p w14:paraId="417A44D5"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AAF70D4"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sz w:val="22"/>
          <w:szCs w:val="22"/>
        </w:rPr>
        <w:lastRenderedPageBreak/>
        <w:t xml:space="preserve">TERCERO. </w:t>
      </w:r>
      <w:r w:rsidRPr="00BB7F68">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07883981"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1012BE17"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sz w:val="22"/>
          <w:szCs w:val="22"/>
        </w:rPr>
        <w:t>CUARTO.</w:t>
      </w:r>
      <w:r w:rsidRPr="00BB7F68">
        <w:rPr>
          <w:rFonts w:ascii="Palatino Linotype" w:eastAsia="Palatino Linotype" w:hAnsi="Palatino Linotype" w:cs="Palatino Linotype"/>
          <w:sz w:val="22"/>
          <w:szCs w:val="22"/>
        </w:rPr>
        <w:t xml:space="preserve"> </w:t>
      </w:r>
      <w:r w:rsidRPr="00BB7F68">
        <w:rPr>
          <w:rFonts w:ascii="Palatino Linotype" w:eastAsia="Palatino Linotype" w:hAnsi="Palatino Linotype" w:cs="Palatino Linotype"/>
          <w:b/>
          <w:sz w:val="22"/>
          <w:szCs w:val="22"/>
        </w:rPr>
        <w:t xml:space="preserve">NOTIFÍQUESE VÍA SAIMEX </w:t>
      </w:r>
      <w:r w:rsidRPr="00BB7F68">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A1342FC"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FFD9418"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sz w:val="22"/>
          <w:szCs w:val="22"/>
        </w:rPr>
        <w:t>QUINTO. NOTIFÍQUESE</w:t>
      </w:r>
      <w:r w:rsidRPr="00BB7F68">
        <w:rPr>
          <w:rFonts w:ascii="Palatino Linotype" w:eastAsia="Palatino Linotype" w:hAnsi="Palatino Linotype" w:cs="Palatino Linotype"/>
          <w:sz w:val="22"/>
          <w:szCs w:val="22"/>
        </w:rPr>
        <w:t xml:space="preserve"> </w:t>
      </w:r>
      <w:r w:rsidRPr="00BB7F68">
        <w:rPr>
          <w:rFonts w:ascii="Palatino Linotype" w:eastAsia="Palatino Linotype" w:hAnsi="Palatino Linotype" w:cs="Palatino Linotype"/>
          <w:b/>
          <w:sz w:val="22"/>
          <w:szCs w:val="22"/>
        </w:rPr>
        <w:t xml:space="preserve">VÍA SAIMEX, </w:t>
      </w:r>
      <w:r w:rsidRPr="00BB7F68">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270855"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0A774D6B" w14:textId="77777777" w:rsidR="00633F90" w:rsidRPr="00BB7F68"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b/>
          <w:sz w:val="22"/>
          <w:szCs w:val="22"/>
        </w:rPr>
        <w:t>SEXTO.</w:t>
      </w:r>
      <w:r w:rsidRPr="00BB7F68">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BB7F68">
        <w:rPr>
          <w:rFonts w:ascii="Palatino Linotype" w:eastAsia="Palatino Linotype" w:hAnsi="Palatino Linotype" w:cs="Palatino Linotype"/>
          <w:sz w:val="22"/>
          <w:szCs w:val="22"/>
        </w:rPr>
        <w:lastRenderedPageBreak/>
        <w:t>Pública del Estado de México y Municipios, determine lo conducente, en términos de lo señalado en el Considerando SÉPTIMO de la presente Resolución.</w:t>
      </w:r>
    </w:p>
    <w:p w14:paraId="1DE1BF9D" w14:textId="77777777" w:rsidR="00633F90" w:rsidRPr="00BB7F68" w:rsidRDefault="00633F90">
      <w:pPr>
        <w:spacing w:line="360" w:lineRule="auto"/>
        <w:jc w:val="both"/>
        <w:rPr>
          <w:rFonts w:ascii="Palatino Linotype" w:eastAsia="Palatino Linotype" w:hAnsi="Palatino Linotype" w:cs="Palatino Linotype"/>
          <w:sz w:val="22"/>
          <w:szCs w:val="22"/>
        </w:rPr>
      </w:pPr>
    </w:p>
    <w:p w14:paraId="7880B748" w14:textId="77777777" w:rsidR="00633F90" w:rsidRDefault="000734F4">
      <w:pPr>
        <w:spacing w:line="360" w:lineRule="auto"/>
        <w:jc w:val="both"/>
        <w:rPr>
          <w:rFonts w:ascii="Palatino Linotype" w:eastAsia="Palatino Linotype" w:hAnsi="Palatino Linotype" w:cs="Palatino Linotype"/>
          <w:sz w:val="22"/>
          <w:szCs w:val="22"/>
        </w:rPr>
      </w:pPr>
      <w:r w:rsidRPr="00BB7F68">
        <w:rPr>
          <w:rFonts w:ascii="Palatino Linotype" w:eastAsia="Palatino Linotype" w:hAnsi="Palatino Linotype" w:cs="Palatino Linotype"/>
          <w:sz w:val="22"/>
          <w:szCs w:val="22"/>
        </w:rPr>
        <w:t>ASÍ LO RESUELVE, POR </w:t>
      </w:r>
      <w:r w:rsidRPr="00BB7F68">
        <w:rPr>
          <w:rFonts w:ascii="Palatino Linotype" w:eastAsia="Palatino Linotype" w:hAnsi="Palatino Linotype" w:cs="Palatino Linotype"/>
          <w:b/>
          <w:sz w:val="22"/>
          <w:szCs w:val="22"/>
        </w:rPr>
        <w:t>UNANIMIDAD</w:t>
      </w:r>
      <w:r w:rsidRPr="00BB7F68">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7D044FC5" w14:textId="77777777" w:rsidR="00633F90" w:rsidRDefault="00633F90">
      <w:pPr>
        <w:spacing w:line="360" w:lineRule="auto"/>
        <w:jc w:val="both"/>
        <w:rPr>
          <w:rFonts w:ascii="Palatino Linotype" w:eastAsia="Palatino Linotype" w:hAnsi="Palatino Linotype" w:cs="Palatino Linotype"/>
          <w:sz w:val="22"/>
          <w:szCs w:val="22"/>
        </w:rPr>
      </w:pPr>
    </w:p>
    <w:p w14:paraId="29753A45" w14:textId="77777777" w:rsidR="00633F90" w:rsidRDefault="00633F90">
      <w:pPr>
        <w:spacing w:line="360" w:lineRule="auto"/>
        <w:jc w:val="both"/>
        <w:rPr>
          <w:rFonts w:ascii="Palatino Linotype" w:eastAsia="Palatino Linotype" w:hAnsi="Palatino Linotype" w:cs="Palatino Linotype"/>
          <w:sz w:val="22"/>
          <w:szCs w:val="22"/>
        </w:rPr>
      </w:pPr>
    </w:p>
    <w:p w14:paraId="11492CBB" w14:textId="77777777" w:rsidR="00633F90" w:rsidRDefault="00633F90">
      <w:pPr>
        <w:spacing w:line="360" w:lineRule="auto"/>
        <w:jc w:val="both"/>
        <w:rPr>
          <w:rFonts w:ascii="Palatino Linotype" w:eastAsia="Palatino Linotype" w:hAnsi="Palatino Linotype" w:cs="Palatino Linotype"/>
          <w:sz w:val="22"/>
          <w:szCs w:val="22"/>
        </w:rPr>
      </w:pPr>
    </w:p>
    <w:p w14:paraId="3F45B63C" w14:textId="77777777" w:rsidR="00633F90" w:rsidRDefault="00633F90">
      <w:pPr>
        <w:spacing w:line="360" w:lineRule="auto"/>
        <w:jc w:val="both"/>
        <w:rPr>
          <w:rFonts w:ascii="Palatino Linotype" w:eastAsia="Palatino Linotype" w:hAnsi="Palatino Linotype" w:cs="Palatino Linotype"/>
          <w:sz w:val="22"/>
          <w:szCs w:val="22"/>
        </w:rPr>
      </w:pPr>
    </w:p>
    <w:p w14:paraId="706CED64" w14:textId="77777777" w:rsidR="00633F90" w:rsidRDefault="00633F90">
      <w:pPr>
        <w:spacing w:line="360" w:lineRule="auto"/>
        <w:jc w:val="both"/>
        <w:rPr>
          <w:rFonts w:ascii="Palatino Linotype" w:eastAsia="Palatino Linotype" w:hAnsi="Palatino Linotype" w:cs="Palatino Linotype"/>
          <w:sz w:val="22"/>
          <w:szCs w:val="22"/>
        </w:rPr>
      </w:pPr>
    </w:p>
    <w:p w14:paraId="1DDC0E1D" w14:textId="77777777" w:rsidR="00633F90" w:rsidRDefault="00633F90">
      <w:pPr>
        <w:spacing w:line="360" w:lineRule="auto"/>
        <w:jc w:val="both"/>
        <w:rPr>
          <w:rFonts w:ascii="Palatino Linotype" w:eastAsia="Palatino Linotype" w:hAnsi="Palatino Linotype" w:cs="Palatino Linotype"/>
          <w:sz w:val="22"/>
          <w:szCs w:val="22"/>
        </w:rPr>
      </w:pPr>
    </w:p>
    <w:p w14:paraId="1E1640E2" w14:textId="77777777" w:rsidR="00633F90" w:rsidRDefault="00633F90">
      <w:pPr>
        <w:spacing w:line="360" w:lineRule="auto"/>
        <w:jc w:val="both"/>
        <w:rPr>
          <w:rFonts w:ascii="Palatino Linotype" w:eastAsia="Palatino Linotype" w:hAnsi="Palatino Linotype" w:cs="Palatino Linotype"/>
          <w:sz w:val="22"/>
          <w:szCs w:val="22"/>
        </w:rPr>
      </w:pPr>
    </w:p>
    <w:p w14:paraId="56C3E97A" w14:textId="77777777" w:rsidR="00633F90" w:rsidRDefault="00633F90">
      <w:pPr>
        <w:spacing w:line="360" w:lineRule="auto"/>
        <w:jc w:val="both"/>
        <w:rPr>
          <w:rFonts w:ascii="Palatino Linotype" w:eastAsia="Palatino Linotype" w:hAnsi="Palatino Linotype" w:cs="Palatino Linotype"/>
          <w:sz w:val="22"/>
          <w:szCs w:val="22"/>
        </w:rPr>
      </w:pPr>
    </w:p>
    <w:p w14:paraId="34E0E32F" w14:textId="77777777" w:rsidR="00633F90" w:rsidRDefault="00633F90">
      <w:pPr>
        <w:spacing w:line="360" w:lineRule="auto"/>
        <w:jc w:val="both"/>
        <w:rPr>
          <w:rFonts w:ascii="Palatino Linotype" w:eastAsia="Palatino Linotype" w:hAnsi="Palatino Linotype" w:cs="Palatino Linotype"/>
          <w:sz w:val="22"/>
          <w:szCs w:val="22"/>
        </w:rPr>
      </w:pPr>
    </w:p>
    <w:p w14:paraId="32785133" w14:textId="77777777" w:rsidR="00633F90" w:rsidRDefault="00633F90">
      <w:pPr>
        <w:spacing w:line="360" w:lineRule="auto"/>
        <w:jc w:val="both"/>
        <w:rPr>
          <w:rFonts w:ascii="Palatino Linotype" w:eastAsia="Palatino Linotype" w:hAnsi="Palatino Linotype" w:cs="Palatino Linotype"/>
          <w:sz w:val="22"/>
          <w:szCs w:val="22"/>
        </w:rPr>
      </w:pPr>
    </w:p>
    <w:p w14:paraId="4CCFE42C" w14:textId="77777777" w:rsidR="00633F90" w:rsidRDefault="00633F90">
      <w:pPr>
        <w:spacing w:line="360" w:lineRule="auto"/>
        <w:jc w:val="both"/>
        <w:rPr>
          <w:rFonts w:ascii="Palatino Linotype" w:eastAsia="Palatino Linotype" w:hAnsi="Palatino Linotype" w:cs="Palatino Linotype"/>
          <w:sz w:val="22"/>
          <w:szCs w:val="22"/>
        </w:rPr>
      </w:pPr>
    </w:p>
    <w:p w14:paraId="5E71533C" w14:textId="77777777" w:rsidR="00633F90" w:rsidRDefault="00633F90">
      <w:pPr>
        <w:spacing w:line="360" w:lineRule="auto"/>
        <w:jc w:val="both"/>
        <w:rPr>
          <w:rFonts w:ascii="Palatino Linotype" w:eastAsia="Palatino Linotype" w:hAnsi="Palatino Linotype" w:cs="Palatino Linotype"/>
          <w:sz w:val="22"/>
          <w:szCs w:val="22"/>
        </w:rPr>
      </w:pPr>
    </w:p>
    <w:p w14:paraId="3C930A2D" w14:textId="77777777" w:rsidR="00633F90" w:rsidRDefault="00633F90">
      <w:pPr>
        <w:spacing w:line="360" w:lineRule="auto"/>
        <w:jc w:val="both"/>
        <w:rPr>
          <w:rFonts w:ascii="Palatino Linotype" w:eastAsia="Palatino Linotype" w:hAnsi="Palatino Linotype" w:cs="Palatino Linotype"/>
          <w:sz w:val="22"/>
          <w:szCs w:val="22"/>
        </w:rPr>
      </w:pPr>
    </w:p>
    <w:p w14:paraId="6FFA30F8" w14:textId="77777777" w:rsidR="00633F90" w:rsidRDefault="00633F90">
      <w:pPr>
        <w:spacing w:line="360" w:lineRule="auto"/>
        <w:jc w:val="both"/>
        <w:rPr>
          <w:rFonts w:ascii="Palatino Linotype" w:eastAsia="Palatino Linotype" w:hAnsi="Palatino Linotype" w:cs="Palatino Linotype"/>
          <w:sz w:val="22"/>
          <w:szCs w:val="22"/>
        </w:rPr>
      </w:pPr>
    </w:p>
    <w:p w14:paraId="6C358504" w14:textId="77777777" w:rsidR="00633F90" w:rsidRDefault="00633F90">
      <w:pPr>
        <w:spacing w:line="360" w:lineRule="auto"/>
        <w:jc w:val="both"/>
        <w:rPr>
          <w:rFonts w:ascii="Palatino Linotype" w:eastAsia="Palatino Linotype" w:hAnsi="Palatino Linotype" w:cs="Palatino Linotype"/>
          <w:sz w:val="22"/>
          <w:szCs w:val="22"/>
        </w:rPr>
      </w:pPr>
    </w:p>
    <w:p w14:paraId="5C3CCC15" w14:textId="77777777" w:rsidR="00633F90" w:rsidRDefault="00633F90">
      <w:pPr>
        <w:spacing w:line="360" w:lineRule="auto"/>
        <w:jc w:val="both"/>
        <w:rPr>
          <w:rFonts w:ascii="Palatino Linotype" w:eastAsia="Palatino Linotype" w:hAnsi="Palatino Linotype" w:cs="Palatino Linotype"/>
          <w:sz w:val="22"/>
          <w:szCs w:val="22"/>
        </w:rPr>
      </w:pPr>
    </w:p>
    <w:p w14:paraId="236E358C" w14:textId="77777777" w:rsidR="00633F90" w:rsidRDefault="00633F90">
      <w:pPr>
        <w:spacing w:line="360" w:lineRule="auto"/>
        <w:jc w:val="both"/>
        <w:rPr>
          <w:rFonts w:ascii="Palatino Linotype" w:eastAsia="Palatino Linotype" w:hAnsi="Palatino Linotype" w:cs="Palatino Linotype"/>
          <w:sz w:val="22"/>
          <w:szCs w:val="22"/>
        </w:rPr>
      </w:pPr>
    </w:p>
    <w:p w14:paraId="5608EF42" w14:textId="77777777" w:rsidR="00633F90" w:rsidRDefault="00633F90">
      <w:pPr>
        <w:spacing w:line="360" w:lineRule="auto"/>
        <w:jc w:val="both"/>
        <w:rPr>
          <w:rFonts w:ascii="Palatino Linotype" w:eastAsia="Palatino Linotype" w:hAnsi="Palatino Linotype" w:cs="Palatino Linotype"/>
          <w:b/>
          <w:sz w:val="22"/>
          <w:szCs w:val="22"/>
        </w:rPr>
      </w:pPr>
    </w:p>
    <w:p w14:paraId="2FCFA80B" w14:textId="77777777" w:rsidR="00633F90" w:rsidRDefault="00633F90">
      <w:pPr>
        <w:spacing w:line="360" w:lineRule="auto"/>
        <w:jc w:val="both"/>
        <w:rPr>
          <w:rFonts w:ascii="Palatino Linotype" w:eastAsia="Palatino Linotype" w:hAnsi="Palatino Linotype" w:cs="Palatino Linotype"/>
          <w:sz w:val="22"/>
          <w:szCs w:val="22"/>
        </w:rPr>
      </w:pPr>
    </w:p>
    <w:p w14:paraId="4C6E8B82" w14:textId="77777777" w:rsidR="00633F90" w:rsidRDefault="00633F90">
      <w:pPr>
        <w:spacing w:line="360" w:lineRule="auto"/>
        <w:jc w:val="both"/>
        <w:rPr>
          <w:rFonts w:ascii="Palatino Linotype" w:eastAsia="Palatino Linotype" w:hAnsi="Palatino Linotype" w:cs="Palatino Linotype"/>
          <w:sz w:val="22"/>
          <w:szCs w:val="22"/>
        </w:rPr>
      </w:pPr>
    </w:p>
    <w:p w14:paraId="47EAC814" w14:textId="77777777" w:rsidR="00633F90" w:rsidRDefault="00633F90">
      <w:pPr>
        <w:spacing w:line="360" w:lineRule="auto"/>
        <w:jc w:val="both"/>
        <w:rPr>
          <w:rFonts w:ascii="Palatino Linotype" w:eastAsia="Palatino Linotype" w:hAnsi="Palatino Linotype" w:cs="Palatino Linotype"/>
          <w:sz w:val="22"/>
          <w:szCs w:val="22"/>
        </w:rPr>
      </w:pPr>
    </w:p>
    <w:p w14:paraId="150A768B" w14:textId="77777777" w:rsidR="00633F90" w:rsidRDefault="00633F90">
      <w:pPr>
        <w:spacing w:line="360" w:lineRule="auto"/>
        <w:ind w:right="-93"/>
        <w:jc w:val="both"/>
        <w:rPr>
          <w:rFonts w:ascii="Palatino Linotype" w:eastAsia="Palatino Linotype" w:hAnsi="Palatino Linotype" w:cs="Palatino Linotype"/>
          <w:sz w:val="22"/>
          <w:szCs w:val="22"/>
        </w:rPr>
      </w:pPr>
    </w:p>
    <w:p w14:paraId="4D726CB7" w14:textId="77777777" w:rsidR="00633F90" w:rsidRDefault="00633F90">
      <w:pPr>
        <w:spacing w:line="360" w:lineRule="auto"/>
        <w:jc w:val="both"/>
        <w:rPr>
          <w:rFonts w:ascii="Palatino Linotype" w:eastAsia="Palatino Linotype" w:hAnsi="Palatino Linotype" w:cs="Palatino Linotype"/>
          <w:sz w:val="22"/>
          <w:szCs w:val="22"/>
        </w:rPr>
      </w:pPr>
    </w:p>
    <w:p w14:paraId="39C1877E" w14:textId="77777777" w:rsidR="00633F90" w:rsidRDefault="00633F90">
      <w:pPr>
        <w:spacing w:line="360" w:lineRule="auto"/>
        <w:jc w:val="both"/>
        <w:rPr>
          <w:rFonts w:ascii="Palatino Linotype" w:eastAsia="Palatino Linotype" w:hAnsi="Palatino Linotype" w:cs="Palatino Linotype"/>
          <w:sz w:val="22"/>
          <w:szCs w:val="22"/>
        </w:rPr>
      </w:pPr>
    </w:p>
    <w:p w14:paraId="5077AC89" w14:textId="77777777" w:rsidR="00633F90" w:rsidRDefault="00633F90">
      <w:pPr>
        <w:spacing w:line="360" w:lineRule="auto"/>
      </w:pPr>
    </w:p>
    <w:p w14:paraId="1A22F3B7" w14:textId="77777777" w:rsidR="00633F90" w:rsidRDefault="00633F90">
      <w:pPr>
        <w:spacing w:line="360" w:lineRule="auto"/>
        <w:jc w:val="both"/>
        <w:rPr>
          <w:rFonts w:ascii="Palatino Linotype" w:eastAsia="Palatino Linotype" w:hAnsi="Palatino Linotype" w:cs="Palatino Linotype"/>
          <w:color w:val="000000"/>
          <w:sz w:val="22"/>
          <w:szCs w:val="22"/>
        </w:rPr>
      </w:pPr>
    </w:p>
    <w:sectPr w:rsidR="00633F90">
      <w:headerReference w:type="default" r:id="rId10"/>
      <w:footerReference w:type="default" r:id="rId11"/>
      <w:headerReference w:type="first" r:id="rId12"/>
      <w:footerReference w:type="first" r:id="rId13"/>
      <w:pgSz w:w="12240" w:h="15840"/>
      <w:pgMar w:top="80" w:right="1608" w:bottom="1560"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82D9" w14:textId="77777777" w:rsidR="003F7342" w:rsidRDefault="003F7342">
      <w:r>
        <w:separator/>
      </w:r>
    </w:p>
  </w:endnote>
  <w:endnote w:type="continuationSeparator" w:id="0">
    <w:p w14:paraId="79C62921" w14:textId="77777777" w:rsidR="003F7342" w:rsidRDefault="003F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7968F" w14:textId="77777777" w:rsidR="00633F90" w:rsidRDefault="00633F90">
    <w:pPr>
      <w:pBdr>
        <w:top w:val="nil"/>
        <w:left w:val="nil"/>
        <w:bottom w:val="nil"/>
        <w:right w:val="nil"/>
        <w:between w:val="nil"/>
      </w:pBdr>
      <w:tabs>
        <w:tab w:val="center" w:pos="4419"/>
        <w:tab w:val="right" w:pos="8838"/>
      </w:tabs>
      <w:jc w:val="right"/>
      <w:rPr>
        <w:color w:val="000000"/>
        <w:sz w:val="26"/>
        <w:szCs w:val="26"/>
      </w:rPr>
    </w:pPr>
  </w:p>
  <w:p w14:paraId="1807CC62" w14:textId="77777777" w:rsidR="00633F90" w:rsidRDefault="000734F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6CF5">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6CF5">
      <w:rPr>
        <w:b/>
        <w:noProof/>
        <w:color w:val="000000"/>
        <w:sz w:val="24"/>
        <w:szCs w:val="24"/>
      </w:rPr>
      <w:t>22</w:t>
    </w:r>
    <w:r>
      <w:rPr>
        <w:b/>
        <w:color w:val="000000"/>
        <w:sz w:val="24"/>
        <w:szCs w:val="24"/>
      </w:rPr>
      <w:fldChar w:fldCharType="end"/>
    </w:r>
  </w:p>
  <w:p w14:paraId="7E389CAC" w14:textId="77777777" w:rsidR="00633F90" w:rsidRDefault="00633F9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37EB" w14:textId="77777777" w:rsidR="00633F90" w:rsidRDefault="00633F90">
    <w:pPr>
      <w:pBdr>
        <w:top w:val="nil"/>
        <w:left w:val="nil"/>
        <w:bottom w:val="nil"/>
        <w:right w:val="nil"/>
        <w:between w:val="nil"/>
      </w:pBdr>
      <w:tabs>
        <w:tab w:val="center" w:pos="4419"/>
        <w:tab w:val="right" w:pos="8838"/>
      </w:tabs>
      <w:jc w:val="right"/>
      <w:rPr>
        <w:color w:val="000000"/>
      </w:rPr>
    </w:pPr>
  </w:p>
  <w:p w14:paraId="31200385" w14:textId="77777777" w:rsidR="00633F90" w:rsidRDefault="000734F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6CF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6CF5">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5C09C" w14:textId="77777777" w:rsidR="003F7342" w:rsidRDefault="003F7342">
      <w:r>
        <w:separator/>
      </w:r>
    </w:p>
  </w:footnote>
  <w:footnote w:type="continuationSeparator" w:id="0">
    <w:p w14:paraId="28F74785" w14:textId="77777777" w:rsidR="003F7342" w:rsidRDefault="003F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66E1F" w14:textId="77777777" w:rsidR="00633F90" w:rsidRDefault="00633F9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8222" w:type="dxa"/>
      <w:tblInd w:w="1701" w:type="dxa"/>
      <w:tblLayout w:type="fixed"/>
      <w:tblLook w:val="0400" w:firstRow="0" w:lastRow="0" w:firstColumn="0" w:lastColumn="0" w:noHBand="0" w:noVBand="1"/>
    </w:tblPr>
    <w:tblGrid>
      <w:gridCol w:w="8222"/>
    </w:tblGrid>
    <w:tr w:rsidR="00633F90" w14:paraId="2E4EDE48" w14:textId="77777777">
      <w:trPr>
        <w:trHeight w:val="1412"/>
      </w:trPr>
      <w:tc>
        <w:tcPr>
          <w:tcW w:w="8222" w:type="dxa"/>
          <w:shd w:val="clear" w:color="auto" w:fill="auto"/>
        </w:tcPr>
        <w:p w14:paraId="4FDB4A8A" w14:textId="77777777" w:rsidR="00633F90" w:rsidRDefault="00633F90"/>
        <w:tbl>
          <w:tblPr>
            <w:tblStyle w:val="a0"/>
            <w:tblW w:w="6700" w:type="dxa"/>
            <w:tblInd w:w="747" w:type="dxa"/>
            <w:tblBorders>
              <w:top w:val="nil"/>
              <w:left w:val="nil"/>
              <w:bottom w:val="nil"/>
              <w:right w:val="nil"/>
              <w:insideH w:val="nil"/>
              <w:insideV w:val="nil"/>
            </w:tblBorders>
            <w:tblLayout w:type="fixed"/>
            <w:tblLook w:val="0400" w:firstRow="0" w:lastRow="0" w:firstColumn="0" w:lastColumn="0" w:noHBand="0" w:noVBand="1"/>
          </w:tblPr>
          <w:tblGrid>
            <w:gridCol w:w="2552"/>
            <w:gridCol w:w="4148"/>
          </w:tblGrid>
          <w:tr w:rsidR="00633F90" w14:paraId="440EE1F0" w14:textId="77777777">
            <w:trPr>
              <w:trHeight w:val="144"/>
            </w:trPr>
            <w:tc>
              <w:tcPr>
                <w:tcW w:w="2552" w:type="dxa"/>
              </w:tcPr>
              <w:p w14:paraId="2AC78193"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9" w:type="dxa"/>
              </w:tcPr>
              <w:p w14:paraId="42C2BE64"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01061/INFOEM/IP/RR/2025</w:t>
                </w:r>
              </w:p>
            </w:tc>
          </w:tr>
          <w:tr w:rsidR="00633F90" w14:paraId="3FDE400E" w14:textId="77777777">
            <w:trPr>
              <w:trHeight w:val="144"/>
            </w:trPr>
            <w:tc>
              <w:tcPr>
                <w:tcW w:w="2552" w:type="dxa"/>
              </w:tcPr>
              <w:p w14:paraId="09FE8557"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9" w:type="dxa"/>
              </w:tcPr>
              <w:p w14:paraId="044E0338"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Jiquipilco</w:t>
                </w:r>
              </w:p>
            </w:tc>
          </w:tr>
          <w:tr w:rsidR="00633F90" w14:paraId="11508504" w14:textId="77777777">
            <w:trPr>
              <w:trHeight w:val="138"/>
            </w:trPr>
            <w:tc>
              <w:tcPr>
                <w:tcW w:w="2552" w:type="dxa"/>
              </w:tcPr>
              <w:p w14:paraId="4C4C2237"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49" w:type="dxa"/>
              </w:tcPr>
              <w:p w14:paraId="1FC97C9D"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0FBE4457" w14:textId="77777777" w:rsidR="00633F90" w:rsidRDefault="00633F90">
                <w:pPr>
                  <w:tabs>
                    <w:tab w:val="left" w:pos="1735"/>
                    <w:tab w:val="right" w:pos="8838"/>
                  </w:tabs>
                  <w:spacing w:line="276" w:lineRule="auto"/>
                  <w:ind w:left="-28"/>
                  <w:jc w:val="both"/>
                  <w:rPr>
                    <w:rFonts w:ascii="Palatino Linotype" w:eastAsia="Palatino Linotype" w:hAnsi="Palatino Linotype" w:cs="Palatino Linotype"/>
                    <w:sz w:val="12"/>
                    <w:szCs w:val="12"/>
                  </w:rPr>
                </w:pPr>
              </w:p>
            </w:tc>
          </w:tr>
        </w:tbl>
        <w:p w14:paraId="590BA1E6" w14:textId="77777777" w:rsidR="00633F90" w:rsidRDefault="00633F90">
          <w:pPr>
            <w:tabs>
              <w:tab w:val="right" w:pos="8838"/>
            </w:tabs>
            <w:ind w:left="-28"/>
            <w:jc w:val="both"/>
            <w:rPr>
              <w:rFonts w:ascii="Arial" w:eastAsia="Arial" w:hAnsi="Arial" w:cs="Arial"/>
              <w:b/>
              <w:sz w:val="22"/>
              <w:szCs w:val="22"/>
            </w:rPr>
          </w:pPr>
        </w:p>
      </w:tc>
    </w:tr>
  </w:tbl>
  <w:p w14:paraId="22B22EF3" w14:textId="77777777" w:rsidR="00633F90" w:rsidRDefault="003F7342">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w14:anchorId="6F455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9pt;margin-top:-128.8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7A78" w14:textId="77777777" w:rsidR="00633F90" w:rsidRDefault="003F7342">
    <w:r>
      <w:rPr>
        <w:rFonts w:ascii="Palatino Linotype" w:eastAsia="Palatino Linotype" w:hAnsi="Palatino Linotype" w:cs="Palatino Linotype"/>
        <w:b/>
        <w:sz w:val="22"/>
        <w:szCs w:val="22"/>
      </w:rPr>
      <w:pict w14:anchorId="51466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7pt;margin-top:-124.7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2405"/>
      <w:gridCol w:w="4257"/>
    </w:tblGrid>
    <w:tr w:rsidR="00633F90" w14:paraId="4D5A41B0" w14:textId="77777777">
      <w:trPr>
        <w:trHeight w:val="466"/>
      </w:trPr>
      <w:tc>
        <w:tcPr>
          <w:tcW w:w="2552" w:type="dxa"/>
          <w:vAlign w:val="bottom"/>
        </w:tcPr>
        <w:p w14:paraId="34CDF6F5" w14:textId="77777777" w:rsidR="00633F90" w:rsidRDefault="00633F90">
          <w:pPr>
            <w:tabs>
              <w:tab w:val="right" w:pos="8838"/>
            </w:tabs>
            <w:ind w:right="-105"/>
            <w:rPr>
              <w:rFonts w:ascii="Palatino Linotype" w:eastAsia="Palatino Linotype" w:hAnsi="Palatino Linotype" w:cs="Palatino Linotype"/>
              <w:b/>
              <w:sz w:val="22"/>
              <w:szCs w:val="22"/>
            </w:rPr>
          </w:pPr>
        </w:p>
      </w:tc>
      <w:tc>
        <w:tcPr>
          <w:tcW w:w="2405" w:type="dxa"/>
          <w:vAlign w:val="bottom"/>
        </w:tcPr>
        <w:p w14:paraId="5C87D2AB" w14:textId="77777777" w:rsidR="00633F90" w:rsidRDefault="000734F4">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7" w:type="dxa"/>
          <w:vAlign w:val="bottom"/>
        </w:tcPr>
        <w:p w14:paraId="61A9E244" w14:textId="77777777" w:rsidR="00633F90" w:rsidRDefault="000734F4">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01061/INFOEM/IP/RR/2025</w:t>
          </w:r>
        </w:p>
      </w:tc>
    </w:tr>
    <w:tr w:rsidR="00633F90" w14:paraId="7CE753B7" w14:textId="77777777">
      <w:trPr>
        <w:trHeight w:val="119"/>
      </w:trPr>
      <w:tc>
        <w:tcPr>
          <w:tcW w:w="2552" w:type="dxa"/>
        </w:tcPr>
        <w:p w14:paraId="1A96E7DD" w14:textId="77777777" w:rsidR="00633F90" w:rsidRDefault="00633F90">
          <w:pPr>
            <w:tabs>
              <w:tab w:val="right" w:pos="8838"/>
            </w:tabs>
            <w:ind w:right="-105"/>
            <w:rPr>
              <w:rFonts w:ascii="Palatino Linotype" w:eastAsia="Palatino Linotype" w:hAnsi="Palatino Linotype" w:cs="Palatino Linotype"/>
              <w:b/>
              <w:sz w:val="22"/>
              <w:szCs w:val="22"/>
            </w:rPr>
          </w:pPr>
        </w:p>
      </w:tc>
      <w:tc>
        <w:tcPr>
          <w:tcW w:w="2405" w:type="dxa"/>
        </w:tcPr>
        <w:p w14:paraId="2A49C47B" w14:textId="77777777" w:rsidR="00633F90" w:rsidRDefault="000734F4">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257" w:type="dxa"/>
        </w:tcPr>
        <w:p w14:paraId="6B036930" w14:textId="5F177ECF" w:rsidR="00633F90" w:rsidRDefault="00FF6CF5">
          <w:pPr>
            <w:tabs>
              <w:tab w:val="right" w:pos="8838"/>
            </w:tabs>
            <w:spacing w:line="276" w:lineRule="auto"/>
            <w:ind w:right="36"/>
            <w:jc w:val="both"/>
            <w:rPr>
              <w:rFonts w:ascii="Palatino Linotype" w:eastAsia="Palatino Linotype" w:hAnsi="Palatino Linotype" w:cs="Palatino Linotype"/>
              <w:sz w:val="22"/>
              <w:szCs w:val="22"/>
            </w:rPr>
          </w:pPr>
          <w:r w:rsidRPr="005070B3">
            <w:rPr>
              <w:bCs/>
              <w:highlight w:val="black"/>
            </w:rPr>
            <w:t>XX</w:t>
          </w:r>
          <w:r>
            <w:rPr>
              <w:bCs/>
              <w:highlight w:val="black"/>
            </w:rPr>
            <w:t>XXXXXXXXXXXXXXXXXX</w:t>
          </w:r>
        </w:p>
      </w:tc>
    </w:tr>
    <w:tr w:rsidR="00633F90" w14:paraId="1F53A117" w14:textId="77777777">
      <w:trPr>
        <w:trHeight w:val="234"/>
      </w:trPr>
      <w:tc>
        <w:tcPr>
          <w:tcW w:w="2552" w:type="dxa"/>
        </w:tcPr>
        <w:p w14:paraId="5183884B" w14:textId="77777777" w:rsidR="00633F90" w:rsidRDefault="00633F90">
          <w:pPr>
            <w:tabs>
              <w:tab w:val="right" w:pos="8838"/>
            </w:tabs>
            <w:ind w:right="-105"/>
            <w:rPr>
              <w:rFonts w:ascii="Palatino Linotype" w:eastAsia="Palatino Linotype" w:hAnsi="Palatino Linotype" w:cs="Palatino Linotype"/>
              <w:b/>
              <w:sz w:val="22"/>
              <w:szCs w:val="22"/>
            </w:rPr>
          </w:pPr>
        </w:p>
      </w:tc>
      <w:tc>
        <w:tcPr>
          <w:tcW w:w="2405" w:type="dxa"/>
        </w:tcPr>
        <w:p w14:paraId="3E1085FB" w14:textId="77777777" w:rsidR="00633F90" w:rsidRDefault="000734F4">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7" w:type="dxa"/>
        </w:tcPr>
        <w:p w14:paraId="1AF0B4C5" w14:textId="77777777" w:rsidR="00633F90" w:rsidRDefault="000734F4">
          <w:pPr>
            <w:tabs>
              <w:tab w:val="right" w:pos="8838"/>
            </w:tabs>
            <w:spacing w:line="276" w:lineRule="auto"/>
            <w:ind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Jiquipilco</w:t>
          </w:r>
        </w:p>
      </w:tc>
    </w:tr>
    <w:tr w:rsidR="00633F90" w14:paraId="6C945F9A" w14:textId="77777777">
      <w:trPr>
        <w:trHeight w:val="234"/>
      </w:trPr>
      <w:tc>
        <w:tcPr>
          <w:tcW w:w="2552" w:type="dxa"/>
        </w:tcPr>
        <w:p w14:paraId="6657B9AF" w14:textId="77777777" w:rsidR="00633F90" w:rsidRDefault="00633F90">
          <w:pPr>
            <w:tabs>
              <w:tab w:val="right" w:pos="8838"/>
            </w:tabs>
            <w:ind w:right="-105"/>
            <w:rPr>
              <w:rFonts w:ascii="Palatino Linotype" w:eastAsia="Palatino Linotype" w:hAnsi="Palatino Linotype" w:cs="Palatino Linotype"/>
              <w:b/>
              <w:sz w:val="22"/>
              <w:szCs w:val="22"/>
            </w:rPr>
          </w:pPr>
        </w:p>
      </w:tc>
      <w:tc>
        <w:tcPr>
          <w:tcW w:w="2405" w:type="dxa"/>
        </w:tcPr>
        <w:p w14:paraId="4E7B4F9B" w14:textId="77777777" w:rsidR="00633F90" w:rsidRDefault="000734F4">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57" w:type="dxa"/>
        </w:tcPr>
        <w:p w14:paraId="6BA9CFC3" w14:textId="77777777" w:rsidR="00633F90" w:rsidRDefault="000734F4">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3248937" w14:textId="77777777" w:rsidR="00633F90" w:rsidRDefault="00633F9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1174F"/>
    <w:multiLevelType w:val="multilevel"/>
    <w:tmpl w:val="B396267C"/>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846BC7"/>
    <w:multiLevelType w:val="multilevel"/>
    <w:tmpl w:val="247CF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E46898"/>
    <w:multiLevelType w:val="multilevel"/>
    <w:tmpl w:val="CA42E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0"/>
    <w:rsid w:val="000734F4"/>
    <w:rsid w:val="003F7342"/>
    <w:rsid w:val="00633F90"/>
    <w:rsid w:val="008F5595"/>
    <w:rsid w:val="00A96B60"/>
    <w:rsid w:val="00BB4E0E"/>
    <w:rsid w:val="00BB7F68"/>
    <w:rsid w:val="00C95EEA"/>
    <w:rsid w:val="00FB5131"/>
    <w:rsid w:val="00FF6C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89E77A"/>
  <w15:docId w15:val="{F57B7DFD-1355-4440-9938-20DD6079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rPr>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table" w:customStyle="1" w:styleId="Tablaconcuadrcula3">
    <w:name w:val="Tabla con cuadrícula3"/>
    <w:basedOn w:val="Tablanormal"/>
    <w:uiPriority w:val="59"/>
    <w:rsid w:val="000A5627"/>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C6ED9"/>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rabajo.edomex.gob.mx/faq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605oTZ/24jf496vHG+BDEWQnQ==">CgMxLjAyCGguZ2pkZ3hzMgloLjMwajB6bGwyCWguMWZvYjl0ZTIJaC4zem55c2g3MgloLjJldDkycDAyCGgudHlqY3d0MgloLjNkeTZ2a20yCWguMXQzaDVzZjIJaC40ZDM0b2c4MgloLjJzOGV5bzEyCWguMTdkcDh2dTIJaC4zcmRjcmpuMgloLjI2aW4xcmcyCGgubG54Yno5MgloLjM1bmt1bjIyCWguMWtzdjR1djgAciExMG43NXBLV2kyVnlYQ09iRDVLRm1BMDM0V19RVmFkU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4771</Words>
  <Characters>26244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2025-02-28T04:38:00Z</cp:lastPrinted>
  <dcterms:created xsi:type="dcterms:W3CDTF">2025-02-28T04:38:00Z</dcterms:created>
  <dcterms:modified xsi:type="dcterms:W3CDTF">2025-03-10T23:28:00Z</dcterms:modified>
</cp:coreProperties>
</file>