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0D" w:rsidRPr="00C23C89" w:rsidRDefault="003B080D" w:rsidP="003B080D">
      <w:pPr>
        <w:widowControl w:val="0"/>
        <w:pBdr>
          <w:top w:val="nil"/>
          <w:left w:val="nil"/>
          <w:bottom w:val="nil"/>
          <w:right w:val="nil"/>
          <w:between w:val="nil"/>
        </w:pBdr>
        <w:spacing w:line="276" w:lineRule="auto"/>
        <w:rPr>
          <w:rFonts w:ascii="Palatino Linotype" w:hAnsi="Palatino Linotype"/>
        </w:rPr>
      </w:pPr>
    </w:p>
    <w:p w:rsidR="003B080D" w:rsidRPr="00776DFA" w:rsidRDefault="003B080D" w:rsidP="003B080D">
      <w:pPr>
        <w:spacing w:line="360" w:lineRule="auto"/>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nueve de abril de dos mil veinticinco. </w:t>
      </w:r>
    </w:p>
    <w:p w:rsidR="003B080D" w:rsidRPr="00776DFA" w:rsidRDefault="003B080D" w:rsidP="003B080D">
      <w:pPr>
        <w:spacing w:line="360" w:lineRule="auto"/>
        <w:jc w:val="both"/>
        <w:rPr>
          <w:rFonts w:ascii="Palatino Linotype" w:eastAsia="Palatino Linotype" w:hAnsi="Palatino Linotype" w:cs="Palatino Linotype"/>
        </w:rPr>
      </w:pPr>
    </w:p>
    <w:p w:rsidR="003B080D" w:rsidRPr="00776DFA" w:rsidRDefault="003B080D" w:rsidP="003B080D">
      <w:pPr>
        <w:spacing w:line="360" w:lineRule="auto"/>
        <w:jc w:val="both"/>
        <w:rPr>
          <w:rFonts w:ascii="Palatino Linotype" w:eastAsia="Palatino Linotype" w:hAnsi="Palatino Linotype" w:cs="Palatino Linotype"/>
        </w:rPr>
      </w:pPr>
      <w:r w:rsidRPr="00776DFA">
        <w:rPr>
          <w:rFonts w:ascii="Palatino Linotype" w:eastAsia="Palatino Linotype" w:hAnsi="Palatino Linotype" w:cs="Palatino Linotype"/>
          <w:b/>
        </w:rPr>
        <w:t>VISTO</w:t>
      </w:r>
      <w:r w:rsidRPr="00776DFA">
        <w:rPr>
          <w:rFonts w:ascii="Palatino Linotype" w:eastAsia="Palatino Linotype" w:hAnsi="Palatino Linotype" w:cs="Palatino Linotype"/>
        </w:rPr>
        <w:t xml:space="preserve"> el expediente electrónico formado con motivo del recurso de revisión </w:t>
      </w:r>
      <w:r w:rsidRPr="00776DFA">
        <w:rPr>
          <w:rFonts w:ascii="Palatino Linotype" w:eastAsia="Palatino Linotype" w:hAnsi="Palatino Linotype" w:cs="Palatino Linotype"/>
          <w:b/>
        </w:rPr>
        <w:t xml:space="preserve">01923/INFOEM/IP/RR/2025, </w:t>
      </w:r>
      <w:r w:rsidRPr="00776DFA">
        <w:rPr>
          <w:rFonts w:ascii="Palatino Linotype" w:eastAsia="Palatino Linotype" w:hAnsi="Palatino Linotype" w:cs="Palatino Linotype"/>
        </w:rPr>
        <w:t xml:space="preserve">promovido por </w:t>
      </w:r>
      <w:r w:rsidR="003671C9">
        <w:rPr>
          <w:rFonts w:ascii="Palatino Linotype" w:eastAsia="Palatino Linotype" w:hAnsi="Palatino Linotype" w:cs="Palatino Linotype"/>
          <w:b/>
          <w:bCs/>
        </w:rPr>
        <w:t>XXXX</w:t>
      </w:r>
      <w:r w:rsidRPr="00776DFA">
        <w:rPr>
          <w:rFonts w:ascii="Palatino Linotype" w:eastAsia="Palatino Linotype" w:hAnsi="Palatino Linotype" w:cs="Palatino Linotype"/>
          <w:b/>
        </w:rPr>
        <w:t>,</w:t>
      </w:r>
      <w:r w:rsidRPr="00776DFA">
        <w:rPr>
          <w:rFonts w:ascii="Palatino Linotype" w:eastAsia="Palatino Linotype" w:hAnsi="Palatino Linotype" w:cs="Palatino Linotype"/>
        </w:rPr>
        <w:t xml:space="preserve"> quien en lo sucesivo se identificará como </w:t>
      </w:r>
      <w:r w:rsidRPr="00776DFA">
        <w:rPr>
          <w:rFonts w:ascii="Palatino Linotype" w:eastAsia="Palatino Linotype" w:hAnsi="Palatino Linotype" w:cs="Palatino Linotype"/>
          <w:b/>
        </w:rPr>
        <w:t>EL RECURRENTE</w:t>
      </w:r>
      <w:r w:rsidRPr="00776DFA">
        <w:rPr>
          <w:rFonts w:ascii="Palatino Linotype" w:eastAsia="Palatino Linotype" w:hAnsi="Palatino Linotype" w:cs="Palatino Linotype"/>
        </w:rPr>
        <w:t xml:space="preserve">, en contra de la respuesta del </w:t>
      </w:r>
      <w:r w:rsidRPr="00776DFA">
        <w:rPr>
          <w:rFonts w:ascii="Palatino Linotype" w:eastAsia="Palatino Linotype" w:hAnsi="Palatino Linotype" w:cs="Palatino Linotype"/>
          <w:b/>
          <w:bCs/>
        </w:rPr>
        <w:t>Ayuntamiento de Almoloya de Juárez</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rPr>
        <w:t>en lo sucesivo el</w:t>
      </w:r>
      <w:r w:rsidRPr="00776DFA">
        <w:rPr>
          <w:rFonts w:ascii="Palatino Linotype" w:eastAsia="Palatino Linotype" w:hAnsi="Palatino Linotype" w:cs="Palatino Linotype"/>
          <w:b/>
        </w:rPr>
        <w:t xml:space="preserve"> SUJETO OBLIGADO</w:t>
      </w:r>
      <w:r w:rsidRPr="00776DFA">
        <w:rPr>
          <w:rFonts w:ascii="Palatino Linotype" w:eastAsia="Palatino Linotype" w:hAnsi="Palatino Linotype" w:cs="Palatino Linotype"/>
        </w:rPr>
        <w:t>, por lo que se procede a dictar la presente resolución, con base en los siguientes:</w:t>
      </w:r>
      <w:bookmarkStart w:id="0" w:name="_GoBack"/>
      <w:bookmarkEnd w:id="0"/>
    </w:p>
    <w:p w:rsidR="003B080D" w:rsidRPr="00776DFA" w:rsidRDefault="003B080D" w:rsidP="003B080D">
      <w:pPr>
        <w:spacing w:line="360" w:lineRule="auto"/>
        <w:jc w:val="both"/>
        <w:rPr>
          <w:rFonts w:ascii="Palatino Linotype" w:eastAsia="Palatino Linotype" w:hAnsi="Palatino Linotype" w:cs="Palatino Linotype"/>
          <w:b/>
        </w:rPr>
      </w:pPr>
    </w:p>
    <w:p w:rsidR="003B080D" w:rsidRPr="00776DFA" w:rsidRDefault="003B080D" w:rsidP="003B080D">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776DFA">
        <w:rPr>
          <w:rFonts w:ascii="Palatino Linotype" w:eastAsia="Palatino Linotype" w:hAnsi="Palatino Linotype" w:cs="Palatino Linotype"/>
          <w:b/>
        </w:rPr>
        <w:t>ANTECEDENTES</w:t>
      </w:r>
    </w:p>
    <w:p w:rsidR="003B080D" w:rsidRPr="00776DFA" w:rsidRDefault="003B080D" w:rsidP="003B080D">
      <w:pPr>
        <w:spacing w:line="360" w:lineRule="auto"/>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El </w:t>
      </w:r>
      <w:r w:rsidRPr="00776DFA">
        <w:rPr>
          <w:rFonts w:ascii="Palatino Linotype" w:eastAsia="Palatino Linotype" w:hAnsi="Palatino Linotype" w:cs="Palatino Linotype"/>
          <w:b/>
        </w:rPr>
        <w:t>treinta de enero de dos mil veinticinco</w:t>
      </w:r>
      <w:r w:rsidRPr="00776DFA">
        <w:rPr>
          <w:rFonts w:ascii="Palatino Linotype" w:eastAsia="Palatino Linotype" w:hAnsi="Palatino Linotype" w:cs="Palatino Linotype"/>
        </w:rPr>
        <w:t xml:space="preserve">, </w:t>
      </w:r>
      <w:r w:rsidRPr="00776DFA">
        <w:rPr>
          <w:rFonts w:ascii="Palatino Linotype" w:eastAsia="Palatino Linotype" w:hAnsi="Palatino Linotype" w:cs="Palatino Linotype"/>
          <w:b/>
        </w:rPr>
        <w:t>EL RECURRENTE,</w:t>
      </w:r>
      <w:r w:rsidRPr="00776DFA">
        <w:rPr>
          <w:rFonts w:ascii="Palatino Linotype" w:eastAsia="Palatino Linotype" w:hAnsi="Palatino Linotype" w:cs="Palatino Linotype"/>
        </w:rPr>
        <w:t xml:space="preserve"> ante el </w:t>
      </w:r>
      <w:r w:rsidRPr="00776DFA">
        <w:rPr>
          <w:rFonts w:ascii="Palatino Linotype" w:eastAsia="Palatino Linotype" w:hAnsi="Palatino Linotype" w:cs="Palatino Linotype"/>
          <w:b/>
        </w:rPr>
        <w:t>SUJETO OBLIGADO</w:t>
      </w:r>
      <w:r w:rsidRPr="00776DFA">
        <w:rPr>
          <w:rFonts w:ascii="Palatino Linotype" w:eastAsia="Palatino Linotype" w:hAnsi="Palatino Linotype" w:cs="Palatino Linotype"/>
        </w:rPr>
        <w:t xml:space="preserve"> vía Sistema de Acceso a la Información Mexiquense (</w:t>
      </w:r>
      <w:r w:rsidRPr="00776DFA">
        <w:rPr>
          <w:rFonts w:ascii="Palatino Linotype" w:eastAsia="Palatino Linotype" w:hAnsi="Palatino Linotype" w:cs="Palatino Linotype"/>
          <w:b/>
        </w:rPr>
        <w:t>SAIMEX)</w:t>
      </w:r>
      <w:r w:rsidRPr="00776DFA">
        <w:rPr>
          <w:rFonts w:ascii="Palatino Linotype" w:eastAsia="Palatino Linotype" w:hAnsi="Palatino Linotype" w:cs="Palatino Linotype"/>
        </w:rPr>
        <w:t xml:space="preserve">, presentó la solicitud de información registrada con el número </w:t>
      </w:r>
      <w:r w:rsidRPr="00776DFA">
        <w:rPr>
          <w:rFonts w:ascii="Palatino Linotype" w:eastAsia="Palatino Linotype" w:hAnsi="Palatino Linotype" w:cs="Palatino Linotype"/>
          <w:b/>
          <w:bCs/>
        </w:rPr>
        <w:t>00024/ALMOJU/IP/2025</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rPr>
        <w:t>mediante las cuales solicitó lo siguiente:</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pBdr>
          <w:top w:val="nil"/>
          <w:left w:val="nil"/>
          <w:bottom w:val="nil"/>
          <w:right w:val="nil"/>
          <w:between w:val="nil"/>
        </w:pBdr>
        <w:spacing w:line="360" w:lineRule="auto"/>
        <w:ind w:left="720" w:right="567"/>
        <w:jc w:val="both"/>
        <w:rPr>
          <w:rFonts w:ascii="Palatino Linotype" w:eastAsia="Palatino Linotype" w:hAnsi="Palatino Linotype" w:cs="Palatino Linotype"/>
          <w:i/>
        </w:rPr>
      </w:pPr>
      <w:r w:rsidRPr="00776DFA">
        <w:rPr>
          <w:rFonts w:ascii="Palatino Linotype" w:eastAsia="Palatino Linotype" w:hAnsi="Palatino Linotype" w:cs="Palatino Linotype"/>
          <w:i/>
        </w:rPr>
        <w:t xml:space="preserve"> “Solicito lo siguiente: Nombre y sueldo bruto y neto mensual de los integrantes del cabildo. Nombre, cargo y sueldo bruto y neto de las personas que laboran en </w:t>
      </w:r>
      <w:proofErr w:type="spellStart"/>
      <w:r w:rsidRPr="00776DFA">
        <w:rPr>
          <w:rFonts w:ascii="Palatino Linotype" w:eastAsia="Palatino Linotype" w:hAnsi="Palatino Linotype" w:cs="Palatino Linotype"/>
          <w:i/>
        </w:rPr>
        <w:t>en</w:t>
      </w:r>
      <w:proofErr w:type="spellEnd"/>
      <w:r w:rsidRPr="00776DFA">
        <w:rPr>
          <w:rFonts w:ascii="Palatino Linotype" w:eastAsia="Palatino Linotype" w:hAnsi="Palatino Linotype" w:cs="Palatino Linotype"/>
          <w:i/>
        </w:rPr>
        <w:t xml:space="preserve"> la sindicatura, primer, segunda, tercera, cuarta, </w:t>
      </w:r>
      <w:proofErr w:type="gramStart"/>
      <w:r w:rsidRPr="00776DFA">
        <w:rPr>
          <w:rFonts w:ascii="Palatino Linotype" w:eastAsia="Palatino Linotype" w:hAnsi="Palatino Linotype" w:cs="Palatino Linotype"/>
          <w:i/>
        </w:rPr>
        <w:t>quinta ,</w:t>
      </w:r>
      <w:proofErr w:type="gramEnd"/>
      <w:r w:rsidRPr="00776DFA">
        <w:rPr>
          <w:rFonts w:ascii="Palatino Linotype" w:eastAsia="Palatino Linotype" w:hAnsi="Palatino Linotype" w:cs="Palatino Linotype"/>
          <w:i/>
        </w:rPr>
        <w:t xml:space="preserve"> sexta, séptima, octava y novena regiduría. Tabulador de sueldos a partir de 2025” (Sic) </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Se señaló como modalidad de entrega a través de SAIMEX.</w:t>
      </w:r>
    </w:p>
    <w:p w:rsidR="003B080D" w:rsidRPr="00776DFA" w:rsidRDefault="003B080D" w:rsidP="003B080D">
      <w:pPr>
        <w:rPr>
          <w:rFonts w:ascii="Palatino Linotype" w:eastAsia="Palatino Linotype" w:hAnsi="Palatino Linotype" w:cs="Palatino Linotype"/>
        </w:rPr>
      </w:pPr>
    </w:p>
    <w:p w:rsidR="003B080D" w:rsidRPr="00776DFA" w:rsidRDefault="003B080D" w:rsidP="003B080D">
      <w:pPr>
        <w:rPr>
          <w:rFonts w:ascii="Palatino Linotype" w:eastAsia="Palatino Linotype" w:hAnsi="Palatino Linotype" w:cs="Palatino Linotype"/>
        </w:rPr>
      </w:pPr>
    </w:p>
    <w:p w:rsidR="003B080D" w:rsidRPr="00776DFA" w:rsidRDefault="003B080D" w:rsidP="003B080D">
      <w:pPr>
        <w:pStyle w:val="Prrafodelista"/>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El </w:t>
      </w:r>
      <w:r w:rsidRPr="00776DFA">
        <w:rPr>
          <w:rFonts w:ascii="Palatino Linotype" w:eastAsia="Palatino Linotype" w:hAnsi="Palatino Linotype" w:cs="Palatino Linotype"/>
          <w:b/>
        </w:rPr>
        <w:t>veinticuatro de febrero de dos mil veinticinco</w:t>
      </w:r>
      <w:r w:rsidRPr="00776DFA">
        <w:rPr>
          <w:rFonts w:ascii="Palatino Linotype" w:eastAsia="Palatino Linotype" w:hAnsi="Palatino Linotype" w:cs="Palatino Linotype"/>
        </w:rPr>
        <w:t xml:space="preserve">, el </w:t>
      </w:r>
      <w:r w:rsidRPr="00776DFA">
        <w:rPr>
          <w:rFonts w:ascii="Palatino Linotype" w:eastAsia="Palatino Linotype" w:hAnsi="Palatino Linotype" w:cs="Palatino Linotype"/>
          <w:b/>
        </w:rPr>
        <w:t>SUJETO OBLIGADO</w:t>
      </w:r>
      <w:r w:rsidRPr="00776DFA">
        <w:rPr>
          <w:rFonts w:ascii="Palatino Linotype" w:eastAsia="Palatino Linotype" w:hAnsi="Palatino Linotype" w:cs="Palatino Linotype"/>
          <w:b/>
          <w:i/>
        </w:rPr>
        <w:t xml:space="preserve"> </w:t>
      </w:r>
      <w:r w:rsidRPr="00776DFA">
        <w:rPr>
          <w:rFonts w:ascii="Palatino Linotype" w:eastAsia="Palatino Linotype" w:hAnsi="Palatino Linotype" w:cs="Palatino Linotype"/>
        </w:rPr>
        <w:t>dio respuesta a las solicitud de información en el siguiente sentido:</w:t>
      </w:r>
    </w:p>
    <w:p w:rsidR="003B080D" w:rsidRPr="00776DFA" w:rsidRDefault="003B080D" w:rsidP="003B080D">
      <w:pPr>
        <w:spacing w:line="360" w:lineRule="auto"/>
        <w:jc w:val="both"/>
        <w:rPr>
          <w:rFonts w:ascii="Palatino Linotype" w:eastAsia="Palatino Linotype" w:hAnsi="Palatino Linotype" w:cs="Palatino Linotype"/>
        </w:rPr>
      </w:pPr>
    </w:p>
    <w:tbl>
      <w:tblPr>
        <w:tblW w:w="7771" w:type="dxa"/>
        <w:jc w:val="center"/>
        <w:tblCellSpacing w:w="0" w:type="dxa"/>
        <w:tblCellMar>
          <w:left w:w="0" w:type="dxa"/>
          <w:right w:w="0" w:type="dxa"/>
        </w:tblCellMar>
        <w:tblLook w:val="04A0" w:firstRow="1" w:lastRow="0" w:firstColumn="1" w:lastColumn="0" w:noHBand="0" w:noVBand="1"/>
      </w:tblPr>
      <w:tblGrid>
        <w:gridCol w:w="7771"/>
      </w:tblGrid>
      <w:tr w:rsidR="003B080D" w:rsidRPr="00776DFA" w:rsidTr="002A5CB3">
        <w:trPr>
          <w:trHeight w:val="307"/>
          <w:tblCellSpacing w:w="0" w:type="dxa"/>
          <w:jc w:val="center"/>
        </w:trPr>
        <w:tc>
          <w:tcPr>
            <w:tcW w:w="0" w:type="auto"/>
            <w:vAlign w:val="center"/>
            <w:hideMark/>
          </w:tcPr>
          <w:p w:rsidR="003B080D" w:rsidRPr="00776DFA" w:rsidRDefault="003B080D" w:rsidP="002A5CB3">
            <w:pPr>
              <w:spacing w:line="360" w:lineRule="auto"/>
              <w:jc w:val="right"/>
              <w:rPr>
                <w:rFonts w:ascii="Palatino Linotype" w:hAnsi="Palatino Linotype"/>
                <w:i/>
              </w:rPr>
            </w:pPr>
            <w:r w:rsidRPr="00776DFA">
              <w:rPr>
                <w:rFonts w:ascii="Palatino Linotype" w:hAnsi="Palatino Linotype"/>
                <w:i/>
              </w:rPr>
              <w:br/>
              <w:t>Almoloya de Juárez, México a 24 de Febrero de 2025</w:t>
            </w:r>
          </w:p>
        </w:tc>
      </w:tr>
      <w:tr w:rsidR="003B080D" w:rsidRPr="00776DFA" w:rsidTr="002A5CB3">
        <w:trPr>
          <w:trHeight w:val="307"/>
          <w:tblCellSpacing w:w="0" w:type="dxa"/>
          <w:jc w:val="center"/>
        </w:trPr>
        <w:tc>
          <w:tcPr>
            <w:tcW w:w="0" w:type="auto"/>
            <w:vAlign w:val="center"/>
            <w:hideMark/>
          </w:tcPr>
          <w:p w:rsidR="003B080D" w:rsidRPr="00776DFA" w:rsidRDefault="003B080D" w:rsidP="002A5CB3">
            <w:pPr>
              <w:spacing w:line="360" w:lineRule="auto"/>
              <w:jc w:val="right"/>
              <w:rPr>
                <w:rFonts w:ascii="Palatino Linotype" w:hAnsi="Palatino Linotype"/>
                <w:i/>
              </w:rPr>
            </w:pPr>
            <w:r w:rsidRPr="00776DFA">
              <w:rPr>
                <w:rFonts w:ascii="Palatino Linotype" w:hAnsi="Palatino Linotype"/>
                <w:i/>
              </w:rPr>
              <w:t>Nombre del solicitante: C. Solicitante</w:t>
            </w:r>
          </w:p>
        </w:tc>
      </w:tr>
      <w:tr w:rsidR="003B080D" w:rsidRPr="00776DFA" w:rsidTr="002A5CB3">
        <w:trPr>
          <w:trHeight w:val="307"/>
          <w:tblCellSpacing w:w="0" w:type="dxa"/>
          <w:jc w:val="center"/>
        </w:trPr>
        <w:tc>
          <w:tcPr>
            <w:tcW w:w="0" w:type="auto"/>
            <w:vAlign w:val="center"/>
            <w:hideMark/>
          </w:tcPr>
          <w:p w:rsidR="003B080D" w:rsidRPr="00776DFA" w:rsidRDefault="003B080D" w:rsidP="002A5CB3">
            <w:pPr>
              <w:spacing w:line="360" w:lineRule="auto"/>
              <w:jc w:val="right"/>
              <w:rPr>
                <w:rFonts w:ascii="Palatino Linotype" w:hAnsi="Palatino Linotype"/>
                <w:i/>
              </w:rPr>
            </w:pPr>
            <w:r w:rsidRPr="00776DFA">
              <w:rPr>
                <w:rFonts w:ascii="Palatino Linotype" w:hAnsi="Palatino Linotype"/>
                <w:i/>
              </w:rPr>
              <w:t>Folio de la solicitud: 00024/ALMOJU/IP/2025</w:t>
            </w: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jc w:val="center"/>
              <w:rPr>
                <w:rFonts w:ascii="Palatino Linotype" w:hAnsi="Palatino Linotype"/>
                <w:i/>
              </w:rPr>
            </w:pPr>
          </w:p>
        </w:tc>
      </w:tr>
      <w:tr w:rsidR="003B080D" w:rsidRPr="00776DFA" w:rsidTr="002A5CB3">
        <w:trPr>
          <w:trHeight w:val="385"/>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jc w:val="both"/>
              <w:rPr>
                <w:rFonts w:ascii="Palatino Linotype" w:hAnsi="Palatino Linotype"/>
                <w:i/>
              </w:rPr>
            </w:pPr>
            <w:r w:rsidRPr="00776DFA">
              <w:rPr>
                <w:rFonts w:ascii="Palatino Linotype" w:hAnsi="Palatino Linotype"/>
                <w:i/>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tc>
      </w:tr>
      <w:tr w:rsidR="003B080D" w:rsidRPr="00776DFA" w:rsidTr="002A5CB3">
        <w:trPr>
          <w:trHeight w:val="385"/>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jc w:val="center"/>
              <w:rPr>
                <w:rFonts w:ascii="Palatino Linotype" w:hAnsi="Palatino Linotype"/>
                <w:i/>
              </w:rPr>
            </w:pP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r w:rsidRPr="00776DFA">
              <w:rPr>
                <w:rFonts w:ascii="Palatino Linotype" w:hAnsi="Palatino Linotype"/>
                <w:i/>
              </w:rPr>
              <w:t>ATENTAMENTE</w:t>
            </w:r>
          </w:p>
        </w:tc>
      </w:tr>
      <w:tr w:rsidR="003B080D" w:rsidRPr="00776DFA" w:rsidTr="002A5CB3">
        <w:trPr>
          <w:trHeight w:val="230"/>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p>
        </w:tc>
      </w:tr>
      <w:tr w:rsidR="003B080D" w:rsidRPr="00776DFA" w:rsidTr="002A5CB3">
        <w:trPr>
          <w:trHeight w:val="153"/>
          <w:tblCellSpacing w:w="0" w:type="dxa"/>
          <w:jc w:val="center"/>
        </w:trPr>
        <w:tc>
          <w:tcPr>
            <w:tcW w:w="0" w:type="auto"/>
            <w:vAlign w:val="center"/>
            <w:hideMark/>
          </w:tcPr>
          <w:p w:rsidR="003B080D" w:rsidRPr="00776DFA" w:rsidRDefault="003B080D" w:rsidP="002A5CB3">
            <w:pPr>
              <w:spacing w:line="360" w:lineRule="auto"/>
              <w:rPr>
                <w:rFonts w:ascii="Palatino Linotype" w:hAnsi="Palatino Linotype"/>
                <w:i/>
              </w:rPr>
            </w:pPr>
            <w:r w:rsidRPr="00776DFA">
              <w:rPr>
                <w:rFonts w:ascii="Palatino Linotype" w:hAnsi="Palatino Linotype"/>
                <w:i/>
              </w:rPr>
              <w:t>LICENCIADO CARLOS DANIEL FONSECA ESPINOZA</w:t>
            </w:r>
          </w:p>
        </w:tc>
      </w:tr>
    </w:tbl>
    <w:p w:rsidR="003B080D" w:rsidRPr="00776DFA" w:rsidRDefault="003B080D" w:rsidP="003B080D">
      <w:pPr>
        <w:spacing w:line="360" w:lineRule="auto"/>
        <w:jc w:val="both"/>
        <w:rPr>
          <w:rFonts w:ascii="Palatino Linotype" w:eastAsia="Palatino Linotype" w:hAnsi="Palatino Linotype" w:cs="Palatino Linotype"/>
        </w:rPr>
      </w:pPr>
    </w:p>
    <w:p w:rsidR="003B080D" w:rsidRPr="00776DFA" w:rsidRDefault="003B080D" w:rsidP="003B080D">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776DFA">
        <w:rPr>
          <w:rFonts w:ascii="Palatino Linotype" w:eastAsia="Palatino Linotype" w:hAnsi="Palatino Linotype" w:cs="Palatino Linotype"/>
        </w:rPr>
        <w:lastRenderedPageBreak/>
        <w:t xml:space="preserve">A la respuesta se adjuntó el archivo electrónico denominado </w:t>
      </w:r>
      <w:hyperlink r:id="rId7" w:tgtFrame="_blank" w:history="1">
        <w:proofErr w:type="spellStart"/>
        <w:r w:rsidRPr="00776DFA">
          <w:rPr>
            <w:rStyle w:val="Hipervnculo"/>
            <w:rFonts w:ascii="Palatino Linotype" w:eastAsiaTheme="majorEastAsia" w:hAnsi="Palatino Linotype" w:cs="Arial"/>
            <w:b/>
            <w:bCs/>
            <w:color w:val="auto"/>
          </w:rPr>
          <w:t>Resp</w:t>
        </w:r>
        <w:proofErr w:type="spellEnd"/>
        <w:r w:rsidRPr="00776DFA">
          <w:rPr>
            <w:rStyle w:val="Hipervnculo"/>
            <w:rFonts w:ascii="Palatino Linotype" w:eastAsiaTheme="majorEastAsia" w:hAnsi="Palatino Linotype" w:cs="Arial"/>
            <w:b/>
            <w:bCs/>
            <w:color w:val="auto"/>
          </w:rPr>
          <w:t>. Sol. 00024-2025.pdf</w:t>
        </w:r>
      </w:hyperlink>
      <w:r w:rsidRPr="00776DFA">
        <w:rPr>
          <w:rFonts w:ascii="Palatino Linotype" w:hAnsi="Palatino Linotype"/>
        </w:rPr>
        <w:t xml:space="preserve">, en el que se encuentra el oficio número STGAJ/UT/035/2025, de fecha diez de febrero de dos mil veinticinco, suscrito por el Titular de la Unidad de Transparencia y dirigido al Director de Administración en el que le requirió dar respuesta a la solicitud de información. </w:t>
      </w: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El </w:t>
      </w:r>
      <w:r w:rsidRPr="00776DFA">
        <w:rPr>
          <w:rFonts w:ascii="Palatino Linotype" w:eastAsia="Palatino Linotype" w:hAnsi="Palatino Linotype" w:cs="Palatino Linotype"/>
          <w:b/>
        </w:rPr>
        <w:t>veinticuatro de febrero de dos mil veinticinco</w:t>
      </w:r>
      <w:r w:rsidRPr="00776DFA">
        <w:rPr>
          <w:rFonts w:ascii="Palatino Linotype" w:eastAsia="Palatino Linotype" w:hAnsi="Palatino Linotype" w:cs="Palatino Linotype"/>
        </w:rPr>
        <w:t xml:space="preserve">, </w:t>
      </w:r>
      <w:r w:rsidRPr="00776DFA">
        <w:rPr>
          <w:rFonts w:ascii="Palatino Linotype" w:eastAsia="Palatino Linotype" w:hAnsi="Palatino Linotype" w:cs="Palatino Linotype"/>
          <w:b/>
        </w:rPr>
        <w:t>EL RECURRENTE</w:t>
      </w:r>
      <w:r w:rsidRPr="00776DFA">
        <w:rPr>
          <w:rFonts w:ascii="Palatino Linotype" w:eastAsia="Palatino Linotype" w:hAnsi="Palatino Linotype" w:cs="Palatino Linotype"/>
        </w:rPr>
        <w:t xml:space="preserve"> interpuso el recurso de revisión, en contra de la respuesta, señalando como:</w:t>
      </w:r>
    </w:p>
    <w:p w:rsidR="003B080D" w:rsidRPr="00776DFA" w:rsidRDefault="003B080D" w:rsidP="003B080D">
      <w:pPr>
        <w:spacing w:line="360" w:lineRule="auto"/>
        <w:ind w:right="567"/>
        <w:jc w:val="both"/>
        <w:rPr>
          <w:rFonts w:ascii="Palatino Linotype" w:eastAsia="Palatino Linotype" w:hAnsi="Palatino Linotype" w:cs="Palatino Linotype"/>
        </w:rPr>
      </w:pPr>
    </w:p>
    <w:p w:rsidR="003B080D" w:rsidRPr="00776DFA" w:rsidRDefault="003B080D" w:rsidP="003B080D">
      <w:pPr>
        <w:spacing w:line="360"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rPr>
        <w:t>Acto impugnado</w:t>
      </w:r>
      <w:r w:rsidRPr="00776DFA">
        <w:rPr>
          <w:rFonts w:ascii="Palatino Linotype" w:eastAsia="Palatino Linotype" w:hAnsi="Palatino Linotype" w:cs="Palatino Linotype"/>
          <w:b/>
          <w:i/>
        </w:rPr>
        <w:t>:</w:t>
      </w:r>
      <w:r w:rsidRPr="00776DFA">
        <w:rPr>
          <w:rFonts w:ascii="Palatino Linotype" w:eastAsia="Palatino Linotype" w:hAnsi="Palatino Linotype" w:cs="Palatino Linotype"/>
          <w:i/>
        </w:rPr>
        <w:t xml:space="preserve"> "Respuesta a solicitud de información" (Sic)</w:t>
      </w:r>
    </w:p>
    <w:p w:rsidR="003B080D" w:rsidRPr="00776DFA" w:rsidRDefault="003B080D" w:rsidP="003B080D">
      <w:pPr>
        <w:spacing w:line="360" w:lineRule="auto"/>
        <w:ind w:left="851" w:right="822"/>
        <w:jc w:val="both"/>
        <w:rPr>
          <w:rFonts w:ascii="Palatino Linotype" w:eastAsia="Palatino Linotype" w:hAnsi="Palatino Linotype" w:cs="Palatino Linotype"/>
        </w:rPr>
      </w:pPr>
    </w:p>
    <w:p w:rsidR="003B080D" w:rsidRPr="00776DFA" w:rsidRDefault="003B080D" w:rsidP="003B080D">
      <w:pPr>
        <w:spacing w:line="360" w:lineRule="auto"/>
        <w:ind w:left="851" w:right="822"/>
        <w:jc w:val="both"/>
        <w:rPr>
          <w:rFonts w:ascii="Palatino Linotype" w:eastAsia="Palatino Linotype" w:hAnsi="Palatino Linotype" w:cs="Palatino Linotype"/>
        </w:rPr>
      </w:pPr>
      <w:r w:rsidRPr="00776DFA">
        <w:rPr>
          <w:rFonts w:ascii="Palatino Linotype" w:eastAsia="Palatino Linotype" w:hAnsi="Palatino Linotype" w:cs="Palatino Linotype"/>
          <w:b/>
        </w:rPr>
        <w:t>Razones o Motivos de inconformidad: “</w:t>
      </w:r>
      <w:r w:rsidRPr="00776DFA">
        <w:rPr>
          <w:rFonts w:ascii="Palatino Linotype" w:eastAsia="Palatino Linotype" w:hAnsi="Palatino Linotype" w:cs="Palatino Linotype"/>
          <w:i/>
        </w:rPr>
        <w:t xml:space="preserve">La </w:t>
      </w:r>
      <w:proofErr w:type="gramStart"/>
      <w:r w:rsidRPr="00776DFA">
        <w:rPr>
          <w:rFonts w:ascii="Palatino Linotype" w:eastAsia="Palatino Linotype" w:hAnsi="Palatino Linotype" w:cs="Palatino Linotype"/>
          <w:i/>
        </w:rPr>
        <w:t>respuesta ,</w:t>
      </w:r>
      <w:proofErr w:type="gramEnd"/>
      <w:r w:rsidRPr="00776DFA">
        <w:rPr>
          <w:rFonts w:ascii="Palatino Linotype" w:eastAsia="Palatino Linotype" w:hAnsi="Palatino Linotype" w:cs="Palatino Linotype"/>
          <w:i/>
        </w:rPr>
        <w:t xml:space="preserve"> fue inexistente. Se </w:t>
      </w:r>
      <w:proofErr w:type="spellStart"/>
      <w:r w:rsidRPr="00776DFA">
        <w:rPr>
          <w:rFonts w:ascii="Palatino Linotype" w:eastAsia="Palatino Linotype" w:hAnsi="Palatino Linotype" w:cs="Palatino Linotype"/>
          <w:i/>
        </w:rPr>
        <w:t>adjunto</w:t>
      </w:r>
      <w:proofErr w:type="spellEnd"/>
      <w:r w:rsidRPr="00776DFA">
        <w:rPr>
          <w:rFonts w:ascii="Palatino Linotype" w:eastAsia="Palatino Linotype" w:hAnsi="Palatino Linotype" w:cs="Palatino Linotype"/>
          <w:i/>
        </w:rPr>
        <w:t xml:space="preserve"> un archivo, correspondiente a un acuse de recibido entre áreas del propio ayuntamiento, mismo que no incluye la respuesta a lo solicitado.” (Sic)</w:t>
      </w:r>
      <w:r w:rsidRPr="00776DFA">
        <w:rPr>
          <w:rFonts w:ascii="Palatino Linotype" w:eastAsia="Palatino Linotype" w:hAnsi="Palatino Linotype" w:cs="Palatino Linotype"/>
        </w:rPr>
        <w:t xml:space="preserve">. </w:t>
      </w:r>
    </w:p>
    <w:p w:rsidR="003B080D" w:rsidRPr="00776DFA" w:rsidRDefault="003B080D" w:rsidP="003B080D">
      <w:pPr>
        <w:spacing w:line="360" w:lineRule="auto"/>
        <w:ind w:right="567"/>
        <w:jc w:val="both"/>
        <w:rPr>
          <w:rFonts w:ascii="Palatino Linotype" w:eastAsia="Palatino Linotype" w:hAnsi="Palatino Linotype" w:cs="Palatino Linotype"/>
        </w:rPr>
      </w:pPr>
    </w:p>
    <w:p w:rsidR="003B080D" w:rsidRPr="00776DFA" w:rsidRDefault="003B080D" w:rsidP="003B080D">
      <w:pPr>
        <w:numPr>
          <w:ilvl w:val="0"/>
          <w:numId w:val="15"/>
        </w:numPr>
        <w:spacing w:line="360" w:lineRule="auto"/>
        <w:ind w:right="567"/>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 la interposición del recurso se adjuntó el archivo </w:t>
      </w:r>
      <w:hyperlink r:id="rId8" w:tgtFrame="_blank" w:history="1">
        <w:proofErr w:type="spellStart"/>
        <w:r w:rsidRPr="00776DFA">
          <w:rPr>
            <w:rStyle w:val="Hipervnculo"/>
            <w:rFonts w:ascii="Palatino Linotype" w:eastAsia="Palatino Linotype" w:hAnsi="Palatino Linotype" w:cs="Palatino Linotype"/>
            <w:b/>
            <w:bCs/>
            <w:color w:val="auto"/>
          </w:rPr>
          <w:t>Resp</w:t>
        </w:r>
        <w:proofErr w:type="spellEnd"/>
        <w:r w:rsidRPr="00776DFA">
          <w:rPr>
            <w:rStyle w:val="Hipervnculo"/>
            <w:rFonts w:ascii="Palatino Linotype" w:eastAsia="Palatino Linotype" w:hAnsi="Palatino Linotype" w:cs="Palatino Linotype"/>
            <w:b/>
            <w:bCs/>
            <w:color w:val="auto"/>
          </w:rPr>
          <w:t>. Sol. 00024-2025 (1).pdf</w:t>
        </w:r>
      </w:hyperlink>
      <w:r w:rsidRPr="00776DFA">
        <w:rPr>
          <w:rFonts w:ascii="Palatino Linotype" w:eastAsia="Palatino Linotype" w:hAnsi="Palatino Linotype" w:cs="Palatino Linotype"/>
        </w:rPr>
        <w:t xml:space="preserve">, documento emitido en la respuesta del Sujeto Obligado. </w:t>
      </w:r>
    </w:p>
    <w:p w:rsidR="003B080D" w:rsidRPr="00776DFA" w:rsidRDefault="003B080D" w:rsidP="003B080D">
      <w:pPr>
        <w:spacing w:line="360" w:lineRule="auto"/>
        <w:ind w:right="567"/>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76DFA">
        <w:rPr>
          <w:rFonts w:ascii="Palatino Linotype" w:eastAsia="Palatino Linotype" w:hAnsi="Palatino Linotype" w:cs="Palatino Linotype"/>
          <w:b/>
        </w:rPr>
        <w:t xml:space="preserve">Ley de Transparencia y Acceso a la Información Pública del Estado de México y Municipios </w:t>
      </w:r>
      <w:r w:rsidRPr="00776DFA">
        <w:rPr>
          <w:rFonts w:ascii="Palatino Linotype" w:eastAsia="Palatino Linotype" w:hAnsi="Palatino Linotype" w:cs="Palatino Linotype"/>
        </w:rPr>
        <w:t xml:space="preserve">se turnó a la </w:t>
      </w:r>
      <w:r w:rsidRPr="00776DFA">
        <w:rPr>
          <w:rFonts w:ascii="Palatino Linotype" w:eastAsia="Palatino Linotype" w:hAnsi="Palatino Linotype" w:cs="Palatino Linotype"/>
          <w:b/>
        </w:rPr>
        <w:t xml:space="preserve">Comisionada María del Rosario Mejía Ayala, </w:t>
      </w:r>
      <w:r w:rsidRPr="00776DFA">
        <w:rPr>
          <w:rFonts w:ascii="Palatino Linotype" w:eastAsia="Palatino Linotype" w:hAnsi="Palatino Linotype" w:cs="Palatino Linotype"/>
        </w:rPr>
        <w:t xml:space="preserve">con el objeto de su análisis. </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lastRenderedPageBreak/>
        <w:t xml:space="preserve">El Comisionado Ponente con fundamento en lo dispuesto por el artículo 185 fracción II de la ley de la materia, a través del acuerdo de admisión del </w:t>
      </w:r>
      <w:r w:rsidR="00891B4E" w:rsidRPr="00776DFA">
        <w:rPr>
          <w:rFonts w:ascii="Palatino Linotype" w:eastAsia="Palatino Linotype" w:hAnsi="Palatino Linotype" w:cs="Palatino Linotype"/>
          <w:b/>
        </w:rPr>
        <w:t>veintisiete de febrero de dos mil veinticinco</w:t>
      </w:r>
      <w:r w:rsidRPr="00776DFA">
        <w:rPr>
          <w:rFonts w:ascii="Palatino Linotype" w:eastAsia="Palatino Linotype" w:hAnsi="Palatino Linotype" w:cs="Palatino Linotype"/>
        </w:rPr>
        <w:t xml:space="preserve">, puso a disposición de las partes el expediente electrónico vía </w:t>
      </w:r>
      <w:r w:rsidRPr="00776DFA">
        <w:rPr>
          <w:rFonts w:ascii="Palatino Linotype" w:eastAsia="Palatino Linotype" w:hAnsi="Palatino Linotype" w:cs="Palatino Linotype"/>
          <w:b/>
        </w:rPr>
        <w:t xml:space="preserve">SAIMEX </w:t>
      </w:r>
      <w:r w:rsidRPr="00776DFA">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776DFA">
        <w:rPr>
          <w:rFonts w:ascii="Palatino Linotype" w:eastAsia="Palatino Linotype" w:hAnsi="Palatino Linotype" w:cs="Palatino Linotype"/>
          <w:b/>
        </w:rPr>
        <w:t>SUJETO OBLIGADO</w:t>
      </w:r>
      <w:r w:rsidRPr="00776DFA">
        <w:rPr>
          <w:rFonts w:ascii="Palatino Linotype" w:eastAsia="Palatino Linotype" w:hAnsi="Palatino Linotype" w:cs="Palatino Linotype"/>
        </w:rPr>
        <w:t xml:space="preserve"> presentara el informe justificado procedente. </w:t>
      </w:r>
    </w:p>
    <w:p w:rsidR="003B080D" w:rsidRPr="00776DFA" w:rsidRDefault="003B080D" w:rsidP="003B080D">
      <w:pPr>
        <w:pBdr>
          <w:top w:val="nil"/>
          <w:left w:val="nil"/>
          <w:bottom w:val="nil"/>
          <w:right w:val="nil"/>
          <w:between w:val="nil"/>
        </w:pBdr>
        <w:spacing w:line="360" w:lineRule="auto"/>
        <w:ind w:left="720"/>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De las constancias que obran en el expediente electrónico SAIMEX, se advierte que el Sujeto Obligado no entregó informe justificado; por su parte, el Recurrente </w:t>
      </w:r>
      <w:r w:rsidR="00891B4E" w:rsidRPr="00776DFA">
        <w:rPr>
          <w:rFonts w:ascii="Palatino Linotype" w:eastAsia="Palatino Linotype" w:hAnsi="Palatino Linotype" w:cs="Palatino Linotype"/>
        </w:rPr>
        <w:t xml:space="preserve">adjuntó en las manifestaciones el archivo </w:t>
      </w:r>
      <w:hyperlink r:id="rId9" w:history="1">
        <w:proofErr w:type="spellStart"/>
        <w:r w:rsidR="00891B4E" w:rsidRPr="00776DFA">
          <w:rPr>
            <w:rStyle w:val="Hipervnculo"/>
            <w:rFonts w:ascii="Palatino Linotype" w:eastAsia="Palatino Linotype" w:hAnsi="Palatino Linotype" w:cs="Palatino Linotype"/>
            <w:b/>
            <w:bCs/>
            <w:color w:val="auto"/>
          </w:rPr>
          <w:t>Resp</w:t>
        </w:r>
        <w:proofErr w:type="spellEnd"/>
        <w:r w:rsidR="00891B4E" w:rsidRPr="00776DFA">
          <w:rPr>
            <w:rStyle w:val="Hipervnculo"/>
            <w:rFonts w:ascii="Palatino Linotype" w:eastAsia="Palatino Linotype" w:hAnsi="Palatino Linotype" w:cs="Palatino Linotype"/>
            <w:b/>
            <w:bCs/>
            <w:color w:val="auto"/>
          </w:rPr>
          <w:t>. Sol. 00024-2025 (1).pdf</w:t>
        </w:r>
      </w:hyperlink>
      <w:r w:rsidR="00891B4E" w:rsidRPr="00776DFA">
        <w:rPr>
          <w:rFonts w:ascii="Palatino Linotype" w:eastAsia="Palatino Linotype" w:hAnsi="Palatino Linotype" w:cs="Palatino Linotype"/>
        </w:rPr>
        <w:t xml:space="preserve">, que consta del documento remitido en la respuesta del Sujeto Obligado. </w:t>
      </w:r>
    </w:p>
    <w:p w:rsidR="003B080D" w:rsidRPr="00776DFA" w:rsidRDefault="003B080D" w:rsidP="003B080D">
      <w:pPr>
        <w:pBdr>
          <w:top w:val="nil"/>
          <w:left w:val="nil"/>
          <w:bottom w:val="nil"/>
          <w:right w:val="nil"/>
          <w:between w:val="nil"/>
        </w:pBdr>
        <w:spacing w:line="360" w:lineRule="auto"/>
        <w:ind w:right="113"/>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El Comisionado Ponente decretó el cierre de instrucción mediante el acuerdo del </w:t>
      </w:r>
      <w:r w:rsidR="00891B4E" w:rsidRPr="00776DFA">
        <w:rPr>
          <w:rFonts w:ascii="Palatino Linotype" w:eastAsia="Palatino Linotype" w:hAnsi="Palatino Linotype" w:cs="Palatino Linotype"/>
        </w:rPr>
        <w:t>tres de abril</w:t>
      </w:r>
      <w:r w:rsidRPr="00776DFA">
        <w:rPr>
          <w:rFonts w:ascii="Palatino Linotype" w:eastAsia="Palatino Linotype" w:hAnsi="Palatino Linotype" w:cs="Palatino Linotype"/>
        </w:rPr>
        <w:t xml:space="preserve"> de dos mil veinticinco.</w:t>
      </w:r>
    </w:p>
    <w:p w:rsidR="003B080D" w:rsidRPr="00776DFA" w:rsidRDefault="003B080D" w:rsidP="003B080D">
      <w:pPr>
        <w:spacing w:line="360" w:lineRule="auto"/>
        <w:rPr>
          <w:rFonts w:ascii="Palatino Linotype" w:eastAsia="Palatino Linotype" w:hAnsi="Palatino Linotype" w:cs="Palatino Linotype"/>
        </w:rPr>
      </w:pPr>
    </w:p>
    <w:p w:rsidR="003B080D" w:rsidRPr="00776DFA" w:rsidRDefault="003B080D" w:rsidP="003B080D">
      <w:pPr>
        <w:spacing w:line="360" w:lineRule="auto"/>
        <w:jc w:val="center"/>
        <w:rPr>
          <w:rFonts w:ascii="Palatino Linotype" w:eastAsia="Palatino Linotype" w:hAnsi="Palatino Linotype" w:cs="Palatino Linotype"/>
        </w:rPr>
      </w:pPr>
      <w:bookmarkStart w:id="2" w:name="_heading=h.30j0zll" w:colFirst="0" w:colLast="0"/>
      <w:bookmarkEnd w:id="2"/>
      <w:r w:rsidRPr="00776DFA">
        <w:rPr>
          <w:rFonts w:ascii="Palatino Linotype" w:eastAsia="Palatino Linotype" w:hAnsi="Palatino Linotype" w:cs="Palatino Linotype"/>
          <w:b/>
        </w:rPr>
        <w:t>CONSIDERANDO</w:t>
      </w:r>
    </w:p>
    <w:p w:rsidR="003B080D" w:rsidRPr="00776DFA" w:rsidRDefault="003B080D" w:rsidP="003B080D">
      <w:pPr>
        <w:spacing w:line="360" w:lineRule="auto"/>
        <w:jc w:val="center"/>
        <w:rPr>
          <w:rFonts w:ascii="Palatino Linotype" w:eastAsia="Palatino Linotype" w:hAnsi="Palatino Linotype" w:cs="Palatino Linotype"/>
        </w:rPr>
      </w:pPr>
    </w:p>
    <w:p w:rsidR="003B080D" w:rsidRPr="00776DFA" w:rsidRDefault="003B080D" w:rsidP="003B080D">
      <w:pPr>
        <w:spacing w:line="360" w:lineRule="auto"/>
        <w:jc w:val="both"/>
        <w:rPr>
          <w:rFonts w:ascii="Palatino Linotype" w:eastAsia="Palatino Linotype" w:hAnsi="Palatino Linotype" w:cs="Palatino Linotype"/>
          <w:b/>
        </w:rPr>
      </w:pPr>
      <w:bookmarkStart w:id="3" w:name="_heading=h.1fob9te" w:colFirst="0" w:colLast="0"/>
      <w:bookmarkEnd w:id="3"/>
      <w:r w:rsidRPr="00776DFA">
        <w:rPr>
          <w:rFonts w:ascii="Palatino Linotype" w:eastAsia="Palatino Linotype" w:hAnsi="Palatino Linotype" w:cs="Palatino Linotype"/>
          <w:b/>
        </w:rPr>
        <w:t>PRIMERO. De la competencia</w:t>
      </w:r>
    </w:p>
    <w:p w:rsidR="003B080D" w:rsidRPr="00776DFA" w:rsidRDefault="003B080D" w:rsidP="003B080D">
      <w:pPr>
        <w:spacing w:line="360" w:lineRule="auto"/>
        <w:jc w:val="both"/>
        <w:rPr>
          <w:rFonts w:ascii="Palatino Linotype" w:eastAsia="Palatino Linotype" w:hAnsi="Palatino Linotype" w:cs="Palatino Linotype"/>
          <w:b/>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776DFA">
        <w:rPr>
          <w:rFonts w:ascii="Palatino Linotype" w:eastAsia="Palatino Linotype" w:hAnsi="Palatino Linotype" w:cs="Palatino Linotype"/>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keepNext/>
        <w:keepLines/>
        <w:spacing w:line="360" w:lineRule="auto"/>
        <w:rPr>
          <w:rFonts w:ascii="Palatino Linotype" w:eastAsia="Palatino Linotype" w:hAnsi="Palatino Linotype" w:cs="Palatino Linotype"/>
          <w:b/>
        </w:rPr>
      </w:pPr>
      <w:bookmarkStart w:id="4" w:name="_heading=h.3znysh7" w:colFirst="0" w:colLast="0"/>
      <w:bookmarkEnd w:id="4"/>
      <w:r w:rsidRPr="00776DFA">
        <w:rPr>
          <w:rFonts w:ascii="Palatino Linotype" w:eastAsia="Palatino Linotype" w:hAnsi="Palatino Linotype" w:cs="Palatino Linotype"/>
          <w:b/>
        </w:rPr>
        <w:t>SEGUNDO. De la oportunidad y procedencia.</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El medio de impugnación fue presentado a través del </w:t>
      </w:r>
      <w:r w:rsidRPr="00776DFA">
        <w:rPr>
          <w:rFonts w:ascii="Palatino Linotype" w:eastAsia="Palatino Linotype" w:hAnsi="Palatino Linotype" w:cs="Palatino Linotype"/>
          <w:b/>
        </w:rPr>
        <w:t>SAIMEX,</w:t>
      </w:r>
      <w:r w:rsidRPr="00776DFA">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76DFA">
        <w:rPr>
          <w:rFonts w:ascii="Palatino Linotype" w:eastAsia="Palatino Linotype" w:hAnsi="Palatino Linotype" w:cs="Palatino Linotype"/>
          <w:b/>
        </w:rPr>
        <w:t>SUJETO OBLIGADO</w:t>
      </w:r>
      <w:r w:rsidRPr="00776DFA">
        <w:rPr>
          <w:rFonts w:ascii="Palatino Linotype" w:eastAsia="Palatino Linotype" w:hAnsi="Palatino Linotype" w:cs="Palatino Linotype"/>
        </w:rPr>
        <w:t xml:space="preserve"> entregó respuesta a la solicitud el </w:t>
      </w:r>
      <w:r w:rsidR="00891B4E" w:rsidRPr="00776DFA">
        <w:rPr>
          <w:rFonts w:ascii="Palatino Linotype" w:eastAsia="Palatino Linotype" w:hAnsi="Palatino Linotype" w:cs="Palatino Linotype"/>
          <w:b/>
        </w:rPr>
        <w:t>veinticuatro de febrero de dos mil veinticinco</w:t>
      </w:r>
      <w:r w:rsidRPr="00776DFA">
        <w:rPr>
          <w:rFonts w:ascii="Palatino Linotype" w:eastAsia="Palatino Linotype" w:hAnsi="Palatino Linotype" w:cs="Palatino Linotype"/>
        </w:rPr>
        <w:t xml:space="preserve">, de tal forma que el plazo para interponer el recurso de revisión transcurrió del </w:t>
      </w:r>
      <w:r w:rsidR="00891B4E" w:rsidRPr="00776DFA">
        <w:rPr>
          <w:rFonts w:ascii="Palatino Linotype" w:eastAsia="Palatino Linotype" w:hAnsi="Palatino Linotype" w:cs="Palatino Linotype"/>
          <w:b/>
        </w:rPr>
        <w:t>veinticinco de febrero al diecinueve de marzo de dos mil veinticinco</w:t>
      </w:r>
      <w:r w:rsidRPr="00776DFA">
        <w:rPr>
          <w:rFonts w:ascii="Palatino Linotype" w:eastAsia="Palatino Linotype" w:hAnsi="Palatino Linotype" w:cs="Palatino Linotype"/>
        </w:rPr>
        <w:t xml:space="preserve">; en consecuencia, presentó su inconformidad el día </w:t>
      </w:r>
      <w:r w:rsidR="00891B4E" w:rsidRPr="00776DFA">
        <w:rPr>
          <w:rFonts w:ascii="Palatino Linotype" w:eastAsia="Palatino Linotype" w:hAnsi="Palatino Linotype" w:cs="Palatino Linotype"/>
          <w:b/>
        </w:rPr>
        <w:t>veinticuatro de febrero de dos mil veinticinco</w:t>
      </w:r>
      <w:r w:rsidRPr="00776DFA">
        <w:rPr>
          <w:rFonts w:ascii="Palatino Linotype" w:eastAsia="Palatino Linotype" w:hAnsi="Palatino Linotype" w:cs="Palatino Linotype"/>
        </w:rPr>
        <w:t xml:space="preserve">, por lo que se encuentra dentro de los márgenes temporales previstos en el artículo 178 de la </w:t>
      </w:r>
      <w:r w:rsidRPr="00776DFA">
        <w:rPr>
          <w:rFonts w:ascii="Palatino Linotype" w:eastAsia="Palatino Linotype" w:hAnsi="Palatino Linotype" w:cs="Palatino Linotype"/>
          <w:b/>
        </w:rPr>
        <w:t xml:space="preserve">Ley de Transparencia y Acceso a la Información Pública del Estado de México y Municipios </w:t>
      </w:r>
      <w:r w:rsidRPr="00776DFA">
        <w:rPr>
          <w:rFonts w:ascii="Palatino Linotype" w:eastAsia="Palatino Linotype" w:hAnsi="Palatino Linotype" w:cs="Palatino Linotype"/>
        </w:rPr>
        <w:t>vigente.</w:t>
      </w:r>
    </w:p>
    <w:p w:rsidR="003B080D" w:rsidRPr="00776DFA" w:rsidRDefault="003B080D" w:rsidP="003B080D">
      <w:pPr>
        <w:pStyle w:val="Prrafodelista"/>
        <w:numPr>
          <w:ilvl w:val="0"/>
          <w:numId w:val="2"/>
        </w:numPr>
        <w:spacing w:before="240" w:after="240" w:line="360" w:lineRule="auto"/>
        <w:ind w:left="0" w:right="49" w:firstLine="0"/>
        <w:jc w:val="both"/>
        <w:rPr>
          <w:rFonts w:ascii="Palatino Linotype" w:hAnsi="Palatino Linotype" w:cs="Arial"/>
          <w:bCs/>
        </w:rPr>
      </w:pPr>
      <w:r w:rsidRPr="00776DFA">
        <w:rPr>
          <w:rFonts w:ascii="Palatino Linotype" w:hAnsi="Palatino Linotype" w:cs="Arial"/>
          <w:bCs/>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w:t>
      </w:r>
      <w:r w:rsidRPr="00776DFA">
        <w:rPr>
          <w:rFonts w:ascii="Palatino Linotype" w:hAnsi="Palatino Linotype" w:cs="Arial"/>
          <w:bCs/>
        </w:rPr>
        <w:lastRenderedPageBreak/>
        <w:t>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3B080D" w:rsidRPr="00776DFA" w:rsidRDefault="003B080D" w:rsidP="003B080D">
      <w:pPr>
        <w:pStyle w:val="Prrafodelista"/>
        <w:ind w:left="0"/>
        <w:rPr>
          <w:rFonts w:ascii="Palatino Linotype" w:hAnsi="Palatino Linotype" w:cs="Arial"/>
        </w:rPr>
      </w:pPr>
    </w:p>
    <w:p w:rsidR="003B080D" w:rsidRPr="00776DFA" w:rsidRDefault="003B080D" w:rsidP="003B080D">
      <w:pPr>
        <w:pStyle w:val="Prrafodelista"/>
        <w:numPr>
          <w:ilvl w:val="0"/>
          <w:numId w:val="2"/>
        </w:numPr>
        <w:spacing w:before="240" w:after="240" w:line="360" w:lineRule="auto"/>
        <w:ind w:left="0" w:firstLine="0"/>
        <w:jc w:val="both"/>
        <w:rPr>
          <w:rFonts w:ascii="Palatino Linotype" w:hAnsi="Palatino Linotype" w:cs="Arial"/>
        </w:rPr>
      </w:pPr>
      <w:r w:rsidRPr="00776DFA">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 1a</w:t>
      </w:r>
      <w:proofErr w:type="gramStart"/>
      <w:r w:rsidRPr="00776DFA">
        <w:rPr>
          <w:rFonts w:ascii="Palatino Linotype" w:hAnsi="Palatino Linotype" w:cs="Arial"/>
          <w:i/>
        </w:rPr>
        <w:t>./</w:t>
      </w:r>
      <w:proofErr w:type="gramEnd"/>
      <w:r w:rsidRPr="00776DFA">
        <w:rPr>
          <w:rFonts w:ascii="Palatino Linotype" w:hAnsi="Palatino Linotype" w:cs="Arial"/>
          <w:i/>
        </w:rPr>
        <w:t xml:space="preserve">J. 41/2015 (10a.)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w:t>
      </w:r>
      <w:r w:rsidRPr="00776DFA">
        <w:rPr>
          <w:rFonts w:ascii="Palatino Linotype" w:hAnsi="Palatino Linotype" w:cs="Arial"/>
          <w:i/>
        </w:rPr>
        <w:lastRenderedPageBreak/>
        <w:t xml:space="preserve">Pardo Rebolledo. Ponente: Arturo Zaldívar Lelo de Larrea. Secretaria: Carmina Cortés Rodríguez.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76DFA">
        <w:rPr>
          <w:rFonts w:ascii="Palatino Linotype" w:hAnsi="Palatino Linotype" w:cs="Arial"/>
          <w:i/>
        </w:rPr>
        <w:t>Arboleya</w:t>
      </w:r>
      <w:proofErr w:type="spellEnd"/>
      <w:r w:rsidRPr="00776DFA">
        <w:rPr>
          <w:rFonts w:ascii="Palatino Linotype" w:hAnsi="Palatino Linotype" w:cs="Arial"/>
          <w:i/>
        </w:rPr>
        <w:t xml:space="preserve">.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76DFA">
        <w:rPr>
          <w:rFonts w:ascii="Palatino Linotype" w:hAnsi="Palatino Linotype" w:cs="Arial"/>
          <w:i/>
        </w:rPr>
        <w:t>Goslinga</w:t>
      </w:r>
      <w:proofErr w:type="spellEnd"/>
      <w:r w:rsidRPr="00776DFA">
        <w:rPr>
          <w:rFonts w:ascii="Palatino Linotype" w:hAnsi="Palatino Linotype" w:cs="Arial"/>
          <w:i/>
        </w:rPr>
        <w:t xml:space="preserve"> </w:t>
      </w:r>
      <w:proofErr w:type="spellStart"/>
      <w:r w:rsidRPr="00776DFA">
        <w:rPr>
          <w:rFonts w:ascii="Palatino Linotype" w:hAnsi="Palatino Linotype" w:cs="Arial"/>
          <w:i/>
        </w:rPr>
        <w:t>Remírez</w:t>
      </w:r>
      <w:proofErr w:type="spellEnd"/>
      <w:r w:rsidRPr="00776DFA">
        <w:rPr>
          <w:rFonts w:ascii="Palatino Linotype" w:hAnsi="Palatino Linotype" w:cs="Arial"/>
          <w:i/>
        </w:rPr>
        <w:t xml:space="preserve">.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p>
    <w:p w:rsidR="003B080D" w:rsidRPr="00776DFA" w:rsidRDefault="003B080D" w:rsidP="003B080D">
      <w:pPr>
        <w:spacing w:before="240" w:after="240" w:line="360" w:lineRule="auto"/>
        <w:ind w:left="851" w:right="616"/>
        <w:contextualSpacing/>
        <w:jc w:val="both"/>
        <w:rPr>
          <w:rFonts w:ascii="Palatino Linotype" w:hAnsi="Palatino Linotype" w:cs="Arial"/>
          <w:i/>
        </w:rPr>
      </w:pPr>
      <w:r w:rsidRPr="00776DFA">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w:t>
      </w:r>
      <w:r w:rsidRPr="00776DFA">
        <w:rPr>
          <w:rFonts w:ascii="Palatino Linotype" w:hAnsi="Palatino Linotype" w:cs="Arial"/>
          <w:i/>
        </w:rPr>
        <w:lastRenderedPageBreak/>
        <w:t xml:space="preserve">Gutiérrez Ortiz Mena. Ponente: Arturo Zaldívar Lelo de Larrea. Secretario: Saúl Armando Patiño Lara. </w:t>
      </w:r>
    </w:p>
    <w:p w:rsidR="003B080D" w:rsidRPr="00776DFA" w:rsidRDefault="003B080D" w:rsidP="003B080D">
      <w:pPr>
        <w:spacing w:before="240" w:after="240" w:line="360" w:lineRule="auto"/>
        <w:ind w:left="851" w:right="616"/>
        <w:contextualSpacing/>
        <w:jc w:val="both"/>
        <w:rPr>
          <w:rFonts w:ascii="Palatino Linotype" w:hAnsi="Palatino Linotype" w:cs="Arial"/>
          <w:i/>
        </w:rPr>
      </w:pPr>
    </w:p>
    <w:p w:rsidR="003B080D" w:rsidRPr="00776DFA" w:rsidRDefault="003B080D" w:rsidP="003B080D">
      <w:pPr>
        <w:spacing w:before="240" w:after="240" w:line="360" w:lineRule="auto"/>
        <w:ind w:left="851" w:right="616"/>
        <w:contextualSpacing/>
        <w:jc w:val="both"/>
        <w:rPr>
          <w:rFonts w:ascii="Palatino Linotype" w:hAnsi="Palatino Linotype"/>
          <w:i/>
        </w:rPr>
      </w:pPr>
      <w:r w:rsidRPr="00776DFA">
        <w:rPr>
          <w:rFonts w:ascii="Palatino Linotype" w:hAnsi="Palatino Linotype" w:cs="Arial"/>
          <w:i/>
        </w:rPr>
        <w:t>Tesis de jurisprudencia 41/2015 (10a.). Aprobada por la Primera Sala de este Alto Tribunal, en sesión privada de veintisiete de mayo de dos mil quince.</w:t>
      </w:r>
    </w:p>
    <w:p w:rsidR="003B080D" w:rsidRPr="00776DFA" w:rsidRDefault="003B080D" w:rsidP="003B080D">
      <w:pPr>
        <w:pStyle w:val="Prrafodelista"/>
        <w:numPr>
          <w:ilvl w:val="0"/>
          <w:numId w:val="2"/>
        </w:numPr>
        <w:spacing w:before="240" w:after="240" w:line="360" w:lineRule="auto"/>
        <w:ind w:left="0" w:right="49" w:firstLine="0"/>
        <w:jc w:val="both"/>
        <w:rPr>
          <w:rFonts w:ascii="Palatino Linotype" w:hAnsi="Palatino Linotype" w:cs="Arial"/>
          <w:i/>
        </w:rPr>
      </w:pPr>
      <w:r w:rsidRPr="00776DFA">
        <w:rPr>
          <w:rFonts w:ascii="Palatino Linotype" w:hAnsi="Palatino Linotype"/>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3B080D" w:rsidRPr="00776DFA" w:rsidRDefault="003B080D" w:rsidP="003B080D">
      <w:pPr>
        <w:pStyle w:val="Prrafodelista"/>
        <w:spacing w:before="240" w:after="240" w:line="360" w:lineRule="auto"/>
        <w:ind w:left="0" w:right="49"/>
        <w:jc w:val="both"/>
        <w:rPr>
          <w:rFonts w:ascii="Palatino Linotype" w:hAnsi="Palatino Linotype" w:cs="Arial"/>
          <w:i/>
        </w:rPr>
      </w:pPr>
    </w:p>
    <w:p w:rsidR="003B080D" w:rsidRPr="00776DFA" w:rsidRDefault="003B080D" w:rsidP="003B080D">
      <w:pPr>
        <w:pStyle w:val="Prrafodelista"/>
        <w:numPr>
          <w:ilvl w:val="0"/>
          <w:numId w:val="2"/>
        </w:numPr>
        <w:spacing w:before="240" w:after="240" w:line="360" w:lineRule="auto"/>
        <w:ind w:left="0" w:right="49" w:firstLine="0"/>
        <w:jc w:val="both"/>
        <w:rPr>
          <w:rFonts w:ascii="Palatino Linotype" w:hAnsi="Palatino Linotype" w:cs="Arial"/>
          <w:i/>
        </w:rPr>
      </w:pPr>
      <w:r w:rsidRPr="00776DFA">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3B080D" w:rsidRPr="00776DFA" w:rsidRDefault="003B080D" w:rsidP="003B080D">
      <w:pPr>
        <w:pStyle w:val="Prrafodelista"/>
        <w:ind w:left="0"/>
        <w:rPr>
          <w:rFonts w:ascii="Palatino Linotype" w:hAnsi="Palatino Linotype" w:cs="Arial"/>
          <w:i/>
        </w:rPr>
      </w:pPr>
    </w:p>
    <w:p w:rsidR="003B080D" w:rsidRPr="00776DFA" w:rsidRDefault="003B080D" w:rsidP="003B080D">
      <w:pPr>
        <w:pStyle w:val="Prrafodelista"/>
        <w:numPr>
          <w:ilvl w:val="0"/>
          <w:numId w:val="2"/>
        </w:numPr>
        <w:spacing w:before="240" w:after="240" w:line="360" w:lineRule="auto"/>
        <w:ind w:left="0" w:right="49" w:firstLine="0"/>
        <w:jc w:val="both"/>
        <w:rPr>
          <w:rFonts w:ascii="Palatino Linotype" w:hAnsi="Palatino Linotype" w:cs="Arial"/>
          <w:i/>
        </w:rPr>
      </w:pPr>
      <w:r w:rsidRPr="00776DFA">
        <w:rPr>
          <w:rFonts w:ascii="Palatino Linotype" w:hAnsi="Palatino Linotype"/>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76DFA">
        <w:rPr>
          <w:rFonts w:ascii="Palatino Linotype" w:hAnsi="Palatino Linotype"/>
          <w:b/>
        </w:rPr>
        <w:t>SUJETO OBLIGADO</w:t>
      </w:r>
      <w:r w:rsidRPr="00776DFA">
        <w:rPr>
          <w:rFonts w:ascii="Palatino Linotype" w:hAnsi="Palatino Linotype"/>
        </w:rPr>
        <w:t>.</w:t>
      </w:r>
    </w:p>
    <w:p w:rsidR="003B080D" w:rsidRPr="00776DFA" w:rsidRDefault="003B080D" w:rsidP="003B080D">
      <w:pPr>
        <w:pStyle w:val="Prrafodelista"/>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B080D" w:rsidRPr="00776DFA" w:rsidRDefault="003B080D" w:rsidP="003B080D">
      <w:pPr>
        <w:pBdr>
          <w:top w:val="nil"/>
          <w:left w:val="nil"/>
          <w:bottom w:val="nil"/>
          <w:right w:val="nil"/>
          <w:between w:val="nil"/>
        </w:pBdr>
        <w:spacing w:line="360" w:lineRule="auto"/>
        <w:jc w:val="both"/>
        <w:rPr>
          <w:rFonts w:ascii="Palatino Linotype" w:eastAsia="Palatino Linotype" w:hAnsi="Palatino Linotype" w:cs="Palatino Linotype"/>
        </w:rPr>
      </w:pPr>
    </w:p>
    <w:p w:rsidR="003B080D" w:rsidRPr="00776DFA" w:rsidRDefault="003B080D" w:rsidP="003B080D">
      <w:pPr>
        <w:spacing w:line="360" w:lineRule="auto"/>
        <w:ind w:right="49"/>
        <w:jc w:val="both"/>
        <w:rPr>
          <w:rFonts w:ascii="Palatino Linotype" w:eastAsia="Palatino Linotype" w:hAnsi="Palatino Linotype" w:cs="Palatino Linotype"/>
          <w:b/>
        </w:rPr>
      </w:pPr>
      <w:bookmarkStart w:id="5" w:name="_heading=h.2et92p0" w:colFirst="0" w:colLast="0"/>
      <w:bookmarkEnd w:id="5"/>
      <w:r w:rsidRPr="00776DFA">
        <w:rPr>
          <w:rFonts w:ascii="Palatino Linotype" w:eastAsia="Palatino Linotype" w:hAnsi="Palatino Linotype" w:cs="Palatino Linotype"/>
          <w:b/>
        </w:rPr>
        <w:t>TERCERO. Planteamiento de la Litis.</w:t>
      </w:r>
    </w:p>
    <w:p w:rsidR="003B080D" w:rsidRPr="00776DFA" w:rsidRDefault="003B080D" w:rsidP="003B080D">
      <w:pPr>
        <w:spacing w:line="360" w:lineRule="auto"/>
        <w:ind w:right="49"/>
        <w:jc w:val="both"/>
        <w:rPr>
          <w:rFonts w:ascii="Palatino Linotype" w:eastAsia="Palatino Linotype" w:hAnsi="Palatino Linotype" w:cs="Palatino Linotype"/>
          <w:b/>
        </w:rPr>
      </w:pPr>
    </w:p>
    <w:p w:rsidR="002A5CB3" w:rsidRPr="00776DFA" w:rsidRDefault="003B080D" w:rsidP="002A5CB3">
      <w:pPr>
        <w:numPr>
          <w:ilvl w:val="0"/>
          <w:numId w:val="2"/>
        </w:numPr>
        <w:spacing w:line="360" w:lineRule="auto"/>
        <w:ind w:left="0" w:right="49"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El particula</w:t>
      </w:r>
      <w:r w:rsidR="002A5CB3" w:rsidRPr="00776DFA">
        <w:rPr>
          <w:rFonts w:ascii="Palatino Linotype" w:eastAsia="Palatino Linotype" w:hAnsi="Palatino Linotype" w:cs="Palatino Linotype"/>
        </w:rPr>
        <w:t xml:space="preserve">r solicitó nombre y sueldo bruto y neto de los integrantes del cabildo, nombre, cargo y sueldo bruto y neto del personal que labora en la sindicatura, de la primera, segunda, tercera, cuarta, quinta, sexta, séptima, octava y novena regiduría, así como el tabulador de sueldos. </w:t>
      </w:r>
    </w:p>
    <w:p w:rsidR="003B080D" w:rsidRPr="00776DFA" w:rsidRDefault="002A5CB3" w:rsidP="002A5CB3">
      <w:pPr>
        <w:spacing w:line="360" w:lineRule="auto"/>
        <w:ind w:right="49"/>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 </w:t>
      </w:r>
    </w:p>
    <w:p w:rsidR="003B080D" w:rsidRPr="00776DFA" w:rsidRDefault="003B080D" w:rsidP="003B080D">
      <w:pPr>
        <w:numPr>
          <w:ilvl w:val="0"/>
          <w:numId w:val="2"/>
        </w:numPr>
        <w:spacing w:line="360" w:lineRule="auto"/>
        <w:ind w:left="0" w:right="49"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En respuesta, el Sujeto Obligado adjuntó</w:t>
      </w:r>
      <w:r w:rsidR="002A5CB3" w:rsidRPr="00776DFA">
        <w:rPr>
          <w:rFonts w:ascii="Palatino Linotype" w:eastAsia="Palatino Linotype" w:hAnsi="Palatino Linotype" w:cs="Palatino Linotype"/>
        </w:rPr>
        <w:t xml:space="preserve"> un oficio de requerimiento de información dirigido al Director de Administración</w:t>
      </w:r>
      <w:r w:rsidRPr="00776DFA">
        <w:rPr>
          <w:rFonts w:ascii="Palatino Linotype" w:eastAsia="Palatino Linotype" w:hAnsi="Palatino Linotype" w:cs="Palatino Linotype"/>
        </w:rPr>
        <w:t xml:space="preserve">. Posteriormente, el particular se inconformó, de forma medular, por la </w:t>
      </w:r>
      <w:r w:rsidR="002A5CB3" w:rsidRPr="00776DFA">
        <w:rPr>
          <w:rFonts w:ascii="Palatino Linotype" w:eastAsia="Palatino Linotype" w:hAnsi="Palatino Linotype" w:cs="Palatino Linotype"/>
        </w:rPr>
        <w:t xml:space="preserve">negativa de la información. </w:t>
      </w:r>
      <w:r w:rsidRPr="00776DFA">
        <w:rPr>
          <w:rFonts w:ascii="Palatino Linotype" w:eastAsia="Palatino Linotype" w:hAnsi="Palatino Linotype" w:cs="Palatino Linotype"/>
        </w:rPr>
        <w:t xml:space="preserve"> </w:t>
      </w:r>
    </w:p>
    <w:p w:rsidR="003B080D" w:rsidRPr="00776DFA" w:rsidRDefault="003B080D" w:rsidP="003B080D">
      <w:pPr>
        <w:spacing w:line="360" w:lineRule="auto"/>
        <w:ind w:right="49"/>
        <w:jc w:val="both"/>
        <w:rPr>
          <w:rFonts w:ascii="Palatino Linotype" w:eastAsia="Palatino Linotype" w:hAnsi="Palatino Linotype" w:cs="Palatino Linotype"/>
        </w:rPr>
      </w:pPr>
    </w:p>
    <w:p w:rsidR="003B080D" w:rsidRPr="00776DFA" w:rsidRDefault="003B080D" w:rsidP="003B080D">
      <w:pPr>
        <w:numPr>
          <w:ilvl w:val="0"/>
          <w:numId w:val="2"/>
        </w:numPr>
        <w:spacing w:line="360" w:lineRule="auto"/>
        <w:ind w:left="0" w:right="49"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En consecuencia, la Litis a resolver en este recurso, se circunscribe a determinar si la respuesta colma con lo solicitado o si se actualizan las causales de procedencia previstas</w:t>
      </w:r>
      <w:r w:rsidR="002A5CB3" w:rsidRPr="00776DFA">
        <w:rPr>
          <w:rFonts w:ascii="Palatino Linotype" w:eastAsia="Palatino Linotype" w:hAnsi="Palatino Linotype" w:cs="Palatino Linotype"/>
        </w:rPr>
        <w:t xml:space="preserve"> en el artículo 179, fracción I</w:t>
      </w:r>
      <w:r w:rsidRPr="00776DFA">
        <w:rPr>
          <w:rFonts w:ascii="Palatino Linotype" w:eastAsia="Palatino Linotype" w:hAnsi="Palatino Linotype" w:cs="Palatino Linotype"/>
        </w:rPr>
        <w:t xml:space="preserve"> de la Ley de Transparencia y Acceso a la Información Pública del Estado de México y Municipios; que establece la </w:t>
      </w:r>
      <w:r w:rsidR="002A5CB3" w:rsidRPr="00776DFA">
        <w:rPr>
          <w:rFonts w:ascii="Palatino Linotype" w:eastAsia="Palatino Linotype" w:hAnsi="Palatino Linotype" w:cs="Palatino Linotype"/>
        </w:rPr>
        <w:t xml:space="preserve">negativa de la información. </w:t>
      </w:r>
    </w:p>
    <w:p w:rsidR="003B080D" w:rsidRPr="00776DFA" w:rsidRDefault="003B080D" w:rsidP="003B080D">
      <w:pPr>
        <w:spacing w:line="360" w:lineRule="auto"/>
        <w:ind w:right="49"/>
        <w:jc w:val="both"/>
        <w:rPr>
          <w:rFonts w:ascii="Palatino Linotype" w:eastAsia="Palatino Linotype" w:hAnsi="Palatino Linotype" w:cs="Palatino Linotype"/>
        </w:rPr>
      </w:pPr>
    </w:p>
    <w:p w:rsidR="003B080D" w:rsidRPr="00776DFA" w:rsidRDefault="003B080D" w:rsidP="003B080D">
      <w:pPr>
        <w:keepNext/>
        <w:keepLines/>
        <w:spacing w:line="360" w:lineRule="auto"/>
        <w:ind w:right="48"/>
        <w:rPr>
          <w:rFonts w:ascii="Palatino Linotype" w:eastAsia="Palatino Linotype" w:hAnsi="Palatino Linotype" w:cs="Palatino Linotype"/>
          <w:b/>
        </w:rPr>
      </w:pPr>
      <w:bookmarkStart w:id="6" w:name="_heading=h.tyjcwt" w:colFirst="0" w:colLast="0"/>
      <w:bookmarkEnd w:id="6"/>
      <w:r w:rsidRPr="00776DFA">
        <w:rPr>
          <w:rFonts w:ascii="Palatino Linotype" w:eastAsia="Palatino Linotype" w:hAnsi="Palatino Linotype" w:cs="Palatino Linotype"/>
          <w:b/>
        </w:rPr>
        <w:lastRenderedPageBreak/>
        <w:t>CUARTO. Del estudio y resolución del recurso de revisión.</w:t>
      </w:r>
    </w:p>
    <w:p w:rsidR="003B080D" w:rsidRPr="00776DFA" w:rsidRDefault="003B080D" w:rsidP="003B080D">
      <w:pPr>
        <w:keepNext/>
        <w:keepLines/>
        <w:spacing w:line="360" w:lineRule="auto"/>
        <w:ind w:right="48"/>
        <w:rPr>
          <w:rFonts w:ascii="Palatino Linotype" w:eastAsia="Palatino Linotype" w:hAnsi="Palatino Linotype" w:cs="Palatino Linotype"/>
          <w:b/>
        </w:rPr>
      </w:pPr>
    </w:p>
    <w:p w:rsidR="003B080D" w:rsidRPr="00776DFA" w:rsidRDefault="003B080D" w:rsidP="003B080D">
      <w:pPr>
        <w:pStyle w:val="Ttulo1"/>
        <w:spacing w:before="0" w:line="360" w:lineRule="auto"/>
        <w:rPr>
          <w:rFonts w:ascii="Palatino Linotype" w:eastAsia="Palatino Linotype" w:hAnsi="Palatino Linotype" w:cs="Palatino Linotype"/>
          <w:b/>
          <w:color w:val="auto"/>
          <w:sz w:val="24"/>
          <w:szCs w:val="24"/>
        </w:rPr>
      </w:pPr>
      <w:bookmarkStart w:id="7" w:name="_heading=h.3dy6vkm" w:colFirst="0" w:colLast="0"/>
      <w:bookmarkEnd w:id="7"/>
      <w:r w:rsidRPr="00776DFA">
        <w:rPr>
          <w:rFonts w:ascii="Palatino Linotype" w:eastAsia="Palatino Linotype" w:hAnsi="Palatino Linotype" w:cs="Palatino Linotype"/>
          <w:b/>
          <w:color w:val="auto"/>
          <w:sz w:val="24"/>
          <w:szCs w:val="24"/>
        </w:rPr>
        <w:t>De la información solicitada y la respuesta del Sujeto Obligado.</w:t>
      </w:r>
    </w:p>
    <w:p w:rsidR="003B080D" w:rsidRPr="00776DFA" w:rsidRDefault="003B080D" w:rsidP="003B080D">
      <w:pPr>
        <w:spacing w:line="360" w:lineRule="auto"/>
        <w:ind w:right="49"/>
        <w:jc w:val="both"/>
        <w:rPr>
          <w:rFonts w:ascii="Palatino Linotype" w:eastAsia="Palatino Linotype" w:hAnsi="Palatino Linotype" w:cs="Palatino Linotype"/>
        </w:rPr>
      </w:pPr>
    </w:p>
    <w:p w:rsidR="003B080D" w:rsidRPr="00776DFA" w:rsidRDefault="003B080D" w:rsidP="003B080D">
      <w:pPr>
        <w:numPr>
          <w:ilvl w:val="0"/>
          <w:numId w:val="2"/>
        </w:numPr>
        <w:spacing w:line="360" w:lineRule="auto"/>
        <w:ind w:left="0" w:right="49"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3B080D" w:rsidRPr="00776DFA" w:rsidRDefault="003B080D" w:rsidP="003B080D">
      <w:pPr>
        <w:spacing w:line="360" w:lineRule="auto"/>
        <w:ind w:right="49"/>
        <w:jc w:val="both"/>
        <w:rPr>
          <w:rFonts w:ascii="Palatino Linotype" w:eastAsia="Palatino Linotype" w:hAnsi="Palatino Linotype" w:cs="Palatino Linotype"/>
        </w:rPr>
      </w:pPr>
    </w:p>
    <w:p w:rsidR="002A5CB3" w:rsidRPr="00776DFA" w:rsidRDefault="003B080D" w:rsidP="002A5CB3">
      <w:pPr>
        <w:numPr>
          <w:ilvl w:val="0"/>
          <w:numId w:val="2"/>
        </w:numPr>
        <w:spacing w:line="360" w:lineRule="auto"/>
        <w:ind w:left="0" w:right="49" w:firstLine="0"/>
        <w:jc w:val="both"/>
        <w:rPr>
          <w:rFonts w:ascii="Palatino Linotype" w:eastAsia="Palatino Linotype" w:hAnsi="Palatino Linotype" w:cs="Palatino Linotype"/>
        </w:rPr>
      </w:pPr>
      <w:bookmarkStart w:id="8" w:name="_heading=h.1t3h5sf" w:colFirst="0" w:colLast="0"/>
      <w:bookmarkEnd w:id="8"/>
      <w:r w:rsidRPr="00776DFA">
        <w:rPr>
          <w:rFonts w:ascii="Palatino Linotype" w:eastAsia="Palatino Linotype" w:hAnsi="Palatino Linotype" w:cs="Palatino Linotype"/>
        </w:rPr>
        <w:t>En es</w:t>
      </w:r>
      <w:r w:rsidR="002A5CB3" w:rsidRPr="00776DFA">
        <w:rPr>
          <w:rFonts w:ascii="Palatino Linotype" w:eastAsia="Palatino Linotype" w:hAnsi="Palatino Linotype" w:cs="Palatino Linotype"/>
        </w:rPr>
        <w:t xml:space="preserve">te caso, el particular solicitó nombre y sueldo bruto y neto de los integrantes del cabildo, nombre, cargo y sueldo bruto y neto del personal que labora en la sindicatura, de la primera, segunda, tercera, cuarta, quinta, sexta, séptima, octava y novena regiduría, así como el tabulador de sueldos. </w:t>
      </w:r>
    </w:p>
    <w:p w:rsidR="003B080D" w:rsidRPr="00776DFA" w:rsidRDefault="003B080D" w:rsidP="003B080D">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2A5CB3" w:rsidRPr="00776DFA" w:rsidRDefault="002A5CB3" w:rsidP="00FA2230">
      <w:pPr>
        <w:pStyle w:val="Prrafodelista"/>
        <w:numPr>
          <w:ilvl w:val="0"/>
          <w:numId w:val="2"/>
        </w:numPr>
        <w:spacing w:line="360" w:lineRule="auto"/>
        <w:ind w:left="0" w:firstLine="0"/>
        <w:jc w:val="both"/>
        <w:rPr>
          <w:rFonts w:ascii="Palatino Linotype" w:eastAsia="MS Mincho" w:hAnsi="Palatino Linotype"/>
        </w:rPr>
      </w:pPr>
      <w:r w:rsidRPr="00776DFA">
        <w:rPr>
          <w:rFonts w:ascii="Palatino Linotype" w:eastAsia="MS Mincho" w:hAnsi="Palatino Linotype"/>
        </w:rPr>
        <w:t xml:space="preserve">Debemos mencionar que el acceso a la información es un derecho humano constitucional y convencionalmente reconocido y para tal efecto </w:t>
      </w:r>
      <w:r w:rsidRPr="00776DFA">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776DFA">
        <w:rPr>
          <w:rFonts w:ascii="Palatino Linotype" w:eastAsia="Calibri" w:hAnsi="Palatino Linotype"/>
          <w:i/>
          <w:lang w:val="es-ES"/>
        </w:rPr>
        <w:t xml:space="preserve">en el ámbito de sus atribuciones, de promover, respetar, proteger y </w:t>
      </w:r>
      <w:r w:rsidRPr="00776DFA">
        <w:rPr>
          <w:rFonts w:ascii="Palatino Linotype" w:eastAsia="Calibri" w:hAnsi="Palatino Linotype"/>
          <w:b/>
          <w:i/>
          <w:lang w:val="es-ES"/>
        </w:rPr>
        <w:t>garantizar</w:t>
      </w:r>
      <w:r w:rsidRPr="00776DFA">
        <w:rPr>
          <w:rFonts w:ascii="Palatino Linotype" w:eastAsia="Calibri" w:hAnsi="Palatino Linotype"/>
          <w:i/>
          <w:lang w:val="es-ES"/>
        </w:rPr>
        <w:t xml:space="preserve"> los derechos humanos. </w:t>
      </w:r>
      <w:r w:rsidRPr="00776DFA">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776DFA">
        <w:rPr>
          <w:rFonts w:ascii="Palatino Linotype" w:hAnsi="Palatino Linotype"/>
          <w:i/>
        </w:rPr>
        <w:t xml:space="preserve">l procedimiento de acceso a la información es la garantía primaria del derecho en cuestión y se rige por los principios de simplicidad, rapidez </w:t>
      </w:r>
      <w:r w:rsidRPr="00776DFA">
        <w:rPr>
          <w:rFonts w:ascii="Palatino Linotype" w:hAnsi="Palatino Linotype"/>
          <w:i/>
        </w:rPr>
        <w:lastRenderedPageBreak/>
        <w:t>y gratuidad del procedimiento, auxilio y orientación a los particulares</w:t>
      </w:r>
      <w:r w:rsidRPr="00776DFA">
        <w:rPr>
          <w:rStyle w:val="Refdenotaalpie"/>
          <w:rFonts w:ascii="Palatino Linotype" w:hAnsi="Palatino Linotype"/>
          <w:i/>
        </w:rPr>
        <w:footnoteReference w:id="1"/>
      </w:r>
      <w:r w:rsidRPr="00776DFA">
        <w:rPr>
          <w:rFonts w:ascii="Palatino Linotype" w:hAnsi="Palatino Linotype"/>
          <w:i/>
        </w:rPr>
        <w:t xml:space="preserve">, </w:t>
      </w:r>
      <w:r w:rsidRPr="00776DFA">
        <w:rPr>
          <w:rFonts w:ascii="Palatino Linotype" w:hAnsi="Palatino Linotype"/>
        </w:rPr>
        <w:t>asimismo establece</w:t>
      </w:r>
      <w:r w:rsidRPr="00776DF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A5CB3" w:rsidRPr="00776DFA" w:rsidRDefault="002A5CB3" w:rsidP="002A5CB3">
      <w:pPr>
        <w:pStyle w:val="Prrafodelista"/>
        <w:rPr>
          <w:rFonts w:ascii="Palatino Linotype" w:eastAsia="Calibri" w:hAnsi="Palatino Linotype" w:cs="Arial"/>
        </w:rPr>
      </w:pPr>
    </w:p>
    <w:p w:rsidR="002A5CB3" w:rsidRPr="00776DFA" w:rsidRDefault="002A5CB3" w:rsidP="00FA2230">
      <w:pPr>
        <w:pStyle w:val="Prrafodelista"/>
        <w:numPr>
          <w:ilvl w:val="0"/>
          <w:numId w:val="2"/>
        </w:numPr>
        <w:spacing w:line="360" w:lineRule="auto"/>
        <w:ind w:left="0" w:firstLine="0"/>
        <w:jc w:val="both"/>
        <w:rPr>
          <w:rFonts w:ascii="Palatino Linotype" w:eastAsia="Calibri" w:hAnsi="Palatino Linotype" w:cs="Arial"/>
        </w:rPr>
      </w:pPr>
      <w:r w:rsidRPr="00776DFA">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2A5CB3" w:rsidRPr="00776DFA" w:rsidRDefault="002A5CB3" w:rsidP="00FA2230">
      <w:pPr>
        <w:pStyle w:val="Prrafodelista"/>
        <w:ind w:left="0"/>
        <w:rPr>
          <w:rFonts w:ascii="Palatino Linotype" w:hAnsi="Palatino Linotype"/>
        </w:rPr>
      </w:pPr>
    </w:p>
    <w:p w:rsidR="002A5CB3" w:rsidRPr="00776DFA" w:rsidRDefault="002A5CB3" w:rsidP="00FA2230">
      <w:pPr>
        <w:pStyle w:val="Prrafodelista"/>
        <w:numPr>
          <w:ilvl w:val="0"/>
          <w:numId w:val="2"/>
        </w:numPr>
        <w:spacing w:line="360" w:lineRule="auto"/>
        <w:ind w:left="0" w:firstLine="0"/>
        <w:jc w:val="both"/>
        <w:rPr>
          <w:rFonts w:ascii="Palatino Linotype" w:eastAsia="Calibri" w:hAnsi="Palatino Linotype" w:cs="Arial"/>
        </w:rPr>
      </w:pPr>
      <w:r w:rsidRPr="00776DFA">
        <w:rPr>
          <w:rFonts w:ascii="Palatino Linotype" w:hAnsi="Palatino Linotype"/>
        </w:rPr>
        <w:t xml:space="preserve">Es así que, su obligación es </w:t>
      </w:r>
      <w:r w:rsidRPr="00776DFA">
        <w:rPr>
          <w:rFonts w:ascii="Palatino Linotype" w:hAnsi="Palatino Linotype"/>
          <w:i/>
        </w:rPr>
        <w:t>realizar, con efectividad, los trámites internos necesarios para la atención de las solicitudes de información</w:t>
      </w:r>
      <w:r w:rsidRPr="00776DFA">
        <w:rPr>
          <w:rStyle w:val="Refdenotaalpie"/>
          <w:rFonts w:ascii="Palatino Linotype" w:hAnsi="Palatino Linotype"/>
        </w:rPr>
        <w:footnoteReference w:id="2"/>
      </w:r>
      <w:r w:rsidRPr="00776DFA">
        <w:rPr>
          <w:rFonts w:ascii="Palatino Linotype" w:hAnsi="Palatino Linotype"/>
        </w:rPr>
        <w:t>, es decir, deben otorgar respuestas concisas, contundentes y sobre todo que den la certeza de los actos que realizan.</w:t>
      </w:r>
    </w:p>
    <w:p w:rsidR="002A5CB3" w:rsidRPr="00776DFA" w:rsidRDefault="002A5CB3" w:rsidP="00FA2230">
      <w:pPr>
        <w:pStyle w:val="Prrafodelista"/>
        <w:ind w:left="0"/>
        <w:rPr>
          <w:rFonts w:ascii="Palatino Linotype" w:eastAsia="Calibri" w:hAnsi="Palatino Linotype" w:cs="Arial"/>
        </w:rPr>
      </w:pPr>
    </w:p>
    <w:p w:rsidR="002A5CB3" w:rsidRPr="00776DFA" w:rsidRDefault="002A5CB3" w:rsidP="00FA2230">
      <w:pPr>
        <w:pStyle w:val="Prrafodelista"/>
        <w:numPr>
          <w:ilvl w:val="0"/>
          <w:numId w:val="2"/>
        </w:numPr>
        <w:spacing w:line="360" w:lineRule="auto"/>
        <w:ind w:left="0" w:firstLine="0"/>
        <w:jc w:val="both"/>
        <w:rPr>
          <w:rFonts w:ascii="Palatino Linotype" w:eastAsia="MS Mincho" w:hAnsi="Palatino Linotype"/>
        </w:rPr>
      </w:pPr>
      <w:r w:rsidRPr="00776DFA">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776DFA">
        <w:rPr>
          <w:rFonts w:ascii="Palatino Linotype" w:eastAsia="Arial Unicode MS" w:hAnsi="Palatino Linotype" w:cs="Arial"/>
          <w:lang w:eastAsia="en-US"/>
        </w:rPr>
        <w:t xml:space="preserve">de la Ley de Transparencia y Acceso </w:t>
      </w:r>
      <w:r w:rsidRPr="00776DFA">
        <w:rPr>
          <w:rFonts w:ascii="Palatino Linotype" w:eastAsia="Arial Unicode MS" w:hAnsi="Palatino Linotype" w:cs="Arial"/>
          <w:lang w:eastAsia="en-US"/>
        </w:rPr>
        <w:lastRenderedPageBreak/>
        <w:t>a la Información del Estado de México y Municipios, que a la letra estipulan lo siguiente:</w:t>
      </w:r>
    </w:p>
    <w:p w:rsidR="002A5CB3" w:rsidRPr="00776DFA" w:rsidRDefault="002A5CB3" w:rsidP="002A5CB3">
      <w:pPr>
        <w:spacing w:line="360" w:lineRule="auto"/>
        <w:jc w:val="both"/>
        <w:rPr>
          <w:rFonts w:ascii="Palatino Linotype" w:eastAsia="Arial Unicode MS" w:hAnsi="Palatino Linotype" w:cs="Arial"/>
          <w:lang w:eastAsia="en-U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i/>
          <w:iCs/>
        </w:rPr>
        <w:t xml:space="preserve">Artículo 50. </w:t>
      </w:r>
      <w:r w:rsidRPr="00776DF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2A5CB3" w:rsidRPr="00776DFA" w:rsidRDefault="002A5CB3" w:rsidP="00FA2230">
      <w:pPr>
        <w:ind w:left="851" w:right="822"/>
        <w:jc w:val="both"/>
        <w:rPr>
          <w:rFonts w:ascii="Palatino Linotype" w:eastAsia="Palatino Linotype" w:hAnsi="Palatino Linotype" w:cs="Palatino Linotype"/>
          <w:i/>
          <w:iC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i/>
          <w:iCs/>
        </w:rPr>
        <w:t xml:space="preserve">Artículo 53. </w:t>
      </w:r>
      <w:r w:rsidRPr="00776DFA">
        <w:rPr>
          <w:rFonts w:ascii="Palatino Linotype" w:eastAsia="Palatino Linotype" w:hAnsi="Palatino Linotype" w:cs="Palatino Linotype"/>
          <w:i/>
          <w:iCs/>
        </w:rPr>
        <w:t>Las Unidades de Transparencia tendrán las siguientes funciones:</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i/>
          <w:iCs/>
        </w:rPr>
        <w:t>(…)</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bCs/>
          <w:i/>
          <w:iCs/>
        </w:rPr>
        <w:t>II.</w:t>
      </w:r>
      <w:r w:rsidRPr="00776DFA">
        <w:rPr>
          <w:rFonts w:ascii="Palatino Linotype" w:eastAsia="Palatino Linotype" w:hAnsi="Palatino Linotype" w:cs="Palatino Linotype"/>
          <w:i/>
          <w:iCs/>
        </w:rPr>
        <w:t xml:space="preserve"> Recibir, tramitar y dar respuesta a las solicitudes de acceso a la información;</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i/>
          <w:iCs/>
        </w:rPr>
        <w:t>(…)</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bCs/>
          <w:i/>
          <w:iCs/>
        </w:rPr>
        <w:t>IV.</w:t>
      </w:r>
      <w:r w:rsidRPr="00776DF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bCs/>
          <w:i/>
          <w:iCs/>
        </w:rPr>
        <w:t>V.</w:t>
      </w:r>
      <w:r w:rsidRPr="00776DFA">
        <w:rPr>
          <w:rFonts w:ascii="Palatino Linotype" w:eastAsia="Palatino Linotype" w:hAnsi="Palatino Linotype" w:cs="Palatino Linotype"/>
          <w:i/>
          <w:iCs/>
        </w:rPr>
        <w:t xml:space="preserve"> Entregar, en su caso, a los particulares la información solicitada;</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i/>
          <w:iCs/>
        </w:rPr>
        <w:t>(…)</w:t>
      </w:r>
    </w:p>
    <w:p w:rsidR="002A5CB3" w:rsidRPr="00776DFA" w:rsidRDefault="002A5CB3" w:rsidP="00FA2230">
      <w:pPr>
        <w:ind w:left="851" w:right="822"/>
        <w:jc w:val="both"/>
        <w:rPr>
          <w:rFonts w:ascii="Palatino Linotype" w:eastAsia="Palatino Linotype" w:hAnsi="Palatino Linotype" w:cs="Palatino Linotype"/>
          <w:i/>
          <w:iC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i/>
          <w:iCs/>
        </w:rPr>
        <w:t xml:space="preserve">Artículo 58. </w:t>
      </w:r>
      <w:r w:rsidRPr="00776DF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2A5CB3" w:rsidRPr="00776DFA" w:rsidRDefault="002A5CB3" w:rsidP="00FA2230">
      <w:pPr>
        <w:ind w:left="851" w:right="822"/>
        <w:jc w:val="both"/>
        <w:rPr>
          <w:rFonts w:ascii="Palatino Linotype" w:eastAsia="Palatino Linotype" w:hAnsi="Palatino Linotype" w:cs="Palatino Linotype"/>
          <w:i/>
          <w:iC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i/>
          <w:iCs/>
        </w:rPr>
        <w:t xml:space="preserve">Artículo 59. </w:t>
      </w:r>
      <w:r w:rsidRPr="00776DFA">
        <w:rPr>
          <w:rFonts w:ascii="Palatino Linotype" w:eastAsia="Palatino Linotype" w:hAnsi="Palatino Linotype" w:cs="Palatino Linotype"/>
          <w:i/>
          <w:iCs/>
        </w:rPr>
        <w:t>Los servidores públicos habilitados tendrán las funciones siguientes:</w:t>
      </w:r>
    </w:p>
    <w:p w:rsidR="002A5CB3" w:rsidRPr="00776DFA" w:rsidRDefault="002A5CB3" w:rsidP="00FA2230">
      <w:pPr>
        <w:ind w:left="851" w:right="822"/>
        <w:jc w:val="both"/>
        <w:rPr>
          <w:rFonts w:ascii="Palatino Linotype" w:eastAsia="Palatino Linotype" w:hAnsi="Palatino Linotype" w:cs="Palatino Linotype"/>
          <w:i/>
          <w:iC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bCs/>
          <w:i/>
          <w:iCs/>
        </w:rPr>
        <w:t>I.</w:t>
      </w:r>
      <w:r w:rsidRPr="00776DFA">
        <w:rPr>
          <w:rFonts w:ascii="Palatino Linotype" w:eastAsia="Palatino Linotype" w:hAnsi="Palatino Linotype" w:cs="Palatino Linotype"/>
          <w:i/>
          <w:iCs/>
        </w:rPr>
        <w:t xml:space="preserve"> Localizar la información que le solicite la Unidad de Transparencia;</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bCs/>
          <w:i/>
          <w:iCs/>
        </w:rPr>
        <w:t>II.</w:t>
      </w:r>
      <w:r w:rsidRPr="00776DFA">
        <w:rPr>
          <w:rFonts w:ascii="Palatino Linotype" w:eastAsia="Palatino Linotype" w:hAnsi="Palatino Linotype" w:cs="Palatino Linotype"/>
          <w:i/>
          <w:iCs/>
        </w:rPr>
        <w:t xml:space="preserve"> Proporcionar la información que obre en los archivos y que le sea solicitada por la Unidad de Transparencia;</w:t>
      </w: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i/>
          <w:iCs/>
        </w:rPr>
        <w:t>(...)</w:t>
      </w:r>
    </w:p>
    <w:p w:rsidR="002A5CB3" w:rsidRPr="00776DFA" w:rsidRDefault="002A5CB3" w:rsidP="00FA2230">
      <w:pPr>
        <w:ind w:left="851" w:right="822"/>
        <w:jc w:val="both"/>
        <w:rPr>
          <w:rFonts w:ascii="Palatino Linotype" w:eastAsia="Palatino Linotype" w:hAnsi="Palatino Linotype" w:cs="Palatino Linotype"/>
          <w:i/>
          <w:iCs/>
        </w:rPr>
      </w:pPr>
    </w:p>
    <w:p w:rsidR="002A5CB3" w:rsidRPr="00776DFA" w:rsidRDefault="002A5CB3" w:rsidP="00FA2230">
      <w:pPr>
        <w:ind w:left="851" w:right="822"/>
        <w:jc w:val="both"/>
        <w:rPr>
          <w:rFonts w:ascii="Palatino Linotype" w:eastAsia="Palatino Linotype" w:hAnsi="Palatino Linotype" w:cs="Palatino Linotype"/>
          <w:i/>
          <w:iCs/>
        </w:rPr>
      </w:pPr>
      <w:r w:rsidRPr="00776DFA">
        <w:rPr>
          <w:rFonts w:ascii="Palatino Linotype" w:eastAsia="Palatino Linotype" w:hAnsi="Palatino Linotype" w:cs="Palatino Linotype"/>
          <w:b/>
          <w:i/>
          <w:iCs/>
        </w:rPr>
        <w:t xml:space="preserve">Artículo 162. </w:t>
      </w:r>
      <w:r w:rsidRPr="00776DFA">
        <w:rPr>
          <w:rFonts w:ascii="Palatino Linotype" w:eastAsia="Palatino Linotype" w:hAnsi="Palatino Linotype" w:cs="Palatino Linotype"/>
          <w:i/>
          <w:iCs/>
        </w:rPr>
        <w:t xml:space="preserve">Las unidades de transparencia deberán garantizar que las solicitudes se turnen a todas las Áreas competentes que cuenten con la información o deban tenerla de acuerdo a sus facultades, competencias y </w:t>
      </w:r>
      <w:r w:rsidRPr="00776DFA">
        <w:rPr>
          <w:rFonts w:ascii="Palatino Linotype" w:eastAsia="Palatino Linotype" w:hAnsi="Palatino Linotype" w:cs="Palatino Linotype"/>
          <w:i/>
          <w:iCs/>
        </w:rPr>
        <w:lastRenderedPageBreak/>
        <w:t>funciones, con el objeto de que realicen una búsqueda exhaustiva y razonable de la información solicitada.</w:t>
      </w:r>
    </w:p>
    <w:p w:rsidR="002A5CB3" w:rsidRPr="00776DFA" w:rsidRDefault="002A5CB3" w:rsidP="002A5CB3">
      <w:pPr>
        <w:spacing w:line="360" w:lineRule="auto"/>
        <w:jc w:val="both"/>
        <w:rPr>
          <w:rFonts w:ascii="Palatino Linotype" w:eastAsia="Palatino Linotype" w:hAnsi="Palatino Linotype" w:cs="Palatino Linotype"/>
        </w:rPr>
      </w:pPr>
    </w:p>
    <w:p w:rsidR="002A5CB3" w:rsidRPr="00776DFA" w:rsidRDefault="002A5CB3" w:rsidP="00FA223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776DFA">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776DFA">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776DFA">
        <w:rPr>
          <w:rFonts w:ascii="Palatino Linotype" w:eastAsia="Arial Unicode MS" w:hAnsi="Palatino Linotype" w:cs="Arial"/>
          <w:lang w:eastAsia="en-US"/>
        </w:rPr>
        <w:t>la</w:t>
      </w:r>
      <w:proofErr w:type="gramEnd"/>
      <w:r w:rsidRPr="00776DFA">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2A5CB3" w:rsidRPr="00776DFA" w:rsidRDefault="002A5CB3" w:rsidP="00FA2230">
      <w:pPr>
        <w:pStyle w:val="Prrafodelista"/>
        <w:spacing w:line="360" w:lineRule="auto"/>
        <w:ind w:left="0"/>
        <w:jc w:val="both"/>
        <w:rPr>
          <w:rFonts w:ascii="Palatino Linotype" w:eastAsia="Arial Unicode MS" w:hAnsi="Palatino Linotype" w:cs="Arial"/>
          <w:lang w:eastAsia="en-US"/>
        </w:rPr>
      </w:pPr>
    </w:p>
    <w:p w:rsidR="002A5CB3" w:rsidRPr="00776DFA" w:rsidRDefault="002A5CB3" w:rsidP="00FA223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776DFA">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2A5CB3" w:rsidRPr="00776DFA" w:rsidRDefault="002A5CB3" w:rsidP="00FA2230">
      <w:pPr>
        <w:pStyle w:val="Prrafodelista"/>
        <w:ind w:left="0"/>
        <w:rPr>
          <w:rFonts w:ascii="Palatino Linotype" w:eastAsia="Arial Unicode MS" w:hAnsi="Palatino Linotype" w:cs="Arial"/>
          <w:lang w:eastAsia="en-US"/>
        </w:rPr>
      </w:pPr>
    </w:p>
    <w:p w:rsidR="002A5CB3" w:rsidRPr="00776DFA" w:rsidRDefault="00FA2230" w:rsidP="00FA223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776DFA">
        <w:rPr>
          <w:rFonts w:ascii="Palatino Linotype" w:eastAsia="Arial Unicode MS" w:hAnsi="Palatino Linotype" w:cs="Arial"/>
          <w:lang w:eastAsia="en-US"/>
        </w:rPr>
        <w:t xml:space="preserve">En </w:t>
      </w:r>
      <w:r w:rsidR="005F678B" w:rsidRPr="00776DFA">
        <w:rPr>
          <w:rFonts w:ascii="Palatino Linotype" w:eastAsia="Arial Unicode MS" w:hAnsi="Palatino Linotype" w:cs="Arial"/>
          <w:lang w:eastAsia="en-US"/>
        </w:rPr>
        <w:t>ese sentido</w:t>
      </w:r>
      <w:r w:rsidRPr="00776DFA">
        <w:rPr>
          <w:rFonts w:ascii="Palatino Linotype" w:eastAsia="Arial Unicode MS" w:hAnsi="Palatino Linotype" w:cs="Arial"/>
          <w:lang w:eastAsia="en-US"/>
        </w:rPr>
        <w:t xml:space="preserve">, es necesario traer a contexto el artículo 68 del Bando Municipal 2025 del Sujeto Obligado, en el que establece </w:t>
      </w:r>
      <w:r w:rsidR="005F678B" w:rsidRPr="00776DFA">
        <w:rPr>
          <w:rFonts w:ascii="Palatino Linotype" w:eastAsia="Arial Unicode MS" w:hAnsi="Palatino Linotype" w:cs="Arial"/>
          <w:lang w:eastAsia="en-US"/>
        </w:rPr>
        <w:t xml:space="preserve">que la Dirección de Administración tiene por objeto proveer de los bienes y herramientas necesarias a las diferentes dependencias municipales para el cumplimientos de sus objetivos específicos, así </w:t>
      </w:r>
      <w:r w:rsidR="005F678B" w:rsidRPr="00776DFA">
        <w:rPr>
          <w:rFonts w:ascii="Palatino Linotype" w:eastAsia="Arial Unicode MS" w:hAnsi="Palatino Linotype" w:cs="Arial"/>
          <w:lang w:eastAsia="en-US"/>
        </w:rPr>
        <w:lastRenderedPageBreak/>
        <w:t>como brindar los mecanismos para el control de flujo de recursos financieros y entre sus atribuciones tiene las siguientes:</w:t>
      </w:r>
    </w:p>
    <w:p w:rsidR="005F678B" w:rsidRPr="00776DFA" w:rsidRDefault="005F678B" w:rsidP="005F678B">
      <w:pPr>
        <w:pStyle w:val="Prrafodelista"/>
        <w:rPr>
          <w:rFonts w:ascii="Palatino Linotype" w:eastAsia="Arial Unicode MS" w:hAnsi="Palatino Linotype" w:cs="Arial"/>
          <w:lang w:eastAsia="en-US"/>
        </w:rPr>
      </w:pP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r w:rsidRPr="00776DFA">
        <w:rPr>
          <w:rFonts w:ascii="Palatino Linotype" w:eastAsia="Arial Unicode MS" w:hAnsi="Palatino Linotype" w:cs="Arial"/>
          <w:i/>
          <w:lang w:eastAsia="en-US"/>
        </w:rPr>
        <w:t xml:space="preserve">“I.- Aplicar las políticas, normas y procedimientos para la administración de los recursos financieros y materiales del Municipio; </w:t>
      </w: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r w:rsidRPr="00776DFA">
        <w:rPr>
          <w:rFonts w:ascii="Palatino Linotype" w:eastAsia="Arial Unicode MS" w:hAnsi="Palatino Linotype" w:cs="Arial"/>
          <w:i/>
          <w:lang w:eastAsia="en-US"/>
        </w:rPr>
        <w:t>II.- Organizar y dirigir la administración de los recursos materiales y financieros, así como la prestación de los servicios generales del Municipio;</w:t>
      </w: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r w:rsidRPr="00776DFA">
        <w:rPr>
          <w:rFonts w:ascii="Palatino Linotype" w:eastAsia="Arial Unicode MS" w:hAnsi="Palatino Linotype" w:cs="Arial"/>
          <w:i/>
          <w:lang w:eastAsia="en-US"/>
        </w:rPr>
        <w:t>…</w:t>
      </w: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r w:rsidRPr="00776DFA">
        <w:rPr>
          <w:rFonts w:ascii="Palatino Linotype" w:eastAsia="Arial Unicode MS" w:hAnsi="Palatino Linotype" w:cs="Arial"/>
          <w:i/>
          <w:lang w:eastAsia="en-US"/>
        </w:rPr>
        <w:t>XIV.- Actualizar los catálogos de puestos y los tabuladores de sueldos de los servidores públicos del Ayuntamiento, para que exista congruencia entre la función a desempeñar y la remuneración a percibir;</w:t>
      </w: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r w:rsidRPr="00776DFA">
        <w:rPr>
          <w:rFonts w:ascii="Palatino Linotype" w:eastAsia="Arial Unicode MS" w:hAnsi="Palatino Linotype" w:cs="Arial"/>
          <w:i/>
          <w:lang w:eastAsia="en-US"/>
        </w:rPr>
        <w:t>…”</w:t>
      </w:r>
    </w:p>
    <w:p w:rsidR="005F678B" w:rsidRPr="00776DFA" w:rsidRDefault="005F678B" w:rsidP="005F678B">
      <w:pPr>
        <w:pStyle w:val="Prrafodelista"/>
        <w:spacing w:line="360" w:lineRule="auto"/>
        <w:ind w:left="851" w:right="822"/>
        <w:jc w:val="both"/>
        <w:rPr>
          <w:rFonts w:ascii="Palatino Linotype" w:eastAsia="Arial Unicode MS" w:hAnsi="Palatino Linotype" w:cs="Arial"/>
          <w:i/>
          <w:lang w:eastAsia="en-US"/>
        </w:rPr>
      </w:pPr>
    </w:p>
    <w:p w:rsidR="005F678B" w:rsidRPr="00776DFA" w:rsidRDefault="005F678B" w:rsidP="005F678B">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Ahora bien, en el presente caso, el Sujeto Obligado entregó el requerimiento de información al Director de Administración, sin embargo, no se advierte una respuesta por parte de servidor público habilitado, en ese sentido, no se puede tener por atendida la solicitud de información. </w:t>
      </w:r>
    </w:p>
    <w:p w:rsidR="002A5CB3" w:rsidRPr="00776DFA" w:rsidRDefault="002A5CB3" w:rsidP="002A5CB3">
      <w:pPr>
        <w:pStyle w:val="Prrafodelista"/>
        <w:rPr>
          <w:rFonts w:ascii="Palatino Linotype" w:eastAsia="Palatino Linotype" w:hAnsi="Palatino Linotype" w:cs="Palatino Linotype"/>
        </w:rPr>
      </w:pPr>
    </w:p>
    <w:p w:rsidR="009D4654" w:rsidRPr="00776DFA" w:rsidRDefault="005F678B"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Consecuentemente, </w:t>
      </w:r>
      <w:r w:rsidR="009D4654" w:rsidRPr="00776DFA">
        <w:rPr>
          <w:rFonts w:ascii="Palatino Linotype" w:eastAsia="Palatino Linotype" w:hAnsi="Palatino Linotype" w:cs="Palatino Linotype"/>
        </w:rPr>
        <w:t>cabe resaltar que el artículo 25 del Bando Municipal del Sujeto Obligado establece que para la consulta, estudio, planeación y despacho de los asuntos en los diversos ramos de la Administración Pública Municipal, la o el Presidente Municipal se auxiliara de la Secretaría del Ayuntamiento y de diversas dependencias, entre las cuales, se encuentra la Tesorería Municipal.</w:t>
      </w:r>
    </w:p>
    <w:p w:rsidR="009D4654" w:rsidRPr="00776DFA" w:rsidRDefault="009D4654" w:rsidP="009D4654">
      <w:pPr>
        <w:pStyle w:val="Prrafodelista"/>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lastRenderedPageBreak/>
        <w:t>Por su parte, la Ley Orgánica Municipal del Estado de México, establece en su artículo 93, que la Tesorería Municipal es el órgano encargado de la recaudación de los ingresos municipales y responsable de realizar las erogaciones que haga el Ayuntamiento; asimismo, las atribuciones conferidas al Tesorero Municipal, mismas que se transcriben a continuación:</w:t>
      </w:r>
    </w:p>
    <w:p w:rsidR="009D4654" w:rsidRPr="00776DFA" w:rsidRDefault="009D4654" w:rsidP="009D4654">
      <w:pPr>
        <w:spacing w:line="360" w:lineRule="auto"/>
        <w:ind w:right="1"/>
        <w:jc w:val="both"/>
        <w:rPr>
          <w:rFonts w:ascii="Palatino Linotype" w:eastAsia="Palatino Linotype" w:hAnsi="Palatino Linotype" w:cs="Palatino Linotype"/>
          <w:b/>
        </w:rPr>
      </w:pP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 xml:space="preserve">“Artículo 95.- Son atribuciones del tesorero municipal: </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 xml:space="preserve">I. Administrar la hacienda pública municipal, de conformidad con las disposiciones legales aplicables; </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 xml:space="preserve">III. Imponer las sanciones administrativas que procedan por infracciones a las disposiciones fiscales; </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 xml:space="preserve">IV. Llevar los registros contables, financieros y administrativos de los ingresos, egresos, e inventarios; </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V. Proporcionar oportunamente al ayuntamiento todos los datos o informes que sean necesarios para la formulación del Presupuesto de Egresos Municipales, vigilando que se ajuste a las disposiciones de esta Ley y otros ordenamientos aplicables;</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w:t>
      </w:r>
    </w:p>
    <w:p w:rsidR="009D4654" w:rsidRPr="00776DFA" w:rsidRDefault="009D4654" w:rsidP="009D4654">
      <w:pPr>
        <w:ind w:left="567" w:right="567"/>
        <w:jc w:val="both"/>
        <w:rPr>
          <w:rFonts w:ascii="Palatino Linotype" w:eastAsia="Palatino Linotype" w:hAnsi="Palatino Linotype" w:cs="Palatino Linotype"/>
          <w:b/>
          <w:i/>
        </w:rPr>
      </w:pPr>
    </w:p>
    <w:p w:rsidR="009D4654" w:rsidRPr="00776DFA" w:rsidRDefault="009D4654" w:rsidP="009D4654">
      <w:pPr>
        <w:ind w:right="567"/>
        <w:jc w:val="both"/>
        <w:rPr>
          <w:rFonts w:ascii="Palatino Linotype" w:eastAsia="Palatino Linotype" w:hAnsi="Palatino Linotype" w:cs="Palatino Linotype"/>
          <w:b/>
          <w:i/>
        </w:rPr>
      </w:pPr>
    </w:p>
    <w:p w:rsidR="009D4654" w:rsidRPr="00776DFA" w:rsidRDefault="009D4654" w:rsidP="009D4654">
      <w:pPr>
        <w:pStyle w:val="Prrafodelista"/>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Así, se tiene que el Tesorero Municipal es el encargado de Administrar la hacienda pública municipal y llevar los registros contables, financieros y administrativos de los ingresos, egresos, e inventarios del Municipio; en consecuencia, </w:t>
      </w:r>
      <w:r w:rsidRPr="00776DFA">
        <w:rPr>
          <w:rFonts w:ascii="Palatino Linotype" w:eastAsia="Palatino Linotype" w:hAnsi="Palatino Linotype" w:cs="Palatino Linotype"/>
        </w:rPr>
        <w:lastRenderedPageBreak/>
        <w:t>de manera enunciativa más no limitativa, es una de las áreas que podría proporcionar la información solicitada.</w:t>
      </w:r>
    </w:p>
    <w:p w:rsidR="009D4654" w:rsidRPr="00776DFA" w:rsidRDefault="009D4654" w:rsidP="009D465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Ahora bien, relativo a la naturaleza de la información solicitada, el </w:t>
      </w:r>
      <w:r w:rsidRPr="00776DFA">
        <w:rPr>
          <w:rFonts w:ascii="Palatino Linotype" w:eastAsia="Palatino Linotype" w:hAnsi="Palatino Linotype" w:cs="Palatino Linotype"/>
          <w:color w:val="000000"/>
        </w:rPr>
        <w:t>artículo 147 de la Constitución Política del Estado Libre y Soberano de México, refiere que los trabajadores al servicio del Estado, como los miembros de los Ayuntamientos, recibirán una remuneración adecuada e irrenunciable por el desempeño de su empleo, cargo o comisión, que será determinada en el presupuesto de egresos que corresponda.</w:t>
      </w:r>
    </w:p>
    <w:p w:rsidR="009D4654" w:rsidRPr="00776DFA" w:rsidRDefault="009D4654" w:rsidP="009D4654">
      <w:pPr>
        <w:pStyle w:val="Prrafodelista"/>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En </w:t>
      </w:r>
      <w:r w:rsidRPr="00776DFA">
        <w:rPr>
          <w:rFonts w:ascii="Palatino Linotype" w:eastAsia="Palatino Linotype" w:hAnsi="Palatino Linotype" w:cs="Palatino Linotype"/>
          <w:color w:val="000000"/>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9D4654" w:rsidRPr="00776DFA" w:rsidRDefault="009D4654" w:rsidP="009D4654">
      <w:pPr>
        <w:pStyle w:val="Prrafodelista"/>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De </w:t>
      </w:r>
      <w:r w:rsidRPr="00776DFA">
        <w:rPr>
          <w:rFonts w:ascii="Palatino Linotype" w:eastAsia="Palatino Linotype" w:hAnsi="Palatino Linotype" w:cs="Palatino Linotype"/>
          <w:color w:val="000000"/>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9D4654" w:rsidRPr="00776DFA" w:rsidRDefault="009D4654" w:rsidP="009D4654">
      <w:pPr>
        <w:pStyle w:val="Prrafodelista"/>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En </w:t>
      </w:r>
      <w:r w:rsidRPr="00776DFA">
        <w:rPr>
          <w:rFonts w:ascii="Palatino Linotype" w:eastAsia="Palatino Linotype" w:hAnsi="Palatino Linotype" w:cs="Palatino Linotype"/>
          <w:color w:val="000000"/>
        </w:rPr>
        <w:t xml:space="preserve">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w:t>
      </w:r>
      <w:r w:rsidRPr="00776DFA">
        <w:rPr>
          <w:rFonts w:ascii="Palatino Linotype" w:eastAsia="Palatino Linotype" w:hAnsi="Palatino Linotype" w:cs="Palatino Linotype"/>
          <w:color w:val="000000"/>
        </w:rPr>
        <w:lastRenderedPageBreak/>
        <w:t>actualizada, las remuneraciones brutas y netas de todos los servidores públicos, que incluya todas las percepciones, entre las cuales, se encuentran los sueldos, prestaciones, gratificaciones, primas, comisiones, dietas, bonos, estímulos, ingresos, entre otros.</w:t>
      </w:r>
    </w:p>
    <w:p w:rsidR="009D4654" w:rsidRPr="00776DFA" w:rsidRDefault="009D4654" w:rsidP="009D4654">
      <w:pPr>
        <w:pStyle w:val="Prrafodelista"/>
        <w:rPr>
          <w:rFonts w:ascii="Palatino Linotype" w:eastAsia="Palatino Linotype" w:hAnsi="Palatino Linotype" w:cs="Palatino Linotype"/>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Además </w:t>
      </w:r>
      <w:r w:rsidRPr="00776DFA">
        <w:rPr>
          <w:rFonts w:ascii="Palatino Linotype" w:eastAsia="Palatino Linotype" w:hAnsi="Palatino Linotype" w:cs="Palatino Linotype"/>
          <w:color w:val="000000"/>
        </w:rPr>
        <w:t>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rsidR="009D4654" w:rsidRPr="00776DFA" w:rsidRDefault="009D4654" w:rsidP="009D4654">
      <w:pPr>
        <w:pStyle w:val="Prrafodelista"/>
        <w:rPr>
          <w:rFonts w:ascii="Palatino Linotype" w:eastAsia="Palatino Linotype" w:hAnsi="Palatino Linotype" w:cs="Palatino Linotype"/>
          <w:color w:val="000000"/>
        </w:rPr>
      </w:pPr>
    </w:p>
    <w:p w:rsidR="009D4654" w:rsidRPr="00776DFA" w:rsidRDefault="009D4654" w:rsidP="009D4654">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color w:val="000000"/>
        </w:rPr>
        <w:t xml:space="preserve">Ahora bien, </w:t>
      </w:r>
      <w:r w:rsidRPr="00776DFA">
        <w:rPr>
          <w:rFonts w:ascii="Palatino Linotype" w:eastAsia="Calibri" w:hAnsi="Palatino Linotype" w:cs="Tahoma"/>
          <w:bCs/>
          <w:lang w:eastAsia="en-US"/>
        </w:rPr>
        <w:t xml:space="preserve">sobre la nómina, </w:t>
      </w:r>
      <w:r w:rsidRPr="00776DFA">
        <w:rPr>
          <w:rFonts w:ascii="Palatino Linotype" w:hAnsi="Palatino Linotype"/>
        </w:rPr>
        <w:t xml:space="preserve">nos lleva a precisar que </w:t>
      </w:r>
      <w:r w:rsidRPr="00776DFA">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776DFA">
        <w:rPr>
          <w:rFonts w:ascii="Palatino Linotype" w:hAnsi="Palatino Linotype" w:cs="Arial"/>
        </w:rPr>
        <w:t>Presupuestación</w:t>
      </w:r>
      <w:proofErr w:type="spellEnd"/>
      <w:r w:rsidRPr="00776DFA">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w:t>
      </w:r>
      <w:r w:rsidRPr="00776DFA">
        <w:rPr>
          <w:rFonts w:ascii="Palatino Linotype" w:hAnsi="Palatino Linotype" w:cs="Arial"/>
        </w:rPr>
        <w:lastRenderedPageBreak/>
        <w:t>Instituto para el Desarrollo Técnico de las Haciendas Públicas (INDETEC), señalan la siguiente definición de la palabra nómina, honorarios y personal de lista de raya:</w:t>
      </w:r>
    </w:p>
    <w:p w:rsidR="009D4654" w:rsidRPr="00776DFA" w:rsidRDefault="009D4654" w:rsidP="009D4654">
      <w:pPr>
        <w:spacing w:line="360" w:lineRule="auto"/>
        <w:ind w:right="1"/>
        <w:jc w:val="both"/>
        <w:rPr>
          <w:rFonts w:ascii="Palatino Linotype" w:hAnsi="Palatino Linotype" w:cs="Arial"/>
        </w:rPr>
      </w:pPr>
    </w:p>
    <w:p w:rsidR="009D4654" w:rsidRPr="00776DFA" w:rsidRDefault="009D4654" w:rsidP="009D4654">
      <w:pPr>
        <w:spacing w:before="240" w:after="240"/>
        <w:ind w:left="567" w:right="565"/>
        <w:contextualSpacing/>
        <w:jc w:val="both"/>
        <w:rPr>
          <w:rFonts w:ascii="Palatino Linotype" w:hAnsi="Palatino Linotype" w:cs="Arial"/>
          <w:i/>
        </w:rPr>
      </w:pPr>
      <w:r w:rsidRPr="00776DFA">
        <w:rPr>
          <w:rFonts w:ascii="Palatino Linotype" w:hAnsi="Palatino Linotype" w:cs="Arial"/>
          <w:b/>
          <w:bCs/>
          <w:i/>
        </w:rPr>
        <w:t xml:space="preserve">“NÓMINA </w:t>
      </w:r>
      <w:r w:rsidRPr="00776DFA">
        <w:rPr>
          <w:rFonts w:ascii="Palatino Linotype" w:hAnsi="Palatino Linotype" w:cs="Arial"/>
          <w:i/>
        </w:rPr>
        <w:t>Listado general de los trabajadores de una institución, en</w:t>
      </w:r>
      <w:r w:rsidRPr="00776DFA">
        <w:rPr>
          <w:rFonts w:ascii="Palatino Linotype" w:hAnsi="Palatino Linotype" w:cs="Arial"/>
          <w:b/>
          <w:bCs/>
          <w:i/>
        </w:rPr>
        <w:t xml:space="preserve"> </w:t>
      </w:r>
      <w:r w:rsidRPr="00776DFA">
        <w:rPr>
          <w:rFonts w:ascii="Palatino Linotype" w:hAnsi="Palatino Linotype" w:cs="Arial"/>
          <w:i/>
        </w:rPr>
        <w:t>el cual se asientan las percepciones brutas, deducciones y</w:t>
      </w:r>
      <w:r w:rsidRPr="00776DFA">
        <w:rPr>
          <w:rFonts w:ascii="Palatino Linotype" w:hAnsi="Palatino Linotype" w:cs="Arial"/>
          <w:b/>
          <w:bCs/>
          <w:i/>
        </w:rPr>
        <w:t xml:space="preserve"> </w:t>
      </w:r>
      <w:r w:rsidRPr="00776DFA">
        <w:rPr>
          <w:rFonts w:ascii="Palatino Linotype" w:hAnsi="Palatino Linotype" w:cs="Arial"/>
          <w:i/>
        </w:rPr>
        <w:t>alcance neto de las mismas; la nómina es utilizada para</w:t>
      </w:r>
      <w:r w:rsidRPr="00776DFA">
        <w:rPr>
          <w:rFonts w:ascii="Palatino Linotype" w:hAnsi="Palatino Linotype" w:cs="Arial"/>
          <w:b/>
          <w:bCs/>
          <w:i/>
        </w:rPr>
        <w:t xml:space="preserve"> </w:t>
      </w:r>
      <w:r w:rsidRPr="00776DFA">
        <w:rPr>
          <w:rFonts w:ascii="Palatino Linotype" w:hAnsi="Palatino Linotype" w:cs="Arial"/>
          <w:i/>
        </w:rPr>
        <w:t>efectuar los pagos periódicos (semanales, quincenales o</w:t>
      </w:r>
      <w:r w:rsidRPr="00776DFA">
        <w:rPr>
          <w:rFonts w:ascii="Palatino Linotype" w:hAnsi="Palatino Linotype" w:cs="Arial"/>
          <w:b/>
          <w:bCs/>
          <w:i/>
        </w:rPr>
        <w:t xml:space="preserve"> </w:t>
      </w:r>
      <w:r w:rsidRPr="00776DFA">
        <w:rPr>
          <w:rFonts w:ascii="Palatino Linotype" w:hAnsi="Palatino Linotype" w:cs="Arial"/>
          <w:i/>
        </w:rPr>
        <w:t>mensuales) a los trabajadores por concepto de sueldos y</w:t>
      </w:r>
      <w:r w:rsidRPr="00776DFA">
        <w:rPr>
          <w:rFonts w:ascii="Palatino Linotype" w:hAnsi="Palatino Linotype" w:cs="Arial"/>
          <w:b/>
          <w:bCs/>
          <w:i/>
        </w:rPr>
        <w:t xml:space="preserve"> </w:t>
      </w:r>
      <w:r w:rsidRPr="00776DFA">
        <w:rPr>
          <w:rFonts w:ascii="Palatino Linotype" w:hAnsi="Palatino Linotype" w:cs="Arial"/>
          <w:i/>
        </w:rPr>
        <w:t>salarios.”</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hAnsi="Palatino Linotype" w:cs="Arial"/>
        </w:rPr>
        <w:t xml:space="preserve">Con base a lo anterior, conviene a traer lo establecido por el artículo 804, fracción II, de la Ley Federal de Trabajo, el cual a la letra establece: </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r w:rsidRPr="00776DFA">
        <w:rPr>
          <w:rFonts w:ascii="Palatino Linotype" w:eastAsia="Palatino Linotype" w:hAnsi="Palatino Linotype" w:cs="Palatino Linotype"/>
          <w:b/>
          <w:i/>
        </w:rPr>
        <w:t>Artículo 804.-</w:t>
      </w:r>
      <w:r w:rsidRPr="00776DFA">
        <w:rPr>
          <w:rFonts w:ascii="Palatino Linotype" w:eastAsia="Palatino Linotype" w:hAnsi="Palatino Linotype" w:cs="Palatino Linotype"/>
          <w:i/>
        </w:rPr>
        <w:t xml:space="preserve"> </w:t>
      </w:r>
      <w:r w:rsidRPr="00776DFA">
        <w:rPr>
          <w:rFonts w:ascii="Palatino Linotype" w:eastAsia="Palatino Linotype" w:hAnsi="Palatino Linotype" w:cs="Palatino Linotype"/>
          <w:b/>
          <w:i/>
        </w:rPr>
        <w:t>El patrón tiene obligación de conservar y exhibir en juicio los documentos que a continuación se precisan</w:t>
      </w:r>
      <w:r w:rsidRPr="00776DFA">
        <w:rPr>
          <w:rFonts w:ascii="Palatino Linotype" w:eastAsia="Palatino Linotype" w:hAnsi="Palatino Linotype" w:cs="Palatino Linotype"/>
          <w:i/>
        </w:rPr>
        <w:t>:</w:t>
      </w:r>
    </w:p>
    <w:p w:rsidR="009D4654" w:rsidRPr="00776DFA" w:rsidRDefault="009D4654" w:rsidP="009D4654">
      <w:pPr>
        <w:ind w:left="851" w:right="822"/>
        <w:jc w:val="both"/>
        <w:rPr>
          <w:rFonts w:ascii="Palatino Linotype" w:eastAsia="Palatino Linotype" w:hAnsi="Palatino Linotype" w:cs="Palatino Linotype"/>
          <w:i/>
        </w:rPr>
      </w:pPr>
    </w:p>
    <w:p w:rsidR="009D4654" w:rsidRPr="00776DFA" w:rsidRDefault="009D4654" w:rsidP="009D4654">
      <w:pPr>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t>II.</w:t>
      </w:r>
      <w:r w:rsidRPr="00776DFA">
        <w:rPr>
          <w:rFonts w:ascii="Palatino Linotype" w:eastAsia="Palatino Linotype" w:hAnsi="Palatino Linotype" w:cs="Palatino Linotype"/>
          <w:i/>
        </w:rPr>
        <w:t xml:space="preserve"> </w:t>
      </w:r>
      <w:r w:rsidRPr="00776DFA">
        <w:rPr>
          <w:rFonts w:ascii="Palatino Linotype" w:eastAsia="Palatino Linotype" w:hAnsi="Palatino Linotype" w:cs="Palatino Linotype"/>
          <w:b/>
          <w:i/>
        </w:rPr>
        <w:t>Listas de raya o nómina de personal</w:t>
      </w:r>
      <w:r w:rsidRPr="00776DFA">
        <w:rPr>
          <w:rFonts w:ascii="Palatino Linotype" w:eastAsia="Palatino Linotype" w:hAnsi="Palatino Linotype" w:cs="Palatino Linotype"/>
          <w:i/>
        </w:rPr>
        <w:t xml:space="preserve">, cuando se lleven en el centro de trabajo; o recibos de pagos de salarios; </w:t>
      </w:r>
    </w:p>
    <w:p w:rsidR="009D4654" w:rsidRPr="00776DFA" w:rsidRDefault="009D4654" w:rsidP="009D4654">
      <w:pPr>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p>
    <w:p w:rsidR="009D4654" w:rsidRPr="00776DFA" w:rsidRDefault="009D4654" w:rsidP="009D4654">
      <w:pPr>
        <w:ind w:left="851" w:right="822"/>
        <w:jc w:val="both"/>
        <w:rPr>
          <w:rFonts w:ascii="Palatino Linotype" w:eastAsia="Palatino Linotype" w:hAnsi="Palatino Linotype" w:cs="Palatino Linotype"/>
        </w:rPr>
      </w:pPr>
      <w:r w:rsidRPr="00776DFA">
        <w:rPr>
          <w:rFonts w:ascii="Palatino Linotype" w:eastAsia="Palatino Linotype" w:hAnsi="Palatino Linotype" w:cs="Palatino Linotype"/>
          <w:i/>
        </w:rPr>
        <w:t xml:space="preserve">Los documentos señalados en la fracción I deberán conservarse mientras dure la relación laboral y hasta un año después; </w:t>
      </w:r>
      <w:r w:rsidRPr="00776DFA">
        <w:rPr>
          <w:rFonts w:ascii="Palatino Linotype" w:eastAsia="Palatino Linotype" w:hAnsi="Palatino Linotype" w:cs="Palatino Linotype"/>
          <w:b/>
          <w:i/>
        </w:rPr>
        <w:t>los señalados en las fracciones II, III y IV, durante el último año y un año después de que se extinga la relación laboral</w:t>
      </w:r>
      <w:r w:rsidRPr="00776DFA">
        <w:rPr>
          <w:rFonts w:ascii="Palatino Linotype" w:eastAsia="Palatino Linotype" w:hAnsi="Palatino Linotype" w:cs="Palatino Linotype"/>
          <w:i/>
        </w:rPr>
        <w:t>; y los mencionados en la fracción V, conforme lo señalen las Leyes que los rijan.”</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lastRenderedPageBreak/>
        <w:t>En ese contexto, tratándose de servidores públicos de los Municipios la Ley del Trabajo de los Servidores Públicos del Estado y Municipios, en su artículo 220-K, establece lo siguiente:</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tabs>
          <w:tab w:val="left" w:pos="9072"/>
        </w:tabs>
        <w:spacing w:before="240" w:line="276" w:lineRule="auto"/>
        <w:ind w:left="567" w:right="565"/>
        <w:jc w:val="both"/>
        <w:rPr>
          <w:rFonts w:ascii="Palatino Linotype" w:eastAsia="Palatino Linotype" w:hAnsi="Palatino Linotype" w:cs="Palatino Linotype"/>
          <w:i/>
        </w:rPr>
      </w:pPr>
      <w:r w:rsidRPr="00776DFA">
        <w:rPr>
          <w:rFonts w:ascii="Palatino Linotype" w:eastAsia="Palatino Linotype" w:hAnsi="Palatino Linotype" w:cs="Palatino Linotype"/>
          <w:b/>
          <w:i/>
        </w:rPr>
        <w:t>“ARTÍCULO 220 K.-</w:t>
      </w:r>
      <w:r w:rsidRPr="00776DFA">
        <w:rPr>
          <w:rFonts w:ascii="Palatino Linotype" w:eastAsia="Palatino Linotype" w:hAnsi="Palatino Linotype" w:cs="Palatino Linotype"/>
          <w:i/>
        </w:rPr>
        <w:t xml:space="preserve"> La </w:t>
      </w:r>
      <w:r w:rsidRPr="00776DFA">
        <w:rPr>
          <w:rFonts w:ascii="Palatino Linotype" w:eastAsia="Palatino Linotype" w:hAnsi="Palatino Linotype" w:cs="Palatino Linotype"/>
          <w:b/>
          <w:i/>
        </w:rPr>
        <w:t>institución o dependencia pública tiene la obligación de conservar y exhibir en el proceso los documentos que a continuación</w:t>
      </w:r>
      <w:r w:rsidRPr="00776DFA">
        <w:rPr>
          <w:rFonts w:ascii="Palatino Linotype" w:eastAsia="Palatino Linotype" w:hAnsi="Palatino Linotype" w:cs="Palatino Linotype"/>
          <w:i/>
        </w:rPr>
        <w:t xml:space="preserve"> </w:t>
      </w:r>
      <w:r w:rsidRPr="00776DFA">
        <w:rPr>
          <w:rFonts w:ascii="Palatino Linotype" w:eastAsia="Palatino Linotype" w:hAnsi="Palatino Linotype" w:cs="Palatino Linotype"/>
          <w:b/>
          <w:i/>
        </w:rPr>
        <w:t>se precisan</w:t>
      </w:r>
      <w:r w:rsidRPr="00776DFA">
        <w:rPr>
          <w:rFonts w:ascii="Palatino Linotype" w:eastAsia="Palatino Linotype" w:hAnsi="Palatino Linotype" w:cs="Palatino Linotype"/>
          <w:i/>
        </w:rPr>
        <w:t>:</w:t>
      </w:r>
    </w:p>
    <w:p w:rsidR="009D4654" w:rsidRPr="00776DFA" w:rsidRDefault="009D4654" w:rsidP="009D4654">
      <w:pPr>
        <w:tabs>
          <w:tab w:val="left" w:pos="9072"/>
        </w:tabs>
        <w:spacing w:line="276" w:lineRule="auto"/>
        <w:ind w:left="567" w:right="565"/>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p>
    <w:p w:rsidR="009D4654" w:rsidRPr="00776DFA" w:rsidRDefault="009D4654" w:rsidP="009D4654">
      <w:pPr>
        <w:tabs>
          <w:tab w:val="left" w:pos="9072"/>
        </w:tabs>
        <w:spacing w:line="276" w:lineRule="auto"/>
        <w:ind w:left="567" w:right="565"/>
        <w:jc w:val="both"/>
        <w:rPr>
          <w:rFonts w:ascii="Palatino Linotype" w:eastAsia="Palatino Linotype" w:hAnsi="Palatino Linotype" w:cs="Palatino Linotype"/>
          <w:b/>
          <w:i/>
        </w:rPr>
      </w:pPr>
      <w:r w:rsidRPr="00776DFA">
        <w:rPr>
          <w:rFonts w:ascii="Palatino Linotype" w:eastAsia="Palatino Linotype" w:hAnsi="Palatino Linotype" w:cs="Palatino Linotype"/>
          <w:i/>
        </w:rPr>
        <w:t xml:space="preserve">II. </w:t>
      </w:r>
      <w:r w:rsidRPr="00776DFA">
        <w:rPr>
          <w:rFonts w:ascii="Palatino Linotype" w:eastAsia="Palatino Linotype" w:hAnsi="Palatino Linotype" w:cs="Palatino Linotype"/>
          <w:b/>
          <w:i/>
        </w:rPr>
        <w:t>Recibos de pagos de salarios o</w:t>
      </w:r>
      <w:r w:rsidRPr="00776DFA">
        <w:rPr>
          <w:rFonts w:ascii="Palatino Linotype" w:eastAsia="Palatino Linotype" w:hAnsi="Palatino Linotype" w:cs="Palatino Linotype"/>
          <w:i/>
        </w:rPr>
        <w:t xml:space="preserve"> </w:t>
      </w:r>
      <w:r w:rsidRPr="00776DFA">
        <w:rPr>
          <w:rFonts w:ascii="Palatino Linotype" w:eastAsia="Palatino Linotype" w:hAnsi="Palatino Linotype" w:cs="Palatino Linotype"/>
          <w:b/>
          <w:i/>
        </w:rPr>
        <w:t>las constancias documentales del pago de salario</w:t>
      </w:r>
      <w:r w:rsidRPr="00776DFA">
        <w:rPr>
          <w:rFonts w:ascii="Palatino Linotype" w:eastAsia="Palatino Linotype" w:hAnsi="Palatino Linotype" w:cs="Palatino Linotype"/>
          <w:i/>
        </w:rPr>
        <w:t xml:space="preserve"> </w:t>
      </w:r>
      <w:r w:rsidRPr="00776DFA">
        <w:rPr>
          <w:rFonts w:ascii="Palatino Linotype" w:eastAsia="Palatino Linotype" w:hAnsi="Palatino Linotype" w:cs="Palatino Linotype"/>
          <w:b/>
          <w:i/>
        </w:rPr>
        <w:t>cuando sea por depósito o mediante información electrónica;</w:t>
      </w:r>
    </w:p>
    <w:p w:rsidR="009D4654" w:rsidRPr="00776DFA" w:rsidRDefault="009D4654" w:rsidP="009D4654">
      <w:pPr>
        <w:tabs>
          <w:tab w:val="left" w:pos="9072"/>
        </w:tabs>
        <w:spacing w:line="276" w:lineRule="auto"/>
        <w:ind w:left="567" w:right="565"/>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p>
    <w:p w:rsidR="009D4654" w:rsidRPr="00776DFA" w:rsidRDefault="009D4654" w:rsidP="009D4654">
      <w:pPr>
        <w:tabs>
          <w:tab w:val="left" w:pos="9072"/>
        </w:tabs>
        <w:spacing w:line="276" w:lineRule="auto"/>
        <w:ind w:left="567" w:right="565"/>
        <w:jc w:val="both"/>
        <w:rPr>
          <w:rFonts w:ascii="Palatino Linotype" w:eastAsia="Palatino Linotype" w:hAnsi="Palatino Linotype" w:cs="Palatino Linotype"/>
          <w:i/>
        </w:rPr>
      </w:pPr>
      <w:r w:rsidRPr="00776DFA">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D4654" w:rsidRPr="00776DFA" w:rsidRDefault="009D4654" w:rsidP="009D4654">
      <w:pPr>
        <w:tabs>
          <w:tab w:val="left" w:pos="9072"/>
        </w:tabs>
        <w:spacing w:line="276" w:lineRule="auto"/>
        <w:ind w:left="567" w:right="565"/>
        <w:jc w:val="both"/>
        <w:rPr>
          <w:rFonts w:ascii="Palatino Linotype" w:eastAsia="Palatino Linotype" w:hAnsi="Palatino Linotype" w:cs="Palatino Linotype"/>
          <w:i/>
        </w:rPr>
      </w:pPr>
      <w:r w:rsidRPr="00776DFA">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Asimismo,</w:t>
      </w:r>
      <w:r w:rsidRPr="00776DFA">
        <w:rPr>
          <w:rFonts w:ascii="Palatino Linotype" w:eastAsia="Palatino Linotype" w:hAnsi="Palatino Linotype" w:cs="Palatino Linotype"/>
          <w:b/>
          <w:i/>
        </w:rPr>
        <w:t xml:space="preserve"> </w:t>
      </w:r>
      <w:r w:rsidRPr="00776DFA">
        <w:rPr>
          <w:rFonts w:ascii="Palatino Linotype" w:eastAsia="Palatino Linotype" w:hAnsi="Palatino Linotype" w:cs="Palatino Linotype"/>
        </w:rPr>
        <w:t>es necesario señalar que, el Órgano Superior de Fiscalización emite anualmente los Lineamientos para la elaboración y presentación de los Informe Mensuales, los cuales tienen como objetivo establecer las especificaciones necesarias que las entidades fiscalizables deben cumplir para la elaboración y presentación de los informes. Estos Lineamientos son de observancia general para todos los servidores públicos de las entidades fiscalizables que desempeñen un empleo, cargo o comisión, de cualquier naturaleza en la administración pública y que manejen recursos públicos; en atención a ello, el informe mensual deberá ser presentado al Órgano Superior de Fiscalización.</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lastRenderedPageBreak/>
        <w:t>“Artículo 7. El Estado de México garantizará el efectivo acceso de toda persona a la información en posesión de cualquier entidad,</w:t>
      </w:r>
      <w:r w:rsidRPr="00776DFA">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776DFA">
        <w:rPr>
          <w:rFonts w:ascii="Palatino Linotype" w:eastAsia="Palatino Linotype" w:hAnsi="Palatino Linotype" w:cs="Palatino Linotype"/>
          <w:b/>
          <w:i/>
        </w:rPr>
        <w:t>que reciba y ejerza recursos públicos</w:t>
      </w:r>
      <w:r w:rsidRPr="00776DFA">
        <w:rPr>
          <w:rFonts w:ascii="Palatino Linotype" w:eastAsia="Palatino Linotype" w:hAnsi="Palatino Linotype" w:cs="Palatino Linotype"/>
          <w:i/>
        </w:rPr>
        <w:t xml:space="preserve"> o realice actos de autoridad </w:t>
      </w:r>
      <w:r w:rsidRPr="00776DFA">
        <w:rPr>
          <w:rFonts w:ascii="Palatino Linotype" w:eastAsia="Palatino Linotype" w:hAnsi="Palatino Linotype" w:cs="Palatino Linotype"/>
          <w:b/>
          <w:i/>
        </w:rPr>
        <w:t>en el ámbito de competencia del Estado de México y sus municipios</w:t>
      </w:r>
      <w:r w:rsidRPr="00776DFA">
        <w:rPr>
          <w:rFonts w:ascii="Palatino Linotype" w:eastAsia="Palatino Linotype" w:hAnsi="Palatino Linotype" w:cs="Palatino Linotype"/>
          <w:i/>
        </w:rPr>
        <w:t>.</w:t>
      </w:r>
    </w:p>
    <w:p w:rsidR="009D4654" w:rsidRPr="00776DFA" w:rsidRDefault="009D4654" w:rsidP="009D4654">
      <w:pPr>
        <w:spacing w:line="276" w:lineRule="auto"/>
        <w:ind w:left="851" w:right="822"/>
        <w:jc w:val="both"/>
        <w:rPr>
          <w:rFonts w:ascii="Palatino Linotype" w:eastAsia="Palatino Linotype" w:hAnsi="Palatino Linotype" w:cs="Palatino Linotype"/>
          <w:i/>
        </w:rPr>
      </w:pP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t>Artículo 23</w:t>
      </w:r>
      <w:r w:rsidRPr="00776DFA">
        <w:rPr>
          <w:rFonts w:ascii="Palatino Linotype" w:eastAsia="Palatino Linotype" w:hAnsi="Palatino Linotype" w:cs="Palatino Linotype"/>
          <w:i/>
        </w:rPr>
        <w:t>. Son sujetos obligados a transparentar y permitir el acceso a su información y proteger los datos personales que obren en su poder:</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IV. Los ayuntamientos y las dependencias, organismos, órganos y entidades de la administración municipal;</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p>
    <w:p w:rsidR="009D4654" w:rsidRPr="00776DFA" w:rsidRDefault="009D4654" w:rsidP="009D4654">
      <w:pPr>
        <w:spacing w:line="276" w:lineRule="auto"/>
        <w:ind w:left="851"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D4654" w:rsidRPr="00776DFA" w:rsidRDefault="009D4654" w:rsidP="009D4654">
      <w:pPr>
        <w:spacing w:line="276" w:lineRule="auto"/>
        <w:ind w:left="851" w:right="822"/>
        <w:jc w:val="both"/>
        <w:rPr>
          <w:rFonts w:ascii="Palatino Linotype" w:eastAsia="Palatino Linotype" w:hAnsi="Palatino Linotype" w:cs="Palatino Linotype"/>
        </w:rPr>
      </w:pPr>
      <w:r w:rsidRPr="00776DFA">
        <w:rPr>
          <w:rFonts w:ascii="Palatino Linotype" w:eastAsia="Palatino Linotype" w:hAnsi="Palatino Linotype" w:cs="Palatino Linotype"/>
          <w:i/>
        </w:rPr>
        <w:t>Los servidores públicos deberán transparentar sus acciones así como garantizar y respetar el derecho de acceso a la información pública.”</w:t>
      </w:r>
    </w:p>
    <w:p w:rsidR="009D4654" w:rsidRPr="00776DFA" w:rsidRDefault="009D4654" w:rsidP="009D4654">
      <w:pPr>
        <w:spacing w:line="360" w:lineRule="auto"/>
        <w:ind w:left="851" w:right="822"/>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776DFA">
        <w:rPr>
          <w:rFonts w:ascii="Palatino Linotype" w:eastAsia="Palatino Linotype" w:hAnsi="Palatino Linotype" w:cs="Palatino Linotype"/>
          <w:b/>
        </w:rPr>
        <w:t>01/2003</w:t>
      </w:r>
      <w:r w:rsidRPr="00776DFA">
        <w:rPr>
          <w:rFonts w:ascii="Palatino Linotype" w:eastAsia="Palatino Linotype" w:hAnsi="Palatino Linotype" w:cs="Palatino Linotype"/>
        </w:rPr>
        <w:t xml:space="preserve"> y </w:t>
      </w:r>
      <w:r w:rsidRPr="00776DFA">
        <w:rPr>
          <w:rFonts w:ascii="Palatino Linotype" w:eastAsia="Palatino Linotype" w:hAnsi="Palatino Linotype" w:cs="Palatino Linotype"/>
          <w:b/>
        </w:rPr>
        <w:t>02/2003</w:t>
      </w:r>
      <w:r w:rsidRPr="00776DFA">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spacing w:line="276" w:lineRule="auto"/>
        <w:ind w:left="851" w:right="822"/>
        <w:rPr>
          <w:rFonts w:ascii="Palatino Linotype" w:eastAsia="Palatino Linotype" w:hAnsi="Palatino Linotype" w:cs="Palatino Linotype"/>
          <w:b/>
          <w:i/>
        </w:rPr>
      </w:pPr>
      <w:r w:rsidRPr="00776DFA">
        <w:rPr>
          <w:rFonts w:ascii="Palatino Linotype" w:eastAsia="Palatino Linotype" w:hAnsi="Palatino Linotype" w:cs="Palatino Linotype"/>
          <w:b/>
          <w:i/>
        </w:rPr>
        <w:t>“Criterio 01/2003.</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lastRenderedPageBreak/>
        <w:t>INGRESOS DE LOS SERVIDORES PÚBLICOS. CONSTITUYEN INFORMACIÓN PÚBLICA AÚN Y CUANDO SU DIFUSIÓN PUEDE AFECTAR LA VIDA O LA SEGURIDAD DE AQUELLOS.</w:t>
      </w:r>
      <w:r w:rsidRPr="00776DFA">
        <w:rPr>
          <w:rFonts w:ascii="Palatino Linotype" w:eastAsia="Palatino Linotype" w:hAnsi="Palatino Linotype" w:cs="Palatino Linotype"/>
          <w:i/>
        </w:rPr>
        <w:t xml:space="preserve"> </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76DFA">
        <w:rPr>
          <w:rFonts w:ascii="Palatino Linotype" w:eastAsia="Palatino Linotype" w:hAnsi="Palatino Linotype" w:cs="Palatino Linotype"/>
          <w:b/>
          <w:i/>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76DFA">
        <w:rPr>
          <w:rFonts w:ascii="Palatino Linotype" w:eastAsia="Palatino Linotype" w:hAnsi="Palatino Linotype" w:cs="Palatino Linotype"/>
          <w:i/>
        </w:rPr>
        <w:t>…”</w:t>
      </w:r>
    </w:p>
    <w:p w:rsidR="009D4654" w:rsidRPr="00776DFA" w:rsidRDefault="009D4654" w:rsidP="009D4654">
      <w:pPr>
        <w:spacing w:line="276" w:lineRule="auto"/>
        <w:ind w:left="851" w:right="822"/>
        <w:jc w:val="both"/>
        <w:rPr>
          <w:rFonts w:ascii="Palatino Linotype" w:eastAsia="Palatino Linotype" w:hAnsi="Palatino Linotype" w:cs="Palatino Linotype"/>
          <w:i/>
        </w:rPr>
      </w:pPr>
    </w:p>
    <w:p w:rsidR="009D4654" w:rsidRPr="00776DFA" w:rsidRDefault="009D4654" w:rsidP="009D4654">
      <w:pPr>
        <w:spacing w:line="276" w:lineRule="auto"/>
        <w:ind w:left="851" w:right="822"/>
        <w:rPr>
          <w:rFonts w:ascii="Palatino Linotype" w:eastAsia="Palatino Linotype" w:hAnsi="Palatino Linotype" w:cs="Palatino Linotype"/>
          <w:b/>
          <w:i/>
        </w:rPr>
      </w:pPr>
      <w:r w:rsidRPr="00776DFA">
        <w:rPr>
          <w:rFonts w:ascii="Palatino Linotype" w:eastAsia="Palatino Linotype" w:hAnsi="Palatino Linotype" w:cs="Palatino Linotype"/>
          <w:b/>
          <w:i/>
        </w:rPr>
        <w:t>“Criterio 02/2003.</w:t>
      </w:r>
    </w:p>
    <w:p w:rsidR="009D4654" w:rsidRPr="00776DFA" w:rsidRDefault="009D4654" w:rsidP="009D4654">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776DFA">
        <w:rPr>
          <w:rFonts w:ascii="Palatino Linotype" w:eastAsia="Palatino Linotype" w:hAnsi="Palatino Linotype" w:cs="Palatino Linotype"/>
          <w:i/>
        </w:rPr>
        <w:t xml:space="preserve"> </w:t>
      </w:r>
    </w:p>
    <w:p w:rsidR="009D4654" w:rsidRPr="00776DFA" w:rsidRDefault="009D4654" w:rsidP="009D4654">
      <w:pPr>
        <w:spacing w:line="276" w:lineRule="auto"/>
        <w:ind w:left="851" w:right="822"/>
        <w:jc w:val="both"/>
        <w:rPr>
          <w:rFonts w:ascii="Palatino Linotype" w:eastAsia="Palatino Linotype" w:hAnsi="Palatino Linotype" w:cs="Palatino Linotype"/>
        </w:rPr>
      </w:pPr>
      <w:r w:rsidRPr="00776DFA">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w:t>
      </w:r>
      <w:r w:rsidRPr="00776DFA">
        <w:rPr>
          <w:rFonts w:ascii="Palatino Linotype" w:eastAsia="Palatino Linotype" w:hAnsi="Palatino Linotype" w:cs="Palatino Linotype"/>
          <w:i/>
        </w:rPr>
        <w:lastRenderedPageBreak/>
        <w:t xml:space="preserve">patrimonio, para su difusión no se requiere consentimiento de aquellos, </w:t>
      </w:r>
      <w:r w:rsidRPr="00776DFA">
        <w:rPr>
          <w:rFonts w:ascii="Palatino Linotype" w:eastAsia="Palatino Linotype" w:hAnsi="Palatino Linotype" w:cs="Palatino Linotype"/>
          <w:b/>
          <w:i/>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76DFA">
        <w:rPr>
          <w:rFonts w:ascii="Palatino Linotype" w:eastAsia="Palatino Linotype" w:hAnsi="Palatino Linotype" w:cs="Palatino Linotype"/>
          <w:i/>
        </w:rPr>
        <w:t xml:space="preserve"> el sistema de compensación…”</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En lo que hace a nuestra materia, el artículo 92, fracción VIII, de la Ley de Transparencia y Acceso a la Información Pública del Estado de México y Municipios, establece que los Sujetos Obligados deberán poner a disposición del público de manera permanente y actualizada,</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b/>
          <w:u w:val="single"/>
        </w:rPr>
        <w:t>las remuneraciones brutas y netas de todos los servidores públicos,</w:t>
      </w:r>
      <w:r w:rsidRPr="00776DFA">
        <w:rPr>
          <w:rFonts w:ascii="Palatino Linotype" w:eastAsia="Palatino Linotype" w:hAnsi="Palatino Linotype" w:cs="Palatino Linotype"/>
        </w:rPr>
        <w:t xml:space="preserve"> que incluya todas las percepciones, entre las cuales, se encuentran los sueldos, prestaciones, gratificaciones, primas, comisiones, dietas, bonos, estímulos, ingresos, entre otros, tal como se aprecia a continuación: </w:t>
      </w:r>
    </w:p>
    <w:p w:rsidR="009D4654" w:rsidRPr="00776DFA" w:rsidRDefault="009D4654" w:rsidP="009D4654">
      <w:pPr>
        <w:spacing w:line="360" w:lineRule="auto"/>
        <w:jc w:val="both"/>
        <w:rPr>
          <w:rFonts w:ascii="Palatino Linotype" w:eastAsia="Palatino Linotype" w:hAnsi="Palatino Linotype" w:cs="Palatino Linotype"/>
        </w:rPr>
      </w:pPr>
    </w:p>
    <w:p w:rsidR="009D4654" w:rsidRPr="00776DFA" w:rsidRDefault="009D4654" w:rsidP="009D4654">
      <w:pPr>
        <w:pStyle w:val="Prrafodelista"/>
        <w:tabs>
          <w:tab w:val="left" w:pos="851"/>
        </w:tabs>
        <w:spacing w:line="276" w:lineRule="auto"/>
        <w:ind w:left="851" w:right="822"/>
        <w:jc w:val="center"/>
        <w:rPr>
          <w:rFonts w:ascii="Palatino Linotype" w:eastAsia="MS Mincho" w:hAnsi="Palatino Linotype"/>
          <w:b/>
          <w:i/>
        </w:rPr>
      </w:pPr>
      <w:r w:rsidRPr="00776DFA">
        <w:rPr>
          <w:rFonts w:ascii="Palatino Linotype" w:eastAsia="MS Mincho" w:hAnsi="Palatino Linotype"/>
          <w:b/>
          <w:i/>
        </w:rPr>
        <w:t>Ley de Transparencia y Acceso a la Información Pública del Estado de México y Municipios</w:t>
      </w:r>
    </w:p>
    <w:p w:rsidR="009D4654" w:rsidRPr="00776DFA" w:rsidRDefault="009D4654" w:rsidP="009D4654">
      <w:pPr>
        <w:pStyle w:val="Prrafodelista"/>
        <w:tabs>
          <w:tab w:val="left" w:pos="851"/>
        </w:tabs>
        <w:spacing w:line="276" w:lineRule="auto"/>
        <w:ind w:left="851" w:right="822"/>
        <w:jc w:val="center"/>
        <w:rPr>
          <w:rFonts w:ascii="Palatino Linotype" w:eastAsia="Calibri" w:hAnsi="Palatino Linotype" w:cs="Arial"/>
          <w:b/>
          <w:i/>
          <w:color w:val="000000" w:themeColor="text1"/>
          <w:lang w:val="es-ES"/>
        </w:rPr>
      </w:pPr>
    </w:p>
    <w:p w:rsidR="009D4654" w:rsidRPr="00776DFA" w:rsidRDefault="009D4654" w:rsidP="009D4654">
      <w:pPr>
        <w:tabs>
          <w:tab w:val="left" w:pos="851"/>
        </w:tabs>
        <w:autoSpaceDE w:val="0"/>
        <w:autoSpaceDN w:val="0"/>
        <w:adjustRightInd w:val="0"/>
        <w:spacing w:line="276" w:lineRule="auto"/>
        <w:ind w:left="851" w:right="822"/>
        <w:jc w:val="both"/>
        <w:rPr>
          <w:rFonts w:ascii="Palatino Linotype" w:eastAsia="Calibri" w:hAnsi="Palatino Linotype" w:cs="Arial"/>
          <w:i/>
          <w:lang w:eastAsia="en-US"/>
        </w:rPr>
      </w:pPr>
      <w:r w:rsidRPr="00776DFA">
        <w:rPr>
          <w:rFonts w:ascii="Palatino Linotype" w:eastAsia="Calibri" w:hAnsi="Palatino Linotype" w:cs="Arial"/>
          <w:b/>
          <w:i/>
          <w:lang w:eastAsia="en-US"/>
        </w:rPr>
        <w:t>“Artículo 92.</w:t>
      </w:r>
      <w:r w:rsidRPr="00776DFA">
        <w:rPr>
          <w:rFonts w:ascii="Palatino Linotype" w:eastAsia="Calibri" w:hAnsi="Palatino Linotype" w:cs="Arial"/>
          <w:i/>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D4654" w:rsidRPr="00776DFA" w:rsidRDefault="009D4654" w:rsidP="009D4654">
      <w:pPr>
        <w:tabs>
          <w:tab w:val="left" w:pos="851"/>
        </w:tabs>
        <w:autoSpaceDE w:val="0"/>
        <w:autoSpaceDN w:val="0"/>
        <w:adjustRightInd w:val="0"/>
        <w:spacing w:line="276" w:lineRule="auto"/>
        <w:ind w:left="851" w:right="822"/>
        <w:jc w:val="both"/>
        <w:rPr>
          <w:rFonts w:ascii="Palatino Linotype" w:eastAsia="Calibri" w:hAnsi="Palatino Linotype" w:cs="Arial"/>
          <w:i/>
          <w:lang w:eastAsia="en-US"/>
        </w:rPr>
      </w:pPr>
      <w:r w:rsidRPr="00776DFA">
        <w:rPr>
          <w:rFonts w:ascii="Palatino Linotype" w:eastAsia="Calibri" w:hAnsi="Palatino Linotype" w:cs="Arial"/>
          <w:b/>
          <w:i/>
          <w:lang w:eastAsia="en-US"/>
        </w:rPr>
        <w:t>(…)</w:t>
      </w:r>
    </w:p>
    <w:p w:rsidR="009D4654" w:rsidRPr="00776DFA" w:rsidRDefault="009D4654" w:rsidP="009D4654">
      <w:pPr>
        <w:tabs>
          <w:tab w:val="left" w:pos="851"/>
        </w:tabs>
        <w:spacing w:line="276" w:lineRule="auto"/>
        <w:ind w:left="851" w:right="822"/>
        <w:jc w:val="both"/>
        <w:rPr>
          <w:rFonts w:ascii="Palatino Linotype" w:hAnsi="Palatino Linotype"/>
          <w:i/>
        </w:rPr>
      </w:pPr>
      <w:r w:rsidRPr="00776DFA">
        <w:rPr>
          <w:rFonts w:ascii="Palatino Linotype" w:eastAsia="Calibri" w:hAnsi="Palatino Linotype" w:cs="Arial"/>
          <w:b/>
          <w:i/>
          <w:color w:val="000000" w:themeColor="text1"/>
          <w:lang w:val="es-ES"/>
        </w:rPr>
        <w:t xml:space="preserve">VIII. </w:t>
      </w:r>
      <w:r w:rsidRPr="00776DFA">
        <w:rPr>
          <w:rFonts w:ascii="Palatino Linotype" w:hAnsi="Palatino Linotype"/>
          <w:b/>
          <w:i/>
        </w:rPr>
        <w:t>La remuneración bruta y neta de todos los servidores públicos</w:t>
      </w:r>
      <w:r w:rsidRPr="00776DFA">
        <w:rPr>
          <w:rFonts w:ascii="Palatino Linotype" w:hAnsi="Palatino Linotype"/>
          <w:i/>
        </w:rPr>
        <w:t xml:space="preserve"> de base o de confianza, de todas las percepciones, incluyendo sueldos, prestaciones, gratificaciones, primas, comisiones, dietas, bonos, estímulos, </w:t>
      </w:r>
      <w:r w:rsidRPr="00776DFA">
        <w:rPr>
          <w:rFonts w:ascii="Palatino Linotype" w:hAnsi="Palatino Linotype"/>
          <w:i/>
        </w:rPr>
        <w:lastRenderedPageBreak/>
        <w:t xml:space="preserve">ingresos y sistemas de compensación, señalando la periodicidad de dicha remuneración; </w:t>
      </w:r>
    </w:p>
    <w:p w:rsidR="009D4654" w:rsidRPr="00776DFA" w:rsidRDefault="009D4654" w:rsidP="009D4654">
      <w:pPr>
        <w:tabs>
          <w:tab w:val="left" w:pos="851"/>
        </w:tabs>
        <w:spacing w:line="276" w:lineRule="auto"/>
        <w:ind w:left="851" w:right="822"/>
        <w:jc w:val="both"/>
        <w:rPr>
          <w:rFonts w:ascii="Palatino Linotype" w:eastAsia="Palatino Linotype" w:hAnsi="Palatino Linotype" w:cs="Palatino Linotype"/>
        </w:rPr>
      </w:pPr>
      <w:r w:rsidRPr="00776DFA">
        <w:rPr>
          <w:rFonts w:ascii="Palatino Linotype" w:eastAsia="Calibri" w:hAnsi="Palatino Linotype" w:cs="Arial"/>
          <w:b/>
          <w:i/>
          <w:color w:val="000000" w:themeColor="text1"/>
          <w:lang w:val="es-ES"/>
        </w:rPr>
        <w:t>(…)</w:t>
      </w:r>
      <w:r w:rsidRPr="00776DFA">
        <w:rPr>
          <w:rFonts w:ascii="Palatino Linotype" w:hAnsi="Palatino Linotype"/>
          <w:i/>
        </w:rPr>
        <w:t>”</w:t>
      </w:r>
    </w:p>
    <w:p w:rsidR="009D4654" w:rsidRPr="00776DFA" w:rsidRDefault="009D4654" w:rsidP="009D4654">
      <w:pPr>
        <w:spacing w:line="360" w:lineRule="auto"/>
        <w:ind w:right="1"/>
        <w:jc w:val="both"/>
        <w:rPr>
          <w:rFonts w:ascii="Palatino Linotype" w:eastAsia="Palatino Linotype" w:hAnsi="Palatino Linotype" w:cs="Palatino Linotype"/>
        </w:rPr>
      </w:pPr>
    </w:p>
    <w:p w:rsidR="009D4654" w:rsidRPr="00776DFA" w:rsidRDefault="009D4654" w:rsidP="009D4654">
      <w:pPr>
        <w:numPr>
          <w:ilvl w:val="0"/>
          <w:numId w:val="2"/>
        </w:numPr>
        <w:spacing w:line="360" w:lineRule="auto"/>
        <w:ind w:left="0" w:right="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Por lo anterior, se puede apreciar que, lo relativo a las remuneraciones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rsidR="002A5CB3" w:rsidRPr="00776DFA" w:rsidRDefault="002A5CB3" w:rsidP="00C53BC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AB67FA" w:rsidRPr="00776DFA" w:rsidRDefault="00C53BC5" w:rsidP="00AB67FA">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Po otro parte, respecto al tabulador de sueldos, </w:t>
      </w:r>
      <w:r w:rsidR="00AB67FA" w:rsidRPr="00776DFA">
        <w:rPr>
          <w:rFonts w:ascii="Palatino Linotype" w:hAnsi="Palatino Linotype" w:cs="Arial"/>
          <w:color w:val="000000" w:themeColor="text1"/>
        </w:rPr>
        <w:t xml:space="preserve">es importante traer a contexto el artículo 115 fracción IV, párrafo tercero de la Constitución Política de los Estados Unidos Mexicanos establece que: </w:t>
      </w:r>
    </w:p>
    <w:p w:rsidR="00AB67FA" w:rsidRPr="00776DFA" w:rsidRDefault="00AB67FA" w:rsidP="00AB67FA">
      <w:pPr>
        <w:ind w:right="113"/>
        <w:jc w:val="both"/>
        <w:rPr>
          <w:rFonts w:ascii="Palatino Linotype" w:hAnsi="Palatino Linotype" w:cs="Arial"/>
          <w:color w:val="000000" w:themeColor="text1"/>
        </w:rPr>
      </w:pPr>
    </w:p>
    <w:p w:rsidR="00AB67FA" w:rsidRPr="00776DFA" w:rsidRDefault="00AB67FA" w:rsidP="00AB67FA">
      <w:pPr>
        <w:tabs>
          <w:tab w:val="left" w:pos="1276"/>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r w:rsidRPr="00776DFA">
        <w:rPr>
          <w:rFonts w:ascii="Palatino Linotype" w:hAnsi="Palatino Linotype" w:cs="Arial"/>
          <w:b/>
          <w:i/>
          <w:color w:val="000000" w:themeColor="text1"/>
          <w:lang w:val="es-ES"/>
        </w:rPr>
        <w:t>Artículo 115.</w:t>
      </w:r>
      <w:r w:rsidRPr="00776DFA">
        <w:rPr>
          <w:rFonts w:ascii="Palatino Linotype" w:hAnsi="Palatino Linotype" w:cs="Arial"/>
          <w:i/>
          <w:color w:val="000000" w:themeColor="text1"/>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AB67FA" w:rsidRPr="00776DFA" w:rsidRDefault="00AB67FA" w:rsidP="00AB67FA">
      <w:pPr>
        <w:tabs>
          <w:tab w:val="left" w:pos="1276"/>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p>
    <w:p w:rsidR="00AB67FA" w:rsidRPr="00776DFA" w:rsidRDefault="00AB67FA" w:rsidP="00AB67FA">
      <w:pPr>
        <w:tabs>
          <w:tab w:val="left" w:pos="1276"/>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IV.</w:t>
      </w:r>
    </w:p>
    <w:p w:rsidR="00AB67FA" w:rsidRPr="00776DFA" w:rsidRDefault="00AB67FA" w:rsidP="00AB67FA">
      <w:pPr>
        <w:tabs>
          <w:tab w:val="left" w:pos="1276"/>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p>
    <w:p w:rsidR="00AB67FA" w:rsidRPr="00776DFA" w:rsidRDefault="00AB67FA" w:rsidP="00AB67FA">
      <w:pPr>
        <w:tabs>
          <w:tab w:val="left" w:pos="1276"/>
        </w:tabs>
        <w:spacing w:line="276" w:lineRule="auto"/>
        <w:ind w:left="851" w:right="822"/>
        <w:jc w:val="both"/>
        <w:rPr>
          <w:rFonts w:ascii="Palatino Linotype" w:hAnsi="Palatino Linotype" w:cs="Arial"/>
          <w:b/>
          <w:i/>
          <w:color w:val="000000" w:themeColor="text1"/>
          <w:lang w:val="es-ES"/>
        </w:rPr>
      </w:pPr>
      <w:r w:rsidRPr="00776DFA">
        <w:rPr>
          <w:rFonts w:ascii="Palatino Linotype" w:hAnsi="Palatino Linotype" w:cs="Arial"/>
          <w:i/>
          <w:color w:val="000000" w:themeColor="text1"/>
          <w:lang w:val="es-ES"/>
        </w:rPr>
        <w:t xml:space="preserve">Las legislaturas de los Estados aprobarán las leyes de ingresos de los municipios, revisarán y fiscalizarán sus cuentas públicas. </w:t>
      </w:r>
      <w:r w:rsidRPr="00776DFA">
        <w:rPr>
          <w:rFonts w:ascii="Palatino Linotype" w:hAnsi="Palatino Linotype" w:cs="Arial"/>
          <w:b/>
          <w:i/>
          <w:color w:val="000000" w:themeColor="text1"/>
          <w:lang w:val="es-ES"/>
        </w:rPr>
        <w:t>Los presupuestos de egresos serán aprobados por los ayuntamientos con base en sus ingresos disponibles, y deberán incluir en los mismos, los tabulado res desglosados de las remuneraciones que perciban los servidores públicos municipales</w:t>
      </w:r>
      <w:r w:rsidRPr="00776DFA">
        <w:rPr>
          <w:rFonts w:ascii="Palatino Linotype" w:hAnsi="Palatino Linotype" w:cs="Arial"/>
          <w:i/>
          <w:color w:val="000000" w:themeColor="text1"/>
          <w:lang w:val="es-ES"/>
        </w:rPr>
        <w:t xml:space="preserve">, sujetándose a lo dispuesto en el artículo 127 de esta Constitución” </w:t>
      </w: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s="Arial"/>
          <w:color w:val="000000" w:themeColor="text1"/>
        </w:rPr>
      </w:pPr>
      <w:r w:rsidRPr="00776DFA">
        <w:rPr>
          <w:rFonts w:ascii="Palatino Linotype" w:hAnsi="Palatino Linotype" w:cs="Arial"/>
          <w:color w:val="000000" w:themeColor="text1"/>
        </w:rPr>
        <w:lastRenderedPageBreak/>
        <w:t xml:space="preserve">Asimismo, en el artículo 125 cuarto y quinto párrafos de la Constitución Política del Estado Libre y Soberano de México, dispone: </w:t>
      </w:r>
    </w:p>
    <w:p w:rsidR="00AB67FA" w:rsidRPr="00776DFA" w:rsidRDefault="00AB67FA" w:rsidP="00AB67FA">
      <w:pPr>
        <w:ind w:right="113"/>
        <w:jc w:val="both"/>
        <w:rPr>
          <w:rFonts w:ascii="Palatino Linotype" w:hAnsi="Palatino Linotype" w:cs="Arial"/>
          <w:color w:val="000000" w:themeColor="text1"/>
        </w:rPr>
      </w:pPr>
    </w:p>
    <w:p w:rsidR="00AB67FA" w:rsidRPr="00776DFA" w:rsidRDefault="00AB67FA" w:rsidP="00AB67FA">
      <w:pPr>
        <w:tabs>
          <w:tab w:val="left" w:pos="1134"/>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r w:rsidRPr="00776DFA">
        <w:rPr>
          <w:rFonts w:ascii="Palatino Linotype" w:hAnsi="Palatino Linotype" w:cs="Arial"/>
          <w:b/>
          <w:i/>
          <w:color w:val="000000" w:themeColor="text1"/>
          <w:lang w:val="es-ES"/>
        </w:rPr>
        <w:t>Artículo 125.-</w:t>
      </w:r>
      <w:r w:rsidRPr="00776DFA">
        <w:rPr>
          <w:rFonts w:ascii="Palatino Linotype" w:hAnsi="Palatino Linotype" w:cs="Arial"/>
          <w:i/>
          <w:color w:val="000000" w:themeColor="text1"/>
          <w:lang w:val="es-ES"/>
        </w:rPr>
        <w:t xml:space="preserve"> Los municipios administrarán libremente su hacienda, la cual se formará de los rendimientos de los bienes que les pertenezcan, así como de las contribuciones y otros ingresos que la ley establezca, y en todo caso:</w:t>
      </w:r>
    </w:p>
    <w:p w:rsidR="00AB67FA" w:rsidRPr="00776DFA" w:rsidRDefault="00AB67FA" w:rsidP="00AB67FA">
      <w:pPr>
        <w:tabs>
          <w:tab w:val="left" w:pos="1134"/>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 xml:space="preserve">Los Ayuntamientos podrán celebrar sesiones extraordinarias de cabildo cuando la Ley de ingresos aprobada por la Legislatura, implique adecuaciones a su Presupuesto de Egresos, </w:t>
      </w:r>
      <w:proofErr w:type="spellStart"/>
      <w:r w:rsidRPr="00776DFA">
        <w:rPr>
          <w:rFonts w:ascii="Palatino Linotype" w:hAnsi="Palatino Linotype" w:cs="Arial"/>
          <w:i/>
          <w:color w:val="000000" w:themeColor="text1"/>
          <w:lang w:val="es-ES"/>
        </w:rPr>
        <w:t>asi</w:t>
      </w:r>
      <w:proofErr w:type="spellEnd"/>
      <w:r w:rsidRPr="00776DFA">
        <w:rPr>
          <w:rFonts w:ascii="Palatino Linotype" w:hAnsi="Palatino Linotype" w:cs="Arial"/>
          <w:i/>
          <w:color w:val="000000" w:themeColor="text1"/>
          <w:lang w:val="es-ES"/>
        </w:rPr>
        <w:t xml:space="preserve"> como por la asignación de las participaciones y aportaciones federales y estatales. Estas sesiones tendrán como único objeto concordar con el Presupuesto de Egresos. </w:t>
      </w:r>
      <w:r w:rsidRPr="00776DFA">
        <w:rPr>
          <w:rFonts w:ascii="Palatino Linotype" w:hAnsi="Palatino Linotype" w:cs="Arial"/>
          <w:b/>
          <w:i/>
          <w:color w:val="000000" w:themeColor="text1"/>
          <w:lang w:val="es-ES"/>
        </w:rPr>
        <w:t>La Presidenta o el Presidente Municipal, promulgará y publicará el Presupuesto de Egresos Municipal, a más tardar el día 25 de febrero de cada año debiendo enviarlo al Órgano Superior de Fiscalización en la misma fecha</w:t>
      </w:r>
      <w:r w:rsidRPr="00776DFA">
        <w:rPr>
          <w:rFonts w:ascii="Palatino Linotype" w:hAnsi="Palatino Linotype" w:cs="Arial"/>
          <w:i/>
          <w:color w:val="000000" w:themeColor="text1"/>
          <w:lang w:val="es-ES"/>
        </w:rPr>
        <w:t xml:space="preserve">. </w:t>
      </w: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b/>
          <w:i/>
          <w:color w:val="000000" w:themeColor="text1"/>
          <w:lang w:val="es-ES"/>
        </w:rPr>
        <w:t xml:space="preserve">El Presupuesto deberá incluir los tabuladores desglosados de las remuneraciones que perciban las y los servidores públicos municipales, </w:t>
      </w:r>
      <w:r w:rsidRPr="00776DFA">
        <w:rPr>
          <w:rFonts w:ascii="Palatino Linotype" w:hAnsi="Palatino Linotype" w:cs="Arial"/>
          <w:i/>
          <w:color w:val="000000" w:themeColor="text1"/>
          <w:lang w:val="es-ES"/>
        </w:rPr>
        <w:t xml:space="preserve">sujetándose a lo dispuesto en el artículo 147 de esta Constitución.” </w:t>
      </w:r>
    </w:p>
    <w:p w:rsidR="00AB67FA" w:rsidRPr="00776DFA" w:rsidRDefault="00AB67FA" w:rsidP="00AB67FA">
      <w:pPr>
        <w:ind w:right="113"/>
        <w:jc w:val="both"/>
        <w:rPr>
          <w:rFonts w:ascii="Palatino Linotype" w:hAnsi="Palatino Linotype" w:cs="Arial"/>
          <w:color w:val="000000" w:themeColor="text1"/>
        </w:rPr>
      </w:pP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s="Arial"/>
          <w:color w:val="000000" w:themeColor="text1"/>
        </w:rPr>
      </w:pPr>
      <w:r w:rsidRPr="00776DFA">
        <w:rPr>
          <w:rFonts w:ascii="Palatino Linotype" w:hAnsi="Palatino Linotype" w:cs="Arial"/>
          <w:color w:val="000000" w:themeColor="text1"/>
        </w:rPr>
        <w:t>Por su parte, el artículo 47 de la Ley de Fiscalización Superior del Estado de México indica que:</w:t>
      </w:r>
    </w:p>
    <w:p w:rsidR="00AB67FA" w:rsidRPr="00776DFA" w:rsidRDefault="00AB67FA" w:rsidP="00AB67FA">
      <w:pPr>
        <w:tabs>
          <w:tab w:val="left" w:pos="851"/>
        </w:tabs>
        <w:ind w:right="113"/>
        <w:jc w:val="both"/>
        <w:rPr>
          <w:rFonts w:ascii="Palatino Linotype" w:hAnsi="Palatino Linotype" w:cs="Arial"/>
          <w:i/>
          <w:color w:val="000000" w:themeColor="text1"/>
          <w:lang w:val="es-ES"/>
        </w:rPr>
      </w:pP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r w:rsidRPr="00776DFA">
        <w:rPr>
          <w:rFonts w:ascii="Palatino Linotype" w:hAnsi="Palatino Linotype" w:cs="Arial"/>
          <w:b/>
          <w:i/>
          <w:color w:val="000000" w:themeColor="text1"/>
          <w:lang w:val="es-ES"/>
        </w:rPr>
        <w:t>Artículo 47.-</w:t>
      </w:r>
      <w:r w:rsidRPr="00776DFA">
        <w:rPr>
          <w:rFonts w:ascii="Palatino Linotype" w:hAnsi="Palatino Linotype" w:cs="Arial"/>
          <w:i/>
          <w:color w:val="000000" w:themeColor="text1"/>
          <w:lang w:val="es-ES"/>
        </w:rPr>
        <w:t xml:space="preserve"> </w:t>
      </w:r>
      <w:r w:rsidRPr="00776DFA">
        <w:rPr>
          <w:rFonts w:ascii="Palatino Linotype" w:hAnsi="Palatino Linotype" w:cs="Arial"/>
          <w:b/>
          <w:i/>
          <w:color w:val="000000" w:themeColor="text1"/>
          <w:lang w:val="es-ES"/>
        </w:rPr>
        <w:t>Los</w:t>
      </w:r>
      <w:r w:rsidRPr="00776DFA">
        <w:rPr>
          <w:rFonts w:ascii="Palatino Linotype" w:hAnsi="Palatino Linotype" w:cs="Arial"/>
          <w:i/>
          <w:color w:val="000000" w:themeColor="text1"/>
          <w:lang w:val="es-ES"/>
        </w:rPr>
        <w:t xml:space="preserve"> </w:t>
      </w:r>
      <w:r w:rsidRPr="00776DFA">
        <w:rPr>
          <w:rFonts w:ascii="Palatino Linotype" w:hAnsi="Palatino Linotype" w:cs="Arial"/>
          <w:b/>
          <w:i/>
          <w:color w:val="000000" w:themeColor="text1"/>
          <w:lang w:val="es-ES"/>
        </w:rPr>
        <w:t>Presidentes Municipales y los Síndicos estarán obligados a informar al Órgano Superior, a más tardar el 25 de febrero de cada año, el Presupuesto de Egresos Municipal que haya aprobado el Ayuntamiento correspondiente</w:t>
      </w:r>
      <w:r w:rsidRPr="00776DFA">
        <w:rPr>
          <w:rFonts w:ascii="Palatino Linotype" w:hAnsi="Palatino Linotype" w:cs="Arial"/>
          <w:i/>
          <w:color w:val="000000" w:themeColor="text1"/>
          <w:lang w:val="es-ES"/>
        </w:rPr>
        <w:t xml:space="preserve">.” </w:t>
      </w:r>
    </w:p>
    <w:p w:rsidR="00AB67FA" w:rsidRPr="00776DFA" w:rsidRDefault="00AB67FA" w:rsidP="00AB67FA">
      <w:pPr>
        <w:tabs>
          <w:tab w:val="left" w:pos="851"/>
        </w:tabs>
        <w:ind w:right="113"/>
        <w:jc w:val="both"/>
        <w:rPr>
          <w:rFonts w:ascii="Palatino Linotype" w:hAnsi="Palatino Linotype" w:cs="Arial"/>
          <w:i/>
          <w:color w:val="000000" w:themeColor="text1"/>
          <w:lang w:val="es-ES"/>
        </w:rPr>
      </w:pP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s="Arial"/>
          <w:color w:val="000000" w:themeColor="text1"/>
        </w:rPr>
      </w:pPr>
      <w:r w:rsidRPr="00776DFA">
        <w:rPr>
          <w:rFonts w:ascii="Palatino Linotype" w:hAnsi="Palatino Linotype" w:cs="Arial"/>
          <w:color w:val="000000" w:themeColor="text1"/>
        </w:rPr>
        <w:lastRenderedPageBreak/>
        <w:t>Aunado a lo anterior, el artículo 351 segundo párrafo del Código Financiero del Estado de México y Municipios establece que:</w:t>
      </w:r>
    </w:p>
    <w:p w:rsidR="00AB67FA" w:rsidRPr="00776DFA" w:rsidRDefault="00AB67FA" w:rsidP="00AB67FA">
      <w:pPr>
        <w:tabs>
          <w:tab w:val="left" w:pos="851"/>
        </w:tabs>
        <w:ind w:right="113"/>
        <w:jc w:val="both"/>
        <w:rPr>
          <w:rFonts w:ascii="Palatino Linotype" w:hAnsi="Palatino Linotype"/>
        </w:rPr>
      </w:pP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i/>
          <w:color w:val="000000" w:themeColor="text1"/>
          <w:lang w:val="es-ES"/>
        </w:rPr>
        <w:t>“</w:t>
      </w:r>
      <w:r w:rsidRPr="00776DFA">
        <w:rPr>
          <w:rFonts w:ascii="Palatino Linotype" w:hAnsi="Palatino Linotype" w:cs="Arial"/>
          <w:b/>
          <w:i/>
          <w:color w:val="000000" w:themeColor="text1"/>
          <w:lang w:val="es-ES"/>
        </w:rPr>
        <w:t>Artículo 351.</w:t>
      </w:r>
      <w:proofErr w:type="gramStart"/>
      <w:r w:rsidRPr="00776DFA">
        <w:rPr>
          <w:rFonts w:ascii="Palatino Linotype" w:hAnsi="Palatino Linotype" w:cs="Arial"/>
          <w:b/>
          <w:i/>
          <w:color w:val="000000" w:themeColor="text1"/>
          <w:lang w:val="es-ES"/>
        </w:rPr>
        <w:t>-</w:t>
      </w:r>
      <w:r w:rsidRPr="00776DFA">
        <w:rPr>
          <w:rFonts w:ascii="Palatino Linotype" w:hAnsi="Palatino Linotype" w:cs="Arial"/>
          <w:i/>
          <w:color w:val="000000" w:themeColor="text1"/>
          <w:lang w:val="es-ES"/>
        </w:rPr>
        <w:t xml:space="preserve"> …</w:t>
      </w:r>
      <w:proofErr w:type="gramEnd"/>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p>
    <w:p w:rsidR="00AB67FA" w:rsidRPr="00776DFA" w:rsidRDefault="00AB67FA" w:rsidP="00AB67FA">
      <w:pPr>
        <w:tabs>
          <w:tab w:val="left" w:pos="851"/>
        </w:tabs>
        <w:spacing w:line="276" w:lineRule="auto"/>
        <w:ind w:left="851" w:right="822"/>
        <w:jc w:val="both"/>
        <w:rPr>
          <w:rFonts w:ascii="Palatino Linotype" w:hAnsi="Palatino Linotype" w:cs="Arial"/>
          <w:i/>
          <w:color w:val="000000" w:themeColor="text1"/>
          <w:lang w:val="es-ES"/>
        </w:rPr>
      </w:pPr>
      <w:r w:rsidRPr="00776DFA">
        <w:rPr>
          <w:rFonts w:ascii="Palatino Linotype" w:hAnsi="Palatino Linotype" w:cs="Arial"/>
          <w:b/>
          <w:i/>
          <w:color w:val="000000" w:themeColor="text1"/>
          <w:lang w:val="es-ES"/>
        </w:rPr>
        <w:t xml:space="preserve">Los Ayuntamientos al aprobar en forma definitiva su presupuesto de egresos, deberán publicar en la "Gaceta Municipal" </w:t>
      </w:r>
      <w:r w:rsidRPr="00776DFA">
        <w:rPr>
          <w:rFonts w:ascii="Palatino Linotype" w:hAnsi="Palatino Linotype" w:cs="Arial"/>
          <w:i/>
          <w:color w:val="000000" w:themeColor="text1"/>
          <w:lang w:val="es-ES"/>
        </w:rPr>
        <w:t xml:space="preserve">de manera clara y entendible, todas y cada una de las partidas que lo integran, </w:t>
      </w:r>
      <w:r w:rsidRPr="00776DFA">
        <w:rPr>
          <w:rFonts w:ascii="Palatino Linotype" w:hAnsi="Palatino Linotype" w:cs="Arial"/>
          <w:b/>
          <w:i/>
          <w:color w:val="000000" w:themeColor="text1"/>
          <w:lang w:val="es-ES"/>
        </w:rPr>
        <w:t>las remuneraciones de todo tipo aprobadas para los miembros del ayuntamiento y para los servidores públicos en genera</w:t>
      </w:r>
      <w:r w:rsidRPr="00776DFA">
        <w:rPr>
          <w:rFonts w:ascii="Palatino Linotype" w:hAnsi="Palatino Linotype" w:cs="Arial"/>
          <w:i/>
          <w:color w:val="000000" w:themeColor="text1"/>
          <w:lang w:val="es-ES"/>
        </w:rPr>
        <w:t xml:space="preserve">l, incluyendo mandos medios y superiores de la administración municipal, a más tardar el 25 de febrero del año para el cual habrá de aplicar dicho presupuesto.” </w:t>
      </w:r>
    </w:p>
    <w:p w:rsidR="002A5CB3" w:rsidRPr="00776DFA" w:rsidRDefault="002A5CB3" w:rsidP="00AB67F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olor w:val="000000"/>
        </w:rPr>
      </w:pPr>
      <w:r w:rsidRPr="00776DFA">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7FA" w:rsidRPr="00776DFA" w:rsidRDefault="00AB67FA" w:rsidP="00AB67FA">
      <w:pPr>
        <w:pBdr>
          <w:top w:val="nil"/>
          <w:left w:val="nil"/>
          <w:bottom w:val="nil"/>
          <w:right w:val="nil"/>
          <w:between w:val="nil"/>
        </w:pBdr>
        <w:spacing w:line="360" w:lineRule="auto"/>
        <w:ind w:right="113"/>
        <w:jc w:val="both"/>
        <w:rPr>
          <w:rFonts w:ascii="Palatino Linotype" w:hAnsi="Palatino Linotype"/>
          <w:color w:val="000000"/>
        </w:rPr>
      </w:pPr>
    </w:p>
    <w:p w:rsidR="00AB67FA" w:rsidRPr="00776DFA" w:rsidRDefault="00AB67FA" w:rsidP="00AB67FA">
      <w:pPr>
        <w:spacing w:line="276" w:lineRule="auto"/>
        <w:ind w:left="851" w:right="822"/>
        <w:jc w:val="both"/>
        <w:rPr>
          <w:rFonts w:ascii="Palatino Linotype" w:eastAsia="Palatino Linotype" w:hAnsi="Palatino Linotype" w:cs="Palatino Linotype"/>
          <w:i/>
          <w:color w:val="000000"/>
        </w:rPr>
      </w:pPr>
      <w:r w:rsidRPr="00776DFA">
        <w:rPr>
          <w:rFonts w:ascii="Palatino Linotype" w:eastAsia="Palatino Linotype" w:hAnsi="Palatino Linotype" w:cs="Palatino Linotype"/>
          <w:i/>
          <w:color w:val="000000"/>
        </w:rPr>
        <w:t>“</w:t>
      </w:r>
      <w:r w:rsidRPr="00776DFA">
        <w:rPr>
          <w:rFonts w:ascii="Palatino Linotype" w:eastAsia="Palatino Linotype" w:hAnsi="Palatino Linotype" w:cs="Palatino Linotype"/>
          <w:b/>
          <w:i/>
          <w:color w:val="000000"/>
        </w:rPr>
        <w:t xml:space="preserve">Artículo 3. </w:t>
      </w:r>
      <w:r w:rsidRPr="00776DFA">
        <w:rPr>
          <w:rFonts w:ascii="Palatino Linotype" w:eastAsia="Palatino Linotype" w:hAnsi="Palatino Linotype" w:cs="Palatino Linotype"/>
          <w:i/>
          <w:color w:val="000000"/>
        </w:rPr>
        <w:t>Para los efectos de la presente Ley se entenderá por:</w:t>
      </w:r>
    </w:p>
    <w:p w:rsidR="00AB67FA" w:rsidRPr="00776DFA" w:rsidRDefault="00AB67FA" w:rsidP="00AB67FA">
      <w:pPr>
        <w:spacing w:line="276" w:lineRule="auto"/>
        <w:ind w:left="851" w:right="822"/>
        <w:jc w:val="both"/>
        <w:rPr>
          <w:rFonts w:ascii="Palatino Linotype" w:eastAsia="Palatino Linotype" w:hAnsi="Palatino Linotype" w:cs="Palatino Linotype"/>
          <w:i/>
          <w:color w:val="000000"/>
        </w:rPr>
      </w:pPr>
      <w:r w:rsidRPr="00776DFA">
        <w:rPr>
          <w:rFonts w:ascii="Palatino Linotype" w:eastAsia="Palatino Linotype" w:hAnsi="Palatino Linotype" w:cs="Palatino Linotype"/>
          <w:i/>
          <w:color w:val="000000"/>
        </w:rPr>
        <w:t>(…)</w:t>
      </w:r>
    </w:p>
    <w:p w:rsidR="00AB67FA" w:rsidRPr="00776DFA" w:rsidRDefault="00AB67FA" w:rsidP="00AB67FA">
      <w:pPr>
        <w:spacing w:line="276" w:lineRule="auto"/>
        <w:ind w:left="851" w:right="822"/>
        <w:jc w:val="both"/>
        <w:rPr>
          <w:rFonts w:ascii="Palatino Linotype" w:eastAsia="Palatino Linotype" w:hAnsi="Palatino Linotype" w:cs="Palatino Linotype"/>
          <w:i/>
          <w:color w:val="000000"/>
        </w:rPr>
      </w:pPr>
      <w:r w:rsidRPr="00776DFA">
        <w:rPr>
          <w:rFonts w:ascii="Palatino Linotype" w:eastAsia="Palatino Linotype" w:hAnsi="Palatino Linotype" w:cs="Palatino Linotype"/>
          <w:b/>
          <w:i/>
          <w:color w:val="000000"/>
        </w:rPr>
        <w:t>XI. Documento:</w:t>
      </w:r>
      <w:r w:rsidRPr="00776DFA">
        <w:rPr>
          <w:rFonts w:ascii="Palatino Linotype" w:eastAsia="Palatino Linotype" w:hAnsi="Palatino Linotype" w:cs="Palatino Linotype"/>
          <w:i/>
          <w:color w:val="000000"/>
        </w:rPr>
        <w:t xml:space="preserve"> Los expedientes, reportes, estudios, actas, resoluciones, oficios, correspondencia, acuerdos, directivas, directrices, circulares, </w:t>
      </w:r>
      <w:r w:rsidRPr="00776DFA">
        <w:rPr>
          <w:rFonts w:ascii="Palatino Linotype" w:eastAsia="Palatino Linotype" w:hAnsi="Palatino Linotype" w:cs="Palatino Linotype"/>
          <w:i/>
          <w:color w:val="000000"/>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7FA" w:rsidRPr="00776DFA" w:rsidRDefault="00AB67FA" w:rsidP="00AB67FA">
      <w:pPr>
        <w:spacing w:line="276" w:lineRule="auto"/>
        <w:ind w:left="851" w:right="822"/>
        <w:jc w:val="both"/>
        <w:rPr>
          <w:rFonts w:ascii="Palatino Linotype" w:eastAsia="Palatino Linotype" w:hAnsi="Palatino Linotype" w:cs="Palatino Linotype"/>
          <w:i/>
          <w:color w:val="000000"/>
        </w:rPr>
      </w:pPr>
      <w:r w:rsidRPr="00776DFA">
        <w:rPr>
          <w:rFonts w:ascii="Palatino Linotype" w:eastAsia="Palatino Linotype" w:hAnsi="Palatino Linotype" w:cs="Palatino Linotype"/>
          <w:i/>
          <w:color w:val="000000"/>
        </w:rPr>
        <w:t>(…)”</w:t>
      </w:r>
    </w:p>
    <w:p w:rsidR="00AB67FA" w:rsidRPr="00776DFA" w:rsidRDefault="00AB67FA" w:rsidP="00AB67FA">
      <w:pPr>
        <w:spacing w:line="360" w:lineRule="auto"/>
        <w:ind w:right="113"/>
        <w:jc w:val="both"/>
        <w:rPr>
          <w:rFonts w:ascii="Palatino Linotype" w:eastAsia="Palatino Linotype" w:hAnsi="Palatino Linotype" w:cs="Palatino Linotype"/>
        </w:rPr>
      </w:pP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olor w:val="000000"/>
        </w:rPr>
      </w:pPr>
      <w:r w:rsidRPr="00776DFA">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7FA" w:rsidRPr="00776DFA" w:rsidRDefault="00AB67FA" w:rsidP="00AB67FA">
      <w:pPr>
        <w:pBdr>
          <w:top w:val="nil"/>
          <w:left w:val="nil"/>
          <w:bottom w:val="nil"/>
          <w:right w:val="nil"/>
          <w:between w:val="nil"/>
        </w:pBdr>
        <w:spacing w:line="360" w:lineRule="auto"/>
        <w:ind w:right="-787"/>
        <w:jc w:val="both"/>
        <w:rPr>
          <w:rFonts w:ascii="Palatino Linotype" w:hAnsi="Palatino Linotype"/>
          <w:color w:val="000000"/>
        </w:rPr>
      </w:pPr>
    </w:p>
    <w:p w:rsidR="00AB67FA" w:rsidRPr="00776DFA" w:rsidRDefault="00AB67FA" w:rsidP="00AB67FA">
      <w:pPr>
        <w:spacing w:line="276" w:lineRule="auto"/>
        <w:ind w:left="850"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rPr>
        <w:t>“</w:t>
      </w:r>
      <w:r w:rsidRPr="00776DFA">
        <w:rPr>
          <w:rFonts w:ascii="Palatino Linotype" w:eastAsia="Palatino Linotype" w:hAnsi="Palatino Linotype" w:cs="Palatino Linotype"/>
          <w:b/>
          <w:i/>
        </w:rPr>
        <w:t>CRITERIO 0002-11</w:t>
      </w:r>
    </w:p>
    <w:p w:rsidR="00AB67FA" w:rsidRPr="00776DFA" w:rsidRDefault="00AB67FA" w:rsidP="00AB67FA">
      <w:pPr>
        <w:spacing w:line="276" w:lineRule="auto"/>
        <w:ind w:left="850"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76DF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7FA" w:rsidRPr="00776DFA" w:rsidRDefault="00AB67FA" w:rsidP="00AB67FA">
      <w:pPr>
        <w:spacing w:line="276" w:lineRule="auto"/>
        <w:ind w:left="850"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En consecuencia el acceso a la información se refiere a que se cumplan cualquiera de los siguientes tres supuestos:</w:t>
      </w:r>
    </w:p>
    <w:p w:rsidR="00AB67FA" w:rsidRPr="00776DFA" w:rsidRDefault="00AB67FA" w:rsidP="00AB67FA">
      <w:pPr>
        <w:spacing w:line="276" w:lineRule="auto"/>
        <w:ind w:left="850" w:right="822"/>
        <w:jc w:val="both"/>
        <w:rPr>
          <w:rFonts w:ascii="Palatino Linotype" w:eastAsia="Palatino Linotype" w:hAnsi="Palatino Linotype" w:cs="Palatino Linotype"/>
          <w:b/>
          <w:i/>
        </w:rPr>
      </w:pPr>
      <w:r w:rsidRPr="00776DFA">
        <w:rPr>
          <w:rFonts w:ascii="Palatino Linotype" w:eastAsia="Palatino Linotype" w:hAnsi="Palatino Linotype" w:cs="Palatino Linotype"/>
          <w:b/>
          <w:i/>
        </w:rPr>
        <w:t xml:space="preserve">1) </w:t>
      </w:r>
      <w:r w:rsidRPr="00776DFA">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AB67FA" w:rsidRPr="00776DFA" w:rsidRDefault="00AB67FA" w:rsidP="00AB67FA">
      <w:pPr>
        <w:spacing w:line="276" w:lineRule="auto"/>
        <w:ind w:left="850"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AB67FA" w:rsidRPr="00776DFA" w:rsidRDefault="00AB67FA" w:rsidP="00AB67FA">
      <w:pPr>
        <w:spacing w:line="276" w:lineRule="auto"/>
        <w:ind w:left="850"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AB67FA" w:rsidRPr="00776DFA" w:rsidRDefault="00AB67FA" w:rsidP="00AB67FA">
      <w:pPr>
        <w:tabs>
          <w:tab w:val="left" w:pos="851"/>
        </w:tabs>
        <w:spacing w:line="276" w:lineRule="auto"/>
        <w:ind w:left="850" w:right="822"/>
        <w:rPr>
          <w:rFonts w:ascii="Palatino Linotype" w:eastAsia="Palatino Linotype" w:hAnsi="Palatino Linotype" w:cs="Palatino Linotype"/>
        </w:rPr>
      </w:pPr>
      <w:r w:rsidRPr="00776DFA">
        <w:rPr>
          <w:rFonts w:ascii="Palatino Linotype" w:eastAsia="Palatino Linotype" w:hAnsi="Palatino Linotype" w:cs="Palatino Linotype"/>
        </w:rPr>
        <w:t>(Énfasis Añadido)</w:t>
      </w:r>
    </w:p>
    <w:p w:rsidR="00AB67FA" w:rsidRPr="00776DFA" w:rsidRDefault="00AB67FA" w:rsidP="00AB67F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AB67FA" w:rsidRPr="00776DFA" w:rsidRDefault="00AB67FA" w:rsidP="00AB67FA">
      <w:pPr>
        <w:numPr>
          <w:ilvl w:val="0"/>
          <w:numId w:val="2"/>
        </w:numPr>
        <w:pBdr>
          <w:top w:val="nil"/>
          <w:left w:val="nil"/>
          <w:bottom w:val="nil"/>
          <w:right w:val="nil"/>
          <w:between w:val="nil"/>
        </w:pBdr>
        <w:spacing w:line="360" w:lineRule="auto"/>
        <w:ind w:right="113"/>
        <w:jc w:val="both"/>
        <w:rPr>
          <w:rFonts w:ascii="Palatino Linotype" w:hAnsi="Palatino Linotype"/>
          <w:color w:val="000000"/>
        </w:rPr>
      </w:pPr>
      <w:r w:rsidRPr="00776DFA">
        <w:rPr>
          <w:rFonts w:ascii="Palatino Linotype" w:eastAsia="Palatino Linotype" w:hAnsi="Palatino Linotype" w:cs="Palatino Linotype"/>
          <w:color w:val="000000"/>
        </w:rPr>
        <w:t>Por su parte los artículos 160 y 166, de la Ley local en la materia, que se reproduce de la siguiente forma:</w:t>
      </w:r>
    </w:p>
    <w:p w:rsidR="00AB67FA" w:rsidRPr="00776DFA" w:rsidRDefault="00AB67FA" w:rsidP="00AB67FA">
      <w:pPr>
        <w:pBdr>
          <w:top w:val="nil"/>
          <w:left w:val="nil"/>
          <w:bottom w:val="nil"/>
          <w:right w:val="nil"/>
          <w:between w:val="nil"/>
        </w:pBdr>
        <w:spacing w:line="276" w:lineRule="auto"/>
        <w:ind w:left="851" w:right="822"/>
        <w:jc w:val="both"/>
        <w:rPr>
          <w:rFonts w:ascii="Palatino Linotype" w:hAnsi="Palatino Linotype"/>
          <w:color w:val="000000"/>
        </w:rPr>
      </w:pPr>
    </w:p>
    <w:p w:rsidR="00AB67FA" w:rsidRPr="00776DFA" w:rsidRDefault="00AB67FA" w:rsidP="00AB67FA">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w:t>
      </w:r>
      <w:r w:rsidRPr="00776DFA">
        <w:rPr>
          <w:rFonts w:ascii="Palatino Linotype" w:eastAsia="Palatino Linotype" w:hAnsi="Palatino Linotype" w:cs="Palatino Linotype"/>
          <w:b/>
          <w:i/>
        </w:rPr>
        <w:t>Artículo 160.</w:t>
      </w:r>
      <w:r w:rsidRPr="00776DFA">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B67FA" w:rsidRPr="00776DFA" w:rsidRDefault="00AB67FA" w:rsidP="00AB67FA">
      <w:pPr>
        <w:spacing w:line="276" w:lineRule="auto"/>
        <w:ind w:left="851" w:right="822"/>
        <w:jc w:val="both"/>
        <w:rPr>
          <w:rFonts w:ascii="Palatino Linotype" w:eastAsia="Palatino Linotype" w:hAnsi="Palatino Linotype" w:cs="Palatino Linotype"/>
          <w:i/>
        </w:rPr>
      </w:pPr>
    </w:p>
    <w:p w:rsidR="00AB67FA" w:rsidRPr="00776DFA" w:rsidRDefault="00AB67FA" w:rsidP="00AB67FA">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i/>
        </w:rPr>
        <w:t>En caso que la información solicitada consista en bases de datos se deberá privilegiar la entrega de la misma en formatos abiertos.</w:t>
      </w:r>
    </w:p>
    <w:p w:rsidR="00AB67FA" w:rsidRPr="00776DFA" w:rsidRDefault="00AB67FA" w:rsidP="00AB67FA">
      <w:pPr>
        <w:spacing w:line="276" w:lineRule="auto"/>
        <w:ind w:left="851" w:right="822"/>
        <w:jc w:val="both"/>
        <w:rPr>
          <w:rFonts w:ascii="Palatino Linotype" w:eastAsia="Palatino Linotype" w:hAnsi="Palatino Linotype" w:cs="Palatino Linotype"/>
          <w:i/>
        </w:rPr>
      </w:pPr>
      <w:r w:rsidRPr="00776DFA">
        <w:rPr>
          <w:rFonts w:ascii="Palatino Linotype" w:eastAsia="Palatino Linotype" w:hAnsi="Palatino Linotype" w:cs="Palatino Linotype"/>
          <w:b/>
          <w:i/>
        </w:rPr>
        <w:t>Artículo 166.</w:t>
      </w:r>
      <w:r w:rsidRPr="00776DFA">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AB67FA" w:rsidRPr="00776DFA" w:rsidRDefault="00AB67FA" w:rsidP="00AB67FA">
      <w:pPr>
        <w:spacing w:line="276" w:lineRule="auto"/>
        <w:ind w:left="851" w:right="822"/>
        <w:jc w:val="both"/>
        <w:rPr>
          <w:rFonts w:ascii="Palatino Linotype" w:eastAsia="Palatino Linotype" w:hAnsi="Palatino Linotype" w:cs="Palatino Linotype"/>
        </w:rPr>
      </w:pPr>
      <w:r w:rsidRPr="00776DFA">
        <w:rPr>
          <w:rFonts w:ascii="Palatino Linotype" w:eastAsia="Palatino Linotype" w:hAnsi="Palatino Linotype" w:cs="Palatino Linotype"/>
        </w:rPr>
        <w:t>(Énfasis añadido)</w:t>
      </w:r>
    </w:p>
    <w:p w:rsidR="00AB67FA" w:rsidRPr="00776DFA" w:rsidRDefault="00AB67FA" w:rsidP="00AB67FA">
      <w:pPr>
        <w:spacing w:line="360" w:lineRule="auto"/>
        <w:ind w:right="-787"/>
        <w:jc w:val="both"/>
        <w:rPr>
          <w:rFonts w:ascii="Palatino Linotype" w:eastAsia="Palatino Linotype" w:hAnsi="Palatino Linotype" w:cs="Palatino Linotype"/>
        </w:rPr>
      </w:pPr>
    </w:p>
    <w:p w:rsidR="00AB67FA" w:rsidRPr="00776DFA" w:rsidRDefault="00AB67FA" w:rsidP="00AB67FA">
      <w:pPr>
        <w:numPr>
          <w:ilvl w:val="0"/>
          <w:numId w:val="2"/>
        </w:numPr>
        <w:pBdr>
          <w:top w:val="nil"/>
          <w:left w:val="nil"/>
          <w:bottom w:val="nil"/>
          <w:right w:val="nil"/>
          <w:between w:val="nil"/>
        </w:pBdr>
        <w:spacing w:line="360" w:lineRule="auto"/>
        <w:ind w:left="0" w:right="113" w:firstLine="0"/>
        <w:jc w:val="both"/>
        <w:rPr>
          <w:rFonts w:ascii="Palatino Linotype" w:hAnsi="Palatino Linotype"/>
          <w:color w:val="000000"/>
        </w:rPr>
      </w:pPr>
      <w:r w:rsidRPr="00776DFA">
        <w:rPr>
          <w:rFonts w:ascii="Palatino Linotype" w:eastAsia="Palatino Linotype" w:hAnsi="Palatino Linotype" w:cs="Palatino Linotype"/>
          <w:color w:val="000000"/>
        </w:rPr>
        <w:t xml:space="preserve">Así que la obligación de los Sujetos Obligados de dar acceso a la información pública que generen, administren o posean, se tendrá por cumplida cuando el solicitante tenga a su disposición la información requerida, o cuando realice la </w:t>
      </w:r>
      <w:r w:rsidRPr="00776DFA">
        <w:rPr>
          <w:rFonts w:ascii="Palatino Linotype" w:eastAsia="Palatino Linotype" w:hAnsi="Palatino Linotype" w:cs="Palatino Linotype"/>
          <w:color w:val="000000"/>
        </w:rPr>
        <w:lastRenderedPageBreak/>
        <w:t>consulta de la misma en el lugar que ésta se localice, siempre y cuando así resultare procedente.</w:t>
      </w:r>
    </w:p>
    <w:p w:rsidR="002A5CB3" w:rsidRPr="00776DFA" w:rsidRDefault="002A5CB3" w:rsidP="00AB67F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3B080D" w:rsidRPr="00776DFA" w:rsidRDefault="003B080D" w:rsidP="003B080D">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776DFA">
        <w:rPr>
          <w:rFonts w:ascii="Palatino Linotype" w:eastAsia="Palatino Linotype" w:hAnsi="Palatino Linotype" w:cs="Palatino Linotype"/>
          <w:b/>
        </w:rPr>
        <w:t>RECURRENTE</w:t>
      </w:r>
      <w:r w:rsidRPr="00776DFA">
        <w:rPr>
          <w:rFonts w:ascii="Palatino Linotype" w:eastAsia="Palatino Linotype" w:hAnsi="Palatino Linotype" w:cs="Palatino Linotype"/>
        </w:rPr>
        <w:t xml:space="preserve"> dentro del recurso de revisión </w:t>
      </w:r>
      <w:r w:rsidR="00AB67FA" w:rsidRPr="00776DFA">
        <w:rPr>
          <w:rFonts w:ascii="Palatino Linotype" w:eastAsia="Palatino Linotype" w:hAnsi="Palatino Linotype" w:cs="Palatino Linotype"/>
          <w:b/>
        </w:rPr>
        <w:t>01923/INFOEM/IP/RR/2025</w:t>
      </w:r>
      <w:r w:rsidRPr="00776DFA">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776DFA">
        <w:rPr>
          <w:rFonts w:ascii="Palatino Linotype" w:eastAsia="Palatino Linotype" w:hAnsi="Palatino Linotype" w:cs="Palatino Linotype"/>
          <w:b/>
        </w:rPr>
        <w:t>REVOCA</w:t>
      </w:r>
      <w:r w:rsidRPr="00776DFA">
        <w:rPr>
          <w:rFonts w:ascii="Palatino Linotype" w:eastAsia="Palatino Linotype" w:hAnsi="Palatino Linotype" w:cs="Palatino Linotype"/>
        </w:rPr>
        <w:t xml:space="preserve"> la respuesta a la solicitud de información número </w:t>
      </w:r>
      <w:r w:rsidR="00AB67FA" w:rsidRPr="00776DFA">
        <w:rPr>
          <w:rFonts w:ascii="Palatino Linotype" w:eastAsia="Palatino Linotype" w:hAnsi="Palatino Linotype" w:cs="Palatino Linotype"/>
          <w:b/>
          <w:bCs/>
        </w:rPr>
        <w:t>00024/ALMOJU/IP/2025</w:t>
      </w:r>
      <w:r w:rsidRPr="00776DFA">
        <w:rPr>
          <w:rFonts w:ascii="Palatino Linotype" w:eastAsia="Palatino Linotype" w:hAnsi="Palatino Linotype" w:cs="Palatino Linotype"/>
        </w:rPr>
        <w:t>.</w:t>
      </w:r>
      <w:bookmarkStart w:id="9" w:name="_heading=h.2s8eyo1" w:colFirst="0" w:colLast="0"/>
      <w:bookmarkEnd w:id="9"/>
    </w:p>
    <w:p w:rsidR="003B080D" w:rsidRPr="00776DFA" w:rsidRDefault="003B080D" w:rsidP="003B080D">
      <w:pPr>
        <w:pStyle w:val="Prrafodelista"/>
        <w:rPr>
          <w:rFonts w:ascii="Palatino Linotype" w:eastAsia="Palatino Linotype" w:hAnsi="Palatino Linotype" w:cs="Palatino Linotype"/>
        </w:rPr>
      </w:pPr>
    </w:p>
    <w:p w:rsidR="003B080D" w:rsidRPr="00776DFA" w:rsidRDefault="003B080D" w:rsidP="003B080D">
      <w:pPr>
        <w:pStyle w:val="Prrafodelista"/>
        <w:tabs>
          <w:tab w:val="left" w:pos="426"/>
        </w:tabs>
        <w:spacing w:line="360" w:lineRule="auto"/>
        <w:ind w:left="0" w:right="51"/>
        <w:jc w:val="both"/>
        <w:outlineLvl w:val="1"/>
        <w:rPr>
          <w:rFonts w:ascii="Palatino Linotype" w:hAnsi="Palatino Linotype"/>
          <w:b/>
          <w:bCs/>
        </w:rPr>
      </w:pPr>
      <w:bookmarkStart w:id="10" w:name="_Toc89350464"/>
      <w:bookmarkStart w:id="11" w:name="_Toc94119619"/>
      <w:r w:rsidRPr="00776DFA">
        <w:rPr>
          <w:rFonts w:ascii="Palatino Linotype" w:hAnsi="Palatino Linotype"/>
          <w:b/>
          <w:bCs/>
        </w:rPr>
        <w:t>QUINTO. De la versión pública.</w:t>
      </w:r>
      <w:bookmarkEnd w:id="10"/>
      <w:bookmarkEnd w:id="11"/>
    </w:p>
    <w:p w:rsidR="003B080D" w:rsidRPr="00776DFA" w:rsidRDefault="003B080D" w:rsidP="003B080D">
      <w:pPr>
        <w:pStyle w:val="Prrafodelista"/>
        <w:tabs>
          <w:tab w:val="left" w:pos="426"/>
        </w:tabs>
        <w:spacing w:line="360" w:lineRule="auto"/>
        <w:ind w:left="0" w:right="51"/>
        <w:jc w:val="both"/>
        <w:rPr>
          <w:rFonts w:ascii="Palatino Linotype" w:hAnsi="Palatino Linotype"/>
        </w:rPr>
      </w:pPr>
    </w:p>
    <w:p w:rsidR="003B080D" w:rsidRPr="00776DFA" w:rsidRDefault="003B080D" w:rsidP="003B080D">
      <w:pPr>
        <w:pStyle w:val="Prrafodelista"/>
        <w:numPr>
          <w:ilvl w:val="0"/>
          <w:numId w:val="2"/>
        </w:numPr>
        <w:tabs>
          <w:tab w:val="left" w:pos="0"/>
        </w:tabs>
        <w:spacing w:line="360" w:lineRule="auto"/>
        <w:ind w:left="0" w:right="51" w:firstLine="0"/>
        <w:jc w:val="both"/>
        <w:rPr>
          <w:rFonts w:ascii="Palatino Linotype" w:hAnsi="Palatino Linotype"/>
        </w:rPr>
      </w:pPr>
      <w:r w:rsidRPr="00776DFA">
        <w:rPr>
          <w:rFonts w:ascii="Palatino Linotype" w:hAnsi="Palatino Linotype"/>
        </w:rPr>
        <w:t>Debe destacarse que, debido a la naturaleza de la información solicitada</w:t>
      </w:r>
      <w:r w:rsidRPr="00776DFA">
        <w:rPr>
          <w:rFonts w:ascii="Palatino Linotype" w:hAnsi="Palatino Linotype"/>
          <w:b/>
        </w:rPr>
        <w:t xml:space="preserve"> </w:t>
      </w:r>
      <w:r w:rsidRPr="00776DFA">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B080D" w:rsidRPr="00776DFA" w:rsidRDefault="003B080D" w:rsidP="003B080D">
      <w:pPr>
        <w:pStyle w:val="Prrafodelista"/>
        <w:tabs>
          <w:tab w:val="left" w:pos="426"/>
        </w:tabs>
        <w:spacing w:line="360" w:lineRule="auto"/>
        <w:ind w:left="0" w:right="51"/>
        <w:jc w:val="both"/>
        <w:rPr>
          <w:rFonts w:ascii="Palatino Linotype" w:hAnsi="Palatino Linotype"/>
        </w:rPr>
      </w:pPr>
    </w:p>
    <w:p w:rsidR="003B080D" w:rsidRPr="00776DFA" w:rsidRDefault="003B080D" w:rsidP="003B080D">
      <w:pPr>
        <w:pStyle w:val="Prrafodelista"/>
        <w:numPr>
          <w:ilvl w:val="0"/>
          <w:numId w:val="2"/>
        </w:numPr>
        <w:tabs>
          <w:tab w:val="left" w:pos="0"/>
        </w:tabs>
        <w:spacing w:line="360" w:lineRule="auto"/>
        <w:ind w:left="0" w:right="51" w:firstLine="0"/>
        <w:jc w:val="both"/>
        <w:rPr>
          <w:rFonts w:ascii="Palatino Linotype" w:hAnsi="Palatino Linotype"/>
        </w:rPr>
      </w:pPr>
      <w:r w:rsidRPr="00776DFA">
        <w:rPr>
          <w:rFonts w:ascii="Palatino Linotype" w:hAnsi="Palatino Linotype"/>
        </w:rPr>
        <w:t xml:space="preserve">La </w:t>
      </w:r>
      <w:r w:rsidRPr="00776DFA">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776DFA">
        <w:rPr>
          <w:rFonts w:ascii="Palatino Linotype" w:hAnsi="Palatino Linotype" w:cs="Arial"/>
        </w:rPr>
        <w:t>, por lo que es menester reiterar los mismos:</w:t>
      </w:r>
    </w:p>
    <w:p w:rsidR="003B080D" w:rsidRPr="00776DFA" w:rsidRDefault="003B080D" w:rsidP="003B080D">
      <w:pPr>
        <w:pStyle w:val="Prrafodelista"/>
        <w:tabs>
          <w:tab w:val="left" w:pos="426"/>
        </w:tabs>
        <w:spacing w:line="360" w:lineRule="auto"/>
        <w:ind w:left="0" w:right="51"/>
        <w:jc w:val="both"/>
        <w:rPr>
          <w:rFonts w:ascii="Palatino Linotype" w:hAnsi="Palatino Linotype"/>
        </w:rPr>
      </w:pPr>
    </w:p>
    <w:tbl>
      <w:tblPr>
        <w:tblStyle w:val="Tabladecuadrcula6concolores"/>
        <w:tblW w:w="0" w:type="auto"/>
        <w:tblLook w:val="04A0" w:firstRow="1" w:lastRow="0" w:firstColumn="1" w:lastColumn="0" w:noHBand="0" w:noVBand="1"/>
      </w:tblPr>
      <w:tblGrid>
        <w:gridCol w:w="1838"/>
        <w:gridCol w:w="6990"/>
      </w:tblGrid>
      <w:tr w:rsidR="00891B4E" w:rsidRPr="00776DFA" w:rsidTr="002A5C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B080D" w:rsidRPr="00776DFA" w:rsidRDefault="003B080D" w:rsidP="002A5CB3">
            <w:pPr>
              <w:spacing w:line="360" w:lineRule="auto"/>
              <w:rPr>
                <w:rFonts w:ascii="Palatino Linotype" w:hAnsi="Palatino Linotype"/>
                <w:color w:val="auto"/>
              </w:rPr>
            </w:pPr>
            <w:r w:rsidRPr="00776DFA">
              <w:rPr>
                <w:rFonts w:ascii="Palatino Linotype" w:hAnsi="Palatino Linotype" w:cstheme="majorBidi"/>
                <w:b w:val="0"/>
                <w:color w:val="auto"/>
              </w:rPr>
              <w:lastRenderedPageBreak/>
              <w:t>a) Requisitos previos.</w:t>
            </w:r>
          </w:p>
        </w:tc>
        <w:tc>
          <w:tcPr>
            <w:tcW w:w="6990" w:type="dxa"/>
          </w:tcPr>
          <w:p w:rsidR="003B080D" w:rsidRPr="00776DFA" w:rsidRDefault="003B080D" w:rsidP="002A5C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Los artículos 100 y 122 de la Ley Estatal y de la Ley General, respectivamente, señalan que si los </w:t>
            </w:r>
            <w:r w:rsidRPr="00776DFA">
              <w:rPr>
                <w:rFonts w:ascii="Palatino Linotype" w:hAnsi="Palatino Linotype" w:cs="Arial"/>
                <w:b w:val="0"/>
                <w:color w:val="auto"/>
              </w:rPr>
              <w:t>Sujetos Obligados</w:t>
            </w:r>
            <w:r w:rsidRPr="00776DFA">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3B080D" w:rsidRPr="00776DFA" w:rsidRDefault="003B080D" w:rsidP="002A5C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Al hacerlo tienen que precisar de qué información se trata, señalando el supuesto de clasificación (confidencialidad o reserva).</w:t>
            </w:r>
          </w:p>
          <w:p w:rsidR="003B080D" w:rsidRPr="00776DFA" w:rsidRDefault="003B080D" w:rsidP="002A5C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Además, se debe señalar el procedimiento, de los tres que establecen los artículos 132 y 106 de la Ley Estatal y General, respectivamente.</w:t>
            </w:r>
          </w:p>
          <w:p w:rsidR="003B080D" w:rsidRPr="00776DFA" w:rsidRDefault="003B080D" w:rsidP="002A5CB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776DFA">
              <w:rPr>
                <w:rFonts w:ascii="Palatino Linotype" w:hAnsi="Palatino Linotype" w:cs="Arial"/>
                <w:color w:val="auto"/>
              </w:rPr>
              <w:t xml:space="preserve">El último de estos requisitos previos consiste en que no se pueden emitir acuerdos de carácter general ni particular, esto es, </w:t>
            </w:r>
            <w:r w:rsidRPr="00776DFA">
              <w:rPr>
                <w:rFonts w:ascii="Palatino Linotype" w:hAnsi="Palatino Linotype" w:cs="Arial"/>
                <w:b w:val="0"/>
                <w:color w:val="auto"/>
                <w:u w:val="single"/>
              </w:rPr>
              <w:t xml:space="preserve">no se puede hacer un acuerdo para clasificar de manera general todos los documentos de un expediente o área,  </w:t>
            </w:r>
            <w:r w:rsidRPr="00776DFA">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891B4E" w:rsidRPr="00776DFA" w:rsidTr="002A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B080D" w:rsidRPr="00776DFA" w:rsidRDefault="003B080D" w:rsidP="002A5CB3">
            <w:pPr>
              <w:spacing w:line="360" w:lineRule="auto"/>
              <w:rPr>
                <w:rFonts w:ascii="Palatino Linotype" w:hAnsi="Palatino Linotype"/>
                <w:color w:val="auto"/>
              </w:rPr>
            </w:pPr>
            <w:r w:rsidRPr="00776DFA">
              <w:rPr>
                <w:rFonts w:ascii="Palatino Linotype" w:hAnsi="Palatino Linotype" w:cstheme="majorBidi"/>
                <w:b w:val="0"/>
                <w:color w:val="auto"/>
              </w:rPr>
              <w:t>b) Supuestos de clasificación.</w:t>
            </w:r>
          </w:p>
        </w:tc>
        <w:tc>
          <w:tcPr>
            <w:tcW w:w="6990" w:type="dxa"/>
          </w:tcPr>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Las disposiciones constitucionales y legales en la materia establecen los dos supuestos generales para clasificar la información: por reserva y por confidencialidad.</w:t>
            </w:r>
          </w:p>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B080D" w:rsidRPr="00776DFA" w:rsidRDefault="003B080D" w:rsidP="002A5C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776DFA">
              <w:rPr>
                <w:rFonts w:ascii="Palatino Linotype" w:hAnsi="Palatino Linotype" w:cs="Arial"/>
                <w:color w:val="auto"/>
              </w:rPr>
              <w:t xml:space="preserve">El </w:t>
            </w:r>
            <w:r w:rsidRPr="00776DFA">
              <w:rPr>
                <w:rFonts w:ascii="Palatino Linotype" w:hAnsi="Palatino Linotype" w:cs="Arial"/>
                <w:b/>
                <w:color w:val="auto"/>
              </w:rPr>
              <w:t>SUJETO OBLIGADO</w:t>
            </w:r>
            <w:r w:rsidRPr="00776DFA">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91B4E" w:rsidRPr="00776DFA" w:rsidTr="002A5CB3">
        <w:tc>
          <w:tcPr>
            <w:cnfStyle w:val="001000000000" w:firstRow="0" w:lastRow="0" w:firstColumn="1" w:lastColumn="0" w:oddVBand="0" w:evenVBand="0" w:oddHBand="0" w:evenHBand="0" w:firstRowFirstColumn="0" w:firstRowLastColumn="0" w:lastRowFirstColumn="0" w:lastRowLastColumn="0"/>
            <w:tcW w:w="1838" w:type="dxa"/>
          </w:tcPr>
          <w:p w:rsidR="003B080D" w:rsidRPr="00776DFA" w:rsidRDefault="003B080D" w:rsidP="002A5CB3">
            <w:pPr>
              <w:spacing w:line="360" w:lineRule="auto"/>
              <w:rPr>
                <w:rFonts w:ascii="Palatino Linotype" w:hAnsi="Palatino Linotype"/>
                <w:color w:val="auto"/>
              </w:rPr>
            </w:pPr>
            <w:r w:rsidRPr="00776DFA">
              <w:rPr>
                <w:rFonts w:ascii="Palatino Linotype" w:hAnsi="Palatino Linotype" w:cstheme="majorBidi"/>
                <w:b w:val="0"/>
                <w:color w:val="auto"/>
              </w:rPr>
              <w:lastRenderedPageBreak/>
              <w:t>c) Formalidades para emitir el acuerdo de clasificación.</w:t>
            </w:r>
          </w:p>
        </w:tc>
        <w:tc>
          <w:tcPr>
            <w:tcW w:w="6990" w:type="dxa"/>
          </w:tcPr>
          <w:p w:rsidR="003B080D" w:rsidRPr="00776DFA" w:rsidRDefault="003B080D" w:rsidP="002A5C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3B080D" w:rsidRPr="00776DFA" w:rsidRDefault="003B080D" w:rsidP="002A5C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Es necesario que </w:t>
            </w:r>
            <w:r w:rsidRPr="00776DFA">
              <w:rPr>
                <w:rFonts w:ascii="Palatino Linotype" w:hAnsi="Palatino Linotype" w:cs="Arial"/>
                <w:b/>
                <w:color w:val="auto"/>
                <w:u w:val="single"/>
              </w:rPr>
              <w:t>el acto reúna con los requisitos elementales</w:t>
            </w:r>
            <w:r w:rsidRPr="00776DFA">
              <w:rPr>
                <w:rFonts w:ascii="Palatino Linotype" w:hAnsi="Palatino Linotype" w:cs="Arial"/>
                <w:color w:val="auto"/>
              </w:rPr>
              <w:t>, entre ellos, que la autoridad que va a emitir el acto de autoridad sea la legalmente facultada para ello.</w:t>
            </w:r>
          </w:p>
          <w:p w:rsidR="003B080D" w:rsidRPr="00776DFA" w:rsidRDefault="003B080D" w:rsidP="002A5C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776DFA">
              <w:rPr>
                <w:rFonts w:ascii="Palatino Linotype" w:hAnsi="Palatino Linotype" w:cs="Arial"/>
                <w:color w:val="auto"/>
              </w:rPr>
              <w:t xml:space="preserve">La decisión de aprobar, modificar o revocar la clasificación deberá de asentarse en un documento que registre la </w:t>
            </w:r>
            <w:r w:rsidRPr="00776DFA">
              <w:rPr>
                <w:rFonts w:ascii="Palatino Linotype" w:hAnsi="Palatino Linotype" w:cs="Arial"/>
                <w:color w:val="auto"/>
              </w:rPr>
              <w:lastRenderedPageBreak/>
              <w:t>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91B4E" w:rsidRPr="00776DFA" w:rsidTr="002A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B080D" w:rsidRPr="00776DFA" w:rsidRDefault="003B080D" w:rsidP="002A5CB3">
            <w:pPr>
              <w:spacing w:line="360" w:lineRule="auto"/>
              <w:rPr>
                <w:rFonts w:ascii="Palatino Linotype" w:hAnsi="Palatino Linotype"/>
                <w:b w:val="0"/>
                <w:color w:val="auto"/>
              </w:rPr>
            </w:pPr>
          </w:p>
          <w:p w:rsidR="003B080D" w:rsidRPr="00776DFA" w:rsidRDefault="003B080D" w:rsidP="002A5CB3">
            <w:pPr>
              <w:spacing w:line="360" w:lineRule="auto"/>
              <w:jc w:val="both"/>
              <w:rPr>
                <w:rFonts w:ascii="Palatino Linotype" w:hAnsi="Palatino Linotype"/>
                <w:b w:val="0"/>
                <w:color w:val="auto"/>
              </w:rPr>
            </w:pPr>
            <w:r w:rsidRPr="00776DFA">
              <w:rPr>
                <w:rFonts w:ascii="Palatino Linotype" w:hAnsi="Palatino Linotype" w:cs="Arial"/>
                <w:b w:val="0"/>
                <w:color w:val="auto"/>
              </w:rPr>
              <w:t xml:space="preserve">d) Requisitos de fondo del acuerdo de clasificación. </w:t>
            </w:r>
          </w:p>
        </w:tc>
        <w:tc>
          <w:tcPr>
            <w:tcW w:w="6990" w:type="dxa"/>
          </w:tcPr>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76DFA">
              <w:rPr>
                <w:rFonts w:ascii="Palatino Linotype" w:hAnsi="Palatino Linotype" w:cs="Arial"/>
                <w:b/>
                <w:color w:val="auto"/>
              </w:rPr>
              <w:t>Sujetos Obligados</w:t>
            </w:r>
            <w:r w:rsidRPr="00776DFA">
              <w:rPr>
                <w:rFonts w:ascii="Palatino Linotype" w:hAnsi="Palatino Linotype" w:cs="Arial"/>
                <w:color w:val="auto"/>
              </w:rPr>
              <w:t xml:space="preserve">, por lo que deberán fundar y motivar debidamente la clasificación. </w:t>
            </w:r>
          </w:p>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De lo anterior, se desprende que para una correcta </w:t>
            </w:r>
            <w:r w:rsidRPr="00776DFA">
              <w:rPr>
                <w:rFonts w:ascii="Palatino Linotype" w:hAnsi="Palatino Linotype" w:cs="Arial"/>
                <w:b/>
                <w:color w:val="auto"/>
              </w:rPr>
              <w:t>clasificación total o parcial</w:t>
            </w:r>
            <w:r w:rsidRPr="00776DFA">
              <w:rPr>
                <w:rFonts w:ascii="Palatino Linotype" w:hAnsi="Palatino Linotype" w:cs="Arial"/>
                <w:color w:val="auto"/>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En ese mismo sentido, el numeral trigésimo tercero fracción V de los Lineamientos Generales, precisa que para motivar la clasificación se deben acreditar las circunstancias de tiempo, modo y lugar.</w:t>
            </w:r>
          </w:p>
          <w:p w:rsidR="003B080D" w:rsidRPr="00776DFA" w:rsidRDefault="003B080D" w:rsidP="002A5C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Ahora bien, </w:t>
            </w:r>
            <w:r w:rsidRPr="00776DFA">
              <w:rPr>
                <w:rFonts w:ascii="Palatino Linotype" w:hAnsi="Palatino Linotype" w:cs="Arial"/>
                <w:b/>
                <w:color w:val="auto"/>
                <w:u w:val="single"/>
              </w:rPr>
              <w:t>para cada caso además de fundar y motivar</w:t>
            </w:r>
            <w:r w:rsidRPr="00776DFA">
              <w:rPr>
                <w:rFonts w:ascii="Palatino Linotype" w:hAnsi="Palatino Linotype" w:cs="Arial"/>
                <w:color w:val="auto"/>
              </w:rPr>
              <w:t xml:space="preserve">, se debe identificar con claridad que datos contenidos en las documentales que son susceptibles de suprimirse, por ejemplo; </w:t>
            </w:r>
            <w:r w:rsidRPr="00776DFA">
              <w:rPr>
                <w:rFonts w:ascii="Palatino Linotype" w:hAnsi="Palatino Linotype" w:cs="Arial"/>
                <w:color w:val="auto"/>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91B4E" w:rsidRPr="00776DFA" w:rsidTr="002A5CB3">
        <w:tc>
          <w:tcPr>
            <w:cnfStyle w:val="001000000000" w:firstRow="0" w:lastRow="0" w:firstColumn="1" w:lastColumn="0" w:oddVBand="0" w:evenVBand="0" w:oddHBand="0" w:evenHBand="0" w:firstRowFirstColumn="0" w:firstRowLastColumn="0" w:lastRowFirstColumn="0" w:lastRowLastColumn="0"/>
            <w:tcW w:w="1838" w:type="dxa"/>
          </w:tcPr>
          <w:p w:rsidR="003B080D" w:rsidRPr="00776DFA" w:rsidRDefault="003B080D" w:rsidP="002A5CB3">
            <w:pPr>
              <w:spacing w:line="360" w:lineRule="auto"/>
              <w:ind w:right="49"/>
              <w:jc w:val="both"/>
              <w:rPr>
                <w:rFonts w:ascii="Palatino Linotype" w:hAnsi="Palatino Linotype" w:cs="Arial"/>
                <w:color w:val="auto"/>
              </w:rPr>
            </w:pPr>
            <w:r w:rsidRPr="00776DFA">
              <w:rPr>
                <w:rFonts w:ascii="Palatino Linotype" w:eastAsia="MS Gothic" w:hAnsi="Palatino Linotype"/>
                <w:b w:val="0"/>
                <w:color w:val="auto"/>
              </w:rPr>
              <w:lastRenderedPageBreak/>
              <w:t xml:space="preserve">e) Condiciones especiales de la clasificación </w:t>
            </w:r>
            <w:r w:rsidRPr="00776DFA">
              <w:rPr>
                <w:rFonts w:ascii="Palatino Linotype" w:eastAsia="MS Gothic" w:hAnsi="Palatino Linotype"/>
                <w:b w:val="0"/>
                <w:color w:val="auto"/>
              </w:rPr>
              <w:lastRenderedPageBreak/>
              <w:t xml:space="preserve">de la información como confidencial. </w:t>
            </w:r>
          </w:p>
          <w:p w:rsidR="003B080D" w:rsidRPr="00776DFA" w:rsidRDefault="003B080D" w:rsidP="002A5CB3">
            <w:pPr>
              <w:spacing w:line="360" w:lineRule="auto"/>
              <w:rPr>
                <w:rFonts w:ascii="Palatino Linotype" w:hAnsi="Palatino Linotype"/>
                <w:color w:val="auto"/>
              </w:rPr>
            </w:pPr>
          </w:p>
        </w:tc>
        <w:tc>
          <w:tcPr>
            <w:tcW w:w="6990" w:type="dxa"/>
          </w:tcPr>
          <w:p w:rsidR="003B080D" w:rsidRPr="00776DFA" w:rsidRDefault="003B080D" w:rsidP="002A5C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lastRenderedPageBreak/>
              <w:t xml:space="preserve">Los artículos 148 y 120 de la Ley Estatal y de la Ley General, respectivamente, establecen que aun tratándose de datos </w:t>
            </w:r>
            <w:r w:rsidRPr="00776DFA">
              <w:rPr>
                <w:rFonts w:ascii="Palatino Linotype" w:hAnsi="Palatino Linotype" w:cs="Arial"/>
                <w:color w:val="auto"/>
              </w:rPr>
              <w:lastRenderedPageBreak/>
              <w:t xml:space="preserve">personales, se podrán proporcionar, incluso sin solicitar el consentimiento de su titular. </w:t>
            </w:r>
          </w:p>
          <w:p w:rsidR="003B080D" w:rsidRPr="00776DFA" w:rsidRDefault="003B080D" w:rsidP="002A5C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76DFA">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B080D" w:rsidRPr="00776DFA" w:rsidRDefault="003B080D" w:rsidP="002A5CB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776DFA">
              <w:rPr>
                <w:rFonts w:ascii="Palatino Linotype" w:hAnsi="Palatino Linotype" w:cs="Arial"/>
                <w:color w:val="auto"/>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B080D" w:rsidRPr="00776DFA" w:rsidRDefault="003B080D" w:rsidP="003B080D">
      <w:pPr>
        <w:spacing w:line="360" w:lineRule="auto"/>
        <w:ind w:right="49"/>
        <w:jc w:val="both"/>
        <w:rPr>
          <w:rFonts w:ascii="Palatino Linotype" w:eastAsia="Palatino Linotype" w:hAnsi="Palatino Linotype" w:cs="Palatino Linotype"/>
        </w:rPr>
      </w:pPr>
    </w:p>
    <w:p w:rsidR="003B080D" w:rsidRPr="00776DFA" w:rsidRDefault="003B080D" w:rsidP="003B080D">
      <w:pPr>
        <w:numPr>
          <w:ilvl w:val="0"/>
          <w:numId w:val="2"/>
        </w:numPr>
        <w:spacing w:line="360" w:lineRule="auto"/>
        <w:ind w:left="0" w:right="49" w:firstLine="0"/>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Por lo anteriormente expuesto y fundado, este </w:t>
      </w:r>
      <w:r w:rsidRPr="00776DFA">
        <w:rPr>
          <w:rFonts w:ascii="Palatino Linotype" w:eastAsia="Palatino Linotype" w:hAnsi="Palatino Linotype" w:cs="Palatino Linotype"/>
          <w:b/>
        </w:rPr>
        <w:t>ÓRGANO GARANTE</w:t>
      </w:r>
      <w:r w:rsidRPr="00776DFA">
        <w:rPr>
          <w:rFonts w:ascii="Palatino Linotype" w:eastAsia="Palatino Linotype" w:hAnsi="Palatino Linotype" w:cs="Palatino Linotype"/>
        </w:rPr>
        <w:t xml:space="preserve"> emite los siguientes:</w:t>
      </w:r>
    </w:p>
    <w:p w:rsidR="003B080D" w:rsidRPr="00776DFA" w:rsidRDefault="003B080D" w:rsidP="003B080D">
      <w:pPr>
        <w:spacing w:line="360" w:lineRule="auto"/>
        <w:jc w:val="both"/>
        <w:rPr>
          <w:rFonts w:ascii="Palatino Linotype" w:eastAsia="Palatino Linotype" w:hAnsi="Palatino Linotype" w:cs="Palatino Linotype"/>
        </w:rPr>
      </w:pPr>
    </w:p>
    <w:p w:rsidR="003B080D" w:rsidRPr="00776DFA" w:rsidRDefault="003B080D" w:rsidP="003B080D">
      <w:pPr>
        <w:keepNext/>
        <w:keepLines/>
        <w:spacing w:line="360" w:lineRule="auto"/>
        <w:jc w:val="center"/>
        <w:rPr>
          <w:rFonts w:ascii="Palatino Linotype" w:eastAsia="Palatino Linotype" w:hAnsi="Palatino Linotype" w:cs="Palatino Linotype"/>
          <w:b/>
        </w:rPr>
      </w:pPr>
      <w:bookmarkStart w:id="12" w:name="_heading=h.17dp8vu" w:colFirst="0" w:colLast="0"/>
      <w:bookmarkEnd w:id="12"/>
      <w:r w:rsidRPr="00776DFA">
        <w:rPr>
          <w:rFonts w:ascii="Palatino Linotype" w:eastAsia="Palatino Linotype" w:hAnsi="Palatino Linotype" w:cs="Palatino Linotype"/>
          <w:b/>
        </w:rPr>
        <w:t>R E S O L U T I V O S</w:t>
      </w:r>
    </w:p>
    <w:p w:rsidR="003B080D" w:rsidRPr="00776DFA" w:rsidRDefault="003B080D" w:rsidP="003B080D">
      <w:pPr>
        <w:keepNext/>
        <w:keepLines/>
        <w:spacing w:line="360" w:lineRule="auto"/>
        <w:jc w:val="center"/>
        <w:rPr>
          <w:rFonts w:ascii="Palatino Linotype" w:eastAsia="Palatino Linotype" w:hAnsi="Palatino Linotype" w:cs="Palatino Linotype"/>
          <w:b/>
        </w:rPr>
      </w:pPr>
    </w:p>
    <w:p w:rsidR="003B080D" w:rsidRPr="00776DFA" w:rsidRDefault="003B080D" w:rsidP="003B080D">
      <w:pPr>
        <w:spacing w:line="360" w:lineRule="auto"/>
        <w:jc w:val="both"/>
        <w:rPr>
          <w:rFonts w:ascii="Palatino Linotype" w:eastAsia="Palatino Linotype" w:hAnsi="Palatino Linotype" w:cs="Palatino Linotype"/>
        </w:rPr>
      </w:pPr>
      <w:r w:rsidRPr="00776DFA">
        <w:rPr>
          <w:rFonts w:ascii="Palatino Linotype" w:eastAsia="Palatino Linotype" w:hAnsi="Palatino Linotype" w:cs="Palatino Linotype"/>
          <w:b/>
        </w:rPr>
        <w:t>PRIMERO</w:t>
      </w:r>
      <w:r w:rsidRPr="00776DFA">
        <w:rPr>
          <w:rFonts w:ascii="Palatino Linotype" w:eastAsia="Palatino Linotype" w:hAnsi="Palatino Linotype" w:cs="Palatino Linotype"/>
        </w:rPr>
        <w:t xml:space="preserve">. Resultan fundadas las razones o motivos de inconformidad hechos valer en el Recurso de Revisión </w:t>
      </w:r>
      <w:r w:rsidR="00AB67FA" w:rsidRPr="00776DFA">
        <w:rPr>
          <w:rFonts w:ascii="Palatino Linotype" w:eastAsia="Palatino Linotype" w:hAnsi="Palatino Linotype" w:cs="Palatino Linotype"/>
          <w:b/>
        </w:rPr>
        <w:t>01923/INFOEM/IP/RR/2025</w:t>
      </w:r>
      <w:r w:rsidRPr="00776DFA">
        <w:rPr>
          <w:rFonts w:ascii="Palatino Linotype" w:eastAsia="Palatino Linotype" w:hAnsi="Palatino Linotype" w:cs="Palatino Linotype"/>
        </w:rPr>
        <w:t>,</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rPr>
        <w:t>en términos de los Considerandos</w:t>
      </w:r>
      <w:r w:rsidRPr="00776DFA">
        <w:rPr>
          <w:rFonts w:ascii="Palatino Linotype" w:eastAsia="Palatino Linotype" w:hAnsi="Palatino Linotype" w:cs="Palatino Linotype"/>
          <w:b/>
        </w:rPr>
        <w:t xml:space="preserve"> Cuarto y Quinto </w:t>
      </w:r>
      <w:r w:rsidRPr="00776DFA">
        <w:rPr>
          <w:rFonts w:ascii="Palatino Linotype" w:eastAsia="Palatino Linotype" w:hAnsi="Palatino Linotype" w:cs="Palatino Linotype"/>
        </w:rPr>
        <w:t xml:space="preserve">de la presente resolución. </w:t>
      </w:r>
    </w:p>
    <w:p w:rsidR="003B080D" w:rsidRPr="00776DFA" w:rsidRDefault="003B080D" w:rsidP="003B080D">
      <w:pPr>
        <w:spacing w:line="360" w:lineRule="auto"/>
        <w:jc w:val="both"/>
        <w:rPr>
          <w:rFonts w:ascii="Palatino Linotype" w:eastAsia="Palatino Linotype" w:hAnsi="Palatino Linotype" w:cs="Palatino Linotype"/>
        </w:rPr>
      </w:pPr>
    </w:p>
    <w:p w:rsidR="003B080D" w:rsidRPr="00776DFA" w:rsidRDefault="003B080D" w:rsidP="003B080D">
      <w:pPr>
        <w:spacing w:line="360" w:lineRule="auto"/>
        <w:ind w:right="49"/>
        <w:jc w:val="both"/>
        <w:rPr>
          <w:rFonts w:ascii="Palatino Linotype" w:eastAsia="Palatino Linotype" w:hAnsi="Palatino Linotype" w:cs="Palatino Linotype"/>
        </w:rPr>
      </w:pPr>
      <w:bookmarkStart w:id="13" w:name="_heading=h.3rdcrjn" w:colFirst="0" w:colLast="0"/>
      <w:bookmarkEnd w:id="13"/>
      <w:r w:rsidRPr="00776DFA">
        <w:rPr>
          <w:rFonts w:ascii="Palatino Linotype" w:eastAsia="Palatino Linotype" w:hAnsi="Palatino Linotype" w:cs="Palatino Linotype"/>
          <w:b/>
        </w:rPr>
        <w:lastRenderedPageBreak/>
        <w:t xml:space="preserve">SEGUNDO. </w:t>
      </w:r>
      <w:r w:rsidRPr="00776DFA">
        <w:rPr>
          <w:rFonts w:ascii="Palatino Linotype" w:eastAsia="Palatino Linotype" w:hAnsi="Palatino Linotype" w:cs="Palatino Linotype"/>
        </w:rPr>
        <w:t xml:space="preserve">Se </w:t>
      </w:r>
      <w:r w:rsidRPr="00776DFA">
        <w:rPr>
          <w:rFonts w:ascii="Palatino Linotype" w:eastAsia="Palatino Linotype" w:hAnsi="Palatino Linotype" w:cs="Palatino Linotype"/>
          <w:b/>
        </w:rPr>
        <w:t xml:space="preserve">REVOCA </w:t>
      </w:r>
      <w:r w:rsidRPr="00776DFA">
        <w:rPr>
          <w:rFonts w:ascii="Palatino Linotype" w:eastAsia="Palatino Linotype" w:hAnsi="Palatino Linotype" w:cs="Palatino Linotype"/>
        </w:rPr>
        <w:t xml:space="preserve">la respuesta emitida por el </w:t>
      </w:r>
      <w:r w:rsidRPr="00776DFA">
        <w:rPr>
          <w:rFonts w:ascii="Palatino Linotype" w:eastAsia="Palatino Linotype" w:hAnsi="Palatino Linotype" w:cs="Palatino Linotype"/>
          <w:b/>
        </w:rPr>
        <w:t xml:space="preserve">Ayuntamiento de </w:t>
      </w:r>
      <w:r w:rsidR="00AB67FA" w:rsidRPr="00776DFA">
        <w:rPr>
          <w:rFonts w:ascii="Palatino Linotype" w:eastAsia="Palatino Linotype" w:hAnsi="Palatino Linotype" w:cs="Palatino Linotype"/>
          <w:b/>
        </w:rPr>
        <w:t>Almoloya de Juárez</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rPr>
        <w:t xml:space="preserve">y se </w:t>
      </w:r>
      <w:r w:rsidRPr="00776DFA">
        <w:rPr>
          <w:rFonts w:ascii="Palatino Linotype" w:eastAsia="Palatino Linotype" w:hAnsi="Palatino Linotype" w:cs="Palatino Linotype"/>
          <w:b/>
        </w:rPr>
        <w:t>ORDENA</w:t>
      </w:r>
      <w:r w:rsidRPr="00776DFA">
        <w:rPr>
          <w:rFonts w:ascii="Palatino Linotype" w:eastAsia="Palatino Linotype" w:hAnsi="Palatino Linotype" w:cs="Palatino Linotype"/>
        </w:rPr>
        <w:t xml:space="preserve"> entregar vía Sistema de Acceso a la Información Mexiquense </w:t>
      </w:r>
      <w:r w:rsidRPr="00776DFA">
        <w:rPr>
          <w:rFonts w:ascii="Palatino Linotype" w:eastAsia="Palatino Linotype" w:hAnsi="Palatino Linotype" w:cs="Palatino Linotype"/>
          <w:b/>
        </w:rPr>
        <w:t xml:space="preserve">(SAIMEX), </w:t>
      </w:r>
      <w:r w:rsidRPr="00776DFA">
        <w:rPr>
          <w:rFonts w:ascii="Palatino Linotype" w:eastAsia="Palatino Linotype" w:hAnsi="Palatino Linotype" w:cs="Palatino Linotype"/>
        </w:rPr>
        <w:t>de ser procedente en versión pública</w:t>
      </w:r>
      <w:r w:rsidRPr="00776DFA">
        <w:rPr>
          <w:rFonts w:ascii="Palatino Linotype" w:eastAsia="Palatino Linotype" w:hAnsi="Palatino Linotype" w:cs="Palatino Linotype"/>
          <w:b/>
        </w:rPr>
        <w:t xml:space="preserve">, </w:t>
      </w:r>
      <w:r w:rsidRPr="00776DFA">
        <w:rPr>
          <w:rFonts w:ascii="Palatino Linotype" w:eastAsia="Palatino Linotype" w:hAnsi="Palatino Linotype" w:cs="Palatino Linotype"/>
        </w:rPr>
        <w:t>la siguiente información:</w:t>
      </w:r>
    </w:p>
    <w:p w:rsidR="003B080D" w:rsidRPr="00776DFA" w:rsidRDefault="003B080D" w:rsidP="003B080D">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rPr>
      </w:pPr>
    </w:p>
    <w:p w:rsidR="003B080D" w:rsidRPr="00776DFA" w:rsidRDefault="00AA1D5B" w:rsidP="003B080D">
      <w:pPr>
        <w:pStyle w:val="Prrafodelista"/>
        <w:numPr>
          <w:ilvl w:val="1"/>
          <w:numId w:val="2"/>
        </w:numPr>
        <w:pBdr>
          <w:top w:val="nil"/>
          <w:left w:val="nil"/>
          <w:bottom w:val="nil"/>
          <w:right w:val="nil"/>
          <w:between w:val="nil"/>
        </w:pBdr>
        <w:tabs>
          <w:tab w:val="left" w:pos="993"/>
        </w:tabs>
        <w:spacing w:line="360" w:lineRule="auto"/>
        <w:ind w:right="539"/>
        <w:jc w:val="both"/>
        <w:rPr>
          <w:rFonts w:ascii="Palatino Linotype" w:eastAsia="Palatino Linotype" w:hAnsi="Palatino Linotype" w:cs="Palatino Linotype"/>
          <w:b/>
        </w:rPr>
      </w:pPr>
      <w:r w:rsidRPr="00776DFA">
        <w:rPr>
          <w:rFonts w:ascii="Palatino Linotype" w:hAnsi="Palatino Linotype"/>
          <w:b/>
        </w:rPr>
        <w:t>Soporte documental donde conste</w:t>
      </w:r>
      <w:r w:rsidR="000814CF" w:rsidRPr="00776DFA">
        <w:rPr>
          <w:rFonts w:ascii="Palatino Linotype" w:hAnsi="Palatino Linotype"/>
          <w:b/>
        </w:rPr>
        <w:t xml:space="preserve"> el nombre, sueldo bruto y neto</w:t>
      </w:r>
      <w:r w:rsidRPr="00776DFA">
        <w:rPr>
          <w:rFonts w:ascii="Palatino Linotype" w:hAnsi="Palatino Linotype"/>
          <w:b/>
        </w:rPr>
        <w:t xml:space="preserve"> de los integrantes del cabildo</w:t>
      </w:r>
      <w:r w:rsidR="000814CF" w:rsidRPr="00776DFA">
        <w:rPr>
          <w:rFonts w:ascii="Palatino Linotype" w:hAnsi="Palatino Linotype"/>
          <w:b/>
        </w:rPr>
        <w:t>, vigente a la fecha de la solicitud</w:t>
      </w:r>
      <w:r w:rsidRPr="00776DFA">
        <w:rPr>
          <w:rFonts w:ascii="Palatino Linotype" w:hAnsi="Palatino Linotype"/>
          <w:b/>
        </w:rPr>
        <w:t>;</w:t>
      </w:r>
    </w:p>
    <w:p w:rsidR="00AB67FA" w:rsidRPr="00776DFA" w:rsidRDefault="00AA1D5B" w:rsidP="00AA1D5B">
      <w:pPr>
        <w:pStyle w:val="Prrafodelista"/>
        <w:numPr>
          <w:ilvl w:val="1"/>
          <w:numId w:val="2"/>
        </w:numPr>
        <w:pBdr>
          <w:top w:val="nil"/>
          <w:left w:val="nil"/>
          <w:bottom w:val="nil"/>
          <w:right w:val="nil"/>
          <w:between w:val="nil"/>
        </w:pBdr>
        <w:tabs>
          <w:tab w:val="left" w:pos="993"/>
        </w:tabs>
        <w:spacing w:line="360" w:lineRule="auto"/>
        <w:ind w:right="539"/>
        <w:jc w:val="both"/>
        <w:rPr>
          <w:rFonts w:ascii="Palatino Linotype" w:eastAsia="Palatino Linotype" w:hAnsi="Palatino Linotype" w:cs="Palatino Linotype"/>
          <w:b/>
        </w:rPr>
      </w:pPr>
      <w:r w:rsidRPr="00776DFA">
        <w:rPr>
          <w:rFonts w:ascii="Palatino Linotype" w:hAnsi="Palatino Linotype"/>
          <w:b/>
        </w:rPr>
        <w:t>Nombre, cargo y sueldo bruto y neto de los integrantes de la sindicatura, primera, segunda, tercera, cuarta, quinta, sexta, séptima, octava y novena regiduría</w:t>
      </w:r>
      <w:r w:rsidR="000814CF" w:rsidRPr="00776DFA">
        <w:rPr>
          <w:rFonts w:ascii="Palatino Linotype" w:hAnsi="Palatino Linotype"/>
          <w:b/>
        </w:rPr>
        <w:t>, vigente a la fecha de la solicitud;</w:t>
      </w:r>
      <w:r w:rsidRPr="00776DFA">
        <w:rPr>
          <w:rFonts w:ascii="Palatino Linotype" w:hAnsi="Palatino Linotype"/>
          <w:b/>
        </w:rPr>
        <w:t xml:space="preserve"> </w:t>
      </w:r>
    </w:p>
    <w:p w:rsidR="00AB67FA" w:rsidRPr="00776DFA" w:rsidRDefault="00AB67FA" w:rsidP="003B080D">
      <w:pPr>
        <w:pStyle w:val="Prrafodelista"/>
        <w:numPr>
          <w:ilvl w:val="1"/>
          <w:numId w:val="2"/>
        </w:numPr>
        <w:pBdr>
          <w:top w:val="nil"/>
          <w:left w:val="nil"/>
          <w:bottom w:val="nil"/>
          <w:right w:val="nil"/>
          <w:between w:val="nil"/>
        </w:pBdr>
        <w:tabs>
          <w:tab w:val="left" w:pos="993"/>
        </w:tabs>
        <w:spacing w:line="360" w:lineRule="auto"/>
        <w:ind w:right="539"/>
        <w:jc w:val="both"/>
        <w:rPr>
          <w:rFonts w:ascii="Palatino Linotype" w:eastAsia="Palatino Linotype" w:hAnsi="Palatino Linotype" w:cs="Palatino Linotype"/>
          <w:b/>
        </w:rPr>
      </w:pPr>
      <w:r w:rsidRPr="00776DFA">
        <w:rPr>
          <w:rFonts w:ascii="Palatino Linotype" w:hAnsi="Palatino Linotype"/>
          <w:b/>
        </w:rPr>
        <w:t>Tabulador de sueldos vigente al treinta de enero de dos mil veinticinco.</w:t>
      </w:r>
    </w:p>
    <w:p w:rsidR="00AB67FA" w:rsidRPr="00776DFA" w:rsidRDefault="00AB67FA" w:rsidP="00AB67FA">
      <w:pPr>
        <w:pStyle w:val="Prrafodelista"/>
        <w:pBdr>
          <w:top w:val="nil"/>
          <w:left w:val="nil"/>
          <w:bottom w:val="nil"/>
          <w:right w:val="nil"/>
          <w:between w:val="nil"/>
        </w:pBdr>
        <w:tabs>
          <w:tab w:val="left" w:pos="993"/>
        </w:tabs>
        <w:spacing w:line="360" w:lineRule="auto"/>
        <w:ind w:left="1440" w:right="539"/>
        <w:jc w:val="both"/>
        <w:rPr>
          <w:rFonts w:ascii="Palatino Linotype" w:eastAsia="Palatino Linotype" w:hAnsi="Palatino Linotype" w:cs="Palatino Linotype"/>
          <w:b/>
        </w:rPr>
      </w:pPr>
    </w:p>
    <w:p w:rsidR="003B080D" w:rsidRPr="00776DFA" w:rsidRDefault="003B080D" w:rsidP="003B080D">
      <w:pPr>
        <w:tabs>
          <w:tab w:val="left" w:pos="8080"/>
        </w:tabs>
        <w:spacing w:line="360" w:lineRule="auto"/>
        <w:ind w:right="48"/>
        <w:contextualSpacing/>
        <w:jc w:val="both"/>
        <w:rPr>
          <w:rFonts w:ascii="Palatino Linotype" w:hAnsi="Palatino Linotype"/>
          <w:b/>
        </w:rPr>
      </w:pPr>
      <w:r w:rsidRPr="00776DFA">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76DFA">
        <w:rPr>
          <w:rFonts w:ascii="Palatino Linotype" w:hAnsi="Palatino Linotype"/>
          <w:b/>
        </w:rPr>
        <w:t>EL RECURRENTE.</w:t>
      </w:r>
    </w:p>
    <w:p w:rsidR="003B080D" w:rsidRPr="00776DFA" w:rsidRDefault="003B080D" w:rsidP="003B080D">
      <w:pPr>
        <w:spacing w:line="360" w:lineRule="auto"/>
        <w:ind w:right="539"/>
        <w:jc w:val="both"/>
        <w:rPr>
          <w:rFonts w:ascii="Palatino Linotype" w:eastAsia="Palatino Linotype" w:hAnsi="Palatino Linotype" w:cs="Palatino Linotype"/>
          <w:b/>
        </w:rPr>
      </w:pPr>
    </w:p>
    <w:p w:rsidR="003B080D" w:rsidRPr="00776DFA" w:rsidRDefault="003B080D" w:rsidP="003B080D">
      <w:pPr>
        <w:tabs>
          <w:tab w:val="left" w:pos="8080"/>
        </w:tabs>
        <w:spacing w:line="360" w:lineRule="auto"/>
        <w:ind w:right="48"/>
        <w:jc w:val="both"/>
        <w:rPr>
          <w:rFonts w:ascii="Palatino Linotype" w:eastAsia="Palatino Linotype" w:hAnsi="Palatino Linotype" w:cs="Palatino Linotype"/>
        </w:rPr>
      </w:pPr>
      <w:r w:rsidRPr="00776DFA">
        <w:rPr>
          <w:rFonts w:ascii="Palatino Linotype" w:eastAsia="Palatino Linotype" w:hAnsi="Palatino Linotype" w:cs="Palatino Linotype"/>
          <w:b/>
        </w:rPr>
        <w:t xml:space="preserve">TERCERO. Notifíquese </w:t>
      </w:r>
      <w:r w:rsidRPr="00776DFA">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76DFA">
        <w:rPr>
          <w:rFonts w:ascii="Palatino Linotype" w:eastAsia="Palatino Linotype" w:hAnsi="Palatino Linotype" w:cs="Palatino Linotype"/>
        </w:rPr>
        <w:lastRenderedPageBreak/>
        <w:t xml:space="preserve">ordenado dentro del </w:t>
      </w:r>
      <w:r w:rsidRPr="00776DFA">
        <w:rPr>
          <w:rFonts w:ascii="Palatino Linotype" w:eastAsia="Palatino Linotype" w:hAnsi="Palatino Linotype" w:cs="Palatino Linotype"/>
          <w:b/>
        </w:rPr>
        <w:t>plazo de diez días hábiles</w:t>
      </w:r>
      <w:r w:rsidRPr="00776DFA">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B080D" w:rsidRPr="00776DFA" w:rsidRDefault="003B080D" w:rsidP="003B080D">
      <w:pPr>
        <w:tabs>
          <w:tab w:val="left" w:pos="8080"/>
        </w:tabs>
        <w:spacing w:line="360" w:lineRule="auto"/>
        <w:ind w:right="48"/>
        <w:jc w:val="both"/>
        <w:rPr>
          <w:rFonts w:ascii="Palatino Linotype" w:eastAsia="Palatino Linotype" w:hAnsi="Palatino Linotype" w:cs="Palatino Linotype"/>
        </w:rPr>
      </w:pPr>
    </w:p>
    <w:p w:rsidR="003B080D" w:rsidRPr="00776DFA" w:rsidRDefault="003B080D" w:rsidP="003B080D">
      <w:pPr>
        <w:shd w:val="clear" w:color="auto" w:fill="FFFFFF"/>
        <w:spacing w:line="360" w:lineRule="auto"/>
        <w:ind w:right="48"/>
        <w:jc w:val="both"/>
        <w:rPr>
          <w:rFonts w:ascii="Palatino Linotype" w:eastAsia="Palatino Linotype" w:hAnsi="Palatino Linotype" w:cs="Palatino Linotype"/>
        </w:rPr>
      </w:pPr>
      <w:r w:rsidRPr="00776DFA">
        <w:rPr>
          <w:rFonts w:ascii="Palatino Linotype" w:eastAsia="Palatino Linotype" w:hAnsi="Palatino Linotype" w:cs="Palatino Linotype"/>
          <w:b/>
        </w:rPr>
        <w:t>CUARTO. Notifíquese al RECURRENTE</w:t>
      </w:r>
      <w:r w:rsidRPr="00776DFA">
        <w:rPr>
          <w:rFonts w:ascii="Palatino Linotype" w:eastAsia="Palatino Linotype" w:hAnsi="Palatino Linotype" w:cs="Palatino Linotype"/>
        </w:rPr>
        <w:t xml:space="preserve"> la presente resolución vía SAIMEX.</w:t>
      </w:r>
    </w:p>
    <w:p w:rsidR="003B080D" w:rsidRPr="00776DFA" w:rsidRDefault="003B080D" w:rsidP="003B080D">
      <w:pPr>
        <w:shd w:val="clear" w:color="auto" w:fill="FFFFFF"/>
        <w:spacing w:line="360" w:lineRule="auto"/>
        <w:ind w:right="48"/>
        <w:jc w:val="both"/>
        <w:rPr>
          <w:rFonts w:ascii="Palatino Linotype" w:eastAsia="Palatino Linotype" w:hAnsi="Palatino Linotype" w:cs="Palatino Linotype"/>
          <w:b/>
        </w:rPr>
      </w:pPr>
    </w:p>
    <w:p w:rsidR="003B080D" w:rsidRPr="00776DFA" w:rsidRDefault="003B080D" w:rsidP="003B080D">
      <w:pPr>
        <w:spacing w:line="360" w:lineRule="auto"/>
        <w:ind w:right="48"/>
        <w:jc w:val="both"/>
        <w:rPr>
          <w:rFonts w:ascii="Palatino Linotype" w:eastAsia="Palatino Linotype" w:hAnsi="Palatino Linotype" w:cs="Palatino Linotype"/>
        </w:rPr>
      </w:pPr>
      <w:r w:rsidRPr="00776DFA">
        <w:rPr>
          <w:rFonts w:ascii="Palatino Linotype" w:eastAsia="Palatino Linotype" w:hAnsi="Palatino Linotype" w:cs="Palatino Linotype"/>
          <w:b/>
        </w:rPr>
        <w:t>QUINTO.</w:t>
      </w:r>
      <w:r w:rsidRPr="00776DFA">
        <w:rPr>
          <w:rFonts w:ascii="Palatino Linotype" w:eastAsia="Palatino Linotype" w:hAnsi="Palatino Linotype" w:cs="Palatino Linotype"/>
        </w:rPr>
        <w:t xml:space="preserve"> Se hace del conocimiento del </w:t>
      </w:r>
      <w:r w:rsidRPr="00776DFA">
        <w:rPr>
          <w:rFonts w:ascii="Palatino Linotype" w:eastAsia="Palatino Linotype" w:hAnsi="Palatino Linotype" w:cs="Palatino Linotype"/>
          <w:b/>
        </w:rPr>
        <w:t>RECURRENTE</w:t>
      </w:r>
      <w:r w:rsidRPr="00776DF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B080D" w:rsidRPr="00776DFA" w:rsidRDefault="003B080D" w:rsidP="003B080D">
      <w:pPr>
        <w:spacing w:line="360" w:lineRule="auto"/>
        <w:ind w:right="48"/>
        <w:jc w:val="both"/>
        <w:rPr>
          <w:rFonts w:ascii="Palatino Linotype" w:eastAsia="Palatino Linotype" w:hAnsi="Palatino Linotype" w:cs="Palatino Linotype"/>
        </w:rPr>
      </w:pPr>
    </w:p>
    <w:p w:rsidR="003B080D" w:rsidRPr="00776DFA" w:rsidRDefault="003B080D" w:rsidP="003B080D">
      <w:pPr>
        <w:spacing w:line="360" w:lineRule="auto"/>
        <w:ind w:right="48"/>
        <w:jc w:val="both"/>
        <w:rPr>
          <w:rFonts w:ascii="Palatino Linotype" w:eastAsia="Palatino Linotype" w:hAnsi="Palatino Linotype" w:cs="Palatino Linotype"/>
        </w:rPr>
      </w:pPr>
      <w:r w:rsidRPr="00776DFA">
        <w:rPr>
          <w:rFonts w:ascii="Palatino Linotype" w:eastAsia="Palatino Linotype" w:hAnsi="Palatino Linotype" w:cs="Palatino Linotype"/>
          <w:b/>
        </w:rPr>
        <w:t xml:space="preserve">SEXTO. </w:t>
      </w:r>
      <w:r w:rsidRPr="00776DF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B080D" w:rsidRPr="00776DFA" w:rsidRDefault="003B080D" w:rsidP="003B080D">
      <w:pPr>
        <w:spacing w:line="360" w:lineRule="auto"/>
        <w:ind w:right="48"/>
        <w:jc w:val="both"/>
        <w:rPr>
          <w:rFonts w:ascii="Palatino Linotype" w:eastAsia="Palatino Linotype" w:hAnsi="Palatino Linotype" w:cs="Palatino Linotype"/>
        </w:rPr>
      </w:pPr>
    </w:p>
    <w:p w:rsidR="00FB2D1C" w:rsidRPr="00776DFA" w:rsidRDefault="00FB2D1C" w:rsidP="003B080D">
      <w:pPr>
        <w:spacing w:line="360" w:lineRule="auto"/>
        <w:ind w:right="48"/>
        <w:jc w:val="both"/>
        <w:rPr>
          <w:rFonts w:ascii="Palatino Linotype" w:eastAsia="Palatino Linotype" w:hAnsi="Palatino Linotype" w:cs="Palatino Linotype"/>
        </w:rPr>
      </w:pPr>
    </w:p>
    <w:p w:rsidR="003B080D" w:rsidRPr="00C23C89" w:rsidRDefault="00CD5717" w:rsidP="00CD5717">
      <w:pPr>
        <w:spacing w:line="360" w:lineRule="auto"/>
        <w:jc w:val="both"/>
        <w:rPr>
          <w:rFonts w:ascii="Palatino Linotype" w:eastAsia="Palatino Linotype" w:hAnsi="Palatino Linotype" w:cs="Palatino Linotype"/>
        </w:rPr>
      </w:pPr>
      <w:r w:rsidRPr="00776DF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776DFA">
        <w:rPr>
          <w:rFonts w:ascii="Palatino Linotype" w:eastAsia="Palatino Linotype" w:hAnsi="Palatino Linotype" w:cs="Palatino Linotype"/>
        </w:rPr>
        <w:lastRenderedPageBreak/>
        <w:t>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spacing w:line="360" w:lineRule="auto"/>
        <w:rPr>
          <w:rFonts w:ascii="Palatino Linotype" w:eastAsia="Palatino Linotype" w:hAnsi="Palatino Linotype" w:cs="Palatino Linotype"/>
        </w:rPr>
      </w:pPr>
    </w:p>
    <w:p w:rsidR="003B080D" w:rsidRPr="00C23C89" w:rsidRDefault="003B080D" w:rsidP="003B080D">
      <w:pPr>
        <w:rPr>
          <w:rFonts w:ascii="Palatino Linotype" w:hAnsi="Palatino Linotype"/>
        </w:rPr>
      </w:pPr>
    </w:p>
    <w:p w:rsidR="003B080D" w:rsidRDefault="003B080D"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Default="00FB2D1C" w:rsidP="003B080D">
      <w:pPr>
        <w:rPr>
          <w:rFonts w:ascii="Palatino Linotype" w:hAnsi="Palatino Linotype"/>
        </w:rPr>
      </w:pPr>
    </w:p>
    <w:p w:rsidR="00FB2D1C" w:rsidRPr="00C23C89" w:rsidRDefault="00FB2D1C" w:rsidP="003B080D">
      <w:pPr>
        <w:rPr>
          <w:rFonts w:ascii="Palatino Linotype" w:hAnsi="Palatino Linotype"/>
        </w:rPr>
      </w:pPr>
    </w:p>
    <w:p w:rsidR="003B080D" w:rsidRPr="00C23C89" w:rsidRDefault="003B080D" w:rsidP="003B080D">
      <w:pPr>
        <w:rPr>
          <w:rFonts w:ascii="Palatino Linotype" w:hAnsi="Palatino Linotype"/>
        </w:rPr>
      </w:pPr>
    </w:p>
    <w:p w:rsidR="00412142" w:rsidRPr="00C23C89" w:rsidRDefault="00412142">
      <w:pPr>
        <w:rPr>
          <w:rFonts w:ascii="Palatino Linotype" w:hAnsi="Palatino Linotype"/>
        </w:rPr>
      </w:pPr>
    </w:p>
    <w:sectPr w:rsidR="00412142" w:rsidRPr="00C23C8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74" w:rsidRDefault="00CD7874" w:rsidP="003B080D">
      <w:r>
        <w:separator/>
      </w:r>
    </w:p>
  </w:endnote>
  <w:endnote w:type="continuationSeparator" w:id="0">
    <w:p w:rsidR="00CD7874" w:rsidRDefault="00CD7874" w:rsidP="003B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C5" w:rsidRDefault="00C53BC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71C9">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71C9">
      <w:rPr>
        <w:b/>
        <w:noProof/>
        <w:color w:val="000000"/>
      </w:rPr>
      <w:t>38</w:t>
    </w:r>
    <w:r>
      <w:rPr>
        <w:b/>
        <w:color w:val="000000"/>
      </w:rPr>
      <w:fldChar w:fldCharType="end"/>
    </w:r>
  </w:p>
  <w:p w:rsidR="00C53BC5" w:rsidRDefault="00C53B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C5" w:rsidRDefault="00C53BC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71C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71C9">
      <w:rPr>
        <w:b/>
        <w:noProof/>
        <w:color w:val="000000"/>
      </w:rPr>
      <w:t>38</w:t>
    </w:r>
    <w:r>
      <w:rPr>
        <w:b/>
        <w:color w:val="000000"/>
      </w:rPr>
      <w:fldChar w:fldCharType="end"/>
    </w:r>
  </w:p>
  <w:p w:rsidR="00C53BC5" w:rsidRDefault="00C53B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74" w:rsidRDefault="00CD7874" w:rsidP="003B080D">
      <w:r>
        <w:separator/>
      </w:r>
    </w:p>
  </w:footnote>
  <w:footnote w:type="continuationSeparator" w:id="0">
    <w:p w:rsidR="00CD7874" w:rsidRDefault="00CD7874" w:rsidP="003B080D">
      <w:r>
        <w:continuationSeparator/>
      </w:r>
    </w:p>
  </w:footnote>
  <w:footnote w:id="1">
    <w:p w:rsidR="00C53BC5" w:rsidRDefault="00C53BC5" w:rsidP="002A5CB3">
      <w:pPr>
        <w:pStyle w:val="Textonotapie"/>
      </w:pPr>
      <w:r>
        <w:rPr>
          <w:rStyle w:val="Refdenotaalpie"/>
        </w:rPr>
        <w:footnoteRef/>
      </w:r>
      <w:r>
        <w:t xml:space="preserve"> Artículo 150. Ley de Transparencia y Acceso a la Información Pública del Estado de México y Municipios.</w:t>
      </w:r>
    </w:p>
    <w:p w:rsidR="00C53BC5" w:rsidRDefault="00C53BC5" w:rsidP="002A5CB3">
      <w:pPr>
        <w:pStyle w:val="Textonotapie"/>
      </w:pPr>
      <w:r>
        <w:t>Artículo 151. Ibídem.</w:t>
      </w:r>
    </w:p>
  </w:footnote>
  <w:footnote w:id="2">
    <w:p w:rsidR="00C53BC5" w:rsidRDefault="00C53BC5" w:rsidP="002A5CB3">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C5" w:rsidRDefault="00CD787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C5" w:rsidRDefault="00C53BC5">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10206" w:type="dxa"/>
      <w:tblLayout w:type="fixed"/>
      <w:tblLook w:val="0400" w:firstRow="0" w:lastRow="0" w:firstColumn="0" w:lastColumn="0" w:noHBand="0" w:noVBand="1"/>
    </w:tblPr>
    <w:tblGrid>
      <w:gridCol w:w="2268"/>
      <w:gridCol w:w="7938"/>
    </w:tblGrid>
    <w:tr w:rsidR="00C53BC5" w:rsidTr="00AA60D2">
      <w:trPr>
        <w:trHeight w:val="1435"/>
      </w:trPr>
      <w:tc>
        <w:tcPr>
          <w:tcW w:w="2268" w:type="dxa"/>
          <w:shd w:val="clear" w:color="auto" w:fill="auto"/>
        </w:tcPr>
        <w:p w:rsidR="00C53BC5" w:rsidRDefault="00C53BC5">
          <w:pPr>
            <w:tabs>
              <w:tab w:val="right" w:pos="4273"/>
            </w:tabs>
            <w:rPr>
              <w:rFonts w:ascii="Garamond" w:eastAsia="Garamond" w:hAnsi="Garamond" w:cs="Garamond"/>
              <w:sz w:val="16"/>
              <w:szCs w:val="16"/>
            </w:rPr>
          </w:pPr>
        </w:p>
      </w:tc>
      <w:tc>
        <w:tcPr>
          <w:tcW w:w="7938" w:type="dxa"/>
          <w:shd w:val="clear" w:color="auto" w:fill="auto"/>
        </w:tcPr>
        <w:p w:rsidR="00C53BC5" w:rsidRDefault="00C53BC5"/>
        <w:tbl>
          <w:tblPr>
            <w:tblW w:w="6804" w:type="dxa"/>
            <w:tblInd w:w="885" w:type="dxa"/>
            <w:tblLayout w:type="fixed"/>
            <w:tblLook w:val="0400" w:firstRow="0" w:lastRow="0" w:firstColumn="0" w:lastColumn="0" w:noHBand="0" w:noVBand="1"/>
          </w:tblPr>
          <w:tblGrid>
            <w:gridCol w:w="2693"/>
            <w:gridCol w:w="4111"/>
          </w:tblGrid>
          <w:tr w:rsidR="00C53BC5" w:rsidRPr="00AA60D2" w:rsidTr="00AA60D2">
            <w:trPr>
              <w:trHeight w:val="150"/>
            </w:trPr>
            <w:tc>
              <w:tcPr>
                <w:tcW w:w="2693" w:type="dxa"/>
                <w:shd w:val="clear" w:color="auto" w:fill="auto"/>
              </w:tcPr>
              <w:p w:rsidR="00C53BC5" w:rsidRPr="00AA60D2" w:rsidRDefault="00C53BC5">
                <w:pPr>
                  <w:tabs>
                    <w:tab w:val="right" w:pos="8838"/>
                  </w:tabs>
                  <w:ind w:right="-105"/>
                  <w:rPr>
                    <w:rFonts w:ascii="Palatino Linotype" w:eastAsia="Palatino Linotype" w:hAnsi="Palatino Linotype" w:cs="Palatino Linotype"/>
                    <w:b/>
                  </w:rPr>
                </w:pPr>
                <w:r w:rsidRPr="00AA60D2">
                  <w:rPr>
                    <w:rFonts w:ascii="Palatino Linotype" w:eastAsia="Palatino Linotype" w:hAnsi="Palatino Linotype" w:cs="Palatino Linotype"/>
                    <w:b/>
                  </w:rPr>
                  <w:t>Recurso de Revisión:</w:t>
                </w:r>
              </w:p>
            </w:tc>
            <w:tc>
              <w:tcPr>
                <w:tcW w:w="4111" w:type="dxa"/>
                <w:shd w:val="clear" w:color="auto" w:fill="auto"/>
              </w:tcPr>
              <w:p w:rsidR="00C53BC5" w:rsidRPr="00AA60D2" w:rsidRDefault="00C53BC5">
                <w:pPr>
                  <w:tabs>
                    <w:tab w:val="right" w:pos="8838"/>
                  </w:tabs>
                  <w:ind w:left="-108" w:right="-102"/>
                  <w:jc w:val="both"/>
                  <w:rPr>
                    <w:rFonts w:ascii="Palatino Linotype" w:eastAsia="Palatino Linotype" w:hAnsi="Palatino Linotype" w:cs="Palatino Linotype"/>
                  </w:rPr>
                </w:pPr>
                <w:r w:rsidRPr="00AA60D2">
                  <w:rPr>
                    <w:rFonts w:ascii="Palatino Linotype" w:eastAsia="Palatino Linotype" w:hAnsi="Palatino Linotype" w:cs="Palatino Linotype"/>
                  </w:rPr>
                  <w:t>01923/INFOEM/IP/RR/2025</w:t>
                </w:r>
              </w:p>
            </w:tc>
          </w:tr>
          <w:tr w:rsidR="00C53BC5" w:rsidRPr="00AA60D2" w:rsidTr="00AA60D2">
            <w:trPr>
              <w:trHeight w:val="295"/>
            </w:trPr>
            <w:tc>
              <w:tcPr>
                <w:tcW w:w="2693" w:type="dxa"/>
                <w:shd w:val="clear" w:color="auto" w:fill="auto"/>
              </w:tcPr>
              <w:p w:rsidR="00C53BC5" w:rsidRPr="00AA60D2" w:rsidRDefault="00C53BC5">
                <w:pPr>
                  <w:tabs>
                    <w:tab w:val="right" w:pos="8838"/>
                  </w:tabs>
                  <w:ind w:right="-105"/>
                  <w:rPr>
                    <w:rFonts w:ascii="Palatino Linotype" w:eastAsia="Palatino Linotype" w:hAnsi="Palatino Linotype" w:cs="Palatino Linotype"/>
                    <w:b/>
                  </w:rPr>
                </w:pPr>
                <w:r w:rsidRPr="00AA60D2">
                  <w:rPr>
                    <w:rFonts w:ascii="Palatino Linotype" w:eastAsia="Palatino Linotype" w:hAnsi="Palatino Linotype" w:cs="Palatino Linotype"/>
                    <w:b/>
                  </w:rPr>
                  <w:t>Sujeto Obligado:</w:t>
                </w:r>
              </w:p>
            </w:tc>
            <w:tc>
              <w:tcPr>
                <w:tcW w:w="4111" w:type="dxa"/>
                <w:shd w:val="clear" w:color="auto" w:fill="auto"/>
              </w:tcPr>
              <w:p w:rsidR="00C53BC5" w:rsidRPr="00AA60D2" w:rsidRDefault="00C53BC5">
                <w:pPr>
                  <w:tabs>
                    <w:tab w:val="left" w:pos="2834"/>
                    <w:tab w:val="right" w:pos="8838"/>
                  </w:tabs>
                  <w:ind w:left="-108" w:right="-102"/>
                  <w:jc w:val="both"/>
                  <w:rPr>
                    <w:rFonts w:ascii="Palatino Linotype" w:eastAsia="Palatino Linotype" w:hAnsi="Palatino Linotype" w:cs="Palatino Linotype"/>
                  </w:rPr>
                </w:pPr>
                <w:r w:rsidRPr="00AA60D2">
                  <w:rPr>
                    <w:rFonts w:ascii="Palatino Linotype" w:eastAsia="Palatino Linotype" w:hAnsi="Palatino Linotype" w:cs="Palatino Linotype"/>
                    <w:bCs/>
                  </w:rPr>
                  <w:t>Ayuntamiento de Almoloya de Juárez</w:t>
                </w:r>
              </w:p>
            </w:tc>
          </w:tr>
          <w:tr w:rsidR="00C53BC5" w:rsidRPr="00AA60D2" w:rsidTr="00AA60D2">
            <w:trPr>
              <w:trHeight w:val="295"/>
            </w:trPr>
            <w:tc>
              <w:tcPr>
                <w:tcW w:w="2693" w:type="dxa"/>
                <w:shd w:val="clear" w:color="auto" w:fill="auto"/>
              </w:tcPr>
              <w:p w:rsidR="00C53BC5" w:rsidRPr="00AA60D2" w:rsidRDefault="00C53BC5">
                <w:pPr>
                  <w:tabs>
                    <w:tab w:val="right" w:pos="8838"/>
                  </w:tabs>
                  <w:ind w:right="-105"/>
                  <w:rPr>
                    <w:rFonts w:ascii="Palatino Linotype" w:eastAsia="Palatino Linotype" w:hAnsi="Palatino Linotype" w:cs="Palatino Linotype"/>
                    <w:b/>
                  </w:rPr>
                </w:pPr>
                <w:r w:rsidRPr="00AA60D2">
                  <w:rPr>
                    <w:rFonts w:ascii="Palatino Linotype" w:eastAsia="Palatino Linotype" w:hAnsi="Palatino Linotype" w:cs="Palatino Linotype"/>
                    <w:b/>
                  </w:rPr>
                  <w:t>Comisionado ponente:</w:t>
                </w:r>
              </w:p>
            </w:tc>
            <w:tc>
              <w:tcPr>
                <w:tcW w:w="4111" w:type="dxa"/>
                <w:shd w:val="clear" w:color="auto" w:fill="auto"/>
              </w:tcPr>
              <w:p w:rsidR="00C53BC5" w:rsidRPr="00AA60D2" w:rsidRDefault="00C53BC5">
                <w:pPr>
                  <w:tabs>
                    <w:tab w:val="right" w:pos="8838"/>
                  </w:tabs>
                  <w:ind w:left="-108" w:right="171"/>
                  <w:jc w:val="both"/>
                  <w:rPr>
                    <w:rFonts w:ascii="Palatino Linotype" w:eastAsia="Palatino Linotype" w:hAnsi="Palatino Linotype" w:cs="Palatino Linotype"/>
                  </w:rPr>
                </w:pPr>
                <w:r w:rsidRPr="00AA60D2">
                  <w:rPr>
                    <w:rFonts w:ascii="Palatino Linotype" w:eastAsia="Palatino Linotype" w:hAnsi="Palatino Linotype" w:cs="Palatino Linotype"/>
                  </w:rPr>
                  <w:t>María del Rosario Mejía Ayala</w:t>
                </w:r>
              </w:p>
              <w:p w:rsidR="00C53BC5" w:rsidRPr="00AA60D2" w:rsidRDefault="00C53BC5">
                <w:pPr>
                  <w:tabs>
                    <w:tab w:val="right" w:pos="8838"/>
                  </w:tabs>
                  <w:ind w:left="-108" w:right="171"/>
                  <w:jc w:val="both"/>
                  <w:rPr>
                    <w:rFonts w:ascii="Palatino Linotype" w:eastAsia="Palatino Linotype" w:hAnsi="Palatino Linotype" w:cs="Palatino Linotype"/>
                  </w:rPr>
                </w:pPr>
              </w:p>
            </w:tc>
          </w:tr>
        </w:tbl>
        <w:p w:rsidR="00C53BC5" w:rsidRDefault="00C53BC5">
          <w:pPr>
            <w:tabs>
              <w:tab w:val="right" w:pos="8838"/>
            </w:tabs>
            <w:ind w:left="-28"/>
            <w:jc w:val="both"/>
            <w:rPr>
              <w:rFonts w:ascii="Arial" w:eastAsia="Arial" w:hAnsi="Arial" w:cs="Arial"/>
              <w:b/>
              <w:sz w:val="22"/>
              <w:szCs w:val="22"/>
            </w:rPr>
          </w:pPr>
        </w:p>
      </w:tc>
    </w:tr>
  </w:tbl>
  <w:p w:rsidR="00C53BC5" w:rsidRDefault="00CD787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C5" w:rsidRDefault="00C53BC5">
    <w:pPr>
      <w:widowControl w:val="0"/>
      <w:pBdr>
        <w:top w:val="nil"/>
        <w:left w:val="nil"/>
        <w:bottom w:val="nil"/>
        <w:right w:val="nil"/>
        <w:between w:val="nil"/>
      </w:pBdr>
      <w:spacing w:line="276" w:lineRule="auto"/>
      <w:rPr>
        <w:color w:val="000000"/>
      </w:rPr>
    </w:pPr>
  </w:p>
  <w:tbl>
    <w:tblPr>
      <w:tblW w:w="9923" w:type="dxa"/>
      <w:tblLayout w:type="fixed"/>
      <w:tblLook w:val="0400" w:firstRow="0" w:lastRow="0" w:firstColumn="0" w:lastColumn="0" w:noHBand="0" w:noVBand="1"/>
    </w:tblPr>
    <w:tblGrid>
      <w:gridCol w:w="2552"/>
      <w:gridCol w:w="7371"/>
    </w:tblGrid>
    <w:tr w:rsidR="00C53BC5" w:rsidTr="00C23C89">
      <w:trPr>
        <w:trHeight w:val="1435"/>
      </w:trPr>
      <w:tc>
        <w:tcPr>
          <w:tcW w:w="2552" w:type="dxa"/>
          <w:shd w:val="clear" w:color="auto" w:fill="auto"/>
        </w:tcPr>
        <w:p w:rsidR="00C53BC5" w:rsidRDefault="00C53BC5">
          <w:pPr>
            <w:tabs>
              <w:tab w:val="right" w:pos="4273"/>
            </w:tabs>
            <w:rPr>
              <w:rFonts w:ascii="Garamond" w:eastAsia="Garamond" w:hAnsi="Garamond" w:cs="Garamond"/>
              <w:sz w:val="22"/>
              <w:szCs w:val="22"/>
            </w:rPr>
          </w:pPr>
        </w:p>
      </w:tc>
      <w:tc>
        <w:tcPr>
          <w:tcW w:w="7371" w:type="dxa"/>
          <w:shd w:val="clear" w:color="auto" w:fill="auto"/>
        </w:tcPr>
        <w:p w:rsidR="00C53BC5" w:rsidRDefault="00C53BC5">
          <w:pPr>
            <w:widowControl w:val="0"/>
            <w:pBdr>
              <w:top w:val="nil"/>
              <w:left w:val="nil"/>
              <w:bottom w:val="nil"/>
              <w:right w:val="nil"/>
              <w:between w:val="nil"/>
            </w:pBdr>
            <w:spacing w:line="276" w:lineRule="auto"/>
            <w:rPr>
              <w:rFonts w:ascii="Garamond" w:eastAsia="Garamond" w:hAnsi="Garamond" w:cs="Garamond"/>
              <w:sz w:val="22"/>
              <w:szCs w:val="22"/>
            </w:rPr>
          </w:pPr>
        </w:p>
        <w:tbl>
          <w:tblPr>
            <w:tblW w:w="7223" w:type="dxa"/>
            <w:tblInd w:w="40" w:type="dxa"/>
            <w:tblLayout w:type="fixed"/>
            <w:tblLook w:val="0400" w:firstRow="0" w:lastRow="0" w:firstColumn="0" w:lastColumn="0" w:noHBand="0" w:noVBand="1"/>
          </w:tblPr>
          <w:tblGrid>
            <w:gridCol w:w="2829"/>
            <w:gridCol w:w="4394"/>
          </w:tblGrid>
          <w:tr w:rsidR="00C53BC5" w:rsidRPr="00C23C89" w:rsidTr="00C23C89">
            <w:trPr>
              <w:trHeight w:val="144"/>
            </w:trPr>
            <w:tc>
              <w:tcPr>
                <w:tcW w:w="2829" w:type="dxa"/>
                <w:shd w:val="clear" w:color="auto" w:fill="auto"/>
              </w:tcPr>
              <w:p w:rsidR="00C53BC5" w:rsidRPr="00C23C89" w:rsidRDefault="00C53BC5">
                <w:pPr>
                  <w:tabs>
                    <w:tab w:val="right" w:pos="8838"/>
                  </w:tabs>
                  <w:ind w:left="-264" w:right="-105" w:firstLine="195"/>
                  <w:rPr>
                    <w:rFonts w:ascii="Palatino Linotype" w:eastAsia="Palatino Linotype" w:hAnsi="Palatino Linotype" w:cs="Palatino Linotype"/>
                    <w:b/>
                  </w:rPr>
                </w:pPr>
                <w:r w:rsidRPr="00C23C89">
                  <w:rPr>
                    <w:rFonts w:ascii="Palatino Linotype" w:eastAsia="Palatino Linotype" w:hAnsi="Palatino Linotype" w:cs="Palatino Linotype"/>
                    <w:b/>
                  </w:rPr>
                  <w:t>Recurso de Revisión:</w:t>
                </w:r>
              </w:p>
            </w:tc>
            <w:tc>
              <w:tcPr>
                <w:tcW w:w="4394" w:type="dxa"/>
                <w:shd w:val="clear" w:color="auto" w:fill="auto"/>
              </w:tcPr>
              <w:p w:rsidR="00C53BC5" w:rsidRPr="00C23C89" w:rsidRDefault="00C53BC5">
                <w:pPr>
                  <w:tabs>
                    <w:tab w:val="right" w:pos="8838"/>
                  </w:tabs>
                  <w:ind w:left="-74" w:right="-105"/>
                  <w:jc w:val="both"/>
                  <w:rPr>
                    <w:rFonts w:ascii="Palatino Linotype" w:eastAsia="Palatino Linotype" w:hAnsi="Palatino Linotype" w:cs="Palatino Linotype"/>
                  </w:rPr>
                </w:pPr>
                <w:r w:rsidRPr="00C23C89">
                  <w:rPr>
                    <w:rFonts w:ascii="Palatino Linotype" w:eastAsia="Palatino Linotype" w:hAnsi="Palatino Linotype" w:cs="Palatino Linotype"/>
                  </w:rPr>
                  <w:t>01923/INFOEM/IP/RR/2025</w:t>
                </w:r>
              </w:p>
            </w:tc>
          </w:tr>
          <w:tr w:rsidR="00C53BC5" w:rsidRPr="00C23C89" w:rsidTr="00C23C89">
            <w:trPr>
              <w:trHeight w:val="144"/>
            </w:trPr>
            <w:tc>
              <w:tcPr>
                <w:tcW w:w="2829" w:type="dxa"/>
                <w:shd w:val="clear" w:color="auto" w:fill="auto"/>
              </w:tcPr>
              <w:p w:rsidR="00C53BC5" w:rsidRPr="00C23C89" w:rsidRDefault="00C53BC5">
                <w:pPr>
                  <w:tabs>
                    <w:tab w:val="right" w:pos="8838"/>
                  </w:tabs>
                  <w:ind w:left="-74" w:right="-105"/>
                  <w:rPr>
                    <w:rFonts w:ascii="Palatino Linotype" w:eastAsia="Palatino Linotype" w:hAnsi="Palatino Linotype" w:cs="Palatino Linotype"/>
                    <w:b/>
                  </w:rPr>
                </w:pPr>
                <w:r w:rsidRPr="00C23C89">
                  <w:rPr>
                    <w:rFonts w:ascii="Palatino Linotype" w:eastAsia="Palatino Linotype" w:hAnsi="Palatino Linotype" w:cs="Palatino Linotype"/>
                    <w:b/>
                  </w:rPr>
                  <w:t>Recurrente:</w:t>
                </w:r>
              </w:p>
            </w:tc>
            <w:tc>
              <w:tcPr>
                <w:tcW w:w="4394" w:type="dxa"/>
                <w:shd w:val="clear" w:color="auto" w:fill="auto"/>
              </w:tcPr>
              <w:p w:rsidR="00C53BC5" w:rsidRPr="00C23C89" w:rsidRDefault="003671C9">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C53BC5" w:rsidRPr="00C23C89" w:rsidTr="00C23C89">
            <w:trPr>
              <w:trHeight w:val="283"/>
            </w:trPr>
            <w:tc>
              <w:tcPr>
                <w:tcW w:w="2829" w:type="dxa"/>
                <w:shd w:val="clear" w:color="auto" w:fill="auto"/>
              </w:tcPr>
              <w:p w:rsidR="00C53BC5" w:rsidRPr="00C23C89" w:rsidRDefault="00C53BC5">
                <w:pPr>
                  <w:tabs>
                    <w:tab w:val="right" w:pos="8838"/>
                  </w:tabs>
                  <w:ind w:left="-74" w:right="-105"/>
                  <w:rPr>
                    <w:rFonts w:ascii="Palatino Linotype" w:eastAsia="Palatino Linotype" w:hAnsi="Palatino Linotype" w:cs="Palatino Linotype"/>
                    <w:b/>
                  </w:rPr>
                </w:pPr>
                <w:r w:rsidRPr="00C23C89">
                  <w:rPr>
                    <w:rFonts w:ascii="Palatino Linotype" w:eastAsia="Palatino Linotype" w:hAnsi="Palatino Linotype" w:cs="Palatino Linotype"/>
                    <w:b/>
                  </w:rPr>
                  <w:t>Sujeto Obligado:</w:t>
                </w:r>
              </w:p>
            </w:tc>
            <w:tc>
              <w:tcPr>
                <w:tcW w:w="4394" w:type="dxa"/>
                <w:shd w:val="clear" w:color="auto" w:fill="auto"/>
              </w:tcPr>
              <w:p w:rsidR="00C53BC5" w:rsidRPr="00C23C89" w:rsidRDefault="00C53BC5">
                <w:pPr>
                  <w:tabs>
                    <w:tab w:val="left" w:pos="2834"/>
                    <w:tab w:val="right" w:pos="8838"/>
                  </w:tabs>
                  <w:ind w:left="-74" w:right="-105"/>
                  <w:jc w:val="both"/>
                  <w:rPr>
                    <w:rFonts w:ascii="Palatino Linotype" w:eastAsia="Palatino Linotype" w:hAnsi="Palatino Linotype" w:cs="Palatino Linotype"/>
                  </w:rPr>
                </w:pPr>
                <w:r w:rsidRPr="00C23C89">
                  <w:rPr>
                    <w:rFonts w:ascii="Palatino Linotype" w:eastAsia="Palatino Linotype" w:hAnsi="Palatino Linotype" w:cs="Palatino Linotype"/>
                    <w:bCs/>
                  </w:rPr>
                  <w:t>Ayuntamiento de Almoloya de Juárez</w:t>
                </w:r>
              </w:p>
            </w:tc>
          </w:tr>
          <w:tr w:rsidR="00C53BC5" w:rsidRPr="00C23C89" w:rsidTr="00C23C89">
            <w:trPr>
              <w:trHeight w:val="283"/>
            </w:trPr>
            <w:tc>
              <w:tcPr>
                <w:tcW w:w="2829" w:type="dxa"/>
                <w:shd w:val="clear" w:color="auto" w:fill="auto"/>
              </w:tcPr>
              <w:p w:rsidR="00C53BC5" w:rsidRPr="00C23C89" w:rsidRDefault="00C53BC5">
                <w:pPr>
                  <w:tabs>
                    <w:tab w:val="right" w:pos="8838"/>
                  </w:tabs>
                  <w:ind w:left="-74" w:right="-105"/>
                  <w:rPr>
                    <w:rFonts w:ascii="Palatino Linotype" w:eastAsia="Palatino Linotype" w:hAnsi="Palatino Linotype" w:cs="Palatino Linotype"/>
                    <w:b/>
                  </w:rPr>
                </w:pPr>
                <w:r w:rsidRPr="00C23C89">
                  <w:rPr>
                    <w:rFonts w:ascii="Palatino Linotype" w:eastAsia="Palatino Linotype" w:hAnsi="Palatino Linotype" w:cs="Palatino Linotype"/>
                    <w:b/>
                  </w:rPr>
                  <w:t>Comisionado ponente:</w:t>
                </w:r>
              </w:p>
            </w:tc>
            <w:tc>
              <w:tcPr>
                <w:tcW w:w="4394" w:type="dxa"/>
                <w:shd w:val="clear" w:color="auto" w:fill="auto"/>
              </w:tcPr>
              <w:p w:rsidR="00C53BC5" w:rsidRPr="00C23C89" w:rsidRDefault="00C53BC5">
                <w:pPr>
                  <w:tabs>
                    <w:tab w:val="right" w:pos="8838"/>
                  </w:tabs>
                  <w:ind w:left="-74" w:right="-105"/>
                  <w:jc w:val="both"/>
                  <w:rPr>
                    <w:rFonts w:ascii="Palatino Linotype" w:eastAsia="Palatino Linotype" w:hAnsi="Palatino Linotype" w:cs="Palatino Linotype"/>
                  </w:rPr>
                </w:pPr>
                <w:r w:rsidRPr="00C23C89">
                  <w:rPr>
                    <w:rFonts w:ascii="Palatino Linotype" w:eastAsia="Palatino Linotype" w:hAnsi="Palatino Linotype" w:cs="Palatino Linotype"/>
                  </w:rPr>
                  <w:t>María del Rosario Mejía Ayala</w:t>
                </w:r>
              </w:p>
              <w:p w:rsidR="00C53BC5" w:rsidRPr="00C23C89" w:rsidRDefault="00C53BC5">
                <w:pPr>
                  <w:tabs>
                    <w:tab w:val="right" w:pos="8838"/>
                  </w:tabs>
                  <w:ind w:left="-74" w:right="-105"/>
                  <w:jc w:val="both"/>
                  <w:rPr>
                    <w:rFonts w:ascii="Palatino Linotype" w:eastAsia="Palatino Linotype" w:hAnsi="Palatino Linotype" w:cs="Palatino Linotype"/>
                  </w:rPr>
                </w:pPr>
              </w:p>
            </w:tc>
          </w:tr>
        </w:tbl>
        <w:p w:rsidR="00C53BC5" w:rsidRDefault="00C53BC5">
          <w:pPr>
            <w:tabs>
              <w:tab w:val="right" w:pos="8838"/>
            </w:tabs>
            <w:ind w:left="-28"/>
            <w:jc w:val="both"/>
            <w:rPr>
              <w:rFonts w:ascii="Arial" w:eastAsia="Arial" w:hAnsi="Arial" w:cs="Arial"/>
              <w:b/>
              <w:sz w:val="22"/>
              <w:szCs w:val="22"/>
            </w:rPr>
          </w:pPr>
        </w:p>
      </w:tc>
    </w:tr>
  </w:tbl>
  <w:p w:rsidR="00C53BC5" w:rsidRDefault="00CD787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786"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9863A8"/>
    <w:multiLevelType w:val="hybridMultilevel"/>
    <w:tmpl w:val="BB9AACA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A086553"/>
    <w:multiLevelType w:val="hybridMultilevel"/>
    <w:tmpl w:val="248465C0"/>
    <w:lvl w:ilvl="0" w:tplc="80D6FBD0">
      <w:start w:val="1"/>
      <w:numFmt w:val="upperLetter"/>
      <w:lvlText w:val="%1."/>
      <w:lvlJc w:val="left"/>
      <w:pPr>
        <w:ind w:left="720" w:hanging="360"/>
      </w:pPr>
      <w:rPr>
        <w:rFonts w:eastAsia="Times New Roman" w:cs="Times New Roman"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C22CF5"/>
    <w:multiLevelType w:val="hybridMultilevel"/>
    <w:tmpl w:val="D01A1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9B1058"/>
    <w:multiLevelType w:val="hybridMultilevel"/>
    <w:tmpl w:val="6104732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6170B77"/>
    <w:multiLevelType w:val="multilevel"/>
    <w:tmpl w:val="F070B820"/>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863BD5"/>
    <w:multiLevelType w:val="multilevel"/>
    <w:tmpl w:val="26087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8005ED"/>
    <w:multiLevelType w:val="multilevel"/>
    <w:tmpl w:val="1AB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106BF"/>
    <w:multiLevelType w:val="hybridMultilevel"/>
    <w:tmpl w:val="9FAAB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1CA45DA"/>
    <w:multiLevelType w:val="hybridMultilevel"/>
    <w:tmpl w:val="F156F1F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27A2CC5"/>
    <w:multiLevelType w:val="multilevel"/>
    <w:tmpl w:val="68C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E6CCD"/>
    <w:multiLevelType w:val="multilevel"/>
    <w:tmpl w:val="7BDC17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EB3D0B"/>
    <w:multiLevelType w:val="multilevel"/>
    <w:tmpl w:val="395E49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8"/>
  </w:num>
  <w:num w:numId="3">
    <w:abstractNumId w:val="16"/>
  </w:num>
  <w:num w:numId="4">
    <w:abstractNumId w:val="11"/>
  </w:num>
  <w:num w:numId="5">
    <w:abstractNumId w:val="2"/>
  </w:num>
  <w:num w:numId="6">
    <w:abstractNumId w:val="4"/>
  </w:num>
  <w:num w:numId="7">
    <w:abstractNumId w:val="13"/>
  </w:num>
  <w:num w:numId="8">
    <w:abstractNumId w:val="14"/>
  </w:num>
  <w:num w:numId="9">
    <w:abstractNumId w:val="5"/>
  </w:num>
  <w:num w:numId="10">
    <w:abstractNumId w:val="9"/>
  </w:num>
  <w:num w:numId="11">
    <w:abstractNumId w:val="1"/>
  </w:num>
  <w:num w:numId="12">
    <w:abstractNumId w:val="12"/>
  </w:num>
  <w:num w:numId="13">
    <w:abstractNumId w:val="15"/>
  </w:num>
  <w:num w:numId="14">
    <w:abstractNumId w:val="3"/>
  </w:num>
  <w:num w:numId="15">
    <w:abstractNumId w:val="10"/>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0D"/>
    <w:rsid w:val="000814CF"/>
    <w:rsid w:val="001A612E"/>
    <w:rsid w:val="00293B3E"/>
    <w:rsid w:val="002A5CB3"/>
    <w:rsid w:val="003671C9"/>
    <w:rsid w:val="003B080D"/>
    <w:rsid w:val="00412142"/>
    <w:rsid w:val="005F678B"/>
    <w:rsid w:val="00776DFA"/>
    <w:rsid w:val="00824781"/>
    <w:rsid w:val="0083526C"/>
    <w:rsid w:val="008403A9"/>
    <w:rsid w:val="00891B4E"/>
    <w:rsid w:val="009D4654"/>
    <w:rsid w:val="00A37CA9"/>
    <w:rsid w:val="00AA1D5B"/>
    <w:rsid w:val="00AA60D2"/>
    <w:rsid w:val="00AB67FA"/>
    <w:rsid w:val="00C23C89"/>
    <w:rsid w:val="00C53BC5"/>
    <w:rsid w:val="00CD5717"/>
    <w:rsid w:val="00CD7874"/>
    <w:rsid w:val="00FA2230"/>
    <w:rsid w:val="00FB2D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A11E3F-CDA7-4565-A260-BC202DF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0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B08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B080D"/>
    <w:pPr>
      <w:keepNext/>
      <w:keepLines/>
      <w:spacing w:before="40"/>
      <w:outlineLvl w:val="2"/>
    </w:pPr>
    <w:rPr>
      <w:rFonts w:asciiTheme="majorHAnsi" w:eastAsiaTheme="majorEastAsia" w:hAnsiTheme="majorHAnsi" w:cstheme="majorBidi"/>
      <w:color w:val="1F4D78"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80D"/>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3B080D"/>
    <w:rPr>
      <w:rFonts w:asciiTheme="majorHAnsi" w:eastAsiaTheme="majorEastAsia" w:hAnsiTheme="majorHAnsi" w:cstheme="majorBidi"/>
      <w:color w:val="1F4D78" w:themeColor="accent1" w:themeShade="7F"/>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080D"/>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3B080D"/>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B080D"/>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3B08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epgina">
    <w:name w:val="footer"/>
    <w:basedOn w:val="Normal"/>
    <w:link w:val="PiedepginaCar"/>
    <w:uiPriority w:val="99"/>
    <w:unhideWhenUsed/>
    <w:rsid w:val="003B080D"/>
    <w:pPr>
      <w:tabs>
        <w:tab w:val="center" w:pos="4419"/>
        <w:tab w:val="right" w:pos="8838"/>
      </w:tabs>
    </w:pPr>
  </w:style>
  <w:style w:type="character" w:customStyle="1" w:styleId="PiedepginaCar">
    <w:name w:val="Pie de página Car"/>
    <w:basedOn w:val="Fuentedeprrafopredeter"/>
    <w:link w:val="Piedepgina"/>
    <w:uiPriority w:val="99"/>
    <w:rsid w:val="003B080D"/>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080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B080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B080D"/>
    <w:rPr>
      <w:vertAlign w:val="superscript"/>
    </w:rPr>
  </w:style>
  <w:style w:type="table" w:customStyle="1" w:styleId="Tablanormal11">
    <w:name w:val="Tabla normal 11"/>
    <w:basedOn w:val="Tablanormal"/>
    <w:uiPriority w:val="41"/>
    <w:rsid w:val="003B08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62535.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2362215.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236910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38</Pages>
  <Words>8000</Words>
  <Characters>44001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2025-04-10T22:19:00Z</cp:lastPrinted>
  <dcterms:created xsi:type="dcterms:W3CDTF">2025-04-07T19:41:00Z</dcterms:created>
  <dcterms:modified xsi:type="dcterms:W3CDTF">2025-04-11T19:43:00Z</dcterms:modified>
</cp:coreProperties>
</file>