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C11D6" w14:textId="77777777" w:rsidR="00856904" w:rsidRPr="00DE4297" w:rsidRDefault="00E16F62">
      <w:pPr>
        <w:spacing w:line="360" w:lineRule="auto"/>
        <w:jc w:val="both"/>
        <w:rPr>
          <w:rFonts w:ascii="Palatino Linotype" w:eastAsia="Palatino Linotype" w:hAnsi="Palatino Linotype" w:cs="Palatino Linotype"/>
          <w:sz w:val="22"/>
          <w:szCs w:val="22"/>
        </w:rPr>
      </w:pPr>
      <w:bookmarkStart w:id="0" w:name="_GoBack"/>
      <w:bookmarkEnd w:id="0"/>
      <w:r w:rsidRPr="00DE4297">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 cinco de noviembre de dos mil veinticinco.</w:t>
      </w:r>
    </w:p>
    <w:p w14:paraId="42051CED"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5933964C"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VISTO</w:t>
      </w:r>
      <w:r w:rsidRPr="00DE4297">
        <w:rPr>
          <w:rFonts w:ascii="Palatino Linotype" w:eastAsia="Palatino Linotype" w:hAnsi="Palatino Linotype" w:cs="Palatino Linotype"/>
          <w:sz w:val="22"/>
          <w:szCs w:val="22"/>
        </w:rPr>
        <w:t xml:space="preserve"> el expediente formado con motivo del recurso de revisión </w:t>
      </w:r>
      <w:r w:rsidRPr="00DE4297">
        <w:rPr>
          <w:rFonts w:ascii="Palatino Linotype" w:eastAsia="Palatino Linotype" w:hAnsi="Palatino Linotype" w:cs="Palatino Linotype"/>
          <w:b/>
          <w:sz w:val="22"/>
          <w:szCs w:val="22"/>
        </w:rPr>
        <w:t>06349/INFOEM/IP/RR/2025</w:t>
      </w:r>
      <w:r w:rsidRPr="00DE4297">
        <w:rPr>
          <w:rFonts w:ascii="Palatino Linotype" w:eastAsia="Palatino Linotype" w:hAnsi="Palatino Linotype" w:cs="Palatino Linotype"/>
          <w:sz w:val="22"/>
          <w:szCs w:val="22"/>
        </w:rPr>
        <w:t>, por</w:t>
      </w:r>
      <w:r w:rsidRPr="00DE4297">
        <w:rPr>
          <w:rFonts w:ascii="Palatino Linotype" w:eastAsia="Palatino Linotype" w:hAnsi="Palatino Linotype" w:cs="Palatino Linotype"/>
          <w:b/>
          <w:sz w:val="22"/>
          <w:szCs w:val="22"/>
        </w:rPr>
        <w:t xml:space="preserve"> </w:t>
      </w:r>
      <w:r w:rsidRPr="00DE4297">
        <w:rPr>
          <w:rFonts w:ascii="Palatino Linotype" w:eastAsia="Palatino Linotype" w:hAnsi="Palatino Linotype" w:cs="Palatino Linotype"/>
          <w:sz w:val="22"/>
          <w:szCs w:val="22"/>
        </w:rPr>
        <w:t>interpuesto por</w:t>
      </w:r>
      <w:r w:rsidRPr="00DE4297">
        <w:rPr>
          <w:rFonts w:ascii="Palatino Linotype" w:eastAsia="Palatino Linotype" w:hAnsi="Palatino Linotype" w:cs="Palatino Linotype"/>
          <w:b/>
          <w:sz w:val="22"/>
          <w:szCs w:val="22"/>
        </w:rPr>
        <w:t xml:space="preserve"> un Usuario que no proporcionó su nombre,</w:t>
      </w:r>
      <w:r w:rsidRPr="00DE4297">
        <w:rPr>
          <w:rFonts w:ascii="Palatino Linotype" w:eastAsia="Palatino Linotype" w:hAnsi="Palatino Linotype" w:cs="Palatino Linotype"/>
          <w:sz w:val="22"/>
          <w:szCs w:val="22"/>
        </w:rPr>
        <w:t xml:space="preserve"> en lo sucesivo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xml:space="preserve"> en contra de la respuesta a su solicitud por parte del </w:t>
      </w:r>
      <w:r w:rsidRPr="00DE4297">
        <w:rPr>
          <w:rFonts w:ascii="Palatino Linotype" w:eastAsia="Palatino Linotype" w:hAnsi="Palatino Linotype" w:cs="Palatino Linotype"/>
          <w:b/>
          <w:sz w:val="22"/>
          <w:szCs w:val="22"/>
        </w:rPr>
        <w:t xml:space="preserve">Ayuntamiento de Cocotitlán, </w:t>
      </w:r>
      <w:r w:rsidRPr="00DE4297">
        <w:rPr>
          <w:rFonts w:ascii="Palatino Linotype" w:eastAsia="Palatino Linotype" w:hAnsi="Palatino Linotype" w:cs="Palatino Linotype"/>
          <w:sz w:val="22"/>
          <w:szCs w:val="22"/>
        </w:rPr>
        <w:t xml:space="preserve">en lo sucesivo el </w:t>
      </w:r>
      <w:r w:rsidRPr="00DE4297">
        <w:rPr>
          <w:rFonts w:ascii="Palatino Linotype" w:eastAsia="Palatino Linotype" w:hAnsi="Palatino Linotype" w:cs="Palatino Linotype"/>
          <w:b/>
          <w:sz w:val="22"/>
          <w:szCs w:val="22"/>
        </w:rPr>
        <w:t xml:space="preserve">SUJETO OBLIGADO, </w:t>
      </w:r>
      <w:r w:rsidRPr="00DE4297">
        <w:rPr>
          <w:rFonts w:ascii="Palatino Linotype" w:eastAsia="Palatino Linotype" w:hAnsi="Palatino Linotype" w:cs="Palatino Linotype"/>
          <w:sz w:val="22"/>
          <w:szCs w:val="22"/>
        </w:rPr>
        <w:t xml:space="preserve">se procede a dictar la presente resolución con base en los siguientes: </w:t>
      </w:r>
    </w:p>
    <w:p w14:paraId="2B19D886" w14:textId="77777777" w:rsidR="00856904" w:rsidRPr="00DE4297" w:rsidRDefault="00E16F62">
      <w:pPr>
        <w:spacing w:line="360" w:lineRule="auto"/>
        <w:jc w:val="center"/>
        <w:rPr>
          <w:rFonts w:ascii="Palatino Linotype" w:eastAsia="Palatino Linotype" w:hAnsi="Palatino Linotype" w:cs="Palatino Linotype"/>
          <w:b/>
          <w:sz w:val="22"/>
          <w:szCs w:val="22"/>
        </w:rPr>
      </w:pPr>
      <w:r w:rsidRPr="00DE4297">
        <w:rPr>
          <w:rFonts w:ascii="Palatino Linotype" w:eastAsia="Palatino Linotype" w:hAnsi="Palatino Linotype" w:cs="Palatino Linotype"/>
          <w:b/>
          <w:sz w:val="22"/>
          <w:szCs w:val="22"/>
        </w:rPr>
        <w:t>I. A N T E C E D E N T E S</w:t>
      </w:r>
    </w:p>
    <w:p w14:paraId="19944A46" w14:textId="77777777" w:rsidR="00856904" w:rsidRPr="00DE4297" w:rsidRDefault="00856904">
      <w:pPr>
        <w:spacing w:line="360" w:lineRule="auto"/>
        <w:jc w:val="center"/>
        <w:rPr>
          <w:rFonts w:ascii="Palatino Linotype" w:eastAsia="Palatino Linotype" w:hAnsi="Palatino Linotype" w:cs="Palatino Linotype"/>
          <w:b/>
          <w:sz w:val="22"/>
          <w:szCs w:val="22"/>
        </w:rPr>
      </w:pPr>
    </w:p>
    <w:p w14:paraId="68F21EBE"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1. Solicitud de acceso a la información.</w:t>
      </w:r>
      <w:r w:rsidRPr="00DE4297">
        <w:rPr>
          <w:rFonts w:ascii="Palatino Linotype" w:eastAsia="Palatino Linotype" w:hAnsi="Palatino Linotype" w:cs="Palatino Linotype"/>
          <w:sz w:val="22"/>
          <w:szCs w:val="22"/>
        </w:rPr>
        <w:t xml:space="preserve"> Con fecha </w:t>
      </w:r>
      <w:r w:rsidRPr="00DE4297">
        <w:rPr>
          <w:rFonts w:ascii="Palatino Linotype" w:eastAsia="Palatino Linotype" w:hAnsi="Palatino Linotype" w:cs="Palatino Linotype"/>
          <w:b/>
          <w:sz w:val="22"/>
          <w:szCs w:val="22"/>
        </w:rPr>
        <w:t>veintiséis de mayo de dos mil veinticinco</w:t>
      </w:r>
      <w:r w:rsidRPr="00DE4297">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DE4297">
        <w:rPr>
          <w:rFonts w:ascii="Palatino Linotype" w:eastAsia="Palatino Linotype" w:hAnsi="Palatino Linotype" w:cs="Palatino Linotype"/>
          <w:b/>
          <w:sz w:val="22"/>
          <w:szCs w:val="22"/>
        </w:rPr>
        <w:t>SAIMEX,</w:t>
      </w:r>
      <w:r w:rsidRPr="00DE4297">
        <w:rPr>
          <w:rFonts w:ascii="Palatino Linotype" w:eastAsia="Palatino Linotype" w:hAnsi="Palatino Linotype" w:cs="Palatino Linotype"/>
          <w:sz w:val="22"/>
          <w:szCs w:val="22"/>
        </w:rPr>
        <w:t xml:space="preserve"> ante 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la solicitud de acceso a la información pública, a la que se le asignó el número</w:t>
      </w:r>
      <w:r w:rsidRPr="00DE4297">
        <w:rPr>
          <w:rFonts w:ascii="Palatino Linotype" w:eastAsia="Palatino Linotype" w:hAnsi="Palatino Linotype" w:cs="Palatino Linotype"/>
          <w:b/>
          <w:sz w:val="22"/>
          <w:szCs w:val="22"/>
        </w:rPr>
        <w:t xml:space="preserve"> 00319/COCOTIT/IP/2025, </w:t>
      </w:r>
      <w:r w:rsidRPr="00DE4297">
        <w:rPr>
          <w:rFonts w:ascii="Palatino Linotype" w:eastAsia="Palatino Linotype" w:hAnsi="Palatino Linotype" w:cs="Palatino Linotype"/>
          <w:sz w:val="22"/>
          <w:szCs w:val="22"/>
        </w:rPr>
        <w:t>mediante la cual requirió la información siguiente:</w:t>
      </w:r>
    </w:p>
    <w:p w14:paraId="2B924B85"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66807C2" w14:textId="77777777" w:rsidR="00856904" w:rsidRPr="00DE4297" w:rsidRDefault="00E16F62">
      <w:pPr>
        <w:spacing w:line="276" w:lineRule="auto"/>
        <w:ind w:left="567" w:right="616"/>
        <w:jc w:val="both"/>
        <w:rPr>
          <w:rFonts w:ascii="Palatino Linotype" w:eastAsia="Palatino Linotype" w:hAnsi="Palatino Linotype" w:cs="Palatino Linotype"/>
          <w:i/>
          <w:sz w:val="22"/>
          <w:szCs w:val="22"/>
        </w:rPr>
      </w:pPr>
      <w:bookmarkStart w:id="1" w:name="_heading=h.gjdgxs" w:colFirst="0" w:colLast="0"/>
      <w:bookmarkEnd w:id="1"/>
      <w:r w:rsidRPr="00DE4297">
        <w:rPr>
          <w:rFonts w:ascii="Palatino Linotype" w:eastAsia="Palatino Linotype" w:hAnsi="Palatino Linotype" w:cs="Palatino Linotype"/>
          <w:i/>
          <w:sz w:val="22"/>
          <w:szCs w:val="22"/>
        </w:rPr>
        <w:t>“solicito a este sujeto obligado de Cocotitlán se me entregué un informe detallado de todas las solicitudes entrantes de cuantas hay hasta el momento, cuantos recursos decursos de revisión y cuantas resoluciones han tenido en contra por no entregar la información que el ciudadano solicita, si es necesario entregar información en versión publica para su consulta..” (Sic)</w:t>
      </w:r>
    </w:p>
    <w:p w14:paraId="7FFE5A2A" w14:textId="77777777" w:rsidR="00856904" w:rsidRPr="00DE4297" w:rsidRDefault="00856904">
      <w:pPr>
        <w:spacing w:line="360" w:lineRule="auto"/>
        <w:ind w:right="902"/>
        <w:jc w:val="both"/>
        <w:rPr>
          <w:rFonts w:ascii="Palatino Linotype" w:eastAsia="Palatino Linotype" w:hAnsi="Palatino Linotype" w:cs="Palatino Linotype"/>
          <w:i/>
          <w:sz w:val="22"/>
          <w:szCs w:val="22"/>
        </w:rPr>
      </w:pPr>
    </w:p>
    <w:p w14:paraId="5BD60267"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Modalidad de Entrega:</w:t>
      </w:r>
      <w:r w:rsidRPr="00DE4297">
        <w:rPr>
          <w:rFonts w:ascii="Palatino Linotype" w:eastAsia="Palatino Linotype" w:hAnsi="Palatino Linotype" w:cs="Palatino Linotype"/>
          <w:sz w:val="22"/>
          <w:szCs w:val="22"/>
        </w:rPr>
        <w:t xml:space="preserve"> A través de SAIMEX.</w:t>
      </w:r>
    </w:p>
    <w:p w14:paraId="3C272114"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442CD92D" w14:textId="77777777" w:rsidR="00856904" w:rsidRPr="00DE4297" w:rsidRDefault="00E16F62">
      <w:pPr>
        <w:spacing w:line="360" w:lineRule="auto"/>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sz w:val="22"/>
          <w:szCs w:val="22"/>
        </w:rPr>
        <w:t xml:space="preserve">2. Respuesta. </w:t>
      </w:r>
      <w:r w:rsidRPr="00DE4297">
        <w:rPr>
          <w:rFonts w:ascii="Palatino Linotype" w:eastAsia="Palatino Linotype" w:hAnsi="Palatino Linotype" w:cs="Palatino Linotype"/>
          <w:sz w:val="22"/>
          <w:szCs w:val="22"/>
        </w:rPr>
        <w:t xml:space="preserve">Con fecha </w:t>
      </w:r>
      <w:r w:rsidRPr="00DE4297">
        <w:rPr>
          <w:rFonts w:ascii="Palatino Linotype" w:eastAsia="Palatino Linotype" w:hAnsi="Palatino Linotype" w:cs="Palatino Linotype"/>
          <w:b/>
          <w:sz w:val="22"/>
          <w:szCs w:val="22"/>
        </w:rPr>
        <w:t>dos de junio de dos mil veinticinco</w:t>
      </w:r>
      <w:r w:rsidRPr="00DE4297">
        <w:rPr>
          <w:rFonts w:ascii="Palatino Linotype" w:eastAsia="Palatino Linotype" w:hAnsi="Palatino Linotype" w:cs="Palatino Linotype"/>
          <w:sz w:val="22"/>
          <w:szCs w:val="22"/>
        </w:rPr>
        <w:t xml:space="preserve">, el </w:t>
      </w:r>
      <w:r w:rsidRPr="00DE4297">
        <w:rPr>
          <w:rFonts w:ascii="Palatino Linotype" w:eastAsia="Palatino Linotype" w:hAnsi="Palatino Linotype" w:cs="Palatino Linotype"/>
          <w:b/>
          <w:sz w:val="22"/>
          <w:szCs w:val="22"/>
        </w:rPr>
        <w:t xml:space="preserve">SUJETO OBLIGADO </w:t>
      </w:r>
      <w:r w:rsidRPr="00DE4297">
        <w:rPr>
          <w:rFonts w:ascii="Palatino Linotype" w:eastAsia="Palatino Linotype" w:hAnsi="Palatino Linotype" w:cs="Palatino Linotype"/>
          <w:sz w:val="22"/>
          <w:szCs w:val="22"/>
        </w:rPr>
        <w:t xml:space="preserve">envió su respuesta a la solicitud de acceso a la información a través de SAIMEX, la cual fue de conocimiento de las partes. </w:t>
      </w:r>
    </w:p>
    <w:p w14:paraId="0794762F" w14:textId="77777777" w:rsidR="00856904" w:rsidRPr="00DE4297" w:rsidRDefault="00E16F6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lastRenderedPageBreak/>
        <w:t xml:space="preserve">3. Interposición del recurso de revisión. </w:t>
      </w:r>
      <w:r w:rsidRPr="00DE4297">
        <w:rPr>
          <w:rFonts w:ascii="Palatino Linotype" w:eastAsia="Palatino Linotype" w:hAnsi="Palatino Linotype" w:cs="Palatino Linotype"/>
          <w:sz w:val="22"/>
          <w:szCs w:val="22"/>
        </w:rPr>
        <w:t xml:space="preserve">Inconforme con los términos de la respuesta emitida por parte del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el </w:t>
      </w:r>
      <w:r w:rsidRPr="00DE4297">
        <w:rPr>
          <w:rFonts w:ascii="Palatino Linotype" w:eastAsia="Palatino Linotype" w:hAnsi="Palatino Linotype" w:cs="Palatino Linotype"/>
          <w:b/>
          <w:sz w:val="22"/>
          <w:szCs w:val="22"/>
        </w:rPr>
        <w:t>dos de junio del año dos mil veinticinco,</w:t>
      </w:r>
      <w:r w:rsidRPr="00DE4297">
        <w:rPr>
          <w:rFonts w:ascii="Palatino Linotype" w:eastAsia="Palatino Linotype" w:hAnsi="Palatino Linotype" w:cs="Palatino Linotype"/>
          <w:sz w:val="22"/>
          <w:szCs w:val="22"/>
        </w:rPr>
        <w:t xml:space="preserve">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xml:space="preserve"> interpuso el recurso de revisión a través de </w:t>
      </w:r>
      <w:r w:rsidRPr="00DE4297">
        <w:rPr>
          <w:rFonts w:ascii="Palatino Linotype" w:eastAsia="Palatino Linotype" w:hAnsi="Palatino Linotype" w:cs="Palatino Linotype"/>
          <w:b/>
          <w:sz w:val="22"/>
          <w:szCs w:val="22"/>
        </w:rPr>
        <w:t xml:space="preserve">SAIMEX, </w:t>
      </w:r>
      <w:r w:rsidRPr="00DE4297">
        <w:rPr>
          <w:rFonts w:ascii="Palatino Linotype" w:eastAsia="Palatino Linotype" w:hAnsi="Palatino Linotype" w:cs="Palatino Linotype"/>
          <w:sz w:val="22"/>
          <w:szCs w:val="22"/>
        </w:rPr>
        <w:t>en donde se manifestó de la siguiente manera:</w:t>
      </w:r>
    </w:p>
    <w:p w14:paraId="65868C97" w14:textId="77777777" w:rsidR="00856904" w:rsidRPr="00DE4297" w:rsidRDefault="0085690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5CC5A70" w14:textId="77777777" w:rsidR="00856904" w:rsidRPr="00DE4297" w:rsidRDefault="00E16F62">
      <w:pPr>
        <w:pBdr>
          <w:top w:val="nil"/>
          <w:left w:val="nil"/>
          <w:bottom w:val="nil"/>
          <w:right w:val="nil"/>
          <w:between w:val="nil"/>
        </w:pBdr>
        <w:tabs>
          <w:tab w:val="left" w:pos="2745"/>
        </w:tabs>
        <w:spacing w:line="360" w:lineRule="auto"/>
        <w:ind w:left="720"/>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b/>
          <w:sz w:val="22"/>
          <w:szCs w:val="22"/>
        </w:rPr>
        <w:t xml:space="preserve">Acto impugnado: </w:t>
      </w:r>
      <w:r w:rsidRPr="00DE4297">
        <w:rPr>
          <w:rFonts w:ascii="Palatino Linotype" w:eastAsia="Palatino Linotype" w:hAnsi="Palatino Linotype" w:cs="Palatino Linotype"/>
          <w:i/>
          <w:sz w:val="22"/>
          <w:szCs w:val="22"/>
        </w:rPr>
        <w:t>“no se entrega la información completa como se le soicito.” (Sic)</w:t>
      </w:r>
    </w:p>
    <w:p w14:paraId="3BB675DF" w14:textId="77777777" w:rsidR="00856904" w:rsidRPr="00DE4297" w:rsidRDefault="00856904">
      <w:pPr>
        <w:spacing w:line="360" w:lineRule="auto"/>
        <w:ind w:left="851" w:right="902"/>
        <w:jc w:val="both"/>
        <w:rPr>
          <w:rFonts w:ascii="Palatino Linotype" w:eastAsia="Palatino Linotype" w:hAnsi="Palatino Linotype" w:cs="Palatino Linotype"/>
          <w:i/>
          <w:sz w:val="22"/>
          <w:szCs w:val="22"/>
        </w:rPr>
      </w:pPr>
    </w:p>
    <w:p w14:paraId="61D4B72A" w14:textId="77777777" w:rsidR="00856904" w:rsidRPr="00DE4297" w:rsidRDefault="00E16F62">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bookmarkStart w:id="2" w:name="_heading=h.30j0zll" w:colFirst="0" w:colLast="0"/>
      <w:bookmarkEnd w:id="2"/>
      <w:r w:rsidRPr="00DE4297">
        <w:rPr>
          <w:rFonts w:ascii="Palatino Linotype" w:eastAsia="Palatino Linotype" w:hAnsi="Palatino Linotype" w:cs="Palatino Linotype"/>
          <w:b/>
          <w:sz w:val="22"/>
          <w:szCs w:val="22"/>
        </w:rPr>
        <w:t xml:space="preserve"> Razones o motivos de inconformidad</w:t>
      </w:r>
      <w:r w:rsidRPr="00DE4297">
        <w:rPr>
          <w:rFonts w:ascii="Palatino Linotype" w:eastAsia="Palatino Linotype" w:hAnsi="Palatino Linotype" w:cs="Palatino Linotype"/>
          <w:sz w:val="22"/>
          <w:szCs w:val="22"/>
        </w:rPr>
        <w:t xml:space="preserve">: </w:t>
      </w:r>
      <w:r w:rsidRPr="00DE4297">
        <w:rPr>
          <w:rFonts w:ascii="Palatino Linotype" w:eastAsia="Palatino Linotype" w:hAnsi="Palatino Linotype" w:cs="Palatino Linotype"/>
          <w:i/>
          <w:sz w:val="22"/>
          <w:szCs w:val="22"/>
        </w:rPr>
        <w:t>“no se entrega el informe detallado de lo que se le solicitó.” (Sic)</w:t>
      </w:r>
    </w:p>
    <w:p w14:paraId="3883A737" w14:textId="77777777" w:rsidR="00856904" w:rsidRPr="00DE4297" w:rsidRDefault="00856904">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14:paraId="2DB2C478" w14:textId="77777777" w:rsidR="00856904" w:rsidRPr="00DE4297" w:rsidRDefault="00E16F62">
      <w:pPr>
        <w:spacing w:line="360" w:lineRule="auto"/>
        <w:ind w:right="51"/>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4. Turno. </w:t>
      </w:r>
      <w:r w:rsidRPr="00DE429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E4297">
        <w:rPr>
          <w:rFonts w:ascii="Palatino Linotype" w:eastAsia="Palatino Linotype" w:hAnsi="Palatino Linotype" w:cs="Palatino Linotype"/>
          <w:b/>
          <w:sz w:val="22"/>
          <w:szCs w:val="22"/>
        </w:rPr>
        <w:t xml:space="preserve">Guadalupe Ramírez Peña, </w:t>
      </w:r>
      <w:r w:rsidRPr="00DE4297">
        <w:rPr>
          <w:rFonts w:ascii="Palatino Linotype" w:eastAsia="Palatino Linotype" w:hAnsi="Palatino Linotype" w:cs="Palatino Linotype"/>
          <w:sz w:val="22"/>
          <w:szCs w:val="22"/>
        </w:rPr>
        <w:t>a efecto de que analizara sobre su admisión o su desechamiento.</w:t>
      </w:r>
    </w:p>
    <w:p w14:paraId="3E28011E" w14:textId="77777777" w:rsidR="00856904" w:rsidRPr="00DE4297" w:rsidRDefault="00856904">
      <w:pPr>
        <w:spacing w:line="360" w:lineRule="auto"/>
        <w:ind w:right="51"/>
        <w:jc w:val="both"/>
        <w:rPr>
          <w:rFonts w:ascii="Palatino Linotype" w:eastAsia="Palatino Linotype" w:hAnsi="Palatino Linotype" w:cs="Palatino Linotype"/>
          <w:sz w:val="22"/>
          <w:szCs w:val="22"/>
        </w:rPr>
      </w:pPr>
    </w:p>
    <w:p w14:paraId="1FBFA75B"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5. Admisión del Recurso de revisión.</w:t>
      </w:r>
      <w:r w:rsidRPr="00DE4297">
        <w:rPr>
          <w:rFonts w:ascii="Palatino Linotype" w:eastAsia="Palatino Linotype" w:hAnsi="Palatino Linotype" w:cs="Palatino Linotype"/>
          <w:sz w:val="22"/>
          <w:szCs w:val="22"/>
        </w:rPr>
        <w:t xml:space="preserve"> Con fecha</w:t>
      </w:r>
      <w:r w:rsidRPr="00DE4297">
        <w:rPr>
          <w:rFonts w:ascii="Palatino Linotype" w:eastAsia="Palatino Linotype" w:hAnsi="Palatino Linotype" w:cs="Palatino Linotype"/>
          <w:b/>
          <w:sz w:val="22"/>
          <w:szCs w:val="22"/>
        </w:rPr>
        <w:t xml:space="preserve"> cinco de junio de dos mil veinticinco, </w:t>
      </w:r>
      <w:r w:rsidRPr="00DE429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E4297">
        <w:rPr>
          <w:rFonts w:ascii="Palatino Linotype" w:eastAsia="Palatino Linotype" w:hAnsi="Palatino Linotype" w:cs="Palatino Linotype"/>
          <w:b/>
          <w:sz w:val="22"/>
          <w:szCs w:val="22"/>
        </w:rPr>
        <w:t xml:space="preserve">SUJETO OBLIGADO </w:t>
      </w:r>
      <w:r w:rsidRPr="00DE4297">
        <w:rPr>
          <w:rFonts w:ascii="Palatino Linotype" w:eastAsia="Palatino Linotype" w:hAnsi="Palatino Linotype" w:cs="Palatino Linotype"/>
          <w:sz w:val="22"/>
          <w:szCs w:val="22"/>
        </w:rPr>
        <w:t>presentara su informe justificado.</w:t>
      </w:r>
    </w:p>
    <w:p w14:paraId="1683FE2A"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60BA5C42" w14:textId="77777777" w:rsidR="00856904" w:rsidRPr="00DE4297" w:rsidRDefault="00E16F62">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DE4297">
        <w:rPr>
          <w:rFonts w:ascii="Palatino Linotype" w:eastAsia="Palatino Linotype" w:hAnsi="Palatino Linotype" w:cs="Palatino Linotype"/>
          <w:b/>
          <w:sz w:val="22"/>
          <w:szCs w:val="22"/>
        </w:rPr>
        <w:t>6. Manifestaciones</w:t>
      </w:r>
      <w:r w:rsidRPr="00DE4297">
        <w:rPr>
          <w:rFonts w:ascii="Palatino Linotype" w:eastAsia="Palatino Linotype" w:hAnsi="Palatino Linotype" w:cs="Palatino Linotype"/>
          <w:sz w:val="22"/>
          <w:szCs w:val="22"/>
        </w:rPr>
        <w:t>. Las partes fueron omisas en manifestarse al respecto.</w:t>
      </w:r>
    </w:p>
    <w:p w14:paraId="6872495C" w14:textId="77777777" w:rsidR="00856904" w:rsidRPr="00DE4297" w:rsidRDefault="0085690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03753228" w14:textId="77777777" w:rsidR="00856904" w:rsidRPr="00DE4297" w:rsidRDefault="00E16F62">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7.</w:t>
      </w:r>
      <w:r w:rsidRPr="00DE4297">
        <w:rPr>
          <w:rFonts w:ascii="Palatino Linotype" w:eastAsia="Palatino Linotype" w:hAnsi="Palatino Linotype" w:cs="Palatino Linotype"/>
          <w:sz w:val="22"/>
          <w:szCs w:val="22"/>
        </w:rPr>
        <w:t xml:space="preserve"> </w:t>
      </w:r>
      <w:r w:rsidRPr="00DE4297">
        <w:rPr>
          <w:rFonts w:ascii="Palatino Linotype" w:eastAsia="Palatino Linotype" w:hAnsi="Palatino Linotype" w:cs="Palatino Linotype"/>
          <w:b/>
          <w:sz w:val="22"/>
          <w:szCs w:val="22"/>
        </w:rPr>
        <w:t>Ampliación del plazo.</w:t>
      </w:r>
      <w:r w:rsidRPr="00DE4297">
        <w:rPr>
          <w:rFonts w:ascii="Palatino Linotype" w:eastAsia="Palatino Linotype" w:hAnsi="Palatino Linotype" w:cs="Palatino Linotype"/>
          <w:sz w:val="22"/>
          <w:szCs w:val="22"/>
        </w:rPr>
        <w:t xml:space="preserve"> En fecha </w:t>
      </w:r>
      <w:r w:rsidRPr="00DE4297">
        <w:rPr>
          <w:rFonts w:ascii="Palatino Linotype" w:eastAsia="Palatino Linotype" w:hAnsi="Palatino Linotype" w:cs="Palatino Linotype"/>
          <w:b/>
          <w:sz w:val="22"/>
          <w:szCs w:val="22"/>
        </w:rPr>
        <w:t>veintinueve de octubre de dos mil veinticinco</w:t>
      </w:r>
      <w:r w:rsidRPr="00DE4297">
        <w:rPr>
          <w:rFonts w:ascii="Palatino Linotype" w:eastAsia="Palatino Linotype" w:hAnsi="Palatino Linotype" w:cs="Palatino Linotype"/>
          <w:sz w:val="22"/>
          <w:szCs w:val="22"/>
        </w:rPr>
        <w:t xml:space="preserve">, con </w:t>
      </w:r>
      <w:r w:rsidRPr="00DE4297">
        <w:rPr>
          <w:rFonts w:ascii="Palatino Linotype" w:eastAsia="Palatino Linotype" w:hAnsi="Palatino Linotype" w:cs="Palatino Linotype"/>
          <w:sz w:val="22"/>
          <w:szCs w:val="22"/>
        </w:rPr>
        <w:lastRenderedPageBreak/>
        <w:t>fundamento en el artículo 181, párrafo tercero de la Ley de Transparencia y Acceso a la Información Pública del Estado de México y Municipios, se acordó la ampliación del plazo para su resolución.</w:t>
      </w:r>
    </w:p>
    <w:p w14:paraId="4211D2F1" w14:textId="77777777" w:rsidR="00856904" w:rsidRPr="00DE4297" w:rsidRDefault="00856904">
      <w:pPr>
        <w:widowControl w:val="0"/>
        <w:spacing w:line="360" w:lineRule="auto"/>
        <w:jc w:val="both"/>
        <w:rPr>
          <w:rFonts w:ascii="Palatino Linotype" w:eastAsia="Palatino Linotype" w:hAnsi="Palatino Linotype" w:cs="Palatino Linotype"/>
          <w:sz w:val="22"/>
          <w:szCs w:val="22"/>
        </w:rPr>
      </w:pPr>
    </w:p>
    <w:p w14:paraId="40D63A0C"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57DB7AC"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72FC2F1A"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FA7EEC2"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787F5B1F"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D79B83"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1275D61F"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A41B75"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BBE3A30" w14:textId="77777777" w:rsidR="00856904" w:rsidRPr="00DE4297" w:rsidRDefault="00E16F62">
      <w:pPr>
        <w:spacing w:line="360" w:lineRule="auto"/>
        <w:jc w:val="both"/>
        <w:rPr>
          <w:rFonts w:ascii="Palatino Linotype" w:eastAsia="Palatino Linotype" w:hAnsi="Palatino Linotype" w:cs="Palatino Linotype"/>
          <w:strike/>
          <w:sz w:val="22"/>
          <w:szCs w:val="22"/>
        </w:rPr>
      </w:pPr>
      <w:r w:rsidRPr="00DE429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BCAFF61" w14:textId="77777777" w:rsidR="00856904" w:rsidRPr="00DE4297" w:rsidRDefault="00E16F62">
      <w:pPr>
        <w:numPr>
          <w:ilvl w:val="0"/>
          <w:numId w:val="1"/>
        </w:num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Complejidad del Asunto:</w:t>
      </w:r>
      <w:r w:rsidRPr="00DE429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5B41210" w14:textId="77777777" w:rsidR="00856904" w:rsidRPr="00DE4297" w:rsidRDefault="00856904">
      <w:pPr>
        <w:spacing w:line="360" w:lineRule="auto"/>
        <w:ind w:left="927"/>
        <w:jc w:val="both"/>
        <w:rPr>
          <w:rFonts w:ascii="Palatino Linotype" w:eastAsia="Palatino Linotype" w:hAnsi="Palatino Linotype" w:cs="Palatino Linotype"/>
          <w:sz w:val="22"/>
          <w:szCs w:val="22"/>
        </w:rPr>
      </w:pPr>
    </w:p>
    <w:p w14:paraId="1825EA40" w14:textId="77777777" w:rsidR="00856904" w:rsidRPr="00DE4297" w:rsidRDefault="00E16F62">
      <w:pPr>
        <w:numPr>
          <w:ilvl w:val="0"/>
          <w:numId w:val="1"/>
        </w:num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Actividad Procesal del interesado.</w:t>
      </w:r>
      <w:r w:rsidRPr="00DE4297">
        <w:rPr>
          <w:rFonts w:ascii="Palatino Linotype" w:eastAsia="Palatino Linotype" w:hAnsi="Palatino Linotype" w:cs="Palatino Linotype"/>
          <w:sz w:val="22"/>
          <w:szCs w:val="22"/>
        </w:rPr>
        <w:t xml:space="preserve"> Acciones u omisiones del interesado.</w:t>
      </w:r>
    </w:p>
    <w:p w14:paraId="0198453D" w14:textId="77777777" w:rsidR="00856904" w:rsidRPr="00DE4297" w:rsidRDefault="00E16F62">
      <w:pPr>
        <w:numPr>
          <w:ilvl w:val="0"/>
          <w:numId w:val="1"/>
        </w:num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Conducta de la Autoridad: </w:t>
      </w:r>
      <w:r w:rsidRPr="00DE4297">
        <w:rPr>
          <w:rFonts w:ascii="Palatino Linotype" w:eastAsia="Palatino Linotype" w:hAnsi="Palatino Linotype" w:cs="Palatino Linotype"/>
          <w:sz w:val="22"/>
          <w:szCs w:val="22"/>
        </w:rPr>
        <w:t>Las Acciones u omisiones realizadas en el procedimiento. Así como si la autoridad actuó con la debida diligencia.</w:t>
      </w:r>
    </w:p>
    <w:p w14:paraId="49A4DA2D" w14:textId="77777777" w:rsidR="00856904" w:rsidRPr="00DE4297" w:rsidRDefault="00856904">
      <w:pPr>
        <w:spacing w:line="360" w:lineRule="auto"/>
        <w:ind w:left="927"/>
        <w:jc w:val="both"/>
        <w:rPr>
          <w:rFonts w:ascii="Palatino Linotype" w:eastAsia="Palatino Linotype" w:hAnsi="Palatino Linotype" w:cs="Palatino Linotype"/>
          <w:sz w:val="22"/>
          <w:szCs w:val="22"/>
        </w:rPr>
      </w:pPr>
    </w:p>
    <w:p w14:paraId="5452BFD9" w14:textId="77777777" w:rsidR="00856904" w:rsidRPr="00DE4297" w:rsidRDefault="00E16F62">
      <w:pPr>
        <w:numPr>
          <w:ilvl w:val="0"/>
          <w:numId w:val="1"/>
        </w:num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 </w:t>
      </w:r>
      <w:r w:rsidRPr="00DE4297">
        <w:rPr>
          <w:rFonts w:ascii="Palatino Linotype" w:eastAsia="Palatino Linotype" w:hAnsi="Palatino Linotype" w:cs="Palatino Linotype"/>
          <w:b/>
          <w:sz w:val="22"/>
          <w:szCs w:val="22"/>
        </w:rPr>
        <w:t>La afectación generada en la situación jurídica de la persona involucrada en el proceso:</w:t>
      </w:r>
      <w:r w:rsidRPr="00DE4297">
        <w:rPr>
          <w:rFonts w:ascii="Palatino Linotype" w:eastAsia="Palatino Linotype" w:hAnsi="Palatino Linotype" w:cs="Palatino Linotype"/>
          <w:sz w:val="22"/>
          <w:szCs w:val="22"/>
        </w:rPr>
        <w:t xml:space="preserve"> Violación a sus derechos humanos.</w:t>
      </w:r>
    </w:p>
    <w:p w14:paraId="0596C26D"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03AD73DE"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42BBD4"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0B2C85FE" w14:textId="77777777" w:rsidR="00856904" w:rsidRPr="00DE4297" w:rsidRDefault="00E16F62">
      <w:pPr>
        <w:spacing w:line="360" w:lineRule="auto"/>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DE429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DE4297">
        <w:rPr>
          <w:rFonts w:ascii="Palatino Linotype" w:eastAsia="Palatino Linotype" w:hAnsi="Palatino Linotype" w:cs="Palatino Linotype"/>
          <w:sz w:val="22"/>
          <w:szCs w:val="22"/>
        </w:rPr>
        <w:t>, visible en la Gaceta del Seminario Judicial de la Federación con el registro digital 205635.</w:t>
      </w:r>
    </w:p>
    <w:p w14:paraId="461D09CF"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630E2E4D"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133397"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5AEE5C0"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1B0AB93"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1B3026A" w14:textId="77777777" w:rsidR="00856904" w:rsidRPr="00DE4297" w:rsidRDefault="00E16F62">
      <w:pPr>
        <w:spacing w:line="360" w:lineRule="auto"/>
        <w:ind w:left="567"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 </w:t>
      </w:r>
      <w:r w:rsidRPr="00DE4297">
        <w:rPr>
          <w:rFonts w:ascii="Palatino Linotype" w:eastAsia="Palatino Linotype" w:hAnsi="Palatino Linotype" w:cs="Palatino Linotype"/>
          <w:i/>
          <w:sz w:val="22"/>
          <w:szCs w:val="22"/>
        </w:rPr>
        <w:t>“PLAZO RAZONABLE PARA RESOLVER. DIMENSIÓN Y EFECTOS DE ESTE CONCEPTO CUANDO SE ADUCE EXCESIVA CARGA DE TRABAJO.”</w:t>
      </w:r>
      <w:r w:rsidRPr="00DE4297">
        <w:rPr>
          <w:rFonts w:ascii="Palatino Linotype" w:eastAsia="Palatino Linotype" w:hAnsi="Palatino Linotype" w:cs="Palatino Linotype"/>
          <w:sz w:val="22"/>
          <w:szCs w:val="22"/>
        </w:rPr>
        <w:t xml:space="preserve"> consultable en el Seminario Judicial de la Federación y su gaceta, con el registro digital 2002351.</w:t>
      </w:r>
    </w:p>
    <w:p w14:paraId="3B707872" w14:textId="77777777" w:rsidR="00856904" w:rsidRPr="00DE4297" w:rsidRDefault="00E16F62">
      <w:pPr>
        <w:spacing w:line="360" w:lineRule="auto"/>
        <w:ind w:left="567"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DE4297">
        <w:rPr>
          <w:rFonts w:ascii="Palatino Linotype" w:eastAsia="Palatino Linotype" w:hAnsi="Palatino Linotype" w:cs="Palatino Linotype"/>
          <w:sz w:val="22"/>
          <w:szCs w:val="22"/>
        </w:rPr>
        <w:t>, visible en el Seminario Judicial de la Federación y su gaceta, con el registro digital 2002350.</w:t>
      </w:r>
    </w:p>
    <w:p w14:paraId="64C98261" w14:textId="77777777" w:rsidR="00856904" w:rsidRPr="00DE4297" w:rsidRDefault="00856904">
      <w:pPr>
        <w:spacing w:line="360" w:lineRule="auto"/>
        <w:ind w:left="567" w:right="616"/>
        <w:jc w:val="both"/>
        <w:rPr>
          <w:rFonts w:ascii="Palatino Linotype" w:eastAsia="Palatino Linotype" w:hAnsi="Palatino Linotype" w:cs="Palatino Linotype"/>
          <w:sz w:val="22"/>
          <w:szCs w:val="22"/>
        </w:rPr>
      </w:pPr>
    </w:p>
    <w:p w14:paraId="219BC2B2"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F88D903"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6FFA4AB0"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8. Cierre de instrucción. </w:t>
      </w:r>
      <w:r w:rsidRPr="00DE4297">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Pr="00DE4297">
        <w:rPr>
          <w:rFonts w:ascii="Palatino Linotype" w:eastAsia="Palatino Linotype" w:hAnsi="Palatino Linotype" w:cs="Palatino Linotype"/>
          <w:b/>
          <w:sz w:val="22"/>
          <w:szCs w:val="22"/>
        </w:rPr>
        <w:t xml:space="preserve"> veintinueve de octubre de dos mil veinticinco, </w:t>
      </w:r>
      <w:r w:rsidRPr="00DE4297">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701032DA"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87BCB35"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02F8D65"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B5006B3" w14:textId="77777777" w:rsidR="00856904" w:rsidRPr="00DE4297" w:rsidRDefault="00E16F62">
      <w:pPr>
        <w:widowControl w:val="0"/>
        <w:spacing w:line="360" w:lineRule="auto"/>
        <w:jc w:val="center"/>
        <w:rPr>
          <w:rFonts w:ascii="Palatino Linotype" w:eastAsia="Palatino Linotype" w:hAnsi="Palatino Linotype" w:cs="Palatino Linotype"/>
          <w:b/>
          <w:sz w:val="22"/>
          <w:szCs w:val="22"/>
        </w:rPr>
      </w:pPr>
      <w:r w:rsidRPr="00DE4297">
        <w:rPr>
          <w:rFonts w:ascii="Palatino Linotype" w:eastAsia="Palatino Linotype" w:hAnsi="Palatino Linotype" w:cs="Palatino Linotype"/>
          <w:b/>
          <w:sz w:val="22"/>
          <w:szCs w:val="22"/>
        </w:rPr>
        <w:t>II. C O N S I D E R A N D O S</w:t>
      </w:r>
    </w:p>
    <w:p w14:paraId="081DE4E9" w14:textId="77777777" w:rsidR="00856904" w:rsidRPr="00DE4297" w:rsidRDefault="00856904">
      <w:pPr>
        <w:widowControl w:val="0"/>
        <w:spacing w:line="360" w:lineRule="auto"/>
        <w:jc w:val="center"/>
        <w:rPr>
          <w:rFonts w:ascii="Palatino Linotype" w:eastAsia="Palatino Linotype" w:hAnsi="Palatino Linotype" w:cs="Palatino Linotype"/>
          <w:b/>
          <w:sz w:val="22"/>
          <w:szCs w:val="22"/>
        </w:rPr>
      </w:pPr>
    </w:p>
    <w:p w14:paraId="7DE38560" w14:textId="5ECCD07E" w:rsidR="00856904" w:rsidRPr="00DE4297" w:rsidRDefault="00E16F62">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DE4297">
        <w:rPr>
          <w:rFonts w:ascii="Palatino Linotype" w:eastAsia="Palatino Linotype" w:hAnsi="Palatino Linotype" w:cs="Palatino Linotype"/>
          <w:b/>
          <w:sz w:val="22"/>
          <w:szCs w:val="22"/>
        </w:rPr>
        <w:t xml:space="preserve">Primero. Competencia. </w:t>
      </w:r>
      <w:r w:rsidRPr="00DE4297">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2E6096" w:rsidRPr="00DE4297">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E4297">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C809FB3" w14:textId="77777777" w:rsidR="00856904" w:rsidRPr="00DE4297" w:rsidRDefault="00856904">
      <w:pPr>
        <w:spacing w:line="360" w:lineRule="auto"/>
        <w:jc w:val="both"/>
        <w:rPr>
          <w:rFonts w:ascii="Palatino Linotype" w:eastAsia="Palatino Linotype" w:hAnsi="Palatino Linotype" w:cs="Palatino Linotype"/>
          <w:b/>
          <w:sz w:val="22"/>
          <w:szCs w:val="22"/>
        </w:rPr>
      </w:pPr>
    </w:p>
    <w:p w14:paraId="0D7B5831"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Segundo. Oportunidad y Procedibilidad del Recurso de Revisión. </w:t>
      </w:r>
      <w:r w:rsidRPr="00DE429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FF31230"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B0D92BB"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2C2DADD" w14:textId="77777777" w:rsidR="00856904" w:rsidRPr="00DE4297" w:rsidRDefault="00E16F62">
      <w:pPr>
        <w:ind w:left="851" w:right="90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 xml:space="preserve">“Artículo 178. </w:t>
      </w:r>
      <w:r w:rsidRPr="00DE429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531C56" w14:textId="77777777" w:rsidR="00856904" w:rsidRPr="00DE4297" w:rsidRDefault="00856904">
      <w:pPr>
        <w:ind w:left="851" w:right="900"/>
        <w:jc w:val="both"/>
        <w:rPr>
          <w:rFonts w:ascii="Palatino Linotype" w:eastAsia="Palatino Linotype" w:hAnsi="Palatino Linotype" w:cs="Palatino Linotype"/>
          <w:i/>
          <w:sz w:val="22"/>
          <w:szCs w:val="22"/>
        </w:rPr>
      </w:pPr>
    </w:p>
    <w:p w14:paraId="0772F719"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remitió la respuesta a la solicitud de información el </w:t>
      </w:r>
      <w:r w:rsidRPr="00DE4297">
        <w:rPr>
          <w:rFonts w:ascii="Palatino Linotype" w:eastAsia="Palatino Linotype" w:hAnsi="Palatino Linotype" w:cs="Palatino Linotype"/>
          <w:b/>
          <w:sz w:val="22"/>
          <w:szCs w:val="22"/>
        </w:rPr>
        <w:t xml:space="preserve">dos de junio de dos mil veinticinco, </w:t>
      </w:r>
      <w:r w:rsidRPr="00DE4297">
        <w:rPr>
          <w:rFonts w:ascii="Palatino Linotype" w:eastAsia="Palatino Linotype" w:hAnsi="Palatino Linotype" w:cs="Palatino Linotype"/>
          <w:sz w:val="22"/>
          <w:szCs w:val="22"/>
        </w:rPr>
        <w:t xml:space="preserve">mientras que el recurso de revisión interpuesto por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xml:space="preserve">, se tuvo por presentado el día </w:t>
      </w:r>
      <w:r w:rsidRPr="00DE4297">
        <w:rPr>
          <w:rFonts w:ascii="Palatino Linotype" w:eastAsia="Palatino Linotype" w:hAnsi="Palatino Linotype" w:cs="Palatino Linotype"/>
          <w:b/>
          <w:sz w:val="22"/>
          <w:szCs w:val="22"/>
        </w:rPr>
        <w:t>dos de junio del año dos mil veinticinco</w:t>
      </w:r>
      <w:r w:rsidRPr="00DE4297">
        <w:rPr>
          <w:rFonts w:ascii="Palatino Linotype" w:eastAsia="Palatino Linotype" w:hAnsi="Palatino Linotype" w:cs="Palatino Linotype"/>
          <w:sz w:val="22"/>
          <w:szCs w:val="22"/>
        </w:rPr>
        <w:t xml:space="preserve">; esto es, el mismo día hábil en que se tuvo conocimiento de la respuesta. </w:t>
      </w:r>
    </w:p>
    <w:p w14:paraId="607E241D"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623C68EA"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no proporcionó su nombre</w:t>
      </w:r>
      <w:r w:rsidRPr="00DE4297">
        <w:rPr>
          <w:rFonts w:ascii="Palatino Linotype" w:eastAsia="Palatino Linotype" w:hAnsi="Palatino Linotype" w:cs="Palatino Linotype"/>
          <w:b/>
          <w:sz w:val="22"/>
          <w:szCs w:val="22"/>
        </w:rPr>
        <w:t>,</w:t>
      </w:r>
      <w:r w:rsidRPr="00DE4297">
        <w:rPr>
          <w:rFonts w:ascii="Palatino Linotype" w:eastAsia="Palatino Linotype" w:hAnsi="Palatino Linotype" w:cs="Palatino Linotype"/>
          <w:sz w:val="22"/>
          <w:szCs w:val="22"/>
        </w:rPr>
        <w:t xml:space="preserve"> como se advierte en el detalle de seguimiento del SAIMEX, no obstante el no proporcionar nombre</w:t>
      </w:r>
      <w:r w:rsidRPr="00DE4297">
        <w:rPr>
          <w:rFonts w:ascii="Palatino Linotype" w:eastAsia="Palatino Linotype" w:hAnsi="Palatino Linotype" w:cs="Palatino Linotype"/>
          <w:strike/>
          <w:sz w:val="22"/>
          <w:szCs w:val="22"/>
        </w:rPr>
        <w:t xml:space="preserve"> </w:t>
      </w:r>
      <w:r w:rsidRPr="00DE4297">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91C6EE"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6D895DD8" w14:textId="77777777" w:rsidR="00856904" w:rsidRPr="00DE4297" w:rsidRDefault="00E16F62">
      <w:pPr>
        <w:ind w:left="851" w:right="902"/>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 xml:space="preserve">Las solicitudes </w:t>
      </w:r>
      <w:r w:rsidRPr="00DE4297">
        <w:rPr>
          <w:rFonts w:ascii="Palatino Linotype" w:eastAsia="Palatino Linotype" w:hAnsi="Palatino Linotype" w:cs="Palatino Linotype"/>
          <w:i/>
          <w:sz w:val="22"/>
          <w:szCs w:val="22"/>
        </w:rPr>
        <w:t xml:space="preserve">anónimas, con </w:t>
      </w:r>
      <w:r w:rsidRPr="00DE4297">
        <w:rPr>
          <w:rFonts w:ascii="Palatino Linotype" w:eastAsia="Palatino Linotype" w:hAnsi="Palatino Linotype" w:cs="Palatino Linotype"/>
          <w:b/>
          <w:i/>
          <w:sz w:val="22"/>
          <w:szCs w:val="22"/>
        </w:rPr>
        <w:t>nombre incompleto o seudónimo</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serán procedentes para su trámite por parte del sujeto obligado ante quien se presente</w:t>
      </w:r>
      <w:r w:rsidRPr="00DE4297">
        <w:rPr>
          <w:rFonts w:ascii="Palatino Linotype" w:eastAsia="Palatino Linotype" w:hAnsi="Palatino Linotype" w:cs="Palatino Linotype"/>
          <w:i/>
          <w:sz w:val="22"/>
          <w:szCs w:val="22"/>
        </w:rPr>
        <w:t>. No podrá requerirse información adicional con motivo del nombre proporcionado por el solicitante."</w:t>
      </w:r>
    </w:p>
    <w:p w14:paraId="49E208F3" w14:textId="77777777" w:rsidR="00856904" w:rsidRPr="00DE4297" w:rsidRDefault="00856904">
      <w:pPr>
        <w:ind w:left="851" w:right="902"/>
        <w:jc w:val="both"/>
        <w:rPr>
          <w:rFonts w:ascii="Palatino Linotype" w:eastAsia="Palatino Linotype" w:hAnsi="Palatino Linotype" w:cs="Palatino Linotype"/>
          <w:i/>
          <w:sz w:val="22"/>
          <w:szCs w:val="22"/>
        </w:rPr>
      </w:pPr>
    </w:p>
    <w:p w14:paraId="7F7E3840"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40F79F"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5F6858B7"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1204909"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0E9EAEF8" w14:textId="77777777" w:rsidR="00856904" w:rsidRPr="00DE4297" w:rsidRDefault="00E16F62">
      <w:pPr>
        <w:ind w:left="851" w:right="104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 xml:space="preserve">Artículo 179. </w:t>
      </w:r>
      <w:r w:rsidRPr="00DE429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8AB2B9E" w14:textId="77777777" w:rsidR="00856904" w:rsidRPr="00DE4297" w:rsidRDefault="00E16F62">
      <w:pPr>
        <w:ind w:left="851" w:right="104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I. La negativa de la información;  </w:t>
      </w:r>
    </w:p>
    <w:p w14:paraId="59B55032" w14:textId="77777777" w:rsidR="00856904" w:rsidRPr="00DE4297" w:rsidRDefault="00E16F62">
      <w:pPr>
        <w:ind w:left="851" w:right="104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1BD27B7D" w14:textId="77777777" w:rsidR="00856904" w:rsidRPr="00DE4297" w:rsidRDefault="00856904">
      <w:pPr>
        <w:spacing w:line="360" w:lineRule="auto"/>
        <w:jc w:val="both"/>
        <w:rPr>
          <w:rFonts w:ascii="Palatino Linotype" w:eastAsia="Palatino Linotype" w:hAnsi="Palatino Linotype" w:cs="Palatino Linotype"/>
          <w:b/>
          <w:sz w:val="22"/>
          <w:szCs w:val="22"/>
        </w:rPr>
      </w:pPr>
    </w:p>
    <w:p w14:paraId="74D81E68"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Tercero. Materia de Revisión</w:t>
      </w:r>
      <w:r w:rsidRPr="00DE4297">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22137E3C" w14:textId="77777777" w:rsidR="00856904" w:rsidRPr="00DE4297" w:rsidRDefault="00856904">
      <w:pPr>
        <w:spacing w:line="360" w:lineRule="auto"/>
        <w:jc w:val="both"/>
        <w:rPr>
          <w:rFonts w:ascii="Palatino Linotype" w:eastAsia="Palatino Linotype" w:hAnsi="Palatino Linotype" w:cs="Palatino Linotype"/>
          <w:b/>
          <w:sz w:val="22"/>
          <w:szCs w:val="22"/>
        </w:rPr>
      </w:pPr>
    </w:p>
    <w:p w14:paraId="60DE806A"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Cuarto. Estudio de fondo del asunto. </w:t>
      </w:r>
      <w:r w:rsidRPr="00DE4297">
        <w:rPr>
          <w:rFonts w:ascii="Palatino Linotype" w:eastAsia="Palatino Linotype" w:hAnsi="Palatino Linotype" w:cs="Palatino Linotype"/>
          <w:sz w:val="22"/>
          <w:szCs w:val="22"/>
        </w:rPr>
        <w:t xml:space="preserve">Es conveniente analizar si la respuesta del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F13A53"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0B575780" w14:textId="77777777" w:rsidR="00856904" w:rsidRPr="00DE4297" w:rsidRDefault="00E16F62">
      <w:pPr>
        <w:ind w:left="709" w:right="76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Artículo 4</w:t>
      </w:r>
      <w:r w:rsidRPr="00DE429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C478B5" w14:textId="77777777" w:rsidR="00856904" w:rsidRPr="00DE4297" w:rsidRDefault="00E16F62">
      <w:pPr>
        <w:ind w:left="709" w:right="76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E429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577BDC" w14:textId="77777777" w:rsidR="00856904" w:rsidRPr="00DE4297" w:rsidRDefault="00E16F62">
      <w:pPr>
        <w:ind w:left="709" w:right="76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E4297">
        <w:rPr>
          <w:rFonts w:ascii="Palatino Linotype" w:eastAsia="Palatino Linotype" w:hAnsi="Palatino Linotype" w:cs="Palatino Linotype"/>
          <w:i/>
          <w:sz w:val="22"/>
          <w:szCs w:val="22"/>
        </w:rPr>
        <w:t>.”</w:t>
      </w:r>
    </w:p>
    <w:p w14:paraId="4337AB65"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49B720ED"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176F8C5"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1C325AC9" w14:textId="77777777" w:rsidR="00856904" w:rsidRPr="00DE4297" w:rsidRDefault="00E16F62">
      <w:pPr>
        <w:ind w:left="567" w:right="758"/>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12.-</w:t>
      </w:r>
      <w:r w:rsidRPr="00DE429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2D193DB" w14:textId="77777777" w:rsidR="00856904" w:rsidRPr="00DE4297" w:rsidRDefault="00856904">
      <w:pPr>
        <w:ind w:left="567" w:right="758"/>
        <w:jc w:val="both"/>
        <w:rPr>
          <w:rFonts w:ascii="Palatino Linotype" w:eastAsia="Palatino Linotype" w:hAnsi="Palatino Linotype" w:cs="Palatino Linotype"/>
          <w:i/>
          <w:sz w:val="22"/>
          <w:szCs w:val="22"/>
        </w:rPr>
      </w:pPr>
    </w:p>
    <w:p w14:paraId="4D22134C" w14:textId="77777777" w:rsidR="00856904" w:rsidRPr="00DE4297" w:rsidRDefault="00E16F62">
      <w:pPr>
        <w:ind w:left="567" w:right="758"/>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F4B232D" w14:textId="77777777" w:rsidR="00856904" w:rsidRPr="00DE4297" w:rsidRDefault="00856904">
      <w:pPr>
        <w:spacing w:line="360" w:lineRule="auto"/>
        <w:ind w:left="567" w:right="758"/>
        <w:jc w:val="both"/>
        <w:rPr>
          <w:rFonts w:ascii="Palatino Linotype" w:eastAsia="Palatino Linotype" w:hAnsi="Palatino Linotype" w:cs="Palatino Linotype"/>
          <w:i/>
          <w:sz w:val="22"/>
          <w:szCs w:val="22"/>
        </w:rPr>
      </w:pPr>
    </w:p>
    <w:p w14:paraId="709143A5" w14:textId="77777777" w:rsidR="00856904" w:rsidRPr="00DE4297" w:rsidRDefault="00E16F62">
      <w:pPr>
        <w:spacing w:line="360" w:lineRule="auto"/>
        <w:ind w:right="-93"/>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FDD0A07" w14:textId="77777777" w:rsidR="00856904" w:rsidRPr="00DE4297" w:rsidRDefault="00856904">
      <w:pPr>
        <w:spacing w:line="360" w:lineRule="auto"/>
        <w:ind w:right="-93"/>
        <w:jc w:val="both"/>
        <w:rPr>
          <w:rFonts w:ascii="Palatino Linotype" w:eastAsia="Palatino Linotype" w:hAnsi="Palatino Linotype" w:cs="Palatino Linotype"/>
          <w:sz w:val="22"/>
          <w:szCs w:val="22"/>
        </w:rPr>
      </w:pPr>
    </w:p>
    <w:p w14:paraId="2DD67667" w14:textId="77777777" w:rsidR="00856904" w:rsidRPr="00DE4297" w:rsidRDefault="00E16F62">
      <w:pPr>
        <w:spacing w:line="360" w:lineRule="auto"/>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sz w:val="22"/>
          <w:szCs w:val="22"/>
        </w:rPr>
        <w:t>Sirve de apoyo a lo anterior, el criterio 03-17, expuesto por el entonces Instituto Nacional de Transparencia, Acceso a la Información y Protección de Datos Personales, que dice:</w:t>
      </w:r>
      <w:r w:rsidRPr="00DE4297">
        <w:rPr>
          <w:rFonts w:ascii="Palatino Linotype" w:eastAsia="Palatino Linotype" w:hAnsi="Palatino Linotype" w:cs="Palatino Linotype"/>
          <w:b/>
          <w:sz w:val="22"/>
          <w:szCs w:val="22"/>
        </w:rPr>
        <w:t xml:space="preserve"> </w:t>
      </w:r>
    </w:p>
    <w:p w14:paraId="17890850" w14:textId="77777777" w:rsidR="00856904" w:rsidRPr="00DE4297" w:rsidRDefault="00856904">
      <w:pPr>
        <w:spacing w:line="360" w:lineRule="auto"/>
        <w:ind w:left="851" w:right="850"/>
        <w:jc w:val="both"/>
        <w:rPr>
          <w:rFonts w:ascii="Palatino Linotype" w:eastAsia="Palatino Linotype" w:hAnsi="Palatino Linotype" w:cs="Palatino Linotype"/>
          <w:sz w:val="22"/>
          <w:szCs w:val="22"/>
        </w:rPr>
      </w:pPr>
    </w:p>
    <w:p w14:paraId="7F10B60E" w14:textId="77777777" w:rsidR="00856904" w:rsidRPr="00DE4297" w:rsidRDefault="00E16F62">
      <w:pPr>
        <w:ind w:left="851" w:right="90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No existe obligación de elaborar documentos ad hoc para atender las solicitudes de acceso a la información.</w:t>
      </w:r>
      <w:r w:rsidRPr="00DE429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2544DA" w14:textId="77777777" w:rsidR="00856904" w:rsidRPr="00DE4297" w:rsidRDefault="00E16F62">
      <w:pPr>
        <w:ind w:left="851" w:right="90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Resoluciones: </w:t>
      </w:r>
    </w:p>
    <w:p w14:paraId="13CF2C26" w14:textId="77777777" w:rsidR="00856904" w:rsidRPr="00DE4297" w:rsidRDefault="00E16F62">
      <w:pPr>
        <w:ind w:left="851" w:right="90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0DDD7630" w14:textId="77777777" w:rsidR="00856904" w:rsidRPr="00DE4297" w:rsidRDefault="00E16F62">
      <w:pPr>
        <w:ind w:left="851" w:right="90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40BD4C0" w14:textId="77777777" w:rsidR="00856904" w:rsidRPr="00DE4297" w:rsidRDefault="00E16F62">
      <w:pPr>
        <w:ind w:left="851" w:right="901"/>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54ED7DE6" w14:textId="77777777" w:rsidR="00856904" w:rsidRPr="00DE4297" w:rsidRDefault="00856904">
      <w:pPr>
        <w:spacing w:line="360" w:lineRule="auto"/>
        <w:ind w:right="-93"/>
        <w:jc w:val="both"/>
        <w:rPr>
          <w:rFonts w:ascii="Palatino Linotype" w:eastAsia="Palatino Linotype" w:hAnsi="Palatino Linotype" w:cs="Palatino Linotype"/>
          <w:sz w:val="22"/>
          <w:szCs w:val="22"/>
        </w:rPr>
      </w:pPr>
    </w:p>
    <w:p w14:paraId="3603CA94"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7F6A6E"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1522CF90"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81735E"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4833D5DC"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A02461" w14:textId="77777777" w:rsidR="00856904" w:rsidRPr="00DE4297" w:rsidRDefault="00856904">
      <w:pPr>
        <w:ind w:left="851" w:right="899"/>
        <w:jc w:val="both"/>
        <w:rPr>
          <w:rFonts w:ascii="Palatino Linotype" w:eastAsia="Palatino Linotype" w:hAnsi="Palatino Linotype" w:cs="Palatino Linotype"/>
          <w:i/>
          <w:sz w:val="22"/>
          <w:szCs w:val="22"/>
        </w:rPr>
      </w:pPr>
    </w:p>
    <w:p w14:paraId="25A04D58"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 xml:space="preserve">Artículo 3. </w:t>
      </w:r>
      <w:r w:rsidRPr="00DE4297">
        <w:rPr>
          <w:rFonts w:ascii="Palatino Linotype" w:eastAsia="Palatino Linotype" w:hAnsi="Palatino Linotype" w:cs="Palatino Linotype"/>
          <w:i/>
          <w:sz w:val="22"/>
          <w:szCs w:val="22"/>
        </w:rPr>
        <w:t>Para los efectos de la presente Ley se entenderá por:</w:t>
      </w:r>
    </w:p>
    <w:p w14:paraId="11C3F3FA"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25736A7B"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XI. Documento:</w:t>
      </w:r>
      <w:r w:rsidRPr="00DE4297">
        <w:rPr>
          <w:rFonts w:ascii="Palatino Linotype" w:eastAsia="Palatino Linotype" w:hAnsi="Palatino Linotype" w:cs="Palatino Linotype"/>
          <w:i/>
          <w:sz w:val="22"/>
          <w:szCs w:val="22"/>
        </w:rPr>
        <w:t xml:space="preserve"> Los expedientes, reportes, estudios, actas</w:t>
      </w:r>
      <w:r w:rsidRPr="00DE4297">
        <w:rPr>
          <w:rFonts w:ascii="Palatino Linotype" w:eastAsia="Palatino Linotype" w:hAnsi="Palatino Linotype" w:cs="Palatino Linotype"/>
          <w:b/>
          <w:i/>
          <w:sz w:val="22"/>
          <w:szCs w:val="22"/>
        </w:rPr>
        <w:t>,</w:t>
      </w:r>
      <w:r w:rsidRPr="00DE429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7C8AE0C" w14:textId="77777777" w:rsidR="00856904" w:rsidRPr="00DE4297" w:rsidRDefault="00856904">
      <w:pPr>
        <w:spacing w:line="360" w:lineRule="auto"/>
        <w:ind w:left="851" w:right="899"/>
        <w:jc w:val="both"/>
        <w:rPr>
          <w:rFonts w:ascii="Palatino Linotype" w:eastAsia="Palatino Linotype" w:hAnsi="Palatino Linotype" w:cs="Palatino Linotype"/>
          <w:sz w:val="22"/>
          <w:szCs w:val="22"/>
        </w:rPr>
      </w:pPr>
    </w:p>
    <w:p w14:paraId="48C9F97F"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7754FA3" w14:textId="77777777" w:rsidR="00856904" w:rsidRPr="00DE4297" w:rsidRDefault="00856904">
      <w:pPr>
        <w:spacing w:line="360" w:lineRule="auto"/>
        <w:ind w:left="851" w:right="899"/>
        <w:jc w:val="both"/>
        <w:rPr>
          <w:rFonts w:ascii="Palatino Linotype" w:eastAsia="Palatino Linotype" w:hAnsi="Palatino Linotype" w:cs="Palatino Linotype"/>
          <w:sz w:val="22"/>
          <w:szCs w:val="22"/>
        </w:rPr>
      </w:pPr>
    </w:p>
    <w:p w14:paraId="3A7CD32B" w14:textId="77777777" w:rsidR="00856904" w:rsidRPr="00DE4297" w:rsidRDefault="00E16F62">
      <w:pPr>
        <w:ind w:left="851" w:right="899"/>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sz w:val="22"/>
          <w:szCs w:val="22"/>
        </w:rPr>
        <w:t>“</w:t>
      </w:r>
      <w:r w:rsidRPr="00DE4297">
        <w:rPr>
          <w:rFonts w:ascii="Palatino Linotype" w:eastAsia="Palatino Linotype" w:hAnsi="Palatino Linotype" w:cs="Palatino Linotype"/>
          <w:b/>
          <w:i/>
          <w:sz w:val="22"/>
          <w:szCs w:val="22"/>
        </w:rPr>
        <w:t>CRITERIO 0002-11</w:t>
      </w:r>
    </w:p>
    <w:p w14:paraId="61BDDFE0"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E429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428A9D"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FCC74A4" w14:textId="77777777" w:rsidR="00856904" w:rsidRPr="00DE4297" w:rsidRDefault="00E16F62">
      <w:pPr>
        <w:ind w:left="851" w:right="89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1A3759E" w14:textId="77777777" w:rsidR="00856904" w:rsidRPr="00DE4297" w:rsidRDefault="00E16F62">
      <w:pPr>
        <w:ind w:left="851" w:right="899"/>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6E41787" w14:textId="77777777" w:rsidR="00856904" w:rsidRPr="00DE4297" w:rsidRDefault="00E16F62">
      <w:pPr>
        <w:ind w:left="851" w:right="899"/>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77674372"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4F936F77"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Ahora bien, del análisis de la solicitud de información motivo del recurso de revisión que ahora se resuelve, es necesario referir que el Recurrente solicitó un </w:t>
      </w:r>
      <w:r w:rsidRPr="00DE4297">
        <w:rPr>
          <w:rFonts w:ascii="Palatino Linotype" w:eastAsia="Palatino Linotype" w:hAnsi="Palatino Linotype" w:cs="Palatino Linotype"/>
          <w:b/>
          <w:sz w:val="22"/>
          <w:szCs w:val="22"/>
          <w:u w:val="single"/>
        </w:rPr>
        <w:t>informe detallado de todas las solicitudes entrante, número de recursos de revisión y número de resoluciones que han tenido en contra por no entregar la información que el ciudadano solicita; si es necesario entregar información en versión pública</w:t>
      </w:r>
      <w:r w:rsidRPr="00DE4297">
        <w:rPr>
          <w:rFonts w:ascii="Palatino Linotype" w:eastAsia="Palatino Linotype" w:hAnsi="Palatino Linotype" w:cs="Palatino Linotype"/>
          <w:sz w:val="22"/>
          <w:szCs w:val="22"/>
        </w:rPr>
        <w:t>.</w:t>
      </w:r>
    </w:p>
    <w:p w14:paraId="6627F63B"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61E12A5"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En respuesta, el Sujeto Obligado mencionó que el Sujeto Obligado ha recibido un total de 319 solicitudes de acceso a la información pública. Asimismo, se han tramitado 70 recursos de revisión ante el órgano garante competente.</w:t>
      </w:r>
    </w:p>
    <w:p w14:paraId="6ABE1C48"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1A4FD5EB"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Derivado de ello, se tiene que la parte Recurrente se inconformó arguyendo la negativa de entrega de la información. </w:t>
      </w:r>
    </w:p>
    <w:p w14:paraId="03CE5119"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1D09CC74"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Las partes fueron omisas en rendir manifestaciones.</w:t>
      </w:r>
    </w:p>
    <w:p w14:paraId="1BF5439A"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Derivado de la naturaleza de la información, se advierte que la información requerida se relaciona con las solicitudes de acceso a la información pública y la atención a las mismas. </w:t>
      </w:r>
    </w:p>
    <w:p w14:paraId="2B2F2D09"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4BDF6DB0"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Asimismo, es necesario traer a contexto la Ley de Transparencia y Acceso a la Información Pública del Estado de México y Municipios:</w:t>
      </w:r>
    </w:p>
    <w:p w14:paraId="557FD459"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4024B40"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3</w:t>
      </w:r>
      <w:r w:rsidRPr="00DE4297">
        <w:rPr>
          <w:rFonts w:ascii="Palatino Linotype" w:eastAsia="Palatino Linotype" w:hAnsi="Palatino Linotype" w:cs="Palatino Linotype"/>
          <w:i/>
          <w:sz w:val="22"/>
          <w:szCs w:val="22"/>
        </w:rPr>
        <w:t>. Para los efectos de la presente Ley se entenderá por:</w:t>
      </w:r>
    </w:p>
    <w:p w14:paraId="070DA5D4"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319F65BF"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XLIV. 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4B0F1EE9" w14:textId="77777777" w:rsidR="00856904" w:rsidRPr="00DE4297" w:rsidRDefault="00856904">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p>
    <w:p w14:paraId="1E21B846"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Capítulo III</w:t>
      </w:r>
    </w:p>
    <w:p w14:paraId="0EA710ED"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De las Unidades de Transparencia</w:t>
      </w:r>
    </w:p>
    <w:p w14:paraId="3A41101E"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50</w:t>
      </w:r>
      <w:r w:rsidRPr="00DE4297">
        <w:rPr>
          <w:rFonts w:ascii="Palatino Linotype" w:eastAsia="Palatino Linotype" w:hAnsi="Palatino Linotype" w:cs="Palatino Linotype"/>
          <w:i/>
          <w:sz w:val="22"/>
          <w:szCs w:val="22"/>
        </w:rPr>
        <w:t>. Los sujetos obligados contarán con un área responsable para la atención de las solicitudes de información, a la que se le denominará Unidad de Transparencia.</w:t>
      </w:r>
    </w:p>
    <w:p w14:paraId="6D141554" w14:textId="77777777" w:rsidR="00856904" w:rsidRPr="00DE4297" w:rsidRDefault="00856904">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p>
    <w:p w14:paraId="36832DD4"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51</w:t>
      </w:r>
      <w:r w:rsidRPr="00DE4297">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w:t>
      </w:r>
    </w:p>
    <w:p w14:paraId="6181F0A9"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eneral y la presente Ley. </w:t>
      </w:r>
    </w:p>
    <w:p w14:paraId="50FA6AA5" w14:textId="77777777" w:rsidR="00856904" w:rsidRPr="00DE4297" w:rsidRDefault="00856904">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rPr>
      </w:pPr>
    </w:p>
    <w:p w14:paraId="31DA2152"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52.</w:t>
      </w:r>
      <w:r w:rsidRPr="00DE4297">
        <w:rPr>
          <w:rFonts w:ascii="Palatino Linotype" w:eastAsia="Palatino Linotype" w:hAnsi="Palatino Linotype" w:cs="Palatino Linotype"/>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p>
    <w:p w14:paraId="183D176A" w14:textId="77777777" w:rsidR="00856904" w:rsidRPr="00DE4297" w:rsidRDefault="00856904">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p>
    <w:p w14:paraId="7AB80210"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53.</w:t>
      </w:r>
      <w:r w:rsidRPr="00DE4297">
        <w:rPr>
          <w:rFonts w:ascii="Palatino Linotype" w:eastAsia="Palatino Linotype" w:hAnsi="Palatino Linotype" w:cs="Palatino Linotype"/>
          <w:i/>
          <w:sz w:val="22"/>
          <w:szCs w:val="22"/>
        </w:rPr>
        <w:t xml:space="preserve"> Las Unidades de Transparencia tendrán las siguientes funciones:</w:t>
      </w:r>
    </w:p>
    <w:p w14:paraId="003427BD"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6BE51DF4"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 Recibir, tramitar y dar respuesta a las solicitudes de acceso a la información;</w:t>
      </w:r>
    </w:p>
    <w:p w14:paraId="4FBAFE7F"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53C222BB"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59BB3C8B"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V. Entregar, en su caso, a los particulares la información solicitada;</w:t>
      </w:r>
    </w:p>
    <w:p w14:paraId="7F0E8DD0"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6C636549"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u w:val="single"/>
        </w:rPr>
      </w:pPr>
      <w:r w:rsidRPr="00DE4297">
        <w:rPr>
          <w:rFonts w:ascii="Palatino Linotype" w:eastAsia="Palatino Linotype" w:hAnsi="Palatino Linotype" w:cs="Palatino Linotype"/>
          <w:b/>
          <w:i/>
          <w:sz w:val="22"/>
          <w:szCs w:val="22"/>
          <w:u w:val="single"/>
        </w:rPr>
        <w:t>IX. Llevar un registro de las solicitudes de acceso a la información, sus respuestas, resultados, costos de reproducción y envío, resolución a los recursos de revisión que se hayan emitido en contra de sus respuestas y del cumplimiento de las mismas;</w:t>
      </w:r>
    </w:p>
    <w:p w14:paraId="3C31A41F"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577203D0"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Capítulo IV</w:t>
      </w:r>
    </w:p>
    <w:p w14:paraId="4C093880"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De los Servidores Públicos Habilitados</w:t>
      </w:r>
    </w:p>
    <w:p w14:paraId="18C95C98"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58</w:t>
      </w:r>
      <w:r w:rsidRPr="00DE4297">
        <w:rPr>
          <w:rFonts w:ascii="Palatino Linotype" w:eastAsia="Palatino Linotype" w:hAnsi="Palatino Linotype" w:cs="Palatino Linotype"/>
          <w:i/>
          <w:sz w:val="22"/>
          <w:szCs w:val="22"/>
        </w:rPr>
        <w:t>. Los servidores públicos habilitados serán designados por el titular del sujeto obligado a propuesta del responsable de la Unidad de Transparencia. Artículo 59. Los servidores públicos habilitados tendrán las funciones siguientes:</w:t>
      </w:r>
    </w:p>
    <w:p w14:paraId="7FF201BD"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I. Localizar la información que le solicite la Unidad de Transparencia;</w:t>
      </w:r>
    </w:p>
    <w:p w14:paraId="0239BDA7"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 xml:space="preserve">II. Proporcionar la información que obre en los archivos y que le sea solicitada por la Unidad de Transparencia; </w:t>
      </w:r>
    </w:p>
    <w:p w14:paraId="7C2D6B3C"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 xml:space="preserve">III. Apoyar a la Unidad de Transparencia en lo que esta le solicite para el cumplimiento de sus funciones; </w:t>
      </w:r>
    </w:p>
    <w:p w14:paraId="7577C625"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 xml:space="preserve">IV. Proporcionar a la Unidad de Transparencia, las modificaciones a la información pública de oficio que obre en su poder; </w:t>
      </w:r>
    </w:p>
    <w:p w14:paraId="0EF97933"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V. Integrar y presentar al responsable de la Unidad de Transparencia la propuesta de clasificación de información, la cual tendrá los fundamentos y argumentos en que se basa dicha propuesta; </w:t>
      </w:r>
    </w:p>
    <w:p w14:paraId="13AB4178"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VI. Verificar, una vez analizado el contenido de la información, que no se encuentre en los supuestos de información clasificada; y </w:t>
      </w:r>
    </w:p>
    <w:p w14:paraId="2BFB44F4"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VII. Dar cuenta a la Unidad de Transparencia del vencimiento de los plazos de reserva. </w:t>
      </w:r>
    </w:p>
    <w:p w14:paraId="61910C7F"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994566"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Considerando que el derecho de acceso a la información pública está regulado por la Ley de Transparencia y Acceso a la Información Pública del Estado de México y Municipios, la cual en su artículo 1, establece la obligación de los sujetos obligados de garantizar su ejercicio efectivo.</w:t>
      </w:r>
    </w:p>
    <w:p w14:paraId="570804B0"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A8BB56"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De conformidad con lo establecido en el artículo 53 de la citada Ley, la Unidad de Transparencia de cada sujeto obligado, a través de su titular, es la instancia responsable de recibir, tramitar y dar respuesta a las solicitudes de acceso a la información pública. Esta atribución no es delegable ni opcional, sino que forma parte del diseño institucional previsto por el legislador local para asegurar el cumplimiento del derecho de acceso a la información.</w:t>
      </w:r>
    </w:p>
    <w:p w14:paraId="0927C58F"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D2C754"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Asimismo, en términos del artículo 59 de la misma Ley, los servidores públicos habilitados tienen la obligación de apoyar a la Unidad de Transparencia en la localización, revisión y entrega de la información solicitada, así como en la actualización de la información pública de oficio y en la elaboración de propuestas de clasificación, en caso de que proceda. Es decir, actúan en coordinación y bajo la conducción de la Unidad de Transparencia, a fin de cumplir de manera integral con sus obligaciones y de garantizar el acceso a la información.</w:t>
      </w:r>
    </w:p>
    <w:p w14:paraId="1235CD31"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0D84F4"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El diseño normativo impone a la Unidad de Transparencia la obligación de gestionar internamente las solicitudes y coordinar la actuación de los servidores públicos habilitados, de modo que la ciudadanía reciba una respuesta adecuada, completa y en tiempo.</w:t>
      </w:r>
    </w:p>
    <w:p w14:paraId="62B2484D"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8C8CA2"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La atención de las solicitudes de información constituye una obligación directa de la Unidad de Transparencia a través de su titular, quien debe actuar en conjunto con los servidores públicos habilitados para la atención de las solicitudes de acceso a la información pública.</w:t>
      </w:r>
    </w:p>
    <w:p w14:paraId="66FC1ACF"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9D700E"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Ahora bien, es necesario enfatizar que la información requerida se constituye como una obligación de transparencia común de los sujetos obligados, de conformidad con lo dispuesto en el artículo 92, fracción XVII de la citada Ley de Transparencia, como se aprecia a continuación:</w:t>
      </w:r>
    </w:p>
    <w:p w14:paraId="62E0C8C3"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82CE75"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Capítulo II</w:t>
      </w:r>
    </w:p>
    <w:p w14:paraId="093754BF" w14:textId="77777777" w:rsidR="00856904" w:rsidRPr="00DE4297" w:rsidRDefault="00E16F62">
      <w:pPr>
        <w:pBdr>
          <w:top w:val="nil"/>
          <w:left w:val="nil"/>
          <w:bottom w:val="nil"/>
          <w:right w:val="nil"/>
          <w:between w:val="nil"/>
        </w:pBdr>
        <w:spacing w:line="276" w:lineRule="auto"/>
        <w:ind w:left="567" w:right="850"/>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De las Obligaciones de Transparencia Comunes</w:t>
      </w:r>
    </w:p>
    <w:p w14:paraId="2ABAC8A1"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AF8687"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1AC8D22C"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XVII. Dirección electrónica donde podrán </w:t>
      </w:r>
      <w:r w:rsidRPr="00DE4297">
        <w:rPr>
          <w:rFonts w:ascii="Palatino Linotype" w:eastAsia="Palatino Linotype" w:hAnsi="Palatino Linotype" w:cs="Palatino Linotype"/>
          <w:b/>
          <w:i/>
          <w:sz w:val="22"/>
          <w:szCs w:val="22"/>
          <w:u w:val="single"/>
        </w:rPr>
        <w:t>recibirse las solicitudes para obtener la información, así como el registro de las solicitudes recibidas y atendidas</w:t>
      </w:r>
      <w:r w:rsidRPr="00DE4297">
        <w:rPr>
          <w:rFonts w:ascii="Palatino Linotype" w:eastAsia="Palatino Linotype" w:hAnsi="Palatino Linotype" w:cs="Palatino Linotype"/>
          <w:i/>
          <w:sz w:val="22"/>
          <w:szCs w:val="22"/>
        </w:rPr>
        <w:t>;</w:t>
      </w:r>
    </w:p>
    <w:p w14:paraId="25338F65" w14:textId="77777777" w:rsidR="00856904" w:rsidRPr="00DE4297" w:rsidRDefault="00E16F62">
      <w:pPr>
        <w:pBdr>
          <w:top w:val="nil"/>
          <w:left w:val="nil"/>
          <w:bottom w:val="nil"/>
          <w:right w:val="nil"/>
          <w:between w:val="nil"/>
        </w:pBdr>
        <w:spacing w:line="276" w:lineRule="auto"/>
        <w:ind w:left="567" w:right="850"/>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p>
    <w:p w14:paraId="4610CC04"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6F8362"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Dicho lo anterior, es necesario traer a contexto los artículos 75, 76, 77, 79, 82, 88 de la Ley de Transparencia y Acceso a la Información Pública del Estado de México y Municipios vigente: </w:t>
      </w:r>
    </w:p>
    <w:p w14:paraId="0A0FF67C"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216FA926" w14:textId="77777777" w:rsidR="00856904" w:rsidRPr="00DE4297" w:rsidRDefault="00E16F62">
      <w:pPr>
        <w:ind w:left="567"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TÍTULO QUINTO</w:t>
      </w:r>
    </w:p>
    <w:p w14:paraId="53B8CFD3" w14:textId="77777777" w:rsidR="00856904" w:rsidRPr="00DE4297" w:rsidRDefault="00E16F62">
      <w:pPr>
        <w:ind w:left="567"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DE LAS OBLIGACIONES DE TRANSPARENCIA</w:t>
      </w:r>
    </w:p>
    <w:p w14:paraId="7409B441" w14:textId="77777777" w:rsidR="00856904" w:rsidRPr="00DE4297" w:rsidRDefault="00E16F62">
      <w:pPr>
        <w:ind w:left="567"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Capítulo I</w:t>
      </w:r>
    </w:p>
    <w:p w14:paraId="33552351" w14:textId="77777777" w:rsidR="00856904" w:rsidRPr="00DE4297" w:rsidRDefault="00E16F62">
      <w:pPr>
        <w:ind w:left="567"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De los Postulados para la</w:t>
      </w:r>
    </w:p>
    <w:p w14:paraId="64389E16" w14:textId="77777777" w:rsidR="00856904" w:rsidRPr="00DE4297" w:rsidRDefault="00E16F62">
      <w:pPr>
        <w:ind w:left="567"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Publicación de la Información</w:t>
      </w:r>
    </w:p>
    <w:p w14:paraId="6B158CA7" w14:textId="77777777" w:rsidR="00856904" w:rsidRPr="00DE4297" w:rsidRDefault="00856904">
      <w:pPr>
        <w:pBdr>
          <w:top w:val="nil"/>
          <w:left w:val="nil"/>
          <w:bottom w:val="nil"/>
          <w:right w:val="nil"/>
          <w:between w:val="nil"/>
        </w:pBdr>
        <w:rPr>
          <w:sz w:val="22"/>
          <w:szCs w:val="22"/>
        </w:rPr>
      </w:pPr>
    </w:p>
    <w:p w14:paraId="34C1DAA1"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75.</w:t>
      </w:r>
      <w:r w:rsidRPr="00DE4297">
        <w:rPr>
          <w:rFonts w:ascii="Palatino Linotype" w:eastAsia="Palatino Linotype" w:hAnsi="Palatino Linotype" w:cs="Palatino Linotype"/>
          <w:i/>
          <w:sz w:val="22"/>
          <w:szCs w:val="22"/>
        </w:rPr>
        <w:t xml:space="preserve"> Es obligación de los sujetos obligados el poner a disposición de los particulares la información a que se refiere esta Ley a través de sus sitios de Internet y de la Plataforma Nacional. </w:t>
      </w:r>
    </w:p>
    <w:p w14:paraId="0BED24FD"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La Plataforma electrónica promoverá el uso de la información original escaneada y las versiones en datos abiertos y/o formatos editables, según corresponda, de los documentos fuente.</w:t>
      </w:r>
    </w:p>
    <w:p w14:paraId="23B0B0DD"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76.</w:t>
      </w:r>
      <w:r w:rsidRPr="00DE4297">
        <w:rPr>
          <w:rFonts w:ascii="Palatino Linotype" w:eastAsia="Palatino Linotype" w:hAnsi="Palatino Linotype" w:cs="Palatino Linotype"/>
          <w:i/>
          <w:sz w:val="22"/>
          <w:szCs w:val="22"/>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4C7DD58B"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1276055F" w14:textId="77777777" w:rsidR="00856904" w:rsidRPr="00DE4297" w:rsidRDefault="00856904">
      <w:pPr>
        <w:ind w:left="567" w:right="616"/>
        <w:jc w:val="both"/>
        <w:rPr>
          <w:rFonts w:ascii="Palatino Linotype" w:eastAsia="Palatino Linotype" w:hAnsi="Palatino Linotype" w:cs="Palatino Linotype"/>
          <w:i/>
          <w:sz w:val="22"/>
          <w:szCs w:val="22"/>
        </w:rPr>
      </w:pPr>
    </w:p>
    <w:p w14:paraId="54B8D91D"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77.</w:t>
      </w:r>
      <w:r w:rsidRPr="00DE4297">
        <w:rPr>
          <w:rFonts w:ascii="Palatino Linotype" w:eastAsia="Palatino Linotype" w:hAnsi="Palatino Linotype" w:cs="Palatino Linotype"/>
          <w:i/>
          <w:sz w:val="22"/>
          <w:szCs w:val="22"/>
        </w:rPr>
        <w:t xml:space="preserve">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w:t>
      </w:r>
    </w:p>
    <w:p w14:paraId="526E11F0"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La publicación de la información deberá indicar el sujeto obligado encargado de generarla, así como la fecha de su última actualización.</w:t>
      </w:r>
    </w:p>
    <w:p w14:paraId="63B30D4F" w14:textId="77777777" w:rsidR="00856904" w:rsidRPr="00DE4297" w:rsidRDefault="00856904">
      <w:pPr>
        <w:ind w:left="567" w:right="616"/>
        <w:jc w:val="both"/>
        <w:rPr>
          <w:rFonts w:ascii="Palatino Linotype" w:eastAsia="Palatino Linotype" w:hAnsi="Palatino Linotype" w:cs="Palatino Linotype"/>
          <w:i/>
          <w:sz w:val="22"/>
          <w:szCs w:val="22"/>
        </w:rPr>
      </w:pPr>
    </w:p>
    <w:p w14:paraId="671289D5"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79.</w:t>
      </w:r>
      <w:r w:rsidRPr="00DE4297">
        <w:rPr>
          <w:rFonts w:ascii="Palatino Linotype" w:eastAsia="Palatino Linotype" w:hAnsi="Palatino Linotype" w:cs="Palatino Linotype"/>
          <w:i/>
          <w:sz w:val="22"/>
          <w:szCs w:val="22"/>
        </w:rPr>
        <w:t xml:space="preserve"> La página de inicio de los portales de Internet de los sujetos obligados tendrá un vínculo de acceso directo al sitio donde se encuentra la información pública a la que se refiere este Título, el cual deberá contar con un buscador, que permitan acceder de manera sencilla a la información que en ellas se contenga</w:t>
      </w:r>
    </w:p>
    <w:p w14:paraId="4D3E8D11" w14:textId="77777777" w:rsidR="00856904" w:rsidRPr="00DE4297" w:rsidRDefault="00856904">
      <w:pPr>
        <w:ind w:left="567" w:right="616"/>
        <w:jc w:val="both"/>
        <w:rPr>
          <w:rFonts w:ascii="Palatino Linotype" w:eastAsia="Palatino Linotype" w:hAnsi="Palatino Linotype" w:cs="Palatino Linotype"/>
          <w:i/>
          <w:sz w:val="22"/>
          <w:szCs w:val="22"/>
        </w:rPr>
      </w:pPr>
    </w:p>
    <w:p w14:paraId="73B69319"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82.</w:t>
      </w:r>
      <w:r w:rsidRPr="00DE4297">
        <w:rPr>
          <w:rFonts w:ascii="Palatino Linotype" w:eastAsia="Palatino Linotype" w:hAnsi="Palatino Linotype" w:cs="Palatino Linotype"/>
          <w:i/>
          <w:sz w:val="22"/>
          <w:szCs w:val="22"/>
        </w:rPr>
        <w:t xml:space="preserve"> Los sujetos obligados deberán llevar a cabo el proceso de sistematización correspondiente para la debida generación, integración y actualización del listado de información que debe ponerse a disposición, según corresponda a cada sujeto obligado. </w:t>
      </w:r>
    </w:p>
    <w:p w14:paraId="3E3622B0" w14:textId="77777777" w:rsidR="00856904" w:rsidRPr="00DE4297" w:rsidRDefault="00E16F62">
      <w:pPr>
        <w:ind w:left="567" w:right="616"/>
        <w:jc w:val="both"/>
        <w:rPr>
          <w:rFonts w:ascii="Palatino Linotype" w:eastAsia="Palatino Linotype" w:hAnsi="Palatino Linotype" w:cs="Palatino Linotype"/>
          <w:b/>
          <w:i/>
          <w:sz w:val="22"/>
          <w:szCs w:val="22"/>
          <w:u w:val="single"/>
        </w:rPr>
      </w:pPr>
      <w:r w:rsidRPr="00DE4297">
        <w:rPr>
          <w:rFonts w:ascii="Palatino Linotype" w:eastAsia="Palatino Linotype" w:hAnsi="Palatino Linotype" w:cs="Palatino Linotype"/>
          <w:b/>
          <w:i/>
          <w:sz w:val="22"/>
          <w:szCs w:val="22"/>
          <w:u w:val="single"/>
        </w:rPr>
        <w:t>La publicación de la información referida a las obligaciones de transparencia, deberá indicar la unidad administrativa responsable de generarla o poseerla y que son responsables de publicar y actualizar la información.</w:t>
      </w:r>
    </w:p>
    <w:p w14:paraId="3DDD9679" w14:textId="77777777" w:rsidR="00856904" w:rsidRPr="00DE4297" w:rsidRDefault="00856904">
      <w:pPr>
        <w:ind w:left="567" w:right="616"/>
        <w:jc w:val="both"/>
        <w:rPr>
          <w:rFonts w:ascii="Palatino Linotype" w:eastAsia="Palatino Linotype" w:hAnsi="Palatino Linotype" w:cs="Palatino Linotype"/>
          <w:b/>
          <w:i/>
          <w:sz w:val="22"/>
          <w:szCs w:val="22"/>
          <w:u w:val="single"/>
        </w:rPr>
      </w:pPr>
    </w:p>
    <w:p w14:paraId="78E2864E" w14:textId="77777777" w:rsidR="00856904" w:rsidRPr="00DE4297" w:rsidRDefault="00E16F62">
      <w:pPr>
        <w:ind w:left="567"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88.</w:t>
      </w:r>
      <w:r w:rsidRPr="00DE4297">
        <w:rPr>
          <w:rFonts w:ascii="Palatino Linotype" w:eastAsia="Palatino Linotype" w:hAnsi="Palatino Linotype" w:cs="Palatino Linotype"/>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25476330"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3EB4DDDD" w14:textId="77777777" w:rsidR="00856904" w:rsidRPr="00DE4297" w:rsidRDefault="00E16F62">
      <w:pPr>
        <w:spacing w:line="360" w:lineRule="auto"/>
        <w:ind w:right="49"/>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sz w:val="22"/>
          <w:szCs w:val="22"/>
        </w:rPr>
        <w:t xml:space="preserve">La información correspondiente a las obligaciones de transparencia se pondrá a disposición de los Recurrentes en los sitios de internet y en la Plataforma Nacional, utilizando versiones en formatos abiertos y accesibles, debiendo actualizar dicha información, por lo menos cada tres meses. </w:t>
      </w:r>
    </w:p>
    <w:p w14:paraId="3BB02E51"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70EDBAC1"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Ahora bien, en lo que corresponde a los motivos de inconformidad hechos valer por la parte Recurrente, se tiene que, en respuesta, el Sujeto Obligado únicamente se limitó a señalar que a la fecha se han recibido un total de 319 solicitudes de acceso a la información pública y se han tramitado 70 recursos de revisión ante el órgano garante competente. </w:t>
      </w:r>
    </w:p>
    <w:p w14:paraId="6B227C71"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0CDE7C"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Sin embargo, fue omiso en proporcionar el registro de las solicitudes de acceso a la información, sus respuestas, resultados, costos de reproducción y envío, resolución a los recursos de revisión que se hayan emitido en contra de sus respuestas y del cumplimiento de las mismas, lo cual es una atribución de la Unidad de Transparencia y esto puede dar cuenta de la información solicitada. </w:t>
      </w:r>
    </w:p>
    <w:p w14:paraId="79BFF005"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67D9C4"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sz w:val="22"/>
          <w:szCs w:val="22"/>
        </w:rPr>
        <w:t xml:space="preserve">En ese sentido, se considera que, la respuesta del Sujeto Obligado no cumplió cabalmente con el derecho de acceso a la información del particular, por lo que, resulta procedente ordenar el </w:t>
      </w:r>
      <w:r w:rsidRPr="00DE4297">
        <w:rPr>
          <w:rFonts w:ascii="Palatino Linotype" w:eastAsia="Palatino Linotype" w:hAnsi="Palatino Linotype" w:cs="Palatino Linotype"/>
          <w:b/>
          <w:sz w:val="22"/>
          <w:szCs w:val="22"/>
        </w:rPr>
        <w:t xml:space="preserve">registro de las solicitudes de acceso a la información donde se adviertan las resoluciones que se hayan emitido en contra de sus respuestas. </w:t>
      </w:r>
    </w:p>
    <w:p w14:paraId="521A080C"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BB39803"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Es de resaltar que, dicha información daría cuenta de las solicitudes que se han presentado ante el Sujeto Obligado, los recursos de revisión y las resoluciones solicitadas. </w:t>
      </w:r>
    </w:p>
    <w:p w14:paraId="43DB9B42"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E00998"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rPr>
      </w:pPr>
      <w:r w:rsidRPr="00DE4297">
        <w:rPr>
          <w:rFonts w:ascii="Palatino Linotype" w:eastAsia="Palatino Linotype" w:hAnsi="Palatino Linotype" w:cs="Palatino Linotype"/>
          <w:sz w:val="22"/>
          <w:szCs w:val="22"/>
        </w:rPr>
        <w:t xml:space="preserve">Finalmente, es de mencionar que, no se precisó la temporalidad de la cual se solicitó la información, es por lo que, en atención </w:t>
      </w:r>
      <w:r w:rsidRPr="00DE4297">
        <w:rPr>
          <w:rFonts w:ascii="Palatino Linotype" w:eastAsia="Palatino Linotype" w:hAnsi="Palatino Linotype" w:cs="Palatino Linotype"/>
        </w:rPr>
        <w:t>al Criterio Orientador 03/19</w:t>
      </w:r>
      <w:r w:rsidRPr="00DE4297">
        <w:rPr>
          <w:rFonts w:ascii="Palatino Linotype" w:eastAsia="Palatino Linotype" w:hAnsi="Palatino Linotype" w:cs="Palatino Linotype"/>
          <w:b/>
        </w:rPr>
        <w:t xml:space="preserve"> </w:t>
      </w:r>
      <w:r w:rsidRPr="00DE4297">
        <w:rPr>
          <w:rFonts w:ascii="Palatino Linotype" w:eastAsia="Palatino Linotype" w:hAnsi="Palatino Linotype" w:cs="Palatino Linotype"/>
        </w:rPr>
        <w:t xml:space="preserve">emitido por el entonces Instituto Nacional de Transparencia, Acceso a la Información y Protección de Datos Personales, que dispone a la literalidad lo siguiente: </w:t>
      </w:r>
    </w:p>
    <w:p w14:paraId="5FDCE528"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5020AC" w14:textId="77777777" w:rsidR="00856904" w:rsidRPr="00DE4297" w:rsidRDefault="00E16F62">
      <w:pPr>
        <w:pBdr>
          <w:top w:val="nil"/>
          <w:left w:val="nil"/>
          <w:bottom w:val="nil"/>
          <w:right w:val="nil"/>
          <w:between w:val="nil"/>
        </w:pBdr>
        <w:spacing w:line="276" w:lineRule="auto"/>
        <w:ind w:left="567" w:right="283"/>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 xml:space="preserve">PERIODO DE BÚSQUEDA DE LA INFORMACIÓN. </w:t>
      </w:r>
      <w:r w:rsidRPr="00DE4297">
        <w:rPr>
          <w:rFonts w:ascii="Palatino Linotype" w:eastAsia="Palatino Linotype" w:hAnsi="Palatino Linotype" w:cs="Palatino Linotype"/>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5024AF6"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02AF75"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Es así como, se considera procedente ordenar la información generada del veintiséis de mayo de dos mil veinticuatro al veintiséis de mayo de dos mil veinticinco. </w:t>
      </w:r>
    </w:p>
    <w:p w14:paraId="26121185"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36D217"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Quinto. Versión Pública. </w:t>
      </w:r>
      <w:r w:rsidRPr="00DE4297">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xml:space="preserve"> sin menoscabar el derecho a la protección de los datos personales de terceros.</w:t>
      </w:r>
    </w:p>
    <w:p w14:paraId="38268DBA"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A17FC73" w14:textId="77777777" w:rsidR="00856904" w:rsidRPr="00DE4297" w:rsidRDefault="00E16F62">
      <w:pPr>
        <w:spacing w:line="360" w:lineRule="auto"/>
        <w:ind w:right="50"/>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53CA67D" w14:textId="77777777" w:rsidR="00856904" w:rsidRPr="00DE4297" w:rsidRDefault="00856904">
      <w:pPr>
        <w:spacing w:line="360" w:lineRule="auto"/>
        <w:ind w:right="50"/>
        <w:jc w:val="both"/>
        <w:rPr>
          <w:rFonts w:ascii="Palatino Linotype" w:eastAsia="Palatino Linotype" w:hAnsi="Palatino Linotype" w:cs="Palatino Linotype"/>
          <w:sz w:val="22"/>
          <w:szCs w:val="22"/>
        </w:rPr>
      </w:pPr>
    </w:p>
    <w:p w14:paraId="42CBD3AA" w14:textId="77777777" w:rsidR="00856904" w:rsidRPr="00DE4297" w:rsidRDefault="00E16F62">
      <w:pPr>
        <w:ind w:left="851" w:right="616"/>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 xml:space="preserve"> “Artículo 3. Para los efectos de la presente Ley se entenderá por:</w:t>
      </w:r>
    </w:p>
    <w:p w14:paraId="2083FAD3"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IX. Datos personales:</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La información concerniente a una persona, identificada o identificable</w:t>
      </w:r>
      <w:r w:rsidRPr="00DE4297">
        <w:rPr>
          <w:rFonts w:ascii="Palatino Linotype" w:eastAsia="Palatino Linotype" w:hAnsi="Palatino Linotype" w:cs="Palatino Linotype"/>
          <w:i/>
          <w:sz w:val="22"/>
          <w:szCs w:val="22"/>
        </w:rPr>
        <w:t xml:space="preserve"> según lo dispuesto por la Ley de Protección de Datos Personales del Estado de México;</w:t>
      </w:r>
    </w:p>
    <w:p w14:paraId="023A30DF"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XX. Información clasificada:</w:t>
      </w:r>
      <w:r w:rsidRPr="00DE4297">
        <w:rPr>
          <w:rFonts w:ascii="Palatino Linotype" w:eastAsia="Palatino Linotype" w:hAnsi="Palatino Linotype" w:cs="Palatino Linotype"/>
          <w:i/>
          <w:sz w:val="22"/>
          <w:szCs w:val="22"/>
        </w:rPr>
        <w:t xml:space="preserve"> Aquella considerada por la presente Ley como reservada o confidencial;</w:t>
      </w:r>
    </w:p>
    <w:p w14:paraId="0D7181AE"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XXXII. Protección de Datos Personales:</w:t>
      </w:r>
      <w:r w:rsidRPr="00DE429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6889933"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XLV. Versión pública</w:t>
      </w:r>
      <w:r w:rsidRPr="00DE429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16A11B8" w14:textId="77777777" w:rsidR="00856904" w:rsidRPr="00DE4297" w:rsidRDefault="00856904">
      <w:pPr>
        <w:ind w:left="851" w:right="616"/>
        <w:jc w:val="both"/>
        <w:rPr>
          <w:rFonts w:ascii="Palatino Linotype" w:eastAsia="Palatino Linotype" w:hAnsi="Palatino Linotype" w:cs="Palatino Linotype"/>
          <w:i/>
          <w:sz w:val="22"/>
          <w:szCs w:val="22"/>
        </w:rPr>
      </w:pPr>
    </w:p>
    <w:p w14:paraId="6D3691AA"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6.</w:t>
      </w:r>
      <w:r w:rsidRPr="00DE429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17F0E15" w14:textId="77777777" w:rsidR="00856904" w:rsidRPr="00DE4297" w:rsidRDefault="00856904">
      <w:pPr>
        <w:ind w:left="851" w:right="616"/>
        <w:jc w:val="both"/>
        <w:rPr>
          <w:rFonts w:ascii="Palatino Linotype" w:eastAsia="Palatino Linotype" w:hAnsi="Palatino Linotype" w:cs="Palatino Linotype"/>
          <w:i/>
          <w:sz w:val="22"/>
          <w:szCs w:val="22"/>
        </w:rPr>
      </w:pPr>
    </w:p>
    <w:p w14:paraId="624C280C" w14:textId="77777777" w:rsidR="00856904" w:rsidRPr="00DE4297" w:rsidRDefault="00E16F62">
      <w:pPr>
        <w:ind w:left="851" w:right="616"/>
        <w:jc w:val="both"/>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“Artículo 137.</w:t>
      </w:r>
      <w:r w:rsidRPr="00DE429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EA94E32" w14:textId="77777777" w:rsidR="00856904" w:rsidRPr="00DE4297" w:rsidRDefault="00856904">
      <w:pPr>
        <w:ind w:left="851" w:right="616"/>
        <w:jc w:val="both"/>
        <w:rPr>
          <w:rFonts w:ascii="Palatino Linotype" w:eastAsia="Palatino Linotype" w:hAnsi="Palatino Linotype" w:cs="Palatino Linotype"/>
          <w:b/>
          <w:i/>
          <w:sz w:val="22"/>
          <w:szCs w:val="22"/>
        </w:rPr>
      </w:pPr>
    </w:p>
    <w:p w14:paraId="602994FA"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“Artículo 143</w:t>
      </w:r>
      <w:r w:rsidRPr="00DE429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645193B"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I.</w:t>
      </w:r>
      <w:r w:rsidRPr="00DE429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3E5C12E"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030C5E5"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A24C746" w14:textId="77777777" w:rsidR="00856904" w:rsidRPr="00DE4297" w:rsidRDefault="00856904">
      <w:pPr>
        <w:ind w:left="993" w:right="1041"/>
        <w:jc w:val="both"/>
        <w:rPr>
          <w:rFonts w:ascii="Palatino Linotype" w:eastAsia="Palatino Linotype" w:hAnsi="Palatino Linotype" w:cs="Palatino Linotype"/>
          <w:i/>
          <w:sz w:val="22"/>
          <w:szCs w:val="22"/>
        </w:rPr>
      </w:pPr>
    </w:p>
    <w:p w14:paraId="0FFD7D42" w14:textId="77777777" w:rsidR="00856904" w:rsidRPr="00DE4297" w:rsidRDefault="00E16F62">
      <w:pPr>
        <w:spacing w:line="360" w:lineRule="auto"/>
        <w:ind w:right="51"/>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para satisfacer el derecho de acceso a la información pública de la parte </w:t>
      </w:r>
      <w:r w:rsidRPr="00DE4297">
        <w:rPr>
          <w:rFonts w:ascii="Palatino Linotype" w:eastAsia="Palatino Linotype" w:hAnsi="Palatino Linotype" w:cs="Palatino Linotype"/>
          <w:b/>
          <w:sz w:val="22"/>
          <w:szCs w:val="22"/>
        </w:rPr>
        <w:t>Recurrente</w:t>
      </w:r>
      <w:r w:rsidRPr="00DE4297">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ABB02A1" w14:textId="77777777" w:rsidR="00856904" w:rsidRPr="00DE4297" w:rsidRDefault="00856904">
      <w:pPr>
        <w:spacing w:line="360" w:lineRule="auto"/>
        <w:ind w:right="51"/>
        <w:jc w:val="both"/>
        <w:rPr>
          <w:rFonts w:ascii="Palatino Linotype" w:eastAsia="Palatino Linotype" w:hAnsi="Palatino Linotype" w:cs="Palatino Linotype"/>
          <w:sz w:val="22"/>
          <w:szCs w:val="22"/>
        </w:rPr>
      </w:pPr>
    </w:p>
    <w:p w14:paraId="43609010" w14:textId="77777777" w:rsidR="00856904" w:rsidRPr="00DE4297" w:rsidRDefault="00E16F62">
      <w:pPr>
        <w:spacing w:line="360" w:lineRule="auto"/>
        <w:ind w:right="50"/>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A838AC7" w14:textId="77777777" w:rsidR="00856904" w:rsidRPr="00DE4297" w:rsidRDefault="00856904">
      <w:pPr>
        <w:spacing w:line="360" w:lineRule="auto"/>
        <w:ind w:right="50"/>
        <w:jc w:val="both"/>
        <w:rPr>
          <w:rFonts w:ascii="Palatino Linotype" w:eastAsia="Palatino Linotype" w:hAnsi="Palatino Linotype" w:cs="Palatino Linotype"/>
          <w:sz w:val="22"/>
          <w:szCs w:val="22"/>
        </w:rPr>
      </w:pPr>
    </w:p>
    <w:p w14:paraId="536FF3BF" w14:textId="77777777" w:rsidR="00856904" w:rsidRPr="00DE4297" w:rsidRDefault="00E16F62">
      <w:pPr>
        <w:spacing w:line="360" w:lineRule="auto"/>
        <w:ind w:right="51"/>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8E6BF1B" w14:textId="77777777" w:rsidR="00856904" w:rsidRPr="00DE4297" w:rsidRDefault="00856904">
      <w:pPr>
        <w:spacing w:line="360" w:lineRule="auto"/>
        <w:ind w:right="51"/>
        <w:jc w:val="both"/>
        <w:rPr>
          <w:rFonts w:ascii="Palatino Linotype" w:eastAsia="Palatino Linotype" w:hAnsi="Palatino Linotype" w:cs="Palatino Linotype"/>
          <w:sz w:val="22"/>
          <w:szCs w:val="22"/>
        </w:rPr>
      </w:pPr>
    </w:p>
    <w:p w14:paraId="173E24AF"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612180E"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F3199B1"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CE1F583"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394971B" w14:textId="77777777" w:rsidR="00856904" w:rsidRPr="00DE4297" w:rsidRDefault="00E16F62">
      <w:pP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Artículo 149.</w:t>
      </w:r>
      <w:r w:rsidRPr="00DE4297">
        <w:rPr>
          <w:rFonts w:ascii="Palatino Linotype" w:eastAsia="Palatino Linotype" w:hAnsi="Palatino Linotype" w:cs="Palatino Linotype"/>
          <w:i/>
          <w:sz w:val="22"/>
          <w:szCs w:val="22"/>
        </w:rPr>
        <w:t xml:space="preserve"> El </w:t>
      </w:r>
      <w:r w:rsidRPr="00DE4297">
        <w:rPr>
          <w:rFonts w:ascii="Palatino Linotype" w:eastAsia="Palatino Linotype" w:hAnsi="Palatino Linotype" w:cs="Palatino Linotype"/>
          <w:b/>
          <w:i/>
          <w:sz w:val="22"/>
          <w:szCs w:val="22"/>
        </w:rPr>
        <w:t>acuerdo que clasifique la información como confidencial</w:t>
      </w:r>
      <w:r w:rsidRPr="00DE429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6675ABAA" w14:textId="77777777" w:rsidR="00856904" w:rsidRPr="00DE4297" w:rsidRDefault="00856904">
      <w:pPr>
        <w:spacing w:line="360" w:lineRule="auto"/>
        <w:ind w:right="51"/>
        <w:jc w:val="both"/>
        <w:rPr>
          <w:rFonts w:ascii="Palatino Linotype" w:eastAsia="Palatino Linotype" w:hAnsi="Palatino Linotype" w:cs="Palatino Linotype"/>
          <w:i/>
          <w:sz w:val="22"/>
          <w:szCs w:val="22"/>
        </w:rPr>
      </w:pPr>
    </w:p>
    <w:p w14:paraId="4B479630" w14:textId="77777777" w:rsidR="00856904" w:rsidRPr="00DE4297" w:rsidRDefault="00E16F62">
      <w:pPr>
        <w:spacing w:line="360" w:lineRule="auto"/>
        <w:ind w:right="51"/>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Es decir, 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4598BD4" w14:textId="77777777" w:rsidR="00856904" w:rsidRPr="00DE4297" w:rsidRDefault="00856904">
      <w:pPr>
        <w:spacing w:line="360" w:lineRule="auto"/>
        <w:ind w:right="51"/>
        <w:jc w:val="both"/>
        <w:rPr>
          <w:rFonts w:ascii="Palatino Linotype" w:eastAsia="Palatino Linotype" w:hAnsi="Palatino Linotype" w:cs="Palatino Linotype"/>
          <w:sz w:val="22"/>
          <w:szCs w:val="22"/>
        </w:rPr>
      </w:pPr>
    </w:p>
    <w:p w14:paraId="4A55F611"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Al respecto, se destaca que la versión pública que elabore el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E4297">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DE4297">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ECDD0E7" w14:textId="77777777" w:rsidR="00856904" w:rsidRPr="00DE4297" w:rsidRDefault="00856904">
      <w:pPr>
        <w:ind w:left="709" w:right="709"/>
        <w:jc w:val="both"/>
        <w:rPr>
          <w:rFonts w:ascii="Palatino Linotype" w:eastAsia="Palatino Linotype" w:hAnsi="Palatino Linotype" w:cs="Palatino Linotype"/>
          <w:b/>
          <w:i/>
          <w:sz w:val="22"/>
          <w:szCs w:val="22"/>
        </w:rPr>
      </w:pPr>
    </w:p>
    <w:p w14:paraId="18D408E2"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9658D36"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w:t>
      </w:r>
      <w:r w:rsidRPr="00DE4297">
        <w:rPr>
          <w:rFonts w:ascii="Palatino Linotype" w:eastAsia="Palatino Linotype" w:hAnsi="Palatino Linotype" w:cs="Palatino Linotype"/>
          <w:b/>
          <w:i/>
          <w:sz w:val="22"/>
          <w:szCs w:val="22"/>
        </w:rPr>
        <w:t>Segundo.-</w:t>
      </w:r>
      <w:r w:rsidRPr="00DE4297">
        <w:rPr>
          <w:rFonts w:ascii="Palatino Linotype" w:eastAsia="Palatino Linotype" w:hAnsi="Palatino Linotype" w:cs="Palatino Linotype"/>
          <w:i/>
          <w:sz w:val="22"/>
          <w:szCs w:val="22"/>
        </w:rPr>
        <w:t xml:space="preserve"> Para efectos de los presentes Lineamientos Generales, se entenderá por:</w:t>
      </w:r>
    </w:p>
    <w:p w14:paraId="67E7128D"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XVIII.</w:t>
      </w:r>
      <w:r w:rsidRPr="00DE4297">
        <w:rPr>
          <w:rFonts w:ascii="Palatino Linotype" w:eastAsia="Palatino Linotype" w:hAnsi="Palatino Linotype" w:cs="Palatino Linotype"/>
          <w:i/>
          <w:sz w:val="22"/>
          <w:szCs w:val="22"/>
        </w:rPr>
        <w:t xml:space="preserve"> </w:t>
      </w:r>
      <w:r w:rsidRPr="00DE4297">
        <w:rPr>
          <w:rFonts w:ascii="Palatino Linotype" w:eastAsia="Palatino Linotype" w:hAnsi="Palatino Linotype" w:cs="Palatino Linotype"/>
          <w:b/>
          <w:i/>
          <w:sz w:val="22"/>
          <w:szCs w:val="22"/>
        </w:rPr>
        <w:t>Versión pública:</w:t>
      </w:r>
      <w:r w:rsidRPr="00DE429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E4297">
        <w:rPr>
          <w:rFonts w:ascii="Palatino Linotype" w:eastAsia="Palatino Linotype" w:hAnsi="Palatino Linotype" w:cs="Palatino Linotype"/>
          <w:b/>
          <w:i/>
          <w:sz w:val="22"/>
          <w:szCs w:val="22"/>
          <w:u w:val="single"/>
        </w:rPr>
        <w:t>fundando y motivando la</w:t>
      </w:r>
      <w:r w:rsidRPr="00DE4297">
        <w:rPr>
          <w:rFonts w:ascii="Palatino Linotype" w:eastAsia="Palatino Linotype" w:hAnsi="Palatino Linotype" w:cs="Palatino Linotype"/>
          <w:i/>
          <w:sz w:val="22"/>
          <w:szCs w:val="22"/>
        </w:rPr>
        <w:t xml:space="preserve"> reserva o </w:t>
      </w:r>
      <w:r w:rsidRPr="00DE4297">
        <w:rPr>
          <w:rFonts w:ascii="Palatino Linotype" w:eastAsia="Palatino Linotype" w:hAnsi="Palatino Linotype" w:cs="Palatino Linotype"/>
          <w:b/>
          <w:i/>
          <w:sz w:val="22"/>
          <w:szCs w:val="22"/>
          <w:u w:val="single"/>
        </w:rPr>
        <w:t>confidencialidad</w:t>
      </w:r>
      <w:r w:rsidRPr="00DE4297">
        <w:rPr>
          <w:rFonts w:ascii="Palatino Linotype" w:eastAsia="Palatino Linotype" w:hAnsi="Palatino Linotype" w:cs="Palatino Linotype"/>
          <w:i/>
          <w:sz w:val="22"/>
          <w:szCs w:val="22"/>
        </w:rPr>
        <w:t>, a través de la resolución que para tal efecto emita el Comité de Transparencia.</w:t>
      </w:r>
    </w:p>
    <w:p w14:paraId="26BFA56F"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Cuarto.</w:t>
      </w:r>
      <w:r w:rsidRPr="00DE4297">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3A509E"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5338734"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Quinto.</w:t>
      </w:r>
      <w:r w:rsidRPr="00DE429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D6AC82"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w:t>
      </w:r>
    </w:p>
    <w:p w14:paraId="2AA4D02B"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Séptimo.</w:t>
      </w:r>
      <w:r w:rsidRPr="00DE4297">
        <w:rPr>
          <w:rFonts w:ascii="Palatino Linotype" w:eastAsia="Palatino Linotype" w:hAnsi="Palatino Linotype" w:cs="Palatino Linotype"/>
          <w:i/>
          <w:sz w:val="22"/>
          <w:szCs w:val="22"/>
        </w:rPr>
        <w:t xml:space="preserve"> La clasificación de la información se llevará a cabo en el momento en que:</w:t>
      </w:r>
    </w:p>
    <w:p w14:paraId="0FD2CC67"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I.</w:t>
      </w:r>
      <w:r w:rsidRPr="00DE4297">
        <w:rPr>
          <w:rFonts w:ascii="Palatino Linotype" w:eastAsia="Palatino Linotype" w:hAnsi="Palatino Linotype" w:cs="Palatino Linotype"/>
          <w:i/>
          <w:sz w:val="22"/>
          <w:szCs w:val="22"/>
        </w:rPr>
        <w:t xml:space="preserve"> Se reciba una solicitud de acceso a la información;</w:t>
      </w:r>
    </w:p>
    <w:p w14:paraId="24F84989"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II.</w:t>
      </w:r>
      <w:r w:rsidRPr="00DE4297">
        <w:rPr>
          <w:rFonts w:ascii="Palatino Linotype" w:eastAsia="Palatino Linotype" w:hAnsi="Palatino Linotype" w:cs="Palatino Linotype"/>
          <w:i/>
          <w:sz w:val="22"/>
          <w:szCs w:val="22"/>
        </w:rPr>
        <w:t xml:space="preserve"> Se  determine mediante resolución del Comité de Transparencia, el órgano garante </w:t>
      </w:r>
    </w:p>
    <w:p w14:paraId="6429D67F"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competente, o en cumplimiento a una sentencia del Poder Judicial; o</w:t>
      </w:r>
    </w:p>
    <w:p w14:paraId="3416BC26"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III.</w:t>
      </w:r>
      <w:r w:rsidRPr="00DE429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73CDADD"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4A5410E"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Octavo.</w:t>
      </w:r>
      <w:r w:rsidRPr="00DE429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2BD77B8"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9A6D28A"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FE7EC59"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Noveno.</w:t>
      </w:r>
      <w:r w:rsidRPr="00DE429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62E19B"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Décimo.</w:t>
      </w:r>
      <w:r w:rsidRPr="00DE429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75D7E4"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6E824D6"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Décimo primero.</w:t>
      </w:r>
      <w:r w:rsidRPr="00DE429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2DA0BDF"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i/>
          <w:sz w:val="22"/>
          <w:szCs w:val="22"/>
        </w:rPr>
        <w:t>[…]</w:t>
      </w:r>
    </w:p>
    <w:p w14:paraId="420633AB" w14:textId="77777777" w:rsidR="00856904" w:rsidRPr="00DE4297" w:rsidRDefault="00E16F62">
      <w:pPr>
        <w:pBdr>
          <w:top w:val="nil"/>
          <w:left w:val="nil"/>
          <w:bottom w:val="nil"/>
          <w:right w:val="nil"/>
          <w:between w:val="nil"/>
        </w:pBdr>
        <w:ind w:left="851" w:right="616"/>
        <w:jc w:val="center"/>
        <w:rPr>
          <w:rFonts w:ascii="Palatino Linotype" w:eastAsia="Palatino Linotype" w:hAnsi="Palatino Linotype" w:cs="Palatino Linotype"/>
          <w:sz w:val="22"/>
          <w:szCs w:val="22"/>
        </w:rPr>
      </w:pPr>
      <w:r w:rsidRPr="00DE4297">
        <w:rPr>
          <w:rFonts w:ascii="Palatino Linotype" w:eastAsia="Palatino Linotype" w:hAnsi="Palatino Linotype" w:cs="Palatino Linotype"/>
          <w:b/>
          <w:i/>
          <w:sz w:val="22"/>
          <w:szCs w:val="22"/>
        </w:rPr>
        <w:t>CAPÍTULO VIII</w:t>
      </w:r>
    </w:p>
    <w:p w14:paraId="02F8EFCE" w14:textId="77777777" w:rsidR="00856904" w:rsidRPr="00DE4297" w:rsidRDefault="00E16F62">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DE4297">
        <w:rPr>
          <w:rFonts w:ascii="Palatino Linotype" w:eastAsia="Palatino Linotype" w:hAnsi="Palatino Linotype" w:cs="Palatino Linotype"/>
          <w:b/>
          <w:i/>
          <w:sz w:val="22"/>
          <w:szCs w:val="22"/>
        </w:rPr>
        <w:t>DE LOS ELEMENTOS PARA LA CLASIFICACIÓN</w:t>
      </w:r>
    </w:p>
    <w:p w14:paraId="23146CA8"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Quincuagésimo</w:t>
      </w:r>
      <w:r w:rsidRPr="00DE4297">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1993310"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Quincuagésimo primero</w:t>
      </w:r>
      <w:r w:rsidRPr="00DE4297">
        <w:rPr>
          <w:rFonts w:ascii="Palatino Linotype" w:eastAsia="Palatino Linotype" w:hAnsi="Palatino Linotype" w:cs="Palatino Linotype"/>
          <w:i/>
          <w:sz w:val="22"/>
          <w:szCs w:val="22"/>
        </w:rPr>
        <w:t>. Toda acta del Comité de Transparencia deberá contener:</w:t>
      </w:r>
    </w:p>
    <w:p w14:paraId="4D48C8F9"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I. El número de sesión y fecha; </w:t>
      </w:r>
    </w:p>
    <w:p w14:paraId="7C52E254"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 El nombre del área que solicitó la clasificación de información;</w:t>
      </w:r>
    </w:p>
    <w:p w14:paraId="12C1A39C"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III. La fundamentación legal y motivación correspondiente;</w:t>
      </w:r>
    </w:p>
    <w:p w14:paraId="29AE4B26"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IV. La resolución o resoluciones aprobadas; y</w:t>
      </w:r>
    </w:p>
    <w:p w14:paraId="1E85C27B"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V. La rúbrica o firma digital de cada integrante del Comité de Transparencia. </w:t>
      </w:r>
    </w:p>
    <w:p w14:paraId="0C829BB7"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99C6359"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 Los motivos y razonamientos que sustenten la confirmación o modificación de la prueba de daño;</w:t>
      </w:r>
    </w:p>
    <w:p w14:paraId="4F9BF2B8"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 Descripción de las partes o secciones reservadas, en caso de clasificación parcial;</w:t>
      </w:r>
    </w:p>
    <w:p w14:paraId="2CBB6F30"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III. El periodo por el que mantendrá su clasificación y fecha de expiración; y</w:t>
      </w:r>
    </w:p>
    <w:p w14:paraId="2DA53EF5"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IV. El nombre del titular y área encargada de realizar la versión pública del documento, en su caso.</w:t>
      </w:r>
    </w:p>
    <w:p w14:paraId="376D1186"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E461752"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1F9963C"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b/>
          <w:i/>
          <w:sz w:val="22"/>
          <w:szCs w:val="22"/>
        </w:rPr>
        <w:t>Quincuagésimo segundo</w:t>
      </w:r>
      <w:r w:rsidRPr="00DE429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052F93"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4FEE195"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1210065"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A1918DB"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III. Señalar las personas o instancias autorizadas a acceder a la información clasificada.</w:t>
      </w:r>
    </w:p>
    <w:p w14:paraId="4FDB4E44" w14:textId="77777777" w:rsidR="00856904" w:rsidRPr="00DE4297" w:rsidRDefault="00E16F62">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B567633" w14:textId="77777777" w:rsidR="00856904" w:rsidRPr="00DE4297" w:rsidRDefault="00E16F62">
      <w:pPr>
        <w:pBdr>
          <w:top w:val="nil"/>
          <w:left w:val="nil"/>
          <w:bottom w:val="nil"/>
          <w:right w:val="nil"/>
          <w:between w:val="nil"/>
        </w:pBdr>
        <w:ind w:left="851" w:right="70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F0140CB" w14:textId="77777777" w:rsidR="00856904" w:rsidRPr="00DE4297" w:rsidRDefault="00E16F62">
      <w:pPr>
        <w:pBdr>
          <w:top w:val="nil"/>
          <w:left w:val="nil"/>
          <w:bottom w:val="nil"/>
          <w:right w:val="nil"/>
          <w:between w:val="nil"/>
        </w:pBdr>
        <w:ind w:left="851" w:right="709"/>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5E1F8369" w14:textId="77777777" w:rsidR="00856904" w:rsidRPr="00DE4297" w:rsidRDefault="00856904">
      <w:pPr>
        <w:pBdr>
          <w:top w:val="nil"/>
          <w:left w:val="nil"/>
          <w:bottom w:val="nil"/>
          <w:right w:val="nil"/>
          <w:between w:val="nil"/>
        </w:pBdr>
        <w:ind w:left="851" w:right="709"/>
        <w:jc w:val="both"/>
        <w:rPr>
          <w:rFonts w:ascii="Palatino Linotype" w:eastAsia="Palatino Linotype" w:hAnsi="Palatino Linotype" w:cs="Palatino Linotype"/>
          <w:i/>
          <w:sz w:val="22"/>
          <w:szCs w:val="22"/>
        </w:rPr>
      </w:pPr>
    </w:p>
    <w:p w14:paraId="7A0140E9" w14:textId="77777777" w:rsidR="00856904" w:rsidRPr="00DE4297" w:rsidRDefault="00856904">
      <w:pPr>
        <w:pBdr>
          <w:top w:val="nil"/>
          <w:left w:val="nil"/>
          <w:bottom w:val="nil"/>
          <w:right w:val="nil"/>
          <w:between w:val="nil"/>
        </w:pBdr>
        <w:ind w:left="851" w:right="709"/>
        <w:jc w:val="both"/>
        <w:rPr>
          <w:rFonts w:ascii="Palatino Linotype" w:eastAsia="Palatino Linotype" w:hAnsi="Palatino Linotype" w:cs="Palatino Linotype"/>
          <w:i/>
          <w:sz w:val="22"/>
          <w:szCs w:val="22"/>
        </w:rPr>
      </w:pPr>
    </w:p>
    <w:p w14:paraId="1D242ED2"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Efectivamente, cuando se clasifica información como confidencial es importante someterlo al Comité de Transparencia, quien debe confirmar, modificar o revocar la clasificación. </w:t>
      </w:r>
    </w:p>
    <w:p w14:paraId="1024F1A7"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575274" w14:textId="77777777" w:rsidR="00856904" w:rsidRPr="00DE4297" w:rsidRDefault="00E16F6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55033496" w14:textId="77777777" w:rsidR="00856904" w:rsidRPr="00DE4297" w:rsidRDefault="008569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052F7D" w14:textId="3AD2003D"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 xml:space="preserve">Así, con fundamento en lo prescrito en los artículos </w:t>
      </w:r>
      <w:r w:rsidR="002E6096" w:rsidRPr="00DE4297">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E4297">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1CFBB5D0"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7F7AB983" w14:textId="77777777" w:rsidR="00856904" w:rsidRPr="00DE4297" w:rsidRDefault="00E16F62">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5" w:name="_heading=h.lnxbz9" w:colFirst="0" w:colLast="0"/>
      <w:bookmarkEnd w:id="5"/>
      <w:r w:rsidRPr="00DE4297">
        <w:rPr>
          <w:rFonts w:ascii="Palatino Linotype" w:eastAsia="Palatino Linotype" w:hAnsi="Palatino Linotype" w:cs="Palatino Linotype"/>
          <w:b/>
          <w:sz w:val="22"/>
          <w:szCs w:val="22"/>
        </w:rPr>
        <w:t>III. R E S U E L V E</w:t>
      </w:r>
    </w:p>
    <w:p w14:paraId="222BC556" w14:textId="77777777" w:rsidR="00856904" w:rsidRPr="00DE4297" w:rsidRDefault="00856904">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043E39B4" w14:textId="77777777" w:rsidR="00856904" w:rsidRPr="00DE4297" w:rsidRDefault="00E16F62">
      <w:pPr>
        <w:spacing w:line="360" w:lineRule="auto"/>
        <w:jc w:val="both"/>
        <w:rPr>
          <w:rFonts w:ascii="Palatino Linotype" w:eastAsia="Palatino Linotype" w:hAnsi="Palatino Linotype" w:cs="Palatino Linotype"/>
          <w:b/>
          <w:sz w:val="22"/>
          <w:szCs w:val="22"/>
        </w:rPr>
      </w:pPr>
      <w:bookmarkStart w:id="6" w:name="_heading=h.1fob9te" w:colFirst="0" w:colLast="0"/>
      <w:bookmarkEnd w:id="6"/>
      <w:r w:rsidRPr="00DE4297">
        <w:rPr>
          <w:rFonts w:ascii="Palatino Linotype" w:eastAsia="Palatino Linotype" w:hAnsi="Palatino Linotype" w:cs="Palatino Linotype"/>
          <w:b/>
          <w:sz w:val="22"/>
          <w:szCs w:val="22"/>
        </w:rPr>
        <w:t xml:space="preserve">Primero. </w:t>
      </w:r>
      <w:r w:rsidRPr="00DE4297">
        <w:rPr>
          <w:rFonts w:ascii="Palatino Linotype" w:eastAsia="Palatino Linotype" w:hAnsi="Palatino Linotype" w:cs="Palatino Linotype"/>
          <w:sz w:val="22"/>
          <w:szCs w:val="22"/>
        </w:rPr>
        <w:t xml:space="preserve">Resultan </w:t>
      </w:r>
      <w:r w:rsidRPr="00DE4297">
        <w:rPr>
          <w:rFonts w:ascii="Palatino Linotype" w:eastAsia="Palatino Linotype" w:hAnsi="Palatino Linotype" w:cs="Palatino Linotype"/>
          <w:b/>
          <w:sz w:val="22"/>
          <w:szCs w:val="22"/>
        </w:rPr>
        <w:t>parcialmente</w:t>
      </w:r>
      <w:r w:rsidRPr="00DE4297">
        <w:rPr>
          <w:rFonts w:ascii="Palatino Linotype" w:eastAsia="Palatino Linotype" w:hAnsi="Palatino Linotype" w:cs="Palatino Linotype"/>
          <w:sz w:val="22"/>
          <w:szCs w:val="22"/>
        </w:rPr>
        <w:t xml:space="preserve"> </w:t>
      </w:r>
      <w:r w:rsidRPr="00DE4297">
        <w:rPr>
          <w:rFonts w:ascii="Palatino Linotype" w:eastAsia="Palatino Linotype" w:hAnsi="Palatino Linotype" w:cs="Palatino Linotype"/>
          <w:b/>
          <w:sz w:val="22"/>
          <w:szCs w:val="22"/>
        </w:rPr>
        <w:t>fundadas</w:t>
      </w:r>
      <w:r w:rsidRPr="00DE4297">
        <w:rPr>
          <w:rFonts w:ascii="Palatino Linotype" w:eastAsia="Palatino Linotype" w:hAnsi="Palatino Linotype" w:cs="Palatino Linotype"/>
          <w:sz w:val="22"/>
          <w:szCs w:val="22"/>
        </w:rPr>
        <w:t xml:space="preserve"> las razones o motivos de inconformidad hechos valer por </w:t>
      </w:r>
      <w:r w:rsidRPr="00DE4297">
        <w:rPr>
          <w:rFonts w:ascii="Palatino Linotype" w:eastAsia="Palatino Linotype" w:hAnsi="Palatino Linotype" w:cs="Palatino Linotype"/>
          <w:b/>
          <w:sz w:val="22"/>
          <w:szCs w:val="22"/>
        </w:rPr>
        <w:t>la parte Recurrente</w:t>
      </w:r>
      <w:r w:rsidRPr="00DE4297">
        <w:rPr>
          <w:rFonts w:ascii="Palatino Linotype" w:eastAsia="Palatino Linotype" w:hAnsi="Palatino Linotype" w:cs="Palatino Linotype"/>
          <w:sz w:val="22"/>
          <w:szCs w:val="22"/>
        </w:rPr>
        <w:t xml:space="preserve"> en el recurso de revisión </w:t>
      </w:r>
      <w:r w:rsidRPr="00DE4297">
        <w:rPr>
          <w:rFonts w:ascii="Palatino Linotype" w:eastAsia="Palatino Linotype" w:hAnsi="Palatino Linotype" w:cs="Palatino Linotype"/>
          <w:b/>
          <w:sz w:val="22"/>
          <w:szCs w:val="22"/>
        </w:rPr>
        <w:t>06349/INFOEM/IP/RR/2025</w:t>
      </w:r>
      <w:r w:rsidRPr="00DE4297">
        <w:rPr>
          <w:rFonts w:ascii="Palatino Linotype" w:eastAsia="Palatino Linotype" w:hAnsi="Palatino Linotype" w:cs="Palatino Linotype"/>
          <w:sz w:val="22"/>
          <w:szCs w:val="22"/>
        </w:rPr>
        <w:t xml:space="preserve">; por lo que, en términos del Considerando </w:t>
      </w:r>
      <w:r w:rsidRPr="00DE4297">
        <w:rPr>
          <w:rFonts w:ascii="Palatino Linotype" w:eastAsia="Palatino Linotype" w:hAnsi="Palatino Linotype" w:cs="Palatino Linotype"/>
          <w:b/>
          <w:sz w:val="22"/>
          <w:szCs w:val="22"/>
        </w:rPr>
        <w:t xml:space="preserve">Cuarto </w:t>
      </w:r>
      <w:r w:rsidRPr="00DE4297">
        <w:rPr>
          <w:rFonts w:ascii="Palatino Linotype" w:eastAsia="Palatino Linotype" w:hAnsi="Palatino Linotype" w:cs="Palatino Linotype"/>
          <w:sz w:val="22"/>
          <w:szCs w:val="22"/>
        </w:rPr>
        <w:t xml:space="preserve">de esta resolución, se </w:t>
      </w:r>
      <w:r w:rsidRPr="00DE4297">
        <w:rPr>
          <w:rFonts w:ascii="Palatino Linotype" w:eastAsia="Palatino Linotype" w:hAnsi="Palatino Linotype" w:cs="Palatino Linotype"/>
          <w:b/>
          <w:sz w:val="22"/>
          <w:szCs w:val="22"/>
        </w:rPr>
        <w:t xml:space="preserve">MODIFICA </w:t>
      </w:r>
      <w:r w:rsidRPr="00DE4297">
        <w:rPr>
          <w:rFonts w:ascii="Palatino Linotype" w:eastAsia="Palatino Linotype" w:hAnsi="Palatino Linotype" w:cs="Palatino Linotype"/>
          <w:sz w:val="22"/>
          <w:szCs w:val="22"/>
        </w:rPr>
        <w:t xml:space="preserve">la respuesta emitida por el </w:t>
      </w:r>
      <w:r w:rsidRPr="00DE4297">
        <w:rPr>
          <w:rFonts w:ascii="Palatino Linotype" w:eastAsia="Palatino Linotype" w:hAnsi="Palatino Linotype" w:cs="Palatino Linotype"/>
          <w:b/>
          <w:sz w:val="22"/>
          <w:szCs w:val="22"/>
        </w:rPr>
        <w:t>Sujeto Obligado.</w:t>
      </w:r>
    </w:p>
    <w:p w14:paraId="6238707A"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2A3FDA1A"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Segundo. </w:t>
      </w:r>
      <w:r w:rsidRPr="00DE4297">
        <w:rPr>
          <w:rFonts w:ascii="Palatino Linotype" w:eastAsia="Palatino Linotype" w:hAnsi="Palatino Linotype" w:cs="Palatino Linotype"/>
          <w:sz w:val="22"/>
          <w:szCs w:val="22"/>
        </w:rPr>
        <w:t xml:space="preserve">Se </w:t>
      </w:r>
      <w:r w:rsidRPr="00DE4297">
        <w:rPr>
          <w:rFonts w:ascii="Palatino Linotype" w:eastAsia="Palatino Linotype" w:hAnsi="Palatino Linotype" w:cs="Palatino Linotype"/>
          <w:b/>
          <w:sz w:val="22"/>
          <w:szCs w:val="22"/>
        </w:rPr>
        <w:t>Ordena</w:t>
      </w:r>
      <w:r w:rsidRPr="00DE4297">
        <w:rPr>
          <w:rFonts w:ascii="Palatino Linotype" w:eastAsia="Palatino Linotype" w:hAnsi="Palatino Linotype" w:cs="Palatino Linotype"/>
          <w:sz w:val="22"/>
          <w:szCs w:val="22"/>
        </w:rPr>
        <w:t xml:space="preserve"> al </w:t>
      </w:r>
      <w:r w:rsidRPr="00DE4297">
        <w:rPr>
          <w:rFonts w:ascii="Palatino Linotype" w:eastAsia="Palatino Linotype" w:hAnsi="Palatino Linotype" w:cs="Palatino Linotype"/>
          <w:b/>
          <w:sz w:val="22"/>
          <w:szCs w:val="22"/>
        </w:rPr>
        <w:t>Sujeto Obligado</w:t>
      </w:r>
      <w:r w:rsidRPr="00DE4297">
        <w:rPr>
          <w:rFonts w:ascii="Palatino Linotype" w:eastAsia="Palatino Linotype" w:hAnsi="Palatino Linotype" w:cs="Palatino Linotype"/>
          <w:sz w:val="22"/>
          <w:szCs w:val="22"/>
        </w:rPr>
        <w:t xml:space="preserve">, en términos de los Considerandos </w:t>
      </w:r>
      <w:r w:rsidRPr="00DE4297">
        <w:rPr>
          <w:rFonts w:ascii="Palatino Linotype" w:eastAsia="Palatino Linotype" w:hAnsi="Palatino Linotype" w:cs="Palatino Linotype"/>
          <w:b/>
          <w:sz w:val="22"/>
          <w:szCs w:val="22"/>
        </w:rPr>
        <w:t xml:space="preserve">Cuarto y Quinto </w:t>
      </w:r>
      <w:r w:rsidRPr="00DE4297">
        <w:rPr>
          <w:rFonts w:ascii="Palatino Linotype" w:eastAsia="Palatino Linotype" w:hAnsi="Palatino Linotype" w:cs="Palatino Linotype"/>
          <w:sz w:val="22"/>
          <w:szCs w:val="22"/>
        </w:rPr>
        <w:t>de esta resolución, en versión pública de ser procedente, los documentos donde conste la siguiente información:</w:t>
      </w:r>
    </w:p>
    <w:p w14:paraId="6E9EF2DB"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62D7AC79" w14:textId="77777777" w:rsidR="00856904" w:rsidRPr="00DE4297" w:rsidRDefault="00E16F62">
      <w:pPr>
        <w:widowControl w:val="0"/>
        <w:numPr>
          <w:ilvl w:val="0"/>
          <w:numId w:val="2"/>
        </w:numPr>
        <w:pBdr>
          <w:top w:val="nil"/>
          <w:left w:val="nil"/>
          <w:bottom w:val="nil"/>
          <w:right w:val="nil"/>
          <w:between w:val="nil"/>
        </w:pBdr>
        <w:tabs>
          <w:tab w:val="left" w:pos="1701"/>
          <w:tab w:val="left" w:pos="1843"/>
        </w:tabs>
        <w:spacing w:line="360" w:lineRule="auto"/>
        <w:ind w:left="567" w:right="708"/>
        <w:jc w:val="both"/>
        <w:rPr>
          <w:rFonts w:ascii="Palatino Linotype" w:eastAsia="Palatino Linotype" w:hAnsi="Palatino Linotype" w:cs="Palatino Linotype"/>
          <w:b/>
          <w:sz w:val="22"/>
          <w:szCs w:val="22"/>
        </w:rPr>
      </w:pPr>
      <w:r w:rsidRPr="00DE4297">
        <w:rPr>
          <w:rFonts w:ascii="Palatino Linotype" w:eastAsia="Palatino Linotype" w:hAnsi="Palatino Linotype" w:cs="Palatino Linotype"/>
          <w:b/>
          <w:sz w:val="22"/>
          <w:szCs w:val="22"/>
        </w:rPr>
        <w:t xml:space="preserve">Registro de las solicitudes de acceso a la información donde se adviertan las resoluciones que se hayan emitido en contra de sus respuestas, del veintiséis de mayo de dos mil veinticuatro al veintiséis de mayo de dos mil veinticinco. </w:t>
      </w:r>
    </w:p>
    <w:p w14:paraId="070093F9" w14:textId="77777777" w:rsidR="00856904" w:rsidRPr="00DE4297" w:rsidRDefault="00856904">
      <w:pPr>
        <w:widowControl w:val="0"/>
        <w:pBdr>
          <w:top w:val="nil"/>
          <w:left w:val="nil"/>
          <w:bottom w:val="nil"/>
          <w:right w:val="nil"/>
          <w:between w:val="nil"/>
        </w:pBdr>
        <w:tabs>
          <w:tab w:val="left" w:pos="1701"/>
          <w:tab w:val="left" w:pos="1843"/>
        </w:tabs>
        <w:spacing w:line="360" w:lineRule="auto"/>
        <w:ind w:left="567" w:right="142"/>
        <w:jc w:val="both"/>
        <w:rPr>
          <w:rFonts w:ascii="Palatino Linotype" w:eastAsia="Palatino Linotype" w:hAnsi="Palatino Linotype" w:cs="Palatino Linotype"/>
          <w:b/>
          <w:sz w:val="22"/>
          <w:szCs w:val="22"/>
        </w:rPr>
      </w:pPr>
    </w:p>
    <w:p w14:paraId="3C396E28" w14:textId="77777777" w:rsidR="00856904" w:rsidRPr="00DE4297" w:rsidRDefault="00E16F62">
      <w:pPr>
        <w:spacing w:line="276" w:lineRule="auto"/>
        <w:ind w:left="567" w:right="615"/>
        <w:jc w:val="both"/>
        <w:rPr>
          <w:rFonts w:ascii="Palatino Linotype" w:eastAsia="Palatino Linotype" w:hAnsi="Palatino Linotype" w:cs="Palatino Linotype"/>
          <w:i/>
          <w:sz w:val="22"/>
          <w:szCs w:val="22"/>
        </w:rPr>
      </w:pPr>
      <w:r w:rsidRPr="00DE4297">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DE4297">
        <w:rPr>
          <w:rFonts w:ascii="Palatino Linotype" w:eastAsia="Palatino Linotype" w:hAnsi="Palatino Linotype" w:cs="Palatino Linotype"/>
          <w:b/>
          <w:i/>
          <w:sz w:val="22"/>
          <w:szCs w:val="22"/>
        </w:rPr>
        <w:t xml:space="preserve"> </w:t>
      </w:r>
      <w:r w:rsidRPr="00DE4297">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0243BEF0" w14:textId="77777777" w:rsidR="00856904" w:rsidRPr="00DE4297" w:rsidRDefault="00856904">
      <w:pPr>
        <w:spacing w:line="360" w:lineRule="auto"/>
        <w:ind w:right="615"/>
        <w:jc w:val="both"/>
        <w:rPr>
          <w:rFonts w:ascii="Palatino Linotype" w:eastAsia="Palatino Linotype" w:hAnsi="Palatino Linotype" w:cs="Palatino Linotype"/>
          <w:i/>
          <w:sz w:val="22"/>
          <w:szCs w:val="22"/>
        </w:rPr>
      </w:pPr>
    </w:p>
    <w:p w14:paraId="7C00BED2" w14:textId="77777777" w:rsidR="00856904" w:rsidRPr="00DE4297"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Tercero.  Notifíquese vía SAIMEX, </w:t>
      </w:r>
      <w:r w:rsidRPr="00DE4297">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3A582FD" w14:textId="77777777" w:rsidR="00856904" w:rsidRPr="00DE4297" w:rsidRDefault="00856904">
      <w:pPr>
        <w:spacing w:line="360" w:lineRule="auto"/>
        <w:jc w:val="both"/>
        <w:rPr>
          <w:rFonts w:ascii="Palatino Linotype" w:eastAsia="Palatino Linotype" w:hAnsi="Palatino Linotype" w:cs="Palatino Linotype"/>
          <w:sz w:val="22"/>
          <w:szCs w:val="22"/>
        </w:rPr>
      </w:pPr>
    </w:p>
    <w:p w14:paraId="3F9F08B0"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Cuarto. Notifíquese a través del SAIMEX, </w:t>
      </w:r>
      <w:r w:rsidRPr="00DE4297">
        <w:rPr>
          <w:rFonts w:ascii="Palatino Linotype" w:eastAsia="Palatino Linotype" w:hAnsi="Palatino Linotype" w:cs="Palatino Linotype"/>
          <w:sz w:val="22"/>
          <w:szCs w:val="22"/>
        </w:rPr>
        <w:t>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1D2D8A"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2168ECAA" w14:textId="77777777" w:rsidR="00856904" w:rsidRPr="00DE4297" w:rsidRDefault="00E16F62">
      <w:pPr>
        <w:spacing w:line="360" w:lineRule="auto"/>
        <w:ind w:right="49"/>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b/>
          <w:sz w:val="22"/>
          <w:szCs w:val="22"/>
        </w:rPr>
        <w:t xml:space="preserve">Quinto. Notifíquese vía SAIMEX, </w:t>
      </w:r>
      <w:r w:rsidRPr="00DE4297">
        <w:rPr>
          <w:rFonts w:ascii="Palatino Linotype" w:eastAsia="Palatino Linotype" w:hAnsi="Palatino Linotype" w:cs="Palatino Linotype"/>
          <w:sz w:val="22"/>
          <w:szCs w:val="22"/>
        </w:rPr>
        <w:t>a</w:t>
      </w:r>
      <w:r w:rsidRPr="00DE4297">
        <w:rPr>
          <w:rFonts w:ascii="Palatino Linotype" w:eastAsia="Palatino Linotype" w:hAnsi="Palatino Linotype" w:cs="Palatino Linotype"/>
          <w:b/>
          <w:sz w:val="22"/>
          <w:szCs w:val="22"/>
        </w:rPr>
        <w:t xml:space="preserve"> la parte Recurrente</w:t>
      </w:r>
      <w:r w:rsidRPr="00DE429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514BEDF4" w14:textId="77777777" w:rsidR="00856904" w:rsidRPr="00DE4297" w:rsidRDefault="00856904">
      <w:pPr>
        <w:spacing w:line="360" w:lineRule="auto"/>
        <w:ind w:right="49"/>
        <w:jc w:val="both"/>
        <w:rPr>
          <w:rFonts w:ascii="Palatino Linotype" w:eastAsia="Palatino Linotype" w:hAnsi="Palatino Linotype" w:cs="Palatino Linotype"/>
          <w:sz w:val="22"/>
          <w:szCs w:val="22"/>
        </w:rPr>
      </w:pPr>
    </w:p>
    <w:p w14:paraId="68F48C52" w14:textId="6A48C3C0" w:rsidR="00856904" w:rsidRPr="000533C5" w:rsidRDefault="00E16F62">
      <w:pPr>
        <w:spacing w:line="360" w:lineRule="auto"/>
        <w:jc w:val="both"/>
        <w:rPr>
          <w:rFonts w:ascii="Palatino Linotype" w:eastAsia="Palatino Linotype" w:hAnsi="Palatino Linotype" w:cs="Palatino Linotype"/>
          <w:sz w:val="22"/>
          <w:szCs w:val="22"/>
        </w:rPr>
      </w:pPr>
      <w:r w:rsidRPr="00DE429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F3E77" w:rsidRPr="00DE4297">
        <w:rPr>
          <w:rFonts w:ascii="Palatino Linotype" w:eastAsia="Palatino Linotype" w:hAnsi="Palatino Linotype" w:cs="Palatino Linotype"/>
          <w:sz w:val="22"/>
          <w:szCs w:val="22"/>
        </w:rPr>
        <w:t xml:space="preserve"> (AUSENCIA JUSTIFICADA)</w:t>
      </w:r>
      <w:r w:rsidRPr="00DE4297">
        <w:rPr>
          <w:rFonts w:ascii="Palatino Linotype" w:eastAsia="Palatino Linotype" w:hAnsi="Palatino Linotype" w:cs="Palatino Linotype"/>
          <w:sz w:val="22"/>
          <w:szCs w:val="22"/>
        </w:rPr>
        <w:t xml:space="preserve">, SHARON CRISTINA MORALES MARTÍNEZ, LUIS GUSTAVO PARRA NORIEGA Y GUADALUPE RAMÍREZ PEÑA; EN LA </w:t>
      </w:r>
      <w:r w:rsidR="00AF3E77" w:rsidRPr="00DE4297">
        <w:rPr>
          <w:rFonts w:ascii="Palatino Linotype" w:eastAsia="Palatino Linotype" w:hAnsi="Palatino Linotype" w:cs="Palatino Linotype"/>
          <w:sz w:val="22"/>
          <w:szCs w:val="22"/>
        </w:rPr>
        <w:t>TRIGÉSIMA NOVENA</w:t>
      </w:r>
      <w:r w:rsidRPr="00DE4297">
        <w:rPr>
          <w:rFonts w:ascii="Palatino Linotype" w:eastAsia="Palatino Linotype" w:hAnsi="Palatino Linotype" w:cs="Palatino Linotype"/>
          <w:sz w:val="22"/>
          <w:szCs w:val="22"/>
        </w:rPr>
        <w:t xml:space="preserve"> SESIÓN ORDINARIA CELEBRADA EL CINCO DE NOVIEMBRE DOS MIL VEINTICINCO, ANTE EL SECRETARIO TÉCNICO DEL PLENO ALEXIS TAPIA RAMÍREZ.</w:t>
      </w:r>
      <w:r w:rsidRPr="000533C5">
        <w:rPr>
          <w:rFonts w:ascii="Palatino Linotype" w:eastAsia="Palatino Linotype" w:hAnsi="Palatino Linotype" w:cs="Palatino Linotype"/>
          <w:sz w:val="22"/>
          <w:szCs w:val="22"/>
        </w:rPr>
        <w:t xml:space="preserve"> </w:t>
      </w:r>
    </w:p>
    <w:p w14:paraId="08B80819"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171B668D"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1139DCEF"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73DD68A8"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1004D8D7"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24FF617C"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744BA06B"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145628ED"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486CCFE8"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1170DFE2"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3249AA75" w14:textId="77777777" w:rsidR="00856904" w:rsidRPr="000533C5" w:rsidRDefault="00856904">
      <w:pPr>
        <w:spacing w:line="360" w:lineRule="auto"/>
        <w:jc w:val="both"/>
        <w:rPr>
          <w:rFonts w:ascii="Palatino Linotype" w:eastAsia="Palatino Linotype" w:hAnsi="Palatino Linotype" w:cs="Palatino Linotype"/>
          <w:sz w:val="22"/>
          <w:szCs w:val="22"/>
        </w:rPr>
      </w:pPr>
    </w:p>
    <w:p w14:paraId="4F1D1DAC" w14:textId="048A9025" w:rsidR="00856904" w:rsidRPr="000533C5" w:rsidRDefault="00856904">
      <w:pPr>
        <w:spacing w:line="360" w:lineRule="auto"/>
        <w:jc w:val="both"/>
        <w:rPr>
          <w:rFonts w:ascii="Palatino Linotype" w:eastAsia="Palatino Linotype" w:hAnsi="Palatino Linotype" w:cs="Palatino Linotype"/>
          <w:sz w:val="22"/>
          <w:szCs w:val="22"/>
        </w:rPr>
      </w:pPr>
    </w:p>
    <w:p w14:paraId="52C8846D" w14:textId="718D3125" w:rsidR="00AF3E77" w:rsidRPr="000533C5" w:rsidRDefault="00AF3E77">
      <w:pPr>
        <w:spacing w:line="360" w:lineRule="auto"/>
        <w:jc w:val="both"/>
        <w:rPr>
          <w:rFonts w:ascii="Palatino Linotype" w:eastAsia="Palatino Linotype" w:hAnsi="Palatino Linotype" w:cs="Palatino Linotype"/>
          <w:sz w:val="22"/>
          <w:szCs w:val="22"/>
        </w:rPr>
      </w:pPr>
    </w:p>
    <w:p w14:paraId="50A359B1" w14:textId="25B4C1E1" w:rsidR="00AF3E77" w:rsidRPr="000533C5" w:rsidRDefault="00AF3E77">
      <w:pPr>
        <w:spacing w:line="360" w:lineRule="auto"/>
        <w:jc w:val="both"/>
        <w:rPr>
          <w:rFonts w:ascii="Palatino Linotype" w:eastAsia="Palatino Linotype" w:hAnsi="Palatino Linotype" w:cs="Palatino Linotype"/>
          <w:sz w:val="22"/>
          <w:szCs w:val="22"/>
        </w:rPr>
      </w:pPr>
    </w:p>
    <w:p w14:paraId="227EA1C4" w14:textId="6F10AB8D" w:rsidR="00AF3E77" w:rsidRPr="000533C5" w:rsidRDefault="00AF3E77">
      <w:pPr>
        <w:spacing w:line="360" w:lineRule="auto"/>
        <w:jc w:val="both"/>
        <w:rPr>
          <w:rFonts w:ascii="Palatino Linotype" w:eastAsia="Palatino Linotype" w:hAnsi="Palatino Linotype" w:cs="Palatino Linotype"/>
          <w:sz w:val="22"/>
          <w:szCs w:val="22"/>
        </w:rPr>
      </w:pPr>
    </w:p>
    <w:p w14:paraId="6D9227C5" w14:textId="1B0CB1F8" w:rsidR="00AF3E77" w:rsidRPr="000533C5" w:rsidRDefault="00AF3E77">
      <w:pPr>
        <w:spacing w:line="360" w:lineRule="auto"/>
        <w:jc w:val="both"/>
        <w:rPr>
          <w:rFonts w:ascii="Palatino Linotype" w:eastAsia="Palatino Linotype" w:hAnsi="Palatino Linotype" w:cs="Palatino Linotype"/>
          <w:sz w:val="22"/>
          <w:szCs w:val="22"/>
        </w:rPr>
      </w:pPr>
    </w:p>
    <w:p w14:paraId="5114453E" w14:textId="11B146AD" w:rsidR="00AF3E77" w:rsidRPr="000533C5" w:rsidRDefault="00AF3E77">
      <w:pPr>
        <w:spacing w:line="360" w:lineRule="auto"/>
        <w:jc w:val="both"/>
        <w:rPr>
          <w:rFonts w:ascii="Palatino Linotype" w:eastAsia="Palatino Linotype" w:hAnsi="Palatino Linotype" w:cs="Palatino Linotype"/>
          <w:sz w:val="22"/>
          <w:szCs w:val="22"/>
        </w:rPr>
      </w:pPr>
    </w:p>
    <w:p w14:paraId="58F10495" w14:textId="3149A8A3" w:rsidR="00AF3E77" w:rsidRPr="000533C5" w:rsidRDefault="00AF3E77">
      <w:pPr>
        <w:spacing w:line="360" w:lineRule="auto"/>
        <w:jc w:val="both"/>
        <w:rPr>
          <w:rFonts w:ascii="Palatino Linotype" w:eastAsia="Palatino Linotype" w:hAnsi="Palatino Linotype" w:cs="Palatino Linotype"/>
          <w:sz w:val="22"/>
          <w:szCs w:val="22"/>
        </w:rPr>
      </w:pPr>
    </w:p>
    <w:p w14:paraId="71D74D41" w14:textId="6BBBA0DC" w:rsidR="00AF3E77" w:rsidRPr="000533C5" w:rsidRDefault="00AF3E77">
      <w:pPr>
        <w:spacing w:line="360" w:lineRule="auto"/>
        <w:jc w:val="both"/>
        <w:rPr>
          <w:rFonts w:ascii="Palatino Linotype" w:eastAsia="Palatino Linotype" w:hAnsi="Palatino Linotype" w:cs="Palatino Linotype"/>
          <w:sz w:val="22"/>
          <w:szCs w:val="22"/>
        </w:rPr>
      </w:pPr>
    </w:p>
    <w:p w14:paraId="181707A5" w14:textId="468CF1D3" w:rsidR="00AF3E77" w:rsidRPr="000533C5" w:rsidRDefault="00AF3E77">
      <w:pPr>
        <w:spacing w:line="360" w:lineRule="auto"/>
        <w:jc w:val="both"/>
        <w:rPr>
          <w:rFonts w:ascii="Palatino Linotype" w:eastAsia="Palatino Linotype" w:hAnsi="Palatino Linotype" w:cs="Palatino Linotype"/>
          <w:sz w:val="22"/>
          <w:szCs w:val="22"/>
        </w:rPr>
      </w:pPr>
    </w:p>
    <w:p w14:paraId="2825FDED" w14:textId="548B3182" w:rsidR="00AF3E77" w:rsidRPr="000533C5" w:rsidRDefault="00AF3E77">
      <w:pPr>
        <w:spacing w:line="360" w:lineRule="auto"/>
        <w:jc w:val="both"/>
        <w:rPr>
          <w:rFonts w:ascii="Palatino Linotype" w:eastAsia="Palatino Linotype" w:hAnsi="Palatino Linotype" w:cs="Palatino Linotype"/>
          <w:sz w:val="22"/>
          <w:szCs w:val="22"/>
        </w:rPr>
      </w:pPr>
    </w:p>
    <w:p w14:paraId="7AF71BD8" w14:textId="74F42294" w:rsidR="00AF3E77" w:rsidRPr="000533C5" w:rsidRDefault="00AF3E77">
      <w:pPr>
        <w:spacing w:line="360" w:lineRule="auto"/>
        <w:jc w:val="both"/>
        <w:rPr>
          <w:rFonts w:ascii="Palatino Linotype" w:eastAsia="Palatino Linotype" w:hAnsi="Palatino Linotype" w:cs="Palatino Linotype"/>
          <w:sz w:val="22"/>
          <w:szCs w:val="22"/>
        </w:rPr>
      </w:pPr>
    </w:p>
    <w:p w14:paraId="54DF845F" w14:textId="1DE60D0D" w:rsidR="00AF3E77" w:rsidRPr="000533C5" w:rsidRDefault="00AF3E77">
      <w:pPr>
        <w:spacing w:line="360" w:lineRule="auto"/>
        <w:jc w:val="both"/>
        <w:rPr>
          <w:rFonts w:ascii="Palatino Linotype" w:eastAsia="Palatino Linotype" w:hAnsi="Palatino Linotype" w:cs="Palatino Linotype"/>
          <w:sz w:val="22"/>
          <w:szCs w:val="22"/>
        </w:rPr>
      </w:pPr>
    </w:p>
    <w:p w14:paraId="1D8F6BB7" w14:textId="2224039B" w:rsidR="00AF3E77" w:rsidRPr="000533C5" w:rsidRDefault="00AF3E77">
      <w:pPr>
        <w:spacing w:line="360" w:lineRule="auto"/>
        <w:jc w:val="both"/>
        <w:rPr>
          <w:rFonts w:ascii="Palatino Linotype" w:eastAsia="Palatino Linotype" w:hAnsi="Palatino Linotype" w:cs="Palatino Linotype"/>
          <w:sz w:val="22"/>
          <w:szCs w:val="22"/>
        </w:rPr>
      </w:pPr>
    </w:p>
    <w:p w14:paraId="5AAB06A8" w14:textId="6E2B4175" w:rsidR="00AF3E77" w:rsidRPr="000533C5" w:rsidRDefault="00AF3E77">
      <w:pPr>
        <w:spacing w:line="360" w:lineRule="auto"/>
        <w:jc w:val="both"/>
        <w:rPr>
          <w:rFonts w:ascii="Palatino Linotype" w:eastAsia="Palatino Linotype" w:hAnsi="Palatino Linotype" w:cs="Palatino Linotype"/>
          <w:sz w:val="22"/>
          <w:szCs w:val="22"/>
        </w:rPr>
      </w:pPr>
    </w:p>
    <w:p w14:paraId="0C7B0AF6" w14:textId="676030BE" w:rsidR="00AF3E77" w:rsidRPr="000533C5" w:rsidRDefault="00AF3E77">
      <w:pPr>
        <w:spacing w:line="360" w:lineRule="auto"/>
        <w:jc w:val="both"/>
        <w:rPr>
          <w:rFonts w:ascii="Palatino Linotype" w:eastAsia="Palatino Linotype" w:hAnsi="Palatino Linotype" w:cs="Palatino Linotype"/>
          <w:sz w:val="22"/>
          <w:szCs w:val="22"/>
        </w:rPr>
      </w:pPr>
    </w:p>
    <w:p w14:paraId="703ADDC2" w14:textId="1D5A5B88" w:rsidR="00AF3E77" w:rsidRPr="000533C5" w:rsidRDefault="00AF3E77">
      <w:pPr>
        <w:spacing w:line="360" w:lineRule="auto"/>
        <w:jc w:val="both"/>
        <w:rPr>
          <w:rFonts w:ascii="Palatino Linotype" w:eastAsia="Palatino Linotype" w:hAnsi="Palatino Linotype" w:cs="Palatino Linotype"/>
          <w:sz w:val="22"/>
          <w:szCs w:val="22"/>
        </w:rPr>
      </w:pPr>
    </w:p>
    <w:p w14:paraId="2E763438" w14:textId="07BE0A96" w:rsidR="00AF3E77" w:rsidRPr="000533C5" w:rsidRDefault="00AF3E77">
      <w:pPr>
        <w:spacing w:line="360" w:lineRule="auto"/>
        <w:jc w:val="both"/>
        <w:rPr>
          <w:rFonts w:ascii="Palatino Linotype" w:eastAsia="Palatino Linotype" w:hAnsi="Palatino Linotype" w:cs="Palatino Linotype"/>
          <w:sz w:val="22"/>
          <w:szCs w:val="22"/>
        </w:rPr>
      </w:pPr>
    </w:p>
    <w:p w14:paraId="20A8BF7C" w14:textId="04C6CB39" w:rsidR="00AF3E77" w:rsidRPr="000533C5" w:rsidRDefault="00AF3E77">
      <w:pPr>
        <w:spacing w:line="360" w:lineRule="auto"/>
        <w:jc w:val="both"/>
        <w:rPr>
          <w:rFonts w:ascii="Palatino Linotype" w:eastAsia="Palatino Linotype" w:hAnsi="Palatino Linotype" w:cs="Palatino Linotype"/>
          <w:sz w:val="22"/>
          <w:szCs w:val="22"/>
        </w:rPr>
      </w:pPr>
    </w:p>
    <w:p w14:paraId="596EEEA5" w14:textId="0FC61ED7" w:rsidR="00AF3E77" w:rsidRPr="000533C5" w:rsidRDefault="00AF3E77">
      <w:pPr>
        <w:spacing w:line="360" w:lineRule="auto"/>
        <w:jc w:val="both"/>
        <w:rPr>
          <w:rFonts w:ascii="Palatino Linotype" w:eastAsia="Palatino Linotype" w:hAnsi="Palatino Linotype" w:cs="Palatino Linotype"/>
          <w:sz w:val="22"/>
          <w:szCs w:val="22"/>
        </w:rPr>
      </w:pPr>
    </w:p>
    <w:p w14:paraId="3E99CAFD" w14:textId="77777777" w:rsidR="00AF3E77" w:rsidRPr="000533C5" w:rsidRDefault="00AF3E77">
      <w:pPr>
        <w:spacing w:line="360" w:lineRule="auto"/>
        <w:jc w:val="both"/>
        <w:rPr>
          <w:rFonts w:ascii="Palatino Linotype" w:eastAsia="Palatino Linotype" w:hAnsi="Palatino Linotype" w:cs="Palatino Linotype"/>
          <w:sz w:val="22"/>
          <w:szCs w:val="22"/>
        </w:rPr>
      </w:pPr>
    </w:p>
    <w:sectPr w:rsidR="00AF3E77" w:rsidRPr="000533C5">
      <w:headerReference w:type="default" r:id="rId8"/>
      <w:footerReference w:type="default" r:id="rId9"/>
      <w:headerReference w:type="first" r:id="rId10"/>
      <w:footerReference w:type="first" r:id="rId11"/>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CA8B9" w14:textId="77777777" w:rsidR="00606F02" w:rsidRDefault="00606F02">
      <w:r>
        <w:separator/>
      </w:r>
    </w:p>
  </w:endnote>
  <w:endnote w:type="continuationSeparator" w:id="0">
    <w:p w14:paraId="6CBF7AFF" w14:textId="77777777" w:rsidR="00606F02" w:rsidRDefault="0060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0A220F04-7BFB-4E02-9F12-697CFE2F43ED}"/>
    <w:embedBold r:id="rId2" w:fontKey="{AA56493B-9E73-44BD-8421-1A8FDAE48DF0}"/>
    <w:embedItalic r:id="rId3" w:fontKey="{F66C938B-22FD-40A0-9CB1-E29E21AE90F2}"/>
    <w:embedBoldItalic r:id="rId4" w:fontKey="{5ECE41D0-3FF3-437C-9BA1-5323894F2FB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7B21184F-56CB-4073-AA76-DFADDDEBA35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8321F45-4E93-448E-A4E7-2AA5F9735873}"/>
    <w:embedBold r:id="rId7" w:fontKey="{65E72B9F-0DA2-4F1F-828F-40D2C0BCCCB0}"/>
  </w:font>
  <w:font w:name="Cambria">
    <w:panose1 w:val="02040503050406030204"/>
    <w:charset w:val="00"/>
    <w:family w:val="roman"/>
    <w:pitch w:val="variable"/>
    <w:sig w:usb0="E00006FF" w:usb1="420024FF" w:usb2="02000000" w:usb3="00000000" w:csb0="0000019F" w:csb1="00000000"/>
    <w:embedRegular r:id="rId8" w:fontKey="{DE78C4CF-49CC-4307-8AB2-6CD2ACD5F7EF}"/>
    <w:embedBold r:id="rId9" w:fontKey="{EF005CED-BE69-460B-B096-4D3253337B21}"/>
    <w:embedItalic r:id="rId10" w:fontKey="{92B19B11-9AD9-43E2-836D-141D6570A726}"/>
    <w:embedBoldItalic r:id="rId11" w:fontKey="{A5309918-105B-43E4-863E-3AA8E936D3A8}"/>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embedRegular r:id="rId12" w:fontKey="{17735CA8-FF33-476E-8257-CFCA182A4C65}"/>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3" w:fontKey="{7DFD2D82-8F7B-48D5-B2CF-3A484D53FFA9}"/>
    <w:embedItalic r:id="rId14" w:fontKey="{C979C2A9-F7B7-4D52-9215-A67EB8D743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DE1A" w14:textId="16DEE3D4" w:rsidR="00856904" w:rsidRDefault="00E16F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68E7">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68E7">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5FD45C97" w14:textId="77777777" w:rsidR="00856904" w:rsidRDefault="0085690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315CD" w14:textId="0174D04D" w:rsidR="00856904" w:rsidRDefault="00E16F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68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68E7">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73B82BD1" w14:textId="77777777" w:rsidR="00856904" w:rsidRDefault="0085690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E20DB" w14:textId="77777777" w:rsidR="00606F02" w:rsidRDefault="00606F02">
      <w:r>
        <w:separator/>
      </w:r>
    </w:p>
  </w:footnote>
  <w:footnote w:type="continuationSeparator" w:id="0">
    <w:p w14:paraId="42E22E46" w14:textId="77777777" w:rsidR="00606F02" w:rsidRDefault="00606F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803D" w14:textId="77777777" w:rsidR="00856904" w:rsidRDefault="00E16F6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20327B4" wp14:editId="0E16F5D7">
          <wp:simplePos x="0" y="0"/>
          <wp:positionH relativeFrom="column">
            <wp:posOffset>-1080128</wp:posOffset>
          </wp:positionH>
          <wp:positionV relativeFrom="paragraph">
            <wp:posOffset>-488308</wp:posOffset>
          </wp:positionV>
          <wp:extent cx="7809865" cy="1016571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856904" w14:paraId="11722E0A" w14:textId="77777777">
      <w:tc>
        <w:tcPr>
          <w:tcW w:w="2489" w:type="dxa"/>
          <w:shd w:val="clear" w:color="auto" w:fill="auto"/>
        </w:tcPr>
        <w:p w14:paraId="4F91898A"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D5643C2" w14:textId="77777777" w:rsidR="00856904" w:rsidRDefault="00E16F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06349/INFOEM/IP/RR/2025</w:t>
          </w:r>
        </w:p>
      </w:tc>
    </w:tr>
    <w:tr w:rsidR="00856904" w14:paraId="1119DA9A" w14:textId="77777777">
      <w:trPr>
        <w:trHeight w:val="228"/>
      </w:trPr>
      <w:tc>
        <w:tcPr>
          <w:tcW w:w="2489" w:type="dxa"/>
          <w:shd w:val="clear" w:color="auto" w:fill="auto"/>
          <w:vAlign w:val="center"/>
        </w:tcPr>
        <w:p w14:paraId="645CF0D3"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C8FBB86" w14:textId="77777777" w:rsidR="00856904" w:rsidRDefault="00E16F6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856904" w14:paraId="30BD3F4B" w14:textId="77777777">
      <w:tc>
        <w:tcPr>
          <w:tcW w:w="2489" w:type="dxa"/>
          <w:shd w:val="clear" w:color="auto" w:fill="auto"/>
          <w:vAlign w:val="center"/>
        </w:tcPr>
        <w:p w14:paraId="27E3EE09" w14:textId="77777777" w:rsidR="00856904" w:rsidRDefault="00E16F6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E2F8990" w14:textId="77777777" w:rsidR="00856904" w:rsidRDefault="00E16F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731DBF6" w14:textId="77777777" w:rsidR="00856904" w:rsidRDefault="00E16F6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FCDF" w14:textId="77777777" w:rsidR="00856904" w:rsidRDefault="00E16F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lang w:val="es-MX"/>
      </w:rPr>
      <w:drawing>
        <wp:anchor distT="0" distB="0" distL="0" distR="0" simplePos="0" relativeHeight="251659264" behindDoc="1" locked="0" layoutInCell="1" hidden="0" allowOverlap="1" wp14:anchorId="21E1FD98" wp14:editId="75CA6471">
          <wp:simplePos x="0" y="0"/>
          <wp:positionH relativeFrom="column">
            <wp:posOffset>-632459</wp:posOffset>
          </wp:positionH>
          <wp:positionV relativeFrom="paragraph">
            <wp:posOffset>-329564</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856904" w14:paraId="0FED6E55" w14:textId="77777777">
      <w:tc>
        <w:tcPr>
          <w:tcW w:w="2551" w:type="dxa"/>
          <w:shd w:val="clear" w:color="auto" w:fill="auto"/>
          <w:vAlign w:val="center"/>
        </w:tcPr>
        <w:p w14:paraId="0D0AE695"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63CA75C" w14:textId="77777777" w:rsidR="00856904" w:rsidRDefault="00E16F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06349/INFOEM/IP/RR/2025</w:t>
          </w:r>
        </w:p>
      </w:tc>
    </w:tr>
    <w:tr w:rsidR="00856904" w14:paraId="22099B96" w14:textId="77777777">
      <w:trPr>
        <w:trHeight w:val="130"/>
      </w:trPr>
      <w:tc>
        <w:tcPr>
          <w:tcW w:w="2551" w:type="dxa"/>
          <w:shd w:val="clear" w:color="auto" w:fill="auto"/>
          <w:vAlign w:val="center"/>
        </w:tcPr>
        <w:p w14:paraId="22AE7ABD"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A75F8E" w14:textId="77777777" w:rsidR="00856904" w:rsidRDefault="00856904">
          <w:pPr>
            <w:tabs>
              <w:tab w:val="left" w:pos="3153"/>
            </w:tabs>
            <w:ind w:left="-45"/>
            <w:jc w:val="both"/>
            <w:rPr>
              <w:rFonts w:ascii="Palatino Linotype" w:eastAsia="Palatino Linotype" w:hAnsi="Palatino Linotype" w:cs="Palatino Linotype"/>
              <w:b/>
              <w:sz w:val="22"/>
              <w:szCs w:val="22"/>
            </w:rPr>
          </w:pPr>
        </w:p>
      </w:tc>
    </w:tr>
    <w:tr w:rsidR="00856904" w14:paraId="257CA1CE" w14:textId="77777777">
      <w:trPr>
        <w:trHeight w:val="228"/>
      </w:trPr>
      <w:tc>
        <w:tcPr>
          <w:tcW w:w="2551" w:type="dxa"/>
          <w:shd w:val="clear" w:color="auto" w:fill="auto"/>
          <w:vAlign w:val="center"/>
        </w:tcPr>
        <w:p w14:paraId="65A28A87"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7A9505C" w14:textId="77777777" w:rsidR="00856904" w:rsidRDefault="00E16F6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856904" w14:paraId="616D14AA" w14:textId="77777777">
      <w:tc>
        <w:tcPr>
          <w:tcW w:w="2551" w:type="dxa"/>
          <w:shd w:val="clear" w:color="auto" w:fill="auto"/>
          <w:vAlign w:val="center"/>
        </w:tcPr>
        <w:p w14:paraId="39582125" w14:textId="77777777" w:rsidR="00856904" w:rsidRDefault="00E16F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4FC62F5" w14:textId="77777777" w:rsidR="00856904" w:rsidRDefault="00E16F6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BE986C" w14:textId="77777777" w:rsidR="00856904" w:rsidRDefault="0085690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3A3"/>
    <w:multiLevelType w:val="multilevel"/>
    <w:tmpl w:val="DA9C255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3CE2605"/>
    <w:multiLevelType w:val="multilevel"/>
    <w:tmpl w:val="960E33C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48E4139"/>
    <w:multiLevelType w:val="multilevel"/>
    <w:tmpl w:val="DEB2FC22"/>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904"/>
    <w:rsid w:val="000533C5"/>
    <w:rsid w:val="002E6096"/>
    <w:rsid w:val="00606F02"/>
    <w:rsid w:val="00781B05"/>
    <w:rsid w:val="00856904"/>
    <w:rsid w:val="00AF3E77"/>
    <w:rsid w:val="00CF68E7"/>
    <w:rsid w:val="00D07CFF"/>
    <w:rsid w:val="00DE4297"/>
    <w:rsid w:val="00E16F62"/>
    <w:rsid w:val="00EA2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56089"/>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3"/>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8D3F58"/>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aPLzI2L5zhMqEtJywYS5x0Pow==">CgMxLjAyCGguZ2pkZ3hzMgloLjMwajB6bGwyCWguMnM4ZXlvMTIIaC50eWpjd3QyCGgubG54Yno5MgloLjFmb2I5dGU4AHIhMS1ybTlTNzZyd3d1bUZGMHdGU2RnZ2NkUlh1NVlMOG42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8612</Words>
  <Characters>47368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2025-11-07T16:43:00Z</cp:lastPrinted>
  <dcterms:created xsi:type="dcterms:W3CDTF">2025-12-08T15:53:00Z</dcterms:created>
  <dcterms:modified xsi:type="dcterms:W3CDTF">2025-12-08T15:53:00Z</dcterms:modified>
</cp:coreProperties>
</file>